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FA" w:rsidRDefault="00A706FA">
      <w:pPr>
        <w:jc w:val="center"/>
        <w:rPr>
          <w:b/>
          <w:bCs/>
        </w:rPr>
      </w:pPr>
      <w:r>
        <w:rPr>
          <w:b/>
          <w:bCs/>
        </w:rPr>
        <w:t>PROJECT INFORMATION DOCUMENT (PID)</w:t>
      </w:r>
    </w:p>
    <w:p w:rsidR="00A706FA" w:rsidRDefault="00A706FA">
      <w:pPr>
        <w:jc w:val="center"/>
        <w:rPr>
          <w:b/>
          <w:bCs/>
        </w:rPr>
      </w:pPr>
      <w:r>
        <w:rPr>
          <w:b/>
          <w:bCs/>
        </w:rPr>
        <w:t>APPRAISAL STAGE</w:t>
      </w:r>
    </w:p>
    <w:p w:rsidR="00A706FA" w:rsidRDefault="00A706FA">
      <w:pPr>
        <w:jc w:val="right"/>
      </w:pPr>
      <w:r>
        <w:t>Report No.:</w:t>
      </w:r>
      <w:r w:rsidR="005422E0">
        <w:t xml:space="preserve"> </w:t>
      </w:r>
      <w:bookmarkStart w:id="0" w:name="_GoBack"/>
      <w:r w:rsidR="005136D1">
        <w:t>AB7278</w:t>
      </w:r>
      <w:bookmarkEnd w:id="0"/>
      <w:r>
        <w:t xml:space="preserve">  </w:t>
      </w: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6660"/>
      </w:tblGrid>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pStyle w:val="Heading1"/>
              <w:rPr>
                <w:rFonts w:eastAsia="Arial Unicode MS"/>
              </w:rPr>
            </w:pPr>
            <w:r>
              <w:t>Project Name</w:t>
            </w:r>
          </w:p>
        </w:tc>
        <w:tc>
          <w:tcPr>
            <w:tcW w:w="6660" w:type="dxa"/>
            <w:tcBorders>
              <w:top w:val="single" w:sz="4" w:space="0" w:color="auto"/>
              <w:left w:val="single" w:sz="4" w:space="0" w:color="auto"/>
              <w:bottom w:val="single" w:sz="4" w:space="0" w:color="auto"/>
              <w:right w:val="single" w:sz="4" w:space="0" w:color="auto"/>
            </w:tcBorders>
          </w:tcPr>
          <w:p w:rsidR="00A706FA" w:rsidRDefault="000514F2">
            <w:bookmarkStart w:id="1" w:name="PROJECTNAME"/>
            <w:bookmarkEnd w:id="1"/>
            <w:r>
              <w:t>Communications for reforms</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Region</w:t>
            </w:r>
          </w:p>
        </w:tc>
        <w:tc>
          <w:tcPr>
            <w:tcW w:w="6660" w:type="dxa"/>
            <w:tcBorders>
              <w:top w:val="single" w:sz="4" w:space="0" w:color="auto"/>
              <w:left w:val="single" w:sz="4" w:space="0" w:color="auto"/>
              <w:bottom w:val="single" w:sz="4" w:space="0" w:color="auto"/>
              <w:right w:val="single" w:sz="4" w:space="0" w:color="auto"/>
            </w:tcBorders>
          </w:tcPr>
          <w:p w:rsidR="00A706FA" w:rsidRDefault="000514F2">
            <w:bookmarkStart w:id="2" w:name="REGION"/>
            <w:bookmarkEnd w:id="2"/>
            <w:r>
              <w:t>MNA</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Sector</w:t>
            </w:r>
          </w:p>
        </w:tc>
        <w:tc>
          <w:tcPr>
            <w:tcW w:w="6660" w:type="dxa"/>
            <w:tcBorders>
              <w:top w:val="single" w:sz="4" w:space="0" w:color="auto"/>
              <w:left w:val="single" w:sz="4" w:space="0" w:color="auto"/>
              <w:bottom w:val="single" w:sz="4" w:space="0" w:color="auto"/>
              <w:right w:val="single" w:sz="4" w:space="0" w:color="auto"/>
            </w:tcBorders>
          </w:tcPr>
          <w:p w:rsidR="00A706FA" w:rsidRDefault="000514F2">
            <w:bookmarkStart w:id="3" w:name="SECTOR"/>
            <w:bookmarkEnd w:id="3"/>
            <w:r>
              <w:t>PREM</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Project ID</w:t>
            </w:r>
          </w:p>
        </w:tc>
        <w:tc>
          <w:tcPr>
            <w:tcW w:w="6660" w:type="dxa"/>
            <w:tcBorders>
              <w:top w:val="single" w:sz="4" w:space="0" w:color="auto"/>
              <w:left w:val="single" w:sz="4" w:space="0" w:color="auto"/>
              <w:bottom w:val="single" w:sz="4" w:space="0" w:color="auto"/>
              <w:right w:val="single" w:sz="4" w:space="0" w:color="auto"/>
            </w:tcBorders>
          </w:tcPr>
          <w:p w:rsidR="00A706FA" w:rsidRDefault="000514F2">
            <w:bookmarkStart w:id="4" w:name="PROJECTCODE"/>
            <w:bookmarkEnd w:id="4"/>
            <w:r w:rsidRPr="000514F2">
              <w:t>P144917</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Borrower(s)</w:t>
            </w:r>
          </w:p>
        </w:tc>
        <w:tc>
          <w:tcPr>
            <w:tcW w:w="6660" w:type="dxa"/>
            <w:tcBorders>
              <w:top w:val="single" w:sz="4" w:space="0" w:color="auto"/>
              <w:left w:val="single" w:sz="4" w:space="0" w:color="auto"/>
              <w:bottom w:val="single" w:sz="4" w:space="0" w:color="auto"/>
              <w:right w:val="single" w:sz="4" w:space="0" w:color="auto"/>
            </w:tcBorders>
          </w:tcPr>
          <w:p w:rsidR="00A706FA" w:rsidRDefault="00BE41BE">
            <w:bookmarkStart w:id="5" w:name="BORROWERNAME"/>
            <w:bookmarkEnd w:id="5"/>
            <w:r>
              <w:t>Global Productions</w:t>
            </w:r>
          </w:p>
        </w:tc>
      </w:tr>
      <w:tr w:rsidR="00A706FA">
        <w:trPr>
          <w:trHeight w:val="140"/>
        </w:trPr>
        <w:tc>
          <w:tcPr>
            <w:tcW w:w="2880" w:type="dxa"/>
            <w:tcBorders>
              <w:top w:val="single" w:sz="4" w:space="0" w:color="auto"/>
              <w:left w:val="single" w:sz="4" w:space="0" w:color="auto"/>
              <w:bottom w:val="nil"/>
              <w:right w:val="single" w:sz="4" w:space="0" w:color="auto"/>
            </w:tcBorders>
          </w:tcPr>
          <w:p w:rsidR="00A706FA" w:rsidRDefault="00A706FA">
            <w:pPr>
              <w:rPr>
                <w:b/>
                <w:bCs/>
              </w:rPr>
            </w:pPr>
            <w:r>
              <w:rPr>
                <w:b/>
                <w:bCs/>
              </w:rPr>
              <w:t>Implementing Agency</w:t>
            </w:r>
          </w:p>
        </w:tc>
        <w:tc>
          <w:tcPr>
            <w:tcW w:w="6660" w:type="dxa"/>
            <w:tcBorders>
              <w:top w:val="single" w:sz="4" w:space="0" w:color="auto"/>
              <w:left w:val="single" w:sz="4" w:space="0" w:color="auto"/>
              <w:bottom w:val="nil"/>
              <w:right w:val="single" w:sz="4" w:space="0" w:color="auto"/>
            </w:tcBorders>
          </w:tcPr>
          <w:p w:rsidR="00A706FA" w:rsidRDefault="000514F2">
            <w:bookmarkStart w:id="6" w:name="IMPLEMENTINGAGENCY"/>
            <w:bookmarkEnd w:id="6"/>
            <w:r>
              <w:t>Recipient executed</w:t>
            </w:r>
          </w:p>
        </w:tc>
      </w:tr>
      <w:tr w:rsidR="00A706FA">
        <w:trPr>
          <w:trHeight w:val="285"/>
        </w:trPr>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Environment Category</w:t>
            </w:r>
          </w:p>
        </w:tc>
        <w:tc>
          <w:tcPr>
            <w:tcW w:w="6660" w:type="dxa"/>
            <w:tcBorders>
              <w:top w:val="single" w:sz="4" w:space="0" w:color="auto"/>
              <w:left w:val="single" w:sz="4" w:space="0" w:color="auto"/>
              <w:bottom w:val="single" w:sz="4" w:space="0" w:color="auto"/>
              <w:right w:val="single" w:sz="4" w:space="0" w:color="auto"/>
            </w:tcBorders>
          </w:tcPr>
          <w:p w:rsidR="00A706FA" w:rsidRDefault="00A706FA">
            <w:r>
              <w:t>[</w:t>
            </w:r>
            <w:bookmarkStart w:id="7" w:name="ENVCAT_A"/>
            <w:r>
              <w:t xml:space="preserve"> </w:t>
            </w:r>
            <w:bookmarkEnd w:id="7"/>
            <w:r>
              <w:t>] A   [</w:t>
            </w:r>
            <w:bookmarkStart w:id="8" w:name="ENVCAT_B"/>
            <w:r>
              <w:t xml:space="preserve"> </w:t>
            </w:r>
            <w:bookmarkEnd w:id="8"/>
            <w:r>
              <w:t>] B   [</w:t>
            </w:r>
            <w:bookmarkStart w:id="9" w:name="ENVCAT_C"/>
            <w:r>
              <w:t xml:space="preserve"> </w:t>
            </w:r>
            <w:bookmarkEnd w:id="9"/>
            <w:r>
              <w:t>] C   [</w:t>
            </w:r>
            <w:bookmarkStart w:id="10" w:name="ENVCAT_FI"/>
            <w:r>
              <w:t xml:space="preserve"> </w:t>
            </w:r>
            <w:bookmarkEnd w:id="10"/>
            <w:r>
              <w:t>] FI   [</w:t>
            </w:r>
            <w:bookmarkStart w:id="11" w:name="ENVCAT_TBD"/>
            <w:r>
              <w:t xml:space="preserve"> </w:t>
            </w:r>
            <w:bookmarkEnd w:id="11"/>
            <w:r>
              <w:t>] TBD (to be determined)</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PID Prepared</w:t>
            </w:r>
          </w:p>
        </w:tc>
        <w:tc>
          <w:tcPr>
            <w:tcW w:w="6660" w:type="dxa"/>
            <w:tcBorders>
              <w:top w:val="single" w:sz="4" w:space="0" w:color="auto"/>
              <w:left w:val="single" w:sz="4" w:space="0" w:color="auto"/>
              <w:bottom w:val="single" w:sz="4" w:space="0" w:color="auto"/>
              <w:right w:val="single" w:sz="4" w:space="0" w:color="auto"/>
            </w:tcBorders>
          </w:tcPr>
          <w:p w:rsidR="00A706FA" w:rsidRDefault="00BE41BE">
            <w:bookmarkStart w:id="12" w:name="DATEPREPARED"/>
            <w:bookmarkEnd w:id="12"/>
            <w:r>
              <w:t>March 30, 2014</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of Appraisal Authorization</w:t>
            </w:r>
          </w:p>
        </w:tc>
        <w:tc>
          <w:tcPr>
            <w:tcW w:w="6660" w:type="dxa"/>
            <w:tcBorders>
              <w:top w:val="single" w:sz="4" w:space="0" w:color="auto"/>
              <w:left w:val="single" w:sz="4" w:space="0" w:color="auto"/>
              <w:bottom w:val="single" w:sz="4" w:space="0" w:color="auto"/>
              <w:right w:val="single" w:sz="4" w:space="0" w:color="auto"/>
            </w:tcBorders>
          </w:tcPr>
          <w:p w:rsidR="00A706FA" w:rsidRDefault="00BE41BE">
            <w:bookmarkStart w:id="13" w:name="APPRAISALDATE"/>
            <w:bookmarkEnd w:id="13"/>
            <w:r>
              <w:t>August 28, 2013</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of Board Approval</w:t>
            </w:r>
          </w:p>
        </w:tc>
        <w:tc>
          <w:tcPr>
            <w:tcW w:w="6660" w:type="dxa"/>
            <w:tcBorders>
              <w:top w:val="single" w:sz="4" w:space="0" w:color="auto"/>
              <w:left w:val="single" w:sz="4" w:space="0" w:color="auto"/>
              <w:bottom w:val="single" w:sz="4" w:space="0" w:color="auto"/>
              <w:right w:val="single" w:sz="4" w:space="0" w:color="auto"/>
            </w:tcBorders>
          </w:tcPr>
          <w:p w:rsidR="00A706FA" w:rsidRDefault="00BE41BE">
            <w:bookmarkStart w:id="14" w:name="BOARDAPPROVALDATE"/>
            <w:bookmarkEnd w:id="14"/>
            <w:r>
              <w:t>n/a</w:t>
            </w:r>
          </w:p>
        </w:tc>
      </w:tr>
    </w:tbl>
    <w:p w:rsidR="00A706FA" w:rsidRDefault="00A706FA"/>
    <w:p w:rsidR="00A706FA" w:rsidRDefault="00A706FA">
      <w:pPr>
        <w:numPr>
          <w:ilvl w:val="0"/>
          <w:numId w:val="6"/>
        </w:numPr>
        <w:tabs>
          <w:tab w:val="clear" w:pos="720"/>
          <w:tab w:val="num" w:pos="360"/>
        </w:tabs>
        <w:ind w:left="360"/>
      </w:pPr>
      <w:r>
        <w:t>Country and Sector Background</w:t>
      </w:r>
      <w:bookmarkStart w:id="15" w:name="CountrySectorBackground"/>
    </w:p>
    <w:p w:rsidR="00061B9B" w:rsidRDefault="00061B9B" w:rsidP="00061B9B">
      <w:pPr>
        <w:overflowPunct w:val="0"/>
        <w:autoSpaceDE w:val="0"/>
        <w:autoSpaceDN w:val="0"/>
        <w:adjustRightInd w:val="0"/>
        <w:spacing w:after="120"/>
        <w:jc w:val="both"/>
        <w:textAlignment w:val="baseline"/>
        <w:rPr>
          <w:b/>
        </w:rPr>
      </w:pPr>
    </w:p>
    <w:p w:rsidR="00793609" w:rsidRDefault="00061B9B" w:rsidP="006A2009">
      <w:pPr>
        <w:overflowPunct w:val="0"/>
        <w:autoSpaceDE w:val="0"/>
        <w:autoSpaceDN w:val="0"/>
        <w:adjustRightInd w:val="0"/>
        <w:spacing w:after="120"/>
        <w:jc w:val="both"/>
        <w:textAlignment w:val="baseline"/>
      </w:pPr>
      <w:r w:rsidRPr="00061B9B">
        <w:rPr>
          <w:b/>
        </w:rPr>
        <w:t xml:space="preserve">Tunisia’s </w:t>
      </w:r>
      <w:r w:rsidRPr="009B4E14">
        <w:rPr>
          <w:b/>
        </w:rPr>
        <w:t xml:space="preserve">economic </w:t>
      </w:r>
      <w:r w:rsidR="006A2009" w:rsidRPr="009B4E14">
        <w:rPr>
          <w:b/>
        </w:rPr>
        <w:t>policies have</w:t>
      </w:r>
      <w:r w:rsidR="006A2009" w:rsidRPr="00921315">
        <w:rPr>
          <w:b/>
        </w:rPr>
        <w:t xml:space="preserve"> resulted in a lack of competition, a heavy bureaucratic burden, labor rules which promote job insecurity, and governance failures in many economic sectors.</w:t>
      </w:r>
      <w:r w:rsidR="006A2009">
        <w:t xml:space="preserve"> These policies</w:t>
      </w:r>
      <w:r w:rsidR="006A2009" w:rsidRPr="00625754">
        <w:t xml:space="preserve"> </w:t>
      </w:r>
      <w:r w:rsidR="006A2009">
        <w:t xml:space="preserve">have </w:t>
      </w:r>
      <w:r w:rsidR="006A2009" w:rsidRPr="00625754">
        <w:t>deepen</w:t>
      </w:r>
      <w:r w:rsidR="006A2009">
        <w:t>ed</w:t>
      </w:r>
      <w:r w:rsidR="006A2009" w:rsidRPr="00625754">
        <w:t xml:space="preserve"> regional disparities</w:t>
      </w:r>
      <w:r w:rsidR="006A2009">
        <w:t xml:space="preserve">, promoted economic exclusion, and reduced the sustainability and reach of the country’s social safety net, all of which </w:t>
      </w:r>
      <w:r w:rsidR="006A2009" w:rsidRPr="00625754">
        <w:t xml:space="preserve">are at the core of </w:t>
      </w:r>
      <w:r w:rsidR="006A2009">
        <w:t xml:space="preserve">the many grievances Tunisians have concerning their economic opportunities. </w:t>
      </w:r>
    </w:p>
    <w:p w:rsidR="00061B9B" w:rsidRPr="00625754" w:rsidRDefault="006A2009" w:rsidP="006A2009">
      <w:pPr>
        <w:overflowPunct w:val="0"/>
        <w:autoSpaceDE w:val="0"/>
        <w:autoSpaceDN w:val="0"/>
        <w:adjustRightInd w:val="0"/>
        <w:spacing w:after="120"/>
        <w:jc w:val="both"/>
        <w:textAlignment w:val="baseline"/>
      </w:pPr>
      <w:r w:rsidRPr="00921315">
        <w:rPr>
          <w:b/>
        </w:rPr>
        <w:t>There is widespread suppo</w:t>
      </w:r>
      <w:r w:rsidR="009B4E14" w:rsidRPr="00921315">
        <w:rPr>
          <w:b/>
        </w:rPr>
        <w:t xml:space="preserve">rt in Tunisia for the idea that </w:t>
      </w:r>
      <w:r w:rsidRPr="00793609">
        <w:rPr>
          <w:b/>
        </w:rPr>
        <w:t>c</w:t>
      </w:r>
      <w:r w:rsidR="00061B9B" w:rsidRPr="00793609">
        <w:rPr>
          <w:b/>
        </w:rPr>
        <w:t xml:space="preserve">hanging the </w:t>
      </w:r>
      <w:r w:rsidRPr="00793609">
        <w:rPr>
          <w:b/>
        </w:rPr>
        <w:t xml:space="preserve">economic </w:t>
      </w:r>
      <w:r w:rsidR="00061B9B" w:rsidRPr="00793609">
        <w:rPr>
          <w:b/>
        </w:rPr>
        <w:t xml:space="preserve">system </w:t>
      </w:r>
      <w:r w:rsidRPr="00793609">
        <w:rPr>
          <w:b/>
        </w:rPr>
        <w:t xml:space="preserve">will </w:t>
      </w:r>
      <w:r w:rsidR="00061B9B" w:rsidRPr="00793609">
        <w:rPr>
          <w:b/>
        </w:rPr>
        <w:t xml:space="preserve">require </w:t>
      </w:r>
      <w:r w:rsidR="009B4E14" w:rsidRPr="00921315">
        <w:rPr>
          <w:b/>
        </w:rPr>
        <w:t xml:space="preserve">the debate and eventual adoption of </w:t>
      </w:r>
      <w:r w:rsidR="00061B9B" w:rsidRPr="00793609">
        <w:rPr>
          <w:b/>
        </w:rPr>
        <w:t xml:space="preserve">deep reforms which touch </w:t>
      </w:r>
      <w:r w:rsidRPr="00793609">
        <w:rPr>
          <w:b/>
        </w:rPr>
        <w:t xml:space="preserve">at </w:t>
      </w:r>
      <w:r w:rsidR="00061B9B" w:rsidRPr="00793609">
        <w:rPr>
          <w:b/>
        </w:rPr>
        <w:t>the core of the socio-economic model</w:t>
      </w:r>
      <w:r w:rsidR="009B4E14" w:rsidRPr="00921315">
        <w:rPr>
          <w:b/>
        </w:rPr>
        <w:t>.</w:t>
      </w:r>
      <w:r w:rsidR="00793609">
        <w:t xml:space="preserve"> </w:t>
      </w:r>
      <w:r w:rsidR="00061B9B" w:rsidRPr="00625754">
        <w:t xml:space="preserve">Adopting reforms to improve the business environment, </w:t>
      </w:r>
      <w:r w:rsidR="009B4E14" w:rsidRPr="00625754">
        <w:t>reduc</w:t>
      </w:r>
      <w:r w:rsidR="009B4E14">
        <w:t>e</w:t>
      </w:r>
      <w:r w:rsidR="009B4E14" w:rsidRPr="00625754">
        <w:t xml:space="preserve"> </w:t>
      </w:r>
      <w:r w:rsidR="00061B9B" w:rsidRPr="00625754">
        <w:t xml:space="preserve">discretion and </w:t>
      </w:r>
      <w:r w:rsidR="009B4E14" w:rsidRPr="00625754">
        <w:t>increas</w:t>
      </w:r>
      <w:r w:rsidR="009B4E14">
        <w:t>e</w:t>
      </w:r>
      <w:r w:rsidR="009B4E14" w:rsidRPr="00625754">
        <w:t xml:space="preserve"> </w:t>
      </w:r>
      <w:r w:rsidR="00061B9B" w:rsidRPr="00625754">
        <w:t xml:space="preserve">transparency in the regulatory and legal framework, </w:t>
      </w:r>
      <w:r w:rsidR="009B4E14" w:rsidRPr="00625754">
        <w:t>eliminat</w:t>
      </w:r>
      <w:r w:rsidR="009B4E14">
        <w:t>e</w:t>
      </w:r>
      <w:r w:rsidR="009B4E14" w:rsidRPr="00625754">
        <w:t xml:space="preserve"> </w:t>
      </w:r>
      <w:r w:rsidR="00061B9B" w:rsidRPr="00625754">
        <w:t xml:space="preserve">privileges and </w:t>
      </w:r>
      <w:r w:rsidR="009B4E14" w:rsidRPr="00625754">
        <w:t>remov</w:t>
      </w:r>
      <w:r w:rsidR="009B4E14">
        <w:t>e</w:t>
      </w:r>
      <w:r w:rsidR="009B4E14" w:rsidRPr="00625754">
        <w:t xml:space="preserve"> </w:t>
      </w:r>
      <w:r w:rsidR="00061B9B" w:rsidRPr="00625754">
        <w:t xml:space="preserve">monopolies/concessions , </w:t>
      </w:r>
      <w:r w:rsidR="009B4E14">
        <w:t>will</w:t>
      </w:r>
      <w:r w:rsidR="009B4E14" w:rsidRPr="00F22192">
        <w:t xml:space="preserve"> require a national debate and broad consensus</w:t>
      </w:r>
      <w:r w:rsidR="009B4E14">
        <w:t xml:space="preserve"> in order to</w:t>
      </w:r>
      <w:r w:rsidR="00061B9B" w:rsidRPr="00625754">
        <w:t xml:space="preserve"> pave the way </w:t>
      </w:r>
      <w:r w:rsidR="009B4E14">
        <w:t>for more</w:t>
      </w:r>
      <w:r w:rsidR="00061B9B" w:rsidRPr="00625754">
        <w:t xml:space="preserve"> inclusive growth and job creation in the medium-term. </w:t>
      </w:r>
      <w:r w:rsidR="009B4E14">
        <w:t>Debate over these core economic issues and Tunisia’s socio-economic model has been noticeably absent in the media.</w:t>
      </w:r>
      <w:r w:rsidR="00061B9B" w:rsidRPr="00625754">
        <w:t xml:space="preserve"> </w:t>
      </w:r>
      <w:r w:rsidR="009B4E14">
        <w:t>As a result</w:t>
      </w:r>
      <w:r w:rsidR="00061B9B" w:rsidRPr="00625754">
        <w:t xml:space="preserve">, </w:t>
      </w:r>
      <w:r w:rsidR="009B4E14">
        <w:t xml:space="preserve">many </w:t>
      </w:r>
      <w:r w:rsidR="00061B9B" w:rsidRPr="00625754">
        <w:t xml:space="preserve">Tunisians lack a concrete understanding of the </w:t>
      </w:r>
      <w:r w:rsidR="009B4E14">
        <w:t>origins</w:t>
      </w:r>
      <w:r w:rsidR="00793609">
        <w:t xml:space="preserve"> of existing economic challenges</w:t>
      </w:r>
      <w:r w:rsidR="009B4E14">
        <w:t xml:space="preserve">, the potential tradeoffs of certain reforms, and the </w:t>
      </w:r>
      <w:r w:rsidR="00061B9B" w:rsidRPr="00625754">
        <w:t>sources of and solutions to their most pressing economic challenges.</w:t>
      </w:r>
      <w:r w:rsidR="00061B9B" w:rsidRPr="00625754">
        <w:rPr>
          <w:rStyle w:val="FootnoteReference"/>
        </w:rPr>
        <w:footnoteReference w:id="1"/>
      </w:r>
      <w:r w:rsidR="00061B9B" w:rsidRPr="00625754">
        <w:t xml:space="preserve">  </w:t>
      </w:r>
    </w:p>
    <w:p w:rsidR="005A2130" w:rsidRDefault="005A2130" w:rsidP="005A2130">
      <w:pPr>
        <w:ind w:left="360"/>
      </w:pPr>
    </w:p>
    <w:bookmarkEnd w:id="15"/>
    <w:p w:rsidR="00A706FA" w:rsidRDefault="00A706FA">
      <w:pPr>
        <w:numPr>
          <w:ilvl w:val="0"/>
          <w:numId w:val="6"/>
        </w:numPr>
        <w:tabs>
          <w:tab w:val="clear" w:pos="720"/>
          <w:tab w:val="num" w:pos="360"/>
        </w:tabs>
        <w:ind w:left="360"/>
      </w:pPr>
      <w:r>
        <w:t>Objectives</w:t>
      </w:r>
      <w:bookmarkStart w:id="16" w:name="Objectives"/>
    </w:p>
    <w:p w:rsidR="00061B9B" w:rsidRDefault="00061B9B" w:rsidP="00BD4377">
      <w:pPr>
        <w:tabs>
          <w:tab w:val="left" w:pos="0"/>
        </w:tabs>
        <w:overflowPunct w:val="0"/>
        <w:autoSpaceDE w:val="0"/>
        <w:autoSpaceDN w:val="0"/>
        <w:adjustRightInd w:val="0"/>
        <w:spacing w:after="120"/>
        <w:textAlignment w:val="baseline"/>
        <w:rPr>
          <w:b/>
        </w:rPr>
      </w:pPr>
    </w:p>
    <w:p w:rsidR="00BD4377" w:rsidRPr="00EA671C" w:rsidRDefault="00BD4377" w:rsidP="00061B9B">
      <w:pPr>
        <w:tabs>
          <w:tab w:val="left" w:pos="0"/>
        </w:tabs>
        <w:overflowPunct w:val="0"/>
        <w:autoSpaceDE w:val="0"/>
        <w:autoSpaceDN w:val="0"/>
        <w:adjustRightInd w:val="0"/>
        <w:spacing w:after="120"/>
        <w:jc w:val="both"/>
        <w:textAlignment w:val="baseline"/>
      </w:pPr>
      <w:r w:rsidRPr="00BD4377">
        <w:rPr>
          <w:b/>
        </w:rPr>
        <w:t>The Development Objective is to contribute to public understanding</w:t>
      </w:r>
      <w:r w:rsidR="00793609">
        <w:rPr>
          <w:b/>
        </w:rPr>
        <w:t xml:space="preserve"> and increase public debate</w:t>
      </w:r>
      <w:r w:rsidRPr="00BD4377">
        <w:rPr>
          <w:b/>
        </w:rPr>
        <w:t xml:space="preserve"> of economic issues in Tunisia. </w:t>
      </w:r>
      <w:r w:rsidRPr="00EA671C">
        <w:t xml:space="preserve">This </w:t>
      </w:r>
      <w:r>
        <w:t>will be</w:t>
      </w:r>
      <w:r w:rsidRPr="00EA671C">
        <w:t xml:space="preserve"> achieved through the production and dissemination of a series of media products that aim to educate, inform, and provoke public debate over the key economic issues facing the country.</w:t>
      </w:r>
    </w:p>
    <w:p w:rsidR="005A2130" w:rsidRDefault="005A2130" w:rsidP="005A2130">
      <w:pPr>
        <w:overflowPunct w:val="0"/>
        <w:autoSpaceDE w:val="0"/>
        <w:autoSpaceDN w:val="0"/>
        <w:adjustRightInd w:val="0"/>
        <w:spacing w:after="240"/>
        <w:jc w:val="both"/>
        <w:textAlignment w:val="baseline"/>
      </w:pPr>
    </w:p>
    <w:p w:rsidR="005A2130" w:rsidRDefault="005A2130" w:rsidP="005A2130"/>
    <w:p w:rsidR="00A706FA" w:rsidRDefault="00A706FA"/>
    <w:p w:rsidR="00A706FA" w:rsidRDefault="00A706FA"/>
    <w:bookmarkEnd w:id="16"/>
    <w:p w:rsidR="00A706FA" w:rsidRDefault="00A706FA">
      <w:pPr>
        <w:numPr>
          <w:ilvl w:val="0"/>
          <w:numId w:val="6"/>
        </w:numPr>
        <w:tabs>
          <w:tab w:val="clear" w:pos="720"/>
          <w:tab w:val="num" w:pos="360"/>
        </w:tabs>
        <w:ind w:left="360"/>
      </w:pPr>
      <w:r>
        <w:t>Rationale for Bank Involvement</w:t>
      </w:r>
      <w:bookmarkStart w:id="17" w:name="RationaleBankInvolvement"/>
      <w:r w:rsidR="005A2130">
        <w:t>.</w:t>
      </w:r>
    </w:p>
    <w:p w:rsidR="00061B9B" w:rsidRDefault="00061B9B" w:rsidP="005A2130">
      <w:pPr>
        <w:pStyle w:val="ListParagraph"/>
        <w:tabs>
          <w:tab w:val="left" w:pos="0"/>
        </w:tabs>
        <w:overflowPunct w:val="0"/>
        <w:autoSpaceDE w:val="0"/>
        <w:autoSpaceDN w:val="0"/>
        <w:adjustRightInd w:val="0"/>
        <w:spacing w:after="120"/>
        <w:ind w:left="0"/>
        <w:textAlignment w:val="baseline"/>
        <w:rPr>
          <w:rFonts w:eastAsia="Cambria"/>
          <w:b/>
          <w:color w:val="000000"/>
        </w:rPr>
      </w:pPr>
    </w:p>
    <w:p w:rsidR="005A2130" w:rsidRPr="0037009B" w:rsidRDefault="005A2130" w:rsidP="00061B9B">
      <w:pPr>
        <w:pStyle w:val="ListParagraph"/>
        <w:tabs>
          <w:tab w:val="left" w:pos="0"/>
        </w:tabs>
        <w:overflowPunct w:val="0"/>
        <w:autoSpaceDE w:val="0"/>
        <w:autoSpaceDN w:val="0"/>
        <w:adjustRightInd w:val="0"/>
        <w:spacing w:after="120"/>
        <w:ind w:left="0"/>
        <w:jc w:val="both"/>
        <w:textAlignment w:val="baseline"/>
        <w:rPr>
          <w:rFonts w:eastAsia="Cambria"/>
        </w:rPr>
      </w:pPr>
      <w:r w:rsidRPr="00237FAF">
        <w:rPr>
          <w:rFonts w:eastAsia="Cambria"/>
          <w:b/>
          <w:color w:val="000000"/>
        </w:rPr>
        <w:t>The proposed operation is directly linked to the programmatic Governance, Opportunity and Jobs (GOJ) Development Policy Loan (DPL) series, a key component of the ISN.</w:t>
      </w:r>
      <w:r w:rsidRPr="00237FAF">
        <w:rPr>
          <w:rFonts w:eastAsia="Cambria"/>
          <w:color w:val="000000"/>
        </w:rPr>
        <w:t xml:space="preserve"> </w:t>
      </w:r>
      <w:r w:rsidRPr="00237FAF">
        <w:rPr>
          <w:rFonts w:eastAsia="Cambria"/>
          <w:bCs/>
        </w:rPr>
        <w:t xml:space="preserve">The project is fully consistent with the DPL </w:t>
      </w:r>
      <w:r>
        <w:rPr>
          <w:rFonts w:eastAsia="Cambria"/>
          <w:bCs/>
        </w:rPr>
        <w:t xml:space="preserve">series </w:t>
      </w:r>
      <w:r w:rsidRPr="00237FAF">
        <w:rPr>
          <w:rFonts w:eastAsia="Cambria"/>
          <w:bCs/>
        </w:rPr>
        <w:t xml:space="preserve">by </w:t>
      </w:r>
      <w:r w:rsidR="00793609">
        <w:rPr>
          <w:rFonts w:eastAsia="Cambria"/>
          <w:bCs/>
        </w:rPr>
        <w:t>addressing</w:t>
      </w:r>
      <w:r w:rsidR="00793609" w:rsidRPr="00237FAF">
        <w:rPr>
          <w:rFonts w:eastAsia="Cambria"/>
          <w:bCs/>
        </w:rPr>
        <w:t xml:space="preserve"> </w:t>
      </w:r>
      <w:r w:rsidRPr="00237FAF">
        <w:rPr>
          <w:rFonts w:eastAsia="Cambria"/>
          <w:bCs/>
        </w:rPr>
        <w:t xml:space="preserve">key economic reforms while addressing social disparities and improving government transparency. </w:t>
      </w:r>
      <w:r w:rsidRPr="00D311A7">
        <w:t>It seeks to promote understanding</w:t>
      </w:r>
      <w:r w:rsidR="00793609">
        <w:t>, increase public debate</w:t>
      </w:r>
      <w:r w:rsidRPr="00D311A7">
        <w:t xml:space="preserve"> and </w:t>
      </w:r>
      <w:r w:rsidR="00793609">
        <w:t xml:space="preserve">help </w:t>
      </w:r>
      <w:r w:rsidRPr="00D311A7">
        <w:t>build consensus around government reforms supported under the DPL series.</w:t>
      </w:r>
      <w:r>
        <w:t xml:space="preserve"> </w:t>
      </w:r>
      <w:r w:rsidRPr="00237FAF">
        <w:rPr>
          <w:rFonts w:eastAsia="Cambria"/>
          <w:color w:val="000000"/>
        </w:rPr>
        <w:t>The activities supported by this project, by being fully aligned with the DPL</w:t>
      </w:r>
      <w:r>
        <w:rPr>
          <w:rFonts w:eastAsia="Cambria"/>
          <w:color w:val="000000"/>
        </w:rPr>
        <w:t>s</w:t>
      </w:r>
      <w:r w:rsidRPr="00237FAF">
        <w:rPr>
          <w:rFonts w:eastAsia="Cambria"/>
          <w:color w:val="000000"/>
        </w:rPr>
        <w:t>, will facilitate the design and implementation of reforms agreed among development partners.</w:t>
      </w:r>
    </w:p>
    <w:p w:rsidR="00A706FA" w:rsidRDefault="00A706FA"/>
    <w:bookmarkEnd w:id="17"/>
    <w:p w:rsidR="00A706FA" w:rsidRDefault="00A706FA">
      <w:pPr>
        <w:numPr>
          <w:ilvl w:val="0"/>
          <w:numId w:val="6"/>
        </w:numPr>
        <w:tabs>
          <w:tab w:val="clear" w:pos="720"/>
          <w:tab w:val="num" w:pos="360"/>
        </w:tabs>
        <w:ind w:left="360"/>
      </w:pPr>
      <w:r>
        <w:t>Description</w:t>
      </w:r>
      <w:bookmarkStart w:id="18" w:name="Description"/>
    </w:p>
    <w:p w:rsidR="00061B9B" w:rsidRDefault="00061B9B" w:rsidP="005A2130">
      <w:pPr>
        <w:rPr>
          <w:b/>
        </w:rPr>
      </w:pPr>
    </w:p>
    <w:p w:rsidR="005A2130" w:rsidRPr="005A2130" w:rsidRDefault="00061B9B" w:rsidP="00061B9B">
      <w:pPr>
        <w:jc w:val="both"/>
      </w:pPr>
      <w:r>
        <w:rPr>
          <w:b/>
        </w:rPr>
        <w:t>T</w:t>
      </w:r>
      <w:r w:rsidR="005A2130" w:rsidRPr="005A2130">
        <w:rPr>
          <w:b/>
        </w:rPr>
        <w:t xml:space="preserve">he </w:t>
      </w:r>
      <w:r w:rsidR="000514F2">
        <w:rPr>
          <w:b/>
        </w:rPr>
        <w:t xml:space="preserve">recipient, a </w:t>
      </w:r>
      <w:r w:rsidR="005A2130" w:rsidRPr="005A2130">
        <w:rPr>
          <w:b/>
        </w:rPr>
        <w:t xml:space="preserve">Tunisian production company, will implement a </w:t>
      </w:r>
      <w:r>
        <w:rPr>
          <w:b/>
        </w:rPr>
        <w:t xml:space="preserve">strategy to </w:t>
      </w:r>
      <w:r w:rsidR="00793609">
        <w:rPr>
          <w:b/>
        </w:rPr>
        <w:t>raise awareness of</w:t>
      </w:r>
      <w:r w:rsidR="00793609" w:rsidRPr="005A2130">
        <w:rPr>
          <w:b/>
        </w:rPr>
        <w:t xml:space="preserve"> </w:t>
      </w:r>
      <w:r w:rsidR="005A2130" w:rsidRPr="005A2130">
        <w:rPr>
          <w:b/>
        </w:rPr>
        <w:t xml:space="preserve">and educate Tunisians about </w:t>
      </w:r>
      <w:r>
        <w:rPr>
          <w:b/>
        </w:rPr>
        <w:t xml:space="preserve">a core set </w:t>
      </w:r>
      <w:proofErr w:type="gramStart"/>
      <w:r w:rsidR="005A2130" w:rsidRPr="005A2130">
        <w:rPr>
          <w:b/>
        </w:rPr>
        <w:t xml:space="preserve">of </w:t>
      </w:r>
      <w:r>
        <w:rPr>
          <w:b/>
        </w:rPr>
        <w:t xml:space="preserve"> </w:t>
      </w:r>
      <w:r w:rsidR="005A2130" w:rsidRPr="005A2130">
        <w:rPr>
          <w:b/>
        </w:rPr>
        <w:t>development</w:t>
      </w:r>
      <w:proofErr w:type="gramEnd"/>
      <w:r w:rsidR="005A2130" w:rsidRPr="005A2130">
        <w:rPr>
          <w:b/>
        </w:rPr>
        <w:t xml:space="preserve"> policy issues through compelling multimedia programming.</w:t>
      </w:r>
      <w:r w:rsidR="000514F2">
        <w:t xml:space="preserve"> </w:t>
      </w:r>
      <w:r w:rsidRPr="00061B9B">
        <w:t>For each topic, the recipient will produce a range of programming and content intended to simplify the subject and explain to the Tunisian public practical applications, choices and opportunities related to that issue one topic every few weeks, over a period of 12 months</w:t>
      </w:r>
      <w:r>
        <w:t xml:space="preserve">. </w:t>
      </w:r>
      <w:r w:rsidR="000514F2">
        <w:t>T</w:t>
      </w:r>
      <w:r w:rsidR="005A2130" w:rsidRPr="005A2130">
        <w:t xml:space="preserve">hese reforms are at the core of the MENA strategy, affecting governance, economic and social inclusion, sustainable growth and jobs creation. </w:t>
      </w:r>
    </w:p>
    <w:p w:rsidR="00A706FA" w:rsidRDefault="00A706FA"/>
    <w:p w:rsidR="00A706FA" w:rsidRDefault="00A706FA"/>
    <w:bookmarkEnd w:id="18"/>
    <w:p w:rsidR="00A706FA" w:rsidRDefault="00A706FA">
      <w:pPr>
        <w:numPr>
          <w:ilvl w:val="0"/>
          <w:numId w:val="6"/>
        </w:numPr>
        <w:tabs>
          <w:tab w:val="clear" w:pos="720"/>
          <w:tab w:val="num" w:pos="360"/>
        </w:tabs>
        <w:ind w:left="360"/>
      </w:pPr>
      <w:r>
        <w:t>Financing</w:t>
      </w:r>
    </w:p>
    <w:p w:rsidR="00061B9B" w:rsidRDefault="00061B9B" w:rsidP="00061B9B">
      <w:pPr>
        <w:ind w:left="360"/>
      </w:pPr>
    </w:p>
    <w:tbl>
      <w:tblPr>
        <w:tblW w:w="0" w:type="auto"/>
        <w:tblLook w:val="0000" w:firstRow="0" w:lastRow="0" w:firstColumn="0" w:lastColumn="0" w:noHBand="0" w:noVBand="0"/>
      </w:tblPr>
      <w:tblGrid>
        <w:gridCol w:w="7488"/>
        <w:gridCol w:w="1368"/>
      </w:tblGrid>
      <w:tr w:rsidR="00A706FA" w:rsidTr="005A2130">
        <w:trPr>
          <w:trHeight w:val="315"/>
        </w:trPr>
        <w:tc>
          <w:tcPr>
            <w:tcW w:w="7488" w:type="dxa"/>
          </w:tcPr>
          <w:p w:rsidR="00A706FA" w:rsidRDefault="00A706FA">
            <w:r>
              <w:t>Source:</w:t>
            </w:r>
            <w:bookmarkStart w:id="19" w:name="FINANCINGTAB_PID"/>
            <w:bookmarkEnd w:id="19"/>
            <w:r w:rsidR="005A2130">
              <w:t xml:space="preserve"> MDTF</w:t>
            </w:r>
          </w:p>
        </w:tc>
        <w:tc>
          <w:tcPr>
            <w:tcW w:w="1368" w:type="dxa"/>
          </w:tcPr>
          <w:p w:rsidR="00A706FA" w:rsidRDefault="00A706FA">
            <w:pPr>
              <w:tabs>
                <w:tab w:val="decimal" w:pos="252"/>
              </w:tabs>
              <w:jc w:val="center"/>
            </w:pPr>
            <w:r>
              <w:t>($m.)</w:t>
            </w:r>
          </w:p>
        </w:tc>
      </w:tr>
      <w:tr w:rsidR="00A706FA">
        <w:tc>
          <w:tcPr>
            <w:tcW w:w="7488" w:type="dxa"/>
          </w:tcPr>
          <w:p w:rsidR="00A706FA" w:rsidRDefault="00A706FA">
            <w:pPr>
              <w:tabs>
                <w:tab w:val="right" w:pos="7200"/>
              </w:tabs>
            </w:pPr>
            <w:r>
              <w:tab/>
              <w:t>Total</w:t>
            </w:r>
          </w:p>
        </w:tc>
        <w:tc>
          <w:tcPr>
            <w:tcW w:w="1368" w:type="dxa"/>
          </w:tcPr>
          <w:p w:rsidR="00A706FA" w:rsidRDefault="00061B9B" w:rsidP="00BD4377">
            <w:pPr>
              <w:tabs>
                <w:tab w:val="decimal" w:pos="252"/>
              </w:tabs>
              <w:jc w:val="center"/>
            </w:pPr>
            <w:r>
              <w:t>0</w:t>
            </w:r>
            <w:r w:rsidR="00BD4377">
              <w:t>.6</w:t>
            </w:r>
          </w:p>
        </w:tc>
      </w:tr>
    </w:tbl>
    <w:p w:rsidR="00A706FA" w:rsidRDefault="00A706FA"/>
    <w:p w:rsidR="00A706FA" w:rsidRDefault="00A706FA">
      <w:pPr>
        <w:numPr>
          <w:ilvl w:val="0"/>
          <w:numId w:val="6"/>
        </w:numPr>
        <w:tabs>
          <w:tab w:val="clear" w:pos="720"/>
          <w:tab w:val="num" w:pos="360"/>
        </w:tabs>
        <w:ind w:left="360"/>
      </w:pPr>
      <w:r>
        <w:t>Implementation</w:t>
      </w:r>
      <w:bookmarkStart w:id="20" w:name="Implementation"/>
    </w:p>
    <w:p w:rsidR="00061B9B" w:rsidRDefault="00061B9B" w:rsidP="000514F2">
      <w:pPr>
        <w:rPr>
          <w:b/>
        </w:rPr>
      </w:pPr>
    </w:p>
    <w:p w:rsidR="005A2130" w:rsidRPr="00061B9B" w:rsidRDefault="00061B9B" w:rsidP="00061B9B">
      <w:pPr>
        <w:jc w:val="both"/>
      </w:pPr>
      <w:r>
        <w:rPr>
          <w:b/>
        </w:rPr>
        <w:t>Implementation will be carried out by the Recipient, with support by the Bank team as may be requested.</w:t>
      </w:r>
      <w:r w:rsidRPr="00061B9B">
        <w:t xml:space="preserve">  </w:t>
      </w:r>
      <w:r w:rsidR="005A2130" w:rsidRPr="00061B9B">
        <w:t xml:space="preserve">For each topic, </w:t>
      </w:r>
      <w:r w:rsidR="000514F2" w:rsidRPr="00061B9B">
        <w:t>the recipient</w:t>
      </w:r>
      <w:r w:rsidR="005A2130" w:rsidRPr="00061B9B">
        <w:t xml:space="preserve"> will produce a range of programming and content intended to simplify the subject and explain to the Tunisian public practical applications, choices and opportunities related to that issue one topic every </w:t>
      </w:r>
      <w:r>
        <w:t xml:space="preserve">few </w:t>
      </w:r>
      <w:r w:rsidR="005A2130" w:rsidRPr="00061B9B">
        <w:t xml:space="preserve">weeks, over a period of 12-18 months. </w:t>
      </w:r>
    </w:p>
    <w:p w:rsidR="00A706FA" w:rsidRDefault="00A706FA"/>
    <w:p w:rsidR="00A706FA" w:rsidRDefault="00A706FA"/>
    <w:bookmarkEnd w:id="20"/>
    <w:p w:rsidR="00A706FA" w:rsidRDefault="00A706FA">
      <w:pPr>
        <w:numPr>
          <w:ilvl w:val="0"/>
          <w:numId w:val="6"/>
        </w:numPr>
        <w:tabs>
          <w:tab w:val="clear" w:pos="720"/>
          <w:tab w:val="num" w:pos="360"/>
        </w:tabs>
        <w:ind w:left="360"/>
      </w:pPr>
      <w:r>
        <w:t>Sustainability</w:t>
      </w:r>
      <w:bookmarkStart w:id="21" w:name="Sustainability"/>
    </w:p>
    <w:p w:rsidR="00061B9B" w:rsidRDefault="00061B9B" w:rsidP="005A2130">
      <w:pPr>
        <w:pStyle w:val="ListParagraph"/>
        <w:autoSpaceDE w:val="0"/>
        <w:autoSpaceDN w:val="0"/>
        <w:adjustRightInd w:val="0"/>
        <w:spacing w:after="120"/>
        <w:ind w:left="0"/>
        <w:contextualSpacing w:val="0"/>
        <w:jc w:val="both"/>
        <w:rPr>
          <w:bCs/>
          <w:color w:val="000000"/>
        </w:rPr>
      </w:pPr>
    </w:p>
    <w:p w:rsidR="005A2130" w:rsidRDefault="000514F2" w:rsidP="005A2130">
      <w:pPr>
        <w:pStyle w:val="ListParagraph"/>
        <w:autoSpaceDE w:val="0"/>
        <w:autoSpaceDN w:val="0"/>
        <w:adjustRightInd w:val="0"/>
        <w:spacing w:after="120"/>
        <w:ind w:left="0"/>
        <w:contextualSpacing w:val="0"/>
        <w:jc w:val="both"/>
        <w:rPr>
          <w:i/>
          <w:color w:val="000000"/>
        </w:rPr>
      </w:pPr>
      <w:r w:rsidRPr="00061B9B">
        <w:rPr>
          <w:b/>
          <w:bCs/>
          <w:color w:val="000000"/>
        </w:rPr>
        <w:t>The recipient</w:t>
      </w:r>
      <w:r w:rsidR="005A2130" w:rsidRPr="00061B9B">
        <w:rPr>
          <w:b/>
          <w:bCs/>
          <w:color w:val="000000"/>
        </w:rPr>
        <w:t xml:space="preserve"> will gauge </w:t>
      </w:r>
      <w:r w:rsidR="005A2130" w:rsidRPr="00061B9B">
        <w:rPr>
          <w:b/>
          <w:color w:val="000000"/>
        </w:rPr>
        <w:t>interest from media partners in producing similar content in the future.</w:t>
      </w:r>
      <w:r w:rsidR="005A2130">
        <w:rPr>
          <w:color w:val="000000"/>
        </w:rPr>
        <w:t xml:space="preserve"> The commercial nature of the initiative, through the use of outside sponsors, will help ensure the sustainability of the project past the end of Trust Fund financing.</w:t>
      </w:r>
    </w:p>
    <w:p w:rsidR="00A706FA" w:rsidRDefault="00A706FA"/>
    <w:bookmarkEnd w:id="21"/>
    <w:p w:rsidR="00A706FA" w:rsidRDefault="00A706FA">
      <w:pPr>
        <w:numPr>
          <w:ilvl w:val="0"/>
          <w:numId w:val="6"/>
        </w:numPr>
        <w:tabs>
          <w:tab w:val="clear" w:pos="720"/>
          <w:tab w:val="num" w:pos="360"/>
        </w:tabs>
        <w:ind w:left="360"/>
      </w:pPr>
      <w:r>
        <w:lastRenderedPageBreak/>
        <w:t>Lessons Learned from Past Operations in the Country/Sector</w:t>
      </w:r>
      <w:bookmarkStart w:id="22" w:name="LessonsLearned"/>
    </w:p>
    <w:p w:rsidR="00061B9B" w:rsidRDefault="00061B9B" w:rsidP="00061B9B">
      <w:pPr>
        <w:ind w:left="360"/>
      </w:pPr>
    </w:p>
    <w:p w:rsidR="00A706FA" w:rsidRDefault="005A2130">
      <w:r>
        <w:t>N/A</w:t>
      </w:r>
    </w:p>
    <w:p w:rsidR="00A706FA" w:rsidRDefault="00A706FA"/>
    <w:bookmarkEnd w:id="22"/>
    <w:p w:rsidR="00A706FA" w:rsidRDefault="00A706FA">
      <w:pPr>
        <w:numPr>
          <w:ilvl w:val="0"/>
          <w:numId w:val="6"/>
        </w:numPr>
        <w:tabs>
          <w:tab w:val="clear" w:pos="720"/>
          <w:tab w:val="num" w:pos="360"/>
        </w:tabs>
        <w:ind w:left="360"/>
      </w:pPr>
      <w:r>
        <w:t>Safeguard Policies (including public consultation)</w:t>
      </w:r>
      <w:bookmarkStart w:id="23" w:name="SafeguardPolicies"/>
    </w:p>
    <w:p w:rsidR="00061B9B" w:rsidRDefault="00061B9B" w:rsidP="00061B9B">
      <w:pPr>
        <w:ind w:left="360"/>
      </w:pPr>
    </w:p>
    <w:p w:rsidR="00A706FA" w:rsidRDefault="005A2130">
      <w:r>
        <w:t>N/A</w:t>
      </w:r>
    </w:p>
    <w:p w:rsidR="00A706FA" w:rsidRDefault="00A706FA"/>
    <w:bookmarkEnd w:id="23"/>
    <w:p w:rsidR="00A706FA" w:rsidRDefault="00A706FA">
      <w:pPr>
        <w:numPr>
          <w:ilvl w:val="0"/>
          <w:numId w:val="6"/>
        </w:numPr>
        <w:tabs>
          <w:tab w:val="clear" w:pos="720"/>
          <w:tab w:val="num" w:pos="360"/>
        </w:tabs>
        <w:ind w:left="360"/>
      </w:pPr>
      <w:r>
        <w:t>List of Factual Technical Documents</w:t>
      </w:r>
      <w:bookmarkStart w:id="24" w:name="FactualTechnicalDocuments"/>
    </w:p>
    <w:p w:rsidR="00061B9B" w:rsidRDefault="00061B9B" w:rsidP="00061B9B">
      <w:pPr>
        <w:ind w:left="360"/>
      </w:pPr>
    </w:p>
    <w:p w:rsidR="00A706FA" w:rsidRDefault="005A2130">
      <w:r>
        <w:t>N/A</w:t>
      </w:r>
    </w:p>
    <w:p w:rsidR="00A706FA" w:rsidRDefault="00A706FA"/>
    <w:bookmarkEnd w:id="24"/>
    <w:p w:rsidR="00A706FA" w:rsidRDefault="00A706FA">
      <w:pPr>
        <w:numPr>
          <w:ilvl w:val="0"/>
          <w:numId w:val="6"/>
        </w:numPr>
        <w:tabs>
          <w:tab w:val="clear" w:pos="720"/>
          <w:tab w:val="num" w:pos="360"/>
        </w:tabs>
        <w:ind w:left="360"/>
      </w:pPr>
      <w:r>
        <w:t>Contact point</w:t>
      </w:r>
    </w:p>
    <w:p w:rsidR="00061B9B" w:rsidRDefault="00061B9B" w:rsidP="00061B9B">
      <w:pPr>
        <w:ind w:left="360"/>
      </w:pPr>
    </w:p>
    <w:p w:rsidR="00A706FA" w:rsidRDefault="005A2130">
      <w:bookmarkStart w:id="25" w:name="ContactInfo"/>
      <w:bookmarkEnd w:id="25"/>
      <w:r>
        <w:t>Antonio Nucifora, Task Team Leader</w:t>
      </w:r>
    </w:p>
    <w:p w:rsidR="00A706FA" w:rsidRDefault="00A706FA"/>
    <w:p w:rsidR="00A706FA" w:rsidRDefault="00A706FA">
      <w:pPr>
        <w:numPr>
          <w:ilvl w:val="0"/>
          <w:numId w:val="6"/>
        </w:numPr>
        <w:tabs>
          <w:tab w:val="clear" w:pos="720"/>
          <w:tab w:val="num" w:pos="360"/>
        </w:tabs>
        <w:ind w:left="360"/>
      </w:pPr>
      <w:r>
        <w:t>For more information contact:</w:t>
      </w:r>
    </w:p>
    <w:p w:rsidR="00061B9B" w:rsidRDefault="00061B9B" w:rsidP="00061B9B">
      <w:pPr>
        <w:ind w:left="360"/>
      </w:pPr>
    </w:p>
    <w:p w:rsidR="00A706FA" w:rsidRDefault="00A706FA">
      <w:pPr>
        <w:ind w:left="720"/>
      </w:pPr>
      <w:r>
        <w:t xml:space="preserve">The </w:t>
      </w:r>
      <w:proofErr w:type="spellStart"/>
      <w:r>
        <w:t>InfoShop</w:t>
      </w:r>
      <w:proofErr w:type="spellEnd"/>
    </w:p>
    <w:p w:rsidR="00A706FA" w:rsidRDefault="00A706FA">
      <w:pPr>
        <w:ind w:left="720"/>
      </w:pPr>
      <w:r>
        <w:t>The World Bank</w:t>
      </w:r>
    </w:p>
    <w:p w:rsidR="00A706FA" w:rsidRDefault="00A706FA">
      <w:pPr>
        <w:ind w:left="720"/>
      </w:pPr>
      <w:smartTag w:uri="urn:schemas-microsoft-com:office:smarttags" w:element="Street">
        <w:smartTag w:uri="urn:schemas-microsoft-com:office:smarttags" w:element="address">
          <w:r>
            <w:t>1818 H Street, NW</w:t>
          </w:r>
        </w:smartTag>
      </w:smartTag>
    </w:p>
    <w:p w:rsidR="00A706FA" w:rsidRDefault="00A706FA">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20433</w:t>
          </w:r>
        </w:smartTag>
      </w:smartTag>
    </w:p>
    <w:p w:rsidR="00A706FA" w:rsidRDefault="00A706FA">
      <w:pPr>
        <w:ind w:left="720"/>
      </w:pPr>
      <w:r>
        <w:t>Telephone:  (202) 458-</w:t>
      </w:r>
      <w:r w:rsidR="00681AD4">
        <w:t>4500</w:t>
      </w:r>
    </w:p>
    <w:p w:rsidR="00A706FA" w:rsidRDefault="00A706FA">
      <w:pPr>
        <w:ind w:left="720"/>
      </w:pPr>
      <w:r>
        <w:t>Fax:  (202) 522-1500</w:t>
      </w:r>
    </w:p>
    <w:p w:rsidR="00681AD4" w:rsidRPr="00681AD4" w:rsidRDefault="00681AD4">
      <w:pPr>
        <w:ind w:left="720"/>
      </w:pPr>
      <w:r>
        <w:t xml:space="preserve">Email: </w:t>
      </w:r>
      <w:r w:rsidRPr="00681AD4">
        <w:t>pic@worldbank.org</w:t>
      </w:r>
    </w:p>
    <w:p w:rsidR="00A706FA" w:rsidRDefault="00A706FA">
      <w:pPr>
        <w:ind w:left="720"/>
      </w:pPr>
      <w:r>
        <w:t>Web: http://www.worldbank.org/infoshop</w:t>
      </w:r>
    </w:p>
    <w:p w:rsidR="00A706FA" w:rsidRDefault="00A706FA"/>
    <w:sectPr w:rsidR="00A706FA" w:rsidSect="00E91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643" w:rsidRDefault="00216643" w:rsidP="005A2130">
      <w:r>
        <w:separator/>
      </w:r>
    </w:p>
  </w:endnote>
  <w:endnote w:type="continuationSeparator" w:id="0">
    <w:p w:rsidR="00216643" w:rsidRDefault="00216643" w:rsidP="005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643" w:rsidRDefault="00216643" w:rsidP="005A2130">
      <w:r>
        <w:separator/>
      </w:r>
    </w:p>
  </w:footnote>
  <w:footnote w:type="continuationSeparator" w:id="0">
    <w:p w:rsidR="00216643" w:rsidRDefault="00216643" w:rsidP="005A2130">
      <w:r>
        <w:continuationSeparator/>
      </w:r>
    </w:p>
  </w:footnote>
  <w:footnote w:id="1">
    <w:p w:rsidR="00061B9B" w:rsidRPr="0049354B" w:rsidRDefault="00061B9B" w:rsidP="00061B9B">
      <w:pPr>
        <w:jc w:val="both"/>
        <w:rPr>
          <w:sz w:val="16"/>
          <w:szCs w:val="20"/>
        </w:rPr>
      </w:pPr>
      <w:r w:rsidRPr="0049354B">
        <w:rPr>
          <w:rStyle w:val="FootnoteReference"/>
          <w:sz w:val="16"/>
        </w:rPr>
        <w:footnoteRef/>
      </w:r>
      <w:r w:rsidRPr="0049354B">
        <w:rPr>
          <w:sz w:val="16"/>
        </w:rPr>
        <w:t xml:space="preserve"> A survey conducted by the National Democratic Institute</w:t>
      </w:r>
      <w:r>
        <w:rPr>
          <w:sz w:val="16"/>
        </w:rPr>
        <w:t xml:space="preserve"> (NDI)</w:t>
      </w:r>
      <w:r w:rsidRPr="0049354B">
        <w:rPr>
          <w:sz w:val="16"/>
        </w:rPr>
        <w:t xml:space="preserve"> in July 2012 found that “</w:t>
      </w:r>
      <w:r w:rsidRPr="0049354B">
        <w:rPr>
          <w:color w:val="222222"/>
          <w:sz w:val="16"/>
          <w:szCs w:val="17"/>
          <w:shd w:val="clear" w:color="auto" w:fill="FFFFFF"/>
        </w:rPr>
        <w:t>low awareness of government plans for economic development coupled with</w:t>
      </w:r>
      <w:r w:rsidRPr="0049354B">
        <w:rPr>
          <w:color w:val="222222"/>
          <w:sz w:val="16"/>
        </w:rPr>
        <w:t> </w:t>
      </w:r>
      <w:r w:rsidRPr="0049354B">
        <w:rPr>
          <w:color w:val="222222"/>
          <w:sz w:val="16"/>
          <w:szCs w:val="17"/>
          <w:shd w:val="clear" w:color="auto" w:fill="FFFFFF"/>
        </w:rPr>
        <w:t xml:space="preserve">disagreement over models for job creation (drove) participant frustration.” See </w:t>
      </w:r>
      <w:proofErr w:type="spellStart"/>
      <w:r w:rsidRPr="0049354B">
        <w:rPr>
          <w:color w:val="222222"/>
          <w:sz w:val="16"/>
          <w:szCs w:val="17"/>
          <w:shd w:val="clear" w:color="auto" w:fill="FFFFFF"/>
        </w:rPr>
        <w:t>Rowsell</w:t>
      </w:r>
      <w:proofErr w:type="spellEnd"/>
      <w:r w:rsidRPr="0049354B">
        <w:rPr>
          <w:color w:val="222222"/>
          <w:sz w:val="16"/>
          <w:szCs w:val="17"/>
          <w:shd w:val="clear" w:color="auto" w:fill="FFFFFF"/>
        </w:rPr>
        <w:t xml:space="preserve">, Nicole and </w:t>
      </w:r>
      <w:proofErr w:type="spellStart"/>
      <w:r w:rsidRPr="0049354B">
        <w:rPr>
          <w:color w:val="222222"/>
          <w:sz w:val="16"/>
          <w:szCs w:val="17"/>
          <w:shd w:val="clear" w:color="auto" w:fill="FFFFFF"/>
        </w:rPr>
        <w:t>Asma</w:t>
      </w:r>
      <w:proofErr w:type="spellEnd"/>
      <w:r w:rsidRPr="0049354B">
        <w:rPr>
          <w:color w:val="222222"/>
          <w:sz w:val="16"/>
          <w:szCs w:val="17"/>
          <w:shd w:val="clear" w:color="auto" w:fill="FFFFFF"/>
        </w:rPr>
        <w:t xml:space="preserve"> Ben </w:t>
      </w:r>
      <w:proofErr w:type="spellStart"/>
      <w:r w:rsidRPr="0049354B">
        <w:rPr>
          <w:color w:val="222222"/>
          <w:sz w:val="16"/>
          <w:szCs w:val="17"/>
          <w:shd w:val="clear" w:color="auto" w:fill="FFFFFF"/>
        </w:rPr>
        <w:t>Yahia</w:t>
      </w:r>
      <w:proofErr w:type="spellEnd"/>
      <w:r w:rsidRPr="0049354B">
        <w:rPr>
          <w:color w:val="222222"/>
          <w:sz w:val="16"/>
          <w:szCs w:val="17"/>
          <w:shd w:val="clear" w:color="auto" w:fill="FFFFFF"/>
        </w:rPr>
        <w:t xml:space="preserve"> &lt;</w:t>
      </w:r>
      <w:r w:rsidRPr="0049354B">
        <w:rPr>
          <w:sz w:val="16"/>
        </w:rPr>
        <w:t xml:space="preserve"> </w:t>
      </w:r>
      <w:hyperlink r:id="rId1" w:history="1">
        <w:r w:rsidRPr="0049354B">
          <w:rPr>
            <w:rStyle w:val="Hyperlink"/>
            <w:sz w:val="16"/>
            <w:szCs w:val="17"/>
            <w:shd w:val="clear" w:color="auto" w:fill="FFFFFF"/>
          </w:rPr>
          <w:t>http://bit.ly/S6yJbr</w:t>
        </w:r>
      </w:hyperlink>
      <w:r w:rsidRPr="0049354B">
        <w:rPr>
          <w:color w:val="222222"/>
          <w:sz w:val="16"/>
          <w:szCs w:val="17"/>
          <w:shd w:val="clear" w:color="auto" w:fill="FFFFFF"/>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5593A"/>
    <w:multiLevelType w:val="hybridMultilevel"/>
    <w:tmpl w:val="206E6D00"/>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55FB0"/>
    <w:multiLevelType w:val="hybridMultilevel"/>
    <w:tmpl w:val="5998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374816"/>
    <w:multiLevelType w:val="hybridMultilevel"/>
    <w:tmpl w:val="950A49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529A2A57"/>
    <w:multiLevelType w:val="hybridMultilevel"/>
    <w:tmpl w:val="CB421FDC"/>
    <w:lvl w:ilvl="0" w:tplc="7E9219C8">
      <w:start w:val="1"/>
      <w:numFmt w:val="lowerRoman"/>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9"/>
  </w:num>
  <w:num w:numId="4">
    <w:abstractNumId w:val="3"/>
  </w:num>
  <w:num w:numId="5">
    <w:abstractNumId w:val="6"/>
  </w:num>
  <w:num w:numId="6">
    <w:abstractNumId w:val="0"/>
  </w:num>
  <w:num w:numId="7">
    <w:abstractNumId w:val="1"/>
  </w:num>
  <w:num w:numId="8">
    <w:abstractNumId w:val="7"/>
  </w:num>
  <w:num w:numId="9">
    <w:abstractNumId w:val="2"/>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Churchill">
    <w15:presenceInfo w15:providerId="Windows Live" w15:userId="ba710385c5c0e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9"/>
    <w:rsid w:val="000514F2"/>
    <w:rsid w:val="00061B9B"/>
    <w:rsid w:val="00182747"/>
    <w:rsid w:val="00216643"/>
    <w:rsid w:val="002F3AF0"/>
    <w:rsid w:val="002F6286"/>
    <w:rsid w:val="00474046"/>
    <w:rsid w:val="004B71E0"/>
    <w:rsid w:val="004C58B5"/>
    <w:rsid w:val="005136D1"/>
    <w:rsid w:val="005422E0"/>
    <w:rsid w:val="005A2130"/>
    <w:rsid w:val="006461C9"/>
    <w:rsid w:val="00681AD4"/>
    <w:rsid w:val="006A2009"/>
    <w:rsid w:val="00793609"/>
    <w:rsid w:val="007F7AD0"/>
    <w:rsid w:val="00863D01"/>
    <w:rsid w:val="00921315"/>
    <w:rsid w:val="00936E11"/>
    <w:rsid w:val="009B4E14"/>
    <w:rsid w:val="00A706FA"/>
    <w:rsid w:val="00AE5138"/>
    <w:rsid w:val="00BD4377"/>
    <w:rsid w:val="00BE41BE"/>
    <w:rsid w:val="00CC4A4A"/>
    <w:rsid w:val="00CF57E6"/>
    <w:rsid w:val="00E20CB9"/>
    <w:rsid w:val="00E91D2C"/>
    <w:rsid w:val="00EC5EEE"/>
    <w:rsid w:val="00F15C50"/>
    <w:rsid w:val="00F43DF0"/>
    <w:rsid w:val="00F50ED8"/>
    <w:rsid w:val="00F6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uiPriority w:val="99"/>
    <w:rsid w:val="005A2130"/>
    <w:rPr>
      <w:color w:val="0000FF"/>
      <w:u w:val="single"/>
    </w:rPr>
  </w:style>
  <w:style w:type="paragraph" w:styleId="FootnoteText">
    <w:name w:val="footnote text"/>
    <w:aliases w:val="single space,footnote text,fn,FOOTNOTES,Heading 1 Char1,Titre 1-Niger Char1,Char,1 Char1,Fußnotentext Char,Footnote Text Char1,Footnote Text Char2 Char,Footnote Text Char1 Char Char,Footnote Text Char2 Char Char Char,ADB"/>
    <w:basedOn w:val="Normal"/>
    <w:link w:val="FootnoteTextChar"/>
    <w:rsid w:val="005A2130"/>
    <w:rPr>
      <w:sz w:val="20"/>
      <w:szCs w:val="20"/>
    </w:rPr>
  </w:style>
  <w:style w:type="character" w:customStyle="1" w:styleId="FootnoteTextChar">
    <w:name w:val="Footnote Text Char"/>
    <w:aliases w:val="single space Char,footnote text Char,fn Char,FOOTNOTES Char,Heading 1 Char1 Char,Titre 1-Niger Char1 Char,Char Char,1 Char1 Char,Fußnotentext Char Char,Footnote Text Char1 Char,Footnote Text Char2 Char Char,ADB Char"/>
    <w:basedOn w:val="DefaultParagraphFont"/>
    <w:link w:val="FootnoteText"/>
    <w:rsid w:val="005A2130"/>
  </w:style>
  <w:style w:type="character" w:styleId="FootnoteReference">
    <w:name w:val="footnote reference"/>
    <w:aliases w:val="Error-Fußnotenzeichen5,Error-Fußnotenzeichen6,Error-Fußnotenzeichen3,Footnote Reference1,ftref, BVI fnr,BVI fnr,Error-Fu?notenzeichen5,Error-Fu?notenzeichen6,Error-Fu?notenzeichen3,referencia nota al pie,Ref,de nota al pie,16 Point,fr"/>
    <w:basedOn w:val="DefaultParagraphFont"/>
    <w:rsid w:val="005A2130"/>
    <w:rPr>
      <w:vertAlign w:val="superscript"/>
    </w:rPr>
  </w:style>
  <w:style w:type="character" w:styleId="EndnoteReference">
    <w:name w:val="endnote reference"/>
    <w:basedOn w:val="DefaultParagraphFont"/>
    <w:uiPriority w:val="99"/>
    <w:unhideWhenUsed/>
    <w:rsid w:val="005A2130"/>
    <w:rPr>
      <w:vertAlign w:val="superscript"/>
    </w:rPr>
  </w:style>
  <w:style w:type="paragraph" w:styleId="ListParagraph">
    <w:name w:val="List Paragraph"/>
    <w:basedOn w:val="Normal"/>
    <w:uiPriority w:val="34"/>
    <w:qFormat/>
    <w:rsid w:val="005A2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uiPriority w:val="99"/>
    <w:rsid w:val="005A2130"/>
    <w:rPr>
      <w:color w:val="0000FF"/>
      <w:u w:val="single"/>
    </w:rPr>
  </w:style>
  <w:style w:type="paragraph" w:styleId="FootnoteText">
    <w:name w:val="footnote text"/>
    <w:aliases w:val="single space,footnote text,fn,FOOTNOTES,Heading 1 Char1,Titre 1-Niger Char1,Char,1 Char1,Fußnotentext Char,Footnote Text Char1,Footnote Text Char2 Char,Footnote Text Char1 Char Char,Footnote Text Char2 Char Char Char,ADB"/>
    <w:basedOn w:val="Normal"/>
    <w:link w:val="FootnoteTextChar"/>
    <w:rsid w:val="005A2130"/>
    <w:rPr>
      <w:sz w:val="20"/>
      <w:szCs w:val="20"/>
    </w:rPr>
  </w:style>
  <w:style w:type="character" w:customStyle="1" w:styleId="FootnoteTextChar">
    <w:name w:val="Footnote Text Char"/>
    <w:aliases w:val="single space Char,footnote text Char,fn Char,FOOTNOTES Char,Heading 1 Char1 Char,Titre 1-Niger Char1 Char,Char Char,1 Char1 Char,Fußnotentext Char Char,Footnote Text Char1 Char,Footnote Text Char2 Char Char,ADB Char"/>
    <w:basedOn w:val="DefaultParagraphFont"/>
    <w:link w:val="FootnoteText"/>
    <w:rsid w:val="005A2130"/>
  </w:style>
  <w:style w:type="character" w:styleId="FootnoteReference">
    <w:name w:val="footnote reference"/>
    <w:aliases w:val="Error-Fußnotenzeichen5,Error-Fußnotenzeichen6,Error-Fußnotenzeichen3,Footnote Reference1,ftref, BVI fnr,BVI fnr,Error-Fu?notenzeichen5,Error-Fu?notenzeichen6,Error-Fu?notenzeichen3,referencia nota al pie,Ref,de nota al pie,16 Point,fr"/>
    <w:basedOn w:val="DefaultParagraphFont"/>
    <w:rsid w:val="005A2130"/>
    <w:rPr>
      <w:vertAlign w:val="superscript"/>
    </w:rPr>
  </w:style>
  <w:style w:type="character" w:styleId="EndnoteReference">
    <w:name w:val="endnote reference"/>
    <w:basedOn w:val="DefaultParagraphFont"/>
    <w:uiPriority w:val="99"/>
    <w:unhideWhenUsed/>
    <w:rsid w:val="005A2130"/>
    <w:rPr>
      <w:vertAlign w:val="superscript"/>
    </w:rPr>
  </w:style>
  <w:style w:type="paragraph" w:styleId="ListParagraph">
    <w:name w:val="List Paragraph"/>
    <w:basedOn w:val="Normal"/>
    <w:uiPriority w:val="34"/>
    <w:qFormat/>
    <w:rsid w:val="005A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it.ly/S6yJ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CE62D-BEBF-4ACC-9A1B-52855DCE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687</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Lina Janenaite</cp:lastModifiedBy>
  <cp:revision>4</cp:revision>
  <cp:lastPrinted>2014-04-11T21:15:00Z</cp:lastPrinted>
  <dcterms:created xsi:type="dcterms:W3CDTF">2014-04-07T13:58:00Z</dcterms:created>
  <dcterms:modified xsi:type="dcterms:W3CDTF">2014-04-11T21:15:00Z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AB7278</vt:lpwstr>
  </property>
</Properties>
</file>