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 of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World Bank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Report No: </w:t>
      </w:r>
      <w:r w:rsidR="00890AA4">
        <w:rPr>
          <w:color w:val="000000"/>
          <w:sz w:val="22"/>
          <w:szCs w:val="22"/>
        </w:rPr>
        <w:t>80202-PE</w:t>
      </w:r>
      <w:bookmarkStart w:id="0" w:name="_GoBack"/>
      <w:bookmarkEnd w:id="0"/>
    </w:p>
    <w:p w:rsidR="007C16AD" w:rsidRPr="0077775C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 w:themeColor="text1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Restructuring PAPER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ON A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PROP</w:t>
      </w:r>
      <w:r w:rsidRPr="006D1706">
        <w:rPr>
          <w:caps/>
          <w:color w:val="000000"/>
          <w:szCs w:val="22"/>
        </w:rPr>
        <w:t xml:space="preserve">OSED </w:t>
      </w:r>
      <w:r>
        <w:rPr>
          <w:caps/>
          <w:color w:val="000000"/>
          <w:szCs w:val="22"/>
        </w:rPr>
        <w:t>Project restructuring</w:t>
      </w:r>
      <w:r w:rsidRPr="006D1706">
        <w:rPr>
          <w:caps/>
          <w:color w:val="000000"/>
          <w:szCs w:val="22"/>
        </w:rPr>
        <w:t xml:space="preserve"> 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 xml:space="preserve">of 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t xml:space="preserve">SECOND PHASE APL OF THE HEALTH REFORM PROGRAM </w:t>
      </w:r>
      <w:r>
        <w:rPr>
          <w:caps/>
          <w:color w:val="000000"/>
          <w:szCs w:val="22"/>
        </w:rPr>
        <w:t>PROJECT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 xml:space="preserve"> </w:t>
      </w:r>
      <w:r w:rsidRPr="00C00D85">
        <w:t>(P095563</w:t>
      </w:r>
      <w:r>
        <w:t>)</w:t>
      </w:r>
      <w:r>
        <w:rPr>
          <w:caps/>
          <w:color w:val="000000"/>
          <w:szCs w:val="22"/>
        </w:rPr>
        <w:t xml:space="preserve"> 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rPr>
          <w:color w:val="000000"/>
          <w:szCs w:val="22"/>
        </w:rPr>
        <w:t>FEBRUARY 17, 2009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TO THE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>
        <w:rPr>
          <w:caps/>
          <w:color w:val="000000"/>
          <w:szCs w:val="22"/>
        </w:rPr>
        <w:t>REPUBLIC OF PERU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Pr="00E52089" w:rsidRDefault="006E6431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JUNE </w:t>
      </w:r>
      <w:r w:rsidR="00FB146A">
        <w:rPr>
          <w:color w:val="000000"/>
          <w:szCs w:val="22"/>
        </w:rPr>
        <w:t>2</w:t>
      </w:r>
      <w:r w:rsidR="00F955C4">
        <w:rPr>
          <w:color w:val="000000"/>
          <w:szCs w:val="22"/>
        </w:rPr>
        <w:t>1</w:t>
      </w:r>
      <w:r w:rsidR="007C16AD">
        <w:rPr>
          <w:color w:val="000000"/>
          <w:szCs w:val="22"/>
        </w:rPr>
        <w:t>, 2011</w:t>
      </w: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7C16AD" w:rsidRDefault="007C16AD" w:rsidP="007C16AD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7C16AD" w:rsidRDefault="007C16AD" w:rsidP="007C16AD">
      <w:pPr>
        <w:rPr>
          <w:color w:val="000000"/>
          <w:szCs w:val="22"/>
        </w:rPr>
      </w:pPr>
    </w:p>
    <w:p w:rsidR="007C16AD" w:rsidRDefault="007C16AD" w:rsidP="007C16AD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7C16AD" w:rsidRDefault="007C16AD" w:rsidP="007C16AD">
      <w:pPr>
        <w:jc w:val="center"/>
      </w:pPr>
      <w:r>
        <w:rPr>
          <w:color w:val="000000"/>
          <w:szCs w:val="22"/>
        </w:rPr>
        <w:t>ABBREVIATIONS AND ACRONYMS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222"/>
        <w:gridCol w:w="7634"/>
      </w:tblGrid>
      <w:tr w:rsidR="007C16AD" w:rsidTr="007A4C5A">
        <w:tc>
          <w:tcPr>
            <w:tcW w:w="1222" w:type="dxa"/>
          </w:tcPr>
          <w:p w:rsidR="007C16AD" w:rsidRDefault="007C16AD" w:rsidP="007A4C5A"/>
        </w:tc>
        <w:tc>
          <w:tcPr>
            <w:tcW w:w="7634" w:type="dxa"/>
          </w:tcPr>
          <w:p w:rsidR="007C16AD" w:rsidRDefault="007C16AD" w:rsidP="007A4C5A"/>
          <w:p w:rsidR="00F955C4" w:rsidRDefault="00F955C4" w:rsidP="007A4C5A"/>
          <w:p w:rsidR="00F955C4" w:rsidRDefault="00F955C4" w:rsidP="007A4C5A"/>
        </w:tc>
      </w:tr>
      <w:tr w:rsidR="007C16AD" w:rsidTr="007A4C5A">
        <w:tc>
          <w:tcPr>
            <w:tcW w:w="1222" w:type="dxa"/>
          </w:tcPr>
          <w:p w:rsidR="007C16AD" w:rsidRDefault="007C16AD" w:rsidP="007A4C5A">
            <w:r>
              <w:t>APL</w:t>
            </w:r>
          </w:p>
          <w:p w:rsidR="007C16AD" w:rsidRDefault="007C16AD" w:rsidP="007A4C5A">
            <w:r>
              <w:t>GoP</w:t>
            </w:r>
          </w:p>
        </w:tc>
        <w:tc>
          <w:tcPr>
            <w:tcW w:w="7634" w:type="dxa"/>
          </w:tcPr>
          <w:p w:rsidR="007C16AD" w:rsidRDefault="007C16AD" w:rsidP="007A4C5A">
            <w:r>
              <w:t>Adaptable Program Loan</w:t>
            </w:r>
          </w:p>
          <w:p w:rsidR="007C16AD" w:rsidRDefault="007C16AD" w:rsidP="007A4C5A">
            <w:r>
              <w:t>Government of Peru</w:t>
            </w:r>
          </w:p>
        </w:tc>
      </w:tr>
      <w:tr w:rsidR="007C16AD" w:rsidTr="007A4C5A">
        <w:tc>
          <w:tcPr>
            <w:tcW w:w="1222" w:type="dxa"/>
          </w:tcPr>
          <w:p w:rsidR="007C16AD" w:rsidRDefault="007C16AD" w:rsidP="007A4C5A">
            <w:r>
              <w:t>MINSA</w:t>
            </w:r>
          </w:p>
        </w:tc>
        <w:tc>
          <w:tcPr>
            <w:tcW w:w="7634" w:type="dxa"/>
          </w:tcPr>
          <w:p w:rsidR="007C16AD" w:rsidRDefault="007C16AD" w:rsidP="007A4C5A">
            <w:r>
              <w:t>Ministry of Health</w:t>
            </w:r>
          </w:p>
        </w:tc>
      </w:tr>
      <w:tr w:rsidR="007C16AD" w:rsidTr="007A4C5A">
        <w:tc>
          <w:tcPr>
            <w:tcW w:w="1222" w:type="dxa"/>
          </w:tcPr>
          <w:p w:rsidR="007C16AD" w:rsidRDefault="007C16AD" w:rsidP="007A4C5A">
            <w:r>
              <w:t>PDO</w:t>
            </w:r>
          </w:p>
        </w:tc>
        <w:tc>
          <w:tcPr>
            <w:tcW w:w="7634" w:type="dxa"/>
          </w:tcPr>
          <w:p w:rsidR="007C16AD" w:rsidRDefault="007C16AD" w:rsidP="007A4C5A">
            <w:r>
              <w:t>Project Development Objectives</w:t>
            </w:r>
          </w:p>
        </w:tc>
      </w:tr>
    </w:tbl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p w:rsidR="007C16AD" w:rsidRDefault="007C16AD" w:rsidP="007C1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343"/>
        <w:gridCol w:w="4268"/>
      </w:tblGrid>
      <w:tr w:rsidR="007C16AD" w:rsidTr="007A4C5A">
        <w:tc>
          <w:tcPr>
            <w:tcW w:w="4245" w:type="dxa"/>
          </w:tcPr>
          <w:p w:rsidR="007C16AD" w:rsidRDefault="007C16AD" w:rsidP="007A4C5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Regional Vice President:</w:t>
            </w:r>
          </w:p>
        </w:tc>
        <w:tc>
          <w:tcPr>
            <w:tcW w:w="343" w:type="dxa"/>
          </w:tcPr>
          <w:p w:rsidR="007C16AD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7C16AD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>Pamela Cox</w:t>
            </w:r>
          </w:p>
        </w:tc>
      </w:tr>
      <w:tr w:rsidR="007C16AD" w:rsidRPr="00B322DE" w:rsidTr="007A4C5A">
        <w:tc>
          <w:tcPr>
            <w:tcW w:w="4245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Acting </w:t>
            </w:r>
            <w:r w:rsidRPr="00B322DE">
              <w:rPr>
                <w:color w:val="000000"/>
                <w:szCs w:val="22"/>
              </w:rPr>
              <w:t>Country Director:</w:t>
            </w:r>
          </w:p>
        </w:tc>
        <w:tc>
          <w:tcPr>
            <w:tcW w:w="343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>Laura Frigueti</w:t>
            </w:r>
          </w:p>
        </w:tc>
      </w:tr>
      <w:tr w:rsidR="007C16AD" w:rsidRPr="00B322DE" w:rsidTr="007A4C5A">
        <w:tc>
          <w:tcPr>
            <w:tcW w:w="4245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B322DE">
              <w:rPr>
                <w:color w:val="000000"/>
                <w:szCs w:val="22"/>
              </w:rPr>
              <w:t>Sector Manager:</w:t>
            </w:r>
          </w:p>
        </w:tc>
        <w:tc>
          <w:tcPr>
            <w:tcW w:w="343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322DE">
              <w:t>Omar Arias</w:t>
            </w:r>
          </w:p>
        </w:tc>
      </w:tr>
      <w:tr w:rsidR="007C16AD" w:rsidTr="007A4C5A">
        <w:tc>
          <w:tcPr>
            <w:tcW w:w="4245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B322DE">
              <w:rPr>
                <w:color w:val="000000"/>
                <w:szCs w:val="22"/>
              </w:rPr>
              <w:t>Task Team Leader:</w:t>
            </w:r>
          </w:p>
        </w:tc>
        <w:tc>
          <w:tcPr>
            <w:tcW w:w="343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68" w:type="dxa"/>
          </w:tcPr>
          <w:p w:rsidR="007C16AD" w:rsidRPr="00B322DE" w:rsidRDefault="007C16AD" w:rsidP="007A4C5A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322DE">
              <w:t>Fernando Lavadenz</w:t>
            </w:r>
            <w:r>
              <w:t xml:space="preserve"> / Nelson Gutiérrez</w:t>
            </w:r>
          </w:p>
        </w:tc>
      </w:tr>
    </w:tbl>
    <w:p w:rsidR="007C16AD" w:rsidRDefault="007C16AD" w:rsidP="00F955C4">
      <w:pPr>
        <w:jc w:val="center"/>
        <w:rPr>
          <w:b/>
          <w:bCs/>
          <w:caps/>
        </w:rPr>
      </w:pPr>
      <w:r>
        <w:br w:type="page"/>
      </w:r>
      <w:fldSimple w:instr=" DOCPROPERTY &quot;Country&quot; \* MERGEFORMAT ">
        <w:r w:rsidRPr="00B322DE">
          <w:rPr>
            <w:b/>
            <w:bCs/>
            <w:caps/>
          </w:rPr>
          <w:t>PERU</w:t>
        </w:r>
      </w:fldSimple>
    </w:p>
    <w:p w:rsidR="007C16AD" w:rsidRDefault="007C16AD" w:rsidP="007C16AD">
      <w:pPr>
        <w:jc w:val="center"/>
        <w:rPr>
          <w:b/>
        </w:rPr>
      </w:pPr>
      <w:r w:rsidRPr="00B322DE">
        <w:rPr>
          <w:b/>
        </w:rPr>
        <w:t>SECOND PHASE APL HEALTH REFORM PROGRAM PROJECT</w:t>
      </w:r>
    </w:p>
    <w:p w:rsidR="007C16AD" w:rsidRPr="00B322DE" w:rsidRDefault="007C16AD" w:rsidP="007C16AD">
      <w:pPr>
        <w:jc w:val="center"/>
        <w:rPr>
          <w:b/>
          <w:bCs/>
          <w:caps/>
        </w:rPr>
      </w:pPr>
      <w:r>
        <w:rPr>
          <w:b/>
        </w:rPr>
        <w:t>PARSALUD II (P095563)</w:t>
      </w:r>
    </w:p>
    <w:p w:rsidR="007C16AD" w:rsidRDefault="007C16AD" w:rsidP="007C16AD">
      <w:pPr>
        <w:jc w:val="center"/>
      </w:pPr>
    </w:p>
    <w:p w:rsidR="00F955C4" w:rsidRDefault="00F955C4" w:rsidP="007C16AD">
      <w:pPr>
        <w:jc w:val="center"/>
      </w:pPr>
    </w:p>
    <w:p w:rsidR="007C16AD" w:rsidRDefault="007C16AD" w:rsidP="007C16AD">
      <w:pPr>
        <w:jc w:val="center"/>
        <w:rPr>
          <w:b/>
          <w:bCs/>
          <w:caps/>
        </w:rPr>
      </w:pPr>
      <w:r>
        <w:rPr>
          <w:b/>
          <w:bCs/>
          <w:caps/>
        </w:rPr>
        <w:t>Contents</w:t>
      </w:r>
    </w:p>
    <w:p w:rsidR="007C16AD" w:rsidRDefault="007C16AD" w:rsidP="007C16AD">
      <w:pPr>
        <w:jc w:val="center"/>
      </w:pPr>
    </w:p>
    <w:p w:rsidR="00F955C4" w:rsidRDefault="00F955C4" w:rsidP="007C16AD">
      <w:pPr>
        <w:jc w:val="center"/>
      </w:pPr>
    </w:p>
    <w:p w:rsidR="007C16AD" w:rsidRPr="0041129F" w:rsidRDefault="007C16AD" w:rsidP="007C16AD">
      <w:pPr>
        <w:jc w:val="right"/>
        <w:rPr>
          <w:bCs/>
        </w:rPr>
      </w:pPr>
      <w:r w:rsidRPr="0041129F">
        <w:rPr>
          <w:bCs/>
        </w:rPr>
        <w:t>Page</w:t>
      </w:r>
    </w:p>
    <w:p w:rsidR="00F955C4" w:rsidRDefault="003D3F96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1129F">
        <w:rPr>
          <w:rFonts w:ascii="Times New Roman" w:hAnsi="Times New Roman"/>
          <w:b w:val="0"/>
          <w:iCs/>
        </w:rPr>
        <w:fldChar w:fldCharType="begin"/>
      </w:r>
      <w:r w:rsidR="007C16AD" w:rsidRPr="0041129F">
        <w:rPr>
          <w:rFonts w:ascii="Times New Roman" w:hAnsi="Times New Roman"/>
          <w:b w:val="0"/>
          <w:iCs/>
        </w:rPr>
        <w:instrText xml:space="preserve"> TOC \o "1-1" \h \z \u </w:instrText>
      </w:r>
      <w:r w:rsidRPr="0041129F">
        <w:rPr>
          <w:rFonts w:ascii="Times New Roman" w:hAnsi="Times New Roman"/>
          <w:b w:val="0"/>
          <w:iCs/>
        </w:rPr>
        <w:fldChar w:fldCharType="separate"/>
      </w:r>
      <w:hyperlink w:anchor="_Toc363828593" w:history="1">
        <w:r w:rsidR="00F955C4" w:rsidRPr="002A719B">
          <w:rPr>
            <w:rStyle w:val="Hyperlink"/>
            <w:rFonts w:ascii="Times New Roman" w:hAnsi="Times New Roman"/>
            <w:noProof/>
          </w:rPr>
          <w:t>SUMMARY</w:t>
        </w:r>
        <w:r w:rsidR="00F955C4">
          <w:rPr>
            <w:noProof/>
            <w:webHidden/>
          </w:rPr>
          <w:tab/>
        </w:r>
        <w:r w:rsidR="00F955C4">
          <w:rPr>
            <w:noProof/>
            <w:webHidden/>
          </w:rPr>
          <w:fldChar w:fldCharType="begin"/>
        </w:r>
        <w:r w:rsidR="00F955C4">
          <w:rPr>
            <w:noProof/>
            <w:webHidden/>
          </w:rPr>
          <w:instrText xml:space="preserve"> PAGEREF _Toc363828593 \h </w:instrText>
        </w:r>
        <w:r w:rsidR="00F955C4">
          <w:rPr>
            <w:noProof/>
            <w:webHidden/>
          </w:rPr>
        </w:r>
        <w:r w:rsidR="00F955C4">
          <w:rPr>
            <w:noProof/>
            <w:webHidden/>
          </w:rPr>
          <w:fldChar w:fldCharType="separate"/>
        </w:r>
        <w:r w:rsidR="00F955C4">
          <w:rPr>
            <w:noProof/>
            <w:webHidden/>
          </w:rPr>
          <w:t>4</w:t>
        </w:r>
        <w:r w:rsidR="00F955C4">
          <w:rPr>
            <w:noProof/>
            <w:webHidden/>
          </w:rPr>
          <w:fldChar w:fldCharType="end"/>
        </w:r>
      </w:hyperlink>
    </w:p>
    <w:p w:rsidR="00F955C4" w:rsidRDefault="00890AA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3828594" w:history="1">
        <w:r w:rsidR="00F955C4" w:rsidRPr="002A719B">
          <w:rPr>
            <w:rStyle w:val="Hyperlink"/>
            <w:rFonts w:ascii="Times New Roman" w:hAnsi="Times New Roman"/>
            <w:noProof/>
          </w:rPr>
          <w:t>PROJECT STATUS</w:t>
        </w:r>
        <w:r w:rsidR="00F955C4">
          <w:rPr>
            <w:noProof/>
            <w:webHidden/>
          </w:rPr>
          <w:tab/>
        </w:r>
        <w:r w:rsidR="00F955C4">
          <w:rPr>
            <w:noProof/>
            <w:webHidden/>
          </w:rPr>
          <w:fldChar w:fldCharType="begin"/>
        </w:r>
        <w:r w:rsidR="00F955C4">
          <w:rPr>
            <w:noProof/>
            <w:webHidden/>
          </w:rPr>
          <w:instrText xml:space="preserve"> PAGEREF _Toc363828594 \h </w:instrText>
        </w:r>
        <w:r w:rsidR="00F955C4">
          <w:rPr>
            <w:noProof/>
            <w:webHidden/>
          </w:rPr>
        </w:r>
        <w:r w:rsidR="00F955C4">
          <w:rPr>
            <w:noProof/>
            <w:webHidden/>
          </w:rPr>
          <w:fldChar w:fldCharType="separate"/>
        </w:r>
        <w:r w:rsidR="00F955C4">
          <w:rPr>
            <w:noProof/>
            <w:webHidden/>
          </w:rPr>
          <w:t>4</w:t>
        </w:r>
        <w:r w:rsidR="00F955C4">
          <w:rPr>
            <w:noProof/>
            <w:webHidden/>
          </w:rPr>
          <w:fldChar w:fldCharType="end"/>
        </w:r>
      </w:hyperlink>
    </w:p>
    <w:p w:rsidR="00F955C4" w:rsidRDefault="00890AA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3828595" w:history="1">
        <w:r w:rsidR="00F955C4" w:rsidRPr="002A719B">
          <w:rPr>
            <w:rStyle w:val="Hyperlink"/>
            <w:rFonts w:ascii="Times New Roman" w:hAnsi="Times New Roman"/>
            <w:noProof/>
          </w:rPr>
          <w:t>PROPOSED CHANGES</w:t>
        </w:r>
        <w:r w:rsidR="00F955C4">
          <w:rPr>
            <w:noProof/>
            <w:webHidden/>
          </w:rPr>
          <w:tab/>
        </w:r>
        <w:r w:rsidR="00F955C4">
          <w:rPr>
            <w:noProof/>
            <w:webHidden/>
          </w:rPr>
          <w:fldChar w:fldCharType="begin"/>
        </w:r>
        <w:r w:rsidR="00F955C4">
          <w:rPr>
            <w:noProof/>
            <w:webHidden/>
          </w:rPr>
          <w:instrText xml:space="preserve"> PAGEREF _Toc363828595 \h </w:instrText>
        </w:r>
        <w:r w:rsidR="00F955C4">
          <w:rPr>
            <w:noProof/>
            <w:webHidden/>
          </w:rPr>
        </w:r>
        <w:r w:rsidR="00F955C4">
          <w:rPr>
            <w:noProof/>
            <w:webHidden/>
          </w:rPr>
          <w:fldChar w:fldCharType="separate"/>
        </w:r>
        <w:r w:rsidR="00F955C4">
          <w:rPr>
            <w:noProof/>
            <w:webHidden/>
          </w:rPr>
          <w:t>4</w:t>
        </w:r>
        <w:r w:rsidR="00F955C4">
          <w:rPr>
            <w:noProof/>
            <w:webHidden/>
          </w:rPr>
          <w:fldChar w:fldCharType="end"/>
        </w:r>
      </w:hyperlink>
    </w:p>
    <w:p w:rsidR="00F955C4" w:rsidRDefault="00890AA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3828596" w:history="1">
        <w:r w:rsidR="00F955C4" w:rsidRPr="002A719B">
          <w:rPr>
            <w:rStyle w:val="Hyperlink"/>
            <w:rFonts w:ascii="Times New Roman" w:hAnsi="Times New Roman"/>
            <w:noProof/>
          </w:rPr>
          <w:t>TABLE 1- Revised Cost Table with Bank</w:t>
        </w:r>
        <w:r w:rsidR="00F955C4">
          <w:rPr>
            <w:noProof/>
            <w:webHidden/>
          </w:rPr>
          <w:tab/>
        </w:r>
        <w:r w:rsidR="00F955C4">
          <w:rPr>
            <w:noProof/>
            <w:webHidden/>
          </w:rPr>
          <w:fldChar w:fldCharType="begin"/>
        </w:r>
        <w:r w:rsidR="00F955C4">
          <w:rPr>
            <w:noProof/>
            <w:webHidden/>
          </w:rPr>
          <w:instrText xml:space="preserve"> PAGEREF _Toc363828596 \h </w:instrText>
        </w:r>
        <w:r w:rsidR="00F955C4">
          <w:rPr>
            <w:noProof/>
            <w:webHidden/>
          </w:rPr>
        </w:r>
        <w:r w:rsidR="00F955C4">
          <w:rPr>
            <w:noProof/>
            <w:webHidden/>
          </w:rPr>
          <w:fldChar w:fldCharType="separate"/>
        </w:r>
        <w:r w:rsidR="00F955C4">
          <w:rPr>
            <w:noProof/>
            <w:webHidden/>
          </w:rPr>
          <w:t>5</w:t>
        </w:r>
        <w:r w:rsidR="00F955C4">
          <w:rPr>
            <w:noProof/>
            <w:webHidden/>
          </w:rPr>
          <w:fldChar w:fldCharType="end"/>
        </w:r>
      </w:hyperlink>
    </w:p>
    <w:p w:rsidR="00F955C4" w:rsidRDefault="00890AA4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3828597" w:history="1">
        <w:r w:rsidR="00F955C4" w:rsidRPr="002A719B">
          <w:rPr>
            <w:rStyle w:val="Hyperlink"/>
            <w:rFonts w:ascii="Times New Roman" w:hAnsi="Times New Roman"/>
            <w:noProof/>
          </w:rPr>
          <w:t>TABLE 2- Revised Allocation of the Loan</w:t>
        </w:r>
        <w:r w:rsidR="00F955C4">
          <w:rPr>
            <w:noProof/>
            <w:webHidden/>
          </w:rPr>
          <w:tab/>
        </w:r>
        <w:r w:rsidR="00F955C4">
          <w:rPr>
            <w:noProof/>
            <w:webHidden/>
          </w:rPr>
          <w:fldChar w:fldCharType="begin"/>
        </w:r>
        <w:r w:rsidR="00F955C4">
          <w:rPr>
            <w:noProof/>
            <w:webHidden/>
          </w:rPr>
          <w:instrText xml:space="preserve"> PAGEREF _Toc363828597 \h </w:instrText>
        </w:r>
        <w:r w:rsidR="00F955C4">
          <w:rPr>
            <w:noProof/>
            <w:webHidden/>
          </w:rPr>
        </w:r>
        <w:r w:rsidR="00F955C4">
          <w:rPr>
            <w:noProof/>
            <w:webHidden/>
          </w:rPr>
          <w:fldChar w:fldCharType="separate"/>
        </w:r>
        <w:r w:rsidR="00F955C4">
          <w:rPr>
            <w:noProof/>
            <w:webHidden/>
          </w:rPr>
          <w:t>6</w:t>
        </w:r>
        <w:r w:rsidR="00F955C4">
          <w:rPr>
            <w:noProof/>
            <w:webHidden/>
          </w:rPr>
          <w:fldChar w:fldCharType="end"/>
        </w:r>
      </w:hyperlink>
    </w:p>
    <w:p w:rsidR="007C16AD" w:rsidRPr="0041129F" w:rsidRDefault="003D3F96" w:rsidP="007C16AD">
      <w:r w:rsidRPr="0041129F">
        <w:rPr>
          <w:iCs/>
        </w:rPr>
        <w:fldChar w:fldCharType="end"/>
      </w:r>
    </w:p>
    <w:p w:rsidR="007C16AD" w:rsidRDefault="007C16AD" w:rsidP="007C16AD">
      <w:r>
        <w:br w:type="page"/>
      </w:r>
    </w:p>
    <w:p w:rsidR="007C16AD" w:rsidRDefault="007C16AD" w:rsidP="007C16AD">
      <w:pPr>
        <w:jc w:val="center"/>
        <w:rPr>
          <w:b/>
        </w:rPr>
      </w:pPr>
      <w:bookmarkStart w:id="1" w:name="_Ref248036046"/>
      <w:r w:rsidRPr="00B322DE">
        <w:rPr>
          <w:b/>
        </w:rPr>
        <w:lastRenderedPageBreak/>
        <w:t>SECOND PHASE APL HEALTH REFORM PROGRAM PROJECT</w:t>
      </w:r>
    </w:p>
    <w:p w:rsidR="007C16AD" w:rsidRPr="00B322DE" w:rsidRDefault="007C16AD" w:rsidP="007C16AD">
      <w:pPr>
        <w:jc w:val="center"/>
        <w:rPr>
          <w:b/>
          <w:bCs/>
          <w:caps/>
        </w:rPr>
      </w:pPr>
      <w:r>
        <w:rPr>
          <w:b/>
        </w:rPr>
        <w:t>PARSALUD II (P095563)</w:t>
      </w:r>
    </w:p>
    <w:p w:rsidR="007C16AD" w:rsidRDefault="007C16AD" w:rsidP="007C16AD">
      <w:pPr>
        <w:pStyle w:val="Heading1"/>
        <w:keepLines w:val="0"/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7C16AD" w:rsidRPr="00637FB4" w:rsidRDefault="007C16AD" w:rsidP="007C16AD">
      <w:pPr>
        <w:pStyle w:val="Heading1"/>
        <w:keepLines w:val="0"/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63828593"/>
      <w:r w:rsidRPr="00637FB4">
        <w:rPr>
          <w:rFonts w:ascii="Times New Roman" w:hAnsi="Times New Roman" w:cs="Times New Roman"/>
          <w:color w:val="auto"/>
          <w:sz w:val="24"/>
          <w:szCs w:val="24"/>
        </w:rPr>
        <w:t>SUMMARY</w:t>
      </w:r>
      <w:bookmarkEnd w:id="2"/>
    </w:p>
    <w:p w:rsidR="007C16AD" w:rsidRPr="00B52FE2" w:rsidRDefault="007C16AD" w:rsidP="007C16AD">
      <w:pPr>
        <w:jc w:val="both"/>
      </w:pPr>
      <w:r>
        <w:t xml:space="preserve">The </w:t>
      </w:r>
      <w:r w:rsidR="00BB7980">
        <w:t xml:space="preserve">purpose of the proposed </w:t>
      </w:r>
      <w:r>
        <w:t>restructuring is to reallocate the percentage of financing by the Bank’s loan three of the four components of the Project</w:t>
      </w:r>
      <w:r w:rsidR="00BB7980">
        <w:t xml:space="preserve"> in response to the request made </w:t>
      </w:r>
      <w:r>
        <w:t xml:space="preserve">by the </w:t>
      </w:r>
      <w:r w:rsidR="006E6431">
        <w:t>Government of Peru (</w:t>
      </w:r>
      <w:r>
        <w:t>GoP</w:t>
      </w:r>
      <w:r w:rsidR="006E6431">
        <w:t>)</w:t>
      </w:r>
      <w:r>
        <w:t xml:space="preserve"> in February 2011</w:t>
      </w:r>
      <w:r w:rsidR="00BB7980">
        <w:t>.  As a result of budget constraint, linked to the use of loan funds among 2010</w:t>
      </w:r>
      <w:r>
        <w:t>,</w:t>
      </w:r>
      <w:r w:rsidR="00E10541">
        <w:t xml:space="preserve"> the Government of Peru paid with counterpart resources various technical assistance activities.  Thus, the loan funds initially linked to these activities need to be reallocated.  This</w:t>
      </w:r>
      <w:r>
        <w:t xml:space="preserve"> restructuring will allow for a better allocation of </w:t>
      </w:r>
      <w:r w:rsidRPr="00B322DE">
        <w:t>resources and support timely project disbursements.</w:t>
      </w:r>
    </w:p>
    <w:p w:rsidR="007C16AD" w:rsidRDefault="007C16AD" w:rsidP="007C16AD">
      <w:pPr>
        <w:jc w:val="both"/>
        <w:textAlignment w:val="top"/>
        <w:rPr>
          <w:i/>
          <w:iCs/>
        </w:rPr>
      </w:pPr>
    </w:p>
    <w:p w:rsidR="007C16AD" w:rsidRPr="00637FB4" w:rsidRDefault="007C16AD" w:rsidP="007C16AD">
      <w:pPr>
        <w:pStyle w:val="Heading1"/>
        <w:keepLines w:val="0"/>
        <w:spacing w:before="0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63828594"/>
      <w:r w:rsidRPr="00637FB4">
        <w:rPr>
          <w:rFonts w:ascii="Times New Roman" w:hAnsi="Times New Roman" w:cs="Times New Roman"/>
          <w:color w:val="auto"/>
          <w:sz w:val="24"/>
          <w:szCs w:val="24"/>
        </w:rPr>
        <w:t>PROJECT STATUS</w:t>
      </w:r>
      <w:bookmarkEnd w:id="3"/>
    </w:p>
    <w:p w:rsidR="007C16AD" w:rsidRDefault="007C16AD" w:rsidP="007C16AD">
      <w:pPr>
        <w:autoSpaceDE w:val="0"/>
        <w:autoSpaceDN w:val="0"/>
        <w:adjustRightInd w:val="0"/>
        <w:jc w:val="both"/>
      </w:pPr>
      <w:r>
        <w:t>This Project is f</w:t>
      </w:r>
      <w:r w:rsidRPr="002E4F84">
        <w:t>ramed within the long-term objective of the Health Reform Program (APL</w:t>
      </w:r>
      <w:r>
        <w:t>,</w:t>
      </w:r>
      <w:r w:rsidRPr="002E4F84">
        <w:t xml:space="preserve"> in all its phases) to reduce maternal and infant mortality rates in the nine poorest</w:t>
      </w:r>
      <w:r>
        <w:t xml:space="preserve"> </w:t>
      </w:r>
      <w:r w:rsidRPr="002E4F84">
        <w:t>regions of the country (Amazonas, Huanuco, Huancavelica, Ayacucho, Apurimac, Cusc</w:t>
      </w:r>
      <w:r>
        <w:t>o, Cajamarca, Ucayali and Puno).</w:t>
      </w:r>
    </w:p>
    <w:p w:rsidR="007C16AD" w:rsidRDefault="007C16AD" w:rsidP="007C16AD">
      <w:pPr>
        <w:autoSpaceDE w:val="0"/>
        <w:autoSpaceDN w:val="0"/>
        <w:adjustRightInd w:val="0"/>
        <w:jc w:val="both"/>
      </w:pPr>
    </w:p>
    <w:p w:rsidR="007C16AD" w:rsidRDefault="007C16AD" w:rsidP="007C16AD">
      <w:pPr>
        <w:autoSpaceDE w:val="0"/>
        <w:autoSpaceDN w:val="0"/>
        <w:adjustRightInd w:val="0"/>
        <w:jc w:val="both"/>
      </w:pPr>
      <w:r>
        <w:t>T</w:t>
      </w:r>
      <w:r w:rsidRPr="002E4F84">
        <w:t xml:space="preserve">he </w:t>
      </w:r>
      <w:r w:rsidR="006E6431">
        <w:t>P</w:t>
      </w:r>
      <w:r w:rsidRPr="002E4F84">
        <w:t xml:space="preserve">roject </w:t>
      </w:r>
      <w:r w:rsidR="006E6431">
        <w:t>D</w:t>
      </w:r>
      <w:r w:rsidRPr="002E4F84">
        <w:t xml:space="preserve">evelopment </w:t>
      </w:r>
      <w:r w:rsidR="006E6431">
        <w:t>O</w:t>
      </w:r>
      <w:r w:rsidRPr="002E4F84">
        <w:t xml:space="preserve">bjectives </w:t>
      </w:r>
      <w:r>
        <w:t xml:space="preserve">(PDO) </w:t>
      </w:r>
      <w:r w:rsidRPr="002E4F84">
        <w:t>are</w:t>
      </w:r>
      <w:r>
        <w:t xml:space="preserve"> </w:t>
      </w:r>
      <w:r w:rsidRPr="002E4F84">
        <w:t xml:space="preserve">to: (i) improve family care practices for women (during pregnancy, delivery and </w:t>
      </w:r>
      <w:r>
        <w:t>lactation</w:t>
      </w:r>
      <w:r w:rsidRPr="002E4F84">
        <w:t>), and children under the age of three; (ii) strengthen health</w:t>
      </w:r>
      <w:r>
        <w:t xml:space="preserve"> </w:t>
      </w:r>
      <w:r w:rsidRPr="002E4F84">
        <w:t>service networks with capacity to solve obstetric, neonatal and infant emergencies and to provide comprehensive health services to women (during</w:t>
      </w:r>
      <w:r>
        <w:t xml:space="preserve"> </w:t>
      </w:r>
      <w:r w:rsidRPr="002E4F84">
        <w:t xml:space="preserve">pregnancy, delivery and </w:t>
      </w:r>
      <w:r>
        <w:t>lactation</w:t>
      </w:r>
      <w:r w:rsidRPr="002E4F84">
        <w:t>) and children under the age of three; and (iii) support</w:t>
      </w:r>
      <w:r>
        <w:t xml:space="preserve"> </w:t>
      </w:r>
      <w:r w:rsidRPr="002E4F84">
        <w:t>MINSA's governance functions of regulation, quality, efficiency and</w:t>
      </w:r>
      <w:r>
        <w:t xml:space="preserve"> </w:t>
      </w:r>
      <w:r w:rsidRPr="002E4F84">
        <w:t>equity for improving the new health delivery model of maternal and child health care in a</w:t>
      </w:r>
      <w:r>
        <w:t xml:space="preserve"> </w:t>
      </w:r>
      <w:r w:rsidRPr="002E4F84">
        <w:t>decentralized environment</w:t>
      </w:r>
      <w:r>
        <w:t xml:space="preserve">. </w:t>
      </w:r>
    </w:p>
    <w:p w:rsidR="007C16AD" w:rsidRDefault="007C16AD" w:rsidP="00F955C4"/>
    <w:p w:rsidR="007C16AD" w:rsidRDefault="007C16AD" w:rsidP="00F955C4">
      <w:pPr>
        <w:jc w:val="both"/>
      </w:pPr>
      <w:r w:rsidRPr="003777D7">
        <w:t>Th</w:t>
      </w:r>
      <w:r w:rsidR="006E6431">
        <w:t>e</w:t>
      </w:r>
      <w:r w:rsidRPr="003777D7">
        <w:t xml:space="preserve"> project </w:t>
      </w:r>
      <w:r w:rsidR="006E6431">
        <w:t xml:space="preserve">has </w:t>
      </w:r>
      <w:r w:rsidR="00081478">
        <w:t xml:space="preserve">reached </w:t>
      </w:r>
      <w:r w:rsidR="006E6431">
        <w:t>its targets</w:t>
      </w:r>
      <w:r w:rsidRPr="003777D7">
        <w:t xml:space="preserve"> </w:t>
      </w:r>
      <w:r>
        <w:t>to</w:t>
      </w:r>
      <w:r w:rsidRPr="003777D7">
        <w:t xml:space="preserve"> date</w:t>
      </w:r>
      <w:r w:rsidR="006E6431">
        <w:t xml:space="preserve">, and the Government </w:t>
      </w:r>
      <w:r w:rsidRPr="003777D7">
        <w:t xml:space="preserve"> </w:t>
      </w:r>
      <w:r>
        <w:t>is</w:t>
      </w:r>
      <w:r w:rsidRPr="003777D7">
        <w:t xml:space="preserve"> working </w:t>
      </w:r>
      <w:r>
        <w:t>on</w:t>
      </w:r>
      <w:r w:rsidRPr="003777D7">
        <w:t xml:space="preserve"> </w:t>
      </w:r>
      <w:r>
        <w:t>improving</w:t>
      </w:r>
      <w:r w:rsidRPr="003777D7">
        <w:t xml:space="preserve"> its disbursement </w:t>
      </w:r>
      <w:r>
        <w:t>performance</w:t>
      </w:r>
      <w:r w:rsidR="006E6431">
        <w:t>, whic</w:t>
      </w:r>
      <w:r w:rsidR="00081478">
        <w:t>h</w:t>
      </w:r>
      <w:r>
        <w:t xml:space="preserve"> has been moderately unsatisfactory due to </w:t>
      </w:r>
      <w:r w:rsidRPr="003777D7">
        <w:t xml:space="preserve">delays to allocate </w:t>
      </w:r>
      <w:r>
        <w:t>loan funds to the P</w:t>
      </w:r>
      <w:r w:rsidRPr="003777D7">
        <w:t>roject</w:t>
      </w:r>
      <w:r w:rsidR="006E6431">
        <w:t xml:space="preserve"> linked to</w:t>
      </w:r>
      <w:r w:rsidR="00081478">
        <w:t xml:space="preserve"> the above-mentioned</w:t>
      </w:r>
      <w:r w:rsidR="006E6431">
        <w:t xml:space="preserve"> budget reform</w:t>
      </w:r>
      <w:r w:rsidRPr="003777D7">
        <w:t xml:space="preserve">. The project has </w:t>
      </w:r>
      <w:r>
        <w:t>delivered</w:t>
      </w:r>
      <w:r w:rsidRPr="003777D7">
        <w:t xml:space="preserve"> several key </w:t>
      </w:r>
      <w:r w:rsidR="006E6431">
        <w:t>products</w:t>
      </w:r>
      <w:r>
        <w:t>,</w:t>
      </w:r>
      <w:r w:rsidRPr="003777D7">
        <w:t xml:space="preserve"> which will </w:t>
      </w:r>
      <w:r w:rsidR="00FB146A">
        <w:t>contribute</w:t>
      </w:r>
      <w:r w:rsidR="006E6431">
        <w:t xml:space="preserve"> to</w:t>
      </w:r>
      <w:r w:rsidRPr="003777D7">
        <w:t xml:space="preserve"> the political transition </w:t>
      </w:r>
      <w:r>
        <w:t xml:space="preserve">of the </w:t>
      </w:r>
      <w:r w:rsidRPr="003777D7">
        <w:t xml:space="preserve">new </w:t>
      </w:r>
      <w:r w:rsidR="006E6431">
        <w:t>G</w:t>
      </w:r>
      <w:r w:rsidRPr="003777D7">
        <w:t xml:space="preserve">overnment </w:t>
      </w:r>
      <w:r>
        <w:t>in</w:t>
      </w:r>
      <w:r w:rsidRPr="003777D7">
        <w:t xml:space="preserve"> July</w:t>
      </w:r>
      <w:r>
        <w:t xml:space="preserve"> 2011.</w:t>
      </w:r>
    </w:p>
    <w:p w:rsidR="007C16AD" w:rsidRDefault="007C16AD" w:rsidP="007C16AD">
      <w:pPr>
        <w:pStyle w:val="Heading1"/>
        <w:keepLines w:val="0"/>
        <w:spacing w:before="0"/>
        <w:ind w:left="360" w:hanging="36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C16AD" w:rsidRPr="00637FB4" w:rsidRDefault="007C16AD" w:rsidP="007C16AD">
      <w:pPr>
        <w:pStyle w:val="Heading1"/>
        <w:keepLines w:val="0"/>
        <w:spacing w:before="0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63828595"/>
      <w:r w:rsidRPr="00637FB4">
        <w:rPr>
          <w:rFonts w:ascii="Times New Roman" w:hAnsi="Times New Roman" w:cs="Times New Roman"/>
          <w:color w:val="auto"/>
          <w:sz w:val="24"/>
          <w:szCs w:val="24"/>
        </w:rPr>
        <w:t>PROPOSED CHANGES</w:t>
      </w:r>
      <w:bookmarkEnd w:id="4"/>
      <w:r w:rsidRPr="00637FB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End w:id="1"/>
    <w:p w:rsidR="007C16AD" w:rsidRDefault="004503FC" w:rsidP="00081478">
      <w:pPr>
        <w:jc w:val="both"/>
      </w:pPr>
      <w:r w:rsidRPr="004503FC">
        <w:t xml:space="preserve">The proposed reallocation of loan proceeds </w:t>
      </w:r>
      <w:r w:rsidR="00081478">
        <w:t xml:space="preserve">among </w:t>
      </w:r>
      <w:r w:rsidRPr="004503FC">
        <w:t>disbursement category is outlined in Table 1</w:t>
      </w:r>
      <w:r w:rsidR="007C16AD" w:rsidRPr="006E6431">
        <w:t xml:space="preserve">, </w:t>
      </w:r>
      <w:r w:rsidR="007C16AD">
        <w:t xml:space="preserve">and includes revised percentages of financing by component. This table </w:t>
      </w:r>
      <w:r w:rsidR="006E6431">
        <w:t xml:space="preserve">shows </w:t>
      </w:r>
      <w:r w:rsidR="007C16AD">
        <w:t xml:space="preserve">that there are no changes in </w:t>
      </w:r>
      <w:r w:rsidR="006E6431">
        <w:t xml:space="preserve">total expenditures by component and </w:t>
      </w:r>
      <w:r w:rsidR="007C16AD">
        <w:t xml:space="preserve">categories of expenditures, </w:t>
      </w:r>
      <w:r w:rsidR="006E6431">
        <w:t>and only</w:t>
      </w:r>
      <w:r w:rsidR="007C16AD">
        <w:t xml:space="preserve"> the percentage of financing of the first three components</w:t>
      </w:r>
      <w:r w:rsidR="006E6431">
        <w:t xml:space="preserve"> changes</w:t>
      </w:r>
      <w:r w:rsidR="007C16AD">
        <w:t>.</w:t>
      </w:r>
      <w:r w:rsidR="00081478">
        <w:t xml:space="preserve">  Table 2 shows the original and proposed loan funds allocation. </w:t>
      </w:r>
      <w:r w:rsidR="007C16AD">
        <w:t xml:space="preserve"> The rationale for the reallocation of percentages of financing in these components has been explained above.</w:t>
      </w:r>
    </w:p>
    <w:p w:rsidR="007C16AD" w:rsidRDefault="007C16AD" w:rsidP="007C16AD">
      <w:r>
        <w:br w:type="page"/>
      </w:r>
    </w:p>
    <w:p w:rsidR="007C16AD" w:rsidRPr="00F955C4" w:rsidRDefault="007C16AD" w:rsidP="00F955C4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5" w:name="_Toc363828596"/>
      <w:r w:rsidRPr="00F955C4">
        <w:rPr>
          <w:rFonts w:ascii="Times New Roman" w:hAnsi="Times New Roman" w:cs="Times New Roman"/>
          <w:color w:val="auto"/>
        </w:rPr>
        <w:lastRenderedPageBreak/>
        <w:t xml:space="preserve">TABLE 1- </w:t>
      </w:r>
      <w:r w:rsidR="00002F91" w:rsidRPr="00F955C4">
        <w:rPr>
          <w:rFonts w:ascii="Times New Roman" w:hAnsi="Times New Roman" w:cs="Times New Roman"/>
          <w:color w:val="auto"/>
        </w:rPr>
        <w:t>Revised Cost Table</w:t>
      </w:r>
      <w:r w:rsidR="00E223F9" w:rsidRPr="00F955C4">
        <w:rPr>
          <w:rFonts w:ascii="Times New Roman" w:hAnsi="Times New Roman" w:cs="Times New Roman"/>
          <w:color w:val="auto"/>
        </w:rPr>
        <w:t xml:space="preserve"> with Bank</w:t>
      </w:r>
      <w:bookmarkEnd w:id="5"/>
    </w:p>
    <w:p w:rsidR="007C16AD" w:rsidRPr="00B25CB2" w:rsidRDefault="007C16AD" w:rsidP="007C16AD">
      <w:pPr>
        <w:ind w:left="1080"/>
        <w:rPr>
          <w:b/>
        </w:rPr>
      </w:pPr>
    </w:p>
    <w:tbl>
      <w:tblPr>
        <w:tblW w:w="7109" w:type="dxa"/>
        <w:jc w:val="center"/>
        <w:tblInd w:w="93" w:type="dxa"/>
        <w:tblLook w:val="04A0" w:firstRow="1" w:lastRow="0" w:firstColumn="1" w:lastColumn="0" w:noHBand="0" w:noVBand="1"/>
      </w:tblPr>
      <w:tblGrid>
        <w:gridCol w:w="272"/>
        <w:gridCol w:w="3307"/>
        <w:gridCol w:w="1270"/>
        <w:gridCol w:w="1101"/>
        <w:gridCol w:w="1159"/>
      </w:tblGrid>
      <w:tr w:rsidR="007C16AD" w:rsidTr="00F955C4">
        <w:trPr>
          <w:trHeight w:val="330"/>
          <w:jc w:val="center"/>
        </w:trPr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16AD" w:rsidRDefault="007C16AD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 Category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16AD" w:rsidRDefault="007C16AD" w:rsidP="007A4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Allocation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C16AD" w:rsidRDefault="007C16AD" w:rsidP="007A4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of Financing</w:t>
            </w:r>
          </w:p>
        </w:tc>
      </w:tr>
      <w:tr w:rsidR="00002F91" w:rsidTr="00F955C4">
        <w:trPr>
          <w:trHeight w:val="330"/>
          <w:jc w:val="center"/>
        </w:trPr>
        <w:tc>
          <w:tcPr>
            <w:tcW w:w="3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2F91" w:rsidRDefault="00002F91" w:rsidP="007A4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2F91" w:rsidRDefault="00002F91" w:rsidP="007A4C5A">
            <w:pPr>
              <w:jc w:val="center"/>
            </w:pPr>
            <w:r>
              <w:t>Current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2F91" w:rsidRDefault="00002F91" w:rsidP="007A4C5A">
            <w:pPr>
              <w:jc w:val="center"/>
            </w:pPr>
            <w:r>
              <w:t>Current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2F91" w:rsidRDefault="00002F91" w:rsidP="007A4C5A">
            <w:pPr>
              <w:jc w:val="center"/>
            </w:pPr>
            <w:r>
              <w:t>Revised</w:t>
            </w:r>
          </w:p>
        </w:tc>
      </w:tr>
      <w:tr w:rsidR="00002F91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Component 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Goods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1,5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Consultants' Services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2,3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Training/Workshops/Dissemination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2,2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Component 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Goods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31,8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Works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85,7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Consultants' Services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19,0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Training/Workshops/Dissemination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5,7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Component 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25,0</w:t>
            </w: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Consultants' Services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5,1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Training/Workshops/Dissemination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0,1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Component 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Consultants' Services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Operating Costs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 xml:space="preserve">8,5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RPr="00C667A5" w:rsidTr="00F955C4">
        <w:trPr>
          <w:trHeight w:val="255"/>
          <w:jc w:val="center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  <w:r w:rsidRPr="00C667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91" w:rsidTr="00F955C4">
        <w:trPr>
          <w:trHeight w:val="255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162,4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C667A5" w:rsidRDefault="00002F91" w:rsidP="007A4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7A5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</w:tr>
    </w:tbl>
    <w:p w:rsidR="007C16AD" w:rsidRDefault="007C16AD" w:rsidP="007C16AD">
      <w:pPr>
        <w:ind w:left="1080"/>
      </w:pPr>
    </w:p>
    <w:p w:rsidR="007C16AD" w:rsidRDefault="007C16AD" w:rsidP="007C16AD">
      <w:pPr>
        <w:keepNext/>
      </w:pPr>
      <w:bookmarkStart w:id="6" w:name="_Toc247685214"/>
    </w:p>
    <w:bookmarkEnd w:id="6"/>
    <w:p w:rsidR="00002F91" w:rsidRDefault="00002F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2F91" w:rsidRPr="00F955C4" w:rsidRDefault="00002F91" w:rsidP="00F955C4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7" w:name="_Toc363828597"/>
      <w:r w:rsidRPr="00F955C4">
        <w:rPr>
          <w:rFonts w:ascii="Times New Roman" w:hAnsi="Times New Roman" w:cs="Times New Roman"/>
          <w:color w:val="auto"/>
        </w:rPr>
        <w:lastRenderedPageBreak/>
        <w:t>TABLE 2- Revised Allocation of the Loan</w:t>
      </w:r>
      <w:bookmarkEnd w:id="7"/>
    </w:p>
    <w:p w:rsidR="00002F91" w:rsidRDefault="00002F91" w:rsidP="00002F91">
      <w:pPr>
        <w:jc w:val="center"/>
        <w:rPr>
          <w:b/>
        </w:rPr>
      </w:pPr>
    </w:p>
    <w:tbl>
      <w:tblPr>
        <w:tblW w:w="6119" w:type="dxa"/>
        <w:jc w:val="center"/>
        <w:tblInd w:w="93" w:type="dxa"/>
        <w:tblLook w:val="04A0" w:firstRow="1" w:lastRow="0" w:firstColumn="1" w:lastColumn="0" w:noHBand="0" w:noVBand="1"/>
      </w:tblPr>
      <w:tblGrid>
        <w:gridCol w:w="3579"/>
        <w:gridCol w:w="1238"/>
        <w:gridCol w:w="1302"/>
      </w:tblGrid>
      <w:tr w:rsidR="00002F91" w:rsidTr="00002F91">
        <w:trPr>
          <w:trHeight w:val="330"/>
          <w:jc w:val="center"/>
        </w:trPr>
        <w:tc>
          <w:tcPr>
            <w:tcW w:w="3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351394" w:rsidRDefault="00002F91" w:rsidP="00002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13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Category</w:t>
            </w:r>
          </w:p>
          <w:p w:rsidR="00002F91" w:rsidRDefault="00002F91" w:rsidP="00002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2F91" w:rsidRDefault="00002F91" w:rsidP="00002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of the Loan Allocated</w:t>
            </w:r>
          </w:p>
          <w:p w:rsidR="00002F91" w:rsidRDefault="00002F91" w:rsidP="00002F91">
            <w:pPr>
              <w:jc w:val="center"/>
              <w:rPr>
                <w:b/>
                <w:bCs/>
                <w:u w:val="single"/>
              </w:rPr>
            </w:pPr>
            <w:r w:rsidRPr="00351394">
              <w:rPr>
                <w:b/>
                <w:bCs/>
                <w:u w:val="single"/>
              </w:rPr>
              <w:t>(expressed in USD)</w:t>
            </w:r>
          </w:p>
          <w:p w:rsidR="00002F91" w:rsidRPr="00351394" w:rsidRDefault="00002F91" w:rsidP="00002F9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002F91" w:rsidTr="00002F91">
        <w:trPr>
          <w:trHeight w:val="330"/>
          <w:jc w:val="center"/>
        </w:trPr>
        <w:tc>
          <w:tcPr>
            <w:tcW w:w="3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2F91" w:rsidRDefault="00002F91" w:rsidP="00002F91">
            <w:pPr>
              <w:jc w:val="center"/>
            </w:pPr>
            <w:r>
              <w:t>Current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2F91" w:rsidRDefault="00002F91" w:rsidP="00002F91">
            <w:pPr>
              <w:jc w:val="center"/>
            </w:pPr>
            <w:r>
              <w:t>Revised</w:t>
            </w:r>
          </w:p>
        </w:tc>
      </w:tr>
      <w:tr w:rsidR="00002F91" w:rsidTr="00002F91">
        <w:trPr>
          <w:trHeight w:val="255"/>
          <w:jc w:val="center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 Goods, works, consultant’s services and Training under Part 1 of the Project</w:t>
            </w:r>
          </w:p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2,987,788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1,493,894</w:t>
            </w:r>
          </w:p>
        </w:tc>
      </w:tr>
      <w:tr w:rsidR="00002F91" w:rsidTr="00002F91">
        <w:trPr>
          <w:trHeight w:val="255"/>
          <w:jc w:val="center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Goods, works, consultant’s services and Training under Part 2 of the Project</w:t>
            </w:r>
          </w:p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9,163,781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11,955,029</w:t>
            </w:r>
          </w:p>
        </w:tc>
      </w:tr>
      <w:tr w:rsidR="00002F91" w:rsidTr="00002F91">
        <w:trPr>
          <w:trHeight w:val="255"/>
          <w:jc w:val="center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 Goods, works, consultant’s services and Training under Part 3 of the Project</w:t>
            </w:r>
          </w:p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2,594,708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1,297,354</w:t>
            </w:r>
          </w:p>
        </w:tc>
      </w:tr>
      <w:tr w:rsidR="00002F91" w:rsidTr="00002F91">
        <w:trPr>
          <w:trHeight w:val="255"/>
          <w:jc w:val="center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 Goods,  consultant’s services  including audit and Operating Costs</w:t>
            </w:r>
          </w:p>
          <w:p w:rsidR="00002F91" w:rsidRDefault="00002F91" w:rsidP="00002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253,723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253,723</w:t>
            </w:r>
          </w:p>
        </w:tc>
      </w:tr>
      <w:tr w:rsidR="00002F91" w:rsidTr="00002F91">
        <w:trPr>
          <w:trHeight w:val="255"/>
          <w:jc w:val="center"/>
        </w:trPr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Default="00002F91" w:rsidP="00002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6C96">
              <w:rPr>
                <w:rFonts w:ascii="Arial" w:hAnsi="Arial" w:cs="Arial"/>
                <w:bCs/>
                <w:sz w:val="20"/>
                <w:szCs w:val="20"/>
              </w:rPr>
              <w:t>15,000,000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F91" w:rsidRPr="006C6C96" w:rsidRDefault="00002F91" w:rsidP="00002F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0475">
              <w:rPr>
                <w:rFonts w:ascii="Arial" w:hAnsi="Arial" w:cs="Arial"/>
                <w:bCs/>
                <w:sz w:val="20"/>
                <w:szCs w:val="20"/>
              </w:rPr>
              <w:t>15,000,000</w:t>
            </w:r>
          </w:p>
        </w:tc>
      </w:tr>
    </w:tbl>
    <w:p w:rsidR="00002F91" w:rsidRDefault="00002F91" w:rsidP="00002F91">
      <w:pPr>
        <w:ind w:left="1080"/>
        <w:jc w:val="center"/>
      </w:pPr>
    </w:p>
    <w:p w:rsidR="00002F91" w:rsidRDefault="00002F91" w:rsidP="00002F91">
      <w:pPr>
        <w:spacing w:after="200" w:line="276" w:lineRule="auto"/>
        <w:rPr>
          <w:b/>
        </w:rPr>
      </w:pPr>
    </w:p>
    <w:p w:rsidR="001954D7" w:rsidRDefault="001954D7"/>
    <w:sectPr w:rsidR="001954D7" w:rsidSect="00F955C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C4" w:rsidRDefault="00F955C4" w:rsidP="00F955C4">
      <w:r>
        <w:separator/>
      </w:r>
    </w:p>
  </w:endnote>
  <w:endnote w:type="continuationSeparator" w:id="0">
    <w:p w:rsidR="00F955C4" w:rsidRDefault="00F955C4" w:rsidP="00F9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01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5C4" w:rsidRDefault="00F95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C4" w:rsidRDefault="00F95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C4" w:rsidRDefault="00F955C4" w:rsidP="00F955C4">
      <w:r>
        <w:separator/>
      </w:r>
    </w:p>
  </w:footnote>
  <w:footnote w:type="continuationSeparator" w:id="0">
    <w:p w:rsidR="00F955C4" w:rsidRDefault="00F955C4" w:rsidP="00F9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D"/>
    <w:rsid w:val="00002F91"/>
    <w:rsid w:val="00010A75"/>
    <w:rsid w:val="00021060"/>
    <w:rsid w:val="00030F0D"/>
    <w:rsid w:val="0003735D"/>
    <w:rsid w:val="00063A9C"/>
    <w:rsid w:val="00081478"/>
    <w:rsid w:val="000A0D9B"/>
    <w:rsid w:val="000E23C5"/>
    <w:rsid w:val="000F236F"/>
    <w:rsid w:val="00140E4F"/>
    <w:rsid w:val="00153690"/>
    <w:rsid w:val="00177326"/>
    <w:rsid w:val="001954D7"/>
    <w:rsid w:val="00212DF9"/>
    <w:rsid w:val="002C2BA7"/>
    <w:rsid w:val="002C2E2E"/>
    <w:rsid w:val="00333A48"/>
    <w:rsid w:val="00355D6D"/>
    <w:rsid w:val="003563E0"/>
    <w:rsid w:val="003B59A3"/>
    <w:rsid w:val="003D3F96"/>
    <w:rsid w:val="00433FCF"/>
    <w:rsid w:val="00435D01"/>
    <w:rsid w:val="00443CDE"/>
    <w:rsid w:val="004503FC"/>
    <w:rsid w:val="00474FEA"/>
    <w:rsid w:val="004A0984"/>
    <w:rsid w:val="004A41D7"/>
    <w:rsid w:val="004C512D"/>
    <w:rsid w:val="00504795"/>
    <w:rsid w:val="00544E5B"/>
    <w:rsid w:val="005A5829"/>
    <w:rsid w:val="00601808"/>
    <w:rsid w:val="00614AA3"/>
    <w:rsid w:val="0069668F"/>
    <w:rsid w:val="006E4E3B"/>
    <w:rsid w:val="006E6431"/>
    <w:rsid w:val="007173E2"/>
    <w:rsid w:val="0072718F"/>
    <w:rsid w:val="00745657"/>
    <w:rsid w:val="00786797"/>
    <w:rsid w:val="007B1CE5"/>
    <w:rsid w:val="007C16AD"/>
    <w:rsid w:val="00887F21"/>
    <w:rsid w:val="00890AA4"/>
    <w:rsid w:val="008952EA"/>
    <w:rsid w:val="009D1C11"/>
    <w:rsid w:val="009E18ED"/>
    <w:rsid w:val="009E686E"/>
    <w:rsid w:val="00B02B45"/>
    <w:rsid w:val="00B144AC"/>
    <w:rsid w:val="00B14549"/>
    <w:rsid w:val="00B31B60"/>
    <w:rsid w:val="00B762C4"/>
    <w:rsid w:val="00BA2A95"/>
    <w:rsid w:val="00BB7980"/>
    <w:rsid w:val="00BC4C99"/>
    <w:rsid w:val="00C07A68"/>
    <w:rsid w:val="00C453C3"/>
    <w:rsid w:val="00C56ADE"/>
    <w:rsid w:val="00CC0873"/>
    <w:rsid w:val="00D2315F"/>
    <w:rsid w:val="00D738A5"/>
    <w:rsid w:val="00D761C7"/>
    <w:rsid w:val="00DA54DF"/>
    <w:rsid w:val="00E0502C"/>
    <w:rsid w:val="00E10541"/>
    <w:rsid w:val="00E223F9"/>
    <w:rsid w:val="00E400AC"/>
    <w:rsid w:val="00E61688"/>
    <w:rsid w:val="00E73987"/>
    <w:rsid w:val="00E96812"/>
    <w:rsid w:val="00EB5860"/>
    <w:rsid w:val="00EE00BC"/>
    <w:rsid w:val="00F210EF"/>
    <w:rsid w:val="00F6515E"/>
    <w:rsid w:val="00F81AF2"/>
    <w:rsid w:val="00F81C4F"/>
    <w:rsid w:val="00F955C4"/>
    <w:rsid w:val="00FA3765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7C16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C16AD"/>
    <w:pPr>
      <w:tabs>
        <w:tab w:val="left" w:pos="480"/>
        <w:tab w:val="right" w:leader="dot" w:pos="8630"/>
      </w:tabs>
    </w:pPr>
    <w:rPr>
      <w:rFonts w:asciiTheme="majorHAnsi" w:hAnsiTheme="majorHAnsi"/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7C16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C16AD"/>
    <w:pPr>
      <w:tabs>
        <w:tab w:val="left" w:pos="480"/>
        <w:tab w:val="right" w:leader="dot" w:pos="8630"/>
      </w:tabs>
    </w:pPr>
    <w:rPr>
      <w:rFonts w:asciiTheme="majorHAnsi" w:hAnsiTheme="majorHAnsi"/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wb347788</dc:creator>
  <cp:lastModifiedBy>Andre E. Russo</cp:lastModifiedBy>
  <cp:revision>2</cp:revision>
  <dcterms:created xsi:type="dcterms:W3CDTF">2013-08-13T14:29:00Z</dcterms:created>
  <dcterms:modified xsi:type="dcterms:W3CDTF">2013-08-13T14:29:00Z</dcterms:modified>
</cp:coreProperties>
</file>