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33" w:rsidRDefault="00BF75CD" w:rsidP="008D1E93">
      <w:pPr>
        <w:jc w:val="center"/>
        <w:rPr>
          <w:b/>
          <w:bCs/>
        </w:rPr>
      </w:pPr>
      <w:r>
        <w:rPr>
          <w:b/>
          <w:bCs/>
        </w:rPr>
        <w:t>PROGRAM</w:t>
      </w:r>
      <w:r w:rsidR="005A091D">
        <w:rPr>
          <w:b/>
          <w:bCs/>
        </w:rPr>
        <w:t xml:space="preserve"> </w:t>
      </w:r>
      <w:r w:rsidR="000B0A0E">
        <w:rPr>
          <w:b/>
          <w:bCs/>
        </w:rPr>
        <w:t>INFORMATION DOCUMENT</w:t>
      </w:r>
      <w:r w:rsidR="005A091D">
        <w:rPr>
          <w:b/>
          <w:bCs/>
        </w:rPr>
        <w:t xml:space="preserve"> (P</w:t>
      </w:r>
      <w:r w:rsidR="008D1E93">
        <w:rPr>
          <w:b/>
          <w:bCs/>
        </w:rPr>
        <w:t>I</w:t>
      </w:r>
      <w:r w:rsidR="00A126FA">
        <w:rPr>
          <w:b/>
          <w:bCs/>
        </w:rPr>
        <w:t>D</w:t>
      </w:r>
      <w:r w:rsidR="00410562">
        <w:rPr>
          <w:b/>
          <w:bCs/>
        </w:rPr>
        <w:t>)</w:t>
      </w:r>
    </w:p>
    <w:p w:rsidR="00A126FA" w:rsidRDefault="00BA4035">
      <w:pPr>
        <w:jc w:val="center"/>
        <w:rPr>
          <w:b/>
          <w:bCs/>
        </w:rPr>
      </w:pPr>
      <w:r>
        <w:rPr>
          <w:b/>
          <w:bCs/>
        </w:rPr>
        <w:t>APPRAISAL</w:t>
      </w:r>
      <w:r w:rsidR="00A126FA">
        <w:rPr>
          <w:b/>
          <w:bCs/>
        </w:rPr>
        <w:t xml:space="preserve"> STAGE</w:t>
      </w:r>
      <w:r w:rsidR="004F5268">
        <w:rPr>
          <w:b/>
          <w:bCs/>
        </w:rPr>
        <w:t xml:space="preserve"> (Draft)</w:t>
      </w:r>
    </w:p>
    <w:p w:rsidR="00C67E15" w:rsidRDefault="00C67E15" w:rsidP="00C67E15">
      <w:pPr>
        <w:jc w:val="right"/>
      </w:pPr>
      <w:r w:rsidRPr="00C82216">
        <w:t>Report No.:</w:t>
      </w:r>
      <w:r w:rsidR="00DA1232" w:rsidRPr="00DA1232">
        <w:rPr>
          <w:caps/>
          <w:color w:val="000000"/>
        </w:rPr>
        <w:t xml:space="preserve"> </w:t>
      </w:r>
      <w:r w:rsidR="008605A3">
        <w:rPr>
          <w:caps/>
          <w:color w:val="000000"/>
        </w:rPr>
        <w:t>81086</w:t>
      </w:r>
      <w:bookmarkStart w:id="0" w:name="_GoBack"/>
      <w:bookmarkEnd w:id="0"/>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120"/>
      </w:tblGrid>
      <w:tr w:rsidR="00A126FA" w:rsidTr="00A05BC0">
        <w:tc>
          <w:tcPr>
            <w:tcW w:w="3420" w:type="dxa"/>
          </w:tcPr>
          <w:p w:rsidR="00A126FA" w:rsidRDefault="00507604">
            <w:pPr>
              <w:rPr>
                <w:b/>
                <w:bCs/>
              </w:rPr>
            </w:pPr>
            <w:r>
              <w:rPr>
                <w:b/>
                <w:bCs/>
              </w:rPr>
              <w:t>Program</w:t>
            </w:r>
            <w:r w:rsidR="00A126FA">
              <w:rPr>
                <w:b/>
                <w:bCs/>
              </w:rPr>
              <w:t xml:space="preserve"> Name</w:t>
            </w:r>
          </w:p>
        </w:tc>
        <w:tc>
          <w:tcPr>
            <w:tcW w:w="6120" w:type="dxa"/>
          </w:tcPr>
          <w:p w:rsidR="00915DAE" w:rsidRPr="005A3EC9" w:rsidRDefault="005A3EC9" w:rsidP="005A3EC9">
            <w:pPr>
              <w:widowControl w:val="0"/>
              <w:autoSpaceDE w:val="0"/>
              <w:autoSpaceDN w:val="0"/>
              <w:adjustRightInd w:val="0"/>
              <w:textAlignment w:val="baseline"/>
              <w:rPr>
                <w:color w:val="000000"/>
              </w:rPr>
            </w:pPr>
            <w:r>
              <w:rPr>
                <w:bCs/>
              </w:rPr>
              <w:t>Program</w:t>
            </w:r>
            <w:r w:rsidR="008968C8">
              <w:t xml:space="preserve"> </w:t>
            </w:r>
            <w:r>
              <w:rPr>
                <w:color w:val="000000"/>
              </w:rPr>
              <w:t>to strengthen service delivery in skills development, early childhood development and water quality</w:t>
            </w:r>
          </w:p>
        </w:tc>
      </w:tr>
      <w:tr w:rsidR="00A126FA" w:rsidTr="00A05BC0">
        <w:tc>
          <w:tcPr>
            <w:tcW w:w="3420" w:type="dxa"/>
          </w:tcPr>
          <w:p w:rsidR="00A126FA" w:rsidRDefault="00A126FA">
            <w:pPr>
              <w:rPr>
                <w:b/>
                <w:bCs/>
              </w:rPr>
            </w:pPr>
            <w:r>
              <w:rPr>
                <w:b/>
                <w:bCs/>
              </w:rPr>
              <w:t>Region</w:t>
            </w:r>
          </w:p>
        </w:tc>
        <w:tc>
          <w:tcPr>
            <w:tcW w:w="6120" w:type="dxa"/>
          </w:tcPr>
          <w:p w:rsidR="00A126FA" w:rsidRPr="009462C9" w:rsidRDefault="009462C9" w:rsidP="00985525">
            <w:pPr>
              <w:rPr>
                <w:sz w:val="22"/>
                <w:szCs w:val="22"/>
              </w:rPr>
            </w:pPr>
            <w:r w:rsidRPr="009462C9">
              <w:t>Latin America &amp; the Caribbean</w:t>
            </w:r>
          </w:p>
        </w:tc>
      </w:tr>
      <w:tr w:rsidR="003723D9" w:rsidTr="00A05BC0">
        <w:tc>
          <w:tcPr>
            <w:tcW w:w="3420" w:type="dxa"/>
          </w:tcPr>
          <w:p w:rsidR="003723D9" w:rsidRDefault="003723D9">
            <w:pPr>
              <w:rPr>
                <w:b/>
                <w:bCs/>
              </w:rPr>
            </w:pPr>
            <w:r>
              <w:rPr>
                <w:b/>
                <w:bCs/>
              </w:rPr>
              <w:t>Country</w:t>
            </w:r>
          </w:p>
        </w:tc>
        <w:tc>
          <w:tcPr>
            <w:tcW w:w="6120" w:type="dxa"/>
          </w:tcPr>
          <w:p w:rsidR="003723D9" w:rsidRPr="009462C9" w:rsidRDefault="009462C9" w:rsidP="00985525">
            <w:pPr>
              <w:rPr>
                <w:sz w:val="22"/>
                <w:szCs w:val="22"/>
              </w:rPr>
            </w:pPr>
            <w:r w:rsidRPr="009462C9">
              <w:rPr>
                <w:sz w:val="22"/>
                <w:szCs w:val="22"/>
              </w:rPr>
              <w:t>Brazil</w:t>
            </w:r>
          </w:p>
        </w:tc>
      </w:tr>
      <w:tr w:rsidR="00A126FA" w:rsidTr="00A05BC0">
        <w:tc>
          <w:tcPr>
            <w:tcW w:w="3420" w:type="dxa"/>
          </w:tcPr>
          <w:p w:rsidR="00A126FA" w:rsidRDefault="00A126FA">
            <w:pPr>
              <w:rPr>
                <w:b/>
                <w:bCs/>
              </w:rPr>
            </w:pPr>
            <w:r>
              <w:rPr>
                <w:b/>
                <w:bCs/>
              </w:rPr>
              <w:t>Sector</w:t>
            </w:r>
          </w:p>
        </w:tc>
        <w:tc>
          <w:tcPr>
            <w:tcW w:w="6120" w:type="dxa"/>
          </w:tcPr>
          <w:p w:rsidR="00A126FA" w:rsidRPr="009462C9" w:rsidRDefault="009462C9" w:rsidP="00985525">
            <w:pPr>
              <w:rPr>
                <w:sz w:val="22"/>
                <w:szCs w:val="22"/>
              </w:rPr>
            </w:pPr>
            <w:r w:rsidRPr="009462C9">
              <w:t>Public Sector Governance (MST)</w:t>
            </w:r>
          </w:p>
        </w:tc>
      </w:tr>
      <w:tr w:rsidR="004B2501" w:rsidTr="00A05BC0">
        <w:tc>
          <w:tcPr>
            <w:tcW w:w="3420" w:type="dxa"/>
          </w:tcPr>
          <w:p w:rsidR="004B2501" w:rsidRDefault="004B2501">
            <w:pPr>
              <w:rPr>
                <w:b/>
                <w:bCs/>
              </w:rPr>
            </w:pPr>
            <w:r>
              <w:rPr>
                <w:b/>
                <w:bCs/>
              </w:rPr>
              <w:t>Lending Instrument</w:t>
            </w:r>
          </w:p>
        </w:tc>
        <w:tc>
          <w:tcPr>
            <w:tcW w:w="6120" w:type="dxa"/>
          </w:tcPr>
          <w:p w:rsidR="004B2501" w:rsidRPr="009462C9" w:rsidRDefault="00985525" w:rsidP="00985525">
            <w:pPr>
              <w:rPr>
                <w:sz w:val="22"/>
                <w:szCs w:val="22"/>
              </w:rPr>
            </w:pPr>
            <w:r w:rsidRPr="009462C9">
              <w:rPr>
                <w:sz w:val="22"/>
                <w:szCs w:val="22"/>
              </w:rPr>
              <w:t>Program for Results</w:t>
            </w:r>
            <w:r w:rsidR="008968C8">
              <w:rPr>
                <w:sz w:val="22"/>
                <w:szCs w:val="22"/>
              </w:rPr>
              <w:t xml:space="preserve"> and Investment Project Financing (TA component)</w:t>
            </w:r>
          </w:p>
        </w:tc>
      </w:tr>
      <w:tr w:rsidR="00A126FA" w:rsidTr="00A05BC0">
        <w:tc>
          <w:tcPr>
            <w:tcW w:w="3420" w:type="dxa"/>
          </w:tcPr>
          <w:p w:rsidR="00A126FA" w:rsidRDefault="00E522BF">
            <w:pPr>
              <w:rPr>
                <w:b/>
                <w:bCs/>
              </w:rPr>
            </w:pPr>
            <w:r>
              <w:rPr>
                <w:b/>
                <w:bCs/>
              </w:rPr>
              <w:t>Program</w:t>
            </w:r>
            <w:r w:rsidR="00A126FA">
              <w:rPr>
                <w:b/>
                <w:bCs/>
              </w:rPr>
              <w:t xml:space="preserve"> ID</w:t>
            </w:r>
          </w:p>
        </w:tc>
        <w:tc>
          <w:tcPr>
            <w:tcW w:w="6120" w:type="dxa"/>
          </w:tcPr>
          <w:p w:rsidR="00A126FA" w:rsidRPr="007C6F68" w:rsidRDefault="009462C9" w:rsidP="00985525">
            <w:pPr>
              <w:rPr>
                <w:sz w:val="22"/>
                <w:szCs w:val="22"/>
              </w:rPr>
            </w:pPr>
            <w:r w:rsidRPr="007C6F68">
              <w:t>PE-P127463-LEN-BB</w:t>
            </w:r>
          </w:p>
        </w:tc>
      </w:tr>
      <w:tr w:rsidR="00F0007C" w:rsidTr="00A05BC0">
        <w:tc>
          <w:tcPr>
            <w:tcW w:w="3420" w:type="dxa"/>
          </w:tcPr>
          <w:p w:rsidR="00F0007C" w:rsidRDefault="00E522BF">
            <w:pPr>
              <w:rPr>
                <w:b/>
                <w:bCs/>
              </w:rPr>
            </w:pPr>
            <w:r>
              <w:rPr>
                <w:b/>
                <w:bCs/>
              </w:rPr>
              <w:t>Parent Program</w:t>
            </w:r>
            <w:r w:rsidR="00F0007C">
              <w:rPr>
                <w:b/>
                <w:bCs/>
              </w:rPr>
              <w:t xml:space="preserve"> ID</w:t>
            </w:r>
          </w:p>
        </w:tc>
        <w:tc>
          <w:tcPr>
            <w:tcW w:w="6120" w:type="dxa"/>
          </w:tcPr>
          <w:p w:rsidR="00F0007C" w:rsidRPr="009462C9" w:rsidRDefault="009462C9" w:rsidP="00985525">
            <w:pPr>
              <w:rPr>
                <w:sz w:val="22"/>
                <w:szCs w:val="22"/>
              </w:rPr>
            </w:pPr>
            <w:r>
              <w:rPr>
                <w:sz w:val="22"/>
                <w:szCs w:val="22"/>
              </w:rPr>
              <w:t>Not applicable</w:t>
            </w:r>
          </w:p>
        </w:tc>
      </w:tr>
      <w:tr w:rsidR="00A126FA" w:rsidTr="00A05BC0">
        <w:tc>
          <w:tcPr>
            <w:tcW w:w="3420" w:type="dxa"/>
            <w:tcBorders>
              <w:bottom w:val="single" w:sz="4" w:space="0" w:color="auto"/>
            </w:tcBorders>
          </w:tcPr>
          <w:p w:rsidR="00A126FA" w:rsidRDefault="00A126FA">
            <w:pPr>
              <w:rPr>
                <w:b/>
                <w:bCs/>
              </w:rPr>
            </w:pPr>
            <w:r>
              <w:rPr>
                <w:b/>
                <w:bCs/>
              </w:rPr>
              <w:t>Borrower(s)</w:t>
            </w:r>
          </w:p>
        </w:tc>
        <w:tc>
          <w:tcPr>
            <w:tcW w:w="6120" w:type="dxa"/>
            <w:tcBorders>
              <w:bottom w:val="single" w:sz="4" w:space="0" w:color="auto"/>
            </w:tcBorders>
          </w:tcPr>
          <w:p w:rsidR="00A126FA" w:rsidRPr="009462C9" w:rsidRDefault="009462C9" w:rsidP="00985525">
            <w:pPr>
              <w:rPr>
                <w:sz w:val="22"/>
                <w:szCs w:val="22"/>
              </w:rPr>
            </w:pPr>
            <w:r>
              <w:rPr>
                <w:sz w:val="22"/>
                <w:szCs w:val="22"/>
              </w:rPr>
              <w:t>State of Cear</w:t>
            </w:r>
            <w:r w:rsidR="00A50ED6" w:rsidRPr="003F32BC">
              <w:rPr>
                <w:bCs/>
              </w:rPr>
              <w:t>á</w:t>
            </w:r>
            <w:r>
              <w:rPr>
                <w:sz w:val="22"/>
                <w:szCs w:val="22"/>
              </w:rPr>
              <w:t>, Brazil</w:t>
            </w:r>
          </w:p>
        </w:tc>
      </w:tr>
      <w:tr w:rsidR="00A126FA" w:rsidTr="00A05BC0">
        <w:trPr>
          <w:cantSplit/>
          <w:trHeight w:val="140"/>
        </w:trPr>
        <w:tc>
          <w:tcPr>
            <w:tcW w:w="3420" w:type="dxa"/>
            <w:tcBorders>
              <w:bottom w:val="nil"/>
              <w:right w:val="single" w:sz="4" w:space="0" w:color="auto"/>
            </w:tcBorders>
          </w:tcPr>
          <w:p w:rsidR="00A126FA" w:rsidRDefault="00A126FA">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A126FA" w:rsidRPr="007C6F68" w:rsidRDefault="001536D2" w:rsidP="00985525">
            <w:pPr>
              <w:rPr>
                <w:sz w:val="22"/>
                <w:szCs w:val="22"/>
              </w:rPr>
            </w:pPr>
            <w:bookmarkStart w:id="1" w:name="IMPLEMENTINGAGENCY"/>
            <w:bookmarkEnd w:id="1"/>
            <w:r>
              <w:t xml:space="preserve">State </w:t>
            </w:r>
            <w:r w:rsidRPr="007C6F68">
              <w:t>Secretariat of Planning and Management</w:t>
            </w:r>
            <w:r w:rsidRPr="001536D2">
              <w:t xml:space="preserve"> </w:t>
            </w:r>
            <w:r>
              <w:t xml:space="preserve">, through </w:t>
            </w:r>
            <w:r w:rsidR="00690289" w:rsidRPr="001536D2">
              <w:t>Ceará Economic Research Institute (IPECE)</w:t>
            </w:r>
          </w:p>
        </w:tc>
      </w:tr>
      <w:tr w:rsidR="00A126FA" w:rsidTr="00A05BC0">
        <w:tc>
          <w:tcPr>
            <w:tcW w:w="3420" w:type="dxa"/>
          </w:tcPr>
          <w:p w:rsidR="00A126FA" w:rsidRDefault="00BA4035">
            <w:pPr>
              <w:rPr>
                <w:b/>
                <w:bCs/>
              </w:rPr>
            </w:pPr>
            <w:r>
              <w:rPr>
                <w:b/>
                <w:bCs/>
              </w:rPr>
              <w:t>Date PI</w:t>
            </w:r>
            <w:r w:rsidR="00A126FA">
              <w:rPr>
                <w:b/>
                <w:bCs/>
              </w:rPr>
              <w:t>D Prepared</w:t>
            </w:r>
          </w:p>
        </w:tc>
        <w:tc>
          <w:tcPr>
            <w:tcW w:w="6120" w:type="dxa"/>
          </w:tcPr>
          <w:p w:rsidR="00A126FA" w:rsidRPr="009462C9" w:rsidRDefault="008968C8" w:rsidP="001536D2">
            <w:pPr>
              <w:rPr>
                <w:sz w:val="22"/>
                <w:szCs w:val="22"/>
              </w:rPr>
            </w:pPr>
            <w:r>
              <w:rPr>
                <w:sz w:val="22"/>
                <w:szCs w:val="22"/>
              </w:rPr>
              <w:t>September 3</w:t>
            </w:r>
            <w:r w:rsidR="009462C9">
              <w:rPr>
                <w:sz w:val="22"/>
                <w:szCs w:val="22"/>
              </w:rPr>
              <w:t>, 2013</w:t>
            </w:r>
          </w:p>
        </w:tc>
      </w:tr>
      <w:tr w:rsidR="00A126FA" w:rsidTr="00A05BC0">
        <w:tc>
          <w:tcPr>
            <w:tcW w:w="3420" w:type="dxa"/>
          </w:tcPr>
          <w:p w:rsidR="00AB0F65" w:rsidRPr="008F0B46" w:rsidRDefault="007150F6" w:rsidP="00DE739D">
            <w:pPr>
              <w:rPr>
                <w:b/>
                <w:bCs/>
              </w:rPr>
            </w:pPr>
            <w:r w:rsidRPr="00DE739D">
              <w:rPr>
                <w:b/>
                <w:bCs/>
              </w:rPr>
              <w:t>Estimated Date of Appraisal Completion</w:t>
            </w:r>
          </w:p>
        </w:tc>
        <w:tc>
          <w:tcPr>
            <w:tcW w:w="6120" w:type="dxa"/>
          </w:tcPr>
          <w:p w:rsidR="00577870" w:rsidRPr="009462C9" w:rsidRDefault="009462C9" w:rsidP="00985525">
            <w:pPr>
              <w:rPr>
                <w:sz w:val="22"/>
                <w:szCs w:val="22"/>
              </w:rPr>
            </w:pPr>
            <w:r>
              <w:rPr>
                <w:sz w:val="22"/>
                <w:szCs w:val="22"/>
              </w:rPr>
              <w:t>September 20, 2013</w:t>
            </w:r>
          </w:p>
        </w:tc>
      </w:tr>
      <w:tr w:rsidR="00A126FA" w:rsidTr="00A05BC0">
        <w:tc>
          <w:tcPr>
            <w:tcW w:w="3420" w:type="dxa"/>
          </w:tcPr>
          <w:p w:rsidR="00A126FA" w:rsidRDefault="00A126FA">
            <w:pPr>
              <w:rPr>
                <w:b/>
                <w:bCs/>
              </w:rPr>
            </w:pPr>
            <w:r>
              <w:rPr>
                <w:b/>
                <w:bCs/>
              </w:rPr>
              <w:t>Estimated Date of Board Approval</w:t>
            </w:r>
          </w:p>
        </w:tc>
        <w:tc>
          <w:tcPr>
            <w:tcW w:w="6120" w:type="dxa"/>
          </w:tcPr>
          <w:p w:rsidR="00A126FA" w:rsidRPr="009462C9" w:rsidRDefault="001536D2" w:rsidP="001536D2">
            <w:pPr>
              <w:rPr>
                <w:sz w:val="22"/>
                <w:szCs w:val="22"/>
              </w:rPr>
            </w:pPr>
            <w:r>
              <w:rPr>
                <w:sz w:val="22"/>
                <w:szCs w:val="22"/>
              </w:rPr>
              <w:t>Novem</w:t>
            </w:r>
            <w:r w:rsidR="009462C9">
              <w:rPr>
                <w:sz w:val="22"/>
                <w:szCs w:val="22"/>
              </w:rPr>
              <w:t xml:space="preserve">ber </w:t>
            </w:r>
            <w:r>
              <w:rPr>
                <w:sz w:val="22"/>
                <w:szCs w:val="22"/>
              </w:rPr>
              <w:t>21</w:t>
            </w:r>
            <w:r w:rsidR="009462C9">
              <w:rPr>
                <w:sz w:val="22"/>
                <w:szCs w:val="22"/>
              </w:rPr>
              <w:t>, 2013</w:t>
            </w:r>
          </w:p>
        </w:tc>
      </w:tr>
    </w:tbl>
    <w:p w:rsidR="00A126FA" w:rsidRDefault="00A126FA" w:rsidP="00A126FA"/>
    <w:p w:rsidR="003103C4" w:rsidRDefault="00BA4035" w:rsidP="003103C4">
      <w:pPr>
        <w:numPr>
          <w:ilvl w:val="0"/>
          <w:numId w:val="24"/>
        </w:numPr>
        <w:rPr>
          <w:b/>
        </w:rPr>
      </w:pPr>
      <w:r>
        <w:rPr>
          <w:b/>
        </w:rPr>
        <w:t>Country</w:t>
      </w:r>
      <w:r w:rsidR="003103C4">
        <w:rPr>
          <w:b/>
        </w:rPr>
        <w:t xml:space="preserve"> </w:t>
      </w:r>
      <w:r w:rsidR="006C4B8F">
        <w:rPr>
          <w:b/>
        </w:rPr>
        <w:t xml:space="preserve">and State </w:t>
      </w:r>
      <w:r w:rsidR="003103C4">
        <w:rPr>
          <w:b/>
        </w:rPr>
        <w:t>Context</w:t>
      </w:r>
    </w:p>
    <w:p w:rsidR="006C4B8F" w:rsidRDefault="006C4B8F" w:rsidP="001536D2">
      <w:pPr>
        <w:ind w:left="720"/>
        <w:rPr>
          <w:b/>
        </w:rPr>
      </w:pPr>
    </w:p>
    <w:p w:rsidR="006C4B8F" w:rsidRDefault="006C4B8F" w:rsidP="006C4B8F">
      <w:pPr>
        <w:pStyle w:val="BodyText1"/>
      </w:pPr>
      <w:r w:rsidRPr="00284EEC">
        <w:t>Over the last two decades, Brazil has made significant advances in terms of economic and public sector management, poverty reduction, and social indicators. Sust</w:t>
      </w:r>
      <w:r>
        <w:t>ained</w:t>
      </w:r>
      <w:r w:rsidRPr="00D77D03">
        <w:t xml:space="preserve"> sound macroeconomic policies, achiev</w:t>
      </w:r>
      <w:r>
        <w:t>ed</w:t>
      </w:r>
      <w:r w:rsidRPr="00D77D03">
        <w:t xml:space="preserve"> low inflation, robust economic growth, and significant job creation. </w:t>
      </w:r>
      <w:r>
        <w:t>T</w:t>
      </w:r>
      <w:r w:rsidRPr="00D77D03">
        <w:t xml:space="preserve">he share of Brazilians living below the extreme poverty line </w:t>
      </w:r>
      <w:r w:rsidRPr="008B1FA7">
        <w:t>has</w:t>
      </w:r>
      <w:r>
        <w:rPr>
          <w:position w:val="16"/>
        </w:rPr>
        <w:t xml:space="preserve"> </w:t>
      </w:r>
      <w:r w:rsidRPr="00003B31">
        <w:t>been</w:t>
      </w:r>
      <w:r>
        <w:t xml:space="preserve"> reduced </w:t>
      </w:r>
      <w:r w:rsidRPr="00D77D03">
        <w:t xml:space="preserve">from 10.5 percent at the start of the 2000s to 4.7 percent in 2011, </w:t>
      </w:r>
      <w:r>
        <w:t>while the</w:t>
      </w:r>
      <w:r w:rsidRPr="00D77D03">
        <w:t xml:space="preserve"> </w:t>
      </w:r>
      <w:proofErr w:type="spellStart"/>
      <w:r w:rsidRPr="00D77D03">
        <w:t>Gini</w:t>
      </w:r>
      <w:proofErr w:type="spellEnd"/>
      <w:r w:rsidRPr="00D77D03">
        <w:t xml:space="preserve"> coefficient</w:t>
      </w:r>
      <w:r>
        <w:t xml:space="preserve"> has fallen</w:t>
      </w:r>
      <w:r w:rsidRPr="00D77D03">
        <w:t xml:space="preserve"> from 0.59 to 0.53 over the same period. </w:t>
      </w:r>
    </w:p>
    <w:p w:rsidR="006C4B8F" w:rsidRPr="003F32BC" w:rsidRDefault="006C4B8F" w:rsidP="006C4B8F">
      <w:pPr>
        <w:pStyle w:val="BodyText1"/>
      </w:pPr>
      <w:r w:rsidRPr="00284EEC">
        <w:t>Despite the economic and social progress of the past two decades, Brazil’s development is at a crossroads.</w:t>
      </w:r>
      <w:r>
        <w:t xml:space="preserve"> </w:t>
      </w:r>
      <w:r w:rsidR="001536D2">
        <w:t>F</w:t>
      </w:r>
      <w:r>
        <w:t xml:space="preserve">uture growth appears to be limited by structural bottlenecks in infrastructure, human capital, poor financial intermediation and difficulties in generating a political consensus on required economic policies and institutional reforms. At the same time a growing middle class is drawing attention to the failings of the political system, and its inability to deliver public services such as education, health and transport efficiently and cost-effectively. Mass demonstrations in most major cities in Brazil during June 2013, left little doubt as to the political importance of good governance and effective service delivery in Brazil. </w:t>
      </w:r>
    </w:p>
    <w:p w:rsidR="006C4B8F" w:rsidRPr="003F32BC" w:rsidRDefault="006C4B8F" w:rsidP="006C4B8F">
      <w:pPr>
        <w:pStyle w:val="BodyText1"/>
        <w:rPr>
          <w:bCs/>
        </w:rPr>
      </w:pPr>
      <w:r w:rsidRPr="00284EEC">
        <w:rPr>
          <w:bCs/>
        </w:rPr>
        <w:t>Ceará is one of the poorest states in the country with a per capita income of US$ 5,236 in 2010, less than half that of Brazil.</w:t>
      </w:r>
      <w:r>
        <w:rPr>
          <w:bCs/>
        </w:rPr>
        <w:t xml:space="preserve"> In addition, in 2011, 61 percent of the population had incomes below that of the bottom 40 percent of the population of Brazil. </w:t>
      </w:r>
      <w:r w:rsidRPr="003F32BC">
        <w:rPr>
          <w:bCs/>
        </w:rPr>
        <w:t xml:space="preserve"> Since the early 1990s, successive Ceará state governments have </w:t>
      </w:r>
      <w:r>
        <w:rPr>
          <w:bCs/>
        </w:rPr>
        <w:t xml:space="preserve">been </w:t>
      </w:r>
      <w:r w:rsidRPr="003F32BC">
        <w:rPr>
          <w:bCs/>
        </w:rPr>
        <w:t>reform</w:t>
      </w:r>
      <w:r>
        <w:rPr>
          <w:bCs/>
        </w:rPr>
        <w:t>ing</w:t>
      </w:r>
      <w:r w:rsidRPr="003F32BC">
        <w:rPr>
          <w:bCs/>
        </w:rPr>
        <w:t xml:space="preserve"> the system of public administration and invest</w:t>
      </w:r>
      <w:r>
        <w:rPr>
          <w:bCs/>
        </w:rPr>
        <w:t>ing</w:t>
      </w:r>
      <w:r w:rsidRPr="003F32BC">
        <w:rPr>
          <w:bCs/>
        </w:rPr>
        <w:t xml:space="preserve"> heavily in social programs, particularly health and education. </w:t>
      </w:r>
    </w:p>
    <w:p w:rsidR="006C4B8F" w:rsidRPr="003F32BC" w:rsidRDefault="006C4B8F" w:rsidP="006C4B8F">
      <w:pPr>
        <w:pStyle w:val="BodyText1"/>
        <w:rPr>
          <w:bCs/>
        </w:rPr>
      </w:pPr>
      <w:r w:rsidRPr="003F32BC">
        <w:rPr>
          <w:bCs/>
        </w:rPr>
        <w:t>Ceará face</w:t>
      </w:r>
      <w:r>
        <w:rPr>
          <w:bCs/>
        </w:rPr>
        <w:t>s</w:t>
      </w:r>
      <w:r w:rsidRPr="003F32BC">
        <w:rPr>
          <w:bCs/>
        </w:rPr>
        <w:t xml:space="preserve"> serious challenges:</w:t>
      </w:r>
    </w:p>
    <w:p w:rsidR="006C4B8F" w:rsidRPr="003F32BC" w:rsidRDefault="006C4B8F" w:rsidP="006C4B8F">
      <w:pPr>
        <w:pStyle w:val="ListParagraph"/>
        <w:widowControl w:val="0"/>
        <w:numPr>
          <w:ilvl w:val="0"/>
          <w:numId w:val="37"/>
        </w:numPr>
        <w:adjustRightInd w:val="0"/>
        <w:spacing w:after="120"/>
        <w:jc w:val="both"/>
        <w:textAlignment w:val="baseline"/>
        <w:rPr>
          <w:b/>
          <w:bCs/>
          <w:i/>
        </w:rPr>
      </w:pPr>
      <w:r w:rsidRPr="003F32BC">
        <w:rPr>
          <w:bCs/>
          <w:i/>
        </w:rPr>
        <w:t>Poverty:</w:t>
      </w:r>
      <w:r w:rsidRPr="003F32BC">
        <w:rPr>
          <w:bCs/>
        </w:rPr>
        <w:t xml:space="preserve"> Poverty levels are still </w:t>
      </w:r>
      <w:r>
        <w:rPr>
          <w:bCs/>
        </w:rPr>
        <w:t>very</w:t>
      </w:r>
      <w:r w:rsidRPr="003F32BC">
        <w:rPr>
          <w:bCs/>
        </w:rPr>
        <w:t xml:space="preserve"> high: </w:t>
      </w:r>
      <w:r>
        <w:rPr>
          <w:bCs/>
        </w:rPr>
        <w:t xml:space="preserve">in 2011 </w:t>
      </w:r>
      <w:r w:rsidRPr="003F32BC">
        <w:rPr>
          <w:bCs/>
        </w:rPr>
        <w:t xml:space="preserve">13 percent of the population lives </w:t>
      </w:r>
      <w:r>
        <w:rPr>
          <w:bCs/>
        </w:rPr>
        <w:t>in</w:t>
      </w:r>
      <w:r w:rsidRPr="003F32BC">
        <w:rPr>
          <w:bCs/>
        </w:rPr>
        <w:t xml:space="preserve"> extreme poverty line and </w:t>
      </w:r>
      <w:r>
        <w:rPr>
          <w:bCs/>
        </w:rPr>
        <w:t>36.9 percent in</w:t>
      </w:r>
      <w:r w:rsidRPr="003F32BC">
        <w:rPr>
          <w:bCs/>
        </w:rPr>
        <w:t xml:space="preserve"> poverty.</w:t>
      </w:r>
    </w:p>
    <w:p w:rsidR="006C4B8F" w:rsidRPr="003F32BC" w:rsidRDefault="006C4B8F" w:rsidP="006C4B8F">
      <w:pPr>
        <w:pStyle w:val="ListParagraph"/>
        <w:widowControl w:val="0"/>
        <w:numPr>
          <w:ilvl w:val="0"/>
          <w:numId w:val="37"/>
        </w:numPr>
        <w:adjustRightInd w:val="0"/>
        <w:spacing w:after="120"/>
        <w:jc w:val="both"/>
        <w:textAlignment w:val="baseline"/>
        <w:rPr>
          <w:b/>
          <w:bCs/>
          <w:i/>
        </w:rPr>
      </w:pPr>
      <w:r w:rsidRPr="003F32BC">
        <w:rPr>
          <w:bCs/>
          <w:i/>
        </w:rPr>
        <w:lastRenderedPageBreak/>
        <w:t xml:space="preserve">Growth: </w:t>
      </w:r>
      <w:r w:rsidRPr="003F32BC">
        <w:rPr>
          <w:bCs/>
        </w:rPr>
        <w:t xml:space="preserve">Production and exports are concentrated in traditional sectors with low levels of innovation and technological content. Ceará has an acute shortage of human capital which makes it difficult to attract large private sector investments. </w:t>
      </w:r>
    </w:p>
    <w:p w:rsidR="006C4B8F" w:rsidRPr="003F32BC" w:rsidRDefault="006C4B8F" w:rsidP="006C4B8F">
      <w:pPr>
        <w:pStyle w:val="ListParagraph"/>
        <w:widowControl w:val="0"/>
        <w:numPr>
          <w:ilvl w:val="0"/>
          <w:numId w:val="37"/>
        </w:numPr>
        <w:adjustRightInd w:val="0"/>
        <w:spacing w:after="120"/>
        <w:jc w:val="both"/>
        <w:textAlignment w:val="baseline"/>
        <w:rPr>
          <w:b/>
          <w:bCs/>
          <w:i/>
        </w:rPr>
      </w:pPr>
      <w:r w:rsidRPr="003F32BC">
        <w:rPr>
          <w:bCs/>
          <w:i/>
        </w:rPr>
        <w:t xml:space="preserve">Environment: </w:t>
      </w:r>
      <w:r w:rsidRPr="003F32BC">
        <w:rPr>
          <w:bCs/>
        </w:rPr>
        <w:t xml:space="preserve">Ceará is one of Brazil’s driest states and experiences chronic water </w:t>
      </w:r>
      <w:proofErr w:type="gramStart"/>
      <w:r w:rsidRPr="003F32BC">
        <w:rPr>
          <w:bCs/>
        </w:rPr>
        <w:t>scarcity</w:t>
      </w:r>
      <w:proofErr w:type="gramEnd"/>
      <w:r w:rsidRPr="003F32BC">
        <w:rPr>
          <w:bCs/>
        </w:rPr>
        <w:t xml:space="preserve">, </w:t>
      </w:r>
      <w:r>
        <w:rPr>
          <w:bCs/>
        </w:rPr>
        <w:t>which</w:t>
      </w:r>
      <w:r w:rsidRPr="003F32BC">
        <w:rPr>
          <w:bCs/>
        </w:rPr>
        <w:t xml:space="preserve"> hamper</w:t>
      </w:r>
      <w:r>
        <w:rPr>
          <w:bCs/>
        </w:rPr>
        <w:t>s</w:t>
      </w:r>
      <w:r w:rsidRPr="003F32BC">
        <w:rPr>
          <w:bCs/>
        </w:rPr>
        <w:t xml:space="preserve"> agricultural development and reduce</w:t>
      </w:r>
      <w:r>
        <w:rPr>
          <w:bCs/>
        </w:rPr>
        <w:t>s</w:t>
      </w:r>
      <w:r w:rsidRPr="003F32BC">
        <w:rPr>
          <w:bCs/>
        </w:rPr>
        <w:t xml:space="preserve"> social welfare. </w:t>
      </w:r>
      <w:r>
        <w:rPr>
          <w:bCs/>
        </w:rPr>
        <w:t xml:space="preserve">In 2011 only 75 percent of people were in households connected to the public water system and 35 percent to the sewerage system. </w:t>
      </w:r>
    </w:p>
    <w:p w:rsidR="006C4B8F" w:rsidRDefault="006C4B8F" w:rsidP="006C4B8F">
      <w:pPr>
        <w:pStyle w:val="ListParagraph"/>
        <w:widowControl w:val="0"/>
        <w:numPr>
          <w:ilvl w:val="0"/>
          <w:numId w:val="37"/>
        </w:numPr>
        <w:adjustRightInd w:val="0"/>
        <w:spacing w:after="120"/>
        <w:jc w:val="both"/>
        <w:textAlignment w:val="baseline"/>
        <w:rPr>
          <w:bCs/>
        </w:rPr>
      </w:pPr>
      <w:r w:rsidRPr="003F32BC">
        <w:rPr>
          <w:bCs/>
          <w:i/>
        </w:rPr>
        <w:t>Public sector management:</w:t>
      </w:r>
      <w:r>
        <w:rPr>
          <w:bCs/>
        </w:rPr>
        <w:t xml:space="preserve"> The efficiency and quality of service delivery in all these areas depend ultimately on stronger public sector management. </w:t>
      </w:r>
    </w:p>
    <w:p w:rsidR="004F5268" w:rsidRPr="00E218F4" w:rsidRDefault="004F5268" w:rsidP="00B52ED8">
      <w:pPr>
        <w:pStyle w:val="ListParagraph"/>
      </w:pPr>
    </w:p>
    <w:p w:rsidR="00BA4035" w:rsidRDefault="00C73D2B" w:rsidP="00BA4035">
      <w:pPr>
        <w:numPr>
          <w:ilvl w:val="0"/>
          <w:numId w:val="24"/>
        </w:numPr>
        <w:rPr>
          <w:b/>
        </w:rPr>
      </w:pPr>
      <w:r>
        <w:rPr>
          <w:b/>
        </w:rPr>
        <w:t>Multi-</w:t>
      </w:r>
      <w:proofErr w:type="spellStart"/>
      <w:r w:rsidR="00BA4035">
        <w:rPr>
          <w:b/>
        </w:rPr>
        <w:t>Sectoral</w:t>
      </w:r>
      <w:proofErr w:type="spellEnd"/>
      <w:r w:rsidR="003C714A">
        <w:rPr>
          <w:b/>
        </w:rPr>
        <w:t xml:space="preserve"> </w:t>
      </w:r>
      <w:r w:rsidR="00BA4035">
        <w:rPr>
          <w:b/>
        </w:rPr>
        <w:t>and Institutional Context</w:t>
      </w:r>
    </w:p>
    <w:p w:rsidR="00024BB3" w:rsidRDefault="00024BB3" w:rsidP="00024BB3">
      <w:pPr>
        <w:rPr>
          <w:b/>
        </w:rPr>
      </w:pPr>
    </w:p>
    <w:p w:rsidR="00D250A4" w:rsidRDefault="00D250A4" w:rsidP="001536D2">
      <w:pPr>
        <w:pStyle w:val="BodyText1"/>
      </w:pPr>
      <w:r w:rsidRPr="001536D2">
        <w:t>The Government of Ceará requested the Bank’s support in implementing its Multi-Year Plan (</w:t>
      </w:r>
      <w:r w:rsidRPr="001536D2">
        <w:rPr>
          <w:i/>
        </w:rPr>
        <w:t xml:space="preserve">Plano </w:t>
      </w:r>
      <w:proofErr w:type="spellStart"/>
      <w:r w:rsidRPr="001536D2">
        <w:rPr>
          <w:i/>
        </w:rPr>
        <w:t>Plurianual</w:t>
      </w:r>
      <w:proofErr w:type="spellEnd"/>
      <w:r w:rsidRPr="001536D2">
        <w:t xml:space="preserve"> or </w:t>
      </w:r>
      <w:r w:rsidRPr="001536D2">
        <w:rPr>
          <w:i/>
        </w:rPr>
        <w:t>PPA</w:t>
      </w:r>
      <w:r w:rsidRPr="001536D2">
        <w:t>) for 2012-15.</w:t>
      </w:r>
      <w:r w:rsidRPr="003F32BC">
        <w:t xml:space="preserve"> The objectives of the Plan are to promote equitable social development, sustainable economic development and to contribute to the emergence of a more efficient and participatory public sector.</w:t>
      </w:r>
    </w:p>
    <w:p w:rsidR="00D250A4" w:rsidRDefault="00D250A4" w:rsidP="00D250A4">
      <w:pPr>
        <w:pStyle w:val="BodyText1"/>
      </w:pPr>
      <w:r w:rsidRPr="001536D2">
        <w:t>The operation will support a subset of the PPA and concentrate on three core and partly interlocking challenges</w:t>
      </w:r>
      <w:r w:rsidRPr="0080288A">
        <w:t xml:space="preserve"> that</w:t>
      </w:r>
      <w:r w:rsidRPr="003F32BC">
        <w:t xml:space="preserve"> are </w:t>
      </w:r>
      <w:r>
        <w:t>developmentally important</w:t>
      </w:r>
      <w:r w:rsidRPr="003F32BC">
        <w:t>, complex in that they require interaction across different government agencies and with the private sector, and to which the Bank can reasonably be expected to contribute. They are also among the interventions likely to have the greatest impact on growth, poverty reduction and environmental sustainability</w:t>
      </w:r>
      <w:r>
        <w:t xml:space="preserve"> and thus contribute to ending extreme poverty and promoting shared prosperity</w:t>
      </w:r>
      <w:r w:rsidRPr="003F32BC">
        <w:t xml:space="preserve">. </w:t>
      </w:r>
    </w:p>
    <w:p w:rsidR="003D5308" w:rsidRPr="003C714A" w:rsidRDefault="00D250A4" w:rsidP="001536D2">
      <w:pPr>
        <w:pStyle w:val="BodyText1"/>
        <w:rPr>
          <w:i/>
        </w:rPr>
      </w:pPr>
      <w:r w:rsidRPr="001536D2">
        <w:t>These challenges, each of which corresponds to a single guideline or ‘</w:t>
      </w:r>
      <w:proofErr w:type="spellStart"/>
      <w:r w:rsidRPr="001536D2">
        <w:rPr>
          <w:i/>
        </w:rPr>
        <w:t>diretriz</w:t>
      </w:r>
      <w:proofErr w:type="spellEnd"/>
      <w:r w:rsidRPr="001536D2">
        <w:t>’ in the PPA, are in skills development, early childhood development, and water quality</w:t>
      </w:r>
      <w:r w:rsidR="001536D2">
        <w:t>.</w:t>
      </w:r>
    </w:p>
    <w:p w:rsidR="00BA4035" w:rsidRDefault="006C4B8F" w:rsidP="00BA4035">
      <w:pPr>
        <w:numPr>
          <w:ilvl w:val="0"/>
          <w:numId w:val="24"/>
        </w:numPr>
        <w:rPr>
          <w:b/>
        </w:rPr>
      </w:pPr>
      <w:r>
        <w:rPr>
          <w:b/>
        </w:rPr>
        <w:t xml:space="preserve">Program </w:t>
      </w:r>
      <w:r w:rsidR="00BA4035">
        <w:rPr>
          <w:b/>
        </w:rPr>
        <w:t>Scope</w:t>
      </w:r>
    </w:p>
    <w:p w:rsidR="004F5268" w:rsidRDefault="004F5268" w:rsidP="004F5268">
      <w:pPr>
        <w:rPr>
          <w:b/>
        </w:rPr>
      </w:pPr>
    </w:p>
    <w:p w:rsidR="00C73D2B" w:rsidRPr="003F32BC" w:rsidRDefault="00C73D2B" w:rsidP="001536D2">
      <w:pPr>
        <w:pStyle w:val="BodyText1"/>
      </w:pPr>
      <w:r w:rsidRPr="001536D2">
        <w:t>The operation will support Ceará in improving the quality of service delivery through more effective public sector management in three core areas</w:t>
      </w:r>
      <w:r w:rsidR="0080288A">
        <w:t>:</w:t>
      </w:r>
      <w:r w:rsidRPr="001536D2">
        <w:t xml:space="preserve"> skills development, early childhood development and water quality</w:t>
      </w:r>
      <w:r w:rsidR="001536D2">
        <w:t>.</w:t>
      </w:r>
    </w:p>
    <w:p w:rsidR="00C73D2B" w:rsidRDefault="00C73D2B" w:rsidP="00C73D2B">
      <w:pPr>
        <w:pStyle w:val="BodyText1"/>
      </w:pPr>
      <w:r>
        <w:t xml:space="preserve">The proposed operation has two complementary components – a US$ 315 million </w:t>
      </w:r>
      <w:proofErr w:type="spellStart"/>
      <w:r>
        <w:t>PforR</w:t>
      </w:r>
      <w:proofErr w:type="spellEnd"/>
      <w:r>
        <w:t xml:space="preserve"> Program, and a US$ 35 million technical assistance component. The Program consists of government expenditure programs in vocational training, early childhood development and water quality amounting to US$ 458 million of which the Bank will finance US$ 315 million. The technical assistance component </w:t>
      </w:r>
      <w:r w:rsidRPr="003F32BC">
        <w:t>consist</w:t>
      </w:r>
      <w:r>
        <w:t>s</w:t>
      </w:r>
      <w:r w:rsidRPr="003F32BC">
        <w:t xml:space="preserve"> exclusively of </w:t>
      </w:r>
      <w:r>
        <w:t xml:space="preserve">high-quality firm and individual </w:t>
      </w:r>
      <w:r w:rsidRPr="003F32BC">
        <w:t xml:space="preserve">consulting services </w:t>
      </w:r>
      <w:r>
        <w:t>and comprises support for</w:t>
      </w:r>
      <w:r w:rsidRPr="003F32BC">
        <w:t xml:space="preserve">: </w:t>
      </w:r>
      <w:proofErr w:type="spellStart"/>
      <w:r w:rsidRPr="003F32BC">
        <w:t>i</w:t>
      </w:r>
      <w:proofErr w:type="spellEnd"/>
      <w:r w:rsidRPr="003F32BC">
        <w:t xml:space="preserve">) cross-cutting public sector management functions; ii) sector-specific public sector management functions; and iii) strengthening fiduciary systems. Its content </w:t>
      </w:r>
      <w:r>
        <w:t>is described in more detail below (Section II B).</w:t>
      </w:r>
    </w:p>
    <w:p w:rsidR="003D5308" w:rsidRPr="003C714A" w:rsidRDefault="003D5308" w:rsidP="00B52ED8">
      <w:pPr>
        <w:jc w:val="both"/>
        <w:rPr>
          <w:i/>
        </w:rPr>
      </w:pPr>
    </w:p>
    <w:p w:rsidR="003103C4" w:rsidRDefault="006C4B8F" w:rsidP="003103C4">
      <w:pPr>
        <w:numPr>
          <w:ilvl w:val="0"/>
          <w:numId w:val="24"/>
        </w:numPr>
        <w:rPr>
          <w:b/>
        </w:rPr>
      </w:pPr>
      <w:r>
        <w:rPr>
          <w:b/>
        </w:rPr>
        <w:t xml:space="preserve">Program </w:t>
      </w:r>
      <w:r w:rsidR="003103C4">
        <w:rPr>
          <w:b/>
        </w:rPr>
        <w:t>Development O</w:t>
      </w:r>
      <w:r w:rsidR="003103C4" w:rsidRPr="008D1059">
        <w:rPr>
          <w:b/>
        </w:rPr>
        <w:t>bjective</w:t>
      </w:r>
    </w:p>
    <w:p w:rsidR="00604805" w:rsidRDefault="00604805" w:rsidP="00604805">
      <w:pPr>
        <w:rPr>
          <w:b/>
        </w:rPr>
      </w:pPr>
    </w:p>
    <w:p w:rsidR="00C73D2B" w:rsidRDefault="00B53595" w:rsidP="001536D2">
      <w:pPr>
        <w:pStyle w:val="BodyText1"/>
      </w:pPr>
      <w:r>
        <w:t xml:space="preserve">The </w:t>
      </w:r>
      <w:r w:rsidR="006C4B8F">
        <w:t xml:space="preserve">Program </w:t>
      </w:r>
      <w:r>
        <w:t>Development Objective (</w:t>
      </w:r>
      <w:r w:rsidR="006C4B8F">
        <w:t>P</w:t>
      </w:r>
      <w:r w:rsidR="006C4B8F" w:rsidRPr="00254F90">
        <w:t>DO</w:t>
      </w:r>
      <w:r w:rsidRPr="00254F90">
        <w:t xml:space="preserve">) is </w:t>
      </w:r>
      <w:r w:rsidR="006C4B8F" w:rsidRPr="00254F90">
        <w:t xml:space="preserve">to </w:t>
      </w:r>
      <w:r w:rsidR="006C4B8F" w:rsidRPr="001A4B99">
        <w:t xml:space="preserve">support the Government to improve </w:t>
      </w:r>
      <w:r w:rsidR="006C4B8F">
        <w:t xml:space="preserve">public </w:t>
      </w:r>
      <w:r w:rsidR="006C4B8F" w:rsidRPr="001A4B99">
        <w:t>service delivery particularly in the areas of skills development, early childhood development and water quality.</w:t>
      </w:r>
    </w:p>
    <w:p w:rsidR="00FF23CF" w:rsidRDefault="00FF23CF" w:rsidP="006C4B8F">
      <w:pPr>
        <w:jc w:val="both"/>
        <w:rPr>
          <w:b/>
        </w:rPr>
      </w:pPr>
    </w:p>
    <w:p w:rsidR="001536D2" w:rsidRDefault="001536D2" w:rsidP="006C4B8F">
      <w:pPr>
        <w:jc w:val="both"/>
        <w:rPr>
          <w:b/>
        </w:rPr>
      </w:pPr>
    </w:p>
    <w:p w:rsidR="001536D2" w:rsidRDefault="001536D2" w:rsidP="006C4B8F">
      <w:pPr>
        <w:jc w:val="both"/>
        <w:rPr>
          <w:b/>
        </w:rPr>
      </w:pPr>
    </w:p>
    <w:p w:rsidR="001536D2" w:rsidRDefault="001536D2" w:rsidP="006C4B8F">
      <w:pPr>
        <w:jc w:val="both"/>
        <w:rPr>
          <w:b/>
        </w:rPr>
      </w:pPr>
    </w:p>
    <w:p w:rsidR="00F41703" w:rsidRDefault="00084ABC" w:rsidP="00A126FA">
      <w:pPr>
        <w:numPr>
          <w:ilvl w:val="0"/>
          <w:numId w:val="24"/>
        </w:numPr>
        <w:rPr>
          <w:b/>
        </w:rPr>
      </w:pPr>
      <w:r>
        <w:rPr>
          <w:b/>
        </w:rPr>
        <w:t xml:space="preserve">Environmental and Social </w:t>
      </w:r>
      <w:r w:rsidR="003C714A">
        <w:rPr>
          <w:b/>
        </w:rPr>
        <w:t>Effects</w:t>
      </w:r>
    </w:p>
    <w:p w:rsidR="00604805" w:rsidRDefault="00604805" w:rsidP="00604805">
      <w:pPr>
        <w:rPr>
          <w:b/>
        </w:rPr>
      </w:pPr>
    </w:p>
    <w:p w:rsidR="00C73D2B" w:rsidRDefault="00C73D2B" w:rsidP="00C73D2B">
      <w:pPr>
        <w:pStyle w:val="BodyText1"/>
      </w:pPr>
      <w:r>
        <w:t>The Bank’s</w:t>
      </w:r>
      <w:r w:rsidRPr="003F32BC">
        <w:t xml:space="preserve"> overall a</w:t>
      </w:r>
      <w:r>
        <w:t>ssessment is that the proposed p</w:t>
      </w:r>
      <w:r w:rsidRPr="003F32BC">
        <w:t xml:space="preserve">rogram is suitable for the </w:t>
      </w:r>
      <w:proofErr w:type="spellStart"/>
      <w:r w:rsidRPr="003F32BC">
        <w:t>PforR</w:t>
      </w:r>
      <w:proofErr w:type="spellEnd"/>
      <w:r w:rsidRPr="003F32BC">
        <w:t xml:space="preserve"> instrument and the risk profile Moderate</w:t>
      </w:r>
      <w:r>
        <w:t xml:space="preserve"> (see Annex 6)</w:t>
      </w:r>
      <w:r w:rsidRPr="003F32BC">
        <w:t>.</w:t>
      </w:r>
      <w:r>
        <w:t xml:space="preserve"> Resettlement impact is expected to be minimal and the civil works envisaged under the skills development and ECD components will generate only minor disturbances. </w:t>
      </w:r>
      <w:r w:rsidRPr="00771EC1">
        <w:t>The Action Plan contains measures to</w:t>
      </w:r>
      <w:r>
        <w:t xml:space="preserve"> </w:t>
      </w:r>
      <w:r w:rsidRPr="00771EC1">
        <w:t>ensure that margin</w:t>
      </w:r>
      <w:r>
        <w:t>alized groups</w:t>
      </w:r>
      <w:r w:rsidRPr="00771EC1">
        <w:t xml:space="preserve"> have access to program benefits</w:t>
      </w:r>
      <w:r>
        <w:t xml:space="preserve"> and</w:t>
      </w:r>
      <w:r w:rsidRPr="00771EC1">
        <w:t xml:space="preserve"> </w:t>
      </w:r>
      <w:r>
        <w:t xml:space="preserve">to align </w:t>
      </w:r>
      <w:proofErr w:type="spellStart"/>
      <w:r>
        <w:t>Cear</w:t>
      </w:r>
      <w:r w:rsidRPr="003F32BC">
        <w:rPr>
          <w:bCs/>
        </w:rPr>
        <w:t>á</w:t>
      </w:r>
      <w:r>
        <w:t>’s</w:t>
      </w:r>
      <w:proofErr w:type="spellEnd"/>
      <w:r>
        <w:t xml:space="preserve"> resettlement </w:t>
      </w:r>
      <w:r w:rsidRPr="00771EC1">
        <w:t>compensat</w:t>
      </w:r>
      <w:r>
        <w:t xml:space="preserve">ion rules with Bank </w:t>
      </w:r>
      <w:r w:rsidRPr="00771EC1">
        <w:t>practice.</w:t>
      </w:r>
      <w:r>
        <w:t xml:space="preserve"> </w:t>
      </w:r>
    </w:p>
    <w:p w:rsidR="007F2EF0" w:rsidRDefault="007F2EF0" w:rsidP="00B52ED8">
      <w:pPr>
        <w:ind w:left="720"/>
        <w:jc w:val="both"/>
        <w:rPr>
          <w:b/>
        </w:rPr>
      </w:pPr>
    </w:p>
    <w:p w:rsidR="00A126FA" w:rsidRDefault="00273928" w:rsidP="00A126FA">
      <w:pPr>
        <w:numPr>
          <w:ilvl w:val="0"/>
          <w:numId w:val="24"/>
        </w:numPr>
        <w:rPr>
          <w:b/>
        </w:rPr>
      </w:pPr>
      <w:r>
        <w:rPr>
          <w:b/>
        </w:rPr>
        <w:t>F</w:t>
      </w:r>
      <w:r w:rsidR="00A126FA" w:rsidRPr="00B14B1C">
        <w:rPr>
          <w:b/>
        </w:rPr>
        <w:t>inancing</w:t>
      </w:r>
    </w:p>
    <w:p w:rsidR="00B53595" w:rsidRDefault="00B53595" w:rsidP="00B52ED8">
      <w:pPr>
        <w:ind w:left="720"/>
        <w:rPr>
          <w:b/>
        </w:rPr>
      </w:pPr>
    </w:p>
    <w:tbl>
      <w:tblPr>
        <w:tblW w:w="76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2610"/>
        <w:gridCol w:w="2520"/>
        <w:gridCol w:w="2520"/>
      </w:tblGrid>
      <w:tr w:rsidR="006F79EB" w:rsidRPr="00157A8C" w:rsidTr="00B52ED8">
        <w:trPr>
          <w:trHeight w:val="145"/>
        </w:trPr>
        <w:tc>
          <w:tcPr>
            <w:tcW w:w="2610" w:type="dxa"/>
            <w:shd w:val="clear" w:color="auto" w:fill="FFFFFF"/>
            <w:tcMar>
              <w:top w:w="50" w:type="dxa"/>
              <w:left w:w="50" w:type="dxa"/>
              <w:bottom w:w="50" w:type="dxa"/>
              <w:right w:w="50" w:type="dxa"/>
            </w:tcMar>
          </w:tcPr>
          <w:p w:rsidR="006F79EB" w:rsidRPr="001536D2" w:rsidRDefault="006F79EB" w:rsidP="001536D2">
            <w:pPr>
              <w:jc w:val="center"/>
              <w:rPr>
                <w:b/>
                <w:sz w:val="20"/>
                <w:szCs w:val="20"/>
              </w:rPr>
            </w:pPr>
            <w:r w:rsidRPr="001536D2">
              <w:rPr>
                <w:b/>
                <w:sz w:val="20"/>
                <w:szCs w:val="20"/>
              </w:rPr>
              <w:t>Source</w:t>
            </w:r>
          </w:p>
        </w:tc>
        <w:tc>
          <w:tcPr>
            <w:tcW w:w="2520" w:type="dxa"/>
            <w:shd w:val="clear" w:color="auto" w:fill="FFFFFF"/>
            <w:tcMar>
              <w:top w:w="50" w:type="dxa"/>
              <w:left w:w="50" w:type="dxa"/>
              <w:bottom w:w="50" w:type="dxa"/>
              <w:right w:w="50" w:type="dxa"/>
            </w:tcMar>
          </w:tcPr>
          <w:p w:rsidR="006F79EB" w:rsidRPr="001536D2" w:rsidRDefault="006F79EB" w:rsidP="001536D2">
            <w:pPr>
              <w:jc w:val="center"/>
              <w:rPr>
                <w:b/>
                <w:sz w:val="20"/>
                <w:szCs w:val="20"/>
              </w:rPr>
            </w:pPr>
            <w:r w:rsidRPr="001536D2">
              <w:rPr>
                <w:b/>
                <w:sz w:val="20"/>
                <w:szCs w:val="20"/>
              </w:rPr>
              <w:t>Amount</w:t>
            </w:r>
          </w:p>
        </w:tc>
        <w:tc>
          <w:tcPr>
            <w:tcW w:w="2520" w:type="dxa"/>
            <w:shd w:val="clear" w:color="auto" w:fill="FFFFFF"/>
          </w:tcPr>
          <w:p w:rsidR="006F79EB" w:rsidRPr="001536D2" w:rsidRDefault="006F79EB" w:rsidP="0080288A">
            <w:pPr>
              <w:jc w:val="center"/>
              <w:rPr>
                <w:b/>
                <w:sz w:val="20"/>
                <w:szCs w:val="20"/>
              </w:rPr>
            </w:pPr>
            <w:r w:rsidRPr="001536D2">
              <w:rPr>
                <w:b/>
                <w:sz w:val="20"/>
                <w:szCs w:val="20"/>
              </w:rPr>
              <w:t>% of Total</w:t>
            </w:r>
          </w:p>
        </w:tc>
      </w:tr>
      <w:tr w:rsidR="006F79EB" w:rsidRPr="00157A8C" w:rsidTr="00B52ED8">
        <w:trPr>
          <w:trHeight w:val="145"/>
        </w:trPr>
        <w:tc>
          <w:tcPr>
            <w:tcW w:w="2610" w:type="dxa"/>
            <w:shd w:val="clear" w:color="auto" w:fill="FFFFFF"/>
            <w:tcMar>
              <w:top w:w="50" w:type="dxa"/>
              <w:left w:w="50" w:type="dxa"/>
              <w:bottom w:w="50" w:type="dxa"/>
              <w:right w:w="50" w:type="dxa"/>
            </w:tcMar>
          </w:tcPr>
          <w:p w:rsidR="006F79EB" w:rsidRPr="00157A8C" w:rsidRDefault="006F79EB" w:rsidP="00CA271E">
            <w:pPr>
              <w:rPr>
                <w:sz w:val="20"/>
                <w:szCs w:val="20"/>
              </w:rPr>
            </w:pPr>
            <w:r w:rsidRPr="00157A8C">
              <w:rPr>
                <w:sz w:val="20"/>
                <w:szCs w:val="20"/>
              </w:rPr>
              <w:t>BORROWER</w:t>
            </w:r>
          </w:p>
        </w:tc>
        <w:tc>
          <w:tcPr>
            <w:tcW w:w="2520" w:type="dxa"/>
            <w:shd w:val="clear" w:color="auto" w:fill="FFFFFF"/>
            <w:tcMar>
              <w:top w:w="50" w:type="dxa"/>
              <w:left w:w="50" w:type="dxa"/>
              <w:bottom w:w="50" w:type="dxa"/>
              <w:right w:w="50" w:type="dxa"/>
            </w:tcMar>
          </w:tcPr>
          <w:p w:rsidR="006F79EB" w:rsidRPr="00157A8C" w:rsidRDefault="006F79EB" w:rsidP="00CA271E">
            <w:pPr>
              <w:rPr>
                <w:sz w:val="20"/>
                <w:szCs w:val="20"/>
              </w:rPr>
            </w:pPr>
            <w:r>
              <w:rPr>
                <w:sz w:val="20"/>
                <w:szCs w:val="20"/>
              </w:rPr>
              <w:t>US$ 143</w:t>
            </w:r>
            <w:r w:rsidRPr="00157A8C">
              <w:rPr>
                <w:sz w:val="20"/>
                <w:szCs w:val="20"/>
              </w:rPr>
              <w:t xml:space="preserve"> million</w:t>
            </w:r>
          </w:p>
        </w:tc>
        <w:tc>
          <w:tcPr>
            <w:tcW w:w="2520" w:type="dxa"/>
            <w:shd w:val="clear" w:color="auto" w:fill="FFFFFF"/>
          </w:tcPr>
          <w:p w:rsidR="006F79EB" w:rsidRDefault="006F79EB" w:rsidP="00B52ED8">
            <w:pPr>
              <w:jc w:val="center"/>
              <w:rPr>
                <w:sz w:val="20"/>
                <w:szCs w:val="20"/>
              </w:rPr>
            </w:pPr>
            <w:r>
              <w:rPr>
                <w:sz w:val="20"/>
                <w:szCs w:val="20"/>
              </w:rPr>
              <w:t>29%</w:t>
            </w:r>
          </w:p>
        </w:tc>
      </w:tr>
      <w:tr w:rsidR="006F79EB" w:rsidRPr="00157A8C" w:rsidTr="00B52ED8">
        <w:trPr>
          <w:trHeight w:val="221"/>
        </w:trPr>
        <w:tc>
          <w:tcPr>
            <w:tcW w:w="2610" w:type="dxa"/>
            <w:shd w:val="clear" w:color="auto" w:fill="FFFFFF"/>
            <w:tcMar>
              <w:top w:w="50" w:type="dxa"/>
              <w:left w:w="50" w:type="dxa"/>
              <w:bottom w:w="50" w:type="dxa"/>
              <w:right w:w="50" w:type="dxa"/>
            </w:tcMar>
          </w:tcPr>
          <w:p w:rsidR="006F79EB" w:rsidRPr="00157A8C" w:rsidRDefault="006F79EB" w:rsidP="00CA271E">
            <w:pPr>
              <w:rPr>
                <w:sz w:val="20"/>
                <w:szCs w:val="20"/>
              </w:rPr>
            </w:pPr>
            <w:r w:rsidRPr="00157A8C">
              <w:rPr>
                <w:sz w:val="20"/>
                <w:szCs w:val="20"/>
              </w:rPr>
              <w:t>IBRD</w:t>
            </w:r>
          </w:p>
          <w:p w:rsidR="006F79EB" w:rsidRPr="00157A8C" w:rsidRDefault="006F79EB" w:rsidP="00CA271E">
            <w:pPr>
              <w:rPr>
                <w:sz w:val="20"/>
                <w:szCs w:val="20"/>
              </w:rPr>
            </w:pPr>
          </w:p>
          <w:p w:rsidR="006F79EB" w:rsidRPr="00157A8C" w:rsidRDefault="008968C8" w:rsidP="00CA271E">
            <w:pPr>
              <w:rPr>
                <w:sz w:val="20"/>
                <w:szCs w:val="20"/>
              </w:rPr>
            </w:pPr>
            <w:r>
              <w:rPr>
                <w:sz w:val="20"/>
                <w:szCs w:val="20"/>
              </w:rPr>
              <w:t xml:space="preserve">    </w:t>
            </w:r>
            <w:r w:rsidR="006F79EB" w:rsidRPr="00157A8C">
              <w:rPr>
                <w:sz w:val="20"/>
                <w:szCs w:val="20"/>
              </w:rPr>
              <w:t>PROGRAM</w:t>
            </w:r>
          </w:p>
          <w:p w:rsidR="006F79EB" w:rsidRPr="00157A8C" w:rsidRDefault="006F79EB" w:rsidP="00CA271E">
            <w:pPr>
              <w:rPr>
                <w:color w:val="000000" w:themeColor="text1"/>
                <w:sz w:val="20"/>
                <w:szCs w:val="20"/>
              </w:rPr>
            </w:pPr>
          </w:p>
          <w:p w:rsidR="006F79EB" w:rsidRPr="00157A8C" w:rsidRDefault="006F79EB" w:rsidP="00CA271E">
            <w:pPr>
              <w:rPr>
                <w:sz w:val="20"/>
                <w:szCs w:val="20"/>
              </w:rPr>
            </w:pPr>
            <w:r w:rsidRPr="00157A8C">
              <w:rPr>
                <w:color w:val="000000" w:themeColor="text1"/>
                <w:sz w:val="20"/>
                <w:szCs w:val="20"/>
              </w:rPr>
              <w:t xml:space="preserve">    </w:t>
            </w:r>
            <w:r w:rsidR="00D250A4">
              <w:rPr>
                <w:color w:val="000000" w:themeColor="text1"/>
                <w:sz w:val="20"/>
                <w:szCs w:val="20"/>
              </w:rPr>
              <w:t>TA</w:t>
            </w:r>
          </w:p>
        </w:tc>
        <w:tc>
          <w:tcPr>
            <w:tcW w:w="2520" w:type="dxa"/>
            <w:shd w:val="clear" w:color="auto" w:fill="FFFFFF"/>
            <w:tcMar>
              <w:top w:w="50" w:type="dxa"/>
              <w:left w:w="50" w:type="dxa"/>
              <w:bottom w:w="50" w:type="dxa"/>
              <w:right w:w="50" w:type="dxa"/>
            </w:tcMar>
          </w:tcPr>
          <w:p w:rsidR="006F79EB" w:rsidRPr="00157A8C" w:rsidRDefault="006F79EB" w:rsidP="00CA271E">
            <w:pPr>
              <w:rPr>
                <w:sz w:val="20"/>
                <w:szCs w:val="20"/>
              </w:rPr>
            </w:pPr>
            <w:r w:rsidRPr="00157A8C">
              <w:rPr>
                <w:sz w:val="20"/>
                <w:szCs w:val="20"/>
              </w:rPr>
              <w:t>US$ 350 million</w:t>
            </w:r>
          </w:p>
          <w:p w:rsidR="006F79EB" w:rsidRPr="00157A8C" w:rsidRDefault="006F79EB" w:rsidP="00CA271E">
            <w:pPr>
              <w:rPr>
                <w:sz w:val="20"/>
                <w:szCs w:val="20"/>
              </w:rPr>
            </w:pPr>
          </w:p>
          <w:p w:rsidR="006F79EB" w:rsidRPr="00157A8C" w:rsidRDefault="006F79EB" w:rsidP="00CA271E">
            <w:pPr>
              <w:rPr>
                <w:sz w:val="20"/>
                <w:szCs w:val="20"/>
              </w:rPr>
            </w:pPr>
            <w:r>
              <w:rPr>
                <w:sz w:val="20"/>
                <w:szCs w:val="20"/>
              </w:rPr>
              <w:t xml:space="preserve">     </w:t>
            </w:r>
            <w:r w:rsidRPr="00157A8C">
              <w:rPr>
                <w:sz w:val="20"/>
                <w:szCs w:val="20"/>
              </w:rPr>
              <w:t>US$ 315 million</w:t>
            </w:r>
          </w:p>
          <w:p w:rsidR="006F79EB" w:rsidRPr="00157A8C" w:rsidRDefault="006F79EB" w:rsidP="00CA271E">
            <w:pPr>
              <w:rPr>
                <w:sz w:val="20"/>
                <w:szCs w:val="20"/>
              </w:rPr>
            </w:pPr>
          </w:p>
          <w:p w:rsidR="006F79EB" w:rsidRPr="00157A8C" w:rsidRDefault="006F79EB" w:rsidP="00CA271E">
            <w:pPr>
              <w:rPr>
                <w:sz w:val="20"/>
                <w:szCs w:val="20"/>
              </w:rPr>
            </w:pPr>
            <w:r>
              <w:rPr>
                <w:sz w:val="20"/>
                <w:szCs w:val="20"/>
              </w:rPr>
              <w:t xml:space="preserve">     </w:t>
            </w:r>
            <w:r w:rsidRPr="00157A8C">
              <w:rPr>
                <w:sz w:val="20"/>
                <w:szCs w:val="20"/>
              </w:rPr>
              <w:t>US$ 35 million</w:t>
            </w:r>
          </w:p>
        </w:tc>
        <w:tc>
          <w:tcPr>
            <w:tcW w:w="2520" w:type="dxa"/>
            <w:shd w:val="clear" w:color="auto" w:fill="FFFFFF"/>
          </w:tcPr>
          <w:p w:rsidR="006F79EB" w:rsidRPr="00157A8C" w:rsidRDefault="006F79EB" w:rsidP="00B52ED8">
            <w:pPr>
              <w:jc w:val="center"/>
              <w:rPr>
                <w:sz w:val="20"/>
                <w:szCs w:val="20"/>
              </w:rPr>
            </w:pPr>
            <w:r>
              <w:rPr>
                <w:sz w:val="20"/>
                <w:szCs w:val="20"/>
              </w:rPr>
              <w:t>71%</w:t>
            </w:r>
          </w:p>
        </w:tc>
      </w:tr>
      <w:tr w:rsidR="006F79EB" w:rsidRPr="00157A8C" w:rsidTr="00B52ED8">
        <w:trPr>
          <w:trHeight w:val="145"/>
        </w:trPr>
        <w:tc>
          <w:tcPr>
            <w:tcW w:w="2610" w:type="dxa"/>
            <w:shd w:val="clear" w:color="auto" w:fill="FFFFFF"/>
            <w:tcMar>
              <w:top w:w="50" w:type="dxa"/>
              <w:left w:w="50" w:type="dxa"/>
              <w:bottom w:w="50" w:type="dxa"/>
              <w:right w:w="50" w:type="dxa"/>
            </w:tcMar>
          </w:tcPr>
          <w:p w:rsidR="006F79EB" w:rsidRPr="00157A8C" w:rsidRDefault="006F79EB" w:rsidP="00CA271E">
            <w:pPr>
              <w:rPr>
                <w:sz w:val="20"/>
                <w:szCs w:val="20"/>
              </w:rPr>
            </w:pPr>
            <w:r w:rsidRPr="00157A8C">
              <w:rPr>
                <w:sz w:val="20"/>
                <w:szCs w:val="20"/>
              </w:rPr>
              <w:t>Total</w:t>
            </w:r>
          </w:p>
        </w:tc>
        <w:tc>
          <w:tcPr>
            <w:tcW w:w="2520" w:type="dxa"/>
            <w:shd w:val="clear" w:color="auto" w:fill="FFFFFF"/>
            <w:tcMar>
              <w:top w:w="50" w:type="dxa"/>
              <w:left w:w="50" w:type="dxa"/>
              <w:bottom w:w="50" w:type="dxa"/>
              <w:right w:w="50" w:type="dxa"/>
            </w:tcMar>
          </w:tcPr>
          <w:p w:rsidR="006F79EB" w:rsidRPr="00157A8C" w:rsidRDefault="006F79EB" w:rsidP="00CA271E">
            <w:pPr>
              <w:rPr>
                <w:sz w:val="20"/>
                <w:szCs w:val="20"/>
              </w:rPr>
            </w:pPr>
            <w:r>
              <w:rPr>
                <w:sz w:val="20"/>
                <w:szCs w:val="20"/>
              </w:rPr>
              <w:t>US$ 493</w:t>
            </w:r>
            <w:r w:rsidRPr="00157A8C">
              <w:rPr>
                <w:sz w:val="20"/>
                <w:szCs w:val="20"/>
              </w:rPr>
              <w:t xml:space="preserve"> million</w:t>
            </w:r>
          </w:p>
        </w:tc>
        <w:tc>
          <w:tcPr>
            <w:tcW w:w="2520" w:type="dxa"/>
            <w:shd w:val="clear" w:color="auto" w:fill="FFFFFF"/>
          </w:tcPr>
          <w:p w:rsidR="006F79EB" w:rsidRDefault="006F79EB" w:rsidP="00B52ED8">
            <w:pPr>
              <w:jc w:val="center"/>
              <w:rPr>
                <w:sz w:val="20"/>
                <w:szCs w:val="20"/>
              </w:rPr>
            </w:pPr>
            <w:r>
              <w:rPr>
                <w:sz w:val="20"/>
                <w:szCs w:val="20"/>
              </w:rPr>
              <w:t>100</w:t>
            </w:r>
          </w:p>
        </w:tc>
      </w:tr>
    </w:tbl>
    <w:p w:rsidR="00E522BF" w:rsidRPr="003C714A" w:rsidRDefault="00E522BF" w:rsidP="00B52ED8">
      <w:pPr>
        <w:rPr>
          <w:i/>
        </w:rPr>
      </w:pPr>
    </w:p>
    <w:p w:rsidR="00A772BE" w:rsidRDefault="00A772BE" w:rsidP="00A772BE">
      <w:pPr>
        <w:rPr>
          <w:b/>
        </w:rPr>
      </w:pPr>
    </w:p>
    <w:p w:rsidR="00273928" w:rsidRDefault="00273928" w:rsidP="00273928">
      <w:pPr>
        <w:numPr>
          <w:ilvl w:val="0"/>
          <w:numId w:val="24"/>
        </w:numPr>
        <w:rPr>
          <w:b/>
        </w:rPr>
      </w:pPr>
      <w:r w:rsidRPr="005B0352">
        <w:rPr>
          <w:b/>
        </w:rPr>
        <w:t>Pr</w:t>
      </w:r>
      <w:r>
        <w:rPr>
          <w:b/>
        </w:rPr>
        <w:t>ogram Institutional and Implementation Arrangements</w:t>
      </w:r>
    </w:p>
    <w:p w:rsidR="003D7804" w:rsidRDefault="003D7804" w:rsidP="003D7804">
      <w:pPr>
        <w:pStyle w:val="NoSpacing"/>
        <w:jc w:val="both"/>
        <w:rPr>
          <w:i/>
        </w:rPr>
      </w:pPr>
    </w:p>
    <w:p w:rsidR="00C73D2B" w:rsidRDefault="00C73D2B" w:rsidP="00C73D2B">
      <w:pPr>
        <w:pStyle w:val="BodyText1"/>
      </w:pPr>
      <w:r w:rsidRPr="003F32BC">
        <w:t>Responsibility for coordinating and rep</w:t>
      </w:r>
      <w:r>
        <w:t>orting on operation</w:t>
      </w:r>
      <w:r w:rsidRPr="003F32BC">
        <w:t xml:space="preserve"> activities will lie with IPECE. The details of these arrangements will be specified in the Operational Manual. The Bank will rely on the </w:t>
      </w:r>
      <w:r>
        <w:t>S</w:t>
      </w:r>
      <w:r w:rsidRPr="003F32BC">
        <w:t xml:space="preserve">tate’s systems for monitoring and evaluation while contributing to their strengthening through technical assistance. This will place a large burden of coordination on IPECE but experience indicates that the state’s project monitoring capacity is strong. </w:t>
      </w:r>
    </w:p>
    <w:p w:rsidR="00C73D2B" w:rsidRDefault="00C73D2B" w:rsidP="00C73D2B">
      <w:pPr>
        <w:pStyle w:val="BodyText1"/>
      </w:pPr>
      <w:r>
        <w:t xml:space="preserve">The </w:t>
      </w:r>
      <w:r w:rsidRPr="003F32BC">
        <w:t>Governme</w:t>
      </w:r>
      <w:r>
        <w:t>nt is responsible for</w:t>
      </w:r>
      <w:r w:rsidRPr="003F32BC">
        <w:t>:</w:t>
      </w:r>
      <w:r>
        <w:t xml:space="preserve"> (</w:t>
      </w:r>
      <w:proofErr w:type="spellStart"/>
      <w:r>
        <w:t>i</w:t>
      </w:r>
      <w:proofErr w:type="spellEnd"/>
      <w:r>
        <w:t>)</w:t>
      </w:r>
      <w:r>
        <w:rPr>
          <w:b/>
        </w:rPr>
        <w:t xml:space="preserve"> </w:t>
      </w:r>
      <w:r w:rsidRPr="004A474A">
        <w:t>e</w:t>
      </w:r>
      <w:r>
        <w:t>nsuring</w:t>
      </w:r>
      <w:r w:rsidRPr="003F32BC">
        <w:t xml:space="preserve"> general coordination with the Bank, the various secretariats and government stakeholders and timely implementation of all activities;</w:t>
      </w:r>
      <w:r>
        <w:rPr>
          <w:b/>
        </w:rPr>
        <w:t xml:space="preserve"> </w:t>
      </w:r>
      <w:r w:rsidRPr="004A474A">
        <w:t>(ii) h</w:t>
      </w:r>
      <w:r w:rsidRPr="003F32BC">
        <w:t>old</w:t>
      </w:r>
      <w:r>
        <w:t>ing</w:t>
      </w:r>
      <w:r w:rsidRPr="003F32BC">
        <w:t xml:space="preserve"> monthly meetings of the </w:t>
      </w:r>
      <w:r w:rsidR="008968C8">
        <w:t>Program</w:t>
      </w:r>
      <w:r w:rsidRPr="003F32BC">
        <w:t xml:space="preserve"> Committee to monitor results, diagnose problems in implementation and develop, propose and carry out any necessary corrective measures;</w:t>
      </w:r>
      <w:r>
        <w:rPr>
          <w:rStyle w:val="FootnoteReference"/>
        </w:rPr>
        <w:footnoteReference w:id="1"/>
      </w:r>
      <w:r>
        <w:t xml:space="preserve"> (iii) </w:t>
      </w:r>
      <w:r w:rsidRPr="004A474A">
        <w:t>r</w:t>
      </w:r>
      <w:r w:rsidRPr="003F32BC">
        <w:t>eport</w:t>
      </w:r>
      <w:r>
        <w:t>ing</w:t>
      </w:r>
      <w:r w:rsidRPr="003F32BC">
        <w:t xml:space="preserve"> on loan activities in a timely manner, including the presentation of financial and performance reports as needed for disbursement and </w:t>
      </w:r>
      <w:r>
        <w:t>oversight</w:t>
      </w:r>
      <w:r w:rsidRPr="003F32BC">
        <w:t>;</w:t>
      </w:r>
      <w:r>
        <w:t xml:space="preserve"> (iv) implementing the Program </w:t>
      </w:r>
      <w:r w:rsidRPr="00722C9F">
        <w:t>Action Plan; and (v) hosting, facilitating and participating in Bank supervision missions.</w:t>
      </w:r>
    </w:p>
    <w:p w:rsidR="00D250A4" w:rsidRPr="00722C9F" w:rsidRDefault="00D250A4" w:rsidP="00C73D2B">
      <w:pPr>
        <w:pStyle w:val="BodyText1"/>
      </w:pPr>
      <w:r w:rsidRPr="003F32BC">
        <w:t>The implementation arrangements for the technical assistance component will be the same as for</w:t>
      </w:r>
      <w:r>
        <w:t xml:space="preserve"> the </w:t>
      </w:r>
      <w:proofErr w:type="spellStart"/>
      <w:r>
        <w:t>SWAps</w:t>
      </w:r>
      <w:proofErr w:type="spellEnd"/>
      <w:r w:rsidRPr="003F32BC">
        <w:t>. The executing agency, IPECE, has several years’ familiarity</w:t>
      </w:r>
      <w:r>
        <w:t xml:space="preserve"> with Bank procedures and, s</w:t>
      </w:r>
      <w:r w:rsidRPr="003F32BC">
        <w:t>ubject to its recruiting a</w:t>
      </w:r>
      <w:r>
        <w:t>dditional staff and carrying out the steps outlined in Annex 8, adequate capacity to exercise its functions effectively.</w:t>
      </w:r>
    </w:p>
    <w:p w:rsidR="007F2EF0" w:rsidRDefault="007F2EF0" w:rsidP="00513C14">
      <w:pPr>
        <w:pStyle w:val="NoSpacing"/>
        <w:jc w:val="both"/>
        <w:rPr>
          <w:rFonts w:ascii="Times New Roman" w:hAnsi="Times New Roman" w:cs="Times New Roman"/>
          <w:b/>
          <w:sz w:val="24"/>
          <w:szCs w:val="24"/>
        </w:rPr>
      </w:pPr>
    </w:p>
    <w:p w:rsidR="001536D2" w:rsidRDefault="001536D2" w:rsidP="00513C14">
      <w:pPr>
        <w:pStyle w:val="NoSpacing"/>
        <w:jc w:val="both"/>
        <w:rPr>
          <w:rFonts w:ascii="Times New Roman" w:hAnsi="Times New Roman" w:cs="Times New Roman"/>
          <w:b/>
          <w:sz w:val="24"/>
          <w:szCs w:val="24"/>
        </w:rPr>
      </w:pPr>
    </w:p>
    <w:p w:rsidR="001536D2" w:rsidRPr="0043463F" w:rsidRDefault="001536D2" w:rsidP="00513C14">
      <w:pPr>
        <w:pStyle w:val="NoSpacing"/>
        <w:jc w:val="both"/>
        <w:rPr>
          <w:rFonts w:ascii="Times New Roman" w:hAnsi="Times New Roman" w:cs="Times New Roman"/>
          <w:b/>
          <w:sz w:val="24"/>
          <w:szCs w:val="24"/>
        </w:rPr>
      </w:pPr>
    </w:p>
    <w:p w:rsidR="00A126FA" w:rsidRDefault="00A126FA" w:rsidP="00A126FA">
      <w:pPr>
        <w:numPr>
          <w:ilvl w:val="0"/>
          <w:numId w:val="24"/>
        </w:numPr>
        <w:rPr>
          <w:b/>
        </w:rPr>
      </w:pPr>
      <w:r w:rsidRPr="00B14B1C">
        <w:rPr>
          <w:b/>
        </w:rPr>
        <w:t>Contact point</w:t>
      </w:r>
    </w:p>
    <w:p w:rsidR="007F2EF0" w:rsidRDefault="007F2EF0" w:rsidP="003C29C3">
      <w:pPr>
        <w:pStyle w:val="ListParagraph"/>
        <w:ind w:left="0"/>
        <w:rPr>
          <w:b/>
        </w:rPr>
      </w:pPr>
    </w:p>
    <w:p w:rsidR="003C29C3" w:rsidRDefault="003C29C3" w:rsidP="003C29C3">
      <w:pPr>
        <w:pStyle w:val="ListParagraph"/>
        <w:ind w:left="0"/>
      </w:pPr>
      <w:r w:rsidRPr="00225112">
        <w:rPr>
          <w:b/>
        </w:rPr>
        <w:t>World Bank</w:t>
      </w:r>
      <w:r w:rsidRPr="002E1305">
        <w:t>:</w:t>
      </w:r>
      <w:r>
        <w:rPr>
          <w:i/>
        </w:rPr>
        <w:t xml:space="preserve"> </w:t>
      </w:r>
    </w:p>
    <w:p w:rsidR="003C29C3" w:rsidRDefault="003C29C3" w:rsidP="003C29C3">
      <w:r w:rsidRPr="00A30F2B">
        <w:t>Contact</w:t>
      </w:r>
      <w:r>
        <w:t>:</w:t>
      </w:r>
      <w:r>
        <w:tab/>
      </w:r>
      <w:r>
        <w:rPr>
          <w:i/>
        </w:rPr>
        <w:t>Thomas Kenyon</w:t>
      </w:r>
    </w:p>
    <w:p w:rsidR="003C29C3" w:rsidRDefault="003C29C3" w:rsidP="003C29C3">
      <w:r>
        <w:t>Title:</w:t>
      </w:r>
      <w:r>
        <w:tab/>
      </w:r>
      <w:r>
        <w:tab/>
        <w:t>Senior PSD Specialist</w:t>
      </w:r>
      <w:r>
        <w:tab/>
      </w:r>
    </w:p>
    <w:p w:rsidR="003C29C3" w:rsidRDefault="003C29C3" w:rsidP="003C29C3">
      <w:r>
        <w:t>Tel:</w:t>
      </w:r>
      <w:r>
        <w:tab/>
      </w:r>
      <w:r>
        <w:tab/>
        <w:t>202-473-5775</w:t>
      </w:r>
      <w:r>
        <w:tab/>
      </w:r>
    </w:p>
    <w:p w:rsidR="003C29C3" w:rsidRDefault="003C29C3" w:rsidP="003C29C3">
      <w:r>
        <w:t>Email:</w:t>
      </w:r>
      <w:r>
        <w:tab/>
      </w:r>
      <w:r>
        <w:tab/>
        <w:t>tkenyon@worldbank.org</w:t>
      </w:r>
      <w:r>
        <w:tab/>
      </w:r>
    </w:p>
    <w:p w:rsidR="003C29C3" w:rsidRDefault="003C29C3" w:rsidP="003C29C3"/>
    <w:p w:rsidR="003C29C3" w:rsidRPr="00225112" w:rsidRDefault="003C29C3" w:rsidP="003C29C3">
      <w:pPr>
        <w:rPr>
          <w:b/>
        </w:rPr>
      </w:pPr>
      <w:r w:rsidRPr="00225112">
        <w:rPr>
          <w:b/>
        </w:rPr>
        <w:t>Borrower</w:t>
      </w:r>
      <w:r>
        <w:rPr>
          <w:b/>
        </w:rPr>
        <w:t xml:space="preserve">/Client/Recipient:  State of </w:t>
      </w:r>
      <w:r w:rsidRPr="006A5BEA">
        <w:rPr>
          <w:b/>
        </w:rPr>
        <w:t>Cear</w:t>
      </w:r>
      <w:r w:rsidR="006A5BEA" w:rsidRPr="00B52ED8">
        <w:rPr>
          <w:b/>
          <w:bCs/>
        </w:rPr>
        <w:t>á</w:t>
      </w:r>
      <w:r w:rsidRPr="006A5BEA">
        <w:rPr>
          <w:b/>
        </w:rPr>
        <w:t>,</w:t>
      </w:r>
      <w:r>
        <w:rPr>
          <w:b/>
        </w:rPr>
        <w:t xml:space="preserve"> Brazil</w:t>
      </w:r>
    </w:p>
    <w:p w:rsidR="003C29C3" w:rsidRDefault="003C29C3" w:rsidP="003C29C3"/>
    <w:p w:rsidR="003C29C3" w:rsidRPr="00225112" w:rsidRDefault="003C29C3" w:rsidP="003C29C3">
      <w:pPr>
        <w:rPr>
          <w:b/>
        </w:rPr>
      </w:pPr>
      <w:r>
        <w:rPr>
          <w:b/>
        </w:rPr>
        <w:t>Implementing Agencies</w:t>
      </w:r>
      <w:r>
        <w:rPr>
          <w:rFonts w:ascii="Arial" w:hAnsi="Arial" w:cs="Arial"/>
          <w:b/>
          <w:bCs/>
          <w:color w:val="000000"/>
          <w:sz w:val="18"/>
          <w:szCs w:val="18"/>
        </w:rPr>
        <w:t xml:space="preserve">:  </w:t>
      </w:r>
      <w:r w:rsidRPr="001E68D9">
        <w:rPr>
          <w:b/>
        </w:rPr>
        <w:t>Secretariat of Planning and Management</w:t>
      </w:r>
    </w:p>
    <w:p w:rsidR="003C29C3" w:rsidRDefault="003C29C3" w:rsidP="003C29C3">
      <w:r w:rsidRPr="00A30F2B">
        <w:t>Contact</w:t>
      </w:r>
      <w:r>
        <w:t>:</w:t>
      </w:r>
      <w:r>
        <w:tab/>
      </w:r>
      <w:r w:rsidR="00F97F86">
        <w:t>Cristina Me</w:t>
      </w:r>
      <w:r w:rsidRPr="00B95BEF">
        <w:t>deiros</w:t>
      </w:r>
    </w:p>
    <w:p w:rsidR="003C29C3" w:rsidRDefault="003C29C3" w:rsidP="003C29C3">
      <w:r>
        <w:t>Title:</w:t>
      </w:r>
      <w:r>
        <w:tab/>
      </w:r>
      <w:r>
        <w:tab/>
      </w:r>
      <w:r w:rsidRPr="00B95BEF">
        <w:t>Project Coordinator</w:t>
      </w:r>
    </w:p>
    <w:p w:rsidR="003C29C3" w:rsidRDefault="003C29C3" w:rsidP="003C29C3">
      <w:r>
        <w:t>Tel:</w:t>
      </w:r>
      <w:r>
        <w:tab/>
      </w:r>
      <w:r>
        <w:tab/>
        <w:t>(55-</w:t>
      </w:r>
      <w:r w:rsidR="00D250A4">
        <w:t>85</w:t>
      </w:r>
      <w:r w:rsidRPr="00B95BEF">
        <w:t xml:space="preserve">) </w:t>
      </w:r>
      <w:r>
        <w:rPr>
          <w:color w:val="000000"/>
        </w:rPr>
        <w:t>3101 3502</w:t>
      </w:r>
      <w:r>
        <w:tab/>
      </w:r>
    </w:p>
    <w:p w:rsidR="003C29C3" w:rsidRDefault="003C29C3" w:rsidP="003C29C3">
      <w:r>
        <w:t>Email:</w:t>
      </w:r>
      <w:r>
        <w:tab/>
      </w:r>
      <w:r>
        <w:tab/>
      </w:r>
      <w:r>
        <w:rPr>
          <w:color w:val="000000"/>
        </w:rPr>
        <w:t>cristina.medeiros@ipece.ce.gov.br</w:t>
      </w:r>
    </w:p>
    <w:p w:rsidR="003C29C3" w:rsidRDefault="003C29C3" w:rsidP="008F0B46">
      <w:pPr>
        <w:pStyle w:val="ListParagraph"/>
        <w:ind w:left="0"/>
      </w:pPr>
    </w:p>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The InfoShop</w:t>
      </w:r>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6B4727" w:rsidP="008F0B46">
      <w:r>
        <w:t>Telephone:  (202) 458-4500</w:t>
      </w:r>
    </w:p>
    <w:p w:rsidR="000E47EA" w:rsidRDefault="0059349F" w:rsidP="00A126FA">
      <w:r w:rsidRPr="00C82216">
        <w:t>Fax:  (202) 522-1500</w:t>
      </w:r>
    </w:p>
    <w:p w:rsidR="0059349F" w:rsidRPr="00A30F2B" w:rsidRDefault="0059349F" w:rsidP="00A126FA">
      <w:r w:rsidRPr="00C82216">
        <w:t>Web: http://www.worldbank.org/infoshop</w:t>
      </w:r>
    </w:p>
    <w:sectPr w:rsidR="0059349F" w:rsidRPr="00A30F2B" w:rsidSect="009D13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AF" w:rsidRDefault="00135FAF">
      <w:r>
        <w:separator/>
      </w:r>
    </w:p>
  </w:endnote>
  <w:endnote w:type="continuationSeparator" w:id="0">
    <w:p w:rsidR="00135FAF" w:rsidRDefault="0013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AF" w:rsidRDefault="00135FAF">
      <w:r>
        <w:separator/>
      </w:r>
    </w:p>
  </w:footnote>
  <w:footnote w:type="continuationSeparator" w:id="0">
    <w:p w:rsidR="00135FAF" w:rsidRDefault="00135FAF">
      <w:r>
        <w:continuationSeparator/>
      </w:r>
    </w:p>
  </w:footnote>
  <w:footnote w:id="1">
    <w:p w:rsidR="00C73D2B" w:rsidRPr="0043463F" w:rsidRDefault="00C73D2B" w:rsidP="00C73D2B">
      <w:pPr>
        <w:pStyle w:val="NoSpacing"/>
        <w:jc w:val="both"/>
        <w:rPr>
          <w:rFonts w:ascii="Times New Roman" w:hAnsi="Times New Roman" w:cs="Times New Roman"/>
          <w:sz w:val="18"/>
          <w:szCs w:val="18"/>
        </w:rPr>
      </w:pPr>
      <w:r>
        <w:rPr>
          <w:rStyle w:val="FootnoteReference"/>
        </w:rPr>
        <w:footnoteRef/>
      </w:r>
      <w:r>
        <w:t xml:space="preserve"> </w:t>
      </w:r>
      <w:r w:rsidRPr="0043463F">
        <w:rPr>
          <w:rFonts w:ascii="Times New Roman" w:hAnsi="Times New Roman" w:cs="Times New Roman"/>
          <w:sz w:val="18"/>
          <w:szCs w:val="18"/>
        </w:rPr>
        <w:t xml:space="preserve">For each DLI the Government will be required to produce action plans </w:t>
      </w:r>
      <w:r>
        <w:rPr>
          <w:rFonts w:ascii="Times New Roman" w:hAnsi="Times New Roman" w:cs="Times New Roman"/>
          <w:sz w:val="18"/>
          <w:szCs w:val="18"/>
        </w:rPr>
        <w:t>twice a year to inform</w:t>
      </w:r>
      <w:r w:rsidRPr="0043463F">
        <w:rPr>
          <w:rFonts w:ascii="Times New Roman" w:hAnsi="Times New Roman" w:cs="Times New Roman"/>
          <w:sz w:val="18"/>
          <w:szCs w:val="18"/>
        </w:rPr>
        <w:t xml:space="preserve"> Bank supervision</w:t>
      </w:r>
      <w:r>
        <w:rPr>
          <w:rFonts w:ascii="Times New Roman" w:hAnsi="Times New Roman" w:cs="Times New Roman"/>
          <w:sz w:val="18"/>
          <w:szCs w:val="18"/>
        </w:rPr>
        <w:t xml:space="preserve"> of the operation,</w:t>
      </w:r>
      <w:r w:rsidRPr="0043463F">
        <w:rPr>
          <w:rFonts w:ascii="Times New Roman" w:hAnsi="Times New Roman" w:cs="Times New Roman"/>
          <w:sz w:val="18"/>
          <w:szCs w:val="18"/>
        </w:rPr>
        <w:t xml:space="preserve"> explaining the steps already taken and those planned to ensure that targets are met. The Bank will review these plans and suggest adjustments as necessary.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F41A1"/>
    <w:multiLevelType w:val="hybridMultilevel"/>
    <w:tmpl w:val="DE0625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9A3DD5"/>
    <w:multiLevelType w:val="hybridMultilevel"/>
    <w:tmpl w:val="BDF28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C86D7A"/>
    <w:multiLevelType w:val="hybridMultilevel"/>
    <w:tmpl w:val="186A033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F95E02"/>
    <w:multiLevelType w:val="hybridMultilevel"/>
    <w:tmpl w:val="598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A696E"/>
    <w:multiLevelType w:val="hybridMultilevel"/>
    <w:tmpl w:val="FDAA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00FBC"/>
    <w:multiLevelType w:val="hybridMultilevel"/>
    <w:tmpl w:val="1A581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6336DA"/>
    <w:multiLevelType w:val="hybridMultilevel"/>
    <w:tmpl w:val="D7BCD112"/>
    <w:lvl w:ilvl="0" w:tplc="1B7497C8">
      <w:start w:val="1"/>
      <w:numFmt w:val="decimal"/>
      <w:pStyle w:val="Subheading1"/>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9D2B61"/>
    <w:multiLevelType w:val="hybridMultilevel"/>
    <w:tmpl w:val="AD565A6E"/>
    <w:lvl w:ilvl="0" w:tplc="EB329B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70D94"/>
    <w:multiLevelType w:val="hybridMultilevel"/>
    <w:tmpl w:val="29C83E5C"/>
    <w:lvl w:ilvl="0" w:tplc="FDAE8354">
      <w:start w:val="1"/>
      <w:numFmt w:val="decimal"/>
      <w:pStyle w:val="BodyText1"/>
      <w:lvlText w:val="%1."/>
      <w:lvlJc w:val="left"/>
      <w:pPr>
        <w:ind w:left="51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E74BD6"/>
    <w:multiLevelType w:val="hybridMultilevel"/>
    <w:tmpl w:val="CC7A0AB6"/>
    <w:lvl w:ilvl="0" w:tplc="540A76D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D57547"/>
    <w:multiLevelType w:val="hybridMultilevel"/>
    <w:tmpl w:val="07907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D54F4A"/>
    <w:multiLevelType w:val="hybridMultilevel"/>
    <w:tmpl w:val="09A0B02E"/>
    <w:lvl w:ilvl="0" w:tplc="F75C222A">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4">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BA2B55"/>
    <w:multiLevelType w:val="hybridMultilevel"/>
    <w:tmpl w:val="3640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37"/>
  </w:num>
  <w:num w:numId="4">
    <w:abstractNumId w:val="2"/>
  </w:num>
  <w:num w:numId="5">
    <w:abstractNumId w:val="20"/>
  </w:num>
  <w:num w:numId="6">
    <w:abstractNumId w:val="0"/>
  </w:num>
  <w:num w:numId="7">
    <w:abstractNumId w:val="29"/>
  </w:num>
  <w:num w:numId="8">
    <w:abstractNumId w:val="12"/>
  </w:num>
  <w:num w:numId="9">
    <w:abstractNumId w:val="22"/>
  </w:num>
  <w:num w:numId="10">
    <w:abstractNumId w:val="3"/>
  </w:num>
  <w:num w:numId="11">
    <w:abstractNumId w:val="17"/>
  </w:num>
  <w:num w:numId="12">
    <w:abstractNumId w:val="21"/>
  </w:num>
  <w:num w:numId="13">
    <w:abstractNumId w:val="16"/>
  </w:num>
  <w:num w:numId="14">
    <w:abstractNumId w:val="33"/>
  </w:num>
  <w:num w:numId="15">
    <w:abstractNumId w:val="38"/>
  </w:num>
  <w:num w:numId="16">
    <w:abstractNumId w:val="14"/>
  </w:num>
  <w:num w:numId="17">
    <w:abstractNumId w:val="18"/>
  </w:num>
  <w:num w:numId="18">
    <w:abstractNumId w:val="35"/>
  </w:num>
  <w:num w:numId="19">
    <w:abstractNumId w:val="23"/>
  </w:num>
  <w:num w:numId="20">
    <w:abstractNumId w:val="4"/>
  </w:num>
  <w:num w:numId="21">
    <w:abstractNumId w:val="32"/>
  </w:num>
  <w:num w:numId="22">
    <w:abstractNumId w:val="26"/>
  </w:num>
  <w:num w:numId="23">
    <w:abstractNumId w:val="6"/>
  </w:num>
  <w:num w:numId="24">
    <w:abstractNumId w:val="34"/>
  </w:num>
  <w:num w:numId="25">
    <w:abstractNumId w:val="27"/>
  </w:num>
  <w:num w:numId="26">
    <w:abstractNumId w:val="5"/>
  </w:num>
  <w:num w:numId="27">
    <w:abstractNumId w:val="28"/>
  </w:num>
  <w:num w:numId="28">
    <w:abstractNumId w:val="36"/>
  </w:num>
  <w:num w:numId="29">
    <w:abstractNumId w:val="24"/>
  </w:num>
  <w:num w:numId="30">
    <w:abstractNumId w:val="15"/>
  </w:num>
  <w:num w:numId="31">
    <w:abstractNumId w:val="7"/>
  </w:num>
  <w:num w:numId="32">
    <w:abstractNumId w:val="8"/>
  </w:num>
  <w:num w:numId="33">
    <w:abstractNumId w:val="31"/>
  </w:num>
  <w:num w:numId="34">
    <w:abstractNumId w:val="10"/>
  </w:num>
  <w:num w:numId="35">
    <w:abstractNumId w:val="13"/>
  </w:num>
  <w:num w:numId="36">
    <w:abstractNumId w:val="30"/>
  </w:num>
  <w:num w:numId="37">
    <w:abstractNumId w:val="11"/>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24BB3"/>
    <w:rsid w:val="00030402"/>
    <w:rsid w:val="000508AB"/>
    <w:rsid w:val="00057729"/>
    <w:rsid w:val="00071B65"/>
    <w:rsid w:val="00084ABC"/>
    <w:rsid w:val="000A77BF"/>
    <w:rsid w:val="000B0A0E"/>
    <w:rsid w:val="000C13BA"/>
    <w:rsid w:val="000E47EA"/>
    <w:rsid w:val="00123DB3"/>
    <w:rsid w:val="00133E79"/>
    <w:rsid w:val="00135FAF"/>
    <w:rsid w:val="001527BE"/>
    <w:rsid w:val="001536D2"/>
    <w:rsid w:val="00171E5D"/>
    <w:rsid w:val="00185957"/>
    <w:rsid w:val="001A4469"/>
    <w:rsid w:val="001B45FA"/>
    <w:rsid w:val="001C5EDF"/>
    <w:rsid w:val="001E638A"/>
    <w:rsid w:val="002344B9"/>
    <w:rsid w:val="002413A6"/>
    <w:rsid w:val="002446B2"/>
    <w:rsid w:val="002546F7"/>
    <w:rsid w:val="00273928"/>
    <w:rsid w:val="002A0BDC"/>
    <w:rsid w:val="002A2178"/>
    <w:rsid w:val="002A7BEE"/>
    <w:rsid w:val="002B7076"/>
    <w:rsid w:val="002E065F"/>
    <w:rsid w:val="002E1305"/>
    <w:rsid w:val="003103C4"/>
    <w:rsid w:val="00337CE7"/>
    <w:rsid w:val="00344C61"/>
    <w:rsid w:val="003723D9"/>
    <w:rsid w:val="00383CBB"/>
    <w:rsid w:val="003901B6"/>
    <w:rsid w:val="0039671E"/>
    <w:rsid w:val="003C29C3"/>
    <w:rsid w:val="003C714A"/>
    <w:rsid w:val="003D5308"/>
    <w:rsid w:val="003D7804"/>
    <w:rsid w:val="003E0732"/>
    <w:rsid w:val="003E3E86"/>
    <w:rsid w:val="003F669F"/>
    <w:rsid w:val="00410562"/>
    <w:rsid w:val="00410C23"/>
    <w:rsid w:val="00417A9A"/>
    <w:rsid w:val="004228F5"/>
    <w:rsid w:val="004605F4"/>
    <w:rsid w:val="004B2501"/>
    <w:rsid w:val="004C5683"/>
    <w:rsid w:val="004C6525"/>
    <w:rsid w:val="004D04AA"/>
    <w:rsid w:val="004F0F64"/>
    <w:rsid w:val="004F5268"/>
    <w:rsid w:val="00507604"/>
    <w:rsid w:val="00513C14"/>
    <w:rsid w:val="00577870"/>
    <w:rsid w:val="0059349F"/>
    <w:rsid w:val="005A091D"/>
    <w:rsid w:val="005A3EC9"/>
    <w:rsid w:val="005E0D8B"/>
    <w:rsid w:val="00604805"/>
    <w:rsid w:val="00630C43"/>
    <w:rsid w:val="0067697E"/>
    <w:rsid w:val="00690289"/>
    <w:rsid w:val="00690F72"/>
    <w:rsid w:val="00690F9A"/>
    <w:rsid w:val="00697CAE"/>
    <w:rsid w:val="006A5BEA"/>
    <w:rsid w:val="006B4727"/>
    <w:rsid w:val="006C4B8F"/>
    <w:rsid w:val="006C6F1E"/>
    <w:rsid w:val="006F79EB"/>
    <w:rsid w:val="00701460"/>
    <w:rsid w:val="007150F6"/>
    <w:rsid w:val="00731BC4"/>
    <w:rsid w:val="0076696F"/>
    <w:rsid w:val="007863D3"/>
    <w:rsid w:val="00787B7C"/>
    <w:rsid w:val="00793D7D"/>
    <w:rsid w:val="00794AB5"/>
    <w:rsid w:val="007977E4"/>
    <w:rsid w:val="007A62EB"/>
    <w:rsid w:val="007C6F68"/>
    <w:rsid w:val="007F2EF0"/>
    <w:rsid w:val="0080288A"/>
    <w:rsid w:val="00831B1D"/>
    <w:rsid w:val="008451FE"/>
    <w:rsid w:val="008605A3"/>
    <w:rsid w:val="00867605"/>
    <w:rsid w:val="008968C8"/>
    <w:rsid w:val="008D1E93"/>
    <w:rsid w:val="008F0B46"/>
    <w:rsid w:val="008F2C61"/>
    <w:rsid w:val="009041F5"/>
    <w:rsid w:val="00914E33"/>
    <w:rsid w:val="00915DAE"/>
    <w:rsid w:val="00921E31"/>
    <w:rsid w:val="00923AC9"/>
    <w:rsid w:val="00931279"/>
    <w:rsid w:val="0094238F"/>
    <w:rsid w:val="009462C9"/>
    <w:rsid w:val="00963593"/>
    <w:rsid w:val="00985525"/>
    <w:rsid w:val="00987386"/>
    <w:rsid w:val="00996EEB"/>
    <w:rsid w:val="009B1086"/>
    <w:rsid w:val="009B1BF2"/>
    <w:rsid w:val="009D13D8"/>
    <w:rsid w:val="009D3F59"/>
    <w:rsid w:val="009F5E4D"/>
    <w:rsid w:val="00A05BC0"/>
    <w:rsid w:val="00A126FA"/>
    <w:rsid w:val="00A25C56"/>
    <w:rsid w:val="00A42C53"/>
    <w:rsid w:val="00A50ED6"/>
    <w:rsid w:val="00A772BE"/>
    <w:rsid w:val="00A91654"/>
    <w:rsid w:val="00AB0F65"/>
    <w:rsid w:val="00AF0579"/>
    <w:rsid w:val="00B0344D"/>
    <w:rsid w:val="00B16EEE"/>
    <w:rsid w:val="00B17C5F"/>
    <w:rsid w:val="00B52ED8"/>
    <w:rsid w:val="00B52F3C"/>
    <w:rsid w:val="00B53595"/>
    <w:rsid w:val="00B677C4"/>
    <w:rsid w:val="00B8792D"/>
    <w:rsid w:val="00B966C3"/>
    <w:rsid w:val="00BA4035"/>
    <w:rsid w:val="00BF75CD"/>
    <w:rsid w:val="00C13B5A"/>
    <w:rsid w:val="00C418BA"/>
    <w:rsid w:val="00C4388E"/>
    <w:rsid w:val="00C4781A"/>
    <w:rsid w:val="00C63E52"/>
    <w:rsid w:val="00C67E15"/>
    <w:rsid w:val="00C73D2B"/>
    <w:rsid w:val="00C76A39"/>
    <w:rsid w:val="00C94BA3"/>
    <w:rsid w:val="00CA73AD"/>
    <w:rsid w:val="00CB4B05"/>
    <w:rsid w:val="00D13092"/>
    <w:rsid w:val="00D2365D"/>
    <w:rsid w:val="00D250A4"/>
    <w:rsid w:val="00D545E4"/>
    <w:rsid w:val="00DA1232"/>
    <w:rsid w:val="00DE739D"/>
    <w:rsid w:val="00E13443"/>
    <w:rsid w:val="00E522BF"/>
    <w:rsid w:val="00E528E0"/>
    <w:rsid w:val="00EB0CB2"/>
    <w:rsid w:val="00EC09FB"/>
    <w:rsid w:val="00EC4733"/>
    <w:rsid w:val="00ED6394"/>
    <w:rsid w:val="00F0007C"/>
    <w:rsid w:val="00F0622C"/>
    <w:rsid w:val="00F325CF"/>
    <w:rsid w:val="00F41703"/>
    <w:rsid w:val="00F77194"/>
    <w:rsid w:val="00F97F86"/>
    <w:rsid w:val="00FD6433"/>
    <w:rsid w:val="00FE17F1"/>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uiPriority w:val="99"/>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Footnote Reference Number,Error-Fußnotenzeichen5,Error-Fußnotenzeichen6,Error-Fußnotenzeichen3,Footnote Reference1, BVI fnr,Footnote Reference_LVL6,Footnote Reference_LVL61,Footnote Reference_LVL62,Footnote Reference_LVL63,fr"/>
    <w:basedOn w:val="DefaultParagraphFont"/>
    <w:link w:val="FNRefeCharChar"/>
    <w:uiPriority w:val="99"/>
    <w:rsid w:val="00731BC4"/>
    <w:rPr>
      <w:vertAlign w:val="superscript"/>
    </w:rPr>
  </w:style>
  <w:style w:type="paragraph" w:styleId="FootnoteText">
    <w:name w:val="footnote text"/>
    <w:aliases w:val="FOOTNOTES,fn,single space,footnote text,ADB,single space1,footnote text1,FOOTNOTES1,fn1,ADB1,single space2,footnote text2,FOOTNOTES2,fn2,ADB2,single space3,footnote text3,FOOTNOTES3,fn3,ADB3,Fodnotetekst Tegn,Texto nota pie Car1,ft,Char,Ch"/>
    <w:basedOn w:val="Normal"/>
    <w:link w:val="FootnoteTextChar"/>
    <w:qFormat/>
    <w:rsid w:val="00731BC4"/>
    <w:rPr>
      <w:sz w:val="20"/>
      <w:szCs w:val="20"/>
    </w:rPr>
  </w:style>
  <w:style w:type="table" w:styleId="TableGrid">
    <w:name w:val="Table Grid"/>
    <w:basedOn w:val="TableNormal"/>
    <w:uiPriority w:val="59"/>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DB Char,single space1 Char,footnote text1 Char,FOOTNOTES1 Char,fn1 Char,ADB1 Char,single space2 Char,footnote text2 Char,FOOTNOTES2 Char,fn2 Char,ADB2 Char,FOOTNOTES3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Liste 1"/>
    <w:basedOn w:val="Normal"/>
    <w:link w:val="ListParagraphChar"/>
    <w:uiPriority w:val="34"/>
    <w:qFormat/>
    <w:rsid w:val="00FF23CF"/>
    <w:pPr>
      <w:ind w:left="720"/>
      <w:contextualSpacing/>
    </w:pPr>
  </w:style>
  <w:style w:type="paragraph" w:styleId="Header">
    <w:name w:val="header"/>
    <w:basedOn w:val="Normal"/>
    <w:link w:val="HeaderChar"/>
    <w:uiPriority w:val="99"/>
    <w:rsid w:val="00E522BF"/>
    <w:pPr>
      <w:tabs>
        <w:tab w:val="center" w:pos="4680"/>
        <w:tab w:val="right" w:pos="9360"/>
      </w:tabs>
    </w:pPr>
  </w:style>
  <w:style w:type="character" w:customStyle="1" w:styleId="HeaderChar">
    <w:name w:val="Header Char"/>
    <w:basedOn w:val="DefaultParagraphFont"/>
    <w:link w:val="Header"/>
    <w:uiPriority w:val="99"/>
    <w:rsid w:val="00E522BF"/>
    <w:rPr>
      <w:sz w:val="24"/>
      <w:szCs w:val="24"/>
    </w:rPr>
  </w:style>
  <w:style w:type="paragraph" w:styleId="Footer">
    <w:name w:val="footer"/>
    <w:basedOn w:val="Normal"/>
    <w:link w:val="FooterChar"/>
    <w:rsid w:val="00E522BF"/>
    <w:pPr>
      <w:tabs>
        <w:tab w:val="center" w:pos="4680"/>
        <w:tab w:val="right" w:pos="9360"/>
      </w:tabs>
    </w:pPr>
  </w:style>
  <w:style w:type="character" w:customStyle="1" w:styleId="FooterChar">
    <w:name w:val="Footer Char"/>
    <w:basedOn w:val="DefaultParagraphFont"/>
    <w:link w:val="Footer"/>
    <w:rsid w:val="00E522BF"/>
    <w:rPr>
      <w:sz w:val="24"/>
      <w:szCs w:val="24"/>
    </w:rPr>
  </w:style>
  <w:style w:type="paragraph" w:styleId="NoSpacing">
    <w:name w:val="No Spacing"/>
    <w:link w:val="NoSpacingChar"/>
    <w:uiPriority w:val="1"/>
    <w:qFormat/>
    <w:rsid w:val="00DA123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DA1232"/>
    <w:rPr>
      <w:rFonts w:asciiTheme="minorHAnsi" w:eastAsiaTheme="minorHAnsi" w:hAnsiTheme="minorHAnsi" w:cstheme="minorBidi"/>
      <w:sz w:val="22"/>
      <w:szCs w:val="22"/>
    </w:rPr>
  </w:style>
  <w:style w:type="character" w:customStyle="1" w:styleId="ListParagraphChar">
    <w:name w:val="List Paragraph Char"/>
    <w:aliases w:val="Liste 1 Char"/>
    <w:basedOn w:val="DefaultParagraphFont"/>
    <w:link w:val="ListParagraph"/>
    <w:uiPriority w:val="34"/>
    <w:rsid w:val="00DA1232"/>
    <w:rPr>
      <w:sz w:val="24"/>
      <w:szCs w:val="24"/>
    </w:rPr>
  </w:style>
  <w:style w:type="paragraph" w:customStyle="1" w:styleId="Subheading1">
    <w:name w:val="Subheading1"/>
    <w:basedOn w:val="Normal"/>
    <w:link w:val="Subheading1Char"/>
    <w:qFormat/>
    <w:rsid w:val="00DA1232"/>
    <w:pPr>
      <w:numPr>
        <w:numId w:val="30"/>
      </w:numPr>
      <w:tabs>
        <w:tab w:val="left" w:pos="360"/>
      </w:tabs>
      <w:autoSpaceDE w:val="0"/>
      <w:autoSpaceDN w:val="0"/>
      <w:adjustRightInd w:val="0"/>
      <w:spacing w:after="267"/>
    </w:pPr>
    <w:rPr>
      <w:rFonts w:ascii="Calibri" w:eastAsiaTheme="minorHAnsi" w:hAnsi="Calibri"/>
      <w:b/>
      <w:color w:val="000000"/>
      <w:u w:val="single"/>
    </w:rPr>
  </w:style>
  <w:style w:type="character" w:customStyle="1" w:styleId="Subheading1Char">
    <w:name w:val="Subheading1 Char"/>
    <w:basedOn w:val="DefaultParagraphFont"/>
    <w:link w:val="Subheading1"/>
    <w:rsid w:val="00DA1232"/>
    <w:rPr>
      <w:rFonts w:ascii="Calibri" w:eastAsiaTheme="minorHAnsi" w:hAnsi="Calibri"/>
      <w:b/>
      <w:color w:val="000000"/>
      <w:sz w:val="24"/>
      <w:szCs w:val="24"/>
      <w:u w:val="single"/>
    </w:rPr>
  </w:style>
  <w:style w:type="paragraph" w:customStyle="1" w:styleId="Default">
    <w:name w:val="Default"/>
    <w:link w:val="DefaultChar"/>
    <w:rsid w:val="00DA1232"/>
    <w:pPr>
      <w:autoSpaceDE w:val="0"/>
      <w:autoSpaceDN w:val="0"/>
      <w:adjustRightInd w:val="0"/>
    </w:pPr>
    <w:rPr>
      <w:rFonts w:eastAsiaTheme="minorHAnsi"/>
      <w:color w:val="000000"/>
      <w:sz w:val="24"/>
      <w:szCs w:val="24"/>
    </w:rPr>
  </w:style>
  <w:style w:type="character" w:customStyle="1" w:styleId="DefaultChar">
    <w:name w:val="Default Char"/>
    <w:basedOn w:val="DefaultParagraphFont"/>
    <w:link w:val="Default"/>
    <w:rsid w:val="00DA1232"/>
    <w:rPr>
      <w:rFonts w:eastAsiaTheme="minorHAnsi"/>
      <w:color w:val="000000"/>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4F5268"/>
    <w:pPr>
      <w:spacing w:after="160" w:line="240" w:lineRule="exact"/>
    </w:pPr>
    <w:rPr>
      <w:sz w:val="20"/>
      <w:szCs w:val="20"/>
      <w:vertAlign w:val="superscript"/>
    </w:rPr>
  </w:style>
  <w:style w:type="character" w:customStyle="1" w:styleId="st">
    <w:name w:val="st"/>
    <w:basedOn w:val="DefaultParagraphFont"/>
    <w:rsid w:val="003D7804"/>
  </w:style>
  <w:style w:type="paragraph" w:customStyle="1" w:styleId="BodyText1">
    <w:name w:val="Body Text1"/>
    <w:basedOn w:val="Normal"/>
    <w:qFormat/>
    <w:rsid w:val="006C4B8F"/>
    <w:pPr>
      <w:numPr>
        <w:numId w:val="38"/>
      </w:numPr>
      <w:tabs>
        <w:tab w:val="left" w:pos="432"/>
      </w:tabs>
      <w:autoSpaceDE w:val="0"/>
      <w:autoSpaceDN w:val="0"/>
      <w:adjustRightInd w:val="0"/>
      <w:spacing w:after="120"/>
      <w:ind w:left="0" w:firstLine="0"/>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uiPriority w:val="99"/>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Footnote Reference Number,Error-Fußnotenzeichen5,Error-Fußnotenzeichen6,Error-Fußnotenzeichen3,Footnote Reference1, BVI fnr,Footnote Reference_LVL6,Footnote Reference_LVL61,Footnote Reference_LVL62,Footnote Reference_LVL63,fr"/>
    <w:basedOn w:val="DefaultParagraphFont"/>
    <w:link w:val="FNRefeCharChar"/>
    <w:uiPriority w:val="99"/>
    <w:rsid w:val="00731BC4"/>
    <w:rPr>
      <w:vertAlign w:val="superscript"/>
    </w:rPr>
  </w:style>
  <w:style w:type="paragraph" w:styleId="FootnoteText">
    <w:name w:val="footnote text"/>
    <w:aliases w:val="FOOTNOTES,fn,single space,footnote text,ADB,single space1,footnote text1,FOOTNOTES1,fn1,ADB1,single space2,footnote text2,FOOTNOTES2,fn2,ADB2,single space3,footnote text3,FOOTNOTES3,fn3,ADB3,Fodnotetekst Tegn,Texto nota pie Car1,ft,Char,Ch"/>
    <w:basedOn w:val="Normal"/>
    <w:link w:val="FootnoteTextChar"/>
    <w:qFormat/>
    <w:rsid w:val="00731BC4"/>
    <w:rPr>
      <w:sz w:val="20"/>
      <w:szCs w:val="20"/>
    </w:rPr>
  </w:style>
  <w:style w:type="table" w:styleId="TableGrid">
    <w:name w:val="Table Grid"/>
    <w:basedOn w:val="TableNormal"/>
    <w:uiPriority w:val="59"/>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DB Char,single space1 Char,footnote text1 Char,FOOTNOTES1 Char,fn1 Char,ADB1 Char,single space2 Char,footnote text2 Char,FOOTNOTES2 Char,fn2 Char,ADB2 Char,FOOTNOTES3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Liste 1"/>
    <w:basedOn w:val="Normal"/>
    <w:link w:val="ListParagraphChar"/>
    <w:uiPriority w:val="34"/>
    <w:qFormat/>
    <w:rsid w:val="00FF23CF"/>
    <w:pPr>
      <w:ind w:left="720"/>
      <w:contextualSpacing/>
    </w:pPr>
  </w:style>
  <w:style w:type="paragraph" w:styleId="Header">
    <w:name w:val="header"/>
    <w:basedOn w:val="Normal"/>
    <w:link w:val="HeaderChar"/>
    <w:uiPriority w:val="99"/>
    <w:rsid w:val="00E522BF"/>
    <w:pPr>
      <w:tabs>
        <w:tab w:val="center" w:pos="4680"/>
        <w:tab w:val="right" w:pos="9360"/>
      </w:tabs>
    </w:pPr>
  </w:style>
  <w:style w:type="character" w:customStyle="1" w:styleId="HeaderChar">
    <w:name w:val="Header Char"/>
    <w:basedOn w:val="DefaultParagraphFont"/>
    <w:link w:val="Header"/>
    <w:uiPriority w:val="99"/>
    <w:rsid w:val="00E522BF"/>
    <w:rPr>
      <w:sz w:val="24"/>
      <w:szCs w:val="24"/>
    </w:rPr>
  </w:style>
  <w:style w:type="paragraph" w:styleId="Footer">
    <w:name w:val="footer"/>
    <w:basedOn w:val="Normal"/>
    <w:link w:val="FooterChar"/>
    <w:rsid w:val="00E522BF"/>
    <w:pPr>
      <w:tabs>
        <w:tab w:val="center" w:pos="4680"/>
        <w:tab w:val="right" w:pos="9360"/>
      </w:tabs>
    </w:pPr>
  </w:style>
  <w:style w:type="character" w:customStyle="1" w:styleId="FooterChar">
    <w:name w:val="Footer Char"/>
    <w:basedOn w:val="DefaultParagraphFont"/>
    <w:link w:val="Footer"/>
    <w:rsid w:val="00E522BF"/>
    <w:rPr>
      <w:sz w:val="24"/>
      <w:szCs w:val="24"/>
    </w:rPr>
  </w:style>
  <w:style w:type="paragraph" w:styleId="NoSpacing">
    <w:name w:val="No Spacing"/>
    <w:link w:val="NoSpacingChar"/>
    <w:uiPriority w:val="1"/>
    <w:qFormat/>
    <w:rsid w:val="00DA123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DA1232"/>
    <w:rPr>
      <w:rFonts w:asciiTheme="minorHAnsi" w:eastAsiaTheme="minorHAnsi" w:hAnsiTheme="minorHAnsi" w:cstheme="minorBidi"/>
      <w:sz w:val="22"/>
      <w:szCs w:val="22"/>
    </w:rPr>
  </w:style>
  <w:style w:type="character" w:customStyle="1" w:styleId="ListParagraphChar">
    <w:name w:val="List Paragraph Char"/>
    <w:aliases w:val="Liste 1 Char"/>
    <w:basedOn w:val="DefaultParagraphFont"/>
    <w:link w:val="ListParagraph"/>
    <w:uiPriority w:val="34"/>
    <w:rsid w:val="00DA1232"/>
    <w:rPr>
      <w:sz w:val="24"/>
      <w:szCs w:val="24"/>
    </w:rPr>
  </w:style>
  <w:style w:type="paragraph" w:customStyle="1" w:styleId="Subheading1">
    <w:name w:val="Subheading1"/>
    <w:basedOn w:val="Normal"/>
    <w:link w:val="Subheading1Char"/>
    <w:qFormat/>
    <w:rsid w:val="00DA1232"/>
    <w:pPr>
      <w:numPr>
        <w:numId w:val="30"/>
      </w:numPr>
      <w:tabs>
        <w:tab w:val="left" w:pos="360"/>
      </w:tabs>
      <w:autoSpaceDE w:val="0"/>
      <w:autoSpaceDN w:val="0"/>
      <w:adjustRightInd w:val="0"/>
      <w:spacing w:after="267"/>
    </w:pPr>
    <w:rPr>
      <w:rFonts w:ascii="Calibri" w:eastAsiaTheme="minorHAnsi" w:hAnsi="Calibri"/>
      <w:b/>
      <w:color w:val="000000"/>
      <w:u w:val="single"/>
    </w:rPr>
  </w:style>
  <w:style w:type="character" w:customStyle="1" w:styleId="Subheading1Char">
    <w:name w:val="Subheading1 Char"/>
    <w:basedOn w:val="DefaultParagraphFont"/>
    <w:link w:val="Subheading1"/>
    <w:rsid w:val="00DA1232"/>
    <w:rPr>
      <w:rFonts w:ascii="Calibri" w:eastAsiaTheme="minorHAnsi" w:hAnsi="Calibri"/>
      <w:b/>
      <w:color w:val="000000"/>
      <w:sz w:val="24"/>
      <w:szCs w:val="24"/>
      <w:u w:val="single"/>
    </w:rPr>
  </w:style>
  <w:style w:type="paragraph" w:customStyle="1" w:styleId="Default">
    <w:name w:val="Default"/>
    <w:link w:val="DefaultChar"/>
    <w:rsid w:val="00DA1232"/>
    <w:pPr>
      <w:autoSpaceDE w:val="0"/>
      <w:autoSpaceDN w:val="0"/>
      <w:adjustRightInd w:val="0"/>
    </w:pPr>
    <w:rPr>
      <w:rFonts w:eastAsiaTheme="minorHAnsi"/>
      <w:color w:val="000000"/>
      <w:sz w:val="24"/>
      <w:szCs w:val="24"/>
    </w:rPr>
  </w:style>
  <w:style w:type="character" w:customStyle="1" w:styleId="DefaultChar">
    <w:name w:val="Default Char"/>
    <w:basedOn w:val="DefaultParagraphFont"/>
    <w:link w:val="Default"/>
    <w:rsid w:val="00DA1232"/>
    <w:rPr>
      <w:rFonts w:eastAsiaTheme="minorHAnsi"/>
      <w:color w:val="000000"/>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4F5268"/>
    <w:pPr>
      <w:spacing w:after="160" w:line="240" w:lineRule="exact"/>
    </w:pPr>
    <w:rPr>
      <w:sz w:val="20"/>
      <w:szCs w:val="20"/>
      <w:vertAlign w:val="superscript"/>
    </w:rPr>
  </w:style>
  <w:style w:type="character" w:customStyle="1" w:styleId="st">
    <w:name w:val="st"/>
    <w:basedOn w:val="DefaultParagraphFont"/>
    <w:rsid w:val="003D7804"/>
  </w:style>
  <w:style w:type="paragraph" w:customStyle="1" w:styleId="BodyText1">
    <w:name w:val="Body Text1"/>
    <w:basedOn w:val="Normal"/>
    <w:qFormat/>
    <w:rsid w:val="006C4B8F"/>
    <w:pPr>
      <w:numPr>
        <w:numId w:val="38"/>
      </w:numPr>
      <w:tabs>
        <w:tab w:val="left" w:pos="432"/>
      </w:tabs>
      <w:autoSpaceDE w:val="0"/>
      <w:autoSpaceDN w:val="0"/>
      <w:adjustRightInd w:val="0"/>
      <w:spacing w:after="120"/>
      <w:ind w:left="0" w:firstLine="0"/>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04fe4a42-127e-478d-9b6e-420dd7ce26ac" ContentTypeId="0x01010099B6B9EF8F35F840B8C1B763013CF536" PreviousValue="false"/>
</file>

<file path=customXml/item3.xml><?xml version="1.0" encoding="utf-8"?>
<ct:contentTypeSchema xmlns:ct="http://schemas.microsoft.com/office/2006/metadata/contentType" xmlns:ma="http://schemas.microsoft.com/office/2006/metadata/properties/metaAttributes" ct:_="" ma:_="" ma:contentTypeName="Select Content Type" ma:contentTypeID="0x01010099B6B9EF8F35F840B8C1B763013CF53600CE25AF614DB28246AF64A03CA0F82515" ma:contentTypeVersion="4" ma:contentTypeDescription="" ma:contentTypeScope="" ma:versionID="1248548af08e382c1260260fd8404fa4">
  <xsd:schema xmlns:xsd="http://www.w3.org/2001/XMLSchema" xmlns:xs="http://www.w3.org/2001/XMLSchema" xmlns:p="http://schemas.microsoft.com/office/2006/metadata/properties" xmlns:ns2="4f665c86-b6e3-4427-8f26-07c07c084871" targetNamespace="http://schemas.microsoft.com/office/2006/metadata/properties" ma:root="true" ma:fieldsID="fbb835408aee4b19ec09bc3948176eb1" ns2:_="">
    <xsd:import namespace="4f665c86-b6e3-4427-8f26-07c07c0848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5c86-b6e3-4427-8f26-07c07c0848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2782-3FBE-49F9-9C91-F2CB66334A13}">
  <ds:schemaRefs>
    <ds:schemaRef ds:uri="http://schemas.microsoft.com/sharepoint/events"/>
  </ds:schemaRefs>
</ds:datastoreItem>
</file>

<file path=customXml/itemProps2.xml><?xml version="1.0" encoding="utf-8"?>
<ds:datastoreItem xmlns:ds="http://schemas.openxmlformats.org/officeDocument/2006/customXml" ds:itemID="{71AAD5B3-C9C6-45C3-99EB-B9ECF9DB2CE4}">
  <ds:schemaRefs>
    <ds:schemaRef ds:uri="Microsoft.SharePoint.Taxonomy.ContentTypeSync"/>
  </ds:schemaRefs>
</ds:datastoreItem>
</file>

<file path=customXml/itemProps3.xml><?xml version="1.0" encoding="utf-8"?>
<ds:datastoreItem xmlns:ds="http://schemas.openxmlformats.org/officeDocument/2006/customXml" ds:itemID="{687ABB6A-7697-4288-9C57-6DF3BFBB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65c86-b6e3-4427-8f26-07c07c084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8D070-84C7-494B-9E8F-631B86BBD61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F3986F9-4A6A-4078-9517-BA8F114FCBAB}">
  <ds:schemaRefs>
    <ds:schemaRef ds:uri="http://schemas.microsoft.com/sharepoint/v3/contenttype/forms"/>
  </ds:schemaRefs>
</ds:datastoreItem>
</file>

<file path=customXml/itemProps6.xml><?xml version="1.0" encoding="utf-8"?>
<ds:datastoreItem xmlns:ds="http://schemas.openxmlformats.org/officeDocument/2006/customXml" ds:itemID="{F4A994F2-7B08-46F7-9329-0E4113BB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8290</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Berkley Kilgore</cp:lastModifiedBy>
  <cp:revision>2</cp:revision>
  <cp:lastPrinted>2012-03-29T20:48:00Z</cp:lastPrinted>
  <dcterms:created xsi:type="dcterms:W3CDTF">2013-09-16T18:51:00Z</dcterms:created>
  <dcterms:modified xsi:type="dcterms:W3CDTF">2013-09-16T18:51:00Z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y fmtid="{D5CDD505-2E9C-101B-9397-08002B2CF9AE}" pid="4" name="ContentTypeId">
    <vt:lpwstr>0x01010099B6B9EF8F35F840B8C1B763013CF53600CE25AF614DB28246AF64A03CA0F82515</vt:lpwstr>
  </property>
  <property fmtid="{D5CDD505-2E9C-101B-9397-08002B2CF9AE}" pid="5" name="OPSCustomProjectID">
    <vt:lpwstr>P102900</vt:lpwstr>
  </property>
  <property fmtid="{D5CDD505-2E9C-101B-9397-08002B2CF9AE}" pid="6" name="Author0">
    <vt:lpwstr>Malek Atallah</vt:lpwstr>
  </property>
</Properties>
</file>