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7"/>
        <w:gridCol w:w="94"/>
        <w:gridCol w:w="94"/>
        <w:gridCol w:w="1030"/>
        <w:gridCol w:w="1123"/>
        <w:gridCol w:w="468"/>
        <w:gridCol w:w="1779"/>
        <w:gridCol w:w="2153"/>
        <w:gridCol w:w="187"/>
        <w:gridCol w:w="1030"/>
        <w:gridCol w:w="281"/>
        <w:gridCol w:w="936"/>
      </w:tblGrid>
      <w:tr w:rsidR="002B3508" w:rsidRPr="00494DAB" w14:paraId="62BE688B" w14:textId="77777777" w:rsidTr="002949EA">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14:paraId="168AB7EB" w14:textId="77777777" w:rsidR="002B3508" w:rsidRPr="00494DAB" w:rsidRDefault="00252AD5" w:rsidP="00CD26F7">
            <w:pPr>
              <w:rPr>
                <w:rFonts w:ascii="Times" w:hAnsi="Times" w:cs="Times"/>
                <w:color w:val="FFFFFF"/>
                <w:sz w:val="2"/>
                <w:szCs w:val="2"/>
              </w:rPr>
            </w:pPr>
            <w:r w:rsidRPr="00494DAB">
              <w:rPr>
                <w:rFonts w:ascii="Times" w:hAnsi="Times" w:cs="Times"/>
                <w:color w:val="FFFFFF"/>
                <w:sz w:val="2"/>
                <w:szCs w:val="2"/>
              </w:rPr>
              <w:t>.</w:t>
            </w:r>
          </w:p>
        </w:tc>
      </w:tr>
      <w:tr w:rsidR="002B3508" w:rsidRPr="00155D0A" w14:paraId="2A519D51" w14:textId="77777777" w:rsidTr="002949EA">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14:paraId="3DBD82D9" w14:textId="77777777" w:rsidR="002B3508" w:rsidRPr="00155D0A" w:rsidRDefault="00252AD5" w:rsidP="00CD26F7">
            <w:pPr>
              <w:jc w:val="center"/>
              <w:rPr>
                <w:rFonts w:ascii="Times New Roman" w:hAnsi="Times New Roman" w:cs="Times New Roman"/>
              </w:rPr>
            </w:pPr>
            <w:r w:rsidRPr="00155D0A">
              <w:rPr>
                <w:rFonts w:ascii="Times New Roman" w:hAnsi="Times New Roman" w:cs="Times New Roman"/>
                <w:b/>
                <w:bCs/>
              </w:rPr>
              <w:t>PROJECT INFORMATION DOCUMENT (PID)</w:t>
            </w:r>
          </w:p>
        </w:tc>
      </w:tr>
      <w:tr w:rsidR="002B3508" w:rsidRPr="00155D0A" w14:paraId="46FE0D24" w14:textId="77777777" w:rsidTr="002949EA">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14:paraId="180D0824" w14:textId="77777777" w:rsidR="002B3508" w:rsidRPr="00155D0A" w:rsidRDefault="00252AD5" w:rsidP="00CD26F7">
            <w:pPr>
              <w:jc w:val="center"/>
              <w:rPr>
                <w:rFonts w:ascii="Times New Roman" w:hAnsi="Times New Roman" w:cs="Times New Roman"/>
              </w:rPr>
            </w:pPr>
            <w:r w:rsidRPr="00155D0A">
              <w:rPr>
                <w:rFonts w:ascii="Times New Roman" w:hAnsi="Times New Roman" w:cs="Times New Roman"/>
                <w:b/>
                <w:bCs/>
              </w:rPr>
              <w:t>APPRAISAL STAGE</w:t>
            </w:r>
          </w:p>
        </w:tc>
      </w:tr>
      <w:tr w:rsidR="002B3508" w:rsidRPr="00155D0A" w14:paraId="70B0D070" w14:textId="77777777" w:rsidTr="002949EA">
        <w:tc>
          <w:tcPr>
            <w:tcW w:w="8426" w:type="dxa"/>
            <w:gridSpan w:val="11"/>
            <w:tcBorders>
              <w:top w:val="nil"/>
              <w:left w:val="nil"/>
              <w:bottom w:val="nil"/>
              <w:right w:val="nil"/>
            </w:tcBorders>
            <w:shd w:val="clear" w:color="auto" w:fill="FFFFFF"/>
            <w:tcMar>
              <w:top w:w="50" w:type="dxa"/>
              <w:left w:w="50" w:type="dxa"/>
              <w:bottom w:w="50" w:type="dxa"/>
              <w:right w:w="50" w:type="dxa"/>
            </w:tcMar>
            <w:vAlign w:val="center"/>
          </w:tcPr>
          <w:p w14:paraId="1B4B0389" w14:textId="0A4E64A1" w:rsidR="002B3508" w:rsidRPr="00494DAB" w:rsidRDefault="002949EA" w:rsidP="00112AD7">
            <w:pPr>
              <w:jc w:val="right"/>
              <w:rPr>
                <w:rFonts w:ascii="Times New Roman" w:hAnsi="Times New Roman" w:cs="Times New Roman"/>
              </w:rPr>
            </w:pPr>
            <w:r w:rsidRPr="00155D0A">
              <w:rPr>
                <w:rFonts w:ascii="Times New Roman" w:hAnsi="Times New Roman" w:cs="Times New Roman"/>
              </w:rPr>
              <w:t>Report No.:</w:t>
            </w:r>
            <w:r w:rsidR="00D23267">
              <w:rPr>
                <w:rFonts w:ascii="Times New Roman" w:hAnsi="Times New Roman" w:cs="Times New Roman"/>
              </w:rPr>
              <w:t xml:space="preserve"> </w:t>
            </w:r>
            <w:bookmarkStart w:id="0" w:name="_GoBack"/>
            <w:bookmarkEnd w:id="0"/>
            <w:r w:rsidR="00D23267">
              <w:rPr>
                <w:rFonts w:ascii="Times New Roman" w:hAnsi="Times New Roman" w:cs="Times New Roman"/>
              </w:rPr>
              <w:t>93453</w:t>
            </w:r>
            <w:r w:rsidRPr="00155D0A">
              <w:rPr>
                <w:rFonts w:ascii="Times New Roman" w:hAnsi="Times New Roman" w:cs="Times New Roman"/>
              </w:rPr>
              <w:t xml:space="preserve"> </w:t>
            </w:r>
          </w:p>
        </w:tc>
        <w:tc>
          <w:tcPr>
            <w:tcW w:w="936" w:type="dxa"/>
            <w:tcBorders>
              <w:top w:val="nil"/>
              <w:left w:val="nil"/>
              <w:bottom w:val="nil"/>
              <w:right w:val="nil"/>
            </w:tcBorders>
            <w:shd w:val="clear" w:color="auto" w:fill="FFFFFF"/>
            <w:tcMar>
              <w:top w:w="50" w:type="dxa"/>
              <w:left w:w="50" w:type="dxa"/>
              <w:bottom w:w="50" w:type="dxa"/>
              <w:right w:w="50" w:type="dxa"/>
            </w:tcMar>
            <w:vAlign w:val="center"/>
          </w:tcPr>
          <w:p w14:paraId="27D35000" w14:textId="77777777" w:rsidR="002B3508" w:rsidRPr="00155D0A" w:rsidRDefault="002B3508" w:rsidP="00CD26F7">
            <w:pPr>
              <w:rPr>
                <w:rFonts w:ascii="Times New Roman" w:hAnsi="Times New Roman" w:cs="Times New Roman"/>
                <w:color w:val="auto"/>
              </w:rPr>
            </w:pPr>
          </w:p>
        </w:tc>
      </w:tr>
      <w:tr w:rsidR="002B3508" w:rsidRPr="00155D0A" w14:paraId="108AA8D3" w14:textId="77777777" w:rsidTr="002949EA">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14:paraId="4A393A9E" w14:textId="77777777" w:rsidR="002B3508" w:rsidRPr="00155D0A" w:rsidRDefault="00252AD5" w:rsidP="00CD26F7">
            <w:pPr>
              <w:rPr>
                <w:rFonts w:ascii="Times" w:hAnsi="Times" w:cs="Times"/>
                <w:color w:val="FFFFFF"/>
                <w:sz w:val="2"/>
                <w:szCs w:val="2"/>
              </w:rPr>
            </w:pPr>
            <w:r w:rsidRPr="00155D0A">
              <w:rPr>
                <w:rFonts w:ascii="Times" w:hAnsi="Times" w:cs="Times"/>
                <w:color w:val="FFFFFF"/>
                <w:sz w:val="2"/>
                <w:szCs w:val="2"/>
              </w:rPr>
              <w:t>.</w:t>
            </w:r>
          </w:p>
        </w:tc>
      </w:tr>
      <w:tr w:rsidR="002B3508" w:rsidRPr="00155D0A" w14:paraId="47E20BF8" w14:textId="77777777" w:rsidTr="002949EA">
        <w:tc>
          <w:tcPr>
            <w:tcW w:w="299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27B6FEF" w14:textId="77777777" w:rsidR="002B3508" w:rsidRPr="00155D0A" w:rsidRDefault="00252AD5" w:rsidP="00CD26F7">
            <w:pPr>
              <w:rPr>
                <w:rFonts w:ascii="Times New Roman" w:hAnsi="Times New Roman" w:cs="Times New Roman"/>
              </w:rPr>
            </w:pPr>
            <w:r w:rsidRPr="00155D0A">
              <w:rPr>
                <w:rFonts w:ascii="Times New Roman" w:hAnsi="Times New Roman" w:cs="Times New Roman"/>
                <w:b/>
                <w:bCs/>
                <w:sz w:val="22"/>
                <w:szCs w:val="22"/>
              </w:rPr>
              <w:t>Project Name</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481F007" w14:textId="3A8B4678" w:rsidR="002B3508" w:rsidRPr="00155D0A" w:rsidRDefault="00CC003C" w:rsidP="00CD26F7">
            <w:pPr>
              <w:rPr>
                <w:rFonts w:ascii="Times New Roman" w:hAnsi="Times New Roman" w:cs="Times New Roman"/>
              </w:rPr>
            </w:pPr>
            <w:r w:rsidRPr="00155D0A">
              <w:rPr>
                <w:rFonts w:ascii="Times New Roman" w:hAnsi="Times New Roman" w:cs="Times New Roman"/>
                <w:sz w:val="22"/>
                <w:szCs w:val="22"/>
              </w:rPr>
              <w:t>Partnership for Market Readiness</w:t>
            </w:r>
            <w:r w:rsidR="00B33EF2" w:rsidRPr="00155D0A">
              <w:rPr>
                <w:rFonts w:ascii="Times New Roman" w:hAnsi="Times New Roman" w:cs="Times New Roman"/>
                <w:sz w:val="22"/>
                <w:szCs w:val="22"/>
              </w:rPr>
              <w:t xml:space="preserve"> (PMR)</w:t>
            </w:r>
          </w:p>
        </w:tc>
      </w:tr>
      <w:tr w:rsidR="002B3508" w:rsidRPr="00155D0A" w14:paraId="1F6AAF55" w14:textId="77777777" w:rsidTr="002949EA">
        <w:tc>
          <w:tcPr>
            <w:tcW w:w="299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5F1F140" w14:textId="77777777" w:rsidR="002B3508" w:rsidRPr="00155D0A" w:rsidRDefault="00252AD5" w:rsidP="00CD26F7">
            <w:pPr>
              <w:rPr>
                <w:rFonts w:ascii="Times New Roman" w:hAnsi="Times New Roman" w:cs="Times New Roman"/>
              </w:rPr>
            </w:pPr>
            <w:r w:rsidRPr="00155D0A">
              <w:rPr>
                <w:rFonts w:ascii="Times New Roman" w:hAnsi="Times New Roman" w:cs="Times New Roman"/>
                <w:b/>
                <w:bCs/>
                <w:sz w:val="22"/>
                <w:szCs w:val="22"/>
              </w:rPr>
              <w:t>Region</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DC0FB04"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EAST ASIA AND PACIFIC</w:t>
            </w:r>
          </w:p>
        </w:tc>
      </w:tr>
      <w:tr w:rsidR="002B3508" w:rsidRPr="00155D0A" w14:paraId="3602EC3D" w14:textId="77777777" w:rsidTr="002949EA">
        <w:tc>
          <w:tcPr>
            <w:tcW w:w="299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AD5127D" w14:textId="77777777" w:rsidR="002B3508" w:rsidRPr="00155D0A" w:rsidRDefault="00252AD5" w:rsidP="00CD26F7">
            <w:pPr>
              <w:rPr>
                <w:rFonts w:ascii="Times New Roman" w:hAnsi="Times New Roman" w:cs="Times New Roman"/>
              </w:rPr>
            </w:pPr>
            <w:r w:rsidRPr="00155D0A">
              <w:rPr>
                <w:rFonts w:ascii="Times New Roman" w:hAnsi="Times New Roman" w:cs="Times New Roman"/>
                <w:b/>
                <w:bCs/>
                <w:sz w:val="22"/>
                <w:szCs w:val="22"/>
              </w:rPr>
              <w:t>Country</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B33319B" w14:textId="77777777" w:rsidR="002B3508" w:rsidRPr="00155D0A" w:rsidRDefault="002949EA" w:rsidP="00CD26F7">
            <w:pPr>
              <w:rPr>
                <w:rFonts w:ascii="Times New Roman" w:hAnsi="Times New Roman" w:cs="Times New Roman"/>
              </w:rPr>
            </w:pPr>
            <w:r w:rsidRPr="00155D0A">
              <w:rPr>
                <w:rFonts w:ascii="Times New Roman" w:hAnsi="Times New Roman" w:cs="Times New Roman"/>
                <w:sz w:val="22"/>
                <w:szCs w:val="22"/>
              </w:rPr>
              <w:t>Thailand</w:t>
            </w:r>
          </w:p>
        </w:tc>
      </w:tr>
      <w:tr w:rsidR="002B3508" w:rsidRPr="00155D0A" w14:paraId="6691AF5A" w14:textId="77777777" w:rsidTr="002949EA">
        <w:tc>
          <w:tcPr>
            <w:tcW w:w="299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92DAD57" w14:textId="77777777" w:rsidR="002B3508" w:rsidRPr="00155D0A" w:rsidRDefault="00252AD5" w:rsidP="00CD26F7">
            <w:pPr>
              <w:rPr>
                <w:rFonts w:ascii="Times New Roman" w:hAnsi="Times New Roman" w:cs="Times New Roman"/>
              </w:rPr>
            </w:pPr>
            <w:r w:rsidRPr="00155D0A">
              <w:rPr>
                <w:rFonts w:ascii="Times New Roman" w:hAnsi="Times New Roman" w:cs="Times New Roman"/>
                <w:b/>
                <w:bCs/>
                <w:sz w:val="22"/>
                <w:szCs w:val="22"/>
              </w:rPr>
              <w:t>Sector(s)</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85F9987" w14:textId="665D5C0F" w:rsidR="002B3508" w:rsidRPr="00155D0A" w:rsidRDefault="00B55B38" w:rsidP="00CD26F7">
            <w:pPr>
              <w:rPr>
                <w:rFonts w:ascii="Times New Roman" w:hAnsi="Times New Roman" w:cs="Times New Roman"/>
                <w:sz w:val="22"/>
                <w:szCs w:val="22"/>
              </w:rPr>
            </w:pPr>
            <w:r w:rsidRPr="00155D0A">
              <w:rPr>
                <w:rFonts w:ascii="Times New Roman" w:hAnsi="Times New Roman" w:cs="Times New Roman"/>
                <w:sz w:val="22"/>
                <w:szCs w:val="22"/>
              </w:rPr>
              <w:t>General Energy Sector (50%), General Industry and Trade Sector (50%)</w:t>
            </w:r>
          </w:p>
        </w:tc>
      </w:tr>
      <w:tr w:rsidR="002B3508" w:rsidRPr="00155D0A" w14:paraId="31C6FBF8" w14:textId="77777777" w:rsidTr="002949EA">
        <w:tc>
          <w:tcPr>
            <w:tcW w:w="299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E00EB54" w14:textId="77777777" w:rsidR="002B3508" w:rsidRPr="00155D0A" w:rsidRDefault="00252AD5" w:rsidP="00CD26F7">
            <w:pPr>
              <w:rPr>
                <w:rFonts w:ascii="Times New Roman" w:hAnsi="Times New Roman" w:cs="Times New Roman"/>
              </w:rPr>
            </w:pPr>
            <w:r w:rsidRPr="00155D0A">
              <w:rPr>
                <w:rFonts w:ascii="Times New Roman" w:hAnsi="Times New Roman" w:cs="Times New Roman"/>
                <w:b/>
                <w:bCs/>
                <w:sz w:val="22"/>
                <w:szCs w:val="22"/>
              </w:rPr>
              <w:t>Theme(s)</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450FB57" w14:textId="49F5DBDF" w:rsidR="002B3508" w:rsidRPr="00155D0A" w:rsidRDefault="00B55B38" w:rsidP="00CD26F7">
            <w:pPr>
              <w:rPr>
                <w:rFonts w:ascii="Times New Roman" w:hAnsi="Times New Roman" w:cs="Times New Roman"/>
              </w:rPr>
            </w:pPr>
            <w:r w:rsidRPr="00155D0A">
              <w:rPr>
                <w:rFonts w:ascii="Times New Roman" w:hAnsi="Times New Roman" w:cs="Times New Roman"/>
                <w:sz w:val="22"/>
                <w:szCs w:val="22"/>
              </w:rPr>
              <w:t>Climate Change (100%)</w:t>
            </w:r>
          </w:p>
        </w:tc>
      </w:tr>
      <w:tr w:rsidR="002B3508" w:rsidRPr="00155D0A" w14:paraId="0401AB00" w14:textId="77777777" w:rsidTr="002949EA">
        <w:tc>
          <w:tcPr>
            <w:tcW w:w="299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9BD17E2" w14:textId="77777777" w:rsidR="002B3508" w:rsidRPr="00155D0A" w:rsidRDefault="00252AD5" w:rsidP="00CD26F7">
            <w:pPr>
              <w:rPr>
                <w:rFonts w:ascii="Times New Roman" w:hAnsi="Times New Roman" w:cs="Times New Roman"/>
              </w:rPr>
            </w:pPr>
            <w:r w:rsidRPr="00155D0A">
              <w:rPr>
                <w:rFonts w:ascii="Times New Roman" w:hAnsi="Times New Roman" w:cs="Times New Roman"/>
                <w:b/>
                <w:bCs/>
                <w:sz w:val="22"/>
                <w:szCs w:val="22"/>
              </w:rPr>
              <w:t>Lending Instrument</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64A1B2F" w14:textId="53B4F964" w:rsidR="002B3508" w:rsidRPr="00155D0A" w:rsidRDefault="00B55B38" w:rsidP="00CD26F7">
            <w:pPr>
              <w:rPr>
                <w:rFonts w:ascii="Times New Roman" w:hAnsi="Times New Roman" w:cs="Times New Roman"/>
              </w:rPr>
            </w:pPr>
            <w:r w:rsidRPr="00155D0A">
              <w:rPr>
                <w:rFonts w:ascii="Times New Roman" w:hAnsi="Times New Roman" w:cs="Times New Roman"/>
                <w:sz w:val="22"/>
                <w:szCs w:val="22"/>
              </w:rPr>
              <w:t>Investment Project Financing</w:t>
            </w:r>
          </w:p>
        </w:tc>
      </w:tr>
      <w:tr w:rsidR="002B3508" w:rsidRPr="00155D0A" w14:paraId="7829470A" w14:textId="77777777" w:rsidTr="002949EA">
        <w:tc>
          <w:tcPr>
            <w:tcW w:w="299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F09D912" w14:textId="77777777" w:rsidR="002B3508" w:rsidRPr="00155D0A" w:rsidRDefault="00252AD5" w:rsidP="00CD26F7">
            <w:pPr>
              <w:rPr>
                <w:rFonts w:ascii="Times New Roman" w:hAnsi="Times New Roman" w:cs="Times New Roman"/>
              </w:rPr>
            </w:pPr>
            <w:r w:rsidRPr="00155D0A">
              <w:rPr>
                <w:rFonts w:ascii="Times New Roman" w:hAnsi="Times New Roman" w:cs="Times New Roman"/>
                <w:b/>
                <w:bCs/>
                <w:sz w:val="22"/>
                <w:szCs w:val="22"/>
              </w:rPr>
              <w:t>Project ID</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7D9589C" w14:textId="60D05641" w:rsidR="002B3508" w:rsidRPr="00155D0A" w:rsidRDefault="00B55B38" w:rsidP="00CD26F7">
            <w:pPr>
              <w:rPr>
                <w:rFonts w:ascii="Times New Roman" w:hAnsi="Times New Roman" w:cs="Times New Roman"/>
              </w:rPr>
            </w:pPr>
            <w:r w:rsidRPr="00155D0A">
              <w:rPr>
                <w:rFonts w:ascii="Times New Roman" w:hAnsi="Times New Roman" w:cs="Times New Roman"/>
                <w:sz w:val="22"/>
                <w:szCs w:val="22"/>
              </w:rPr>
              <w:t>P128965</w:t>
            </w:r>
          </w:p>
        </w:tc>
      </w:tr>
      <w:tr w:rsidR="002B3508" w:rsidRPr="00155D0A" w14:paraId="2C1867B8" w14:textId="77777777" w:rsidTr="002949EA">
        <w:tc>
          <w:tcPr>
            <w:tcW w:w="299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29739D3" w14:textId="77777777" w:rsidR="002B3508" w:rsidRPr="00155D0A" w:rsidRDefault="00252AD5" w:rsidP="00CD26F7">
            <w:pPr>
              <w:rPr>
                <w:rFonts w:ascii="Times New Roman" w:hAnsi="Times New Roman" w:cs="Times New Roman"/>
              </w:rPr>
            </w:pPr>
            <w:r w:rsidRPr="00155D0A">
              <w:rPr>
                <w:rFonts w:ascii="Times New Roman" w:hAnsi="Times New Roman" w:cs="Times New Roman"/>
                <w:b/>
                <w:bCs/>
                <w:sz w:val="22"/>
                <w:szCs w:val="22"/>
              </w:rPr>
              <w:t>Borrower(s)</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E9242C5" w14:textId="77777777" w:rsidR="002B3508" w:rsidRPr="00155D0A" w:rsidRDefault="002949EA" w:rsidP="00CD26F7">
            <w:pPr>
              <w:rPr>
                <w:rFonts w:ascii="Times New Roman" w:hAnsi="Times New Roman" w:cs="Times New Roman"/>
              </w:rPr>
            </w:pPr>
            <w:r w:rsidRPr="00155D0A">
              <w:rPr>
                <w:rFonts w:ascii="Times New Roman" w:hAnsi="Times New Roman" w:cs="Times New Roman"/>
                <w:sz w:val="22"/>
                <w:szCs w:val="22"/>
              </w:rPr>
              <w:t>Ministry of Finance</w:t>
            </w:r>
          </w:p>
        </w:tc>
      </w:tr>
      <w:tr w:rsidR="002B3508" w:rsidRPr="00155D0A" w14:paraId="3F28115C" w14:textId="77777777" w:rsidTr="002949EA">
        <w:tc>
          <w:tcPr>
            <w:tcW w:w="299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F4FC3C1" w14:textId="77777777" w:rsidR="002B3508" w:rsidRPr="00155D0A" w:rsidRDefault="00252AD5" w:rsidP="00CD26F7">
            <w:pPr>
              <w:rPr>
                <w:rFonts w:ascii="Times New Roman" w:hAnsi="Times New Roman" w:cs="Times New Roman"/>
              </w:rPr>
            </w:pPr>
            <w:r w:rsidRPr="00155D0A">
              <w:rPr>
                <w:rFonts w:ascii="Times New Roman" w:hAnsi="Times New Roman" w:cs="Times New Roman"/>
                <w:b/>
                <w:bCs/>
                <w:sz w:val="22"/>
                <w:szCs w:val="22"/>
              </w:rPr>
              <w:t>Implementing Agency</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21588A5" w14:textId="4DA88874" w:rsidR="002B3508" w:rsidRPr="00155D0A" w:rsidRDefault="00B55B38" w:rsidP="00CD26F7">
            <w:pPr>
              <w:rPr>
                <w:rFonts w:ascii="Times New Roman" w:hAnsi="Times New Roman" w:cs="Times New Roman"/>
              </w:rPr>
            </w:pPr>
            <w:r w:rsidRPr="00155D0A">
              <w:rPr>
                <w:rFonts w:ascii="Times New Roman" w:hAnsi="Times New Roman" w:cs="Times New Roman"/>
                <w:sz w:val="22"/>
                <w:szCs w:val="22"/>
              </w:rPr>
              <w:t>Thailand Greenhouse Gas Management Organization (TGO)</w:t>
            </w:r>
          </w:p>
        </w:tc>
      </w:tr>
      <w:tr w:rsidR="002B3508" w:rsidRPr="00155D0A" w14:paraId="58A20AF1" w14:textId="77777777" w:rsidTr="002949EA">
        <w:tc>
          <w:tcPr>
            <w:tcW w:w="299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F2ED427" w14:textId="77777777" w:rsidR="002B3508" w:rsidRPr="00155D0A" w:rsidRDefault="00252AD5" w:rsidP="00CD26F7">
            <w:pPr>
              <w:rPr>
                <w:rFonts w:ascii="Times New Roman" w:hAnsi="Times New Roman" w:cs="Times New Roman"/>
              </w:rPr>
            </w:pPr>
            <w:r w:rsidRPr="00155D0A">
              <w:rPr>
                <w:rFonts w:ascii="Times New Roman" w:hAnsi="Times New Roman" w:cs="Times New Roman"/>
                <w:b/>
                <w:bCs/>
                <w:sz w:val="22"/>
                <w:szCs w:val="22"/>
              </w:rPr>
              <w:t>Environmental Category</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28DE549" w14:textId="2518F174" w:rsidR="002B3508" w:rsidRPr="00155D0A" w:rsidRDefault="00ED0786" w:rsidP="00CD26F7">
            <w:pPr>
              <w:rPr>
                <w:rFonts w:ascii="Times New Roman" w:hAnsi="Times New Roman" w:cs="Times New Roman"/>
              </w:rPr>
            </w:pPr>
            <w:r w:rsidRPr="00155D0A">
              <w:rPr>
                <w:rFonts w:ascii="Times New Roman" w:hAnsi="Times New Roman" w:cs="Times New Roman"/>
                <w:sz w:val="22"/>
                <w:szCs w:val="22"/>
              </w:rPr>
              <w:t>B</w:t>
            </w:r>
          </w:p>
        </w:tc>
      </w:tr>
      <w:tr w:rsidR="002B3508" w:rsidRPr="00155D0A" w14:paraId="488C2E92" w14:textId="77777777" w:rsidTr="002949EA">
        <w:tc>
          <w:tcPr>
            <w:tcW w:w="299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B8AAF31" w14:textId="77777777" w:rsidR="002B3508" w:rsidRPr="00155D0A" w:rsidRDefault="00252AD5" w:rsidP="00CD26F7">
            <w:pPr>
              <w:rPr>
                <w:rFonts w:ascii="Times New Roman" w:hAnsi="Times New Roman" w:cs="Times New Roman"/>
              </w:rPr>
            </w:pPr>
            <w:r w:rsidRPr="00155D0A">
              <w:rPr>
                <w:rFonts w:ascii="Times New Roman" w:hAnsi="Times New Roman" w:cs="Times New Roman"/>
                <w:b/>
                <w:bCs/>
                <w:sz w:val="22"/>
                <w:szCs w:val="22"/>
              </w:rPr>
              <w:t>Date PID Prepared/Updated</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26FDD5D" w14:textId="0B626B12" w:rsidR="002B3508" w:rsidRPr="00155D0A" w:rsidRDefault="004953BB" w:rsidP="00112AD7">
            <w:pPr>
              <w:rPr>
                <w:rFonts w:ascii="Times New Roman" w:hAnsi="Times New Roman" w:cs="Times New Roman"/>
              </w:rPr>
            </w:pPr>
            <w:r w:rsidRPr="00155D0A">
              <w:rPr>
                <w:rFonts w:ascii="Times New Roman" w:hAnsi="Times New Roman" w:cs="Times New Roman"/>
                <w:sz w:val="22"/>
                <w:szCs w:val="22"/>
              </w:rPr>
              <w:t xml:space="preserve">December </w:t>
            </w:r>
            <w:r w:rsidR="00002130" w:rsidRPr="00155D0A">
              <w:rPr>
                <w:rFonts w:ascii="Times New Roman" w:hAnsi="Times New Roman" w:cs="Times New Roman"/>
                <w:sz w:val="22"/>
                <w:szCs w:val="22"/>
              </w:rPr>
              <w:t>19</w:t>
            </w:r>
            <w:r w:rsidRPr="00155D0A">
              <w:rPr>
                <w:rFonts w:ascii="Times New Roman" w:hAnsi="Times New Roman" w:cs="Times New Roman"/>
                <w:sz w:val="22"/>
                <w:szCs w:val="22"/>
              </w:rPr>
              <w:t>, 2014</w:t>
            </w:r>
          </w:p>
        </w:tc>
      </w:tr>
      <w:tr w:rsidR="002B3508" w:rsidRPr="00155D0A" w14:paraId="12FED37D" w14:textId="77777777" w:rsidTr="002949EA">
        <w:tc>
          <w:tcPr>
            <w:tcW w:w="299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287AFF6" w14:textId="5693664E" w:rsidR="002B3508" w:rsidRPr="00155D0A" w:rsidRDefault="00252AD5" w:rsidP="00CD26F7">
            <w:pPr>
              <w:rPr>
                <w:rFonts w:ascii="Times New Roman" w:hAnsi="Times New Roman" w:cs="Times New Roman"/>
              </w:rPr>
            </w:pPr>
            <w:r w:rsidRPr="00155D0A">
              <w:rPr>
                <w:rFonts w:ascii="Times New Roman" w:hAnsi="Times New Roman" w:cs="Times New Roman"/>
                <w:b/>
                <w:bCs/>
                <w:sz w:val="22"/>
                <w:szCs w:val="22"/>
              </w:rPr>
              <w:t xml:space="preserve">Estimated Date of </w:t>
            </w:r>
            <w:r w:rsidR="00B55B38" w:rsidRPr="00155D0A">
              <w:rPr>
                <w:rFonts w:ascii="Times New Roman" w:hAnsi="Times New Roman" w:cs="Times New Roman"/>
                <w:b/>
                <w:bCs/>
                <w:sz w:val="22"/>
                <w:szCs w:val="22"/>
              </w:rPr>
              <w:t xml:space="preserve">Board </w:t>
            </w:r>
            <w:r w:rsidRPr="00155D0A">
              <w:rPr>
                <w:rFonts w:ascii="Times New Roman" w:hAnsi="Times New Roman" w:cs="Times New Roman"/>
                <w:b/>
                <w:bCs/>
                <w:sz w:val="22"/>
                <w:szCs w:val="22"/>
              </w:rPr>
              <w:t>Approval</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A762F3C" w14:textId="25A10E02" w:rsidR="002B3508" w:rsidRPr="00155D0A" w:rsidRDefault="00D90307" w:rsidP="00CD26F7">
            <w:pPr>
              <w:rPr>
                <w:rFonts w:ascii="Times New Roman" w:hAnsi="Times New Roman" w:cs="Times New Roman"/>
              </w:rPr>
            </w:pPr>
            <w:r w:rsidRPr="00155D0A">
              <w:rPr>
                <w:rFonts w:ascii="Times New Roman" w:hAnsi="Times New Roman" w:cs="Times New Roman"/>
              </w:rPr>
              <w:t>N/A</w:t>
            </w:r>
          </w:p>
        </w:tc>
      </w:tr>
      <w:tr w:rsidR="002B3508" w:rsidRPr="00155D0A" w14:paraId="28245690" w14:textId="77777777" w:rsidTr="002949EA">
        <w:tc>
          <w:tcPr>
            <w:tcW w:w="299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5041FDA" w14:textId="77777777" w:rsidR="002B3508" w:rsidRPr="00155D0A" w:rsidRDefault="00252AD5" w:rsidP="00CD26F7">
            <w:pPr>
              <w:rPr>
                <w:rFonts w:ascii="Times New Roman" w:hAnsi="Times New Roman" w:cs="Times New Roman"/>
              </w:rPr>
            </w:pPr>
            <w:r w:rsidRPr="00155D0A">
              <w:rPr>
                <w:rFonts w:ascii="Times New Roman" w:hAnsi="Times New Roman" w:cs="Times New Roman"/>
                <w:b/>
                <w:bCs/>
                <w:sz w:val="22"/>
                <w:szCs w:val="22"/>
              </w:rPr>
              <w:t>Decision</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A46C5F0" w14:textId="77777777" w:rsidR="002B3508" w:rsidRPr="00155D0A" w:rsidRDefault="002B3508" w:rsidP="00CD26F7">
            <w:pPr>
              <w:rPr>
                <w:rFonts w:ascii="Times New Roman" w:hAnsi="Times New Roman" w:cs="Times New Roman"/>
                <w:color w:val="auto"/>
              </w:rPr>
            </w:pPr>
          </w:p>
        </w:tc>
      </w:tr>
      <w:tr w:rsidR="002B3508" w:rsidRPr="00155D0A" w14:paraId="32A1AEB7" w14:textId="77777777" w:rsidTr="002949EA">
        <w:tc>
          <w:tcPr>
            <w:tcW w:w="299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519AC01" w14:textId="77777777" w:rsidR="002B3508" w:rsidRPr="00155D0A" w:rsidRDefault="00252AD5" w:rsidP="00CD26F7">
            <w:pPr>
              <w:rPr>
                <w:rFonts w:ascii="Times New Roman" w:hAnsi="Times New Roman" w:cs="Times New Roman"/>
              </w:rPr>
            </w:pPr>
            <w:r w:rsidRPr="00155D0A">
              <w:rPr>
                <w:rFonts w:ascii="Times New Roman" w:hAnsi="Times New Roman" w:cs="Times New Roman"/>
                <w:b/>
                <w:bCs/>
                <w:sz w:val="22"/>
                <w:szCs w:val="22"/>
              </w:rPr>
              <w:t>Other Decision</w:t>
            </w:r>
          </w:p>
        </w:tc>
        <w:tc>
          <w:tcPr>
            <w:tcW w:w="6366"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4E8661A" w14:textId="77777777" w:rsidR="002B3508" w:rsidRPr="00155D0A" w:rsidRDefault="002B3508" w:rsidP="00CD26F7">
            <w:pPr>
              <w:rPr>
                <w:rFonts w:ascii="Times New Roman" w:hAnsi="Times New Roman" w:cs="Times New Roman"/>
                <w:color w:val="auto"/>
              </w:rPr>
            </w:pPr>
          </w:p>
        </w:tc>
      </w:tr>
      <w:tr w:rsidR="002B3508" w:rsidRPr="00155D0A" w14:paraId="61ABDCCC" w14:textId="77777777" w:rsidTr="002949EA">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14:paraId="7FB86FF4" w14:textId="77777777" w:rsidR="002B3508" w:rsidRPr="00155D0A" w:rsidRDefault="00252AD5" w:rsidP="00CD26F7">
            <w:pPr>
              <w:rPr>
                <w:rFonts w:ascii="Times" w:hAnsi="Times" w:cs="Times"/>
                <w:color w:val="FFFFFF"/>
                <w:sz w:val="8"/>
                <w:szCs w:val="8"/>
              </w:rPr>
            </w:pPr>
            <w:r w:rsidRPr="00155D0A">
              <w:rPr>
                <w:rFonts w:ascii="Times" w:hAnsi="Times" w:cs="Times"/>
                <w:color w:val="FFFFFF"/>
                <w:sz w:val="8"/>
                <w:szCs w:val="8"/>
              </w:rPr>
              <w:t>.</w:t>
            </w:r>
          </w:p>
        </w:tc>
      </w:tr>
      <w:tr w:rsidR="002B3508" w:rsidRPr="00155D0A" w14:paraId="2550E79E" w14:textId="77777777" w:rsidTr="002949EA">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14:paraId="19427360" w14:textId="77777777" w:rsidR="002B3508" w:rsidRPr="00155D0A" w:rsidRDefault="00252AD5" w:rsidP="00CD26F7">
            <w:pPr>
              <w:rPr>
                <w:rFonts w:ascii="Times New Roman" w:hAnsi="Times New Roman" w:cs="Times New Roman"/>
              </w:rPr>
            </w:pPr>
            <w:r w:rsidRPr="00155D0A">
              <w:rPr>
                <w:rFonts w:ascii="Times New Roman" w:hAnsi="Times New Roman" w:cs="Times New Roman"/>
                <w:b/>
                <w:bCs/>
              </w:rPr>
              <w:t>I. Project Context</w:t>
            </w:r>
          </w:p>
        </w:tc>
      </w:tr>
      <w:tr w:rsidR="002B3508" w:rsidRPr="00155D0A" w14:paraId="2AB4CA23" w14:textId="77777777" w:rsidTr="002949EA">
        <w:tc>
          <w:tcPr>
            <w:tcW w:w="187" w:type="dxa"/>
            <w:tcBorders>
              <w:top w:val="nil"/>
              <w:left w:val="nil"/>
              <w:bottom w:val="nil"/>
              <w:right w:val="nil"/>
            </w:tcBorders>
            <w:shd w:val="clear" w:color="auto" w:fill="FFFFFF"/>
            <w:tcMar>
              <w:top w:w="50" w:type="dxa"/>
              <w:left w:w="50" w:type="dxa"/>
              <w:bottom w:w="50" w:type="dxa"/>
              <w:right w:w="50" w:type="dxa"/>
            </w:tcMar>
            <w:vAlign w:val="center"/>
          </w:tcPr>
          <w:p w14:paraId="2BD265A7" w14:textId="77777777" w:rsidR="002B3508" w:rsidRPr="00155D0A" w:rsidRDefault="002B3508" w:rsidP="00CB2368">
            <w:pPr>
              <w:jc w:val="both"/>
              <w:rPr>
                <w:rFonts w:ascii="Times New Roman" w:hAnsi="Times New Roman" w:cs="Times New Roman"/>
                <w:color w:val="auto"/>
              </w:rPr>
            </w:pPr>
          </w:p>
        </w:tc>
        <w:tc>
          <w:tcPr>
            <w:tcW w:w="9175" w:type="dxa"/>
            <w:gridSpan w:val="11"/>
            <w:tcBorders>
              <w:top w:val="nil"/>
              <w:left w:val="nil"/>
              <w:bottom w:val="nil"/>
              <w:right w:val="nil"/>
            </w:tcBorders>
            <w:shd w:val="clear" w:color="auto" w:fill="FFFFFF"/>
            <w:tcMar>
              <w:top w:w="50" w:type="dxa"/>
              <w:left w:w="50" w:type="dxa"/>
              <w:bottom w:w="50" w:type="dxa"/>
              <w:right w:w="50" w:type="dxa"/>
            </w:tcMar>
            <w:vAlign w:val="center"/>
          </w:tcPr>
          <w:p w14:paraId="0C8DD242" w14:textId="77777777" w:rsidR="002B3508" w:rsidRPr="00155D0A" w:rsidRDefault="00252AD5" w:rsidP="00CB2368">
            <w:pPr>
              <w:jc w:val="both"/>
              <w:rPr>
                <w:rFonts w:ascii="Times New Roman" w:hAnsi="Times New Roman" w:cs="Times New Roman"/>
                <w:b/>
                <w:bCs/>
                <w:color w:val="314F4F"/>
                <w:sz w:val="22"/>
                <w:szCs w:val="22"/>
              </w:rPr>
            </w:pPr>
            <w:r w:rsidRPr="00155D0A">
              <w:rPr>
                <w:rFonts w:ascii="Times New Roman" w:hAnsi="Times New Roman" w:cs="Times New Roman"/>
                <w:b/>
                <w:bCs/>
                <w:color w:val="314F4F"/>
                <w:sz w:val="22"/>
                <w:szCs w:val="22"/>
              </w:rPr>
              <w:t>Country Context</w:t>
            </w:r>
          </w:p>
          <w:p w14:paraId="59171E24" w14:textId="77777777" w:rsidR="00CC003C" w:rsidRPr="00155D0A" w:rsidRDefault="00CC003C" w:rsidP="00CB2368">
            <w:pPr>
              <w:jc w:val="both"/>
              <w:rPr>
                <w:rFonts w:ascii="Times New Roman" w:hAnsi="Times New Roman" w:cs="Times New Roman"/>
                <w:b/>
                <w:bCs/>
                <w:color w:val="314F4F"/>
                <w:sz w:val="22"/>
                <w:szCs w:val="22"/>
              </w:rPr>
            </w:pPr>
          </w:p>
          <w:p w14:paraId="69995CDE" w14:textId="3E518FA7" w:rsidR="002D414B" w:rsidRDefault="00CC003C" w:rsidP="00CB2368">
            <w:pPr>
              <w:pStyle w:val="ListParagraph"/>
              <w:numPr>
                <w:ilvl w:val="0"/>
                <w:numId w:val="7"/>
              </w:numPr>
              <w:jc w:val="both"/>
            </w:pPr>
            <w:r w:rsidRPr="00155D0A">
              <w:rPr>
                <w:b/>
              </w:rPr>
              <w:t xml:space="preserve">Thai economy has grown at an average rate of 5−6 percent over the past decade largely driven by the manufacturing and tourism services. </w:t>
            </w:r>
            <w:r w:rsidRPr="00155D0A">
              <w:t xml:space="preserve">The impressive performance of the Thai economy is a result of strong economic fundamentals, coupled with a sound mix of macroeconomic policy. </w:t>
            </w:r>
            <w:r w:rsidR="00CB0E07">
              <w:t>O</w:t>
            </w:r>
            <w:r w:rsidRPr="00155D0A">
              <w:t>ver the last decade, the economic structure is characterized by the rapid growth of manufacturing sector which explained the rising energy intensity in Thailand. Thailand’s sustained economic growth has contributed to dramatic poverty reduction, but inequality and sustainability rem</w:t>
            </w:r>
            <w:r w:rsidR="002D414B" w:rsidRPr="00155D0A">
              <w:t>ain key development challenges.</w:t>
            </w:r>
          </w:p>
          <w:p w14:paraId="23151CC0" w14:textId="77777777" w:rsidR="00AC4D04" w:rsidRDefault="00AC4D04" w:rsidP="00112AD7">
            <w:pPr>
              <w:pStyle w:val="ListParagraph"/>
              <w:ind w:left="0" w:firstLine="480"/>
              <w:jc w:val="both"/>
              <w:rPr>
                <w:kern w:val="2"/>
                <w:lang w:eastAsia="zh-CN"/>
              </w:rPr>
            </w:pPr>
          </w:p>
          <w:p w14:paraId="46152ECC" w14:textId="2314C9EB" w:rsidR="00002130" w:rsidRPr="00155D0A" w:rsidRDefault="00CC003C">
            <w:pPr>
              <w:pStyle w:val="ListParagraph"/>
              <w:numPr>
                <w:ilvl w:val="0"/>
                <w:numId w:val="7"/>
              </w:numPr>
              <w:jc w:val="both"/>
            </w:pPr>
            <w:r w:rsidRPr="00155D0A">
              <w:rPr>
                <w:b/>
              </w:rPr>
              <w:t xml:space="preserve">Thai economy is growing on a high-carbon growth path. </w:t>
            </w:r>
            <w:r w:rsidRPr="00155D0A">
              <w:t xml:space="preserve">According to the latest data from the U.S. Energy Information Administration, Thailand emitted 278.49 million tons of </w:t>
            </w:r>
            <w:r w:rsidR="00290634" w:rsidRPr="00155D0A">
              <w:t>carbon dioxide equivalent (MtCO</w:t>
            </w:r>
            <w:r w:rsidR="00290634" w:rsidRPr="00155D0A">
              <w:rPr>
                <w:vertAlign w:val="subscript"/>
              </w:rPr>
              <w:t>2</w:t>
            </w:r>
            <w:r w:rsidR="00290634" w:rsidRPr="00494DAB">
              <w:t xml:space="preserve">e) </w:t>
            </w:r>
            <w:r w:rsidRPr="00494DAB">
              <w:t>in 2010</w:t>
            </w:r>
            <w:r w:rsidR="007359F8">
              <w:t xml:space="preserve"> and</w:t>
            </w:r>
            <w:r w:rsidRPr="00155D0A">
              <w:t xml:space="preserve"> was the 22nd largest </w:t>
            </w:r>
            <w:r w:rsidRPr="00494DAB">
              <w:t>CO</w:t>
            </w:r>
            <w:r w:rsidRPr="00155D0A">
              <w:rPr>
                <w:vertAlign w:val="subscript"/>
              </w:rPr>
              <w:t>2</w:t>
            </w:r>
            <w:r w:rsidRPr="00494DAB">
              <w:t xml:space="preserve"> emitter in the world </w:t>
            </w:r>
            <w:r w:rsidRPr="00155D0A">
              <w:t xml:space="preserve">(not including </w:t>
            </w:r>
            <w:r w:rsidR="00060DA2" w:rsidRPr="00155D0A">
              <w:t>land use change and forestry (</w:t>
            </w:r>
            <w:r w:rsidRPr="00155D0A">
              <w:t>LUCF</w:t>
            </w:r>
            <w:r w:rsidR="00060DA2" w:rsidRPr="00155D0A">
              <w:t>)</w:t>
            </w:r>
            <w:r w:rsidRPr="00155D0A">
              <w:t xml:space="preserve">) and 5th largest in the East Asia and Pacific region (after China, Japan, the Republic of Korea, and Indonesia). </w:t>
            </w:r>
            <w:r w:rsidRPr="00494DAB">
              <w:t>Thailand’s carbon intensity was 1,121 tCO</w:t>
            </w:r>
            <w:r w:rsidRPr="00155D0A">
              <w:rPr>
                <w:vertAlign w:val="subscript"/>
              </w:rPr>
              <w:t>2</w:t>
            </w:r>
            <w:r w:rsidRPr="00494DAB">
              <w:t>e/million USD which was the 47th largest CO</w:t>
            </w:r>
            <w:r w:rsidRPr="00155D0A">
              <w:rPr>
                <w:vertAlign w:val="subscript"/>
              </w:rPr>
              <w:t>2</w:t>
            </w:r>
            <w:r w:rsidRPr="00494DAB">
              <w:t xml:space="preserve"> intensity in the world </w:t>
            </w:r>
            <w:r w:rsidRPr="00155D0A">
              <w:t xml:space="preserve">and the 6th largest in the region. Thailand’s energy intensity was relatively high at 17.8 </w:t>
            </w:r>
            <w:r w:rsidR="005753B2" w:rsidRPr="00155D0A">
              <w:t>mega joules</w:t>
            </w:r>
            <w:r w:rsidR="00851DED" w:rsidRPr="00155D0A">
              <w:t xml:space="preserve"> </w:t>
            </w:r>
            <w:r w:rsidR="00B33EF2" w:rsidRPr="00155D0A">
              <w:t xml:space="preserve">(MJ) per </w:t>
            </w:r>
            <w:r w:rsidRPr="00155D0A">
              <w:t>USD while share of non-fossil fuels in power mix were relatively low at 8.1</w:t>
            </w:r>
            <w:r w:rsidR="004D0A01" w:rsidRPr="00155D0A">
              <w:t xml:space="preserve"> percent</w:t>
            </w:r>
            <w:r w:rsidRPr="00155D0A">
              <w:t xml:space="preserve"> compared to well-performing countries (20</w:t>
            </w:r>
            <w:r w:rsidR="004D0A01" w:rsidRPr="00155D0A">
              <w:t>-</w:t>
            </w:r>
            <w:r w:rsidRPr="00155D0A">
              <w:t xml:space="preserve">90%). Future economic growth will further drive </w:t>
            </w:r>
            <w:r w:rsidRPr="00155D0A">
              <w:lastRenderedPageBreak/>
              <w:t xml:space="preserve">energy demand and emissions. </w:t>
            </w:r>
            <w:r w:rsidR="003A4427" w:rsidRPr="00155D0A">
              <w:t>It was projected that during 2010-2050, in the business-as-usual case, the total amount of GHG</w:t>
            </w:r>
            <w:r w:rsidR="000C25A6">
              <w:t xml:space="preserve"> (greenhouse gas)</w:t>
            </w:r>
            <w:r w:rsidR="003A4427" w:rsidRPr="00155D0A">
              <w:t xml:space="preserve"> emissions will reach 1,331 MtCO</w:t>
            </w:r>
            <w:r w:rsidR="003A4427" w:rsidRPr="00155D0A">
              <w:rPr>
                <w:vertAlign w:val="subscript"/>
              </w:rPr>
              <w:t>2</w:t>
            </w:r>
            <w:r w:rsidR="003A4427" w:rsidRPr="00494DAB">
              <w:t>e per year</w:t>
            </w:r>
            <w:r w:rsidR="003A4427" w:rsidRPr="00155D0A">
              <w:t xml:space="preserve"> and the energy sector will continue to represent the most important source of GHG emissions contributing 76 percent of the total</w:t>
            </w:r>
            <w:r w:rsidR="003A4427">
              <w:t xml:space="preserve">. </w:t>
            </w:r>
            <w:r w:rsidRPr="00155D0A">
              <w:t>The key challenge for the country is to avoid embarking on a high-carbon growth path and instead tak</w:t>
            </w:r>
            <w:r w:rsidR="002D414B" w:rsidRPr="00155D0A">
              <w:t>e a low-carbon growth path.</w:t>
            </w:r>
          </w:p>
          <w:p w14:paraId="4192758F" w14:textId="34BD3325" w:rsidR="00CB2368" w:rsidRPr="00155D0A" w:rsidRDefault="00CB2368" w:rsidP="00002130">
            <w:pPr>
              <w:pStyle w:val="ListParagraph"/>
              <w:ind w:left="0"/>
              <w:jc w:val="both"/>
            </w:pPr>
          </w:p>
        </w:tc>
      </w:tr>
      <w:tr w:rsidR="002B3508" w:rsidRPr="00155D0A" w14:paraId="25FD52B9" w14:textId="77777777" w:rsidTr="002949EA">
        <w:tc>
          <w:tcPr>
            <w:tcW w:w="187" w:type="dxa"/>
            <w:tcBorders>
              <w:top w:val="nil"/>
              <w:left w:val="nil"/>
              <w:bottom w:val="nil"/>
              <w:right w:val="nil"/>
            </w:tcBorders>
            <w:shd w:val="clear" w:color="auto" w:fill="FFFFFF"/>
            <w:tcMar>
              <w:top w:w="50" w:type="dxa"/>
              <w:left w:w="50" w:type="dxa"/>
              <w:bottom w:w="50" w:type="dxa"/>
              <w:right w:w="50" w:type="dxa"/>
            </w:tcMar>
            <w:vAlign w:val="center"/>
          </w:tcPr>
          <w:p w14:paraId="164FE6BC" w14:textId="72E0D590" w:rsidR="002B3508" w:rsidRPr="00155D0A" w:rsidRDefault="002B3508" w:rsidP="00CB2368">
            <w:pPr>
              <w:jc w:val="both"/>
              <w:rPr>
                <w:rFonts w:ascii="Times New Roman" w:hAnsi="Times New Roman" w:cs="Times New Roman"/>
                <w:color w:val="auto"/>
              </w:rPr>
            </w:pPr>
          </w:p>
        </w:tc>
        <w:tc>
          <w:tcPr>
            <w:tcW w:w="9175" w:type="dxa"/>
            <w:gridSpan w:val="11"/>
            <w:tcBorders>
              <w:top w:val="nil"/>
              <w:left w:val="nil"/>
              <w:bottom w:val="nil"/>
              <w:right w:val="nil"/>
            </w:tcBorders>
            <w:shd w:val="clear" w:color="auto" w:fill="FFFFFF"/>
            <w:tcMar>
              <w:top w:w="50" w:type="dxa"/>
              <w:left w:w="50" w:type="dxa"/>
              <w:bottom w:w="50" w:type="dxa"/>
              <w:right w:w="50" w:type="dxa"/>
            </w:tcMar>
            <w:vAlign w:val="center"/>
          </w:tcPr>
          <w:p w14:paraId="72BE7E48" w14:textId="77777777" w:rsidR="002B3508" w:rsidRPr="00155D0A" w:rsidRDefault="00252AD5" w:rsidP="00CB2368">
            <w:pPr>
              <w:jc w:val="both"/>
              <w:rPr>
                <w:rFonts w:ascii="Times New Roman" w:hAnsi="Times New Roman" w:cs="Times New Roman"/>
                <w:b/>
                <w:bCs/>
                <w:color w:val="314F4F"/>
              </w:rPr>
            </w:pPr>
            <w:r w:rsidRPr="00155D0A">
              <w:rPr>
                <w:rFonts w:ascii="Times New Roman" w:hAnsi="Times New Roman" w:cs="Times New Roman"/>
                <w:b/>
                <w:bCs/>
                <w:color w:val="314F4F"/>
              </w:rPr>
              <w:t>Sectoral and Institutional Context</w:t>
            </w:r>
          </w:p>
          <w:p w14:paraId="1AFE68C1" w14:textId="77777777" w:rsidR="00A57992" w:rsidRPr="00155D0A" w:rsidRDefault="00A57992">
            <w:pPr>
              <w:pStyle w:val="ListParagraph"/>
              <w:ind w:left="0"/>
              <w:jc w:val="both"/>
            </w:pPr>
          </w:p>
          <w:p w14:paraId="10DCAD8C" w14:textId="714CD6D9" w:rsidR="002D414B" w:rsidRPr="00155D0A" w:rsidRDefault="00804259" w:rsidP="0066302A">
            <w:pPr>
              <w:pStyle w:val="ListParagraph"/>
              <w:numPr>
                <w:ilvl w:val="0"/>
                <w:numId w:val="7"/>
              </w:numPr>
              <w:jc w:val="both"/>
            </w:pPr>
            <w:r w:rsidRPr="00155D0A">
              <w:rPr>
                <w:b/>
              </w:rPr>
              <w:t>Although Thailand is a Non-Annex I country with no obligation for implementing measures to reduce GHG emission, Thailand has considered climate change as one of the key national priorities.</w:t>
            </w:r>
            <w:r w:rsidRPr="00155D0A">
              <w:t xml:space="preserve"> </w:t>
            </w:r>
            <w:r w:rsidR="00AC4D04" w:rsidRPr="00155D0A">
              <w:t>The 11th National Economic and Social Development Plan (NESDP)</w:t>
            </w:r>
            <w:r w:rsidR="00AC4D04">
              <w:t xml:space="preserve"> </w:t>
            </w:r>
            <w:r w:rsidR="00AC4D04" w:rsidRPr="00155D0A">
              <w:t xml:space="preserve">adopted Green Growth and Low-Carbon Development as part of its strategy for balanced and inclusive growth. The Plan identified climate change as one of the significant </w:t>
            </w:r>
            <w:r w:rsidR="00AC4D04">
              <w:t xml:space="preserve">development </w:t>
            </w:r>
            <w:r w:rsidR="00AC4D04" w:rsidRPr="00155D0A">
              <w:t>challenges</w:t>
            </w:r>
            <w:r w:rsidR="00AC4D04">
              <w:t xml:space="preserve"> and</w:t>
            </w:r>
            <w:r w:rsidR="00AC4D04" w:rsidRPr="00155D0A">
              <w:t xml:space="preserve"> stressed the importance of environmental management, improving energy efficiency, and low-carbon growth path for cities as the key </w:t>
            </w:r>
            <w:r w:rsidR="00EC32EB">
              <w:t>priorities</w:t>
            </w:r>
            <w:r w:rsidR="00AC4D04" w:rsidRPr="00155D0A">
              <w:t xml:space="preserve">. </w:t>
            </w:r>
            <w:r w:rsidRPr="00155D0A">
              <w:t>The R</w:t>
            </w:r>
            <w:r w:rsidR="00060DA2" w:rsidRPr="00155D0A">
              <w:t xml:space="preserve">oyal </w:t>
            </w:r>
            <w:r w:rsidRPr="00155D0A">
              <w:t>T</w:t>
            </w:r>
            <w:r w:rsidR="00060DA2" w:rsidRPr="00155D0A">
              <w:t xml:space="preserve">hai </w:t>
            </w:r>
            <w:r w:rsidRPr="00155D0A">
              <w:t>G</w:t>
            </w:r>
            <w:r w:rsidR="00060DA2" w:rsidRPr="00155D0A">
              <w:t>overnment (RTG)</w:t>
            </w:r>
            <w:r w:rsidRPr="00155D0A">
              <w:t xml:space="preserve"> signed </w:t>
            </w:r>
            <w:r w:rsidR="00DA4305" w:rsidRPr="00155D0A">
              <w:t>the United Nations Framework Convention on Climate Change</w:t>
            </w:r>
            <w:r w:rsidR="00DA4305" w:rsidRPr="00155D0A" w:rsidDel="00DA4305">
              <w:t xml:space="preserve"> </w:t>
            </w:r>
            <w:r w:rsidR="00DA4305" w:rsidRPr="00155D0A">
              <w:t>(</w:t>
            </w:r>
            <w:r w:rsidRPr="00155D0A">
              <w:t>UNFCCC</w:t>
            </w:r>
            <w:r w:rsidR="00DA4305" w:rsidRPr="00155D0A">
              <w:t>)</w:t>
            </w:r>
            <w:r w:rsidRPr="00155D0A">
              <w:t xml:space="preserve"> in 1992 and ratified the Convention in 1994 as a Non-Annex I country. The government has prepared the Climate Change Master Plan of Thailand (2014-2050) </w:t>
            </w:r>
            <w:r w:rsidR="0058638C">
              <w:t>and the</w:t>
            </w:r>
            <w:r w:rsidRPr="00155D0A">
              <w:t xml:space="preserve"> Nationally Appropriate Mitigation Actions (NAMAs) pledge </w:t>
            </w:r>
            <w:r w:rsidR="0058638C">
              <w:t>which are both</w:t>
            </w:r>
            <w:r w:rsidRPr="00155D0A">
              <w:t xml:space="preserve"> pending approval by the Cabinet. Thailand has been active in the Clean Development Mechanism (CDM) market. As of </w:t>
            </w:r>
            <w:r w:rsidR="009D2CE8" w:rsidRPr="00155D0A">
              <w:t xml:space="preserve">December </w:t>
            </w:r>
            <w:r w:rsidRPr="00155D0A">
              <w:t>2014, the total amounts of 1</w:t>
            </w:r>
            <w:r w:rsidR="009D2CE8" w:rsidRPr="00155D0A">
              <w:t>46</w:t>
            </w:r>
            <w:r w:rsidRPr="00155D0A">
              <w:t xml:space="preserve"> projects have been registered, with an expected annual </w:t>
            </w:r>
            <w:r w:rsidR="0066302A" w:rsidRPr="00155D0A">
              <w:t>Certified Emission Reduction (</w:t>
            </w:r>
            <w:r w:rsidRPr="00155D0A">
              <w:t>CER</w:t>
            </w:r>
            <w:r w:rsidR="0066302A" w:rsidRPr="00155D0A">
              <w:t>)</w:t>
            </w:r>
            <w:r w:rsidRPr="00155D0A">
              <w:t xml:space="preserve"> generation cap</w:t>
            </w:r>
            <w:r w:rsidR="002D414B" w:rsidRPr="00155D0A">
              <w:t xml:space="preserve">acity valued at </w:t>
            </w:r>
            <w:r w:rsidR="007D0333" w:rsidRPr="00155D0A">
              <w:t xml:space="preserve">around </w:t>
            </w:r>
            <w:r w:rsidR="002D414B" w:rsidRPr="00155D0A">
              <w:t xml:space="preserve">7 </w:t>
            </w:r>
            <w:r w:rsidR="007D0333" w:rsidRPr="00155D0A">
              <w:t>M</w:t>
            </w:r>
            <w:r w:rsidR="002D414B" w:rsidRPr="00155D0A">
              <w:t>tCO</w:t>
            </w:r>
            <w:r w:rsidR="002D414B" w:rsidRPr="00155D0A">
              <w:rPr>
                <w:vertAlign w:val="subscript"/>
              </w:rPr>
              <w:t>2</w:t>
            </w:r>
            <w:r w:rsidR="002D414B" w:rsidRPr="00494DAB">
              <w:t>e</w:t>
            </w:r>
            <w:r w:rsidRPr="00155D0A">
              <w:t>.</w:t>
            </w:r>
          </w:p>
          <w:p w14:paraId="5CB08CAC" w14:textId="77777777" w:rsidR="006D08CB" w:rsidRPr="00155D0A" w:rsidRDefault="006D08CB" w:rsidP="00CB2368">
            <w:pPr>
              <w:pStyle w:val="ListParagraph"/>
              <w:ind w:left="0"/>
              <w:jc w:val="both"/>
            </w:pPr>
          </w:p>
          <w:p w14:paraId="12537006" w14:textId="6A0E5F4F" w:rsidR="00CD26F7" w:rsidRPr="00155D0A" w:rsidRDefault="00804259">
            <w:pPr>
              <w:pStyle w:val="ListParagraph"/>
              <w:numPr>
                <w:ilvl w:val="0"/>
                <w:numId w:val="7"/>
              </w:numPr>
              <w:jc w:val="both"/>
            </w:pPr>
            <w:r w:rsidRPr="00155D0A">
              <w:rPr>
                <w:b/>
              </w:rPr>
              <w:t xml:space="preserve">Given slow progress in the development of global carbon market post-Kyoto Protocol, there is increasing attention internationally to focus the climate change mitigation efforts at the domestic level. </w:t>
            </w:r>
            <w:r w:rsidRPr="00155D0A">
              <w:t xml:space="preserve">It is well-recognized that GHG emissions can be reduced most cost-effectively through “market-based” approaches that put a price on carbon.  Several </w:t>
            </w:r>
            <w:r w:rsidR="009451DA">
              <w:t xml:space="preserve">domestic </w:t>
            </w:r>
            <w:r w:rsidRPr="00155D0A">
              <w:t xml:space="preserve">market-based instruments and carbon pricing initiatives have been introduced in various countries, particularly in the Non-Annex I parties under the UNFCCC. As the RTG is studying several policy options to reduce emissions and their suitability to apply in the </w:t>
            </w:r>
            <w:r w:rsidR="00172B82" w:rsidRPr="00155D0A">
              <w:t xml:space="preserve">country’s </w:t>
            </w:r>
            <w:r w:rsidRPr="00155D0A">
              <w:t>context, the RTG seek</w:t>
            </w:r>
            <w:r w:rsidR="00EC32EB">
              <w:t>s</w:t>
            </w:r>
            <w:r w:rsidRPr="00155D0A">
              <w:t xml:space="preserve"> to learn more from these international experiences.</w:t>
            </w:r>
          </w:p>
        </w:tc>
      </w:tr>
      <w:tr w:rsidR="002B3508" w:rsidRPr="00155D0A" w14:paraId="723627ED" w14:textId="77777777" w:rsidTr="002949EA">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14:paraId="707C78E0" w14:textId="2D056D49" w:rsidR="002B3508" w:rsidRPr="00155D0A" w:rsidRDefault="00252AD5" w:rsidP="00CD26F7">
            <w:pPr>
              <w:rPr>
                <w:rFonts w:ascii="Times" w:hAnsi="Times" w:cs="Times"/>
                <w:color w:val="FFFFFF"/>
                <w:sz w:val="8"/>
                <w:szCs w:val="8"/>
              </w:rPr>
            </w:pPr>
            <w:r w:rsidRPr="00155D0A">
              <w:rPr>
                <w:rFonts w:ascii="Times" w:hAnsi="Times" w:cs="Times"/>
                <w:color w:val="FFFFFF"/>
                <w:sz w:val="8"/>
                <w:szCs w:val="8"/>
              </w:rPr>
              <w:t>.</w:t>
            </w:r>
          </w:p>
        </w:tc>
      </w:tr>
      <w:tr w:rsidR="002B3508" w:rsidRPr="00155D0A" w14:paraId="6E6F3C6D" w14:textId="77777777" w:rsidTr="002949EA">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14:paraId="22A6A75C" w14:textId="0445BCE7" w:rsidR="002B3508" w:rsidRPr="00155D0A" w:rsidRDefault="00252AD5" w:rsidP="00CD26F7">
            <w:pPr>
              <w:rPr>
                <w:rFonts w:ascii="Times New Roman" w:hAnsi="Times New Roman" w:cs="Times New Roman"/>
              </w:rPr>
            </w:pPr>
            <w:r w:rsidRPr="00155D0A">
              <w:rPr>
                <w:rFonts w:ascii="Times New Roman" w:hAnsi="Times New Roman" w:cs="Times New Roman"/>
                <w:b/>
                <w:bCs/>
              </w:rPr>
              <w:t>II. P</w:t>
            </w:r>
            <w:r w:rsidR="00D71256" w:rsidRPr="00155D0A">
              <w:rPr>
                <w:rFonts w:ascii="Times New Roman" w:hAnsi="Times New Roman" w:cs="Times New Roman"/>
                <w:b/>
                <w:bCs/>
              </w:rPr>
              <w:t>roject Development Objective(s)</w:t>
            </w:r>
          </w:p>
        </w:tc>
      </w:tr>
      <w:tr w:rsidR="002B3508" w:rsidRPr="00155D0A" w14:paraId="7800E0AD" w14:textId="77777777" w:rsidTr="002949EA">
        <w:tc>
          <w:tcPr>
            <w:tcW w:w="187" w:type="dxa"/>
            <w:tcBorders>
              <w:top w:val="nil"/>
              <w:left w:val="nil"/>
              <w:bottom w:val="nil"/>
              <w:right w:val="nil"/>
            </w:tcBorders>
            <w:shd w:val="clear" w:color="auto" w:fill="FFFFFF"/>
            <w:tcMar>
              <w:top w:w="50" w:type="dxa"/>
              <w:left w:w="50" w:type="dxa"/>
              <w:bottom w:w="50" w:type="dxa"/>
              <w:right w:w="50" w:type="dxa"/>
            </w:tcMar>
            <w:vAlign w:val="center"/>
          </w:tcPr>
          <w:p w14:paraId="1A07EE94" w14:textId="77777777" w:rsidR="002B3508" w:rsidRPr="00155D0A" w:rsidRDefault="002B3508" w:rsidP="00CB2368">
            <w:pPr>
              <w:jc w:val="both"/>
              <w:rPr>
                <w:rFonts w:ascii="Times New Roman" w:hAnsi="Times New Roman" w:cs="Times New Roman"/>
                <w:color w:val="auto"/>
              </w:rPr>
            </w:pPr>
          </w:p>
        </w:tc>
        <w:tc>
          <w:tcPr>
            <w:tcW w:w="9175" w:type="dxa"/>
            <w:gridSpan w:val="11"/>
            <w:tcBorders>
              <w:top w:val="nil"/>
              <w:left w:val="nil"/>
              <w:bottom w:val="nil"/>
              <w:right w:val="nil"/>
            </w:tcBorders>
            <w:shd w:val="clear" w:color="auto" w:fill="FFFFFF"/>
            <w:tcMar>
              <w:top w:w="50" w:type="dxa"/>
              <w:left w:w="50" w:type="dxa"/>
              <w:bottom w:w="50" w:type="dxa"/>
              <w:right w:w="50" w:type="dxa"/>
            </w:tcMar>
            <w:vAlign w:val="center"/>
          </w:tcPr>
          <w:p w14:paraId="56258234" w14:textId="0928DABB" w:rsidR="00FA2544" w:rsidRPr="00155D0A" w:rsidRDefault="00D71256">
            <w:pPr>
              <w:pStyle w:val="ListParagraph"/>
              <w:numPr>
                <w:ilvl w:val="0"/>
                <w:numId w:val="7"/>
              </w:numPr>
              <w:contextualSpacing w:val="0"/>
              <w:jc w:val="both"/>
            </w:pPr>
            <w:r w:rsidRPr="00155D0A">
              <w:t xml:space="preserve">The </w:t>
            </w:r>
            <w:r w:rsidR="00FD2A30" w:rsidRPr="00155D0A">
              <w:t>Project Development Objective (</w:t>
            </w:r>
            <w:r w:rsidRPr="00155D0A">
              <w:t>PDO</w:t>
            </w:r>
            <w:r w:rsidR="00FD2A30" w:rsidRPr="00155D0A">
              <w:t>)</w:t>
            </w:r>
            <w:r w:rsidRPr="00155D0A">
              <w:t xml:space="preserve"> is to inform policy decision on the development of market-based instrument for reducing GHG emissions in Thailand by providing technical support to the RTG in preparing core readiness components of the Energy Performance Certificate (EPC) scheme, recommending legal framework for the</w:t>
            </w:r>
            <w:r w:rsidR="00EC32EB" w:rsidRPr="00155D0A">
              <w:t xml:space="preserve"> domestic emission trading scheme</w:t>
            </w:r>
            <w:r w:rsidRPr="00155D0A">
              <w:t xml:space="preserve"> </w:t>
            </w:r>
            <w:r w:rsidR="00EC32EB">
              <w:t>(</w:t>
            </w:r>
            <w:r w:rsidRPr="00155D0A">
              <w:t>ETS</w:t>
            </w:r>
            <w:r w:rsidR="00EC32EB">
              <w:t>)</w:t>
            </w:r>
            <w:r w:rsidRPr="00155D0A">
              <w:t xml:space="preserve"> and identifying priority abatement projects at municipality level.</w:t>
            </w:r>
          </w:p>
        </w:tc>
      </w:tr>
      <w:tr w:rsidR="002B3508" w:rsidRPr="00155D0A" w14:paraId="3A9F3DDB" w14:textId="77777777" w:rsidTr="002949EA">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14:paraId="54B83A3E" w14:textId="77777777" w:rsidR="002B3508" w:rsidRPr="00155D0A" w:rsidRDefault="00252AD5" w:rsidP="00CD26F7">
            <w:pPr>
              <w:rPr>
                <w:rFonts w:ascii="Times" w:hAnsi="Times" w:cs="Times"/>
                <w:color w:val="FFFFFF"/>
                <w:sz w:val="8"/>
                <w:szCs w:val="8"/>
              </w:rPr>
            </w:pPr>
            <w:r w:rsidRPr="00155D0A">
              <w:rPr>
                <w:rFonts w:ascii="Times" w:hAnsi="Times" w:cs="Times"/>
                <w:color w:val="FFFFFF"/>
                <w:sz w:val="8"/>
                <w:szCs w:val="8"/>
              </w:rPr>
              <w:t>.</w:t>
            </w:r>
          </w:p>
        </w:tc>
      </w:tr>
      <w:tr w:rsidR="002B3508" w:rsidRPr="00155D0A" w14:paraId="523847B1" w14:textId="77777777" w:rsidTr="002949EA">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14:paraId="0A14D287" w14:textId="77777777" w:rsidR="002B3508" w:rsidRPr="00155D0A" w:rsidRDefault="00252AD5" w:rsidP="003820C1">
            <w:pPr>
              <w:keepNext/>
              <w:rPr>
                <w:rFonts w:ascii="Times New Roman" w:hAnsi="Times New Roman" w:cs="Times New Roman"/>
                <w:b/>
                <w:bCs/>
              </w:rPr>
            </w:pPr>
            <w:r w:rsidRPr="00155D0A">
              <w:rPr>
                <w:rFonts w:ascii="Times New Roman" w:hAnsi="Times New Roman" w:cs="Times New Roman"/>
                <w:b/>
                <w:bCs/>
              </w:rPr>
              <w:t>III. Project Description</w:t>
            </w:r>
          </w:p>
          <w:p w14:paraId="5BDD41F5" w14:textId="77777777" w:rsidR="00EC77A9" w:rsidRPr="00155D0A" w:rsidRDefault="00EC77A9" w:rsidP="003820C1">
            <w:pPr>
              <w:keepNext/>
              <w:rPr>
                <w:rFonts w:ascii="Times New Roman" w:hAnsi="Times New Roman" w:cs="Times New Roman"/>
              </w:rPr>
            </w:pPr>
          </w:p>
        </w:tc>
      </w:tr>
      <w:tr w:rsidR="002B3508" w:rsidRPr="00155D0A" w14:paraId="2FF6F6C6"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54233C86" w14:textId="77777777" w:rsidR="002B3508" w:rsidRPr="00155D0A" w:rsidRDefault="002B3508" w:rsidP="00CB2368">
            <w:pPr>
              <w:keepNext/>
              <w:jc w:val="both"/>
              <w:rPr>
                <w:rFonts w:ascii="Times New Roman" w:hAnsi="Times New Roman" w:cs="Times New Roman"/>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14:paraId="66D5B7BF" w14:textId="77777777" w:rsidR="002B3508" w:rsidRPr="00155D0A" w:rsidRDefault="00252AD5" w:rsidP="00CB2368">
            <w:pPr>
              <w:keepNext/>
              <w:jc w:val="both"/>
              <w:rPr>
                <w:rFonts w:ascii="Times New Roman" w:hAnsi="Times New Roman" w:cs="Times New Roman"/>
              </w:rPr>
            </w:pPr>
            <w:r w:rsidRPr="00155D0A">
              <w:rPr>
                <w:rFonts w:ascii="Times New Roman" w:hAnsi="Times New Roman" w:cs="Times New Roman"/>
                <w:b/>
                <w:bCs/>
              </w:rPr>
              <w:t>Component Name</w:t>
            </w:r>
          </w:p>
        </w:tc>
      </w:tr>
      <w:tr w:rsidR="003820C1" w:rsidRPr="00155D0A" w14:paraId="0CBE5A82" w14:textId="77777777" w:rsidTr="00DA5A6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07C1D280" w14:textId="77777777" w:rsidR="003820C1" w:rsidRPr="00155D0A" w:rsidRDefault="003820C1" w:rsidP="00CB2368">
            <w:pPr>
              <w:jc w:val="both"/>
              <w:rPr>
                <w:rFonts w:ascii="Times New Roman" w:hAnsi="Times New Roman" w:cs="Times New Roman"/>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14:paraId="31B520F6" w14:textId="0E899897" w:rsidR="003820C1" w:rsidRPr="00155D0A" w:rsidRDefault="009A0E22" w:rsidP="00CB2368">
            <w:pPr>
              <w:jc w:val="both"/>
              <w:rPr>
                <w:rFonts w:ascii="Times New Roman" w:hAnsi="Times New Roman" w:cs="Times New Roman"/>
              </w:rPr>
            </w:pPr>
            <w:r w:rsidRPr="00155D0A">
              <w:rPr>
                <w:rFonts w:ascii="Times New Roman" w:hAnsi="Times New Roman" w:cs="Times New Roman"/>
              </w:rPr>
              <w:t xml:space="preserve">Component 1: </w:t>
            </w:r>
            <w:r w:rsidR="003820C1" w:rsidRPr="00155D0A">
              <w:rPr>
                <w:rFonts w:ascii="Times New Roman" w:hAnsi="Times New Roman" w:cs="Times New Roman"/>
              </w:rPr>
              <w:t>Preparation of key market components of the Energy Performance Certificate (EPC) Scheme</w:t>
            </w:r>
          </w:p>
        </w:tc>
      </w:tr>
      <w:tr w:rsidR="002B3508" w:rsidRPr="00155D0A" w14:paraId="74438729"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1AD1A299" w14:textId="77777777" w:rsidR="002B3508" w:rsidRPr="00155D0A" w:rsidRDefault="002B3508" w:rsidP="00CB2368">
            <w:pPr>
              <w:jc w:val="both"/>
              <w:rPr>
                <w:rFonts w:ascii="Times New Roman" w:hAnsi="Times New Roman" w:cs="Times New Roman"/>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14:paraId="77578984" w14:textId="77777777" w:rsidR="002B3508" w:rsidRPr="00155D0A" w:rsidRDefault="00252AD5" w:rsidP="00CB2368">
            <w:pPr>
              <w:jc w:val="both"/>
              <w:rPr>
                <w:rFonts w:ascii="Times New Roman" w:hAnsi="Times New Roman" w:cs="Times New Roman"/>
              </w:rPr>
            </w:pPr>
            <w:r w:rsidRPr="00155D0A">
              <w:rPr>
                <w:rFonts w:ascii="Times New Roman" w:hAnsi="Times New Roman" w:cs="Times New Roman"/>
                <w:b/>
                <w:bCs/>
              </w:rPr>
              <w:t>Comments (optional)</w:t>
            </w:r>
          </w:p>
        </w:tc>
      </w:tr>
      <w:tr w:rsidR="002B3508" w:rsidRPr="00155D0A" w14:paraId="002E76ED"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5DA5139F" w14:textId="77777777" w:rsidR="002B3508" w:rsidRPr="00155D0A" w:rsidRDefault="002B3508" w:rsidP="00CB2368">
            <w:pPr>
              <w:jc w:val="both"/>
              <w:rPr>
                <w:rFonts w:ascii="Times New Roman" w:hAnsi="Times New Roman" w:cs="Times New Roman"/>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14:paraId="20EEB1FA" w14:textId="457F127E" w:rsidR="002B3508" w:rsidRPr="00155D0A" w:rsidRDefault="003820C1">
            <w:pPr>
              <w:jc w:val="both"/>
              <w:rPr>
                <w:rFonts w:ascii="Times New Roman" w:hAnsi="Times New Roman" w:cs="Times New Roman"/>
              </w:rPr>
            </w:pPr>
            <w:r w:rsidRPr="00155D0A">
              <w:rPr>
                <w:rFonts w:ascii="Times New Roman" w:hAnsi="Times New Roman" w:cs="Times New Roman"/>
              </w:rPr>
              <w:t>This component will provide technical assistance to support the preparation phase of the EPC scheme</w:t>
            </w:r>
            <w:r w:rsidR="00886E93">
              <w:rPr>
                <w:rFonts w:ascii="Times New Roman" w:hAnsi="Times New Roman" w:cs="Times New Roman"/>
              </w:rPr>
              <w:t xml:space="preserve"> </w:t>
            </w:r>
            <w:r w:rsidRPr="00155D0A">
              <w:rPr>
                <w:rFonts w:ascii="Times New Roman" w:hAnsi="Times New Roman" w:cs="Times New Roman"/>
              </w:rPr>
              <w:t>focus</w:t>
            </w:r>
            <w:r w:rsidR="00886E93">
              <w:rPr>
                <w:rFonts w:ascii="Times New Roman" w:hAnsi="Times New Roman" w:cs="Times New Roman"/>
              </w:rPr>
              <w:t>ing</w:t>
            </w:r>
            <w:r w:rsidRPr="00155D0A">
              <w:rPr>
                <w:rFonts w:ascii="Times New Roman" w:hAnsi="Times New Roman" w:cs="Times New Roman"/>
              </w:rPr>
              <w:t xml:space="preserve"> on data readiness, target setting methodology for different industrial sectors and buildings, development of </w:t>
            </w:r>
            <w:r w:rsidR="00457472" w:rsidRPr="00155D0A">
              <w:rPr>
                <w:rFonts w:ascii="Times New Roman" w:hAnsi="Times New Roman" w:cs="Times New Roman"/>
              </w:rPr>
              <w:t>monitoring, reporting and verification (</w:t>
            </w:r>
            <w:r w:rsidRPr="00155D0A">
              <w:rPr>
                <w:rFonts w:ascii="Times New Roman" w:hAnsi="Times New Roman" w:cs="Times New Roman"/>
              </w:rPr>
              <w:t>MRV</w:t>
            </w:r>
            <w:r w:rsidR="00AD7444" w:rsidRPr="00155D0A">
              <w:rPr>
                <w:rFonts w:ascii="Times New Roman" w:hAnsi="Times New Roman" w:cs="Times New Roman"/>
              </w:rPr>
              <w:t>)</w:t>
            </w:r>
            <w:r w:rsidRPr="00155D0A">
              <w:rPr>
                <w:rFonts w:ascii="Times New Roman" w:hAnsi="Times New Roman" w:cs="Times New Roman"/>
              </w:rPr>
              <w:t xml:space="preserve"> system, assessment of laws and regulations and modifications required to implement EPC, and an analytical study on performance-based incentive and pricing mechanism for EPC. </w:t>
            </w:r>
          </w:p>
        </w:tc>
      </w:tr>
      <w:tr w:rsidR="003820C1" w:rsidRPr="00155D0A" w14:paraId="3D7CF560" w14:textId="77777777" w:rsidTr="00DA5A6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0BE179EE" w14:textId="77777777" w:rsidR="003820C1" w:rsidRPr="00155D0A" w:rsidRDefault="003820C1" w:rsidP="00CB2368">
            <w:pPr>
              <w:jc w:val="both"/>
              <w:rPr>
                <w:rFonts w:ascii="Times New Roman" w:hAnsi="Times New Roman" w:cs="Times New Roman"/>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14:paraId="640F6405" w14:textId="77777777" w:rsidR="003820C1" w:rsidRPr="00155D0A" w:rsidRDefault="003820C1" w:rsidP="00CB2368">
            <w:pPr>
              <w:jc w:val="both"/>
              <w:rPr>
                <w:rFonts w:ascii="Times New Roman" w:hAnsi="Times New Roman" w:cs="Times New Roman"/>
              </w:rPr>
            </w:pPr>
            <w:r w:rsidRPr="00155D0A">
              <w:rPr>
                <w:rFonts w:ascii="Times New Roman" w:hAnsi="Times New Roman" w:cs="Times New Roman"/>
                <w:b/>
                <w:bCs/>
              </w:rPr>
              <w:t>Component Name</w:t>
            </w:r>
          </w:p>
        </w:tc>
      </w:tr>
      <w:tr w:rsidR="003820C1" w:rsidRPr="00155D0A" w14:paraId="387564C4" w14:textId="77777777" w:rsidTr="00DA5A6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7DDE2A61" w14:textId="77777777" w:rsidR="003820C1" w:rsidRPr="00155D0A" w:rsidRDefault="003820C1" w:rsidP="00CB2368">
            <w:pPr>
              <w:jc w:val="both"/>
              <w:rPr>
                <w:rFonts w:ascii="Times New Roman" w:hAnsi="Times New Roman" w:cs="Times New Roman"/>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14:paraId="4F0CC885" w14:textId="3137DA16" w:rsidR="003820C1" w:rsidRPr="00155D0A" w:rsidRDefault="005F4538" w:rsidP="00CB2368">
            <w:pPr>
              <w:jc w:val="both"/>
              <w:rPr>
                <w:rFonts w:ascii="Times New Roman" w:hAnsi="Times New Roman" w:cs="Times New Roman"/>
              </w:rPr>
            </w:pPr>
            <w:r w:rsidRPr="00155D0A">
              <w:rPr>
                <w:rFonts w:ascii="Times New Roman" w:hAnsi="Times New Roman" w:cs="Times New Roman"/>
              </w:rPr>
              <w:t xml:space="preserve">Component 2: </w:t>
            </w:r>
            <w:r w:rsidR="003820C1" w:rsidRPr="00155D0A">
              <w:rPr>
                <w:rFonts w:ascii="Times New Roman" w:hAnsi="Times New Roman" w:cs="Times New Roman"/>
              </w:rPr>
              <w:t>Development of Local GHG Abatement Plans and a study on pricing mechanism for the Low Carbon City (LCC) Program</w:t>
            </w:r>
          </w:p>
        </w:tc>
      </w:tr>
      <w:tr w:rsidR="003820C1" w:rsidRPr="00155D0A" w14:paraId="0BC00D90" w14:textId="77777777" w:rsidTr="00DA5A6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0AA793DD" w14:textId="77777777" w:rsidR="003820C1" w:rsidRPr="00155D0A" w:rsidRDefault="003820C1" w:rsidP="00CB2368">
            <w:pPr>
              <w:jc w:val="both"/>
              <w:rPr>
                <w:rFonts w:ascii="Times New Roman" w:hAnsi="Times New Roman" w:cs="Times New Roman"/>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14:paraId="59E044E6" w14:textId="77777777" w:rsidR="003820C1" w:rsidRPr="00155D0A" w:rsidRDefault="003820C1" w:rsidP="00CB2368">
            <w:pPr>
              <w:jc w:val="both"/>
              <w:rPr>
                <w:rFonts w:ascii="Times New Roman" w:hAnsi="Times New Roman" w:cs="Times New Roman"/>
              </w:rPr>
            </w:pPr>
            <w:r w:rsidRPr="00155D0A">
              <w:rPr>
                <w:rFonts w:ascii="Times New Roman" w:hAnsi="Times New Roman" w:cs="Times New Roman"/>
                <w:b/>
                <w:bCs/>
              </w:rPr>
              <w:t>Comments (optional)</w:t>
            </w:r>
          </w:p>
        </w:tc>
      </w:tr>
      <w:tr w:rsidR="003820C1" w:rsidRPr="00155D0A" w14:paraId="2AE164AD" w14:textId="77777777" w:rsidTr="00DA5A6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61D51744" w14:textId="77777777" w:rsidR="003820C1" w:rsidRPr="00155D0A" w:rsidRDefault="003820C1" w:rsidP="00CB2368">
            <w:pPr>
              <w:jc w:val="both"/>
              <w:rPr>
                <w:rFonts w:ascii="Times New Roman" w:hAnsi="Times New Roman" w:cs="Times New Roman"/>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14:paraId="46EA7042" w14:textId="092CD61C" w:rsidR="003820C1" w:rsidRPr="00155D0A" w:rsidRDefault="003820C1">
            <w:pPr>
              <w:jc w:val="both"/>
              <w:rPr>
                <w:rFonts w:ascii="Times New Roman" w:hAnsi="Times New Roman" w:cs="Times New Roman"/>
              </w:rPr>
            </w:pPr>
            <w:r w:rsidRPr="00155D0A">
              <w:rPr>
                <w:rFonts w:ascii="Times New Roman" w:hAnsi="Times New Roman" w:cs="Times New Roman"/>
              </w:rPr>
              <w:t>This component will provide support to 24 local municipalities to develop a Local GHG Abatement Plan which will be used to guide mitigation actions and low-carbon investment, from which carbon credits can be generated for trading under the existing domestic voluntary carbon market</w:t>
            </w:r>
            <w:r w:rsidR="00E92E91" w:rsidRPr="00494DAB">
              <w:rPr>
                <w:rStyle w:val="FootnoteReference"/>
                <w:rFonts w:ascii="Times New Roman" w:hAnsi="Times New Roman" w:cs="Times New Roman"/>
              </w:rPr>
              <w:footnoteReference w:id="1"/>
            </w:r>
            <w:r w:rsidRPr="00155D0A">
              <w:rPr>
                <w:rFonts w:ascii="Times New Roman" w:hAnsi="Times New Roman" w:cs="Times New Roman"/>
              </w:rPr>
              <w:t xml:space="preserve">. </w:t>
            </w:r>
            <w:r w:rsidR="00FF7FB3" w:rsidRPr="00155D0A">
              <w:rPr>
                <w:rFonts w:ascii="Times New Roman" w:hAnsi="Times New Roman" w:cs="Times New Roman"/>
              </w:rPr>
              <w:t xml:space="preserve">In addition, the </w:t>
            </w:r>
            <w:r w:rsidRPr="00155D0A">
              <w:rPr>
                <w:rFonts w:ascii="Times New Roman" w:hAnsi="Times New Roman" w:cs="Times New Roman"/>
              </w:rPr>
              <w:t xml:space="preserve">PMR will support </w:t>
            </w:r>
            <w:r w:rsidR="003A4427" w:rsidRPr="00155D0A">
              <w:rPr>
                <w:rFonts w:ascii="Times New Roman" w:hAnsi="Times New Roman" w:cs="Times New Roman"/>
              </w:rPr>
              <w:t xml:space="preserve">GHG Abatement Plan Guidelines </w:t>
            </w:r>
            <w:r w:rsidR="003A4427">
              <w:rPr>
                <w:rFonts w:ascii="Times New Roman" w:hAnsi="Times New Roman" w:cs="Times New Roman"/>
              </w:rPr>
              <w:t xml:space="preserve">and </w:t>
            </w:r>
            <w:r w:rsidRPr="00155D0A">
              <w:rPr>
                <w:rFonts w:ascii="Times New Roman" w:hAnsi="Times New Roman" w:cs="Times New Roman"/>
              </w:rPr>
              <w:t xml:space="preserve">the study on pricing mechanism </w:t>
            </w:r>
            <w:r w:rsidR="003A4427">
              <w:rPr>
                <w:rFonts w:ascii="Times New Roman" w:hAnsi="Times New Roman" w:cs="Times New Roman"/>
              </w:rPr>
              <w:t>and</w:t>
            </w:r>
            <w:r w:rsidRPr="00155D0A">
              <w:rPr>
                <w:rFonts w:ascii="Times New Roman" w:hAnsi="Times New Roman" w:cs="Times New Roman"/>
              </w:rPr>
              <w:t xml:space="preserve"> incentives to create demand for </w:t>
            </w:r>
            <w:r w:rsidR="003A4427">
              <w:rPr>
                <w:rFonts w:ascii="Times New Roman" w:hAnsi="Times New Roman" w:cs="Times New Roman"/>
              </w:rPr>
              <w:t xml:space="preserve">domestic carbon </w:t>
            </w:r>
            <w:r w:rsidRPr="00155D0A">
              <w:rPr>
                <w:rFonts w:ascii="Times New Roman" w:hAnsi="Times New Roman" w:cs="Times New Roman"/>
              </w:rPr>
              <w:t xml:space="preserve">credits.  </w:t>
            </w:r>
          </w:p>
        </w:tc>
      </w:tr>
      <w:tr w:rsidR="002B3508" w:rsidRPr="00155D0A" w14:paraId="776F6D6F"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119510EE" w14:textId="77777777" w:rsidR="002B3508" w:rsidRPr="00155D0A" w:rsidRDefault="002B3508" w:rsidP="00CB2368">
            <w:pPr>
              <w:jc w:val="both"/>
              <w:rPr>
                <w:rFonts w:ascii="Times New Roman" w:hAnsi="Times New Roman" w:cs="Times New Roman"/>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14:paraId="1EB74219" w14:textId="77777777" w:rsidR="002B3508" w:rsidRPr="00155D0A" w:rsidRDefault="00252AD5" w:rsidP="00CB2368">
            <w:pPr>
              <w:jc w:val="both"/>
              <w:rPr>
                <w:rFonts w:ascii="Times New Roman" w:hAnsi="Times New Roman" w:cs="Times New Roman"/>
              </w:rPr>
            </w:pPr>
            <w:r w:rsidRPr="00155D0A">
              <w:rPr>
                <w:rFonts w:ascii="Times New Roman" w:hAnsi="Times New Roman" w:cs="Times New Roman"/>
                <w:b/>
                <w:bCs/>
              </w:rPr>
              <w:t>Component Name</w:t>
            </w:r>
          </w:p>
        </w:tc>
      </w:tr>
      <w:tr w:rsidR="002B3508" w:rsidRPr="00155D0A" w14:paraId="085C3B1F"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08C64220" w14:textId="77777777" w:rsidR="002B3508" w:rsidRPr="00155D0A" w:rsidRDefault="002B3508" w:rsidP="00CB2368">
            <w:pPr>
              <w:jc w:val="both"/>
              <w:rPr>
                <w:rFonts w:ascii="Times New Roman" w:hAnsi="Times New Roman" w:cs="Times New Roman"/>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14:paraId="38E37069" w14:textId="75E0F42C" w:rsidR="002B3508" w:rsidRPr="00155D0A" w:rsidRDefault="009468CD" w:rsidP="00CB2368">
            <w:pPr>
              <w:jc w:val="both"/>
              <w:rPr>
                <w:rFonts w:ascii="Times New Roman" w:hAnsi="Times New Roman" w:cs="Times New Roman"/>
              </w:rPr>
            </w:pPr>
            <w:r w:rsidRPr="00155D0A">
              <w:rPr>
                <w:rFonts w:ascii="Times New Roman" w:hAnsi="Times New Roman" w:cs="Times New Roman"/>
              </w:rPr>
              <w:t xml:space="preserve">Component 3: </w:t>
            </w:r>
            <w:r w:rsidR="003820C1" w:rsidRPr="00155D0A">
              <w:rPr>
                <w:rFonts w:ascii="Times New Roman" w:hAnsi="Times New Roman" w:cs="Times New Roman"/>
              </w:rPr>
              <w:t xml:space="preserve">Policy recommendation on legal framework to establish the </w:t>
            </w:r>
            <w:r w:rsidRPr="00155D0A">
              <w:rPr>
                <w:rFonts w:ascii="Times New Roman" w:hAnsi="Times New Roman" w:cs="Times New Roman"/>
              </w:rPr>
              <w:t>Emission Trading Scheme (</w:t>
            </w:r>
            <w:r w:rsidR="003820C1" w:rsidRPr="00155D0A">
              <w:rPr>
                <w:rFonts w:ascii="Times New Roman" w:hAnsi="Times New Roman" w:cs="Times New Roman"/>
              </w:rPr>
              <w:t>ETS</w:t>
            </w:r>
            <w:r w:rsidRPr="00155D0A">
              <w:rPr>
                <w:rFonts w:ascii="Times New Roman" w:hAnsi="Times New Roman" w:cs="Times New Roman"/>
              </w:rPr>
              <w:t>)</w:t>
            </w:r>
          </w:p>
        </w:tc>
      </w:tr>
      <w:tr w:rsidR="002B3508" w:rsidRPr="00155D0A" w14:paraId="37220C1F"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5554D8F8" w14:textId="77777777" w:rsidR="002B3508" w:rsidRPr="00155D0A" w:rsidRDefault="002B3508" w:rsidP="00CB2368">
            <w:pPr>
              <w:jc w:val="both"/>
              <w:rPr>
                <w:rFonts w:ascii="Times New Roman" w:hAnsi="Times New Roman" w:cs="Times New Roman"/>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14:paraId="33149197" w14:textId="77777777" w:rsidR="002B3508" w:rsidRPr="00155D0A" w:rsidRDefault="00252AD5" w:rsidP="00CB2368">
            <w:pPr>
              <w:jc w:val="both"/>
              <w:rPr>
                <w:rFonts w:ascii="Times New Roman" w:hAnsi="Times New Roman" w:cs="Times New Roman"/>
              </w:rPr>
            </w:pPr>
            <w:r w:rsidRPr="00155D0A">
              <w:rPr>
                <w:rFonts w:ascii="Times New Roman" w:hAnsi="Times New Roman" w:cs="Times New Roman"/>
                <w:b/>
                <w:bCs/>
              </w:rPr>
              <w:t>Comments (optional)</w:t>
            </w:r>
          </w:p>
        </w:tc>
      </w:tr>
      <w:tr w:rsidR="002B3508" w:rsidRPr="00155D0A" w14:paraId="6ADDC775"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3037D8EE" w14:textId="77777777" w:rsidR="002B3508" w:rsidRPr="00155D0A" w:rsidRDefault="002B3508" w:rsidP="00CB2368">
            <w:pPr>
              <w:jc w:val="both"/>
              <w:rPr>
                <w:rFonts w:ascii="Times New Roman" w:hAnsi="Times New Roman" w:cs="Times New Roman"/>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14:paraId="6989E9DE" w14:textId="1E80CC03" w:rsidR="002B3508" w:rsidRPr="00155D0A" w:rsidRDefault="003820C1">
            <w:pPr>
              <w:jc w:val="both"/>
              <w:rPr>
                <w:rFonts w:ascii="Times New Roman" w:hAnsi="Times New Roman" w:cs="Times New Roman"/>
              </w:rPr>
            </w:pPr>
            <w:r w:rsidRPr="00155D0A">
              <w:rPr>
                <w:rFonts w:ascii="Times New Roman" w:hAnsi="Times New Roman" w:cs="Times New Roman"/>
              </w:rPr>
              <w:t xml:space="preserve">This component will complement RTG’s ongoing and planned activities on assessing the applicability of ETS in Thailand. The PMR will specifically support the legal aspect of the overall ETS assessment. </w:t>
            </w:r>
          </w:p>
        </w:tc>
      </w:tr>
      <w:tr w:rsidR="002B3508" w:rsidRPr="00155D0A" w14:paraId="518A64AA"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50ABDD10" w14:textId="77777777" w:rsidR="002B3508" w:rsidRPr="00155D0A" w:rsidRDefault="002B3508" w:rsidP="00CB2368">
            <w:pPr>
              <w:jc w:val="both"/>
              <w:rPr>
                <w:rFonts w:ascii="Times New Roman" w:hAnsi="Times New Roman" w:cs="Times New Roman"/>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14:paraId="6C4C98AF" w14:textId="77777777" w:rsidR="002B3508" w:rsidRPr="00155D0A" w:rsidRDefault="00252AD5" w:rsidP="00CB2368">
            <w:pPr>
              <w:jc w:val="both"/>
              <w:rPr>
                <w:rFonts w:ascii="Times New Roman" w:hAnsi="Times New Roman" w:cs="Times New Roman"/>
              </w:rPr>
            </w:pPr>
            <w:r w:rsidRPr="00155D0A">
              <w:rPr>
                <w:rFonts w:ascii="Times New Roman" w:hAnsi="Times New Roman" w:cs="Times New Roman"/>
                <w:b/>
                <w:bCs/>
              </w:rPr>
              <w:t>Component Name</w:t>
            </w:r>
          </w:p>
        </w:tc>
      </w:tr>
      <w:tr w:rsidR="002B3508" w:rsidRPr="00155D0A" w14:paraId="709F1900"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4544A799" w14:textId="77777777" w:rsidR="002B3508" w:rsidRPr="00155D0A" w:rsidRDefault="002B3508" w:rsidP="00CB2368">
            <w:pPr>
              <w:jc w:val="both"/>
              <w:rPr>
                <w:rFonts w:ascii="Times New Roman" w:hAnsi="Times New Roman" w:cs="Times New Roman"/>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14:paraId="75DE6A40" w14:textId="1700578F" w:rsidR="002B3508" w:rsidRPr="00155D0A" w:rsidRDefault="009468CD" w:rsidP="00CB2368">
            <w:pPr>
              <w:jc w:val="both"/>
              <w:rPr>
                <w:rFonts w:ascii="Times New Roman" w:hAnsi="Times New Roman" w:cs="Times New Roman"/>
              </w:rPr>
            </w:pPr>
            <w:r w:rsidRPr="00155D0A">
              <w:rPr>
                <w:rFonts w:ascii="Times New Roman" w:hAnsi="Times New Roman" w:cs="Times New Roman"/>
              </w:rPr>
              <w:t xml:space="preserve">Component 4: </w:t>
            </w:r>
            <w:r w:rsidR="00D71256" w:rsidRPr="00155D0A">
              <w:rPr>
                <w:rFonts w:ascii="Times New Roman" w:hAnsi="Times New Roman" w:cs="Times New Roman"/>
              </w:rPr>
              <w:t>Project management</w:t>
            </w:r>
          </w:p>
        </w:tc>
      </w:tr>
      <w:tr w:rsidR="002B3508" w:rsidRPr="00155D0A" w14:paraId="1A46C36A"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228F09AA" w14:textId="77777777" w:rsidR="002B3508" w:rsidRPr="00155D0A" w:rsidRDefault="002B3508" w:rsidP="00CB2368">
            <w:pPr>
              <w:jc w:val="both"/>
              <w:rPr>
                <w:rFonts w:ascii="Times New Roman" w:hAnsi="Times New Roman" w:cs="Times New Roman"/>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14:paraId="6472918D" w14:textId="77777777" w:rsidR="002B3508" w:rsidRPr="00155D0A" w:rsidRDefault="00252AD5" w:rsidP="00CB2368">
            <w:pPr>
              <w:jc w:val="both"/>
              <w:rPr>
                <w:rFonts w:ascii="Times New Roman" w:hAnsi="Times New Roman" w:cs="Times New Roman"/>
              </w:rPr>
            </w:pPr>
            <w:r w:rsidRPr="00155D0A">
              <w:rPr>
                <w:rFonts w:ascii="Times New Roman" w:hAnsi="Times New Roman" w:cs="Times New Roman"/>
                <w:b/>
                <w:bCs/>
              </w:rPr>
              <w:t>Comments (optional)</w:t>
            </w:r>
          </w:p>
        </w:tc>
      </w:tr>
      <w:tr w:rsidR="002B3508" w:rsidRPr="00155D0A" w14:paraId="05D95DED"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27C37048" w14:textId="77777777" w:rsidR="002B3508" w:rsidRPr="00155D0A" w:rsidRDefault="002B3508" w:rsidP="00CB2368">
            <w:pPr>
              <w:jc w:val="both"/>
              <w:rPr>
                <w:rFonts w:ascii="Times New Roman" w:hAnsi="Times New Roman" w:cs="Times New Roman"/>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14:paraId="0FB74B88" w14:textId="6C39A3A1" w:rsidR="002B3508" w:rsidRPr="00155D0A" w:rsidRDefault="00D71256" w:rsidP="00110EF2">
            <w:pPr>
              <w:jc w:val="both"/>
              <w:rPr>
                <w:rFonts w:ascii="Times New Roman" w:hAnsi="Times New Roman" w:cs="Times New Roman"/>
              </w:rPr>
            </w:pPr>
            <w:r w:rsidRPr="00155D0A">
              <w:rPr>
                <w:rFonts w:ascii="Times New Roman" w:hAnsi="Times New Roman" w:cs="Times New Roman"/>
              </w:rPr>
              <w:t>This component will support the daily project management activities as well as provide technical support to TGO</w:t>
            </w:r>
            <w:r w:rsidR="00110EF2" w:rsidRPr="00155D0A">
              <w:rPr>
                <w:rFonts w:ascii="Times New Roman" w:hAnsi="Times New Roman" w:cs="Times New Roman"/>
              </w:rPr>
              <w:t xml:space="preserve"> project management unit staff</w:t>
            </w:r>
            <w:r w:rsidRPr="00155D0A">
              <w:rPr>
                <w:rFonts w:ascii="Times New Roman" w:hAnsi="Times New Roman" w:cs="Times New Roman"/>
              </w:rPr>
              <w:t xml:space="preserve">. </w:t>
            </w:r>
          </w:p>
        </w:tc>
      </w:tr>
      <w:tr w:rsidR="002B3508" w:rsidRPr="00155D0A" w14:paraId="18DEB0AC" w14:textId="77777777" w:rsidTr="002949EA">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14:paraId="7EF50571" w14:textId="77777777" w:rsidR="002B3508" w:rsidRPr="00155D0A" w:rsidRDefault="00252AD5" w:rsidP="00CD26F7">
            <w:pPr>
              <w:rPr>
                <w:rFonts w:ascii="Times" w:hAnsi="Times" w:cs="Times"/>
                <w:color w:val="FFFFFF"/>
                <w:sz w:val="8"/>
                <w:szCs w:val="8"/>
              </w:rPr>
            </w:pPr>
            <w:r w:rsidRPr="00155D0A">
              <w:rPr>
                <w:rFonts w:ascii="Times" w:hAnsi="Times" w:cs="Times"/>
                <w:color w:val="FFFFFF"/>
                <w:sz w:val="8"/>
                <w:szCs w:val="8"/>
              </w:rPr>
              <w:t>.</w:t>
            </w:r>
          </w:p>
        </w:tc>
      </w:tr>
      <w:tr w:rsidR="002B3508" w:rsidRPr="00155D0A" w14:paraId="6EC6BE4A" w14:textId="77777777" w:rsidTr="002949EA">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14:paraId="1A920496" w14:textId="77777777" w:rsidR="002B3508" w:rsidRPr="00155D0A" w:rsidRDefault="00252AD5" w:rsidP="00CD26F7">
            <w:pPr>
              <w:rPr>
                <w:rFonts w:ascii="Times New Roman" w:hAnsi="Times New Roman" w:cs="Times New Roman"/>
              </w:rPr>
            </w:pPr>
            <w:r w:rsidRPr="00155D0A">
              <w:rPr>
                <w:rFonts w:ascii="Times New Roman" w:hAnsi="Times New Roman" w:cs="Times New Roman"/>
                <w:b/>
                <w:bCs/>
              </w:rPr>
              <w:t>IV. Financing (in USD Million)</w:t>
            </w:r>
          </w:p>
        </w:tc>
      </w:tr>
      <w:tr w:rsidR="002B3508" w:rsidRPr="00155D0A" w14:paraId="3FDAE7A1" w14:textId="77777777" w:rsidTr="002949EA">
        <w:tc>
          <w:tcPr>
            <w:tcW w:w="281" w:type="dxa"/>
            <w:gridSpan w:val="2"/>
            <w:tcBorders>
              <w:top w:val="nil"/>
              <w:left w:val="nil"/>
              <w:bottom w:val="nil"/>
              <w:right w:val="nil"/>
            </w:tcBorders>
            <w:shd w:val="clear" w:color="auto" w:fill="FFFFFF"/>
            <w:tcMar>
              <w:top w:w="50" w:type="dxa"/>
              <w:left w:w="50" w:type="dxa"/>
              <w:bottom w:w="50" w:type="dxa"/>
              <w:right w:w="50" w:type="dxa"/>
            </w:tcMar>
            <w:vAlign w:val="center"/>
          </w:tcPr>
          <w:p w14:paraId="597F07E1" w14:textId="77777777" w:rsidR="002B3508" w:rsidRPr="00155D0A" w:rsidRDefault="002B3508" w:rsidP="00CD26F7">
            <w:pPr>
              <w:rPr>
                <w:rFonts w:ascii="Times New Roman" w:hAnsi="Times New Roman" w:cs="Times New Roman"/>
                <w:color w:val="auto"/>
              </w:rPr>
            </w:pPr>
          </w:p>
        </w:tc>
        <w:tc>
          <w:tcPr>
            <w:tcW w:w="224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95E2B43"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Total Project Cost:</w:t>
            </w: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CAE9217" w14:textId="3EF268ED" w:rsidR="002B3508" w:rsidRPr="00155D0A" w:rsidRDefault="002C1B6D" w:rsidP="00CD26F7">
            <w:pPr>
              <w:rPr>
                <w:rFonts w:ascii="Times New Roman" w:hAnsi="Times New Roman" w:cs="Times New Roman"/>
              </w:rPr>
            </w:pPr>
            <w:r w:rsidRPr="00155D0A">
              <w:rPr>
                <w:rFonts w:ascii="Times New Roman" w:hAnsi="Times New Roman" w:cs="Times New Roman"/>
                <w:sz w:val="22"/>
                <w:szCs w:val="22"/>
              </w:rPr>
              <w:t>5.79</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02753CC"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Total Bank Financing:</w:t>
            </w:r>
          </w:p>
        </w:tc>
        <w:tc>
          <w:tcPr>
            <w:tcW w:w="224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FC691FA" w14:textId="74B01F44" w:rsidR="002B3508" w:rsidRPr="00155D0A" w:rsidRDefault="002C1B6D" w:rsidP="00CD26F7">
            <w:pPr>
              <w:rPr>
                <w:rFonts w:ascii="Times New Roman" w:hAnsi="Times New Roman" w:cs="Times New Roman"/>
              </w:rPr>
            </w:pPr>
            <w:r w:rsidRPr="00155D0A">
              <w:rPr>
                <w:rFonts w:ascii="Times New Roman" w:hAnsi="Times New Roman" w:cs="Times New Roman"/>
              </w:rPr>
              <w:t>3.00</w:t>
            </w:r>
          </w:p>
        </w:tc>
      </w:tr>
      <w:tr w:rsidR="002B3508" w:rsidRPr="00155D0A" w14:paraId="79CE0FF7" w14:textId="77777777" w:rsidTr="002949EA">
        <w:tc>
          <w:tcPr>
            <w:tcW w:w="281" w:type="dxa"/>
            <w:gridSpan w:val="2"/>
            <w:tcBorders>
              <w:top w:val="nil"/>
              <w:left w:val="nil"/>
              <w:bottom w:val="nil"/>
              <w:right w:val="nil"/>
            </w:tcBorders>
            <w:shd w:val="clear" w:color="auto" w:fill="FFFFFF"/>
            <w:tcMar>
              <w:top w:w="50" w:type="dxa"/>
              <w:left w:w="50" w:type="dxa"/>
              <w:bottom w:w="50" w:type="dxa"/>
              <w:right w:w="50" w:type="dxa"/>
            </w:tcMar>
            <w:vAlign w:val="center"/>
          </w:tcPr>
          <w:p w14:paraId="4BF4F416" w14:textId="77777777" w:rsidR="002B3508" w:rsidRPr="00155D0A" w:rsidRDefault="002B3508" w:rsidP="00CD26F7">
            <w:pPr>
              <w:rPr>
                <w:rFonts w:ascii="Times New Roman" w:hAnsi="Times New Roman" w:cs="Times New Roman"/>
                <w:color w:val="auto"/>
              </w:rPr>
            </w:pPr>
          </w:p>
        </w:tc>
        <w:tc>
          <w:tcPr>
            <w:tcW w:w="224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F44DFB7"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Financing Gap:</w:t>
            </w: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0471C49" w14:textId="1A8C771D" w:rsidR="002B3508" w:rsidRPr="00155D0A" w:rsidRDefault="002C1B6D" w:rsidP="00CD26F7">
            <w:pPr>
              <w:rPr>
                <w:rFonts w:ascii="Times New Roman" w:hAnsi="Times New Roman" w:cs="Times New Roman"/>
              </w:rPr>
            </w:pPr>
            <w:r w:rsidRPr="00155D0A">
              <w:rPr>
                <w:rFonts w:ascii="Times New Roman" w:hAnsi="Times New Roman" w:cs="Times New Roman"/>
                <w:sz w:val="22"/>
                <w:szCs w:val="22"/>
              </w:rPr>
              <w:t>2.79</w:t>
            </w:r>
          </w:p>
        </w:tc>
        <w:tc>
          <w:tcPr>
            <w:tcW w:w="4587" w:type="dxa"/>
            <w:gridSpan w:val="5"/>
            <w:tcBorders>
              <w:top w:val="nil"/>
              <w:left w:val="nil"/>
              <w:bottom w:val="nil"/>
              <w:right w:val="single" w:sz="4" w:space="0" w:color="000000"/>
            </w:tcBorders>
            <w:shd w:val="clear" w:color="auto" w:fill="FFFFFF"/>
            <w:tcMar>
              <w:top w:w="50" w:type="dxa"/>
              <w:left w:w="50" w:type="dxa"/>
              <w:bottom w:w="50" w:type="dxa"/>
              <w:right w:w="50" w:type="dxa"/>
            </w:tcMar>
            <w:vAlign w:val="center"/>
          </w:tcPr>
          <w:p w14:paraId="23150E30" w14:textId="77777777" w:rsidR="002B3508" w:rsidRPr="00155D0A" w:rsidRDefault="002B3508" w:rsidP="00CD26F7">
            <w:pPr>
              <w:rPr>
                <w:rFonts w:ascii="Times New Roman" w:hAnsi="Times New Roman" w:cs="Times New Roman"/>
                <w:color w:val="auto"/>
              </w:rPr>
            </w:pPr>
          </w:p>
        </w:tc>
      </w:tr>
      <w:tr w:rsidR="002B3508" w:rsidRPr="00155D0A" w14:paraId="6887FE2F" w14:textId="77777777" w:rsidTr="002949EA">
        <w:tc>
          <w:tcPr>
            <w:tcW w:w="281" w:type="dxa"/>
            <w:gridSpan w:val="2"/>
            <w:tcBorders>
              <w:top w:val="nil"/>
              <w:left w:val="nil"/>
              <w:bottom w:val="nil"/>
              <w:right w:val="nil"/>
            </w:tcBorders>
            <w:shd w:val="clear" w:color="auto" w:fill="FFFFFF"/>
            <w:tcMar>
              <w:top w:w="50" w:type="dxa"/>
              <w:left w:w="50" w:type="dxa"/>
              <w:bottom w:w="50" w:type="dxa"/>
              <w:right w:w="50" w:type="dxa"/>
            </w:tcMar>
            <w:vAlign w:val="center"/>
          </w:tcPr>
          <w:p w14:paraId="71477056" w14:textId="77777777" w:rsidR="002B3508" w:rsidRPr="00155D0A" w:rsidRDefault="002B3508" w:rsidP="00CD26F7">
            <w:pPr>
              <w:rPr>
                <w:rFonts w:ascii="Times New Roman" w:hAnsi="Times New Roman" w:cs="Times New Roman"/>
                <w:color w:val="auto"/>
              </w:rPr>
            </w:pPr>
          </w:p>
        </w:tc>
        <w:tc>
          <w:tcPr>
            <w:tcW w:w="683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CAD8BF3" w14:textId="77777777" w:rsidR="002B3508" w:rsidRPr="00155D0A" w:rsidRDefault="00252AD5" w:rsidP="00CD26F7">
            <w:pPr>
              <w:rPr>
                <w:rFonts w:ascii="Times New Roman" w:hAnsi="Times New Roman" w:cs="Times New Roman"/>
              </w:rPr>
            </w:pPr>
            <w:r w:rsidRPr="00155D0A">
              <w:rPr>
                <w:rFonts w:ascii="Times New Roman" w:hAnsi="Times New Roman" w:cs="Times New Roman"/>
                <w:b/>
                <w:bCs/>
              </w:rPr>
              <w:t>Financing Source</w:t>
            </w:r>
          </w:p>
        </w:tc>
        <w:tc>
          <w:tcPr>
            <w:tcW w:w="224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8DEDB19" w14:textId="77777777" w:rsidR="002B3508" w:rsidRPr="00155D0A" w:rsidRDefault="00252AD5" w:rsidP="00CD26F7">
            <w:pPr>
              <w:jc w:val="right"/>
              <w:rPr>
                <w:rFonts w:ascii="Times New Roman" w:hAnsi="Times New Roman" w:cs="Times New Roman"/>
              </w:rPr>
            </w:pPr>
            <w:r w:rsidRPr="00155D0A">
              <w:rPr>
                <w:rFonts w:ascii="Times New Roman" w:hAnsi="Times New Roman" w:cs="Times New Roman"/>
                <w:b/>
                <w:bCs/>
              </w:rPr>
              <w:t>Amount</w:t>
            </w:r>
          </w:p>
        </w:tc>
      </w:tr>
      <w:tr w:rsidR="002B3508" w:rsidRPr="00155D0A" w14:paraId="671841D6" w14:textId="77777777" w:rsidTr="002949EA">
        <w:tc>
          <w:tcPr>
            <w:tcW w:w="281" w:type="dxa"/>
            <w:gridSpan w:val="2"/>
            <w:tcBorders>
              <w:top w:val="nil"/>
              <w:left w:val="nil"/>
              <w:bottom w:val="nil"/>
              <w:right w:val="nil"/>
            </w:tcBorders>
            <w:shd w:val="clear" w:color="auto" w:fill="FFFFFF"/>
            <w:tcMar>
              <w:top w:w="50" w:type="dxa"/>
              <w:left w:w="50" w:type="dxa"/>
              <w:bottom w:w="50" w:type="dxa"/>
              <w:right w:w="50" w:type="dxa"/>
            </w:tcMar>
            <w:vAlign w:val="center"/>
          </w:tcPr>
          <w:p w14:paraId="442F4271" w14:textId="77777777" w:rsidR="002B3508" w:rsidRPr="00155D0A" w:rsidRDefault="002B3508" w:rsidP="00CD26F7">
            <w:pPr>
              <w:rPr>
                <w:rFonts w:ascii="Times New Roman" w:hAnsi="Times New Roman" w:cs="Times New Roman"/>
                <w:color w:val="auto"/>
              </w:rPr>
            </w:pPr>
          </w:p>
        </w:tc>
        <w:tc>
          <w:tcPr>
            <w:tcW w:w="683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414BC12" w14:textId="61F3C64E" w:rsidR="002B3508" w:rsidRPr="00155D0A" w:rsidRDefault="002C1B6D" w:rsidP="00CD26F7">
            <w:pPr>
              <w:rPr>
                <w:rFonts w:ascii="Times New Roman" w:hAnsi="Times New Roman" w:cs="Times New Roman"/>
              </w:rPr>
            </w:pPr>
            <w:r w:rsidRPr="00155D0A">
              <w:rPr>
                <w:rFonts w:ascii="Times New Roman" w:hAnsi="Times New Roman" w:cs="Times New Roman"/>
                <w:sz w:val="22"/>
                <w:szCs w:val="22"/>
              </w:rPr>
              <w:t>BORROWER/RECIPIENT</w:t>
            </w:r>
          </w:p>
        </w:tc>
        <w:tc>
          <w:tcPr>
            <w:tcW w:w="224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A7FE246" w14:textId="340DFC83" w:rsidR="002B3508" w:rsidRPr="00155D0A" w:rsidRDefault="002C1B6D" w:rsidP="00CD26F7">
            <w:pPr>
              <w:jc w:val="right"/>
              <w:rPr>
                <w:rFonts w:ascii="Times New Roman" w:hAnsi="Times New Roman" w:cs="Times New Roman"/>
              </w:rPr>
            </w:pPr>
            <w:r w:rsidRPr="00155D0A">
              <w:rPr>
                <w:rFonts w:ascii="Times New Roman" w:hAnsi="Times New Roman" w:cs="Times New Roman"/>
                <w:sz w:val="22"/>
                <w:szCs w:val="22"/>
              </w:rPr>
              <w:t>2.79</w:t>
            </w:r>
          </w:p>
        </w:tc>
      </w:tr>
      <w:tr w:rsidR="002B3508" w:rsidRPr="00155D0A" w14:paraId="00470276" w14:textId="77777777" w:rsidTr="002949EA">
        <w:tc>
          <w:tcPr>
            <w:tcW w:w="281" w:type="dxa"/>
            <w:gridSpan w:val="2"/>
            <w:tcBorders>
              <w:top w:val="nil"/>
              <w:left w:val="nil"/>
              <w:bottom w:val="nil"/>
              <w:right w:val="nil"/>
            </w:tcBorders>
            <w:shd w:val="clear" w:color="auto" w:fill="FFFFFF"/>
            <w:tcMar>
              <w:top w:w="50" w:type="dxa"/>
              <w:left w:w="50" w:type="dxa"/>
              <w:bottom w:w="50" w:type="dxa"/>
              <w:right w:w="50" w:type="dxa"/>
            </w:tcMar>
            <w:vAlign w:val="center"/>
          </w:tcPr>
          <w:p w14:paraId="28A2A79A" w14:textId="77777777" w:rsidR="002B3508" w:rsidRPr="00155D0A" w:rsidRDefault="002B3508" w:rsidP="00CD26F7">
            <w:pPr>
              <w:rPr>
                <w:rFonts w:ascii="Times New Roman" w:hAnsi="Times New Roman" w:cs="Times New Roman"/>
                <w:color w:val="auto"/>
              </w:rPr>
            </w:pPr>
          </w:p>
        </w:tc>
        <w:tc>
          <w:tcPr>
            <w:tcW w:w="683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3049844" w14:textId="6735F860" w:rsidR="002B3508" w:rsidRPr="00155D0A" w:rsidRDefault="009468CD" w:rsidP="002C1B6D">
            <w:pPr>
              <w:rPr>
                <w:rFonts w:ascii="Times New Roman" w:hAnsi="Times New Roman" w:cs="Times New Roman"/>
              </w:rPr>
            </w:pPr>
            <w:r w:rsidRPr="00155D0A">
              <w:rPr>
                <w:rFonts w:ascii="Times New Roman" w:hAnsi="Times New Roman" w:cs="Times New Roman"/>
                <w:sz w:val="22"/>
                <w:szCs w:val="22"/>
              </w:rPr>
              <w:t>Partnership for Market Readiness</w:t>
            </w:r>
          </w:p>
        </w:tc>
        <w:tc>
          <w:tcPr>
            <w:tcW w:w="224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2520998" w14:textId="1C865AF0" w:rsidR="002B3508" w:rsidRPr="00155D0A" w:rsidRDefault="009468CD" w:rsidP="00CD26F7">
            <w:pPr>
              <w:jc w:val="right"/>
              <w:rPr>
                <w:rFonts w:ascii="Times New Roman" w:hAnsi="Times New Roman" w:cs="Times New Roman"/>
              </w:rPr>
            </w:pPr>
            <w:r w:rsidRPr="00155D0A">
              <w:rPr>
                <w:rFonts w:ascii="Times New Roman" w:hAnsi="Times New Roman" w:cs="Times New Roman"/>
                <w:sz w:val="22"/>
                <w:szCs w:val="22"/>
              </w:rPr>
              <w:t>3.00</w:t>
            </w:r>
          </w:p>
        </w:tc>
      </w:tr>
      <w:tr w:rsidR="002B3508" w:rsidRPr="00155D0A" w14:paraId="1AFBDEAB" w14:textId="77777777" w:rsidTr="002949EA">
        <w:tc>
          <w:tcPr>
            <w:tcW w:w="281" w:type="dxa"/>
            <w:gridSpan w:val="2"/>
            <w:tcBorders>
              <w:top w:val="nil"/>
              <w:left w:val="nil"/>
              <w:bottom w:val="nil"/>
              <w:right w:val="nil"/>
            </w:tcBorders>
            <w:shd w:val="clear" w:color="auto" w:fill="FFFFFF"/>
            <w:tcMar>
              <w:top w:w="50" w:type="dxa"/>
              <w:left w:w="50" w:type="dxa"/>
              <w:bottom w:w="50" w:type="dxa"/>
              <w:right w:w="50" w:type="dxa"/>
            </w:tcMar>
            <w:vAlign w:val="center"/>
          </w:tcPr>
          <w:p w14:paraId="343AB3B9" w14:textId="77777777" w:rsidR="002B3508" w:rsidRPr="00155D0A" w:rsidRDefault="002B3508" w:rsidP="00CD26F7">
            <w:pPr>
              <w:rPr>
                <w:rFonts w:ascii="Times New Roman" w:hAnsi="Times New Roman" w:cs="Times New Roman"/>
                <w:color w:val="auto"/>
              </w:rPr>
            </w:pPr>
          </w:p>
        </w:tc>
        <w:tc>
          <w:tcPr>
            <w:tcW w:w="683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B0D8D75"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Total</w:t>
            </w:r>
          </w:p>
        </w:tc>
        <w:tc>
          <w:tcPr>
            <w:tcW w:w="224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1F8A5C2" w14:textId="695B576B" w:rsidR="002B3508" w:rsidRPr="00155D0A" w:rsidRDefault="009468CD" w:rsidP="00CD26F7">
            <w:pPr>
              <w:jc w:val="right"/>
              <w:rPr>
                <w:rFonts w:ascii="Times New Roman" w:hAnsi="Times New Roman" w:cs="Times New Roman"/>
              </w:rPr>
            </w:pPr>
            <w:r w:rsidRPr="00155D0A">
              <w:rPr>
                <w:rFonts w:ascii="Times New Roman" w:hAnsi="Times New Roman" w:cs="Times New Roman"/>
                <w:sz w:val="22"/>
                <w:szCs w:val="22"/>
              </w:rPr>
              <w:t>5</w:t>
            </w:r>
            <w:r w:rsidR="002C1B6D" w:rsidRPr="00155D0A">
              <w:rPr>
                <w:rFonts w:ascii="Times New Roman" w:hAnsi="Times New Roman" w:cs="Times New Roman"/>
                <w:sz w:val="22"/>
                <w:szCs w:val="22"/>
              </w:rPr>
              <w:t>.79</w:t>
            </w:r>
          </w:p>
        </w:tc>
      </w:tr>
      <w:tr w:rsidR="002B3508" w:rsidRPr="00155D0A" w14:paraId="6D5C9080" w14:textId="77777777" w:rsidTr="002949EA">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14:paraId="4B99FBC5" w14:textId="77777777" w:rsidR="002B3508" w:rsidRPr="00155D0A" w:rsidRDefault="00252AD5" w:rsidP="00CD26F7">
            <w:pPr>
              <w:rPr>
                <w:rFonts w:ascii="Times" w:hAnsi="Times" w:cs="Times"/>
                <w:color w:val="FFFFFF"/>
                <w:sz w:val="8"/>
                <w:szCs w:val="8"/>
              </w:rPr>
            </w:pPr>
            <w:r w:rsidRPr="00155D0A">
              <w:rPr>
                <w:rFonts w:ascii="Times" w:hAnsi="Times" w:cs="Times"/>
                <w:color w:val="FFFFFF"/>
                <w:sz w:val="8"/>
                <w:szCs w:val="8"/>
              </w:rPr>
              <w:t>.</w:t>
            </w:r>
          </w:p>
        </w:tc>
      </w:tr>
      <w:tr w:rsidR="002B3508" w:rsidRPr="00155D0A" w14:paraId="5FEEB99E" w14:textId="77777777" w:rsidTr="002949EA">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14:paraId="132079D6" w14:textId="77777777" w:rsidR="002B3508" w:rsidRPr="00155D0A" w:rsidRDefault="00252AD5" w:rsidP="00CD26F7">
            <w:pPr>
              <w:rPr>
                <w:rFonts w:ascii="Times New Roman" w:hAnsi="Times New Roman" w:cs="Times New Roman"/>
              </w:rPr>
            </w:pPr>
            <w:r w:rsidRPr="00155D0A">
              <w:rPr>
                <w:rFonts w:ascii="Times New Roman" w:hAnsi="Times New Roman" w:cs="Times New Roman"/>
                <w:b/>
                <w:bCs/>
              </w:rPr>
              <w:lastRenderedPageBreak/>
              <w:t>V. Implementation</w:t>
            </w:r>
          </w:p>
        </w:tc>
      </w:tr>
      <w:tr w:rsidR="002B3508" w:rsidRPr="00155D0A" w14:paraId="63058C92" w14:textId="77777777" w:rsidTr="002949EA">
        <w:tc>
          <w:tcPr>
            <w:tcW w:w="187" w:type="dxa"/>
            <w:tcBorders>
              <w:top w:val="nil"/>
              <w:left w:val="nil"/>
              <w:bottom w:val="nil"/>
              <w:right w:val="nil"/>
            </w:tcBorders>
            <w:shd w:val="clear" w:color="auto" w:fill="FFFFFF"/>
            <w:tcMar>
              <w:top w:w="50" w:type="dxa"/>
              <w:left w:w="50" w:type="dxa"/>
              <w:bottom w:w="50" w:type="dxa"/>
              <w:right w:w="50" w:type="dxa"/>
            </w:tcMar>
            <w:vAlign w:val="center"/>
          </w:tcPr>
          <w:p w14:paraId="6453C90C" w14:textId="77777777" w:rsidR="002B3508" w:rsidRPr="00155D0A" w:rsidRDefault="002B3508" w:rsidP="00CD26F7">
            <w:pPr>
              <w:jc w:val="thaiDistribute"/>
              <w:rPr>
                <w:rFonts w:ascii="Times New Roman" w:hAnsi="Times New Roman" w:cs="Times New Roman"/>
                <w:color w:val="auto"/>
              </w:rPr>
            </w:pPr>
          </w:p>
        </w:tc>
        <w:tc>
          <w:tcPr>
            <w:tcW w:w="9175" w:type="dxa"/>
            <w:gridSpan w:val="11"/>
            <w:tcBorders>
              <w:top w:val="nil"/>
              <w:left w:val="nil"/>
              <w:bottom w:val="nil"/>
              <w:right w:val="nil"/>
            </w:tcBorders>
            <w:shd w:val="clear" w:color="auto" w:fill="FFFFFF"/>
            <w:tcMar>
              <w:top w:w="50" w:type="dxa"/>
              <w:left w:w="50" w:type="dxa"/>
              <w:bottom w:w="50" w:type="dxa"/>
              <w:right w:w="50" w:type="dxa"/>
            </w:tcMar>
            <w:vAlign w:val="center"/>
          </w:tcPr>
          <w:p w14:paraId="7D54CBB7" w14:textId="77777777" w:rsidR="002B3508" w:rsidRPr="00155D0A" w:rsidRDefault="00252AD5" w:rsidP="00CD26F7">
            <w:pPr>
              <w:jc w:val="thaiDistribute"/>
              <w:rPr>
                <w:rFonts w:ascii="Times New Roman" w:hAnsi="Times New Roman" w:cs="Times New Roman"/>
                <w:b/>
                <w:bCs/>
                <w:color w:val="314F4F"/>
              </w:rPr>
            </w:pPr>
            <w:r w:rsidRPr="00155D0A">
              <w:rPr>
                <w:rFonts w:ascii="Times New Roman" w:hAnsi="Times New Roman" w:cs="Times New Roman"/>
                <w:b/>
                <w:bCs/>
                <w:color w:val="314F4F"/>
              </w:rPr>
              <w:t>A. Institutional and Implementation Arrangements</w:t>
            </w:r>
          </w:p>
          <w:p w14:paraId="39181D13" w14:textId="77777777" w:rsidR="002B3508" w:rsidRPr="00155D0A" w:rsidRDefault="002B3508" w:rsidP="00CD26F7">
            <w:pPr>
              <w:jc w:val="thaiDistribute"/>
              <w:rPr>
                <w:rFonts w:ascii="Times New Roman" w:hAnsi="Times New Roman" w:cs="Times New Roman"/>
              </w:rPr>
            </w:pPr>
          </w:p>
          <w:p w14:paraId="22A4BC95" w14:textId="0F0E266A" w:rsidR="00DA5A6A" w:rsidRPr="00155D0A" w:rsidRDefault="00DA5A6A" w:rsidP="000C25A6">
            <w:pPr>
              <w:pStyle w:val="ListParagraph"/>
              <w:numPr>
                <w:ilvl w:val="0"/>
                <w:numId w:val="7"/>
              </w:numPr>
              <w:jc w:val="thaiDistribute"/>
            </w:pPr>
            <w:r w:rsidRPr="00155D0A">
              <w:t>TGO</w:t>
            </w:r>
            <w:r w:rsidR="000306B9" w:rsidRPr="00494DAB">
              <w:rPr>
                <w:rStyle w:val="FootnoteReference"/>
              </w:rPr>
              <w:footnoteReference w:id="2"/>
            </w:r>
            <w:r w:rsidRPr="00494DAB">
              <w:t xml:space="preserve"> </w:t>
            </w:r>
            <w:r w:rsidRPr="00155D0A">
              <w:t>was designated as the implementing agency</w:t>
            </w:r>
            <w:r w:rsidR="005D1AFC" w:rsidRPr="00155D0A">
              <w:t xml:space="preserve"> of the PMR project</w:t>
            </w:r>
            <w:r w:rsidRPr="00155D0A">
              <w:t>. TGO had established the PMR Steering Committee, which is a cross-ministerial committee comprising of representatives at senior level, to oversee the PMR project implementation. Member of the PMR Steering Committee include officials from 15 key agencies</w:t>
            </w:r>
            <w:r w:rsidR="00327673" w:rsidRPr="00155D0A">
              <w:rPr>
                <w:rStyle w:val="FootnoteReference"/>
              </w:rPr>
              <w:footnoteReference w:id="3"/>
            </w:r>
            <w:r w:rsidRPr="00155D0A">
              <w:t xml:space="preserve">. </w:t>
            </w:r>
            <w:r w:rsidR="00AC73CA" w:rsidRPr="00155D0A">
              <w:t>The Department of Alternative Energy Development and Efficiency (DEDE)</w:t>
            </w:r>
            <w:r w:rsidRPr="00155D0A">
              <w:t xml:space="preserve">, which is the key agency in energy efficiency policy, will be an implementing partner of the EPC component. </w:t>
            </w:r>
          </w:p>
          <w:p w14:paraId="24E37061" w14:textId="77777777" w:rsidR="00DA5A6A" w:rsidRPr="00155D0A" w:rsidRDefault="00DA5A6A" w:rsidP="00DA5A6A">
            <w:pPr>
              <w:jc w:val="thaiDistribute"/>
              <w:rPr>
                <w:rFonts w:ascii="Times New Roman" w:hAnsi="Times New Roman" w:cs="Times New Roman"/>
              </w:rPr>
            </w:pPr>
          </w:p>
          <w:p w14:paraId="0D12AB6F" w14:textId="2F9DE918" w:rsidR="00871FA8" w:rsidRPr="00155D0A" w:rsidRDefault="001D6E4F" w:rsidP="00871FA8">
            <w:pPr>
              <w:jc w:val="thaiDistribute"/>
              <w:rPr>
                <w:rFonts w:ascii="Times New Roman" w:hAnsi="Times New Roman" w:cs="Times New Roman"/>
                <w:b/>
                <w:bCs/>
                <w:color w:val="314F4F"/>
              </w:rPr>
            </w:pPr>
            <w:r w:rsidRPr="00155D0A">
              <w:rPr>
                <w:rFonts w:ascii="Times New Roman" w:hAnsi="Times New Roman" w:cs="Times New Roman"/>
                <w:b/>
                <w:bCs/>
                <w:color w:val="314F4F"/>
              </w:rPr>
              <w:t>B</w:t>
            </w:r>
            <w:r w:rsidR="00871FA8" w:rsidRPr="00155D0A">
              <w:rPr>
                <w:rFonts w:ascii="Times New Roman" w:hAnsi="Times New Roman" w:cs="Times New Roman"/>
                <w:b/>
                <w:bCs/>
                <w:color w:val="314F4F"/>
              </w:rPr>
              <w:t xml:space="preserve">. </w:t>
            </w:r>
            <w:r w:rsidRPr="00155D0A">
              <w:rPr>
                <w:rFonts w:ascii="Times New Roman" w:hAnsi="Times New Roman" w:cs="Times New Roman"/>
                <w:b/>
                <w:bCs/>
                <w:color w:val="314F4F"/>
              </w:rPr>
              <w:t>Result Monitoring and Evaluation</w:t>
            </w:r>
          </w:p>
          <w:p w14:paraId="445B0152" w14:textId="30A99361" w:rsidR="00DA5A6A" w:rsidRPr="00155D0A" w:rsidRDefault="00DA5A6A" w:rsidP="00DA5A6A">
            <w:pPr>
              <w:jc w:val="thaiDistribute"/>
              <w:rPr>
                <w:rFonts w:ascii="Times New Roman" w:hAnsi="Times New Roman" w:cs="Times New Roman"/>
              </w:rPr>
            </w:pPr>
          </w:p>
          <w:p w14:paraId="3BF1B673" w14:textId="77777777" w:rsidR="003A4427" w:rsidRDefault="00CE60A6" w:rsidP="00112AD7">
            <w:pPr>
              <w:pStyle w:val="ListParagraph"/>
              <w:numPr>
                <w:ilvl w:val="0"/>
                <w:numId w:val="7"/>
              </w:numPr>
              <w:jc w:val="thaiDistribute"/>
            </w:pPr>
            <w:r w:rsidRPr="00155D0A">
              <w:t xml:space="preserve">The World Bank team </w:t>
            </w:r>
            <w:r w:rsidRPr="00155D0A">
              <w:rPr>
                <w:rFonts w:hint="eastAsia"/>
                <w:lang w:eastAsia="ja-JP"/>
              </w:rPr>
              <w:t xml:space="preserve">and PMR Secretariat </w:t>
            </w:r>
            <w:r w:rsidRPr="00155D0A">
              <w:t xml:space="preserve">will provide implementation support for the execution of PMR grant and implementation of activities to ensure achievement of PDO. </w:t>
            </w:r>
          </w:p>
          <w:p w14:paraId="2D55A70E" w14:textId="77777777" w:rsidR="00DA5A6A" w:rsidRPr="00155D0A" w:rsidRDefault="00DA5A6A" w:rsidP="00112AD7">
            <w:pPr>
              <w:pStyle w:val="ListParagraph"/>
              <w:ind w:left="0" w:firstLine="480"/>
              <w:jc w:val="thaiDistribute"/>
              <w:rPr>
                <w:rFonts w:eastAsia="SimSun"/>
                <w:kern w:val="2"/>
                <w:lang w:eastAsia="zh-CN"/>
              </w:rPr>
            </w:pPr>
          </w:p>
          <w:p w14:paraId="49F68653" w14:textId="30B6E958" w:rsidR="00DA5A6A" w:rsidRPr="00155D0A" w:rsidRDefault="000B1C45" w:rsidP="0060650C">
            <w:pPr>
              <w:keepNext/>
              <w:jc w:val="thaiDistribute"/>
              <w:rPr>
                <w:rFonts w:ascii="Times New Roman" w:hAnsi="Times New Roman" w:cs="Times New Roman"/>
                <w:b/>
                <w:bCs/>
                <w:color w:val="314F4F"/>
              </w:rPr>
            </w:pPr>
            <w:r w:rsidRPr="00155D0A">
              <w:rPr>
                <w:rFonts w:ascii="Times New Roman" w:hAnsi="Times New Roman" w:cs="Times New Roman"/>
                <w:b/>
                <w:bCs/>
                <w:color w:val="314F4F"/>
              </w:rPr>
              <w:t>C. Sustainability</w:t>
            </w:r>
          </w:p>
          <w:p w14:paraId="118BE783" w14:textId="77777777" w:rsidR="00DA5A6A" w:rsidRPr="00155D0A" w:rsidRDefault="00DA5A6A" w:rsidP="0060650C">
            <w:pPr>
              <w:keepNext/>
              <w:jc w:val="thaiDistribute"/>
              <w:rPr>
                <w:rFonts w:ascii="Times New Roman" w:hAnsi="Times New Roman" w:cs="Times New Roman"/>
              </w:rPr>
            </w:pPr>
          </w:p>
          <w:p w14:paraId="3AD6F1C3" w14:textId="782D36A8" w:rsidR="002B3508" w:rsidRPr="00155D0A" w:rsidRDefault="00DA5A6A" w:rsidP="00CD26F7">
            <w:pPr>
              <w:pStyle w:val="ListParagraph"/>
              <w:numPr>
                <w:ilvl w:val="0"/>
                <w:numId w:val="7"/>
              </w:numPr>
              <w:jc w:val="thaiDistribute"/>
            </w:pPr>
            <w:r w:rsidRPr="00112AD7">
              <w:rPr>
                <w:b/>
                <w:bCs/>
              </w:rPr>
              <w:t>The project’s sustainability lies in capacities built in core climate change and energy policies agencies and the use of project’s output to progress the development of domestic carbon market schemes.</w:t>
            </w:r>
            <w:r w:rsidRPr="00155D0A">
              <w:t xml:space="preserve"> Given clear policy framework (on climate change, energy efficiency and low-carbon city), strong commitment of the agencies involved, and the fact that PMR complement key technical gaps of the government’s own long-term plan (in developing domestic carbon market and achieving long-term energy efficiency target), the results of the project will be used by policy makers to further refine and develop domestic carbon market scheme and market-based energy efficiency policy measure which is most suitable in the Thai context. For low-carbon city, the development of the Local GHG Abatement Plan Guidelines will help replicate the impact of the project beyond 24 municipalities covered in the project.</w:t>
            </w:r>
          </w:p>
        </w:tc>
      </w:tr>
      <w:tr w:rsidR="002B3508" w:rsidRPr="00155D0A" w14:paraId="6CD0E85F" w14:textId="77777777" w:rsidTr="002949EA">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14:paraId="66EEA8DC" w14:textId="489CAAE5" w:rsidR="002B3508" w:rsidRPr="00155D0A" w:rsidRDefault="00252AD5" w:rsidP="00CD26F7">
            <w:pPr>
              <w:rPr>
                <w:rFonts w:ascii="Times" w:hAnsi="Times" w:cs="Times"/>
                <w:color w:val="FFFFFF"/>
                <w:sz w:val="8"/>
                <w:szCs w:val="8"/>
              </w:rPr>
            </w:pPr>
            <w:r w:rsidRPr="00155D0A">
              <w:rPr>
                <w:rFonts w:ascii="Times" w:hAnsi="Times" w:cs="Times"/>
                <w:color w:val="FFFFFF"/>
                <w:sz w:val="8"/>
                <w:szCs w:val="8"/>
              </w:rPr>
              <w:t>.</w:t>
            </w:r>
          </w:p>
        </w:tc>
      </w:tr>
      <w:tr w:rsidR="002B3508" w:rsidRPr="00155D0A" w14:paraId="3DB426BC" w14:textId="77777777" w:rsidTr="002949EA">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14:paraId="256F664C" w14:textId="77777777" w:rsidR="002B3508" w:rsidRPr="00155D0A" w:rsidRDefault="00252AD5" w:rsidP="00CD26F7">
            <w:pPr>
              <w:rPr>
                <w:rFonts w:ascii="Times New Roman" w:hAnsi="Times New Roman" w:cs="Times New Roman"/>
              </w:rPr>
            </w:pPr>
            <w:r w:rsidRPr="00155D0A">
              <w:rPr>
                <w:rFonts w:ascii="Times New Roman" w:hAnsi="Times New Roman" w:cs="Times New Roman"/>
                <w:b/>
                <w:bCs/>
              </w:rPr>
              <w:t>VI. Safeguard Policies (including public consultation)</w:t>
            </w:r>
          </w:p>
        </w:tc>
      </w:tr>
      <w:tr w:rsidR="002B3508" w:rsidRPr="00155D0A" w14:paraId="4C1C3250"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433ECBD2" w14:textId="77777777" w:rsidR="002B3508" w:rsidRPr="00155D0A" w:rsidRDefault="002B3508" w:rsidP="00CD26F7">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B1E02BE" w14:textId="77777777" w:rsidR="002B3508" w:rsidRPr="00155D0A" w:rsidRDefault="00252AD5" w:rsidP="00CD26F7">
            <w:pPr>
              <w:rPr>
                <w:rFonts w:ascii="Times New Roman" w:hAnsi="Times New Roman" w:cs="Times New Roman"/>
              </w:rPr>
            </w:pPr>
            <w:r w:rsidRPr="00155D0A">
              <w:rPr>
                <w:rFonts w:ascii="Times New Roman" w:hAnsi="Times New Roman" w:cs="Times New Roman"/>
                <w:b/>
                <w:bCs/>
                <w:sz w:val="22"/>
                <w:szCs w:val="22"/>
              </w:rPr>
              <w:t>Safeguard Policies Triggered by the Project</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95C097E" w14:textId="77777777" w:rsidR="002B3508" w:rsidRPr="00155D0A" w:rsidRDefault="00252AD5" w:rsidP="00CD26F7">
            <w:pPr>
              <w:jc w:val="center"/>
              <w:rPr>
                <w:rFonts w:ascii="Times New Roman" w:hAnsi="Times New Roman" w:cs="Times New Roman"/>
              </w:rPr>
            </w:pPr>
            <w:r w:rsidRPr="00155D0A">
              <w:rPr>
                <w:rFonts w:ascii="Times New Roman" w:hAnsi="Times New Roman" w:cs="Times New Roman"/>
                <w:b/>
                <w:bCs/>
                <w:sz w:val="22"/>
                <w:szCs w:val="22"/>
              </w:rPr>
              <w:t>Yes</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AE4F1C7" w14:textId="77777777" w:rsidR="002B3508" w:rsidRPr="00155D0A" w:rsidRDefault="00252AD5" w:rsidP="00CD26F7">
            <w:pPr>
              <w:jc w:val="center"/>
              <w:rPr>
                <w:rFonts w:ascii="Times New Roman" w:hAnsi="Times New Roman" w:cs="Times New Roman"/>
              </w:rPr>
            </w:pPr>
            <w:r w:rsidRPr="00155D0A">
              <w:rPr>
                <w:rFonts w:ascii="Times New Roman" w:hAnsi="Times New Roman" w:cs="Times New Roman"/>
                <w:b/>
                <w:bCs/>
                <w:sz w:val="22"/>
                <w:szCs w:val="22"/>
              </w:rPr>
              <w:t>No</w:t>
            </w:r>
          </w:p>
        </w:tc>
      </w:tr>
      <w:tr w:rsidR="002B3508" w:rsidRPr="00155D0A" w14:paraId="24C0DCC7"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70C30ACA" w14:textId="77777777" w:rsidR="002B3508" w:rsidRPr="00155D0A" w:rsidRDefault="002B3508" w:rsidP="00CD26F7">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581DE86"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Environmental Assessment OP/BP 4.01</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24266F6" w14:textId="4BC1F5C5" w:rsidR="002B3508" w:rsidRPr="00155D0A" w:rsidRDefault="00CE60A6" w:rsidP="00CD26F7">
            <w:pPr>
              <w:jc w:val="center"/>
              <w:rPr>
                <w:rFonts w:ascii="Times New Roman" w:hAnsi="Times New Roman" w:cs="Times New Roman"/>
                <w:sz w:val="20"/>
                <w:szCs w:val="20"/>
              </w:rPr>
            </w:pPr>
            <w:r w:rsidRPr="00155D0A">
              <w:rPr>
                <w:rFonts w:ascii="Times New Roman" w:hAnsi="Times New Roman" w:cs="Times New Roman"/>
                <w:b/>
                <w:bCs/>
                <w:sz w:val="20"/>
                <w:szCs w:val="20"/>
              </w:rPr>
              <w:t>X</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874D29F" w14:textId="337C89DF" w:rsidR="002B3508" w:rsidRPr="00155D0A" w:rsidRDefault="002B3508" w:rsidP="00CD26F7">
            <w:pPr>
              <w:jc w:val="center"/>
              <w:rPr>
                <w:rFonts w:ascii="Times New Roman" w:hAnsi="Times New Roman" w:cs="Times New Roman"/>
                <w:color w:val="auto"/>
              </w:rPr>
            </w:pPr>
          </w:p>
        </w:tc>
      </w:tr>
      <w:tr w:rsidR="002B3508" w:rsidRPr="00155D0A" w14:paraId="3F80B625"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15E28EEB" w14:textId="77777777" w:rsidR="002B3508" w:rsidRPr="00155D0A" w:rsidRDefault="002B3508" w:rsidP="00CD26F7">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F9191EF"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Natural Habitats OP/BP 4.04</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E983904" w14:textId="77777777" w:rsidR="002B3508" w:rsidRPr="00155D0A" w:rsidRDefault="002B3508" w:rsidP="00CD26F7">
            <w:pPr>
              <w:jc w:val="center"/>
              <w:rPr>
                <w:rFonts w:ascii="Times New Roman" w:hAnsi="Times New Roman" w:cs="Times New Roman"/>
                <w:color w:val="auto"/>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0D03B53" w14:textId="77777777" w:rsidR="002B3508" w:rsidRPr="00155D0A" w:rsidRDefault="00252AD5" w:rsidP="00CD26F7">
            <w:pPr>
              <w:jc w:val="center"/>
              <w:rPr>
                <w:rFonts w:ascii="Times New Roman" w:hAnsi="Times New Roman" w:cs="Times New Roman"/>
                <w:sz w:val="20"/>
                <w:szCs w:val="20"/>
              </w:rPr>
            </w:pPr>
            <w:r w:rsidRPr="00155D0A">
              <w:rPr>
                <w:rFonts w:ascii="Times New Roman" w:hAnsi="Times New Roman" w:cs="Times New Roman"/>
                <w:b/>
                <w:bCs/>
                <w:sz w:val="20"/>
                <w:szCs w:val="20"/>
              </w:rPr>
              <w:t>X</w:t>
            </w:r>
          </w:p>
        </w:tc>
      </w:tr>
      <w:tr w:rsidR="002B3508" w:rsidRPr="00155D0A" w14:paraId="2AD7D1B6"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47D87EDC" w14:textId="77777777" w:rsidR="002B3508" w:rsidRPr="00155D0A" w:rsidRDefault="002B3508" w:rsidP="00CD26F7">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7879A75"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Forests OP/BP 4.36</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83D60DC" w14:textId="77777777" w:rsidR="002B3508" w:rsidRPr="00155D0A" w:rsidRDefault="002B3508" w:rsidP="00CD26F7">
            <w:pPr>
              <w:jc w:val="center"/>
              <w:rPr>
                <w:rFonts w:ascii="Times New Roman" w:hAnsi="Times New Roman" w:cs="Times New Roman"/>
                <w:color w:val="auto"/>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5B9900B" w14:textId="77777777" w:rsidR="002B3508" w:rsidRPr="00155D0A" w:rsidRDefault="00252AD5" w:rsidP="00CD26F7">
            <w:pPr>
              <w:jc w:val="center"/>
              <w:rPr>
                <w:rFonts w:ascii="Times New Roman" w:hAnsi="Times New Roman" w:cs="Times New Roman"/>
                <w:sz w:val="20"/>
                <w:szCs w:val="20"/>
              </w:rPr>
            </w:pPr>
            <w:r w:rsidRPr="00155D0A">
              <w:rPr>
                <w:rFonts w:ascii="Times New Roman" w:hAnsi="Times New Roman" w:cs="Times New Roman"/>
                <w:b/>
                <w:bCs/>
                <w:sz w:val="20"/>
                <w:szCs w:val="20"/>
              </w:rPr>
              <w:t>X</w:t>
            </w:r>
          </w:p>
        </w:tc>
      </w:tr>
      <w:tr w:rsidR="002B3508" w:rsidRPr="00155D0A" w14:paraId="2F390EC9"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3494F32F" w14:textId="77777777" w:rsidR="002B3508" w:rsidRPr="00155D0A" w:rsidRDefault="002B3508" w:rsidP="00CD26F7">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142112A"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Pest Management OP 4.09</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E994FD9" w14:textId="77777777" w:rsidR="002B3508" w:rsidRPr="00155D0A" w:rsidRDefault="002B3508" w:rsidP="00CD26F7">
            <w:pPr>
              <w:jc w:val="center"/>
              <w:rPr>
                <w:rFonts w:ascii="Times New Roman" w:hAnsi="Times New Roman" w:cs="Times New Roman"/>
                <w:sz w:val="20"/>
                <w:szCs w:val="20"/>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A991EA3" w14:textId="77777777" w:rsidR="002B3508" w:rsidRPr="00155D0A" w:rsidRDefault="00C139E5" w:rsidP="00CD26F7">
            <w:pPr>
              <w:jc w:val="center"/>
              <w:rPr>
                <w:rFonts w:ascii="Times New Roman" w:hAnsi="Times New Roman" w:cs="Times New Roman"/>
                <w:color w:val="auto"/>
              </w:rPr>
            </w:pPr>
            <w:r w:rsidRPr="00155D0A">
              <w:rPr>
                <w:rFonts w:ascii="Times New Roman" w:hAnsi="Times New Roman" w:cs="Times New Roman"/>
                <w:b/>
                <w:bCs/>
                <w:sz w:val="20"/>
                <w:szCs w:val="20"/>
              </w:rPr>
              <w:t>X</w:t>
            </w:r>
          </w:p>
        </w:tc>
      </w:tr>
      <w:tr w:rsidR="002B3508" w:rsidRPr="00155D0A" w14:paraId="7E835CC3"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3AF8F802" w14:textId="77777777" w:rsidR="002B3508" w:rsidRPr="00155D0A" w:rsidRDefault="002B3508" w:rsidP="00CD26F7">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C4F2709"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Physical Cultural Resources OP/BP 4.11</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3997AF6" w14:textId="77777777" w:rsidR="002B3508" w:rsidRPr="00155D0A" w:rsidRDefault="002B3508" w:rsidP="00CD26F7">
            <w:pPr>
              <w:jc w:val="center"/>
              <w:rPr>
                <w:rFonts w:ascii="Times New Roman" w:hAnsi="Times New Roman" w:cs="Times New Roman"/>
                <w:color w:val="auto"/>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20ED80E" w14:textId="77777777" w:rsidR="002B3508" w:rsidRPr="00155D0A" w:rsidRDefault="00252AD5" w:rsidP="00CD26F7">
            <w:pPr>
              <w:jc w:val="center"/>
              <w:rPr>
                <w:rFonts w:ascii="Times New Roman" w:hAnsi="Times New Roman" w:cs="Times New Roman"/>
                <w:sz w:val="20"/>
                <w:szCs w:val="20"/>
              </w:rPr>
            </w:pPr>
            <w:r w:rsidRPr="00155D0A">
              <w:rPr>
                <w:rFonts w:ascii="Times New Roman" w:hAnsi="Times New Roman" w:cs="Times New Roman"/>
                <w:b/>
                <w:bCs/>
                <w:sz w:val="20"/>
                <w:szCs w:val="20"/>
              </w:rPr>
              <w:t>X</w:t>
            </w:r>
          </w:p>
        </w:tc>
      </w:tr>
      <w:tr w:rsidR="002B3508" w:rsidRPr="00155D0A" w14:paraId="696EE94C"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108A9037" w14:textId="77777777" w:rsidR="002B3508" w:rsidRPr="00155D0A" w:rsidRDefault="002B3508" w:rsidP="00CD26F7">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ECB4CB2"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Indigenous Peoples OP/BP 4.10</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84A23C7" w14:textId="77777777" w:rsidR="002B3508" w:rsidRPr="00155D0A" w:rsidRDefault="002B3508" w:rsidP="00CD26F7">
            <w:pPr>
              <w:jc w:val="center"/>
              <w:rPr>
                <w:rFonts w:ascii="Times New Roman" w:hAnsi="Times New Roman" w:cs="Times New Roman"/>
                <w:color w:val="auto"/>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F4B5E56" w14:textId="77777777" w:rsidR="002B3508" w:rsidRPr="00155D0A" w:rsidRDefault="00252AD5" w:rsidP="00CD26F7">
            <w:pPr>
              <w:jc w:val="center"/>
              <w:rPr>
                <w:rFonts w:ascii="Times New Roman" w:hAnsi="Times New Roman" w:cs="Times New Roman"/>
                <w:sz w:val="20"/>
                <w:szCs w:val="20"/>
              </w:rPr>
            </w:pPr>
            <w:r w:rsidRPr="00155D0A">
              <w:rPr>
                <w:rFonts w:ascii="Times New Roman" w:hAnsi="Times New Roman" w:cs="Times New Roman"/>
                <w:b/>
                <w:bCs/>
                <w:sz w:val="20"/>
                <w:szCs w:val="20"/>
              </w:rPr>
              <w:t>X</w:t>
            </w:r>
          </w:p>
        </w:tc>
      </w:tr>
      <w:tr w:rsidR="002B3508" w:rsidRPr="00155D0A" w14:paraId="0E354CAF"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5EF90391" w14:textId="77777777" w:rsidR="002B3508" w:rsidRPr="00155D0A" w:rsidRDefault="002B3508" w:rsidP="00CD26F7">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20AAE4A"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Involuntary Resettlement OP/BP 4.12</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ECD13D7" w14:textId="77777777" w:rsidR="002B3508" w:rsidRPr="00155D0A" w:rsidRDefault="002B3508" w:rsidP="00CD26F7">
            <w:pPr>
              <w:jc w:val="center"/>
              <w:rPr>
                <w:rFonts w:ascii="Times New Roman" w:hAnsi="Times New Roman" w:cs="Times New Roman"/>
                <w:sz w:val="20"/>
                <w:szCs w:val="20"/>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C7EF978" w14:textId="77777777" w:rsidR="002B3508" w:rsidRPr="00155D0A" w:rsidRDefault="00C139E5" w:rsidP="00CD26F7">
            <w:pPr>
              <w:jc w:val="center"/>
              <w:rPr>
                <w:rFonts w:ascii="Times New Roman" w:hAnsi="Times New Roman" w:cs="Times New Roman"/>
                <w:color w:val="auto"/>
              </w:rPr>
            </w:pPr>
            <w:r w:rsidRPr="00155D0A">
              <w:rPr>
                <w:rFonts w:ascii="Times New Roman" w:hAnsi="Times New Roman" w:cs="Times New Roman"/>
                <w:b/>
                <w:bCs/>
                <w:sz w:val="20"/>
                <w:szCs w:val="20"/>
              </w:rPr>
              <w:t>X</w:t>
            </w:r>
          </w:p>
        </w:tc>
      </w:tr>
      <w:tr w:rsidR="002B3508" w:rsidRPr="00155D0A" w14:paraId="69CEF8B3"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2DCB921E" w14:textId="77777777" w:rsidR="002B3508" w:rsidRPr="00155D0A" w:rsidRDefault="002B3508" w:rsidP="00CD26F7">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5B159BE"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Safety of Dams OP/BP 4.37</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FCCCDDA" w14:textId="77777777" w:rsidR="002B3508" w:rsidRPr="00155D0A" w:rsidRDefault="002B3508" w:rsidP="00CD26F7">
            <w:pPr>
              <w:jc w:val="center"/>
              <w:rPr>
                <w:rFonts w:ascii="Times New Roman" w:hAnsi="Times New Roman" w:cs="Times New Roman"/>
                <w:color w:val="auto"/>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F01F989" w14:textId="77777777" w:rsidR="002B3508" w:rsidRPr="00155D0A" w:rsidRDefault="00252AD5" w:rsidP="00CD26F7">
            <w:pPr>
              <w:jc w:val="center"/>
              <w:rPr>
                <w:rFonts w:ascii="Times New Roman" w:hAnsi="Times New Roman" w:cs="Times New Roman"/>
                <w:sz w:val="20"/>
                <w:szCs w:val="20"/>
              </w:rPr>
            </w:pPr>
            <w:r w:rsidRPr="00155D0A">
              <w:rPr>
                <w:rFonts w:ascii="Times New Roman" w:hAnsi="Times New Roman" w:cs="Times New Roman"/>
                <w:b/>
                <w:bCs/>
                <w:sz w:val="20"/>
                <w:szCs w:val="20"/>
              </w:rPr>
              <w:t>X</w:t>
            </w:r>
          </w:p>
        </w:tc>
      </w:tr>
      <w:tr w:rsidR="002B3508" w:rsidRPr="00155D0A" w14:paraId="5F3C1DDB"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4427D580" w14:textId="77777777" w:rsidR="002B3508" w:rsidRPr="00155D0A" w:rsidRDefault="002B3508" w:rsidP="00CD26F7">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7366D9C"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Projects on International Waterways OP/BP 7.50</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E17D8E9" w14:textId="77777777" w:rsidR="002B3508" w:rsidRPr="00155D0A" w:rsidRDefault="002B3508" w:rsidP="00CD26F7">
            <w:pPr>
              <w:jc w:val="center"/>
              <w:rPr>
                <w:rFonts w:ascii="Times New Roman" w:hAnsi="Times New Roman" w:cs="Times New Roman"/>
                <w:color w:val="auto"/>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3E910F3" w14:textId="77777777" w:rsidR="002B3508" w:rsidRPr="00155D0A" w:rsidRDefault="00252AD5" w:rsidP="00CD26F7">
            <w:pPr>
              <w:jc w:val="center"/>
              <w:rPr>
                <w:rFonts w:ascii="Times New Roman" w:hAnsi="Times New Roman" w:cs="Times New Roman"/>
                <w:sz w:val="20"/>
                <w:szCs w:val="20"/>
              </w:rPr>
            </w:pPr>
            <w:r w:rsidRPr="00155D0A">
              <w:rPr>
                <w:rFonts w:ascii="Times New Roman" w:hAnsi="Times New Roman" w:cs="Times New Roman"/>
                <w:b/>
                <w:bCs/>
                <w:sz w:val="20"/>
                <w:szCs w:val="20"/>
              </w:rPr>
              <w:t>X</w:t>
            </w:r>
          </w:p>
        </w:tc>
      </w:tr>
      <w:tr w:rsidR="002B3508" w:rsidRPr="00155D0A" w14:paraId="3512969E"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205243C3" w14:textId="77777777" w:rsidR="002B3508" w:rsidRPr="00155D0A" w:rsidRDefault="002B3508" w:rsidP="00CD26F7">
            <w:pPr>
              <w:rPr>
                <w:rFonts w:ascii="Times New Roman" w:hAnsi="Times New Roman" w:cs="Times New Roman"/>
                <w:color w:val="auto"/>
              </w:rPr>
            </w:pPr>
          </w:p>
        </w:tc>
        <w:tc>
          <w:tcPr>
            <w:tcW w:w="655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EFE4438"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Projects in Disputed Areas OP/BP 7.60</w:t>
            </w: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B8BCA8C" w14:textId="77777777" w:rsidR="002B3508" w:rsidRPr="00155D0A" w:rsidRDefault="002B3508" w:rsidP="00CD26F7">
            <w:pPr>
              <w:jc w:val="center"/>
              <w:rPr>
                <w:rFonts w:ascii="Times New Roman" w:hAnsi="Times New Roman" w:cs="Times New Roman"/>
                <w:color w:val="auto"/>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CE62B29" w14:textId="77777777" w:rsidR="002B3508" w:rsidRPr="00155D0A" w:rsidRDefault="00252AD5" w:rsidP="00CD26F7">
            <w:pPr>
              <w:jc w:val="center"/>
              <w:rPr>
                <w:rFonts w:ascii="Times New Roman" w:hAnsi="Times New Roman" w:cs="Times New Roman"/>
                <w:sz w:val="20"/>
                <w:szCs w:val="20"/>
              </w:rPr>
            </w:pPr>
            <w:r w:rsidRPr="00155D0A">
              <w:rPr>
                <w:rFonts w:ascii="Times New Roman" w:hAnsi="Times New Roman" w:cs="Times New Roman"/>
                <w:b/>
                <w:bCs/>
                <w:sz w:val="20"/>
                <w:szCs w:val="20"/>
              </w:rPr>
              <w:t>X</w:t>
            </w:r>
          </w:p>
        </w:tc>
      </w:tr>
      <w:tr w:rsidR="002B3508" w:rsidRPr="00155D0A" w14:paraId="03676D03"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2528F342" w14:textId="77777777" w:rsidR="002B3508" w:rsidRPr="00155D0A" w:rsidRDefault="002B3508" w:rsidP="00CD26F7">
            <w:pPr>
              <w:rPr>
                <w:rFonts w:ascii="Times New Roman" w:hAnsi="Times New Roman" w:cs="Times New Roman"/>
                <w:color w:val="auto"/>
                <w:sz w:val="22"/>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14:paraId="723FF71A" w14:textId="77777777" w:rsidR="00C60B4B" w:rsidRPr="00155D0A" w:rsidRDefault="00C60B4B" w:rsidP="00CD26F7">
            <w:pPr>
              <w:rPr>
                <w:rFonts w:ascii="Times New Roman" w:hAnsi="Times New Roman" w:cs="Times New Roman"/>
                <w:b/>
                <w:bCs/>
              </w:rPr>
            </w:pPr>
          </w:p>
          <w:p w14:paraId="4B9DDF9C" w14:textId="77777777" w:rsidR="002B3508" w:rsidRPr="00155D0A" w:rsidRDefault="00252AD5" w:rsidP="00CD26F7">
            <w:pPr>
              <w:rPr>
                <w:rFonts w:ascii="Times New Roman" w:hAnsi="Times New Roman" w:cs="Times New Roman"/>
                <w:b/>
                <w:bCs/>
              </w:rPr>
            </w:pPr>
            <w:r w:rsidRPr="00155D0A">
              <w:rPr>
                <w:rFonts w:ascii="Times New Roman" w:hAnsi="Times New Roman" w:cs="Times New Roman"/>
                <w:b/>
                <w:bCs/>
              </w:rPr>
              <w:t>Comments (optional)</w:t>
            </w:r>
          </w:p>
          <w:p w14:paraId="0A1D0FAB" w14:textId="77777777" w:rsidR="00A274F8" w:rsidRPr="00155D0A" w:rsidRDefault="00A274F8" w:rsidP="00CD26F7">
            <w:pPr>
              <w:rPr>
                <w:rFonts w:ascii="Times New Roman" w:hAnsi="Times New Roman" w:cs="Times New Roman"/>
              </w:rPr>
            </w:pPr>
          </w:p>
          <w:p w14:paraId="3D2C10EC" w14:textId="2CC9C4CD" w:rsidR="00A274F8" w:rsidRPr="00155D0A" w:rsidRDefault="00A274F8" w:rsidP="00C60B4B">
            <w:pPr>
              <w:jc w:val="both"/>
              <w:rPr>
                <w:rFonts w:ascii="Times New Roman" w:hAnsi="Times New Roman" w:cs="Times New Roman"/>
              </w:rPr>
            </w:pPr>
            <w:r w:rsidRPr="00155D0A">
              <w:rPr>
                <w:rFonts w:ascii="Times New Roman" w:hAnsi="Times New Roman" w:cs="Times New Roman"/>
              </w:rPr>
              <w:t xml:space="preserve">The project will be solely on technical assistance activities. It is anticipated that the project will lead to long term positive impacts to the environment particularly on GHG emission reduction and energy consumption reduction. </w:t>
            </w:r>
            <w:r w:rsidR="003A4427" w:rsidRPr="00112AD7">
              <w:rPr>
                <w:rFonts w:ascii="Times New Roman" w:hAnsi="Times New Roman" w:cs="Times New Roman"/>
              </w:rPr>
              <w:t xml:space="preserve">No separate safeguards instrument is required for this TA project. </w:t>
            </w:r>
            <w:r w:rsidR="00BB529D" w:rsidRPr="00BB529D">
              <w:rPr>
                <w:rFonts w:ascii="Times New Roman" w:hAnsi="Times New Roman" w:cs="Times New Roman"/>
              </w:rPr>
              <w:t>The Bank will review and provide inputs on key TORs to ensure that appropriate safeguards measures, including environment and social screening criteria, are incorporated in relevant studies</w:t>
            </w:r>
            <w:r w:rsidR="00BB529D">
              <w:rPr>
                <w:rFonts w:ascii="Times New Roman" w:hAnsi="Times New Roman" w:cs="Times New Roman"/>
              </w:rPr>
              <w:t>. In addition, t</w:t>
            </w:r>
            <w:r w:rsidR="003A4427" w:rsidRPr="00112AD7">
              <w:rPr>
                <w:rFonts w:ascii="Times New Roman" w:hAnsi="Times New Roman" w:cs="Times New Roman"/>
              </w:rPr>
              <w:t>he Bank will work with the counterpart to ensure stakeholder participation and that perspective of men and women on GHG and its mitigation actions are taken into account in all activities</w:t>
            </w:r>
            <w:r w:rsidR="00BB529D">
              <w:rPr>
                <w:rFonts w:ascii="Times New Roman" w:hAnsi="Times New Roman" w:cs="Times New Roman"/>
              </w:rPr>
              <w:t>.</w:t>
            </w:r>
          </w:p>
          <w:p w14:paraId="2F08E5DF" w14:textId="65D38098" w:rsidR="00C60B4B" w:rsidRPr="00155D0A" w:rsidRDefault="00C60B4B" w:rsidP="00C60B4B">
            <w:pPr>
              <w:pStyle w:val="ListParagraph"/>
              <w:ind w:left="0"/>
              <w:jc w:val="both"/>
              <w:rPr>
                <w:sz w:val="22"/>
              </w:rPr>
            </w:pPr>
          </w:p>
        </w:tc>
      </w:tr>
      <w:tr w:rsidR="002B3508" w:rsidRPr="00155D0A" w14:paraId="3F4337F1" w14:textId="77777777" w:rsidTr="002949EA">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14:paraId="31CDCD21" w14:textId="77777777" w:rsidR="002B3508" w:rsidRPr="00155D0A" w:rsidRDefault="00252AD5" w:rsidP="00CD26F7">
            <w:pPr>
              <w:rPr>
                <w:rFonts w:ascii="Times" w:hAnsi="Times" w:cs="Times"/>
                <w:color w:val="FFFFFF"/>
                <w:sz w:val="8"/>
                <w:szCs w:val="8"/>
              </w:rPr>
            </w:pPr>
            <w:r w:rsidRPr="00155D0A">
              <w:rPr>
                <w:rFonts w:ascii="Times" w:hAnsi="Times" w:cs="Times"/>
                <w:color w:val="FFFFFF"/>
                <w:sz w:val="8"/>
                <w:szCs w:val="8"/>
              </w:rPr>
              <w:t>.</w:t>
            </w:r>
          </w:p>
        </w:tc>
      </w:tr>
      <w:tr w:rsidR="002B3508" w:rsidRPr="00155D0A" w14:paraId="1252F623" w14:textId="77777777" w:rsidTr="002949EA">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14:paraId="10C5E0EF" w14:textId="77777777" w:rsidR="002B3508" w:rsidRPr="00155D0A" w:rsidRDefault="00252AD5" w:rsidP="00CD26F7">
            <w:pPr>
              <w:rPr>
                <w:rFonts w:ascii="Times New Roman" w:hAnsi="Times New Roman" w:cs="Times New Roman"/>
              </w:rPr>
            </w:pPr>
            <w:r w:rsidRPr="00155D0A">
              <w:rPr>
                <w:rFonts w:ascii="Times New Roman" w:hAnsi="Times New Roman" w:cs="Times New Roman"/>
                <w:b/>
                <w:bCs/>
              </w:rPr>
              <w:t>VII. Contact point</w:t>
            </w:r>
          </w:p>
        </w:tc>
      </w:tr>
      <w:tr w:rsidR="002B3508" w:rsidRPr="00155D0A" w14:paraId="4C91695D"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13B950DE" w14:textId="77777777" w:rsidR="002B3508" w:rsidRPr="00155D0A" w:rsidRDefault="002B3508" w:rsidP="00CD26F7">
            <w:pPr>
              <w:rPr>
                <w:rFonts w:ascii="Times New Roman" w:hAnsi="Times New Roman" w:cs="Times New Roman"/>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14:paraId="13EAE19D" w14:textId="77777777" w:rsidR="00C60B4B" w:rsidRPr="00155D0A" w:rsidRDefault="00C60B4B" w:rsidP="00CD26F7">
            <w:pPr>
              <w:rPr>
                <w:rFonts w:ascii="Times New Roman" w:hAnsi="Times New Roman" w:cs="Times New Roman"/>
                <w:b/>
                <w:bCs/>
              </w:rPr>
            </w:pPr>
          </w:p>
          <w:p w14:paraId="4760184F" w14:textId="77777777" w:rsidR="002B3508" w:rsidRPr="00155D0A" w:rsidRDefault="00252AD5" w:rsidP="00CD26F7">
            <w:pPr>
              <w:rPr>
                <w:rFonts w:ascii="Times New Roman" w:hAnsi="Times New Roman" w:cs="Times New Roman"/>
              </w:rPr>
            </w:pPr>
            <w:r w:rsidRPr="00155D0A">
              <w:rPr>
                <w:rFonts w:ascii="Times New Roman" w:hAnsi="Times New Roman" w:cs="Times New Roman"/>
                <w:b/>
                <w:bCs/>
              </w:rPr>
              <w:t>World Bank</w:t>
            </w:r>
          </w:p>
        </w:tc>
      </w:tr>
      <w:tr w:rsidR="002B3508" w:rsidRPr="00155D0A" w14:paraId="334379E3"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0183E663" w14:textId="77777777" w:rsidR="002B3508" w:rsidRPr="00155D0A" w:rsidRDefault="002B3508" w:rsidP="00CD26F7">
            <w:pPr>
              <w:rPr>
                <w:rFonts w:ascii="Times New Roman" w:hAnsi="Times New Roman" w:cs="Times New Roman"/>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14:paraId="3C2A1006"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Contact:</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14:paraId="34B58887" w14:textId="2B1DF332" w:rsidR="002B3508" w:rsidRPr="00155D0A" w:rsidRDefault="0023470E" w:rsidP="00CD26F7">
            <w:pPr>
              <w:rPr>
                <w:rFonts w:ascii="Times New Roman" w:hAnsi="Times New Roman" w:cs="Times New Roman"/>
              </w:rPr>
            </w:pPr>
            <w:r w:rsidRPr="00155D0A">
              <w:rPr>
                <w:rFonts w:ascii="Times New Roman" w:hAnsi="Times New Roman" w:cs="Times New Roman"/>
                <w:sz w:val="22"/>
                <w:szCs w:val="22"/>
              </w:rPr>
              <w:t>Waraporn Hirunwatsiri</w:t>
            </w:r>
          </w:p>
        </w:tc>
      </w:tr>
      <w:tr w:rsidR="002B3508" w:rsidRPr="00155D0A" w14:paraId="55CA8A72"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3EA7C0F2" w14:textId="77777777" w:rsidR="002B3508" w:rsidRPr="00155D0A" w:rsidRDefault="002B3508" w:rsidP="00CD26F7">
            <w:pPr>
              <w:rPr>
                <w:rFonts w:ascii="Times New Roman" w:hAnsi="Times New Roman" w:cs="Times New Roman"/>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14:paraId="44A1E8B1"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Title:</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14:paraId="1268B3E8"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Senior Environmental Specialist</w:t>
            </w:r>
          </w:p>
        </w:tc>
      </w:tr>
      <w:tr w:rsidR="002B3508" w:rsidRPr="00155D0A" w14:paraId="16E916A6"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562E15F9" w14:textId="77777777" w:rsidR="002B3508" w:rsidRPr="00155D0A" w:rsidRDefault="002B3508" w:rsidP="00CD26F7">
            <w:pPr>
              <w:rPr>
                <w:rFonts w:ascii="Times New Roman" w:hAnsi="Times New Roman" w:cs="Times New Roman"/>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14:paraId="410DD423"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Tel:</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14:paraId="4A902505" w14:textId="10E18EDF" w:rsidR="002B3508" w:rsidRPr="00155D0A" w:rsidRDefault="009415C4" w:rsidP="00CD26F7">
            <w:pPr>
              <w:rPr>
                <w:rFonts w:ascii="Times New Roman" w:hAnsi="Times New Roman" w:cs="Times New Roman"/>
              </w:rPr>
            </w:pPr>
            <w:r w:rsidRPr="00155D0A">
              <w:rPr>
                <w:rFonts w:ascii="Times New Roman" w:hAnsi="Times New Roman" w:cs="Times New Roman"/>
                <w:sz w:val="22"/>
                <w:szCs w:val="22"/>
              </w:rPr>
              <w:t>(</w:t>
            </w:r>
            <w:r w:rsidR="0023470E" w:rsidRPr="00155D0A">
              <w:rPr>
                <w:rFonts w:ascii="Times New Roman" w:hAnsi="Times New Roman" w:cs="Times New Roman"/>
                <w:sz w:val="22"/>
                <w:szCs w:val="22"/>
              </w:rPr>
              <w:t>66</w:t>
            </w:r>
            <w:r w:rsidRPr="00155D0A">
              <w:rPr>
                <w:rFonts w:ascii="Times New Roman" w:hAnsi="Times New Roman" w:cs="Times New Roman"/>
                <w:sz w:val="22"/>
                <w:szCs w:val="22"/>
              </w:rPr>
              <w:t xml:space="preserve">) </w:t>
            </w:r>
            <w:r w:rsidR="0023470E" w:rsidRPr="00155D0A">
              <w:rPr>
                <w:rFonts w:ascii="Times New Roman" w:hAnsi="Times New Roman" w:cs="Times New Roman"/>
                <w:sz w:val="22"/>
                <w:szCs w:val="22"/>
              </w:rPr>
              <w:t>2</w:t>
            </w:r>
            <w:r w:rsidRPr="00155D0A">
              <w:rPr>
                <w:rFonts w:ascii="Times New Roman" w:hAnsi="Times New Roman" w:cs="Times New Roman"/>
                <w:sz w:val="22"/>
                <w:szCs w:val="22"/>
              </w:rPr>
              <w:t>-</w:t>
            </w:r>
            <w:r w:rsidR="0023470E" w:rsidRPr="00155D0A">
              <w:rPr>
                <w:rFonts w:ascii="Times New Roman" w:hAnsi="Times New Roman" w:cs="Times New Roman"/>
                <w:sz w:val="22"/>
                <w:szCs w:val="22"/>
              </w:rPr>
              <w:t>686-8364</w:t>
            </w:r>
          </w:p>
        </w:tc>
      </w:tr>
      <w:tr w:rsidR="002B3508" w:rsidRPr="00155D0A" w14:paraId="256634E5"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07168C04" w14:textId="77777777" w:rsidR="002B3508" w:rsidRPr="00155D0A" w:rsidRDefault="002B3508" w:rsidP="00CD26F7">
            <w:pPr>
              <w:rPr>
                <w:rFonts w:ascii="Times New Roman" w:hAnsi="Times New Roman" w:cs="Times New Roman"/>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14:paraId="0706214A"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Email:</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14:paraId="1137D154" w14:textId="4B191E0C" w:rsidR="002B3508" w:rsidRPr="00155D0A" w:rsidRDefault="00D23267" w:rsidP="00CD26F7">
            <w:pPr>
              <w:rPr>
                <w:rFonts w:ascii="Times New Roman" w:hAnsi="Times New Roman" w:cs="Times New Roman"/>
              </w:rPr>
            </w:pPr>
            <w:hyperlink r:id="rId7" w:history="1">
              <w:r w:rsidR="009415C4" w:rsidRPr="003E0A5E">
                <w:rPr>
                  <w:rStyle w:val="Hyperlink"/>
                  <w:rFonts w:ascii="Times New Roman" w:hAnsi="Times New Roman" w:cs="Times New Roman"/>
                  <w:sz w:val="22"/>
                  <w:szCs w:val="22"/>
                </w:rPr>
                <w:t>whirunwatsiri@worldbank.org</w:t>
              </w:r>
            </w:hyperlink>
            <w:r w:rsidR="009415C4" w:rsidRPr="003E0A5E">
              <w:rPr>
                <w:rFonts w:ascii="Times New Roman" w:hAnsi="Times New Roman" w:cs="Times New Roman"/>
                <w:sz w:val="22"/>
                <w:szCs w:val="22"/>
              </w:rPr>
              <w:t xml:space="preserve"> </w:t>
            </w:r>
          </w:p>
        </w:tc>
      </w:tr>
      <w:tr w:rsidR="002B3508" w:rsidRPr="00155D0A" w14:paraId="177DAB5E" w14:textId="77777777" w:rsidTr="002949EA">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14:paraId="5D080391" w14:textId="77777777" w:rsidR="002B3508" w:rsidRPr="00155D0A" w:rsidRDefault="00252AD5" w:rsidP="00CD26F7">
            <w:pPr>
              <w:rPr>
                <w:rFonts w:ascii="Times" w:hAnsi="Times" w:cs="Times"/>
                <w:color w:val="FFFFFF"/>
                <w:sz w:val="8"/>
                <w:szCs w:val="8"/>
              </w:rPr>
            </w:pPr>
            <w:r w:rsidRPr="00155D0A">
              <w:rPr>
                <w:rFonts w:ascii="Times" w:hAnsi="Times" w:cs="Times"/>
                <w:color w:val="FFFFFF"/>
                <w:sz w:val="8"/>
                <w:szCs w:val="8"/>
              </w:rPr>
              <w:t>.</w:t>
            </w:r>
          </w:p>
        </w:tc>
      </w:tr>
      <w:tr w:rsidR="002B3508" w:rsidRPr="00155D0A" w14:paraId="00D414C7"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4B23F8E2" w14:textId="77777777" w:rsidR="002B3508" w:rsidRPr="00155D0A" w:rsidRDefault="002B3508" w:rsidP="00CD26F7">
            <w:pPr>
              <w:rPr>
                <w:rFonts w:ascii="Times New Roman" w:hAnsi="Times New Roman" w:cs="Times New Roman"/>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14:paraId="3E0FD7BC" w14:textId="77777777" w:rsidR="002B3508" w:rsidRPr="00155D0A" w:rsidRDefault="00252AD5" w:rsidP="00CD26F7">
            <w:pPr>
              <w:rPr>
                <w:rFonts w:ascii="Times New Roman" w:hAnsi="Times New Roman" w:cs="Times New Roman"/>
              </w:rPr>
            </w:pPr>
            <w:r w:rsidRPr="00155D0A">
              <w:rPr>
                <w:rFonts w:ascii="Times New Roman" w:hAnsi="Times New Roman" w:cs="Times New Roman"/>
                <w:b/>
                <w:bCs/>
              </w:rPr>
              <w:t>Borrower/Client/Recipient</w:t>
            </w:r>
          </w:p>
        </w:tc>
      </w:tr>
      <w:tr w:rsidR="002B3508" w:rsidRPr="00155D0A" w14:paraId="60C56D99"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632DC2B9" w14:textId="77777777" w:rsidR="002B3508" w:rsidRPr="00155D0A" w:rsidRDefault="002B3508" w:rsidP="00CD26F7">
            <w:pPr>
              <w:rPr>
                <w:rFonts w:ascii="Times New Roman" w:hAnsi="Times New Roman" w:cs="Times New Roman"/>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14:paraId="6D942865"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Name:</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14:paraId="67DE934A" w14:textId="77777777" w:rsidR="002B3508" w:rsidRPr="00155D0A" w:rsidRDefault="0093272A" w:rsidP="00CD26F7">
            <w:pPr>
              <w:rPr>
                <w:rFonts w:ascii="Times New Roman" w:hAnsi="Times New Roman" w:cs="Times New Roman"/>
              </w:rPr>
            </w:pPr>
            <w:r w:rsidRPr="00155D0A">
              <w:rPr>
                <w:rFonts w:ascii="Times New Roman" w:hAnsi="Times New Roman" w:cs="Times New Roman"/>
                <w:sz w:val="22"/>
                <w:szCs w:val="22"/>
              </w:rPr>
              <w:t xml:space="preserve">Public Debt Management Office, </w:t>
            </w:r>
            <w:r w:rsidR="00252AD5" w:rsidRPr="00155D0A">
              <w:rPr>
                <w:rFonts w:ascii="Times New Roman" w:hAnsi="Times New Roman" w:cs="Times New Roman"/>
                <w:sz w:val="22"/>
                <w:szCs w:val="22"/>
              </w:rPr>
              <w:t>Ministry of Finance</w:t>
            </w:r>
          </w:p>
        </w:tc>
      </w:tr>
      <w:tr w:rsidR="002B3508" w:rsidRPr="00155D0A" w14:paraId="42D2037B"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110A801E" w14:textId="77777777" w:rsidR="002B3508" w:rsidRPr="00155D0A" w:rsidRDefault="002B3508" w:rsidP="00CD26F7">
            <w:pPr>
              <w:rPr>
                <w:rFonts w:ascii="Times New Roman" w:hAnsi="Times New Roman" w:cs="Times New Roman"/>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14:paraId="5AE1CA33"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Contact:</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14:paraId="2316F56C" w14:textId="4C1A2EB6" w:rsidR="002B3508" w:rsidRPr="00155D0A" w:rsidRDefault="00786048" w:rsidP="00BB3794">
            <w:pPr>
              <w:rPr>
                <w:rFonts w:ascii="Times New Roman" w:hAnsi="Times New Roman" w:cs="Times New Roman"/>
                <w:color w:val="auto"/>
              </w:rPr>
            </w:pPr>
            <w:r w:rsidRPr="00155D0A">
              <w:rPr>
                <w:rFonts w:ascii="Times New Roman" w:hAnsi="Times New Roman" w:cs="Times New Roman"/>
                <w:color w:val="auto"/>
                <w:sz w:val="22"/>
                <w:szCs w:val="22"/>
              </w:rPr>
              <w:t>M</w:t>
            </w:r>
            <w:r w:rsidR="00BB3794" w:rsidRPr="00155D0A">
              <w:rPr>
                <w:rFonts w:ascii="Times New Roman" w:hAnsi="Times New Roman" w:cs="Times New Roman"/>
                <w:color w:val="auto"/>
                <w:sz w:val="22"/>
                <w:szCs w:val="22"/>
              </w:rPr>
              <w:t>r</w:t>
            </w:r>
            <w:r w:rsidRPr="00155D0A">
              <w:rPr>
                <w:rFonts w:ascii="Times New Roman" w:hAnsi="Times New Roman" w:cs="Times New Roman"/>
                <w:color w:val="auto"/>
                <w:sz w:val="22"/>
                <w:szCs w:val="22"/>
              </w:rPr>
              <w:t>.</w:t>
            </w:r>
            <w:r w:rsidR="00F67556" w:rsidRPr="00155D0A">
              <w:rPr>
                <w:rFonts w:ascii="Times New Roman" w:hAnsi="Times New Roman" w:cs="Times New Roman"/>
                <w:color w:val="auto"/>
                <w:sz w:val="22"/>
                <w:szCs w:val="22"/>
              </w:rPr>
              <w:t xml:space="preserve"> Kritsda Udyanin</w:t>
            </w:r>
          </w:p>
        </w:tc>
      </w:tr>
      <w:tr w:rsidR="002B3508" w:rsidRPr="00155D0A" w14:paraId="7C7224BC"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0DDC57F5" w14:textId="77777777" w:rsidR="002B3508" w:rsidRPr="00155D0A" w:rsidRDefault="002B3508" w:rsidP="00CD26F7">
            <w:pPr>
              <w:rPr>
                <w:rFonts w:ascii="Times New Roman" w:hAnsi="Times New Roman" w:cs="Times New Roman"/>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14:paraId="5927166A"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Title:</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14:paraId="4B93B421" w14:textId="77777777" w:rsidR="002B3508" w:rsidRPr="00155D0A" w:rsidRDefault="0093272A" w:rsidP="00CD26F7">
            <w:pPr>
              <w:rPr>
                <w:rFonts w:ascii="Times New Roman" w:hAnsi="Times New Roman" w:cs="Times New Roman"/>
              </w:rPr>
            </w:pPr>
            <w:r w:rsidRPr="00155D0A">
              <w:rPr>
                <w:rFonts w:ascii="Times New Roman" w:hAnsi="Times New Roman" w:cs="Times New Roman"/>
                <w:sz w:val="22"/>
                <w:szCs w:val="22"/>
              </w:rPr>
              <w:t>Director General</w:t>
            </w:r>
          </w:p>
        </w:tc>
      </w:tr>
      <w:tr w:rsidR="002B3508" w:rsidRPr="00155D0A" w14:paraId="76DBF818"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41F83CD4" w14:textId="77777777" w:rsidR="002B3508" w:rsidRPr="00155D0A" w:rsidRDefault="002B3508" w:rsidP="00CD26F7">
            <w:pPr>
              <w:rPr>
                <w:rFonts w:ascii="Times New Roman" w:hAnsi="Times New Roman" w:cs="Times New Roman"/>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14:paraId="6B4266A8"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Tel:</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14:paraId="6D692C78" w14:textId="029FC9C3" w:rsidR="002B3508" w:rsidRPr="00155D0A" w:rsidRDefault="009415C4" w:rsidP="00CD26F7">
            <w:pPr>
              <w:rPr>
                <w:rFonts w:ascii="Times New Roman" w:hAnsi="Times New Roman" w:cs="Times New Roman"/>
              </w:rPr>
            </w:pPr>
            <w:r w:rsidRPr="00155D0A">
              <w:rPr>
                <w:rFonts w:ascii="Times New Roman" w:hAnsi="Times New Roman" w:cs="Times New Roman"/>
                <w:sz w:val="22"/>
                <w:szCs w:val="22"/>
              </w:rPr>
              <w:t xml:space="preserve">(66) </w:t>
            </w:r>
            <w:r w:rsidR="00786048" w:rsidRPr="00155D0A">
              <w:rPr>
                <w:rFonts w:ascii="Times New Roman" w:hAnsi="Times New Roman" w:cs="Times New Roman"/>
                <w:sz w:val="22"/>
                <w:szCs w:val="22"/>
              </w:rPr>
              <w:t>2</w:t>
            </w:r>
            <w:r w:rsidRPr="00155D0A">
              <w:rPr>
                <w:rFonts w:ascii="Times New Roman" w:hAnsi="Times New Roman" w:cs="Times New Roman"/>
                <w:sz w:val="22"/>
                <w:szCs w:val="22"/>
              </w:rPr>
              <w:t>-</w:t>
            </w:r>
            <w:r w:rsidR="00C85571" w:rsidRPr="00155D0A">
              <w:rPr>
                <w:rFonts w:ascii="Times New Roman" w:hAnsi="Times New Roman" w:cs="Times New Roman"/>
                <w:sz w:val="22"/>
                <w:szCs w:val="22"/>
              </w:rPr>
              <w:t>273-9825</w:t>
            </w:r>
          </w:p>
        </w:tc>
      </w:tr>
      <w:tr w:rsidR="002B3508" w:rsidRPr="00155D0A" w14:paraId="3635A7B0"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6FC99E56" w14:textId="77777777" w:rsidR="002B3508" w:rsidRPr="00155D0A" w:rsidRDefault="002B3508" w:rsidP="00CD26F7">
            <w:pPr>
              <w:rPr>
                <w:rFonts w:ascii="Times New Roman" w:hAnsi="Times New Roman" w:cs="Times New Roman"/>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14:paraId="24CC3F8E"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Email:</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14:paraId="4AAEFD3B" w14:textId="4ECF6A2B" w:rsidR="005D77C7" w:rsidRPr="00494DAB" w:rsidRDefault="00D23267" w:rsidP="00CD26F7">
            <w:pPr>
              <w:rPr>
                <w:rFonts w:ascii="Times New Roman" w:hAnsi="Times New Roman" w:cs="Times New Roman"/>
                <w:sz w:val="22"/>
                <w:szCs w:val="22"/>
              </w:rPr>
            </w:pPr>
            <w:hyperlink r:id="rId8" w:history="1">
              <w:r w:rsidR="005D77C7" w:rsidRPr="00155D0A">
                <w:rPr>
                  <w:rStyle w:val="Hyperlink"/>
                  <w:rFonts w:ascii="Times New Roman" w:hAnsi="Times New Roman" w:cs="Times New Roman"/>
                  <w:sz w:val="22"/>
                  <w:szCs w:val="22"/>
                </w:rPr>
                <w:t>kritsda@pdmo.go.th</w:t>
              </w:r>
            </w:hyperlink>
          </w:p>
        </w:tc>
      </w:tr>
      <w:tr w:rsidR="002B3508" w:rsidRPr="00155D0A" w14:paraId="0C466644" w14:textId="77777777" w:rsidTr="002949EA">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14:paraId="436EC9F4" w14:textId="3B51DE71" w:rsidR="002B3508" w:rsidRPr="00155D0A" w:rsidRDefault="002B3508" w:rsidP="00CD26F7">
            <w:pPr>
              <w:rPr>
                <w:rFonts w:ascii="Times" w:hAnsi="Times" w:cs="Times"/>
                <w:color w:val="FFFFFF"/>
                <w:sz w:val="4"/>
                <w:szCs w:val="4"/>
              </w:rPr>
            </w:pPr>
          </w:p>
        </w:tc>
      </w:tr>
      <w:tr w:rsidR="002B3508" w:rsidRPr="00155D0A" w14:paraId="116002E6" w14:textId="77777777" w:rsidTr="002949EA">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14:paraId="03CE0344" w14:textId="77777777" w:rsidR="002B3508" w:rsidRPr="00155D0A" w:rsidRDefault="00252AD5" w:rsidP="00CD26F7">
            <w:pPr>
              <w:rPr>
                <w:rFonts w:ascii="Times" w:hAnsi="Times" w:cs="Times"/>
                <w:color w:val="FFFFFF"/>
                <w:sz w:val="8"/>
                <w:szCs w:val="8"/>
              </w:rPr>
            </w:pPr>
            <w:r w:rsidRPr="00155D0A">
              <w:rPr>
                <w:rFonts w:ascii="Times" w:hAnsi="Times" w:cs="Times"/>
                <w:color w:val="FFFFFF"/>
                <w:sz w:val="8"/>
                <w:szCs w:val="8"/>
              </w:rPr>
              <w:t>.</w:t>
            </w:r>
          </w:p>
        </w:tc>
      </w:tr>
      <w:tr w:rsidR="002B3508" w:rsidRPr="00155D0A" w14:paraId="2BE75863"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2B5BF810" w14:textId="77777777" w:rsidR="002B3508" w:rsidRPr="00155D0A" w:rsidRDefault="002B3508" w:rsidP="00CD26F7">
            <w:pPr>
              <w:rPr>
                <w:rFonts w:ascii="Times New Roman" w:hAnsi="Times New Roman" w:cs="Times New Roman"/>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14:paraId="024854BC" w14:textId="77777777" w:rsidR="002B3508" w:rsidRPr="00155D0A" w:rsidRDefault="00252AD5" w:rsidP="00CD26F7">
            <w:pPr>
              <w:rPr>
                <w:rFonts w:ascii="Times New Roman" w:hAnsi="Times New Roman" w:cs="Times New Roman"/>
              </w:rPr>
            </w:pPr>
            <w:r w:rsidRPr="00155D0A">
              <w:rPr>
                <w:rFonts w:ascii="Times New Roman" w:hAnsi="Times New Roman" w:cs="Times New Roman"/>
                <w:b/>
                <w:bCs/>
                <w:sz w:val="22"/>
                <w:szCs w:val="22"/>
              </w:rPr>
              <w:t>Implementing Agencies</w:t>
            </w:r>
          </w:p>
        </w:tc>
      </w:tr>
      <w:tr w:rsidR="002B3508" w:rsidRPr="00155D0A" w14:paraId="4C1289C4"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65368842" w14:textId="77777777" w:rsidR="002B3508" w:rsidRPr="00155D0A" w:rsidRDefault="002B3508" w:rsidP="00CD26F7">
            <w:pPr>
              <w:rPr>
                <w:rFonts w:ascii="Times New Roman" w:hAnsi="Times New Roman" w:cs="Times New Roman"/>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14:paraId="781648F4"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Name:</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14:paraId="09F9B7F3" w14:textId="4E28554A" w:rsidR="002B3508" w:rsidRPr="00155D0A" w:rsidRDefault="009415C4" w:rsidP="00CD26F7">
            <w:pPr>
              <w:rPr>
                <w:rFonts w:ascii="Times New Roman" w:hAnsi="Times New Roman" w:cs="Times New Roman"/>
              </w:rPr>
            </w:pPr>
            <w:r w:rsidRPr="00155D0A">
              <w:rPr>
                <w:rFonts w:ascii="Times New Roman" w:hAnsi="Times New Roman" w:cs="Times New Roman"/>
                <w:sz w:val="22"/>
                <w:szCs w:val="22"/>
              </w:rPr>
              <w:t>Thailand Greenhouse Gas Management Organization (TGO)</w:t>
            </w:r>
          </w:p>
        </w:tc>
      </w:tr>
      <w:tr w:rsidR="002B3508" w:rsidRPr="00155D0A" w14:paraId="19F34957"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7E3C0FA6" w14:textId="77777777" w:rsidR="002B3508" w:rsidRPr="00155D0A" w:rsidRDefault="002B3508" w:rsidP="00CD26F7">
            <w:pPr>
              <w:rPr>
                <w:rFonts w:ascii="Times New Roman" w:hAnsi="Times New Roman" w:cs="Times New Roman"/>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14:paraId="61313F46"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Contact:</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14:paraId="395556E4" w14:textId="7AF8990F" w:rsidR="002B3508" w:rsidRPr="00155D0A" w:rsidRDefault="009415C4" w:rsidP="00CD26F7">
            <w:pPr>
              <w:rPr>
                <w:rFonts w:ascii="Times New Roman" w:hAnsi="Times New Roman" w:cs="Times New Roman"/>
                <w:color w:val="auto"/>
              </w:rPr>
            </w:pPr>
            <w:r w:rsidRPr="00155D0A">
              <w:rPr>
                <w:rFonts w:ascii="Times New Roman" w:hAnsi="Times New Roman" w:cs="Times New Roman"/>
                <w:color w:val="auto"/>
                <w:sz w:val="22"/>
                <w:szCs w:val="22"/>
              </w:rPr>
              <w:t>Ms. Prasertsuk Chamornmarn</w:t>
            </w:r>
          </w:p>
        </w:tc>
      </w:tr>
      <w:tr w:rsidR="002B3508" w:rsidRPr="00155D0A" w14:paraId="308B6925"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25514049" w14:textId="77777777" w:rsidR="002B3508" w:rsidRPr="00155D0A" w:rsidRDefault="002B3508" w:rsidP="00CD26F7">
            <w:pPr>
              <w:rPr>
                <w:rFonts w:ascii="Times New Roman" w:hAnsi="Times New Roman" w:cs="Times New Roman"/>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14:paraId="391BF468"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Title:</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14:paraId="007C02FE" w14:textId="1BA0CC69" w:rsidR="002B3508" w:rsidRPr="00155D0A" w:rsidRDefault="009415C4" w:rsidP="009415C4">
            <w:pPr>
              <w:rPr>
                <w:rFonts w:ascii="Times New Roman" w:hAnsi="Times New Roman" w:cs="Times New Roman"/>
                <w:color w:val="auto"/>
              </w:rPr>
            </w:pPr>
            <w:r w:rsidRPr="00155D0A">
              <w:rPr>
                <w:rFonts w:ascii="Times New Roman" w:hAnsi="Times New Roman" w:cs="Times New Roman"/>
                <w:color w:val="auto"/>
                <w:sz w:val="22"/>
                <w:szCs w:val="22"/>
              </w:rPr>
              <w:t xml:space="preserve">Executive </w:t>
            </w:r>
            <w:r w:rsidR="00C139E5" w:rsidRPr="00155D0A">
              <w:rPr>
                <w:rFonts w:ascii="Times New Roman" w:hAnsi="Times New Roman" w:cs="Times New Roman"/>
                <w:color w:val="auto"/>
                <w:sz w:val="22"/>
                <w:szCs w:val="22"/>
              </w:rPr>
              <w:t>Director</w:t>
            </w:r>
          </w:p>
        </w:tc>
      </w:tr>
      <w:tr w:rsidR="002B3508" w:rsidRPr="00155D0A" w14:paraId="7A40CC1F"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6F4D83FC" w14:textId="77777777" w:rsidR="002B3508" w:rsidRPr="00155D0A" w:rsidRDefault="002B3508" w:rsidP="00CD26F7">
            <w:pPr>
              <w:rPr>
                <w:rFonts w:ascii="Times New Roman" w:hAnsi="Times New Roman" w:cs="Times New Roman"/>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vAlign w:val="center"/>
          </w:tcPr>
          <w:p w14:paraId="0BCD5432"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Tel:</w:t>
            </w:r>
          </w:p>
        </w:tc>
        <w:tc>
          <w:tcPr>
            <w:tcW w:w="7957" w:type="dxa"/>
            <w:gridSpan w:val="8"/>
            <w:tcBorders>
              <w:top w:val="nil"/>
              <w:left w:val="nil"/>
              <w:bottom w:val="nil"/>
              <w:right w:val="nil"/>
            </w:tcBorders>
            <w:shd w:val="clear" w:color="auto" w:fill="FFFFFF"/>
            <w:tcMar>
              <w:top w:w="50" w:type="dxa"/>
              <w:left w:w="50" w:type="dxa"/>
              <w:bottom w:w="50" w:type="dxa"/>
              <w:right w:w="50" w:type="dxa"/>
            </w:tcMar>
            <w:vAlign w:val="center"/>
          </w:tcPr>
          <w:p w14:paraId="5F23C4C6" w14:textId="18B2E498" w:rsidR="002B3508" w:rsidRPr="00155D0A" w:rsidRDefault="009415C4" w:rsidP="00CD26F7">
            <w:pPr>
              <w:rPr>
                <w:rFonts w:ascii="Times New Roman" w:hAnsi="Times New Roman" w:cstheme="minorBidi"/>
                <w:szCs w:val="28"/>
                <w:lang w:bidi="th-TH"/>
              </w:rPr>
            </w:pPr>
            <w:r w:rsidRPr="00155D0A">
              <w:rPr>
                <w:rFonts w:ascii="Times New Roman" w:hAnsi="Times New Roman" w:cs="Times New Roman"/>
                <w:sz w:val="22"/>
                <w:szCs w:val="22"/>
              </w:rPr>
              <w:t>(66) 2-141-9805</w:t>
            </w:r>
          </w:p>
        </w:tc>
      </w:tr>
      <w:tr w:rsidR="002B3508" w:rsidRPr="00155D0A" w14:paraId="533EC2D3" w14:textId="77777777" w:rsidTr="009873C4">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22E3CC8E" w14:textId="77777777" w:rsidR="002B3508" w:rsidRPr="00155D0A" w:rsidRDefault="002B3508" w:rsidP="00CD26F7">
            <w:pPr>
              <w:rPr>
                <w:rFonts w:ascii="Times New Roman" w:hAnsi="Times New Roman" w:cs="Times New Roman"/>
                <w:color w:val="auto"/>
              </w:rPr>
            </w:pPr>
          </w:p>
        </w:tc>
        <w:tc>
          <w:tcPr>
            <w:tcW w:w="1030" w:type="dxa"/>
            <w:tcBorders>
              <w:top w:val="nil"/>
              <w:left w:val="nil"/>
              <w:bottom w:val="nil"/>
              <w:right w:val="nil"/>
            </w:tcBorders>
            <w:shd w:val="clear" w:color="auto" w:fill="FFFFFF"/>
            <w:tcMar>
              <w:top w:w="50" w:type="dxa"/>
              <w:left w:w="50" w:type="dxa"/>
              <w:bottom w:w="50" w:type="dxa"/>
              <w:right w:w="50" w:type="dxa"/>
            </w:tcMar>
          </w:tcPr>
          <w:p w14:paraId="182B30D7"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Email:</w:t>
            </w:r>
          </w:p>
        </w:tc>
        <w:tc>
          <w:tcPr>
            <w:tcW w:w="7957" w:type="dxa"/>
            <w:gridSpan w:val="8"/>
            <w:tcBorders>
              <w:top w:val="nil"/>
              <w:left w:val="nil"/>
              <w:bottom w:val="nil"/>
              <w:right w:val="nil"/>
            </w:tcBorders>
            <w:shd w:val="clear" w:color="auto" w:fill="FFFFFF"/>
            <w:tcMar>
              <w:top w:w="50" w:type="dxa"/>
              <w:left w:w="50" w:type="dxa"/>
              <w:bottom w:w="50" w:type="dxa"/>
              <w:right w:w="50" w:type="dxa"/>
            </w:tcMar>
          </w:tcPr>
          <w:p w14:paraId="4BFD65FF" w14:textId="597C8BEE" w:rsidR="009873C4" w:rsidRPr="00155D0A" w:rsidRDefault="00D23267" w:rsidP="00CD26F7">
            <w:pPr>
              <w:rPr>
                <w:rFonts w:ascii="Times New Roman" w:hAnsi="Times New Roman" w:cs="Times New Roman"/>
              </w:rPr>
            </w:pPr>
            <w:hyperlink r:id="rId9" w:history="1">
              <w:r w:rsidR="009415C4" w:rsidRPr="00155D0A">
                <w:rPr>
                  <w:rStyle w:val="Hyperlink"/>
                  <w:rFonts w:ascii="Times New Roman" w:hAnsi="Times New Roman" w:cs="Times New Roman"/>
                  <w:sz w:val="22"/>
                  <w:szCs w:val="22"/>
                </w:rPr>
                <w:t>sertsuk@tgo.or.th</w:t>
              </w:r>
            </w:hyperlink>
            <w:r w:rsidR="009415C4" w:rsidRPr="00494DAB">
              <w:rPr>
                <w:rFonts w:ascii="Times New Roman" w:hAnsi="Times New Roman" w:cs="Times New Roman"/>
                <w:sz w:val="22"/>
                <w:szCs w:val="22"/>
              </w:rPr>
              <w:t xml:space="preserve"> </w:t>
            </w:r>
          </w:p>
        </w:tc>
      </w:tr>
      <w:tr w:rsidR="002B3508" w:rsidRPr="00155D0A" w14:paraId="03EAF9B3" w14:textId="77777777" w:rsidTr="002949EA">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14:paraId="29C4F4AA" w14:textId="77777777" w:rsidR="002B3508" w:rsidRPr="00155D0A" w:rsidRDefault="00252AD5" w:rsidP="00CD26F7">
            <w:pPr>
              <w:rPr>
                <w:rFonts w:ascii="Times" w:hAnsi="Times" w:cs="Times"/>
                <w:color w:val="FFFFFF"/>
                <w:sz w:val="4"/>
                <w:szCs w:val="4"/>
              </w:rPr>
            </w:pPr>
            <w:r w:rsidRPr="00155D0A">
              <w:rPr>
                <w:rFonts w:ascii="Times" w:hAnsi="Times" w:cs="Times"/>
                <w:color w:val="FFFFFF"/>
                <w:sz w:val="4"/>
                <w:szCs w:val="4"/>
              </w:rPr>
              <w:t>.</w:t>
            </w:r>
          </w:p>
        </w:tc>
      </w:tr>
      <w:tr w:rsidR="002B3508" w:rsidRPr="00155D0A" w14:paraId="29F77DF1" w14:textId="77777777" w:rsidTr="002949EA">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14:paraId="6879F6A1" w14:textId="77777777" w:rsidR="002B3508" w:rsidRPr="00155D0A" w:rsidRDefault="00252AD5" w:rsidP="00CD26F7">
            <w:pPr>
              <w:rPr>
                <w:rFonts w:ascii="Times" w:hAnsi="Times" w:cs="Times"/>
                <w:color w:val="FFFFFF"/>
                <w:sz w:val="8"/>
                <w:szCs w:val="8"/>
              </w:rPr>
            </w:pPr>
            <w:r w:rsidRPr="00155D0A">
              <w:rPr>
                <w:rFonts w:ascii="Times" w:hAnsi="Times" w:cs="Times"/>
                <w:color w:val="FFFFFF"/>
                <w:sz w:val="8"/>
                <w:szCs w:val="8"/>
              </w:rPr>
              <w:t>.</w:t>
            </w:r>
          </w:p>
        </w:tc>
      </w:tr>
      <w:tr w:rsidR="002B3508" w:rsidRPr="00155D0A" w14:paraId="2DFE8FF1" w14:textId="77777777" w:rsidTr="002949EA">
        <w:tc>
          <w:tcPr>
            <w:tcW w:w="9362" w:type="dxa"/>
            <w:gridSpan w:val="12"/>
            <w:tcBorders>
              <w:top w:val="nil"/>
              <w:left w:val="nil"/>
              <w:bottom w:val="nil"/>
              <w:right w:val="nil"/>
            </w:tcBorders>
            <w:shd w:val="clear" w:color="auto" w:fill="FFFFFF"/>
            <w:tcMar>
              <w:top w:w="50" w:type="dxa"/>
              <w:left w:w="50" w:type="dxa"/>
              <w:bottom w:w="50" w:type="dxa"/>
              <w:right w:w="50" w:type="dxa"/>
            </w:tcMar>
            <w:vAlign w:val="center"/>
          </w:tcPr>
          <w:p w14:paraId="16A75F45" w14:textId="77777777" w:rsidR="002B3508" w:rsidRPr="00155D0A" w:rsidRDefault="00252AD5" w:rsidP="00CD26F7">
            <w:pPr>
              <w:rPr>
                <w:rFonts w:ascii="Times New Roman" w:hAnsi="Times New Roman" w:cs="Times New Roman"/>
              </w:rPr>
            </w:pPr>
            <w:r w:rsidRPr="00155D0A">
              <w:rPr>
                <w:rFonts w:ascii="Times New Roman" w:hAnsi="Times New Roman" w:cs="Times New Roman"/>
                <w:b/>
                <w:bCs/>
              </w:rPr>
              <w:t>VIII.  For more information contact:</w:t>
            </w:r>
          </w:p>
        </w:tc>
      </w:tr>
      <w:tr w:rsidR="002B3508" w:rsidRPr="00155D0A" w14:paraId="31D59DCE"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19E4DB08" w14:textId="77777777" w:rsidR="002B3508" w:rsidRPr="00155D0A" w:rsidRDefault="002B3508" w:rsidP="00CD26F7">
            <w:pPr>
              <w:rPr>
                <w:rFonts w:ascii="Times New Roman" w:hAnsi="Times New Roman" w:cs="Times New Roman"/>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14:paraId="7BB38A82"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The InfoShop</w:t>
            </w:r>
          </w:p>
        </w:tc>
      </w:tr>
      <w:tr w:rsidR="002B3508" w:rsidRPr="00155D0A" w14:paraId="2C7ECFEA"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6B13B5FC" w14:textId="77777777" w:rsidR="002B3508" w:rsidRPr="00155D0A" w:rsidRDefault="002B3508" w:rsidP="00CD26F7">
            <w:pPr>
              <w:rPr>
                <w:rFonts w:ascii="Times New Roman" w:hAnsi="Times New Roman" w:cs="Times New Roman"/>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14:paraId="6E396FB1"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The World Bank</w:t>
            </w:r>
          </w:p>
        </w:tc>
      </w:tr>
      <w:tr w:rsidR="002B3508" w:rsidRPr="00155D0A" w14:paraId="6805930E"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17FB0C2B" w14:textId="77777777" w:rsidR="002B3508" w:rsidRPr="00155D0A" w:rsidRDefault="002B3508" w:rsidP="00CD26F7">
            <w:pPr>
              <w:rPr>
                <w:rFonts w:ascii="Times New Roman" w:hAnsi="Times New Roman" w:cs="Times New Roman"/>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14:paraId="150E7E07"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1818 H Street, NW</w:t>
            </w:r>
          </w:p>
        </w:tc>
      </w:tr>
      <w:tr w:rsidR="002B3508" w:rsidRPr="00155D0A" w14:paraId="1EFA44FB"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38E768FC" w14:textId="77777777" w:rsidR="002B3508" w:rsidRPr="00155D0A" w:rsidRDefault="002B3508" w:rsidP="00CD26F7">
            <w:pPr>
              <w:rPr>
                <w:rFonts w:ascii="Times New Roman" w:hAnsi="Times New Roman" w:cs="Times New Roman"/>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14:paraId="20B370C7"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Washington, D.C. 20433</w:t>
            </w:r>
          </w:p>
        </w:tc>
      </w:tr>
      <w:tr w:rsidR="002B3508" w:rsidRPr="00155D0A" w14:paraId="15F4C99D"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02351DFD" w14:textId="77777777" w:rsidR="002B3508" w:rsidRPr="00155D0A" w:rsidRDefault="002B3508" w:rsidP="00CD26F7">
            <w:pPr>
              <w:rPr>
                <w:rFonts w:ascii="Times New Roman" w:hAnsi="Times New Roman" w:cs="Times New Roman"/>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14:paraId="4ACC2D5B"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Telephone: (202) 458-4500</w:t>
            </w:r>
          </w:p>
        </w:tc>
      </w:tr>
      <w:tr w:rsidR="002B3508" w:rsidRPr="00155D0A" w14:paraId="4130B446"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6AE75670" w14:textId="77777777" w:rsidR="002B3508" w:rsidRPr="00155D0A" w:rsidRDefault="002B3508" w:rsidP="00CD26F7">
            <w:pPr>
              <w:rPr>
                <w:rFonts w:ascii="Times New Roman" w:hAnsi="Times New Roman" w:cs="Times New Roman"/>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14:paraId="47EBEEB0" w14:textId="7777777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Fax: (202) 522-1500</w:t>
            </w:r>
          </w:p>
        </w:tc>
      </w:tr>
      <w:tr w:rsidR="002B3508" w:rsidRPr="00155D0A" w14:paraId="205BEEA8" w14:textId="77777777" w:rsidTr="002949EA">
        <w:tc>
          <w:tcPr>
            <w:tcW w:w="375" w:type="dxa"/>
            <w:gridSpan w:val="3"/>
            <w:tcBorders>
              <w:top w:val="nil"/>
              <w:left w:val="nil"/>
              <w:bottom w:val="nil"/>
              <w:right w:val="nil"/>
            </w:tcBorders>
            <w:shd w:val="clear" w:color="auto" w:fill="FFFFFF"/>
            <w:tcMar>
              <w:top w:w="50" w:type="dxa"/>
              <w:left w:w="50" w:type="dxa"/>
              <w:bottom w:w="50" w:type="dxa"/>
              <w:right w:w="50" w:type="dxa"/>
            </w:tcMar>
            <w:vAlign w:val="center"/>
          </w:tcPr>
          <w:p w14:paraId="0480AF36" w14:textId="77777777" w:rsidR="002B3508" w:rsidRPr="00155D0A" w:rsidRDefault="002B3508" w:rsidP="00CD26F7">
            <w:pPr>
              <w:rPr>
                <w:rFonts w:ascii="Times New Roman" w:hAnsi="Times New Roman" w:cs="Times New Roman"/>
                <w:color w:val="auto"/>
              </w:rPr>
            </w:pPr>
          </w:p>
        </w:tc>
        <w:tc>
          <w:tcPr>
            <w:tcW w:w="8987" w:type="dxa"/>
            <w:gridSpan w:val="9"/>
            <w:tcBorders>
              <w:top w:val="nil"/>
              <w:left w:val="nil"/>
              <w:bottom w:val="nil"/>
              <w:right w:val="nil"/>
            </w:tcBorders>
            <w:shd w:val="clear" w:color="auto" w:fill="FFFFFF"/>
            <w:tcMar>
              <w:top w:w="50" w:type="dxa"/>
              <w:left w:w="50" w:type="dxa"/>
              <w:bottom w:w="50" w:type="dxa"/>
              <w:right w:w="50" w:type="dxa"/>
            </w:tcMar>
            <w:vAlign w:val="center"/>
          </w:tcPr>
          <w:p w14:paraId="57CE4C8F" w14:textId="15C43B87" w:rsidR="002B3508" w:rsidRPr="00155D0A" w:rsidRDefault="00252AD5" w:rsidP="00CD26F7">
            <w:pPr>
              <w:rPr>
                <w:rFonts w:ascii="Times New Roman" w:hAnsi="Times New Roman" w:cs="Times New Roman"/>
              </w:rPr>
            </w:pPr>
            <w:r w:rsidRPr="00155D0A">
              <w:rPr>
                <w:rFonts w:ascii="Times New Roman" w:hAnsi="Times New Roman" w:cs="Times New Roman"/>
                <w:sz w:val="22"/>
                <w:szCs w:val="22"/>
              </w:rPr>
              <w:t xml:space="preserve">Web: </w:t>
            </w:r>
            <w:hyperlink r:id="rId10" w:history="1">
              <w:r w:rsidR="00E135E3" w:rsidRPr="00155D0A">
                <w:rPr>
                  <w:rStyle w:val="Hyperlink"/>
                  <w:rFonts w:ascii="Times New Roman" w:hAnsi="Times New Roman" w:cs="Times New Roman"/>
                  <w:sz w:val="22"/>
                  <w:szCs w:val="22"/>
                </w:rPr>
                <w:t>http://www.worldbank.org/infoshop</w:t>
              </w:r>
            </w:hyperlink>
            <w:r w:rsidR="00E135E3" w:rsidRPr="00494DAB">
              <w:rPr>
                <w:rFonts w:ascii="Times New Roman" w:hAnsi="Times New Roman" w:cs="Times New Roman"/>
                <w:sz w:val="22"/>
                <w:szCs w:val="22"/>
              </w:rPr>
              <w:t xml:space="preserve"> </w:t>
            </w:r>
          </w:p>
        </w:tc>
      </w:tr>
    </w:tbl>
    <w:p w14:paraId="6B0B2190" w14:textId="157CFFE9" w:rsidR="002B3508" w:rsidRDefault="002B3508" w:rsidP="00155D0A"/>
    <w:sectPr w:rsidR="002B3508" w:rsidSect="007B3C65">
      <w:footerReference w:type="default" r:id="rId11"/>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09A37" w14:textId="77777777" w:rsidR="00DF4ACA" w:rsidRDefault="00DF4ACA" w:rsidP="002949EA">
      <w:r>
        <w:separator/>
      </w:r>
    </w:p>
  </w:endnote>
  <w:endnote w:type="continuationSeparator" w:id="0">
    <w:p w14:paraId="6803DAC9" w14:textId="77777777" w:rsidR="00DF4ACA" w:rsidRDefault="00DF4ACA" w:rsidP="0029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865803"/>
      <w:docPartObj>
        <w:docPartGallery w:val="Page Numbers (Bottom of Page)"/>
        <w:docPartUnique/>
      </w:docPartObj>
    </w:sdtPr>
    <w:sdtEndPr>
      <w:rPr>
        <w:rFonts w:ascii="Times New Roman" w:hAnsi="Times New Roman" w:cs="Times New Roman"/>
        <w:noProof/>
        <w:sz w:val="20"/>
        <w:szCs w:val="20"/>
      </w:rPr>
    </w:sdtEndPr>
    <w:sdtContent>
      <w:p w14:paraId="782D0ABA" w14:textId="182AA527" w:rsidR="003A4427" w:rsidRPr="00C60B4B" w:rsidRDefault="003A4427">
        <w:pPr>
          <w:pStyle w:val="Footer"/>
          <w:jc w:val="center"/>
          <w:rPr>
            <w:rFonts w:ascii="Times New Roman" w:hAnsi="Times New Roman" w:cs="Times New Roman"/>
            <w:sz w:val="20"/>
            <w:szCs w:val="20"/>
          </w:rPr>
        </w:pPr>
        <w:r w:rsidRPr="00C60B4B">
          <w:rPr>
            <w:rFonts w:ascii="Times New Roman" w:hAnsi="Times New Roman" w:cs="Times New Roman"/>
            <w:sz w:val="20"/>
            <w:szCs w:val="20"/>
          </w:rPr>
          <w:fldChar w:fldCharType="begin"/>
        </w:r>
        <w:r w:rsidRPr="00C60B4B">
          <w:rPr>
            <w:rFonts w:ascii="Times New Roman" w:hAnsi="Times New Roman" w:cs="Times New Roman"/>
            <w:sz w:val="20"/>
            <w:szCs w:val="20"/>
          </w:rPr>
          <w:instrText xml:space="preserve"> PAGE   \* MERGEFORMAT </w:instrText>
        </w:r>
        <w:r w:rsidRPr="00C60B4B">
          <w:rPr>
            <w:rFonts w:ascii="Times New Roman" w:hAnsi="Times New Roman" w:cs="Times New Roman"/>
            <w:sz w:val="20"/>
            <w:szCs w:val="20"/>
          </w:rPr>
          <w:fldChar w:fldCharType="separate"/>
        </w:r>
        <w:r w:rsidR="00D23267">
          <w:rPr>
            <w:rFonts w:ascii="Times New Roman" w:hAnsi="Times New Roman" w:cs="Times New Roman"/>
            <w:noProof/>
            <w:sz w:val="20"/>
            <w:szCs w:val="20"/>
          </w:rPr>
          <w:t>1</w:t>
        </w:r>
        <w:r w:rsidRPr="00C60B4B">
          <w:rPr>
            <w:rFonts w:ascii="Times New Roman" w:hAnsi="Times New Roman" w:cs="Times New Roman"/>
            <w:noProof/>
            <w:sz w:val="20"/>
            <w:szCs w:val="20"/>
          </w:rPr>
          <w:fldChar w:fldCharType="end"/>
        </w:r>
      </w:p>
    </w:sdtContent>
  </w:sdt>
  <w:p w14:paraId="171AA7AF" w14:textId="77777777" w:rsidR="003A4427" w:rsidRDefault="003A4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50781" w14:textId="77777777" w:rsidR="00DF4ACA" w:rsidRDefault="00DF4ACA" w:rsidP="002949EA">
      <w:r>
        <w:separator/>
      </w:r>
    </w:p>
  </w:footnote>
  <w:footnote w:type="continuationSeparator" w:id="0">
    <w:p w14:paraId="3B02D9D7" w14:textId="77777777" w:rsidR="00DF4ACA" w:rsidRDefault="00DF4ACA" w:rsidP="002949EA">
      <w:r>
        <w:continuationSeparator/>
      </w:r>
    </w:p>
  </w:footnote>
  <w:footnote w:id="1">
    <w:p w14:paraId="5395C762" w14:textId="126C9AAB" w:rsidR="003A4427" w:rsidRDefault="003A4427">
      <w:pPr>
        <w:pStyle w:val="FootnoteText"/>
      </w:pPr>
      <w:r>
        <w:rPr>
          <w:rStyle w:val="FootnoteReference"/>
        </w:rPr>
        <w:footnoteRef/>
      </w:r>
      <w:r>
        <w:t xml:space="preserve"> </w:t>
      </w:r>
      <w:r w:rsidRPr="00E92E91">
        <w:t>Thailand Voluntary Emission Redu</w:t>
      </w:r>
      <w:r>
        <w:t>ction Program (T-VER) was initiated by TGO</w:t>
      </w:r>
      <w:r w:rsidRPr="00E92E91">
        <w:t xml:space="preserve"> in October 2013 as a domestic carbon offset program using “baseline and credit” approach.</w:t>
      </w:r>
    </w:p>
  </w:footnote>
  <w:footnote w:id="2">
    <w:p w14:paraId="0757A17B" w14:textId="27216817" w:rsidR="003A4427" w:rsidRDefault="003A4427">
      <w:pPr>
        <w:pStyle w:val="FootnoteText"/>
      </w:pPr>
      <w:r>
        <w:rPr>
          <w:rStyle w:val="FootnoteReference"/>
        </w:rPr>
        <w:footnoteRef/>
      </w:r>
      <w:r>
        <w:t xml:space="preserve"> </w:t>
      </w:r>
      <w:r w:rsidRPr="008C2EDD">
        <w:t>TGO is an autonomous governmental organization under the Ministry of Natural Reso</w:t>
      </w:r>
      <w:r>
        <w:t xml:space="preserve">urces and Environment (MONRE). </w:t>
      </w:r>
      <w:r w:rsidRPr="003D61DE">
        <w:t>Its Board of Directors comprises of several executive officers from MONRE, MOEN and Ministry of Transport. It was established with a specific purpose as an implementing agency on GHG emission reductions in Thailand.</w:t>
      </w:r>
      <w:r>
        <w:t xml:space="preserve"> </w:t>
      </w:r>
    </w:p>
  </w:footnote>
  <w:footnote w:id="3">
    <w:p w14:paraId="205662E4" w14:textId="17C40C03" w:rsidR="003A4427" w:rsidRDefault="003A4427">
      <w:pPr>
        <w:pStyle w:val="FootnoteText"/>
      </w:pPr>
      <w:r>
        <w:rPr>
          <w:rStyle w:val="FootnoteReference"/>
        </w:rPr>
        <w:footnoteRef/>
      </w:r>
      <w:r>
        <w:t xml:space="preserve"> </w:t>
      </w:r>
      <w:r w:rsidRPr="00327673">
        <w:t>Such as NESDB, Department of Alternative Energy Development and Efficiency (DEDE), Public Debt Management Office (PDMO), Fiscal Policy Office (FPO), National Municipal League of Thailand, Metropolitan Electricity Authority (MEA), Provincial Electricity Authority (PEA), Electricity Generating Authority of Thailand (EGAT) and Department of Local Administration (DOLA)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593A"/>
    <w:multiLevelType w:val="hybridMultilevel"/>
    <w:tmpl w:val="206E6D00"/>
    <w:lvl w:ilvl="0" w:tplc="FC9A40E2">
      <w:start w:val="1"/>
      <w:numFmt w:val="decimal"/>
      <w:lvlText w:val="%1."/>
      <w:lvlJc w:val="left"/>
      <w:pPr>
        <w:tabs>
          <w:tab w:val="num" w:pos="360"/>
        </w:tabs>
        <w:ind w:left="0" w:firstLine="0"/>
      </w:pPr>
      <w:rPr>
        <w:rFonts w:hint="default"/>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8F6F2D"/>
    <w:multiLevelType w:val="multilevel"/>
    <w:tmpl w:val="3CBA3514"/>
    <w:lvl w:ilvl="0">
      <w:start w:val="1"/>
      <w:numFmt w:val="upperRoman"/>
      <w:pStyle w:val="PDSHeading1"/>
      <w:lvlText w:val="%1."/>
      <w:lvlJc w:val="center"/>
      <w:pPr>
        <w:tabs>
          <w:tab w:val="num" w:pos="0"/>
        </w:tabs>
        <w:ind w:left="0" w:firstLine="0"/>
      </w:pPr>
      <w:rPr>
        <w:rFonts w:ascii="Times New Roman" w:hAnsi="Times New Roman" w:cs="Times New Roman" w:hint="default"/>
        <w:b/>
        <w:bCs/>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74A249B"/>
    <w:multiLevelType w:val="multilevel"/>
    <w:tmpl w:val="F5C662F6"/>
    <w:lvl w:ilvl="0">
      <w:start w:val="1"/>
      <w:numFmt w:val="lowerLetter"/>
      <w:lvlText w:val="(%1)"/>
      <w:lvlJc w:val="left"/>
      <w:pPr>
        <w:tabs>
          <w:tab w:val="num" w:pos="720"/>
        </w:tabs>
        <w:ind w:left="72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440"/>
        </w:tabs>
        <w:ind w:left="1440" w:firstLine="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
    <w:nsid w:val="179138BA"/>
    <w:multiLevelType w:val="multilevel"/>
    <w:tmpl w:val="2D5EE34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rPr>
    </w:lvl>
    <w:lvl w:ilvl="2">
      <w:start w:val="1"/>
      <w:numFmt w:val="decimal"/>
      <w:lvlRestart w:val="0"/>
      <w:lvlText w:val="%3."/>
      <w:lvlJc w:val="left"/>
      <w:pPr>
        <w:ind w:left="0" w:firstLine="0"/>
      </w:pPr>
      <w:rPr>
        <w:rFonts w:ascii="Times New Roman" w:eastAsia="Times New Roman" w:hAnsi="Times New Roman" w:cs="Times New Roman" w:hint="default"/>
        <w:b/>
      </w:rPr>
    </w:lvl>
    <w:lvl w:ilvl="3">
      <w:start w:val="1"/>
      <w:numFmt w:val="lowerLetter"/>
      <w:lvlText w:val="%4."/>
      <w:lvlJc w:val="left"/>
      <w:pPr>
        <w:ind w:left="14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83735B4"/>
    <w:multiLevelType w:val="hybridMultilevel"/>
    <w:tmpl w:val="06066A64"/>
    <w:lvl w:ilvl="0" w:tplc="FC9A40E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2917996"/>
    <w:multiLevelType w:val="hybridMultilevel"/>
    <w:tmpl w:val="7CDC87B4"/>
    <w:lvl w:ilvl="0" w:tplc="FC9A40E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81574B"/>
    <w:multiLevelType w:val="hybridMultilevel"/>
    <w:tmpl w:val="52341F48"/>
    <w:lvl w:ilvl="0" w:tplc="FC9A40E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E73AD1"/>
    <w:multiLevelType w:val="hybridMultilevel"/>
    <w:tmpl w:val="DDB4F8E2"/>
    <w:lvl w:ilvl="0" w:tplc="FC9A40E2">
      <w:start w:val="1"/>
      <w:numFmt w:val="decimal"/>
      <w:lvlText w:val="%1."/>
      <w:lvlJc w:val="left"/>
      <w:pPr>
        <w:tabs>
          <w:tab w:val="num" w:pos="360"/>
        </w:tabs>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E74DD"/>
    <w:multiLevelType w:val="hybridMultilevel"/>
    <w:tmpl w:val="70A84970"/>
    <w:lvl w:ilvl="0" w:tplc="FC9A40E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0729B0"/>
    <w:multiLevelType w:val="multilevel"/>
    <w:tmpl w:val="70A84970"/>
    <w:lvl w:ilvl="0">
      <w:start w:val="1"/>
      <w:numFmt w:val="decimal"/>
      <w:lvlText w:val="%1."/>
      <w:lvlJc w:val="left"/>
      <w:pPr>
        <w:tabs>
          <w:tab w:val="num" w:pos="36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0CE5DD1"/>
    <w:multiLevelType w:val="multilevel"/>
    <w:tmpl w:val="A522A4B2"/>
    <w:lvl w:ilvl="0">
      <w:start w:val="1"/>
      <w:numFmt w:val="decimal"/>
      <w:lvlText w:val="%1."/>
      <w:lvlJc w:val="left"/>
      <w:pPr>
        <w:tabs>
          <w:tab w:val="num" w:pos="0"/>
        </w:tabs>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num w:numId="1">
    <w:abstractNumId w:val="11"/>
  </w:num>
  <w:num w:numId="2">
    <w:abstractNumId w:val="2"/>
  </w:num>
  <w:num w:numId="3">
    <w:abstractNumId w:val="12"/>
  </w:num>
  <w:num w:numId="4">
    <w:abstractNumId w:val="5"/>
  </w:num>
  <w:num w:numId="5">
    <w:abstractNumId w:val="1"/>
  </w:num>
  <w:num w:numId="6">
    <w:abstractNumId w:val="0"/>
  </w:num>
  <w:num w:numId="7">
    <w:abstractNumId w:val="8"/>
  </w:num>
  <w:num w:numId="8">
    <w:abstractNumId w:val="6"/>
  </w:num>
  <w:num w:numId="9">
    <w:abstractNumId w:val="7"/>
  </w:num>
  <w:num w:numId="10">
    <w:abstractNumId w:val="9"/>
  </w:num>
  <w:num w:numId="11">
    <w:abstractNumId w:val="1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EA"/>
    <w:rsid w:val="00000C08"/>
    <w:rsid w:val="00002130"/>
    <w:rsid w:val="000306B9"/>
    <w:rsid w:val="000402A1"/>
    <w:rsid w:val="00060DA2"/>
    <w:rsid w:val="00063532"/>
    <w:rsid w:val="00077137"/>
    <w:rsid w:val="00084F23"/>
    <w:rsid w:val="00097E73"/>
    <w:rsid w:val="000A1A35"/>
    <w:rsid w:val="000B1C45"/>
    <w:rsid w:val="000C07F2"/>
    <w:rsid w:val="000C25A6"/>
    <w:rsid w:val="000E5E8F"/>
    <w:rsid w:val="00104604"/>
    <w:rsid w:val="00104C05"/>
    <w:rsid w:val="00110EF2"/>
    <w:rsid w:val="001115CE"/>
    <w:rsid w:val="00112AD7"/>
    <w:rsid w:val="00143F0E"/>
    <w:rsid w:val="00151BC2"/>
    <w:rsid w:val="001559D1"/>
    <w:rsid w:val="00155D0A"/>
    <w:rsid w:val="001623D1"/>
    <w:rsid w:val="00172B82"/>
    <w:rsid w:val="00173BC8"/>
    <w:rsid w:val="001B27B1"/>
    <w:rsid w:val="001C51FF"/>
    <w:rsid w:val="001D6E4F"/>
    <w:rsid w:val="001E3A81"/>
    <w:rsid w:val="00223F17"/>
    <w:rsid w:val="002307F1"/>
    <w:rsid w:val="00232DE0"/>
    <w:rsid w:val="0023470E"/>
    <w:rsid w:val="00252AD5"/>
    <w:rsid w:val="00262D69"/>
    <w:rsid w:val="002676B6"/>
    <w:rsid w:val="002861AB"/>
    <w:rsid w:val="00290634"/>
    <w:rsid w:val="00293C7D"/>
    <w:rsid w:val="002949EA"/>
    <w:rsid w:val="002B3508"/>
    <w:rsid w:val="002B5990"/>
    <w:rsid w:val="002C1B6D"/>
    <w:rsid w:val="002D414B"/>
    <w:rsid w:val="00311F6A"/>
    <w:rsid w:val="00327673"/>
    <w:rsid w:val="00336BF7"/>
    <w:rsid w:val="00370E6C"/>
    <w:rsid w:val="003820C1"/>
    <w:rsid w:val="003A4427"/>
    <w:rsid w:val="003C650E"/>
    <w:rsid w:val="003D61DE"/>
    <w:rsid w:val="003E0A5E"/>
    <w:rsid w:val="00413B48"/>
    <w:rsid w:val="0045539E"/>
    <w:rsid w:val="00457472"/>
    <w:rsid w:val="00494DAB"/>
    <w:rsid w:val="004953BB"/>
    <w:rsid w:val="004D0A01"/>
    <w:rsid w:val="005753B2"/>
    <w:rsid w:val="00581F5D"/>
    <w:rsid w:val="00584B39"/>
    <w:rsid w:val="0058638C"/>
    <w:rsid w:val="005943E1"/>
    <w:rsid w:val="005D1AFC"/>
    <w:rsid w:val="005D77C7"/>
    <w:rsid w:val="005E0734"/>
    <w:rsid w:val="005F4538"/>
    <w:rsid w:val="0060650C"/>
    <w:rsid w:val="00621468"/>
    <w:rsid w:val="0064391E"/>
    <w:rsid w:val="00655B31"/>
    <w:rsid w:val="0066302A"/>
    <w:rsid w:val="00671260"/>
    <w:rsid w:val="006728BF"/>
    <w:rsid w:val="00677E4C"/>
    <w:rsid w:val="006A6EF7"/>
    <w:rsid w:val="006B0962"/>
    <w:rsid w:val="006D08CB"/>
    <w:rsid w:val="006D1B8E"/>
    <w:rsid w:val="0071770B"/>
    <w:rsid w:val="00721025"/>
    <w:rsid w:val="00733E4B"/>
    <w:rsid w:val="007359F8"/>
    <w:rsid w:val="007535FB"/>
    <w:rsid w:val="00786048"/>
    <w:rsid w:val="00792866"/>
    <w:rsid w:val="007B3A0B"/>
    <w:rsid w:val="007B3C65"/>
    <w:rsid w:val="007D0333"/>
    <w:rsid w:val="007F6375"/>
    <w:rsid w:val="00804259"/>
    <w:rsid w:val="00820E33"/>
    <w:rsid w:val="00831F5F"/>
    <w:rsid w:val="0084776F"/>
    <w:rsid w:val="00851DED"/>
    <w:rsid w:val="0085676C"/>
    <w:rsid w:val="00871FA8"/>
    <w:rsid w:val="008738F3"/>
    <w:rsid w:val="00886E93"/>
    <w:rsid w:val="008C2EDD"/>
    <w:rsid w:val="008C461A"/>
    <w:rsid w:val="008C4ECC"/>
    <w:rsid w:val="008D640C"/>
    <w:rsid w:val="0093272A"/>
    <w:rsid w:val="009415C4"/>
    <w:rsid w:val="009451DA"/>
    <w:rsid w:val="009468CD"/>
    <w:rsid w:val="009860D9"/>
    <w:rsid w:val="009873C4"/>
    <w:rsid w:val="009A0E22"/>
    <w:rsid w:val="009D2CE8"/>
    <w:rsid w:val="009D7A4A"/>
    <w:rsid w:val="00A274F8"/>
    <w:rsid w:val="00A4065C"/>
    <w:rsid w:val="00A40FE9"/>
    <w:rsid w:val="00A50B5C"/>
    <w:rsid w:val="00A57992"/>
    <w:rsid w:val="00A87634"/>
    <w:rsid w:val="00AB658A"/>
    <w:rsid w:val="00AC4D04"/>
    <w:rsid w:val="00AC73CA"/>
    <w:rsid w:val="00AD7444"/>
    <w:rsid w:val="00AF40C5"/>
    <w:rsid w:val="00B17FC7"/>
    <w:rsid w:val="00B33EF2"/>
    <w:rsid w:val="00B428C8"/>
    <w:rsid w:val="00B53101"/>
    <w:rsid w:val="00B55B38"/>
    <w:rsid w:val="00B92566"/>
    <w:rsid w:val="00B96B51"/>
    <w:rsid w:val="00BB3794"/>
    <w:rsid w:val="00BB529D"/>
    <w:rsid w:val="00BD1AAB"/>
    <w:rsid w:val="00C066E0"/>
    <w:rsid w:val="00C139E5"/>
    <w:rsid w:val="00C60B4B"/>
    <w:rsid w:val="00C72394"/>
    <w:rsid w:val="00C85571"/>
    <w:rsid w:val="00C9105E"/>
    <w:rsid w:val="00C935F7"/>
    <w:rsid w:val="00C95E17"/>
    <w:rsid w:val="00CB0E07"/>
    <w:rsid w:val="00CB2368"/>
    <w:rsid w:val="00CC003C"/>
    <w:rsid w:val="00CD26F7"/>
    <w:rsid w:val="00CE60A6"/>
    <w:rsid w:val="00CF001B"/>
    <w:rsid w:val="00D07DD0"/>
    <w:rsid w:val="00D23267"/>
    <w:rsid w:val="00D2672F"/>
    <w:rsid w:val="00D31E2F"/>
    <w:rsid w:val="00D370A6"/>
    <w:rsid w:val="00D668BF"/>
    <w:rsid w:val="00D71256"/>
    <w:rsid w:val="00D90307"/>
    <w:rsid w:val="00DA4305"/>
    <w:rsid w:val="00DA5A6A"/>
    <w:rsid w:val="00DB7ACC"/>
    <w:rsid w:val="00DF4ACA"/>
    <w:rsid w:val="00E07C8B"/>
    <w:rsid w:val="00E135E3"/>
    <w:rsid w:val="00E46BF5"/>
    <w:rsid w:val="00E73F12"/>
    <w:rsid w:val="00E92E91"/>
    <w:rsid w:val="00EC32EB"/>
    <w:rsid w:val="00EC77A9"/>
    <w:rsid w:val="00ED0786"/>
    <w:rsid w:val="00ED61D3"/>
    <w:rsid w:val="00EE61F6"/>
    <w:rsid w:val="00F206CC"/>
    <w:rsid w:val="00F63DF8"/>
    <w:rsid w:val="00F67556"/>
    <w:rsid w:val="00FA0259"/>
    <w:rsid w:val="00FA2544"/>
    <w:rsid w:val="00FA6B22"/>
    <w:rsid w:val="00FD2A30"/>
    <w:rsid w:val="00FF7FB3"/>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F2F1CB"/>
  <w15:docId w15:val="{0C8E7289-F9D5-40EA-8FDE-19575DDD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0"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Normal"/>
    <w:link w:val="Heading1Char"/>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aliases w:val="References,List Paragraph (numbered (a)),Bullets,IBL List Paragraph,List Paragraph nowy,Numbered List Paragraph,123 List Paragraph,Main numbered paragraph,Body,List_Paragraph,Multilevel para_II,List Paragraph1,Normal 2 DC,Liste 1,Dot pt"/>
    <w:basedOn w:val="Normal"/>
    <w:link w:val="ListParagraphChar"/>
    <w:uiPriority w:val="34"/>
    <w:qFormat/>
    <w:rsid w:val="002949EA"/>
    <w:pPr>
      <w:widowControl/>
      <w:autoSpaceDE/>
      <w:autoSpaceDN/>
      <w:adjustRightInd/>
      <w:ind w:left="720"/>
      <w:contextualSpacing/>
    </w:pPr>
    <w:rPr>
      <w:rFonts w:ascii="Times New Roman" w:eastAsia="Times New Roman" w:hAnsi="Times New Roman" w:cs="Times New Roman"/>
      <w:color w:val="auto"/>
    </w:rPr>
  </w:style>
  <w:style w:type="paragraph" w:customStyle="1" w:styleId="a">
    <w:name w:val="列出段落"/>
    <w:basedOn w:val="Normal"/>
    <w:qFormat/>
    <w:rsid w:val="002949EA"/>
    <w:pPr>
      <w:autoSpaceDE/>
      <w:autoSpaceDN/>
      <w:adjustRightInd/>
      <w:ind w:firstLineChars="200" w:firstLine="420"/>
      <w:jc w:val="both"/>
    </w:pPr>
    <w:rPr>
      <w:rFonts w:ascii="Times New Roman" w:eastAsia="SimSun" w:hAnsi="Times New Roman" w:cs="Times New Roman"/>
      <w:color w:val="auto"/>
      <w:kern w:val="2"/>
      <w:sz w:val="21"/>
      <w:szCs w:val="22"/>
      <w:lang w:eastAsia="zh-CN"/>
    </w:rPr>
  </w:style>
  <w:style w:type="character" w:customStyle="1" w:styleId="ListParagraphChar">
    <w:name w:val="List Paragraph Char"/>
    <w:aliases w:val="References Char,List Paragraph (numbered (a)) Char,Bullets Char,IBL List Paragraph Char,List Paragraph nowy Char,Numbered List Paragraph Char,123 List Paragraph Char,Main numbered paragraph Char,Body Char,List_Paragraph Char"/>
    <w:link w:val="ListParagraph"/>
    <w:rsid w:val="002949EA"/>
    <w:rPr>
      <w:rFonts w:ascii="Times New Roman" w:eastAsia="Times New Roman" w:hAnsi="Times New Roman" w:cs="Times New Roman"/>
      <w:sz w:val="24"/>
      <w:szCs w:val="24"/>
    </w:rPr>
  </w:style>
  <w:style w:type="paragraph" w:styleId="FootnoteText">
    <w:name w:val="footnote text"/>
    <w:aliases w:val="single space,footnote text,fn,FOOTNOTES"/>
    <w:basedOn w:val="Normal"/>
    <w:link w:val="FootnoteTextChar"/>
    <w:rsid w:val="002949EA"/>
    <w:pPr>
      <w:widowControl/>
      <w:autoSpaceDE/>
      <w:autoSpaceDN/>
      <w:adjustRightInd/>
    </w:pPr>
    <w:rPr>
      <w:rFonts w:ascii="Times New Roman" w:eastAsia="Times New Roman" w:hAnsi="Times New Roman" w:cs="Times New Roman"/>
      <w:color w:val="auto"/>
      <w:sz w:val="20"/>
      <w:szCs w:val="20"/>
    </w:rPr>
  </w:style>
  <w:style w:type="character" w:customStyle="1" w:styleId="FootnoteTextChar">
    <w:name w:val="Footnote Text Char"/>
    <w:aliases w:val="single space Char,footnote text Char,fn Char,FOOTNOTES Char"/>
    <w:basedOn w:val="DefaultParagraphFont"/>
    <w:link w:val="FootnoteText"/>
    <w:rsid w:val="002949EA"/>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Footnote Reference_LVL6,Footnote Reference_LVL61,Footnote Reference_LVL62,Footnote Reference_LVL63,Footnote Reference_LVL64,Знак сноски-FN, BVI fnr,footnote ref,Ref"/>
    <w:rsid w:val="002949EA"/>
    <w:rPr>
      <w:vertAlign w:val="superscript"/>
    </w:rPr>
  </w:style>
  <w:style w:type="table" w:styleId="TableGrid">
    <w:name w:val="Table Grid"/>
    <w:basedOn w:val="TableNormal"/>
    <w:uiPriority w:val="59"/>
    <w:rsid w:val="002949E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C139E5"/>
    <w:rPr>
      <w:color w:val="0000FF" w:themeColor="hyperlink"/>
      <w:u w:val="single"/>
    </w:rPr>
  </w:style>
  <w:style w:type="paragraph" w:customStyle="1" w:styleId="MainParawithChapter">
    <w:name w:val="Main Para with Chapter#"/>
    <w:basedOn w:val="Normal"/>
    <w:rsid w:val="000C07F2"/>
    <w:pPr>
      <w:widowControl/>
      <w:autoSpaceDE/>
      <w:autoSpaceDN/>
      <w:adjustRightInd/>
      <w:spacing w:after="240"/>
      <w:outlineLvl w:val="1"/>
    </w:pPr>
    <w:rPr>
      <w:rFonts w:ascii="Times New Roman" w:eastAsia="Times New Roman" w:hAnsi="Times New Roman" w:cs="Times New Roman"/>
      <w:color w:val="auto"/>
    </w:rPr>
  </w:style>
  <w:style w:type="paragraph" w:customStyle="1" w:styleId="Sub-Para1underXY">
    <w:name w:val="Sub-Para 1 under X.Y"/>
    <w:basedOn w:val="Normal"/>
    <w:rsid w:val="000C07F2"/>
    <w:pPr>
      <w:widowControl/>
      <w:autoSpaceDE/>
      <w:autoSpaceDN/>
      <w:adjustRightInd/>
      <w:spacing w:after="240"/>
      <w:ind w:left="1440" w:hanging="720"/>
      <w:outlineLvl w:val="2"/>
    </w:pPr>
    <w:rPr>
      <w:rFonts w:ascii="Times New Roman" w:eastAsia="Times New Roman" w:hAnsi="Times New Roman" w:cs="Times New Roman"/>
      <w:color w:val="auto"/>
    </w:rPr>
  </w:style>
  <w:style w:type="paragraph" w:customStyle="1" w:styleId="Sub-Para2underXY">
    <w:name w:val="Sub-Para 2 under X.Y"/>
    <w:basedOn w:val="Normal"/>
    <w:rsid w:val="000C07F2"/>
    <w:pPr>
      <w:widowControl/>
      <w:autoSpaceDE/>
      <w:autoSpaceDN/>
      <w:adjustRightInd/>
      <w:spacing w:after="240"/>
      <w:ind w:left="2160" w:hanging="720"/>
      <w:outlineLvl w:val="3"/>
    </w:pPr>
    <w:rPr>
      <w:rFonts w:ascii="Times New Roman" w:eastAsia="Times New Roman" w:hAnsi="Times New Roman" w:cs="Times New Roman"/>
      <w:color w:val="auto"/>
    </w:rPr>
  </w:style>
  <w:style w:type="paragraph" w:customStyle="1" w:styleId="Sub-Para3underXY">
    <w:name w:val="Sub-Para 3 under X.Y"/>
    <w:basedOn w:val="Normal"/>
    <w:rsid w:val="000C07F2"/>
    <w:pPr>
      <w:widowControl/>
      <w:autoSpaceDE/>
      <w:autoSpaceDN/>
      <w:adjustRightInd/>
      <w:spacing w:after="240"/>
      <w:ind w:left="2880" w:hanging="720"/>
      <w:outlineLvl w:val="4"/>
    </w:pPr>
    <w:rPr>
      <w:rFonts w:ascii="Times New Roman" w:eastAsia="Times New Roman" w:hAnsi="Times New Roman" w:cs="Times New Roman"/>
      <w:color w:val="auto"/>
    </w:rPr>
  </w:style>
  <w:style w:type="paragraph" w:customStyle="1" w:styleId="Sub-Para4underXY">
    <w:name w:val="Sub-Para 4 under X.Y"/>
    <w:basedOn w:val="Normal"/>
    <w:rsid w:val="000C07F2"/>
    <w:pPr>
      <w:widowControl/>
      <w:autoSpaceDE/>
      <w:autoSpaceDN/>
      <w:adjustRightInd/>
      <w:spacing w:after="240"/>
      <w:ind w:left="3600" w:hanging="720"/>
      <w:outlineLvl w:val="5"/>
    </w:pPr>
    <w:rPr>
      <w:rFonts w:ascii="Times New Roman" w:eastAsia="Times New Roman" w:hAnsi="Times New Roman" w:cs="Times New Roman"/>
      <w:color w:val="auto"/>
    </w:rPr>
  </w:style>
  <w:style w:type="character" w:styleId="CommentReference">
    <w:name w:val="annotation reference"/>
    <w:uiPriority w:val="99"/>
    <w:rsid w:val="000C07F2"/>
    <w:rPr>
      <w:sz w:val="16"/>
      <w:szCs w:val="16"/>
    </w:rPr>
  </w:style>
  <w:style w:type="paragraph" w:styleId="CommentText">
    <w:name w:val="annotation text"/>
    <w:basedOn w:val="Normal"/>
    <w:link w:val="CommentTextChar"/>
    <w:uiPriority w:val="99"/>
    <w:rsid w:val="000C07F2"/>
    <w:pPr>
      <w:widowControl/>
      <w:autoSpaceDE/>
      <w:autoSpaceDN/>
      <w:adjustRightInd/>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0C07F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C07F2"/>
    <w:rPr>
      <w:rFonts w:ascii="Tahoma" w:hAnsi="Tahoma" w:cs="Tahoma"/>
      <w:sz w:val="16"/>
      <w:szCs w:val="16"/>
    </w:rPr>
  </w:style>
  <w:style w:type="character" w:customStyle="1" w:styleId="BalloonTextChar">
    <w:name w:val="Balloon Text Char"/>
    <w:basedOn w:val="DefaultParagraphFont"/>
    <w:link w:val="BalloonText"/>
    <w:uiPriority w:val="99"/>
    <w:semiHidden/>
    <w:rsid w:val="000C07F2"/>
    <w:rPr>
      <w:rFonts w:ascii="Tahoma"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820E33"/>
    <w:pPr>
      <w:widowControl w:val="0"/>
      <w:autoSpaceDE w:val="0"/>
      <w:autoSpaceDN w:val="0"/>
      <w:adjustRightInd w:val="0"/>
    </w:pPr>
    <w:rPr>
      <w:rFonts w:ascii="Arial" w:eastAsiaTheme="minorEastAsia" w:hAnsi="Arial" w:cs="Arial"/>
      <w:b/>
      <w:bCs/>
      <w:color w:val="000000"/>
    </w:rPr>
  </w:style>
  <w:style w:type="character" w:customStyle="1" w:styleId="CommentSubjectChar">
    <w:name w:val="Comment Subject Char"/>
    <w:basedOn w:val="CommentTextChar"/>
    <w:link w:val="CommentSubject"/>
    <w:uiPriority w:val="99"/>
    <w:semiHidden/>
    <w:rsid w:val="00820E33"/>
    <w:rPr>
      <w:rFonts w:ascii="Arial" w:eastAsia="Times New Roman" w:hAnsi="Arial" w:cs="Arial"/>
      <w:b/>
      <w:bCs/>
      <w:color w:val="000000"/>
      <w:sz w:val="20"/>
      <w:szCs w:val="20"/>
    </w:rPr>
  </w:style>
  <w:style w:type="paragraph" w:styleId="TOC2">
    <w:name w:val="toc 2"/>
    <w:basedOn w:val="Normal"/>
    <w:next w:val="Normal"/>
    <w:autoRedefine/>
    <w:uiPriority w:val="39"/>
    <w:rsid w:val="008C461A"/>
    <w:pPr>
      <w:widowControl/>
      <w:autoSpaceDE/>
      <w:autoSpaceDN/>
      <w:adjustRightInd/>
      <w:spacing w:before="120"/>
      <w:ind w:left="1080" w:hanging="360"/>
    </w:pPr>
    <w:rPr>
      <w:rFonts w:ascii="Times New Roman" w:eastAsia="Times New Roman" w:hAnsi="Times New Roman" w:cs="Times New Roman"/>
      <w:iCs/>
      <w:color w:val="auto"/>
    </w:rPr>
  </w:style>
  <w:style w:type="paragraph" w:customStyle="1" w:styleId="Heading1a">
    <w:name w:val="Heading 1a"/>
    <w:basedOn w:val="Normal"/>
    <w:next w:val="Normal"/>
    <w:rsid w:val="008C461A"/>
    <w:pPr>
      <w:keepNext/>
      <w:keepLines/>
      <w:widowControl/>
      <w:numPr>
        <w:numId w:val="4"/>
      </w:numPr>
      <w:autoSpaceDE/>
      <w:autoSpaceDN/>
      <w:adjustRightInd/>
      <w:spacing w:before="1440" w:after="240"/>
      <w:jc w:val="center"/>
      <w:outlineLvl w:val="0"/>
    </w:pPr>
    <w:rPr>
      <w:rFonts w:ascii="Times New Roman" w:eastAsia="Times New Roman" w:hAnsi="Times New Roman" w:cs="Times New Roman"/>
      <w:b/>
      <w:caps/>
      <w:color w:val="auto"/>
      <w:sz w:val="32"/>
    </w:rPr>
  </w:style>
  <w:style w:type="paragraph" w:customStyle="1" w:styleId="MainParanoChapter">
    <w:name w:val="Main Para no Chapter #"/>
    <w:basedOn w:val="Normal"/>
    <w:rsid w:val="008C461A"/>
    <w:pPr>
      <w:widowControl/>
      <w:numPr>
        <w:ilvl w:val="1"/>
        <w:numId w:val="4"/>
      </w:numPr>
      <w:tabs>
        <w:tab w:val="clear" w:pos="720"/>
      </w:tabs>
      <w:autoSpaceDE/>
      <w:autoSpaceDN/>
      <w:adjustRightInd/>
      <w:spacing w:after="240"/>
      <w:ind w:left="0" w:firstLine="0"/>
      <w:outlineLvl w:val="1"/>
    </w:pPr>
    <w:rPr>
      <w:rFonts w:ascii="Times New Roman" w:eastAsia="Times New Roman" w:hAnsi="Times New Roman" w:cs="Times New Roman"/>
      <w:color w:val="auto"/>
    </w:rPr>
  </w:style>
  <w:style w:type="paragraph" w:customStyle="1" w:styleId="Sub-Para1underX">
    <w:name w:val="Sub-Para 1 under X."/>
    <w:basedOn w:val="Normal"/>
    <w:rsid w:val="008C461A"/>
    <w:pPr>
      <w:widowControl/>
      <w:numPr>
        <w:ilvl w:val="2"/>
        <w:numId w:val="4"/>
      </w:numPr>
      <w:tabs>
        <w:tab w:val="clear" w:pos="1080"/>
      </w:tabs>
      <w:autoSpaceDE/>
      <w:autoSpaceDN/>
      <w:adjustRightInd/>
      <w:spacing w:after="240"/>
      <w:ind w:left="1440" w:hanging="720"/>
      <w:outlineLvl w:val="2"/>
    </w:pPr>
    <w:rPr>
      <w:rFonts w:ascii="Times New Roman" w:eastAsia="Times New Roman" w:hAnsi="Times New Roman" w:cs="Times New Roman"/>
      <w:color w:val="auto"/>
    </w:rPr>
  </w:style>
  <w:style w:type="paragraph" w:customStyle="1" w:styleId="Sub-Para2underX">
    <w:name w:val="Sub-Para 2 under X."/>
    <w:basedOn w:val="Normal"/>
    <w:rsid w:val="008C461A"/>
    <w:pPr>
      <w:widowControl/>
      <w:numPr>
        <w:ilvl w:val="3"/>
        <w:numId w:val="4"/>
      </w:numPr>
      <w:tabs>
        <w:tab w:val="clear" w:pos="1800"/>
      </w:tabs>
      <w:autoSpaceDE/>
      <w:autoSpaceDN/>
      <w:adjustRightInd/>
      <w:spacing w:after="240"/>
      <w:ind w:left="2160" w:hanging="720"/>
      <w:outlineLvl w:val="3"/>
    </w:pPr>
    <w:rPr>
      <w:rFonts w:ascii="Times New Roman" w:eastAsia="Times New Roman" w:hAnsi="Times New Roman" w:cs="Times New Roman"/>
      <w:color w:val="auto"/>
    </w:rPr>
  </w:style>
  <w:style w:type="paragraph" w:customStyle="1" w:styleId="Sub-Para3underX">
    <w:name w:val="Sub-Para 3 under X."/>
    <w:basedOn w:val="Normal"/>
    <w:rsid w:val="008C461A"/>
    <w:pPr>
      <w:widowControl/>
      <w:numPr>
        <w:ilvl w:val="4"/>
        <w:numId w:val="4"/>
      </w:numPr>
      <w:tabs>
        <w:tab w:val="clear" w:pos="1440"/>
      </w:tabs>
      <w:autoSpaceDE/>
      <w:autoSpaceDN/>
      <w:adjustRightInd/>
      <w:spacing w:after="240"/>
      <w:ind w:left="2880" w:hanging="720"/>
      <w:outlineLvl w:val="4"/>
    </w:pPr>
    <w:rPr>
      <w:rFonts w:ascii="Times New Roman" w:eastAsia="Times New Roman" w:hAnsi="Times New Roman" w:cs="Times New Roman"/>
      <w:color w:val="auto"/>
    </w:rPr>
  </w:style>
  <w:style w:type="paragraph" w:customStyle="1" w:styleId="Sub-Para4underX">
    <w:name w:val="Sub-Para 4 under X."/>
    <w:basedOn w:val="Normal"/>
    <w:rsid w:val="008C461A"/>
    <w:pPr>
      <w:widowControl/>
      <w:numPr>
        <w:ilvl w:val="5"/>
        <w:numId w:val="4"/>
      </w:numPr>
      <w:tabs>
        <w:tab w:val="clear" w:pos="2160"/>
      </w:tabs>
      <w:autoSpaceDE/>
      <w:autoSpaceDN/>
      <w:adjustRightInd/>
      <w:spacing w:after="240"/>
      <w:ind w:left="3600" w:hanging="720"/>
      <w:outlineLvl w:val="5"/>
    </w:pPr>
    <w:rPr>
      <w:rFonts w:ascii="Times New Roman" w:eastAsia="Times New Roman" w:hAnsi="Times New Roman" w:cs="Times New Roman"/>
      <w:color w:val="auto"/>
    </w:rPr>
  </w:style>
  <w:style w:type="paragraph" w:customStyle="1" w:styleId="PDSHeading2">
    <w:name w:val="PDS Heading 2"/>
    <w:next w:val="Normal"/>
    <w:rsid w:val="001115CE"/>
    <w:pPr>
      <w:keepNext/>
      <w:numPr>
        <w:ilvl w:val="1"/>
        <w:numId w:val="5"/>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1115CE"/>
    <w:pPr>
      <w:keepNext/>
      <w:numPr>
        <w:numId w:val="5"/>
      </w:numPr>
      <w:spacing w:after="0" w:line="240" w:lineRule="auto"/>
      <w:outlineLvl w:val="0"/>
    </w:pPr>
    <w:rPr>
      <w:rFonts w:ascii="Times New Roman" w:eastAsia="Times New Roman" w:hAnsi="Times New Roman" w:cs="Times New Roman"/>
      <w:b/>
      <w:caps/>
      <w:sz w:val="24"/>
      <w:szCs w:val="20"/>
    </w:rPr>
  </w:style>
  <w:style w:type="paragraph" w:styleId="Revision">
    <w:name w:val="Revision"/>
    <w:hidden/>
    <w:uiPriority w:val="99"/>
    <w:semiHidden/>
    <w:rsid w:val="00CD26F7"/>
    <w:pPr>
      <w:spacing w:after="0" w:line="240" w:lineRule="auto"/>
    </w:pPr>
    <w:rPr>
      <w:rFonts w:ascii="Arial" w:hAnsi="Arial" w:cs="Arial"/>
      <w:color w:val="000000"/>
      <w:sz w:val="24"/>
      <w:szCs w:val="24"/>
    </w:rPr>
  </w:style>
  <w:style w:type="paragraph" w:customStyle="1" w:styleId="ColorfulList-Accent11">
    <w:name w:val="Colorful List - Accent 11"/>
    <w:basedOn w:val="Normal"/>
    <w:uiPriority w:val="99"/>
    <w:qFormat/>
    <w:rsid w:val="00A274F8"/>
    <w:pPr>
      <w:ind w:left="720"/>
      <w:contextualSpacing/>
    </w:pPr>
    <w:rPr>
      <w:rFonts w:eastAsia="Times New Roman"/>
    </w:rPr>
  </w:style>
  <w:style w:type="paragraph" w:styleId="Header">
    <w:name w:val="header"/>
    <w:basedOn w:val="Normal"/>
    <w:link w:val="HeaderChar"/>
    <w:uiPriority w:val="99"/>
    <w:unhideWhenUsed/>
    <w:rsid w:val="00C60B4B"/>
    <w:pPr>
      <w:tabs>
        <w:tab w:val="center" w:pos="4680"/>
        <w:tab w:val="right" w:pos="9360"/>
      </w:tabs>
    </w:pPr>
  </w:style>
  <w:style w:type="character" w:customStyle="1" w:styleId="HeaderChar">
    <w:name w:val="Header Char"/>
    <w:basedOn w:val="DefaultParagraphFont"/>
    <w:link w:val="Header"/>
    <w:uiPriority w:val="99"/>
    <w:rsid w:val="00C60B4B"/>
    <w:rPr>
      <w:rFonts w:ascii="Arial" w:hAnsi="Arial" w:cs="Arial"/>
      <w:color w:val="000000"/>
      <w:sz w:val="24"/>
      <w:szCs w:val="24"/>
    </w:rPr>
  </w:style>
  <w:style w:type="paragraph" w:styleId="Footer">
    <w:name w:val="footer"/>
    <w:basedOn w:val="Normal"/>
    <w:link w:val="FooterChar"/>
    <w:uiPriority w:val="99"/>
    <w:unhideWhenUsed/>
    <w:rsid w:val="00C60B4B"/>
    <w:pPr>
      <w:tabs>
        <w:tab w:val="center" w:pos="4680"/>
        <w:tab w:val="right" w:pos="9360"/>
      </w:tabs>
    </w:pPr>
  </w:style>
  <w:style w:type="character" w:customStyle="1" w:styleId="FooterChar">
    <w:name w:val="Footer Char"/>
    <w:basedOn w:val="DefaultParagraphFont"/>
    <w:link w:val="Footer"/>
    <w:uiPriority w:val="99"/>
    <w:rsid w:val="00C60B4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tsda@pdmo.go.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hirunwatsiri@worldban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orldbank.org/infoshop" TargetMode="External"/><Relationship Id="rId4" Type="http://schemas.openxmlformats.org/officeDocument/2006/relationships/webSettings" Target="webSettings.xml"/><Relationship Id="rId9" Type="http://schemas.openxmlformats.org/officeDocument/2006/relationships/hyperlink" Target="mailto:sertsuk@tgo.o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Bernardita Ledesma</dc:creator>
  <cp:lastModifiedBy>Lina Janenaite</cp:lastModifiedBy>
  <cp:revision>3</cp:revision>
  <cp:lastPrinted>2014-12-29T20:03:00Z</cp:lastPrinted>
  <dcterms:created xsi:type="dcterms:W3CDTF">2014-12-23T08:30:00Z</dcterms:created>
  <dcterms:modified xsi:type="dcterms:W3CDTF">2014-12-29T20:03:00Z</dcterms:modified>
</cp:coreProperties>
</file>