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9BD" w:rsidRPr="00C05F93" w:rsidRDefault="00C05F93" w:rsidP="00C05F93">
      <w:pPr>
        <w:spacing w:line="360" w:lineRule="auto"/>
        <w:jc w:val="center"/>
        <w:rPr>
          <w:b/>
          <w:bCs/>
          <w:sz w:val="34"/>
          <w:szCs w:val="34"/>
          <w:rtl/>
        </w:rPr>
      </w:pPr>
      <w:bookmarkStart w:id="0" w:name="_GoBack"/>
      <w:bookmarkEnd w:id="0"/>
      <w:r w:rsidRPr="00C05F93">
        <w:rPr>
          <w:rFonts w:hint="cs"/>
          <w:b/>
          <w:bCs/>
          <w:sz w:val="34"/>
          <w:szCs w:val="34"/>
          <w:rtl/>
        </w:rPr>
        <w:t>وثيقة معلومات المشروع</w:t>
      </w:r>
    </w:p>
    <w:p w:rsidR="00C05F93" w:rsidRPr="00281BB5" w:rsidRDefault="00C05F93" w:rsidP="00281BB5">
      <w:pPr>
        <w:spacing w:line="360" w:lineRule="auto"/>
        <w:jc w:val="center"/>
        <w:rPr>
          <w:b/>
          <w:bCs/>
          <w:sz w:val="30"/>
          <w:rtl/>
        </w:rPr>
      </w:pPr>
      <w:r w:rsidRPr="00281BB5">
        <w:rPr>
          <w:rFonts w:hint="cs"/>
          <w:b/>
          <w:bCs/>
          <w:sz w:val="30"/>
          <w:rtl/>
        </w:rPr>
        <w:t>مرحلة المفاهيم</w:t>
      </w:r>
    </w:p>
    <w:p w:rsidR="00C05F93" w:rsidRDefault="00084EDD" w:rsidP="00C05F93">
      <w:pPr>
        <w:spacing w:line="360" w:lineRule="auto"/>
        <w:jc w:val="both"/>
        <w:rPr>
          <w:sz w:val="30"/>
          <w:rtl/>
        </w:rPr>
      </w:pPr>
      <w:r>
        <w:rPr>
          <w:rFonts w:hint="cs"/>
          <w:sz w:val="30"/>
          <w:rtl/>
        </w:rPr>
        <w:t xml:space="preserve">رقم التقرير: </w:t>
      </w:r>
      <w:r>
        <w:rPr>
          <w:sz w:val="30"/>
        </w:rPr>
        <w:t>PIDA 905</w:t>
      </w:r>
    </w:p>
    <w:tbl>
      <w:tblPr>
        <w:tblStyle w:val="TableGrid"/>
        <w:bidiVisual/>
        <w:tblW w:w="0" w:type="auto"/>
        <w:tblInd w:w="-375" w:type="dxa"/>
        <w:tblLook w:val="04A0" w:firstRow="1" w:lastRow="0" w:firstColumn="1" w:lastColumn="0" w:noHBand="0" w:noVBand="1"/>
      </w:tblPr>
      <w:tblGrid>
        <w:gridCol w:w="2410"/>
        <w:gridCol w:w="6487"/>
      </w:tblGrid>
      <w:tr w:rsidR="009B5664" w:rsidRPr="00124FCB" w:rsidTr="00124FCB">
        <w:tc>
          <w:tcPr>
            <w:tcW w:w="2410" w:type="dxa"/>
          </w:tcPr>
          <w:p w:rsidR="009B5664" w:rsidRPr="00124FCB" w:rsidRDefault="009B5664" w:rsidP="00C05F93">
            <w:pPr>
              <w:spacing w:line="360" w:lineRule="auto"/>
              <w:jc w:val="both"/>
              <w:rPr>
                <w:sz w:val="24"/>
                <w:szCs w:val="24"/>
                <w:rtl/>
              </w:rPr>
            </w:pPr>
            <w:r w:rsidRPr="00124FCB">
              <w:rPr>
                <w:rFonts w:hint="cs"/>
                <w:sz w:val="24"/>
                <w:szCs w:val="24"/>
                <w:rtl/>
              </w:rPr>
              <w:t>اسم المشروع</w:t>
            </w:r>
          </w:p>
        </w:tc>
        <w:tc>
          <w:tcPr>
            <w:tcW w:w="6487" w:type="dxa"/>
          </w:tcPr>
          <w:p w:rsidR="009B5664" w:rsidRPr="00124FCB" w:rsidRDefault="00E8228C" w:rsidP="00AE4F11">
            <w:pPr>
              <w:spacing w:line="360" w:lineRule="auto"/>
              <w:jc w:val="both"/>
              <w:rPr>
                <w:sz w:val="24"/>
                <w:szCs w:val="24"/>
                <w:rtl/>
              </w:rPr>
            </w:pPr>
            <w:r w:rsidRPr="00124FCB">
              <w:rPr>
                <w:rFonts w:hint="cs"/>
                <w:sz w:val="24"/>
                <w:szCs w:val="24"/>
                <w:rtl/>
              </w:rPr>
              <w:t xml:space="preserve">المساعدة الفنية لإصلاح </w:t>
            </w:r>
            <w:r w:rsidR="000F4573">
              <w:rPr>
                <w:rFonts w:hint="cs"/>
                <w:sz w:val="24"/>
                <w:szCs w:val="24"/>
                <w:rtl/>
              </w:rPr>
              <w:t xml:space="preserve">قطاع </w:t>
            </w:r>
            <w:r w:rsidRPr="00124FCB">
              <w:rPr>
                <w:rFonts w:hint="cs"/>
                <w:sz w:val="24"/>
                <w:szCs w:val="24"/>
                <w:rtl/>
              </w:rPr>
              <w:t xml:space="preserve">شبكات </w:t>
            </w:r>
            <w:r w:rsidR="00AE4F11">
              <w:rPr>
                <w:rFonts w:hint="cs"/>
                <w:sz w:val="24"/>
                <w:szCs w:val="24"/>
                <w:rtl/>
              </w:rPr>
              <w:t>الحماية</w:t>
            </w:r>
            <w:r w:rsidRPr="00124FCB">
              <w:rPr>
                <w:rFonts w:hint="cs"/>
                <w:sz w:val="24"/>
                <w:szCs w:val="24"/>
                <w:rtl/>
              </w:rPr>
              <w:t xml:space="preserve"> الاجتماعي</w:t>
            </w:r>
            <w:r w:rsidR="00AE4F11">
              <w:rPr>
                <w:rFonts w:hint="cs"/>
                <w:sz w:val="24"/>
                <w:szCs w:val="24"/>
                <w:rtl/>
              </w:rPr>
              <w:t>ة</w:t>
            </w:r>
            <w:r w:rsidRPr="00124FCB">
              <w:rPr>
                <w:rFonts w:hint="cs"/>
                <w:sz w:val="24"/>
                <w:szCs w:val="24"/>
                <w:rtl/>
              </w:rPr>
              <w:t xml:space="preserve"> / </w:t>
            </w:r>
            <w:r w:rsidR="000F4573">
              <w:rPr>
                <w:rFonts w:hint="cs"/>
                <w:sz w:val="24"/>
                <w:szCs w:val="24"/>
                <w:rtl/>
              </w:rPr>
              <w:t xml:space="preserve">قطاع </w:t>
            </w:r>
            <w:r w:rsidRPr="00124FCB">
              <w:rPr>
                <w:rFonts w:hint="cs"/>
                <w:sz w:val="24"/>
                <w:szCs w:val="24"/>
                <w:rtl/>
              </w:rPr>
              <w:t>الطاقة في مصر (</w:t>
            </w:r>
            <w:r w:rsidRPr="00124FCB">
              <w:rPr>
                <w:sz w:val="24"/>
                <w:szCs w:val="24"/>
              </w:rPr>
              <w:t>P144305</w:t>
            </w:r>
            <w:r w:rsidRPr="00124FCB">
              <w:rPr>
                <w:rFonts w:hint="cs"/>
                <w:sz w:val="24"/>
                <w:szCs w:val="24"/>
                <w:rtl/>
              </w:rPr>
              <w:t>)</w:t>
            </w:r>
          </w:p>
        </w:tc>
      </w:tr>
      <w:tr w:rsidR="009B5664" w:rsidRPr="00124FCB" w:rsidTr="00124FCB">
        <w:tc>
          <w:tcPr>
            <w:tcW w:w="2410" w:type="dxa"/>
          </w:tcPr>
          <w:p w:rsidR="009B5664" w:rsidRPr="00124FCB" w:rsidRDefault="00E8228C" w:rsidP="00C05F93">
            <w:pPr>
              <w:spacing w:line="360" w:lineRule="auto"/>
              <w:jc w:val="both"/>
              <w:rPr>
                <w:sz w:val="24"/>
                <w:szCs w:val="24"/>
                <w:rtl/>
              </w:rPr>
            </w:pPr>
            <w:r w:rsidRPr="00124FCB">
              <w:rPr>
                <w:rFonts w:hint="cs"/>
                <w:sz w:val="24"/>
                <w:szCs w:val="24"/>
                <w:rtl/>
              </w:rPr>
              <w:t>المنطقة</w:t>
            </w:r>
          </w:p>
        </w:tc>
        <w:tc>
          <w:tcPr>
            <w:tcW w:w="6487" w:type="dxa"/>
          </w:tcPr>
          <w:p w:rsidR="009B5664" w:rsidRPr="00124FCB" w:rsidRDefault="00E8228C" w:rsidP="00C05F93">
            <w:pPr>
              <w:spacing w:line="360" w:lineRule="auto"/>
              <w:jc w:val="both"/>
              <w:rPr>
                <w:sz w:val="24"/>
                <w:szCs w:val="24"/>
                <w:rtl/>
              </w:rPr>
            </w:pPr>
            <w:r w:rsidRPr="00124FCB">
              <w:rPr>
                <w:rFonts w:hint="cs"/>
                <w:sz w:val="24"/>
                <w:szCs w:val="24"/>
                <w:rtl/>
              </w:rPr>
              <w:t>منطقة الشرق الأوسط وشمال إفريقيا</w:t>
            </w:r>
          </w:p>
        </w:tc>
      </w:tr>
      <w:tr w:rsidR="009B5664" w:rsidRPr="00124FCB" w:rsidTr="00124FCB">
        <w:tc>
          <w:tcPr>
            <w:tcW w:w="2410" w:type="dxa"/>
          </w:tcPr>
          <w:p w:rsidR="009B5664" w:rsidRPr="00124FCB" w:rsidRDefault="00E8228C" w:rsidP="00C05F93">
            <w:pPr>
              <w:spacing w:line="360" w:lineRule="auto"/>
              <w:jc w:val="both"/>
              <w:rPr>
                <w:sz w:val="24"/>
                <w:szCs w:val="24"/>
                <w:rtl/>
              </w:rPr>
            </w:pPr>
            <w:r w:rsidRPr="00124FCB">
              <w:rPr>
                <w:rFonts w:hint="cs"/>
                <w:sz w:val="24"/>
                <w:szCs w:val="24"/>
                <w:rtl/>
              </w:rPr>
              <w:t>الدولة</w:t>
            </w:r>
          </w:p>
        </w:tc>
        <w:tc>
          <w:tcPr>
            <w:tcW w:w="6487" w:type="dxa"/>
          </w:tcPr>
          <w:p w:rsidR="009B5664" w:rsidRPr="00124FCB" w:rsidRDefault="00E8228C" w:rsidP="00C05F93">
            <w:pPr>
              <w:spacing w:line="360" w:lineRule="auto"/>
              <w:jc w:val="both"/>
              <w:rPr>
                <w:sz w:val="24"/>
                <w:szCs w:val="24"/>
                <w:rtl/>
              </w:rPr>
            </w:pPr>
            <w:r w:rsidRPr="00124FCB">
              <w:rPr>
                <w:rFonts w:hint="cs"/>
                <w:sz w:val="24"/>
                <w:szCs w:val="24"/>
                <w:rtl/>
              </w:rPr>
              <w:t>جمهورية مصر العربية</w:t>
            </w:r>
          </w:p>
        </w:tc>
      </w:tr>
      <w:tr w:rsidR="009B5664" w:rsidRPr="00124FCB" w:rsidTr="00124FCB">
        <w:tc>
          <w:tcPr>
            <w:tcW w:w="2410" w:type="dxa"/>
          </w:tcPr>
          <w:p w:rsidR="009B5664" w:rsidRPr="00124FCB" w:rsidRDefault="00E8228C" w:rsidP="00C05F93">
            <w:pPr>
              <w:spacing w:line="360" w:lineRule="auto"/>
              <w:jc w:val="both"/>
              <w:rPr>
                <w:sz w:val="24"/>
                <w:szCs w:val="24"/>
                <w:rtl/>
              </w:rPr>
            </w:pPr>
            <w:r w:rsidRPr="00124FCB">
              <w:rPr>
                <w:rFonts w:hint="cs"/>
                <w:sz w:val="24"/>
                <w:szCs w:val="24"/>
                <w:rtl/>
              </w:rPr>
              <w:t>القطاع/ القطاعات</w:t>
            </w:r>
          </w:p>
        </w:tc>
        <w:tc>
          <w:tcPr>
            <w:tcW w:w="6487" w:type="dxa"/>
          </w:tcPr>
          <w:p w:rsidR="009B5664" w:rsidRPr="00124FCB" w:rsidRDefault="00877F8E" w:rsidP="00C05F93">
            <w:pPr>
              <w:spacing w:line="360" w:lineRule="auto"/>
              <w:jc w:val="both"/>
              <w:rPr>
                <w:sz w:val="24"/>
                <w:szCs w:val="24"/>
                <w:rtl/>
              </w:rPr>
            </w:pPr>
            <w:r w:rsidRPr="00124FCB">
              <w:rPr>
                <w:rFonts w:hint="cs"/>
                <w:sz w:val="24"/>
                <w:szCs w:val="24"/>
                <w:rtl/>
              </w:rPr>
              <w:t>قطاع الطاقة العام (50%)، قطاعات أخرى للطاقات المتجددة (10%)، قطاعات أخرى في الخدمات الاجتماعية (40%).</w:t>
            </w:r>
          </w:p>
        </w:tc>
      </w:tr>
      <w:tr w:rsidR="009B5664" w:rsidRPr="00124FCB" w:rsidTr="00124FCB">
        <w:tc>
          <w:tcPr>
            <w:tcW w:w="2410" w:type="dxa"/>
          </w:tcPr>
          <w:p w:rsidR="009B5664" w:rsidRPr="00124FCB" w:rsidRDefault="006B0911" w:rsidP="00C05F93">
            <w:pPr>
              <w:spacing w:line="360" w:lineRule="auto"/>
              <w:jc w:val="both"/>
              <w:rPr>
                <w:sz w:val="24"/>
                <w:szCs w:val="24"/>
                <w:rtl/>
              </w:rPr>
            </w:pPr>
            <w:r w:rsidRPr="00124FCB">
              <w:rPr>
                <w:sz w:val="24"/>
                <w:szCs w:val="24"/>
                <w:rtl/>
              </w:rPr>
              <w:t>أداة الإقراض</w:t>
            </w:r>
          </w:p>
        </w:tc>
        <w:tc>
          <w:tcPr>
            <w:tcW w:w="6487" w:type="dxa"/>
          </w:tcPr>
          <w:p w:rsidR="009B5664" w:rsidRPr="00124FCB" w:rsidRDefault="006B0911" w:rsidP="00C05F93">
            <w:pPr>
              <w:spacing w:line="360" w:lineRule="auto"/>
              <w:jc w:val="both"/>
              <w:rPr>
                <w:sz w:val="24"/>
                <w:szCs w:val="24"/>
                <w:rtl/>
              </w:rPr>
            </w:pPr>
            <w:r w:rsidRPr="00124FCB">
              <w:rPr>
                <w:sz w:val="24"/>
                <w:szCs w:val="24"/>
                <w:rtl/>
              </w:rPr>
              <w:t>قرض استثماري محدد</w:t>
            </w:r>
          </w:p>
        </w:tc>
      </w:tr>
      <w:tr w:rsidR="009B5664" w:rsidRPr="00124FCB" w:rsidTr="00124FCB">
        <w:tc>
          <w:tcPr>
            <w:tcW w:w="2410" w:type="dxa"/>
          </w:tcPr>
          <w:p w:rsidR="009B5664" w:rsidRPr="00124FCB" w:rsidRDefault="00A1681C" w:rsidP="00C05F93">
            <w:pPr>
              <w:spacing w:line="360" w:lineRule="auto"/>
              <w:jc w:val="both"/>
              <w:rPr>
                <w:sz w:val="24"/>
                <w:szCs w:val="24"/>
                <w:rtl/>
              </w:rPr>
            </w:pPr>
            <w:r w:rsidRPr="00124FCB">
              <w:rPr>
                <w:sz w:val="24"/>
                <w:szCs w:val="24"/>
                <w:rtl/>
              </w:rPr>
              <w:t>الرقم التعريفي للمشروع</w:t>
            </w:r>
          </w:p>
        </w:tc>
        <w:tc>
          <w:tcPr>
            <w:tcW w:w="6487" w:type="dxa"/>
          </w:tcPr>
          <w:p w:rsidR="009B5664" w:rsidRPr="00124FCB" w:rsidRDefault="00124FCB" w:rsidP="00C05F93">
            <w:pPr>
              <w:spacing w:line="360" w:lineRule="auto"/>
              <w:jc w:val="both"/>
              <w:rPr>
                <w:sz w:val="24"/>
                <w:szCs w:val="24"/>
                <w:rtl/>
              </w:rPr>
            </w:pPr>
            <w:r w:rsidRPr="00124FCB">
              <w:rPr>
                <w:sz w:val="24"/>
                <w:szCs w:val="24"/>
              </w:rPr>
              <w:t>P144305</w:t>
            </w:r>
          </w:p>
        </w:tc>
      </w:tr>
      <w:tr w:rsidR="00124FCB" w:rsidRPr="00124FCB" w:rsidTr="00124FCB">
        <w:tc>
          <w:tcPr>
            <w:tcW w:w="2410" w:type="dxa"/>
          </w:tcPr>
          <w:p w:rsidR="00124FCB" w:rsidRPr="00124FCB" w:rsidRDefault="00124FCB" w:rsidP="00C05F93">
            <w:pPr>
              <w:spacing w:line="360" w:lineRule="auto"/>
              <w:jc w:val="both"/>
              <w:rPr>
                <w:sz w:val="24"/>
                <w:szCs w:val="24"/>
                <w:rtl/>
              </w:rPr>
            </w:pPr>
            <w:r w:rsidRPr="00124FCB">
              <w:rPr>
                <w:sz w:val="24"/>
                <w:szCs w:val="24"/>
                <w:rtl/>
              </w:rPr>
              <w:t>المقترض / المستلم</w:t>
            </w:r>
          </w:p>
        </w:tc>
        <w:tc>
          <w:tcPr>
            <w:tcW w:w="6487" w:type="dxa"/>
          </w:tcPr>
          <w:p w:rsidR="00124FCB" w:rsidRPr="00124FCB" w:rsidRDefault="00124FCB" w:rsidP="00C80E60">
            <w:pPr>
              <w:spacing w:line="360" w:lineRule="auto"/>
              <w:jc w:val="both"/>
              <w:rPr>
                <w:sz w:val="24"/>
                <w:szCs w:val="24"/>
                <w:rtl/>
              </w:rPr>
            </w:pPr>
            <w:r w:rsidRPr="00124FCB">
              <w:rPr>
                <w:rFonts w:hint="cs"/>
                <w:sz w:val="24"/>
                <w:szCs w:val="24"/>
                <w:rtl/>
              </w:rPr>
              <w:t>جمهورية مصر العربية</w:t>
            </w:r>
          </w:p>
        </w:tc>
      </w:tr>
      <w:tr w:rsidR="00124FCB" w:rsidRPr="00124FCB" w:rsidTr="00124FCB">
        <w:tc>
          <w:tcPr>
            <w:tcW w:w="2410" w:type="dxa"/>
          </w:tcPr>
          <w:p w:rsidR="00124FCB" w:rsidRPr="00124FCB" w:rsidRDefault="00124FCB" w:rsidP="00C05F93">
            <w:pPr>
              <w:spacing w:line="360" w:lineRule="auto"/>
              <w:jc w:val="both"/>
              <w:rPr>
                <w:sz w:val="24"/>
                <w:szCs w:val="24"/>
                <w:rtl/>
              </w:rPr>
            </w:pPr>
            <w:r>
              <w:rPr>
                <w:rFonts w:hint="cs"/>
                <w:sz w:val="24"/>
                <w:szCs w:val="24"/>
                <w:rtl/>
              </w:rPr>
              <w:t>وكالة تنفيذ المشروع</w:t>
            </w:r>
          </w:p>
        </w:tc>
        <w:tc>
          <w:tcPr>
            <w:tcW w:w="6487" w:type="dxa"/>
          </w:tcPr>
          <w:p w:rsidR="00124FCB" w:rsidRPr="00124FCB" w:rsidRDefault="00124FCB" w:rsidP="00C05F93">
            <w:pPr>
              <w:spacing w:line="360" w:lineRule="auto"/>
              <w:jc w:val="both"/>
              <w:rPr>
                <w:sz w:val="24"/>
                <w:szCs w:val="24"/>
                <w:rtl/>
              </w:rPr>
            </w:pPr>
            <w:r>
              <w:rPr>
                <w:rFonts w:hint="cs"/>
                <w:sz w:val="24"/>
                <w:szCs w:val="24"/>
                <w:rtl/>
              </w:rPr>
              <w:t>وزارة الكهرباء والطاقة</w:t>
            </w:r>
          </w:p>
        </w:tc>
      </w:tr>
      <w:tr w:rsidR="00124FCB" w:rsidRPr="00124FCB" w:rsidTr="00124FCB">
        <w:tc>
          <w:tcPr>
            <w:tcW w:w="2410" w:type="dxa"/>
          </w:tcPr>
          <w:p w:rsidR="00124FCB" w:rsidRPr="00124FCB" w:rsidRDefault="00D24EE9" w:rsidP="00C05F93">
            <w:pPr>
              <w:spacing w:line="360" w:lineRule="auto"/>
              <w:jc w:val="both"/>
              <w:rPr>
                <w:sz w:val="24"/>
                <w:szCs w:val="24"/>
                <w:rtl/>
              </w:rPr>
            </w:pPr>
            <w:r>
              <w:rPr>
                <w:rFonts w:hint="cs"/>
                <w:sz w:val="24"/>
                <w:szCs w:val="24"/>
                <w:rtl/>
              </w:rPr>
              <w:t>التصنيف البيئي</w:t>
            </w:r>
          </w:p>
        </w:tc>
        <w:tc>
          <w:tcPr>
            <w:tcW w:w="6487" w:type="dxa"/>
          </w:tcPr>
          <w:p w:rsidR="00124FCB" w:rsidRPr="00124FCB" w:rsidRDefault="00D24EE9" w:rsidP="00C05F93">
            <w:pPr>
              <w:spacing w:line="360" w:lineRule="auto"/>
              <w:jc w:val="both"/>
              <w:rPr>
                <w:sz w:val="24"/>
                <w:szCs w:val="24"/>
                <w:rtl/>
              </w:rPr>
            </w:pPr>
            <w:r>
              <w:rPr>
                <w:rFonts w:hint="cs"/>
                <w:sz w:val="24"/>
                <w:szCs w:val="24"/>
                <w:rtl/>
              </w:rPr>
              <w:t xml:space="preserve">ج </w:t>
            </w:r>
            <w:r>
              <w:rPr>
                <w:sz w:val="24"/>
                <w:szCs w:val="24"/>
                <w:rtl/>
              </w:rPr>
              <w:t>–</w:t>
            </w:r>
            <w:r>
              <w:rPr>
                <w:rFonts w:hint="cs"/>
                <w:sz w:val="24"/>
                <w:szCs w:val="24"/>
                <w:rtl/>
              </w:rPr>
              <w:t xml:space="preserve"> غير مطلوب</w:t>
            </w:r>
          </w:p>
        </w:tc>
      </w:tr>
      <w:tr w:rsidR="00124FCB" w:rsidRPr="00124FCB" w:rsidTr="00124FCB">
        <w:tc>
          <w:tcPr>
            <w:tcW w:w="2410" w:type="dxa"/>
          </w:tcPr>
          <w:p w:rsidR="00124FCB" w:rsidRPr="00124FCB" w:rsidRDefault="00D24EE9" w:rsidP="00D24EE9">
            <w:pPr>
              <w:spacing w:line="360" w:lineRule="auto"/>
              <w:jc w:val="both"/>
              <w:rPr>
                <w:sz w:val="24"/>
                <w:szCs w:val="24"/>
                <w:rtl/>
              </w:rPr>
            </w:pPr>
            <w:r>
              <w:rPr>
                <w:rFonts w:hint="cs"/>
                <w:sz w:val="24"/>
                <w:szCs w:val="24"/>
                <w:rtl/>
              </w:rPr>
              <w:t>تاريخ إعداد / تحديث وثيقة معلومات المشروع</w:t>
            </w:r>
          </w:p>
        </w:tc>
        <w:tc>
          <w:tcPr>
            <w:tcW w:w="6487" w:type="dxa"/>
          </w:tcPr>
          <w:p w:rsidR="00124FCB" w:rsidRPr="00124FCB" w:rsidRDefault="00D24EE9" w:rsidP="00C05F93">
            <w:pPr>
              <w:spacing w:line="360" w:lineRule="auto"/>
              <w:jc w:val="both"/>
              <w:rPr>
                <w:sz w:val="24"/>
                <w:szCs w:val="24"/>
                <w:rtl/>
              </w:rPr>
            </w:pPr>
            <w:r>
              <w:rPr>
                <w:rFonts w:hint="cs"/>
                <w:sz w:val="24"/>
                <w:szCs w:val="24"/>
                <w:rtl/>
              </w:rPr>
              <w:t>22 مارس 2013</w:t>
            </w:r>
          </w:p>
        </w:tc>
      </w:tr>
      <w:tr w:rsidR="00124FCB" w:rsidRPr="00124FCB" w:rsidTr="00124FCB">
        <w:tc>
          <w:tcPr>
            <w:tcW w:w="2410" w:type="dxa"/>
          </w:tcPr>
          <w:p w:rsidR="00124FCB" w:rsidRPr="00124FCB" w:rsidRDefault="00D24EE9" w:rsidP="00C05F93">
            <w:pPr>
              <w:spacing w:line="360" w:lineRule="auto"/>
              <w:jc w:val="both"/>
              <w:rPr>
                <w:sz w:val="24"/>
                <w:szCs w:val="24"/>
                <w:rtl/>
              </w:rPr>
            </w:pPr>
            <w:r>
              <w:rPr>
                <w:rFonts w:hint="cs"/>
                <w:sz w:val="24"/>
                <w:szCs w:val="24"/>
                <w:rtl/>
              </w:rPr>
              <w:t>تاريخ الموافقة / الإفصاح عن وثيقة معلومات المشروع</w:t>
            </w:r>
          </w:p>
        </w:tc>
        <w:tc>
          <w:tcPr>
            <w:tcW w:w="6487" w:type="dxa"/>
          </w:tcPr>
          <w:p w:rsidR="00124FCB" w:rsidRPr="00124FCB" w:rsidRDefault="00D24EE9" w:rsidP="00C05F93">
            <w:pPr>
              <w:spacing w:line="360" w:lineRule="auto"/>
              <w:jc w:val="both"/>
              <w:rPr>
                <w:sz w:val="24"/>
                <w:szCs w:val="24"/>
                <w:rtl/>
              </w:rPr>
            </w:pPr>
            <w:r>
              <w:rPr>
                <w:rFonts w:hint="cs"/>
                <w:sz w:val="24"/>
                <w:szCs w:val="24"/>
                <w:rtl/>
              </w:rPr>
              <w:t>22 مارس 2013</w:t>
            </w:r>
          </w:p>
        </w:tc>
      </w:tr>
      <w:tr w:rsidR="00C94873" w:rsidRPr="00124FCB" w:rsidTr="00124FCB">
        <w:tc>
          <w:tcPr>
            <w:tcW w:w="2410" w:type="dxa"/>
          </w:tcPr>
          <w:p w:rsidR="00C94873" w:rsidRPr="00124FCB" w:rsidRDefault="00C94873" w:rsidP="00C05F93">
            <w:pPr>
              <w:spacing w:line="360" w:lineRule="auto"/>
              <w:jc w:val="both"/>
              <w:rPr>
                <w:sz w:val="24"/>
                <w:szCs w:val="24"/>
                <w:rtl/>
              </w:rPr>
            </w:pPr>
            <w:r w:rsidRPr="00124FCB">
              <w:rPr>
                <w:sz w:val="24"/>
                <w:szCs w:val="24"/>
                <w:rtl/>
              </w:rPr>
              <w:t>التاريخ التقديري ل</w:t>
            </w:r>
            <w:r>
              <w:rPr>
                <w:rFonts w:hint="cs"/>
                <w:sz w:val="24"/>
                <w:szCs w:val="24"/>
                <w:rtl/>
              </w:rPr>
              <w:t>لانتهاء من ا</w:t>
            </w:r>
            <w:r w:rsidRPr="00124FCB">
              <w:rPr>
                <w:sz w:val="24"/>
                <w:szCs w:val="24"/>
                <w:rtl/>
              </w:rPr>
              <w:t>لتقييم</w:t>
            </w:r>
          </w:p>
        </w:tc>
        <w:tc>
          <w:tcPr>
            <w:tcW w:w="6487" w:type="dxa"/>
          </w:tcPr>
          <w:p w:rsidR="00C94873" w:rsidRPr="00124FCB" w:rsidRDefault="00C94873" w:rsidP="00C80E60">
            <w:pPr>
              <w:spacing w:line="360" w:lineRule="auto"/>
              <w:jc w:val="both"/>
              <w:rPr>
                <w:sz w:val="24"/>
                <w:szCs w:val="24"/>
                <w:rtl/>
              </w:rPr>
            </w:pPr>
            <w:r>
              <w:rPr>
                <w:rFonts w:hint="cs"/>
                <w:sz w:val="24"/>
                <w:szCs w:val="24"/>
                <w:rtl/>
              </w:rPr>
              <w:t>28 مارس 2013</w:t>
            </w:r>
          </w:p>
        </w:tc>
      </w:tr>
      <w:tr w:rsidR="00C94873" w:rsidRPr="00124FCB" w:rsidTr="00124FCB">
        <w:tc>
          <w:tcPr>
            <w:tcW w:w="2410" w:type="dxa"/>
          </w:tcPr>
          <w:p w:rsidR="00C94873" w:rsidRPr="00124FCB" w:rsidRDefault="00C94873" w:rsidP="00C94873">
            <w:pPr>
              <w:spacing w:line="360" w:lineRule="auto"/>
              <w:jc w:val="both"/>
              <w:rPr>
                <w:sz w:val="24"/>
                <w:szCs w:val="24"/>
                <w:rtl/>
              </w:rPr>
            </w:pPr>
            <w:r w:rsidRPr="00124FCB">
              <w:rPr>
                <w:sz w:val="24"/>
                <w:szCs w:val="24"/>
                <w:rtl/>
              </w:rPr>
              <w:t xml:space="preserve">التاريخ التقديري </w:t>
            </w:r>
            <w:r>
              <w:rPr>
                <w:rFonts w:hint="cs"/>
                <w:sz w:val="24"/>
                <w:szCs w:val="24"/>
                <w:rtl/>
              </w:rPr>
              <w:t>للحصول على موافقة</w:t>
            </w:r>
            <w:r w:rsidRPr="00124FCB">
              <w:rPr>
                <w:sz w:val="24"/>
                <w:szCs w:val="24"/>
                <w:rtl/>
              </w:rPr>
              <w:t xml:space="preserve"> مجلس المديرين التنفيذيين</w:t>
            </w:r>
          </w:p>
        </w:tc>
        <w:tc>
          <w:tcPr>
            <w:tcW w:w="6487" w:type="dxa"/>
          </w:tcPr>
          <w:p w:rsidR="00C94873" w:rsidRPr="00124FCB" w:rsidRDefault="00C94873" w:rsidP="00C05F93">
            <w:pPr>
              <w:spacing w:line="360" w:lineRule="auto"/>
              <w:jc w:val="both"/>
              <w:rPr>
                <w:sz w:val="24"/>
                <w:szCs w:val="24"/>
                <w:rtl/>
              </w:rPr>
            </w:pPr>
            <w:r>
              <w:rPr>
                <w:rFonts w:hint="cs"/>
                <w:sz w:val="24"/>
                <w:szCs w:val="24"/>
                <w:rtl/>
              </w:rPr>
              <w:t>24 يوليو 2013</w:t>
            </w:r>
          </w:p>
        </w:tc>
      </w:tr>
      <w:tr w:rsidR="00C94873" w:rsidRPr="00124FCB" w:rsidTr="00124FCB">
        <w:tc>
          <w:tcPr>
            <w:tcW w:w="2410" w:type="dxa"/>
          </w:tcPr>
          <w:p w:rsidR="00C94873" w:rsidRPr="00124FCB" w:rsidRDefault="00C94873" w:rsidP="00C94873">
            <w:pPr>
              <w:spacing w:line="360" w:lineRule="auto"/>
              <w:jc w:val="both"/>
              <w:rPr>
                <w:sz w:val="24"/>
                <w:szCs w:val="24"/>
                <w:rtl/>
              </w:rPr>
            </w:pPr>
            <w:r>
              <w:rPr>
                <w:rFonts w:hint="cs"/>
                <w:sz w:val="24"/>
                <w:szCs w:val="24"/>
                <w:rtl/>
              </w:rPr>
              <w:t>القرار</w:t>
            </w:r>
          </w:p>
        </w:tc>
        <w:tc>
          <w:tcPr>
            <w:tcW w:w="6487" w:type="dxa"/>
          </w:tcPr>
          <w:p w:rsidR="00C94873" w:rsidRDefault="00A55BF6" w:rsidP="00C05F93">
            <w:pPr>
              <w:spacing w:line="360" w:lineRule="auto"/>
              <w:jc w:val="both"/>
              <w:rPr>
                <w:sz w:val="24"/>
                <w:szCs w:val="24"/>
                <w:rtl/>
              </w:rPr>
            </w:pPr>
            <w:r>
              <w:rPr>
                <w:rFonts w:hint="cs"/>
                <w:sz w:val="24"/>
                <w:szCs w:val="24"/>
                <w:rtl/>
              </w:rPr>
              <w:t>تمت الموافقة على المباشرة في أعمال تقييم المشروع</w:t>
            </w:r>
          </w:p>
        </w:tc>
      </w:tr>
      <w:tr w:rsidR="00A55BF6" w:rsidRPr="00124FCB" w:rsidTr="00124FCB">
        <w:tc>
          <w:tcPr>
            <w:tcW w:w="2410" w:type="dxa"/>
          </w:tcPr>
          <w:p w:rsidR="00A55BF6" w:rsidRDefault="00A55BF6" w:rsidP="00C94873">
            <w:pPr>
              <w:spacing w:line="360" w:lineRule="auto"/>
              <w:jc w:val="both"/>
              <w:rPr>
                <w:sz w:val="24"/>
                <w:szCs w:val="24"/>
                <w:rtl/>
              </w:rPr>
            </w:pPr>
            <w:r>
              <w:rPr>
                <w:rFonts w:hint="cs"/>
                <w:sz w:val="24"/>
                <w:szCs w:val="24"/>
                <w:rtl/>
              </w:rPr>
              <w:t>قرارات أخرى</w:t>
            </w:r>
          </w:p>
        </w:tc>
        <w:tc>
          <w:tcPr>
            <w:tcW w:w="6487" w:type="dxa"/>
          </w:tcPr>
          <w:p w:rsidR="00A55BF6" w:rsidRDefault="00A55BF6" w:rsidP="00C05F93">
            <w:pPr>
              <w:spacing w:line="360" w:lineRule="auto"/>
              <w:jc w:val="both"/>
              <w:rPr>
                <w:sz w:val="24"/>
                <w:szCs w:val="24"/>
                <w:rtl/>
              </w:rPr>
            </w:pPr>
          </w:p>
        </w:tc>
      </w:tr>
    </w:tbl>
    <w:p w:rsidR="00084EDD" w:rsidRDefault="00084EDD" w:rsidP="00C05F93">
      <w:pPr>
        <w:spacing w:line="360" w:lineRule="auto"/>
        <w:jc w:val="both"/>
        <w:rPr>
          <w:sz w:val="30"/>
          <w:rtl/>
        </w:rPr>
      </w:pPr>
    </w:p>
    <w:p w:rsidR="005A046A" w:rsidRPr="005A046A" w:rsidRDefault="00C80E60" w:rsidP="005A046A">
      <w:pPr>
        <w:pStyle w:val="ListParagraph"/>
        <w:numPr>
          <w:ilvl w:val="0"/>
          <w:numId w:val="2"/>
        </w:numPr>
        <w:spacing w:line="360" w:lineRule="auto"/>
        <w:jc w:val="both"/>
        <w:rPr>
          <w:b/>
          <w:bCs/>
          <w:sz w:val="32"/>
          <w:szCs w:val="32"/>
        </w:rPr>
      </w:pPr>
      <w:r>
        <w:rPr>
          <w:rFonts w:hint="cs"/>
          <w:b/>
          <w:bCs/>
          <w:sz w:val="32"/>
          <w:szCs w:val="32"/>
          <w:rtl/>
          <w:lang w:bidi="ar-EG"/>
        </w:rPr>
        <w:t>السياق</w:t>
      </w:r>
      <w:r w:rsidR="005A046A" w:rsidRPr="005A046A">
        <w:rPr>
          <w:rFonts w:hint="cs"/>
          <w:b/>
          <w:bCs/>
          <w:sz w:val="32"/>
          <w:szCs w:val="32"/>
          <w:rtl/>
        </w:rPr>
        <w:t xml:space="preserve"> العام للمشروع </w:t>
      </w:r>
    </w:p>
    <w:p w:rsidR="005A046A" w:rsidRPr="00AB74A5" w:rsidRDefault="00C80E60" w:rsidP="005A046A">
      <w:pPr>
        <w:pStyle w:val="ListParagraph"/>
        <w:spacing w:line="360" w:lineRule="auto"/>
        <w:ind w:left="1080"/>
        <w:jc w:val="both"/>
        <w:rPr>
          <w:b/>
          <w:bCs/>
          <w:sz w:val="32"/>
          <w:szCs w:val="32"/>
          <w:rtl/>
        </w:rPr>
      </w:pPr>
      <w:r>
        <w:rPr>
          <w:rFonts w:hint="cs"/>
          <w:b/>
          <w:bCs/>
          <w:sz w:val="32"/>
          <w:szCs w:val="32"/>
          <w:rtl/>
        </w:rPr>
        <w:t>السياق القطري</w:t>
      </w:r>
    </w:p>
    <w:p w:rsidR="000520B6" w:rsidRDefault="00716F0C" w:rsidP="00354A6A">
      <w:pPr>
        <w:pStyle w:val="ListParagraph"/>
        <w:numPr>
          <w:ilvl w:val="0"/>
          <w:numId w:val="3"/>
        </w:numPr>
        <w:spacing w:line="360" w:lineRule="auto"/>
        <w:jc w:val="both"/>
        <w:rPr>
          <w:sz w:val="30"/>
        </w:rPr>
      </w:pPr>
      <w:r>
        <w:rPr>
          <w:rFonts w:hint="cs"/>
          <w:sz w:val="30"/>
          <w:rtl/>
        </w:rPr>
        <w:lastRenderedPageBreak/>
        <w:t xml:space="preserve">تمر مصر حالياً بفترة تحولات سياسية واجتماعية هائلة، والتي بدأت مع ثورة </w:t>
      </w:r>
      <w:r w:rsidR="00270F7B">
        <w:rPr>
          <w:rFonts w:hint="cs"/>
          <w:sz w:val="30"/>
          <w:rtl/>
        </w:rPr>
        <w:t xml:space="preserve">يناير 2011. </w:t>
      </w:r>
      <w:r w:rsidR="000C2573">
        <w:rPr>
          <w:rFonts w:hint="cs"/>
          <w:sz w:val="30"/>
          <w:rtl/>
        </w:rPr>
        <w:t xml:space="preserve">فالقضايا </w:t>
      </w:r>
      <w:r w:rsidR="00F27967">
        <w:rPr>
          <w:rFonts w:hint="cs"/>
          <w:sz w:val="30"/>
          <w:rtl/>
        </w:rPr>
        <w:t xml:space="preserve">التنموية الاقتصادية والاجتماعية الشاملة وتوفير الوظائف والحد من الفقر والشفافية وإشراك المواطنين والحوكمة أصبحت في طليعة </w:t>
      </w:r>
      <w:r w:rsidR="00DA387D">
        <w:rPr>
          <w:rFonts w:hint="cs"/>
          <w:sz w:val="30"/>
          <w:rtl/>
        </w:rPr>
        <w:t xml:space="preserve">المناقشات الاجتماعية والاقتصادية. وتشير التجارب السابقة في الدول الأخرى أن مثل هذه التحولات </w:t>
      </w:r>
      <w:r w:rsidR="00D5309C">
        <w:rPr>
          <w:rFonts w:hint="cs"/>
          <w:sz w:val="30"/>
          <w:rtl/>
        </w:rPr>
        <w:t>المحفوفة بمخاطر هائلة وشكوك كثيرة من الممكن أن تستغرق أوقاتاً كبيرة بصورة نسبية</w:t>
      </w:r>
      <w:r w:rsidR="00125489">
        <w:rPr>
          <w:rFonts w:hint="cs"/>
          <w:sz w:val="30"/>
          <w:rtl/>
        </w:rPr>
        <w:t xml:space="preserve">، وأن المساعدة الخارجية خلال هذه الفترة الانتقالية </w:t>
      </w:r>
      <w:r w:rsidR="00354A6A">
        <w:rPr>
          <w:rFonts w:hint="cs"/>
          <w:sz w:val="30"/>
          <w:rtl/>
        </w:rPr>
        <w:t>من الممكن أن</w:t>
      </w:r>
      <w:r w:rsidR="00125489">
        <w:rPr>
          <w:rFonts w:hint="cs"/>
          <w:sz w:val="30"/>
          <w:rtl/>
        </w:rPr>
        <w:t xml:space="preserve"> تدعم </w:t>
      </w:r>
      <w:r w:rsidR="000520B6">
        <w:rPr>
          <w:rFonts w:hint="cs"/>
          <w:sz w:val="30"/>
          <w:rtl/>
        </w:rPr>
        <w:t xml:space="preserve">برامج الإصلاح الجذري ويمكنها </w:t>
      </w:r>
      <w:r w:rsidR="00354A6A">
        <w:rPr>
          <w:rFonts w:hint="cs"/>
          <w:sz w:val="30"/>
          <w:rtl/>
        </w:rPr>
        <w:t xml:space="preserve">أيضاً </w:t>
      </w:r>
      <w:r w:rsidR="000520B6">
        <w:rPr>
          <w:rFonts w:hint="cs"/>
          <w:sz w:val="30"/>
          <w:rtl/>
        </w:rPr>
        <w:t>أن تحقق مكاسب اقتصادية واجتماعية هائلة.</w:t>
      </w:r>
    </w:p>
    <w:p w:rsidR="00AB74A5" w:rsidRDefault="000520B6" w:rsidP="00C80E60">
      <w:pPr>
        <w:pStyle w:val="ListParagraph"/>
        <w:numPr>
          <w:ilvl w:val="0"/>
          <w:numId w:val="3"/>
        </w:numPr>
        <w:spacing w:line="360" w:lineRule="auto"/>
        <w:jc w:val="both"/>
        <w:rPr>
          <w:sz w:val="30"/>
        </w:rPr>
      </w:pPr>
      <w:r>
        <w:rPr>
          <w:rFonts w:hint="cs"/>
          <w:sz w:val="30"/>
          <w:rtl/>
        </w:rPr>
        <w:t xml:space="preserve"> </w:t>
      </w:r>
      <w:r w:rsidR="00C50B9C">
        <w:rPr>
          <w:rFonts w:hint="cs"/>
          <w:sz w:val="30"/>
          <w:rtl/>
        </w:rPr>
        <w:t xml:space="preserve">ولا تزال مصر، بعد عامين من الثورة، تعاني من ضعف الأنشطة الاقتصادية. </w:t>
      </w:r>
      <w:r w:rsidR="00B77003">
        <w:rPr>
          <w:rFonts w:hint="cs"/>
          <w:sz w:val="30"/>
          <w:rtl/>
        </w:rPr>
        <w:t>ولا يز</w:t>
      </w:r>
      <w:r w:rsidR="008B13DD">
        <w:rPr>
          <w:rFonts w:hint="cs"/>
          <w:sz w:val="30"/>
          <w:rtl/>
        </w:rPr>
        <w:t>ال معدل النمو منخفضاً إذ زا</w:t>
      </w:r>
      <w:r w:rsidR="00B77003">
        <w:rPr>
          <w:rFonts w:hint="cs"/>
          <w:sz w:val="30"/>
          <w:rtl/>
        </w:rPr>
        <w:t xml:space="preserve">د معدل النمو الفعلي للناتج المحلي الإجمالي </w:t>
      </w:r>
      <w:r w:rsidR="008B13DD">
        <w:rPr>
          <w:rFonts w:hint="cs"/>
          <w:sz w:val="30"/>
          <w:rtl/>
        </w:rPr>
        <w:t>ليصل إلى</w:t>
      </w:r>
      <w:r w:rsidR="00B77003">
        <w:rPr>
          <w:rFonts w:hint="cs"/>
          <w:sz w:val="30"/>
          <w:rtl/>
        </w:rPr>
        <w:t xml:space="preserve"> 2.2% في العام المالي 2012</w:t>
      </w:r>
      <w:r w:rsidR="008B13DD">
        <w:rPr>
          <w:rFonts w:hint="cs"/>
          <w:sz w:val="30"/>
          <w:rtl/>
        </w:rPr>
        <w:t xml:space="preserve">، وهذه الزيادة تعد زيادة طفيفة من النسبة التي حققها الناتج المحلي الإجمالي في العام السابق والتي بلغت 1.8%. </w:t>
      </w:r>
      <w:r w:rsidR="004D27FF">
        <w:rPr>
          <w:rFonts w:hint="cs"/>
          <w:sz w:val="30"/>
          <w:rtl/>
        </w:rPr>
        <w:t>واستمر معدل البطالة في الارتفاع ليصل إلى 12.6% في مارس 2012</w:t>
      </w:r>
      <w:r w:rsidR="00B0290D">
        <w:rPr>
          <w:rFonts w:hint="cs"/>
          <w:sz w:val="30"/>
          <w:rtl/>
        </w:rPr>
        <w:t xml:space="preserve">، وتزداد الاضطرابات الاجتماعية مع المظاهرات والاحتجاجات المستمرة. </w:t>
      </w:r>
      <w:r w:rsidR="00AB1BDC">
        <w:rPr>
          <w:rFonts w:hint="cs"/>
          <w:sz w:val="30"/>
          <w:rtl/>
        </w:rPr>
        <w:t xml:space="preserve">بينما </w:t>
      </w:r>
      <w:r w:rsidR="00C80E60">
        <w:rPr>
          <w:rFonts w:hint="cs"/>
          <w:sz w:val="30"/>
          <w:rtl/>
        </w:rPr>
        <w:t xml:space="preserve">أصبح </w:t>
      </w:r>
      <w:r w:rsidR="00AB1BDC">
        <w:rPr>
          <w:rFonts w:hint="cs"/>
          <w:sz w:val="30"/>
          <w:rtl/>
        </w:rPr>
        <w:t>وضع ميزان المدفوعات أكثر عرضة للمخاطر. وانخفضت الاحتياطات الأجنبية الدولية لتصل إلى 15.1 مليار دولار أمريكي في نهاية أغسطس 2012</w:t>
      </w:r>
      <w:r w:rsidR="007D3D1D">
        <w:rPr>
          <w:rFonts w:hint="cs"/>
          <w:sz w:val="30"/>
          <w:rtl/>
        </w:rPr>
        <w:t xml:space="preserve">، مما يعني أنها تكفي 3.1 أشهر من الواردات </w:t>
      </w:r>
      <w:r w:rsidR="00924597">
        <w:rPr>
          <w:rFonts w:hint="cs"/>
          <w:sz w:val="30"/>
          <w:rtl/>
        </w:rPr>
        <w:t>المتوقعة من الخدمات والبضائع (</w:t>
      </w:r>
      <w:r w:rsidR="00342E53">
        <w:rPr>
          <w:rFonts w:hint="cs"/>
          <w:sz w:val="30"/>
          <w:rtl/>
        </w:rPr>
        <w:t>انخفض الاحتياطي الأجنبي من 26.4 مليار دولار في نهاية يون</w:t>
      </w:r>
      <w:r w:rsidR="00B67ED7">
        <w:rPr>
          <w:rFonts w:hint="cs"/>
          <w:sz w:val="30"/>
          <w:rtl/>
        </w:rPr>
        <w:t>يو 2011)،</w:t>
      </w:r>
      <w:r w:rsidR="00342E53">
        <w:rPr>
          <w:rFonts w:hint="cs"/>
          <w:sz w:val="30"/>
          <w:rtl/>
        </w:rPr>
        <w:t xml:space="preserve"> </w:t>
      </w:r>
      <w:r w:rsidR="00B67ED7">
        <w:rPr>
          <w:rFonts w:hint="cs"/>
          <w:sz w:val="30"/>
          <w:rtl/>
        </w:rPr>
        <w:t xml:space="preserve">مما أدى إلى استمرار الضغوط المالية الهائلة. </w:t>
      </w:r>
    </w:p>
    <w:p w:rsidR="001F2881" w:rsidRDefault="00837EAA" w:rsidP="003A6331">
      <w:pPr>
        <w:pStyle w:val="ListParagraph"/>
        <w:numPr>
          <w:ilvl w:val="0"/>
          <w:numId w:val="3"/>
        </w:numPr>
        <w:spacing w:line="360" w:lineRule="auto"/>
        <w:jc w:val="both"/>
        <w:rPr>
          <w:sz w:val="30"/>
        </w:rPr>
      </w:pPr>
      <w:r>
        <w:rPr>
          <w:rFonts w:hint="cs"/>
          <w:sz w:val="30"/>
          <w:rtl/>
        </w:rPr>
        <w:t>انخفضت الموارد المالية العامة بصورة كبيرة في العام المالي 2012 مما أدى إلى زيادة الدين الحكومي العام ليصل إلى 80% من الناتج المحلي الإجمالي</w:t>
      </w:r>
      <w:r w:rsidR="00361EAB">
        <w:rPr>
          <w:rFonts w:hint="cs"/>
          <w:sz w:val="30"/>
          <w:rtl/>
        </w:rPr>
        <w:t xml:space="preserve">. </w:t>
      </w:r>
      <w:r w:rsidR="00CF203D">
        <w:rPr>
          <w:rFonts w:hint="cs"/>
          <w:sz w:val="30"/>
          <w:rtl/>
        </w:rPr>
        <w:t>زاد</w:t>
      </w:r>
      <w:r w:rsidR="00361EAB">
        <w:rPr>
          <w:rFonts w:hint="cs"/>
          <w:sz w:val="30"/>
          <w:rtl/>
        </w:rPr>
        <w:t xml:space="preserve"> العجز الكلي في الموازنة في العام المالي 2012 </w:t>
      </w:r>
      <w:r w:rsidR="00CF203D">
        <w:rPr>
          <w:rFonts w:hint="cs"/>
          <w:sz w:val="30"/>
          <w:rtl/>
        </w:rPr>
        <w:t xml:space="preserve">ليصل </w:t>
      </w:r>
      <w:r w:rsidR="00361EAB">
        <w:rPr>
          <w:rFonts w:hint="cs"/>
          <w:sz w:val="30"/>
          <w:rtl/>
        </w:rPr>
        <w:t xml:space="preserve">إلى </w:t>
      </w:r>
      <w:r w:rsidR="00CF203D">
        <w:rPr>
          <w:rFonts w:hint="cs"/>
          <w:sz w:val="30"/>
          <w:rtl/>
        </w:rPr>
        <w:t xml:space="preserve">10.8% من الناتج المحلي الإجمالي. </w:t>
      </w:r>
      <w:r w:rsidR="00046145">
        <w:rPr>
          <w:rFonts w:hint="cs"/>
          <w:sz w:val="30"/>
          <w:rtl/>
        </w:rPr>
        <w:t xml:space="preserve">ونشأ هذا العجز الكبير من جراء انخفاض </w:t>
      </w:r>
      <w:r w:rsidR="00263636">
        <w:rPr>
          <w:rFonts w:hint="cs"/>
          <w:sz w:val="30"/>
          <w:rtl/>
        </w:rPr>
        <w:t xml:space="preserve">الإيرادات الضريبية </w:t>
      </w:r>
      <w:r w:rsidR="00821812">
        <w:rPr>
          <w:rFonts w:hint="cs"/>
          <w:sz w:val="30"/>
          <w:rtl/>
        </w:rPr>
        <w:t>بصورة أكبر من المتوقع</w:t>
      </w:r>
      <w:r w:rsidR="006E334E">
        <w:rPr>
          <w:rFonts w:hint="cs"/>
          <w:sz w:val="30"/>
          <w:rtl/>
        </w:rPr>
        <w:t xml:space="preserve"> وذلك بسبب ضعف النمو </w:t>
      </w:r>
      <w:r w:rsidR="003A6331">
        <w:rPr>
          <w:rFonts w:hint="cs"/>
          <w:sz w:val="30"/>
          <w:rtl/>
        </w:rPr>
        <w:t xml:space="preserve">وزيادة نسبة الإنفاق على الرواتب والمعاشات التقاعدية </w:t>
      </w:r>
      <w:r w:rsidR="003A6331">
        <w:rPr>
          <w:rFonts w:hint="cs"/>
          <w:sz w:val="30"/>
          <w:rtl/>
        </w:rPr>
        <w:lastRenderedPageBreak/>
        <w:t xml:space="preserve">ودعم المواد البترولية. </w:t>
      </w:r>
      <w:r w:rsidR="0071034B">
        <w:rPr>
          <w:rFonts w:hint="cs"/>
          <w:sz w:val="30"/>
          <w:rtl/>
        </w:rPr>
        <w:t xml:space="preserve">وفي الوقت ذاته، </w:t>
      </w:r>
      <w:r w:rsidR="002F6C84">
        <w:rPr>
          <w:rFonts w:hint="cs"/>
          <w:sz w:val="30"/>
          <w:rtl/>
        </w:rPr>
        <w:t xml:space="preserve">انخفض الإنفاق الاستثماري بصورة كبيرة. ودفعت الزيادة في عجز الموازنة في العام المالي 2012 مستوى الدين الحكومي العام ليتجاوز نسبة 80% من الناتج المحلي الإجمالي. </w:t>
      </w:r>
    </w:p>
    <w:p w:rsidR="006760BF" w:rsidRDefault="003A2ECE" w:rsidP="00C80E60">
      <w:pPr>
        <w:pStyle w:val="ListParagraph"/>
        <w:numPr>
          <w:ilvl w:val="0"/>
          <w:numId w:val="3"/>
        </w:numPr>
        <w:spacing w:line="360" w:lineRule="auto"/>
        <w:jc w:val="both"/>
        <w:rPr>
          <w:sz w:val="30"/>
        </w:rPr>
      </w:pPr>
      <w:r>
        <w:rPr>
          <w:rFonts w:hint="cs"/>
          <w:sz w:val="30"/>
          <w:rtl/>
        </w:rPr>
        <w:t>شهدت الموازنة الفعلية للعام المالي 2013 انخفاضاً في نسبة العجز ليصل إلى 7.6% من الناتج المحلي الإجمالي، و</w:t>
      </w:r>
      <w:r w:rsidR="00C80E60">
        <w:rPr>
          <w:rFonts w:hint="cs"/>
          <w:sz w:val="30"/>
          <w:rtl/>
        </w:rPr>
        <w:t xml:space="preserve">يرجع </w:t>
      </w:r>
      <w:r>
        <w:rPr>
          <w:rFonts w:hint="cs"/>
          <w:sz w:val="30"/>
          <w:rtl/>
        </w:rPr>
        <w:t xml:space="preserve">ذلك بصورة أساسية إلى انخفاض الدعم المخصص لعدد من منتجات الطاقة والتي تشمل الكهرباء </w:t>
      </w:r>
      <w:r w:rsidR="004B7349">
        <w:rPr>
          <w:rFonts w:hint="cs"/>
          <w:sz w:val="30"/>
          <w:rtl/>
        </w:rPr>
        <w:t xml:space="preserve">والغاز الطبيعي المسال، والغازولين </w:t>
      </w:r>
      <w:r w:rsidR="00440019">
        <w:rPr>
          <w:rFonts w:hint="cs"/>
          <w:sz w:val="30"/>
          <w:rtl/>
        </w:rPr>
        <w:t>ووقود الديزل ووقود البنزين والغاز الطبيعي</w:t>
      </w:r>
      <w:r w:rsidR="00562D93">
        <w:rPr>
          <w:rFonts w:hint="cs"/>
          <w:sz w:val="30"/>
          <w:rtl/>
        </w:rPr>
        <w:t xml:space="preserve">، ولكن </w:t>
      </w:r>
      <w:r w:rsidR="00514691">
        <w:rPr>
          <w:rFonts w:hint="cs"/>
          <w:sz w:val="30"/>
          <w:rtl/>
        </w:rPr>
        <w:t xml:space="preserve">تعديل الموازنة في العام الماضي والتأخير في اتخاذ إجراءات التعديل يعني أن الهدف الأصلي من التعديل لم يعد من الممكن الوصول إليه. </w:t>
      </w:r>
    </w:p>
    <w:p w:rsidR="00A458BB" w:rsidRDefault="002C4951" w:rsidP="00C80E60">
      <w:pPr>
        <w:pStyle w:val="ListParagraph"/>
        <w:numPr>
          <w:ilvl w:val="0"/>
          <w:numId w:val="3"/>
        </w:numPr>
        <w:spacing w:line="360" w:lineRule="auto"/>
        <w:jc w:val="both"/>
        <w:rPr>
          <w:sz w:val="30"/>
        </w:rPr>
      </w:pPr>
      <w:r>
        <w:rPr>
          <w:rFonts w:hint="cs"/>
          <w:sz w:val="30"/>
          <w:rtl/>
        </w:rPr>
        <w:t>تعمل الحكومة باستمرار على احتواء الأزمات الاقتصادية والمالية التي تتعرض لها الدولة</w:t>
      </w:r>
      <w:r w:rsidR="004F24C5">
        <w:rPr>
          <w:rFonts w:hint="cs"/>
          <w:sz w:val="30"/>
          <w:rtl/>
        </w:rPr>
        <w:t xml:space="preserve">، وهي تحاول كذلك تحسين الانهيار الحاصل في الخدمات العامة والتي تشمل انقطاع التيار الكهربائي في جميع أرجاء الدولة والنقص الحاد والمستمر في </w:t>
      </w:r>
      <w:r w:rsidR="00914F57">
        <w:rPr>
          <w:rFonts w:hint="cs"/>
          <w:sz w:val="30"/>
          <w:rtl/>
        </w:rPr>
        <w:t xml:space="preserve">الوقود والمياه، والاختناقات المرورية وتراكم القمامة في الشوارع. قامت الحكومة </w:t>
      </w:r>
      <w:r w:rsidR="00232EEC">
        <w:rPr>
          <w:rFonts w:hint="cs"/>
          <w:sz w:val="30"/>
          <w:rtl/>
        </w:rPr>
        <w:t xml:space="preserve">مؤخراً، ونتيجة للضغوط الناشئة عن </w:t>
      </w:r>
      <w:r w:rsidR="009858FB">
        <w:rPr>
          <w:rFonts w:hint="cs"/>
          <w:sz w:val="30"/>
          <w:rtl/>
        </w:rPr>
        <w:t xml:space="preserve">زيادة اختلال توازن الاقتصاد الكلي والحاجة إلى البحث عن ميزان مدفوعات استثنائي وتمويل الميزانية، بتطوير برامج </w:t>
      </w:r>
      <w:r w:rsidR="00BF5839">
        <w:rPr>
          <w:rFonts w:hint="cs"/>
          <w:sz w:val="30"/>
          <w:rtl/>
        </w:rPr>
        <w:t xml:space="preserve">للتعامل مع الدعم </w:t>
      </w:r>
      <w:r w:rsidR="006C6567">
        <w:rPr>
          <w:rFonts w:hint="cs"/>
          <w:sz w:val="30"/>
          <w:rtl/>
        </w:rPr>
        <w:t xml:space="preserve">الموروث </w:t>
      </w:r>
      <w:r w:rsidR="00BF5839">
        <w:rPr>
          <w:rFonts w:hint="cs"/>
          <w:sz w:val="30"/>
          <w:rtl/>
        </w:rPr>
        <w:t>الهائل</w:t>
      </w:r>
      <w:r w:rsidR="006C6567">
        <w:rPr>
          <w:rFonts w:hint="cs"/>
          <w:sz w:val="30"/>
          <w:rtl/>
        </w:rPr>
        <w:t xml:space="preserve"> للطاقة</w:t>
      </w:r>
      <w:r w:rsidR="00BF5839">
        <w:rPr>
          <w:rFonts w:hint="cs"/>
          <w:sz w:val="30"/>
          <w:rtl/>
        </w:rPr>
        <w:t xml:space="preserve"> في الموازنة</w:t>
      </w:r>
      <w:r w:rsidR="006C6567">
        <w:rPr>
          <w:rFonts w:hint="cs"/>
          <w:sz w:val="30"/>
          <w:rtl/>
        </w:rPr>
        <w:t xml:space="preserve"> والذي شوه الاقتصاد وأد</w:t>
      </w:r>
      <w:r w:rsidR="00C80E60">
        <w:rPr>
          <w:rFonts w:hint="cs"/>
          <w:sz w:val="30"/>
          <w:rtl/>
        </w:rPr>
        <w:t>ى</w:t>
      </w:r>
      <w:r w:rsidR="006C6567">
        <w:rPr>
          <w:rFonts w:hint="cs"/>
          <w:sz w:val="30"/>
          <w:rtl/>
        </w:rPr>
        <w:t xml:space="preserve"> إلى حدوث موقف مالي غير مستدام. </w:t>
      </w:r>
    </w:p>
    <w:p w:rsidR="005A046A" w:rsidRPr="00BA4507" w:rsidRDefault="00BA4507" w:rsidP="005A046A">
      <w:pPr>
        <w:pStyle w:val="ListParagraph"/>
        <w:numPr>
          <w:ilvl w:val="0"/>
          <w:numId w:val="2"/>
        </w:numPr>
        <w:spacing w:line="360" w:lineRule="auto"/>
        <w:jc w:val="both"/>
        <w:rPr>
          <w:b/>
          <w:bCs/>
          <w:sz w:val="34"/>
          <w:szCs w:val="34"/>
        </w:rPr>
      </w:pPr>
      <w:r w:rsidRPr="00BA4507">
        <w:rPr>
          <w:rFonts w:hint="cs"/>
          <w:b/>
          <w:bCs/>
          <w:sz w:val="34"/>
          <w:szCs w:val="34"/>
          <w:rtl/>
        </w:rPr>
        <w:t>الإطار المؤسسي والقطاعي</w:t>
      </w:r>
    </w:p>
    <w:p w:rsidR="00BA4507" w:rsidRDefault="00505845" w:rsidP="000330E7">
      <w:pPr>
        <w:pStyle w:val="ListParagraph"/>
        <w:numPr>
          <w:ilvl w:val="0"/>
          <w:numId w:val="3"/>
        </w:numPr>
        <w:spacing w:line="360" w:lineRule="auto"/>
        <w:jc w:val="both"/>
        <w:rPr>
          <w:sz w:val="30"/>
        </w:rPr>
      </w:pPr>
      <w:r>
        <w:rPr>
          <w:rFonts w:hint="cs"/>
          <w:sz w:val="30"/>
          <w:rtl/>
        </w:rPr>
        <w:t>ارتفع الطلب الإجمالي الأساسي على الطاقة في مصر بمعدل نمو سنوي يبلغ 4.6% في العقدين الأخيرين</w:t>
      </w:r>
      <w:r w:rsidR="00DF112F">
        <w:rPr>
          <w:rFonts w:hint="cs"/>
          <w:sz w:val="30"/>
          <w:rtl/>
        </w:rPr>
        <w:t xml:space="preserve">. ترجع أسباب ارتفاع هذا المعدل إلى التوسع الاقتصادي في الدولة والتصنيع والتغير في أسلوب حياة الناس. </w:t>
      </w:r>
      <w:r w:rsidR="003A011D">
        <w:rPr>
          <w:rFonts w:hint="cs"/>
          <w:sz w:val="30"/>
          <w:rtl/>
        </w:rPr>
        <w:t xml:space="preserve">وعلى الرغم من ارتفاع الطلب بصورة عالية على جميع أشكال الطاقة، إلا أن استهلاك الكهرباء </w:t>
      </w:r>
      <w:r w:rsidR="009C224A">
        <w:rPr>
          <w:rFonts w:hint="cs"/>
          <w:sz w:val="30"/>
          <w:rtl/>
        </w:rPr>
        <w:t xml:space="preserve">زاد بصورة جوهرية مما أدي إلى وجود قلق </w:t>
      </w:r>
      <w:r w:rsidR="009C224A">
        <w:rPr>
          <w:rFonts w:hint="cs"/>
          <w:sz w:val="30"/>
          <w:rtl/>
        </w:rPr>
        <w:lastRenderedPageBreak/>
        <w:t xml:space="preserve">بالغ بشأن </w:t>
      </w:r>
      <w:r w:rsidR="000330E7">
        <w:rPr>
          <w:rFonts w:hint="cs"/>
          <w:sz w:val="30"/>
          <w:rtl/>
        </w:rPr>
        <w:t>احتياجات</w:t>
      </w:r>
      <w:r w:rsidR="009C224A">
        <w:rPr>
          <w:rFonts w:hint="cs"/>
          <w:sz w:val="30"/>
          <w:rtl/>
        </w:rPr>
        <w:t xml:space="preserve"> قطاع الكهرباء</w:t>
      </w:r>
      <w:r w:rsidR="007A0FAB">
        <w:rPr>
          <w:rFonts w:hint="cs"/>
          <w:sz w:val="30"/>
          <w:rtl/>
        </w:rPr>
        <w:t xml:space="preserve"> </w:t>
      </w:r>
      <w:r w:rsidR="000330E7">
        <w:rPr>
          <w:rFonts w:hint="cs"/>
          <w:sz w:val="30"/>
          <w:rtl/>
        </w:rPr>
        <w:t xml:space="preserve">من الوقود </w:t>
      </w:r>
      <w:r w:rsidR="007A0FAB">
        <w:rPr>
          <w:rFonts w:hint="cs"/>
          <w:sz w:val="30"/>
          <w:rtl/>
        </w:rPr>
        <w:t xml:space="preserve">ووجود أعباء لا يمكن تحملها على الميزانية الحكومية. </w:t>
      </w:r>
    </w:p>
    <w:p w:rsidR="00BF3295" w:rsidRDefault="00E4187E" w:rsidP="00A27531">
      <w:pPr>
        <w:pStyle w:val="ListParagraph"/>
        <w:numPr>
          <w:ilvl w:val="0"/>
          <w:numId w:val="3"/>
        </w:numPr>
        <w:spacing w:line="360" w:lineRule="auto"/>
        <w:jc w:val="both"/>
        <w:rPr>
          <w:sz w:val="30"/>
        </w:rPr>
      </w:pPr>
      <w:r w:rsidRPr="007B0A69">
        <w:rPr>
          <w:rFonts w:hint="cs"/>
          <w:b/>
          <w:bCs/>
          <w:sz w:val="30"/>
          <w:rtl/>
        </w:rPr>
        <w:t>قطاع البت</w:t>
      </w:r>
      <w:r w:rsidR="00910593" w:rsidRPr="007B0A69">
        <w:rPr>
          <w:rFonts w:hint="cs"/>
          <w:b/>
          <w:bCs/>
          <w:sz w:val="30"/>
          <w:rtl/>
        </w:rPr>
        <w:t>ر</w:t>
      </w:r>
      <w:r w:rsidRPr="007B0A69">
        <w:rPr>
          <w:rFonts w:hint="cs"/>
          <w:b/>
          <w:bCs/>
          <w:sz w:val="30"/>
          <w:rtl/>
        </w:rPr>
        <w:t>ول والغاز</w:t>
      </w:r>
      <w:r>
        <w:rPr>
          <w:rFonts w:hint="cs"/>
          <w:sz w:val="30"/>
          <w:rtl/>
        </w:rPr>
        <w:t xml:space="preserve">: </w:t>
      </w:r>
      <w:r w:rsidR="00910593">
        <w:rPr>
          <w:rFonts w:hint="cs"/>
          <w:sz w:val="30"/>
          <w:rtl/>
        </w:rPr>
        <w:t>كانت مصر تتمتع بمستوى معقول إلى حد ما في تصدير البترول خلال عقدي الثمانينيات والتسعينات</w:t>
      </w:r>
      <w:r w:rsidR="009E4B0B">
        <w:rPr>
          <w:rFonts w:hint="cs"/>
          <w:sz w:val="30"/>
          <w:rtl/>
        </w:rPr>
        <w:t xml:space="preserve">. وعلى الرغم من ذلك، </w:t>
      </w:r>
      <w:r w:rsidR="00100FA1">
        <w:rPr>
          <w:rFonts w:hint="cs"/>
          <w:sz w:val="30"/>
          <w:rtl/>
        </w:rPr>
        <w:t xml:space="preserve">فإن إجمالي إنتاج البترول </w:t>
      </w:r>
      <w:r w:rsidR="0082758B">
        <w:rPr>
          <w:rFonts w:hint="cs"/>
          <w:sz w:val="30"/>
          <w:rtl/>
        </w:rPr>
        <w:t>انخفض من ذروة إنتاج الدولة من البترول عام 1996 والذي بلغ 935.000 برميل بترول يومياً</w:t>
      </w:r>
      <w:r w:rsidR="005F496C">
        <w:rPr>
          <w:rFonts w:hint="cs"/>
          <w:sz w:val="30"/>
          <w:rtl/>
        </w:rPr>
        <w:t xml:space="preserve"> ليصل إلى المستويات الحالية من الإنتاج والتي تبلغ 685.000 برميل بترول يومياً</w:t>
      </w:r>
      <w:r w:rsidR="004C4347">
        <w:rPr>
          <w:rFonts w:hint="cs"/>
          <w:sz w:val="30"/>
          <w:rtl/>
        </w:rPr>
        <w:t xml:space="preserve">. وعلى الجانب الآخر، </w:t>
      </w:r>
      <w:r w:rsidR="00780DED">
        <w:rPr>
          <w:rFonts w:hint="cs"/>
          <w:sz w:val="30"/>
          <w:rtl/>
        </w:rPr>
        <w:t xml:space="preserve">زاد استهلاك البترول بصورة ثابتة </w:t>
      </w:r>
      <w:r w:rsidR="00637349">
        <w:rPr>
          <w:rFonts w:hint="cs"/>
          <w:sz w:val="30"/>
          <w:rtl/>
        </w:rPr>
        <w:t xml:space="preserve">مما جعله </w:t>
      </w:r>
      <w:r w:rsidR="00A27531">
        <w:rPr>
          <w:rFonts w:hint="cs"/>
          <w:sz w:val="30"/>
          <w:rtl/>
        </w:rPr>
        <w:t>يستوعب</w:t>
      </w:r>
      <w:r w:rsidR="00637349">
        <w:rPr>
          <w:rFonts w:hint="cs"/>
          <w:sz w:val="30"/>
          <w:rtl/>
        </w:rPr>
        <w:t xml:space="preserve"> جميع الإنتاج المحلي من البترول منذ عام 2006. </w:t>
      </w:r>
      <w:r w:rsidR="0034534C">
        <w:rPr>
          <w:rFonts w:hint="cs"/>
          <w:sz w:val="30"/>
          <w:rtl/>
        </w:rPr>
        <w:t xml:space="preserve">حل الغاز الطبيعي محل البترول في كلٍ من </w:t>
      </w:r>
      <w:r w:rsidR="0052149C">
        <w:rPr>
          <w:rFonts w:hint="cs"/>
          <w:sz w:val="30"/>
          <w:rtl/>
        </w:rPr>
        <w:t xml:space="preserve">الاستخدام المحلي والتصدير. تضاعف إنتاج الغاز الطبيعي ثلاث أضعاف من 21 مليار قدم مكعب من الغاز في عام 2000 ليصل إلى </w:t>
      </w:r>
      <w:r w:rsidR="00732B49">
        <w:rPr>
          <w:rFonts w:hint="cs"/>
          <w:sz w:val="30"/>
          <w:rtl/>
        </w:rPr>
        <w:t>61.3 مليار قدم من الغاز عام 2010. كان يتم تصدير 30% تقريباً من الإنتاج في شكل غاز طبيعي مسال</w:t>
      </w:r>
      <w:r w:rsidR="00FE5D95">
        <w:rPr>
          <w:rFonts w:hint="cs"/>
          <w:sz w:val="30"/>
          <w:rtl/>
        </w:rPr>
        <w:t xml:space="preserve"> وغاز </w:t>
      </w:r>
      <w:r w:rsidR="0082633C">
        <w:rPr>
          <w:rFonts w:hint="cs"/>
          <w:sz w:val="30"/>
          <w:rtl/>
        </w:rPr>
        <w:t xml:space="preserve">مضغوط </w:t>
      </w:r>
      <w:r w:rsidR="00FE5D95">
        <w:rPr>
          <w:rFonts w:hint="cs"/>
          <w:sz w:val="30"/>
          <w:rtl/>
        </w:rPr>
        <w:t xml:space="preserve">يتم توزيعه من خلال الأنابيب. </w:t>
      </w:r>
      <w:r w:rsidR="00A71B18">
        <w:rPr>
          <w:rFonts w:hint="cs"/>
          <w:sz w:val="30"/>
          <w:rtl/>
        </w:rPr>
        <w:t>أما النسبة الباقية والتي تصل إلى 70% من الإنتاج فكان يتم استهلاكها على المستوى المحلي.</w:t>
      </w:r>
    </w:p>
    <w:p w:rsidR="00A71B18" w:rsidRDefault="00276C42" w:rsidP="003A04CD">
      <w:pPr>
        <w:pStyle w:val="ListParagraph"/>
        <w:numPr>
          <w:ilvl w:val="0"/>
          <w:numId w:val="3"/>
        </w:numPr>
        <w:spacing w:line="360" w:lineRule="auto"/>
        <w:jc w:val="both"/>
        <w:rPr>
          <w:sz w:val="30"/>
        </w:rPr>
      </w:pPr>
      <w:r>
        <w:rPr>
          <w:rFonts w:hint="cs"/>
          <w:sz w:val="30"/>
          <w:rtl/>
        </w:rPr>
        <w:t xml:space="preserve">يعتبر قطاع </w:t>
      </w:r>
      <w:r w:rsidR="001A4C07">
        <w:rPr>
          <w:rFonts w:hint="cs"/>
          <w:sz w:val="30"/>
          <w:rtl/>
        </w:rPr>
        <w:t>الكهرباء هو المستهلك الأساسي للغاز إذ تبلغ نسبة استهلاكه من الغاز حوالي 60% من إجمالي الطلب على الغاز. بينما يستهلك القطاع الصناعي</w:t>
      </w:r>
      <w:r w:rsidR="00B64C66">
        <w:rPr>
          <w:rFonts w:hint="cs"/>
          <w:sz w:val="30"/>
          <w:rtl/>
        </w:rPr>
        <w:t xml:space="preserve"> حوالي 11%، في حين أن صناعات الأسمدة والأسمنت</w:t>
      </w:r>
      <w:r w:rsidR="00364162">
        <w:rPr>
          <w:rFonts w:hint="cs"/>
          <w:sz w:val="30"/>
          <w:rtl/>
        </w:rPr>
        <w:t xml:space="preserve"> تستهلكان نسبة تبلغ 10%</w:t>
      </w:r>
      <w:r w:rsidR="0034336B">
        <w:rPr>
          <w:rFonts w:hint="cs"/>
          <w:sz w:val="30"/>
          <w:rtl/>
        </w:rPr>
        <w:t xml:space="preserve"> </w:t>
      </w:r>
      <w:r w:rsidR="00364162">
        <w:rPr>
          <w:rFonts w:hint="cs"/>
          <w:sz w:val="30"/>
          <w:rtl/>
        </w:rPr>
        <w:t xml:space="preserve">و 8% على التوالي. </w:t>
      </w:r>
      <w:r w:rsidR="006D0CB2">
        <w:rPr>
          <w:rFonts w:hint="cs"/>
          <w:sz w:val="30"/>
          <w:rtl/>
        </w:rPr>
        <w:t xml:space="preserve">يتم توصيل الغاز الطبيعي أيضاً إلى القطاع السكني من خلال </w:t>
      </w:r>
      <w:r w:rsidR="00381508">
        <w:rPr>
          <w:rFonts w:hint="cs"/>
          <w:sz w:val="30"/>
          <w:rtl/>
        </w:rPr>
        <w:t xml:space="preserve">أنظمة توزيع في </w:t>
      </w:r>
      <w:r w:rsidR="006D0CB2">
        <w:rPr>
          <w:rFonts w:hint="cs"/>
          <w:sz w:val="30"/>
          <w:rtl/>
        </w:rPr>
        <w:t>خطوط أنابيب ذات ضغط منخفض</w:t>
      </w:r>
      <w:r w:rsidR="004303C0">
        <w:rPr>
          <w:rFonts w:hint="cs"/>
          <w:sz w:val="30"/>
          <w:rtl/>
        </w:rPr>
        <w:t xml:space="preserve"> وفي أنابيب للغاز البترولي المسال التي يتم توريدها من قبل تجار التجزئة. </w:t>
      </w:r>
      <w:r w:rsidR="00CA2FEF">
        <w:rPr>
          <w:rFonts w:hint="cs"/>
          <w:sz w:val="30"/>
          <w:rtl/>
        </w:rPr>
        <w:t>تبلغ نسبة كلٍ من الغاز الطبيعي والغاز البترولي المسال 2% من إجمالي الطلب على الغاز</w:t>
      </w:r>
      <w:r w:rsidR="00D554EE">
        <w:rPr>
          <w:rFonts w:hint="cs"/>
          <w:sz w:val="30"/>
          <w:rtl/>
        </w:rPr>
        <w:t xml:space="preserve">، ولكن من المتوقع زيادة هذه النسبة بصورة كبيرة </w:t>
      </w:r>
      <w:r w:rsidR="00C95285">
        <w:rPr>
          <w:rFonts w:hint="cs"/>
          <w:sz w:val="30"/>
          <w:rtl/>
        </w:rPr>
        <w:t xml:space="preserve">(حوالي 15% كل عام). وأخيراً، </w:t>
      </w:r>
      <w:r w:rsidR="00116585">
        <w:rPr>
          <w:rFonts w:hint="cs"/>
          <w:sz w:val="30"/>
          <w:rtl/>
        </w:rPr>
        <w:t>تبلغ نسبة</w:t>
      </w:r>
      <w:r w:rsidR="00C95285">
        <w:rPr>
          <w:rFonts w:hint="cs"/>
          <w:sz w:val="30"/>
          <w:rtl/>
        </w:rPr>
        <w:t xml:space="preserve"> استخدام الغاز الطبيعي المضغوط</w:t>
      </w:r>
      <w:r w:rsidR="00116585">
        <w:rPr>
          <w:rFonts w:hint="cs"/>
          <w:sz w:val="30"/>
          <w:rtl/>
        </w:rPr>
        <w:t xml:space="preserve"> في المركبات حوالي 2% من إجمالي استهلاك الغاز في مصر. قطاع الغاز في مصر، والذي كان حتى </w:t>
      </w:r>
      <w:r w:rsidR="003A04CD">
        <w:rPr>
          <w:rFonts w:hint="cs"/>
          <w:sz w:val="30"/>
          <w:rtl/>
        </w:rPr>
        <w:t>عدة سنوات قليلة مضت</w:t>
      </w:r>
      <w:r w:rsidR="00116585">
        <w:rPr>
          <w:rFonts w:hint="cs"/>
          <w:sz w:val="30"/>
          <w:rtl/>
        </w:rPr>
        <w:t xml:space="preserve"> يعد من </w:t>
      </w:r>
      <w:r w:rsidR="003A04CD">
        <w:rPr>
          <w:rFonts w:hint="cs"/>
          <w:sz w:val="30"/>
          <w:rtl/>
        </w:rPr>
        <w:t xml:space="preserve">مصادر الثورة في مصر، يجد نفسه الآن في موقف مالي </w:t>
      </w:r>
      <w:r w:rsidR="003A04CD">
        <w:rPr>
          <w:rFonts w:hint="cs"/>
          <w:sz w:val="30"/>
          <w:rtl/>
        </w:rPr>
        <w:lastRenderedPageBreak/>
        <w:t xml:space="preserve">عصيب </w:t>
      </w:r>
      <w:r w:rsidR="008724C2">
        <w:rPr>
          <w:rFonts w:hint="cs"/>
          <w:sz w:val="30"/>
          <w:rtl/>
        </w:rPr>
        <w:t>وأصبح في الوقت ذاته غير قادر على تلبية الطلب المحلي على الغاز.</w:t>
      </w:r>
    </w:p>
    <w:p w:rsidR="008724C2" w:rsidRDefault="00415523" w:rsidP="001A6AB8">
      <w:pPr>
        <w:pStyle w:val="ListParagraph"/>
        <w:numPr>
          <w:ilvl w:val="0"/>
          <w:numId w:val="3"/>
        </w:numPr>
        <w:spacing w:line="360" w:lineRule="auto"/>
        <w:jc w:val="both"/>
        <w:rPr>
          <w:sz w:val="30"/>
        </w:rPr>
      </w:pPr>
      <w:r>
        <w:rPr>
          <w:rFonts w:hint="cs"/>
          <w:sz w:val="30"/>
          <w:rtl/>
        </w:rPr>
        <w:t>خلال حقبة التسعينات، اكتشفت مصر اكتشافات جديدة هائلة من الغاز مما ضاعف احتياطي الغاز المؤكد لدى مصر ثلاثة أضعاف. دفعت هذه الزيادات الهائلة في احتياطي مصر من الغاز الحكومة إلى تشجيع استخدام الغاز على المستوى المحلي</w:t>
      </w:r>
      <w:r w:rsidR="0058709D">
        <w:rPr>
          <w:rFonts w:hint="cs"/>
          <w:sz w:val="30"/>
          <w:rtl/>
        </w:rPr>
        <w:t xml:space="preserve">، والبحث عن خيارات لتصدير الغاز في شكل غاز طبيعي مسال وغاز طبيعي مضغوط. نجحت الحكومة في تأسيس سوق محلي للغاز حيث بلغ إجمالي الطلب المقدر على الغاز حوالي 50 مليار </w:t>
      </w:r>
      <w:r w:rsidR="008D1A75">
        <w:rPr>
          <w:rFonts w:hint="cs"/>
          <w:sz w:val="30"/>
          <w:rtl/>
        </w:rPr>
        <w:t>متر</w:t>
      </w:r>
      <w:r w:rsidR="0058709D">
        <w:rPr>
          <w:rFonts w:hint="cs"/>
          <w:sz w:val="30"/>
          <w:rtl/>
        </w:rPr>
        <w:t xml:space="preserve"> مكعب من الغاز سنوياً، وشيدت الحكومة ثلاث قطارات تعمل بالغ</w:t>
      </w:r>
      <w:r w:rsidR="005A2B80">
        <w:rPr>
          <w:rFonts w:hint="cs"/>
          <w:sz w:val="30"/>
          <w:rtl/>
        </w:rPr>
        <w:t>ا</w:t>
      </w:r>
      <w:r w:rsidR="0058709D">
        <w:rPr>
          <w:rFonts w:hint="cs"/>
          <w:sz w:val="30"/>
          <w:rtl/>
        </w:rPr>
        <w:t>ز الطبيعي المسال</w:t>
      </w:r>
      <w:r w:rsidR="008D1A75">
        <w:rPr>
          <w:rFonts w:hint="cs"/>
          <w:sz w:val="30"/>
          <w:rtl/>
        </w:rPr>
        <w:t xml:space="preserve"> حيث بلغ إجمالي استيعاب هذه القطارات 17 </w:t>
      </w:r>
      <w:r w:rsidR="00C90347">
        <w:rPr>
          <w:rFonts w:hint="cs"/>
          <w:sz w:val="30"/>
          <w:rtl/>
        </w:rPr>
        <w:t xml:space="preserve">مليار متر مكعب من الغاز سنوياً، وقامت الحكومة، كذلك، بتشييد نظام الخط العربي لأنابيب الغاز والذي تبلغ سعته التقديرية 10 مليار متر مكعب من الغاز سنوياً. وعلى الرغم من </w:t>
      </w:r>
      <w:r w:rsidR="003325D0">
        <w:rPr>
          <w:rFonts w:hint="cs"/>
          <w:sz w:val="30"/>
          <w:rtl/>
        </w:rPr>
        <w:t xml:space="preserve">أن أسعار الغاز على المستوى المحلي ظلت منخفضة، إلا أن الحكومة عرضت على شركات النفط الدولية أسعار أعلى بصورة كبيرة، وذلك من أجل إيجاد الحوافز الضرورية </w:t>
      </w:r>
      <w:r w:rsidR="007833E1">
        <w:rPr>
          <w:rFonts w:hint="cs"/>
          <w:sz w:val="30"/>
          <w:rtl/>
        </w:rPr>
        <w:t xml:space="preserve">للمنتجين </w:t>
      </w:r>
      <w:r w:rsidR="007833E1" w:rsidRPr="007A5D99">
        <w:rPr>
          <w:rFonts w:hint="cs"/>
          <w:sz w:val="30"/>
          <w:rtl/>
        </w:rPr>
        <w:t>الذين يعملون في ظروف صعبة لتنمية</w:t>
      </w:r>
      <w:r w:rsidR="007833E1">
        <w:rPr>
          <w:rFonts w:hint="cs"/>
          <w:sz w:val="30"/>
          <w:rtl/>
        </w:rPr>
        <w:t xml:space="preserve"> احتياطات الغاز الحالية، واستكشاف احتياطات جديدة من الغاز. </w:t>
      </w:r>
      <w:r w:rsidR="008932AF">
        <w:rPr>
          <w:rFonts w:hint="cs"/>
          <w:sz w:val="30"/>
          <w:rtl/>
        </w:rPr>
        <w:t>كانت الشركات الأجنبية مضطرة إلى بيع حتى ثلثي نصيبها من الغاز إلى شركة الغاز المصرية</w:t>
      </w:r>
      <w:r w:rsidR="00F6439C">
        <w:rPr>
          <w:rFonts w:hint="cs"/>
          <w:sz w:val="30"/>
          <w:rtl/>
        </w:rPr>
        <w:t xml:space="preserve"> مقابل أسعار تبلغ 2.65 دولار لكل مليون وحدة حرارية بريطانية. تمت زيادة هذا السعر عدة مرات مؤخراً، وهو حالياً يتراوح بين 3.7 </w:t>
      </w:r>
      <w:r w:rsidR="00F6439C">
        <w:rPr>
          <w:sz w:val="30"/>
          <w:rtl/>
        </w:rPr>
        <w:t>–</w:t>
      </w:r>
      <w:r w:rsidR="00F6439C">
        <w:rPr>
          <w:rFonts w:hint="cs"/>
          <w:sz w:val="30"/>
          <w:rtl/>
        </w:rPr>
        <w:t xml:space="preserve"> 4.7 دولار لكل مليون وحدة حرارية بريطانية. </w:t>
      </w:r>
      <w:r w:rsidR="001A6AB8">
        <w:rPr>
          <w:rFonts w:hint="cs"/>
          <w:sz w:val="30"/>
          <w:rtl/>
        </w:rPr>
        <w:t>أما سعر الغاز الذي تبيعه الحكومة على المستوى المحلي فيبلغ 1 دولار لكل مليون وحدة حرارية بريطانية بالنسبة لقطاع الكهرباء، و 3 دولار لكل مليون وحدة حرارية بريطانية للصناعات كثيفة استهلاك الطاقة، و 1.7 دولار لكل مليون وحدة حرارية بريطانية</w:t>
      </w:r>
      <w:r w:rsidR="000116B7">
        <w:rPr>
          <w:rFonts w:hint="cs"/>
          <w:sz w:val="30"/>
          <w:rtl/>
        </w:rPr>
        <w:t xml:space="preserve"> للصناعات الأخرى. وفيما يتعلق بالقطاع السكني، فإن السعر ظل يتراوح بين 0.5 </w:t>
      </w:r>
      <w:r w:rsidR="000116B7">
        <w:rPr>
          <w:sz w:val="30"/>
          <w:rtl/>
        </w:rPr>
        <w:t>–</w:t>
      </w:r>
      <w:r w:rsidR="000116B7">
        <w:rPr>
          <w:rFonts w:hint="cs"/>
          <w:sz w:val="30"/>
          <w:rtl/>
        </w:rPr>
        <w:t xml:space="preserve"> 1.5 دولار لكل مليون وحدة حرارية بريطانية. </w:t>
      </w:r>
    </w:p>
    <w:p w:rsidR="00936842" w:rsidRDefault="00936842" w:rsidP="007A5D99">
      <w:pPr>
        <w:pStyle w:val="ListParagraph"/>
        <w:numPr>
          <w:ilvl w:val="0"/>
          <w:numId w:val="3"/>
        </w:numPr>
        <w:tabs>
          <w:tab w:val="left" w:pos="1643"/>
        </w:tabs>
        <w:spacing w:line="360" w:lineRule="auto"/>
        <w:jc w:val="both"/>
        <w:rPr>
          <w:sz w:val="30"/>
        </w:rPr>
      </w:pPr>
      <w:r>
        <w:rPr>
          <w:rFonts w:hint="cs"/>
          <w:sz w:val="30"/>
          <w:rtl/>
        </w:rPr>
        <w:lastRenderedPageBreak/>
        <w:t xml:space="preserve">وفي الوقت الراهن، </w:t>
      </w:r>
      <w:r w:rsidR="00E8702C">
        <w:rPr>
          <w:rFonts w:hint="cs"/>
          <w:sz w:val="30"/>
          <w:rtl/>
        </w:rPr>
        <w:t xml:space="preserve">يتعرض قطاع الغاز لفجوة في الإمدادات تبلغ 10 مليار متر مكعب من الغاز سنوياً. </w:t>
      </w:r>
      <w:r w:rsidR="005D6198">
        <w:rPr>
          <w:rFonts w:hint="cs"/>
          <w:sz w:val="30"/>
          <w:rtl/>
        </w:rPr>
        <w:t>وحالياً تدرس الحكومة استيراد الغاز في شكل غاز طبيعي مسال والذي سيكلف الحكومة ما يتجاوز 10 دولار لكل مليون وحدة حرارية بريطانية</w:t>
      </w:r>
      <w:r w:rsidR="007F4288">
        <w:rPr>
          <w:rFonts w:hint="cs"/>
          <w:sz w:val="30"/>
          <w:rtl/>
        </w:rPr>
        <w:t xml:space="preserve">. </w:t>
      </w:r>
      <w:r w:rsidR="00A3454F">
        <w:rPr>
          <w:rFonts w:hint="cs"/>
          <w:sz w:val="30"/>
          <w:rtl/>
        </w:rPr>
        <w:t xml:space="preserve">وفي حين أن التكلفة الاقتصادية لواردات الغاز غير الكافية يمكن فهمها بصورة جيدة، إلا أن الفعالية المالية </w:t>
      </w:r>
      <w:r w:rsidR="008E1A9D">
        <w:rPr>
          <w:rFonts w:hint="cs"/>
          <w:sz w:val="30"/>
          <w:rtl/>
        </w:rPr>
        <w:t xml:space="preserve">لمقترح استيراد الغاز محل شكوك طالما ظلت الحكومة تبيع الغاز بسعر </w:t>
      </w:r>
      <w:r w:rsidR="007A5D99">
        <w:rPr>
          <w:rFonts w:hint="cs"/>
          <w:sz w:val="30"/>
          <w:rtl/>
        </w:rPr>
        <w:t>لايذكر</w:t>
      </w:r>
      <w:r w:rsidR="008E1A9D">
        <w:rPr>
          <w:rFonts w:hint="cs"/>
          <w:sz w:val="30"/>
          <w:rtl/>
        </w:rPr>
        <w:t xml:space="preserve"> يبلغ 1 دولار لكل مليون وحدة حرارية بريطانية لقطاع الكهرباء. </w:t>
      </w:r>
    </w:p>
    <w:p w:rsidR="004D31F9" w:rsidRDefault="007B0A69" w:rsidP="007A5D99">
      <w:pPr>
        <w:pStyle w:val="ListParagraph"/>
        <w:numPr>
          <w:ilvl w:val="0"/>
          <w:numId w:val="3"/>
        </w:numPr>
        <w:tabs>
          <w:tab w:val="left" w:pos="1643"/>
        </w:tabs>
        <w:spacing w:line="360" w:lineRule="auto"/>
        <w:jc w:val="both"/>
        <w:rPr>
          <w:sz w:val="30"/>
        </w:rPr>
      </w:pPr>
      <w:r w:rsidRPr="007B0A69">
        <w:rPr>
          <w:rFonts w:hint="cs"/>
          <w:b/>
          <w:bCs/>
          <w:sz w:val="30"/>
          <w:rtl/>
        </w:rPr>
        <w:t>قطاع الكهرباء</w:t>
      </w:r>
      <w:r>
        <w:rPr>
          <w:rFonts w:hint="cs"/>
          <w:sz w:val="30"/>
          <w:rtl/>
        </w:rPr>
        <w:t xml:space="preserve">: </w:t>
      </w:r>
      <w:r w:rsidR="004B6A20">
        <w:rPr>
          <w:rFonts w:hint="cs"/>
          <w:sz w:val="30"/>
          <w:rtl/>
        </w:rPr>
        <w:t xml:space="preserve">الأداء المالي لقطاع الكهرباء في وضع سيء للغاية. استثمرت الحكومة بصورة كبيرة في </w:t>
      </w:r>
      <w:r w:rsidR="002A3FBE">
        <w:rPr>
          <w:rFonts w:hint="cs"/>
          <w:sz w:val="30"/>
          <w:rtl/>
        </w:rPr>
        <w:t>التوسع في الطاقة الإنتاجية لإمدادات هذا القطاع</w:t>
      </w:r>
      <w:r w:rsidR="00234E00">
        <w:rPr>
          <w:rFonts w:hint="cs"/>
          <w:sz w:val="30"/>
          <w:rtl/>
        </w:rPr>
        <w:t>، إذ تمت مضاعفة طاقة توليد الكهرباء خلال الفترة ما بين 2000 إلى 2010 لتبلغ 24000 ميجا وات، والتي لا تزال غير كافية لتلبية الطلب على الكهرباء في أوقات الذروة</w:t>
      </w:r>
      <w:r w:rsidR="008F63C3">
        <w:rPr>
          <w:rFonts w:hint="cs"/>
          <w:sz w:val="30"/>
          <w:rtl/>
        </w:rPr>
        <w:t>، في حين أن الطلب على الكهرباء يزداد بمعدل يتراوح بين 7 % إلى 8</w:t>
      </w:r>
      <w:r w:rsidR="008F63C3" w:rsidRPr="008F63C3">
        <w:rPr>
          <w:rFonts w:hint="cs"/>
          <w:sz w:val="30"/>
          <w:rtl/>
        </w:rPr>
        <w:t xml:space="preserve"> </w:t>
      </w:r>
      <w:r w:rsidR="008F63C3">
        <w:rPr>
          <w:rFonts w:hint="cs"/>
          <w:sz w:val="30"/>
          <w:rtl/>
        </w:rPr>
        <w:t xml:space="preserve">% سنوياً. </w:t>
      </w:r>
      <w:r w:rsidR="0056033F">
        <w:rPr>
          <w:rFonts w:hint="cs"/>
          <w:sz w:val="30"/>
          <w:rtl/>
        </w:rPr>
        <w:t>بلغت الاستثمارات الحكومية في هذه الفترة الزمنية حوالي 46.5 مليار جنيه مصري (ما يعادل 8.4 مليار دولار أمريكي)</w:t>
      </w:r>
      <w:r w:rsidR="00CD64EA">
        <w:rPr>
          <w:rFonts w:hint="cs"/>
          <w:sz w:val="30"/>
          <w:rtl/>
        </w:rPr>
        <w:t>. كان</w:t>
      </w:r>
      <w:r w:rsidR="00041920">
        <w:rPr>
          <w:rFonts w:hint="cs"/>
          <w:sz w:val="30"/>
          <w:rtl/>
        </w:rPr>
        <w:t xml:space="preserve"> نصيب القطاع الخاص من هذه </w:t>
      </w:r>
      <w:r w:rsidR="004A3011">
        <w:rPr>
          <w:rFonts w:hint="cs"/>
          <w:sz w:val="30"/>
          <w:rtl/>
        </w:rPr>
        <w:t>المتطلبات الاستثمارية</w:t>
      </w:r>
      <w:r w:rsidR="00041920">
        <w:rPr>
          <w:rFonts w:hint="cs"/>
          <w:sz w:val="30"/>
          <w:rtl/>
        </w:rPr>
        <w:t xml:space="preserve"> قليلاً للغاية إذ بلغ 350 مليون دولار أمريكي</w:t>
      </w:r>
      <w:r w:rsidR="00DF4A6D">
        <w:rPr>
          <w:rFonts w:hint="cs"/>
          <w:sz w:val="30"/>
          <w:rtl/>
        </w:rPr>
        <w:t xml:space="preserve">، ولكن النصيب الأكبر من هذه </w:t>
      </w:r>
      <w:r w:rsidR="004A3011">
        <w:rPr>
          <w:rFonts w:hint="cs"/>
          <w:sz w:val="30"/>
          <w:rtl/>
        </w:rPr>
        <w:t xml:space="preserve">المتطلبات الاستثمارية </w:t>
      </w:r>
      <w:r w:rsidR="00DF4A6D">
        <w:rPr>
          <w:rFonts w:hint="cs"/>
          <w:sz w:val="30"/>
          <w:rtl/>
        </w:rPr>
        <w:t>كان من نصيب القطاع العام</w:t>
      </w:r>
      <w:r w:rsidR="004A3011">
        <w:rPr>
          <w:rFonts w:hint="cs"/>
          <w:sz w:val="30"/>
          <w:rtl/>
        </w:rPr>
        <w:t xml:space="preserve"> والذي نفذته الشركة </w:t>
      </w:r>
      <w:r w:rsidR="00D03D7A">
        <w:rPr>
          <w:rFonts w:hint="cs"/>
          <w:sz w:val="30"/>
          <w:rtl/>
        </w:rPr>
        <w:t xml:space="preserve">القابضة </w:t>
      </w:r>
      <w:r w:rsidR="004A3011">
        <w:rPr>
          <w:rFonts w:hint="cs"/>
          <w:sz w:val="30"/>
          <w:rtl/>
        </w:rPr>
        <w:t>لكهرباء</w:t>
      </w:r>
      <w:r w:rsidR="00D03D7A">
        <w:rPr>
          <w:rFonts w:hint="cs"/>
          <w:sz w:val="30"/>
          <w:rtl/>
        </w:rPr>
        <w:t xml:space="preserve"> مصر</w:t>
      </w:r>
      <w:r w:rsidR="004A3011">
        <w:rPr>
          <w:rFonts w:hint="cs"/>
          <w:sz w:val="30"/>
          <w:rtl/>
        </w:rPr>
        <w:t xml:space="preserve">. </w:t>
      </w:r>
      <w:r w:rsidR="00D03D7A">
        <w:rPr>
          <w:rFonts w:hint="cs"/>
          <w:sz w:val="30"/>
          <w:rtl/>
        </w:rPr>
        <w:t xml:space="preserve">تمتلك الحكومة </w:t>
      </w:r>
      <w:r w:rsidR="00D03D7A" w:rsidRPr="007A5D99">
        <w:rPr>
          <w:rFonts w:hint="cs"/>
          <w:sz w:val="30"/>
          <w:rtl/>
        </w:rPr>
        <w:t xml:space="preserve">المصرية الشركة القابضة لكهرباء مصر بالكامل، وتمتلك أيضاً </w:t>
      </w:r>
      <w:r w:rsidR="004D16DB" w:rsidRPr="007A5D99">
        <w:rPr>
          <w:rFonts w:hint="cs"/>
          <w:sz w:val="30"/>
          <w:rtl/>
        </w:rPr>
        <w:t>هيئة الطاقة الجديدة والمتجددة والتي</w:t>
      </w:r>
      <w:r w:rsidR="004D16DB">
        <w:rPr>
          <w:rFonts w:hint="cs"/>
          <w:sz w:val="30"/>
          <w:rtl/>
        </w:rPr>
        <w:t xml:space="preserve"> تقوم حالياً بتنفيذ عدد من مشروعات توليد الطاقة الكهربائية من الشمس والرياح. </w:t>
      </w:r>
      <w:r w:rsidR="00B306E8">
        <w:rPr>
          <w:rFonts w:hint="cs"/>
          <w:sz w:val="30"/>
          <w:rtl/>
        </w:rPr>
        <w:t xml:space="preserve">المقرض المحلي الأساسي للشركة القابضة لكهرباء مصر هو بنك الاستثمار القومي المصري، والذي يبدو أنه وصل إلى </w:t>
      </w:r>
      <w:r w:rsidR="007A5D99">
        <w:rPr>
          <w:rFonts w:hint="cs"/>
          <w:sz w:val="30"/>
          <w:rtl/>
        </w:rPr>
        <w:t xml:space="preserve">اقصى </w:t>
      </w:r>
      <w:r w:rsidR="009D5E3E">
        <w:rPr>
          <w:rFonts w:hint="cs"/>
          <w:sz w:val="30"/>
          <w:rtl/>
        </w:rPr>
        <w:t xml:space="preserve">حد </w:t>
      </w:r>
      <w:r w:rsidR="007A5D99">
        <w:rPr>
          <w:rFonts w:hint="cs"/>
          <w:sz w:val="30"/>
          <w:rtl/>
        </w:rPr>
        <w:t>له</w:t>
      </w:r>
      <w:r w:rsidR="009D5E3E">
        <w:rPr>
          <w:rFonts w:hint="cs"/>
          <w:sz w:val="30"/>
          <w:rtl/>
        </w:rPr>
        <w:t xml:space="preserve"> مع الشركة القابضة لكهرباء مصر. </w:t>
      </w:r>
      <w:r w:rsidR="007A5D99">
        <w:rPr>
          <w:rFonts w:hint="cs"/>
          <w:sz w:val="30"/>
          <w:rtl/>
        </w:rPr>
        <w:t>و</w:t>
      </w:r>
      <w:r w:rsidR="009D5E3E">
        <w:rPr>
          <w:rFonts w:hint="cs"/>
          <w:sz w:val="30"/>
          <w:rtl/>
        </w:rPr>
        <w:t>المقرض</w:t>
      </w:r>
      <w:r w:rsidR="007A5D99">
        <w:rPr>
          <w:rFonts w:hint="cs"/>
          <w:sz w:val="30"/>
          <w:rtl/>
        </w:rPr>
        <w:t>و</w:t>
      </w:r>
      <w:r w:rsidR="009D5E3E">
        <w:rPr>
          <w:rFonts w:hint="cs"/>
          <w:sz w:val="30"/>
          <w:rtl/>
        </w:rPr>
        <w:t xml:space="preserve">ن الأجانب لقطاع الكهرباء </w:t>
      </w:r>
      <w:r w:rsidR="00D610EC">
        <w:rPr>
          <w:rFonts w:hint="cs"/>
          <w:sz w:val="30"/>
          <w:rtl/>
        </w:rPr>
        <w:t xml:space="preserve">هم بصورة أساسية مؤسسات تنموية ثنائية الأطراف ومتعددة الأطراف، </w:t>
      </w:r>
      <w:r w:rsidR="008F015D">
        <w:rPr>
          <w:rFonts w:hint="cs"/>
          <w:sz w:val="30"/>
          <w:rtl/>
        </w:rPr>
        <w:t>وهذه الأطراف</w:t>
      </w:r>
      <w:r w:rsidR="00D610EC">
        <w:rPr>
          <w:rFonts w:hint="cs"/>
          <w:sz w:val="30"/>
          <w:rtl/>
        </w:rPr>
        <w:t xml:space="preserve"> </w:t>
      </w:r>
      <w:r w:rsidR="008F015D">
        <w:rPr>
          <w:rFonts w:hint="cs"/>
          <w:sz w:val="30"/>
          <w:rtl/>
        </w:rPr>
        <w:t xml:space="preserve">مهتمة </w:t>
      </w:r>
      <w:r w:rsidR="00D610EC">
        <w:rPr>
          <w:rFonts w:hint="cs"/>
          <w:sz w:val="30"/>
          <w:rtl/>
        </w:rPr>
        <w:t>أيضاً بالفعالية المالية للشركة القابضة لكهرباء مصر.</w:t>
      </w:r>
    </w:p>
    <w:p w:rsidR="00D610EC" w:rsidRDefault="001F6B64" w:rsidP="00D64F35">
      <w:pPr>
        <w:pStyle w:val="ListParagraph"/>
        <w:numPr>
          <w:ilvl w:val="0"/>
          <w:numId w:val="3"/>
        </w:numPr>
        <w:tabs>
          <w:tab w:val="left" w:pos="1643"/>
        </w:tabs>
        <w:spacing w:line="360" w:lineRule="auto"/>
        <w:jc w:val="both"/>
        <w:rPr>
          <w:sz w:val="30"/>
        </w:rPr>
      </w:pPr>
      <w:r>
        <w:rPr>
          <w:rFonts w:hint="cs"/>
          <w:sz w:val="30"/>
          <w:rtl/>
        </w:rPr>
        <w:lastRenderedPageBreak/>
        <w:t xml:space="preserve">تعتمد طاقة توليد الكهرباء على 12% من الطاقة الكهرمائية، بينما النسبة الباقية والتي تبلغ 88% تعتمد على الغاز الطبيعي </w:t>
      </w:r>
      <w:r w:rsidR="007E7DC4">
        <w:rPr>
          <w:rFonts w:hint="cs"/>
          <w:sz w:val="30"/>
          <w:rtl/>
        </w:rPr>
        <w:t>ووقود البترول</w:t>
      </w:r>
      <w:r w:rsidR="008F015D">
        <w:rPr>
          <w:rFonts w:hint="cs"/>
          <w:sz w:val="30"/>
          <w:rtl/>
        </w:rPr>
        <w:t xml:space="preserve"> (السولار)</w:t>
      </w:r>
      <w:r w:rsidR="007E7DC4">
        <w:rPr>
          <w:rFonts w:hint="cs"/>
          <w:sz w:val="30"/>
          <w:rtl/>
        </w:rPr>
        <w:t xml:space="preserve">. يزداد الاعتماد على وقود البترول عندما يكون هناك نقص في إمدادات الغاز. تهدف استراتيجية الطاقة في مصر إلى زيادة مساهمة الطاقات المتجددة في توليد الكهرباء من 12% في عام 2010 إلى 20% بحلول عام 2020. </w:t>
      </w:r>
      <w:r w:rsidR="004747F6">
        <w:rPr>
          <w:rFonts w:hint="cs"/>
          <w:sz w:val="30"/>
          <w:rtl/>
        </w:rPr>
        <w:t xml:space="preserve">من المتوقع أن تصل مساهمة الطاقة المولدة من الرياح إلى 12%، بينما النسبة الباقية والتي تبلغ 8% ستكون من نصيب الطاقة الكهرمائية والطاقة الشمسية. </w:t>
      </w:r>
      <w:r w:rsidR="00D64F35">
        <w:rPr>
          <w:rFonts w:hint="cs"/>
          <w:sz w:val="30"/>
          <w:rtl/>
        </w:rPr>
        <w:t xml:space="preserve">هذا يعني أن تبلغ مساهمة الطاقة المولدة من الرياح حوالي 7200 ميجا وات بحلول عام 2020. أما مساهمة الطاقة الشمسية في هذه المرحلة، فمن المتوقع أن تظل محدودة بنسبة تبلغ 100 ميجا وات </w:t>
      </w:r>
      <w:r w:rsidR="00132DDF">
        <w:rPr>
          <w:rFonts w:hint="cs"/>
          <w:sz w:val="30"/>
          <w:rtl/>
        </w:rPr>
        <w:t xml:space="preserve">من الطاقة الشمسية المركزة، و 1 ميجا وات من الخلايا الفولت ضوئية. من المتوقع أن يتم تطوير ما نسبته 40% من الطاقة المولدة من الرياح عن طريق القطاع العام، في حين أن القطاع الخاص سيساهم بما نسبته 60% من هذه الطاقة. </w:t>
      </w:r>
    </w:p>
    <w:p w:rsidR="00427E34" w:rsidRPr="00427E34" w:rsidRDefault="00C95916" w:rsidP="009D798D">
      <w:pPr>
        <w:pStyle w:val="ListParagraph"/>
        <w:numPr>
          <w:ilvl w:val="0"/>
          <w:numId w:val="3"/>
        </w:numPr>
        <w:tabs>
          <w:tab w:val="left" w:pos="1643"/>
        </w:tabs>
        <w:spacing w:line="360" w:lineRule="auto"/>
        <w:jc w:val="both"/>
      </w:pPr>
      <w:r w:rsidRPr="00427E34">
        <w:rPr>
          <w:rFonts w:hint="cs"/>
          <w:sz w:val="30"/>
          <w:rtl/>
        </w:rPr>
        <w:t xml:space="preserve">أدركت الحكومة الحاجة إلى إصلاح قطاع الكهرباء، ففي العقد الأول من القرن الواحد والعشرين، شرعت الحكومة في </w:t>
      </w:r>
      <w:r w:rsidR="00B22305" w:rsidRPr="00427E34">
        <w:rPr>
          <w:rFonts w:hint="cs"/>
          <w:sz w:val="30"/>
          <w:rtl/>
        </w:rPr>
        <w:t>الإصلاح</w:t>
      </w:r>
      <w:r w:rsidRPr="00427E34">
        <w:rPr>
          <w:rFonts w:hint="cs"/>
          <w:sz w:val="30"/>
          <w:rtl/>
        </w:rPr>
        <w:t xml:space="preserve"> </w:t>
      </w:r>
      <w:r w:rsidR="00B22305" w:rsidRPr="00427E34">
        <w:rPr>
          <w:rFonts w:hint="cs"/>
          <w:sz w:val="30"/>
          <w:rtl/>
        </w:rPr>
        <w:t>وذلك</w:t>
      </w:r>
      <w:r w:rsidRPr="00427E34">
        <w:rPr>
          <w:rFonts w:hint="cs"/>
          <w:sz w:val="30"/>
          <w:rtl/>
        </w:rPr>
        <w:t xml:space="preserve"> </w:t>
      </w:r>
      <w:r w:rsidR="00B22305" w:rsidRPr="00427E34">
        <w:rPr>
          <w:rFonts w:hint="cs"/>
          <w:sz w:val="30"/>
          <w:rtl/>
        </w:rPr>
        <w:t>ب</w:t>
      </w:r>
      <w:r w:rsidR="00545BE1" w:rsidRPr="00427E34">
        <w:rPr>
          <w:rFonts w:hint="cs"/>
          <w:sz w:val="30"/>
          <w:rtl/>
        </w:rPr>
        <w:t xml:space="preserve">إعادة التنظيم </w:t>
      </w:r>
      <w:r w:rsidR="00545BE1" w:rsidRPr="008C7D76">
        <w:rPr>
          <w:rFonts w:hint="cs"/>
          <w:sz w:val="30"/>
          <w:rtl/>
        </w:rPr>
        <w:t>وتأسيس الشركات المساهمة الخاصة</w:t>
      </w:r>
      <w:r w:rsidR="00B22305" w:rsidRPr="00427E34">
        <w:rPr>
          <w:rFonts w:hint="cs"/>
          <w:sz w:val="30"/>
          <w:rtl/>
        </w:rPr>
        <w:t xml:space="preserve"> في قطاع الكهرباء من خلال </w:t>
      </w:r>
      <w:r w:rsidR="00AA69BC" w:rsidRPr="00427E34">
        <w:rPr>
          <w:rFonts w:hint="cs"/>
          <w:sz w:val="30"/>
          <w:rtl/>
        </w:rPr>
        <w:t>الشركة المساهمة (القابضة) المصرية تحت مسمى الشركة القابضة لكهرباء مصر، وفصل شركات التوليد عن شركات التوزيع والنقل</w:t>
      </w:r>
      <w:r w:rsidR="008A72D0" w:rsidRPr="00427E34">
        <w:rPr>
          <w:rFonts w:hint="cs"/>
          <w:sz w:val="30"/>
          <w:rtl/>
        </w:rPr>
        <w:t xml:space="preserve"> (ست شركات للتوليد، وتسع شركات للتوزيع، </w:t>
      </w:r>
      <w:r w:rsidR="00FC663B" w:rsidRPr="00427E34">
        <w:rPr>
          <w:rFonts w:hint="cs"/>
          <w:sz w:val="30"/>
          <w:rtl/>
        </w:rPr>
        <w:t>والشركة المصرية لنقل الكهرباء، حيث أصبحت جميع هذه الشركات تابعة وتحت إدارة الشركة القابضة لكهرباء مصر</w:t>
      </w:r>
      <w:r w:rsidR="0012012D">
        <w:rPr>
          <w:rFonts w:hint="cs"/>
          <w:sz w:val="30"/>
          <w:rtl/>
        </w:rPr>
        <w:t>)</w:t>
      </w:r>
      <w:r w:rsidR="00FC663B" w:rsidRPr="00427E34">
        <w:rPr>
          <w:rFonts w:hint="cs"/>
          <w:sz w:val="30"/>
          <w:rtl/>
        </w:rPr>
        <w:t xml:space="preserve">. </w:t>
      </w:r>
      <w:r w:rsidR="002B074B" w:rsidRPr="00427E34">
        <w:rPr>
          <w:rFonts w:hint="cs"/>
          <w:sz w:val="30"/>
          <w:rtl/>
        </w:rPr>
        <w:t>تقوم</w:t>
      </w:r>
      <w:r w:rsidR="00FC663B" w:rsidRPr="00427E34">
        <w:rPr>
          <w:rFonts w:hint="cs"/>
          <w:sz w:val="30"/>
          <w:rtl/>
        </w:rPr>
        <w:t xml:space="preserve"> الشركة المصرية لنقل الكهرباء</w:t>
      </w:r>
      <w:r w:rsidR="002B074B" w:rsidRPr="00427E34">
        <w:rPr>
          <w:rFonts w:hint="cs"/>
          <w:sz w:val="30"/>
          <w:rtl/>
        </w:rPr>
        <w:t xml:space="preserve"> </w:t>
      </w:r>
      <w:r w:rsidR="005A6E8E">
        <w:rPr>
          <w:rFonts w:hint="cs"/>
          <w:sz w:val="30"/>
          <w:rtl/>
        </w:rPr>
        <w:t>بإدارة</w:t>
      </w:r>
      <w:r w:rsidR="002B074B" w:rsidRPr="00427E34">
        <w:rPr>
          <w:rFonts w:hint="cs"/>
          <w:sz w:val="30"/>
          <w:rtl/>
        </w:rPr>
        <w:t xml:space="preserve"> نظام نقل الكهرباء وهي المشتري الوحيد للكهرباء من جميع شركات التوليد، وتقوم ببيع الكهرباء إلى شركات التوزيع</w:t>
      </w:r>
      <w:r w:rsidR="00427E34" w:rsidRPr="00427E34">
        <w:rPr>
          <w:rFonts w:hint="cs"/>
          <w:sz w:val="30"/>
          <w:rtl/>
        </w:rPr>
        <w:t xml:space="preserve"> والمستهلكين الكبار. تم إنشاء </w:t>
      </w:r>
      <w:r w:rsidR="00C61455" w:rsidRPr="00C61455">
        <w:rPr>
          <w:sz w:val="30"/>
          <w:rtl/>
        </w:rPr>
        <w:t>جهاز تنظيم مرفق الكهرباء وحماية المستهلك</w:t>
      </w:r>
      <w:r w:rsidR="00C61455">
        <w:rPr>
          <w:rFonts w:hint="cs"/>
          <w:rtl/>
        </w:rPr>
        <w:t xml:space="preserve"> في عام 2001 وبدأ العمل</w:t>
      </w:r>
      <w:r w:rsidR="009D798D">
        <w:rPr>
          <w:rFonts w:hint="cs"/>
          <w:rtl/>
        </w:rPr>
        <w:t xml:space="preserve"> فيه</w:t>
      </w:r>
      <w:r w:rsidR="00C61455">
        <w:rPr>
          <w:rFonts w:hint="cs"/>
          <w:rtl/>
        </w:rPr>
        <w:t xml:space="preserve"> في بدايات العام 2002. وعلى الرغم من ذلك، فإن سلطات </w:t>
      </w:r>
      <w:r w:rsidR="00C61455" w:rsidRPr="00C61455">
        <w:rPr>
          <w:rtl/>
        </w:rPr>
        <w:t>جهاز تنظيم مرفق الكهرباء وحماية المستهلك</w:t>
      </w:r>
      <w:r w:rsidR="00D81197">
        <w:rPr>
          <w:rFonts w:hint="cs"/>
          <w:rtl/>
        </w:rPr>
        <w:t xml:space="preserve"> تجعله قاصراً عن أن يكون هيئة </w:t>
      </w:r>
      <w:r w:rsidR="00D81197">
        <w:rPr>
          <w:rFonts w:hint="cs"/>
          <w:rtl/>
        </w:rPr>
        <w:lastRenderedPageBreak/>
        <w:t xml:space="preserve">تنظيمية مستقلة، ولا تشمل سلطاته تحديد تعرفة الكهرباء. استثمارات القطاع الخاص في توليد الكهرباء لا زالت </w:t>
      </w:r>
      <w:r w:rsidR="00E83B0F">
        <w:rPr>
          <w:rFonts w:hint="cs"/>
          <w:rtl/>
        </w:rPr>
        <w:t xml:space="preserve">مقتصرة على </w:t>
      </w:r>
      <w:r w:rsidR="007F1D41" w:rsidRPr="0012012D">
        <w:rPr>
          <w:rFonts w:hint="cs"/>
          <w:rtl/>
        </w:rPr>
        <w:t>ثلاث شركات مستقلة منتجة للكهرباء والتي أنش</w:t>
      </w:r>
      <w:r w:rsidR="007F1D41">
        <w:rPr>
          <w:rFonts w:hint="cs"/>
          <w:rtl/>
        </w:rPr>
        <w:t xml:space="preserve">ئت في التسعينات من القرن العشرين. </w:t>
      </w:r>
    </w:p>
    <w:p w:rsidR="00132DDF" w:rsidRDefault="000D4512" w:rsidP="00D6772D">
      <w:pPr>
        <w:pStyle w:val="ListParagraph"/>
        <w:numPr>
          <w:ilvl w:val="0"/>
          <w:numId w:val="3"/>
        </w:numPr>
        <w:tabs>
          <w:tab w:val="left" w:pos="1643"/>
        </w:tabs>
        <w:spacing w:line="360" w:lineRule="auto"/>
        <w:jc w:val="both"/>
        <w:rPr>
          <w:sz w:val="30"/>
        </w:rPr>
      </w:pPr>
      <w:r>
        <w:rPr>
          <w:rFonts w:hint="cs"/>
          <w:sz w:val="30"/>
          <w:rtl/>
        </w:rPr>
        <w:t xml:space="preserve">وعلى الرغم من هذه الخطوات الأولية لإصلاح قطاع الكهرباء، </w:t>
      </w:r>
      <w:r w:rsidR="00F95464">
        <w:rPr>
          <w:rFonts w:hint="cs"/>
          <w:sz w:val="30"/>
          <w:rtl/>
        </w:rPr>
        <w:t>إل</w:t>
      </w:r>
      <w:r w:rsidR="009D798D">
        <w:rPr>
          <w:rFonts w:hint="cs"/>
          <w:sz w:val="30"/>
          <w:rtl/>
        </w:rPr>
        <w:t>ا</w:t>
      </w:r>
      <w:r w:rsidR="00F95464">
        <w:rPr>
          <w:rFonts w:hint="cs"/>
          <w:sz w:val="30"/>
          <w:rtl/>
        </w:rPr>
        <w:t xml:space="preserve"> أن عملية الإصلاح انخفضت وتيرتها بصورة كبيرة، ولم يتم الانتهاء منها من أجل تحقيق أهداف </w:t>
      </w:r>
      <w:r w:rsidR="004B1B49">
        <w:rPr>
          <w:rFonts w:hint="cs"/>
          <w:sz w:val="30"/>
          <w:rtl/>
        </w:rPr>
        <w:t xml:space="preserve">تأسيس الشركات المساهمة الخاصة وهي تحسين الأداء المالي والحوكمة والإدارة والعمليات في قطاع الكهرباء ومرافقه المتعددة. </w:t>
      </w:r>
      <w:r w:rsidR="00677DFE">
        <w:rPr>
          <w:rFonts w:hint="cs"/>
          <w:sz w:val="30"/>
          <w:rtl/>
        </w:rPr>
        <w:t xml:space="preserve">ولذلك، تمت صياغة قانون جديد للكهرباء في العام 2008 وتمت الموافقة عليه من قبل مجلس الوزراء، ولكن لم يتم تقديمه للمصادقة عليه من قبل البرلمان. من المتوقع أن يتم تقديم </w:t>
      </w:r>
      <w:r w:rsidR="00D6772D">
        <w:rPr>
          <w:rFonts w:hint="cs"/>
          <w:sz w:val="30"/>
          <w:rtl/>
        </w:rPr>
        <w:t>مشروع</w:t>
      </w:r>
      <w:r w:rsidR="00677DFE">
        <w:rPr>
          <w:rFonts w:hint="cs"/>
          <w:sz w:val="30"/>
          <w:rtl/>
        </w:rPr>
        <w:t xml:space="preserve"> القانون </w:t>
      </w:r>
      <w:r w:rsidR="00772564">
        <w:rPr>
          <w:rFonts w:hint="cs"/>
          <w:sz w:val="30"/>
          <w:rtl/>
        </w:rPr>
        <w:t xml:space="preserve">للبرلمان للمصادقة خلال عامي 2013 / 2014، وذلك بعد انتخاب البرلمان الجديد، والذي من المتوقع أن يتم خلال إبريل 2013. </w:t>
      </w:r>
    </w:p>
    <w:p w:rsidR="00521A36" w:rsidRDefault="00D62D82" w:rsidP="00D62D82">
      <w:pPr>
        <w:pStyle w:val="ListParagraph"/>
        <w:numPr>
          <w:ilvl w:val="0"/>
          <w:numId w:val="3"/>
        </w:numPr>
        <w:tabs>
          <w:tab w:val="left" w:pos="1643"/>
        </w:tabs>
        <w:spacing w:line="360" w:lineRule="auto"/>
        <w:jc w:val="both"/>
        <w:rPr>
          <w:sz w:val="30"/>
        </w:rPr>
      </w:pPr>
      <w:r>
        <w:rPr>
          <w:rFonts w:hint="cs"/>
          <w:sz w:val="30"/>
          <w:rtl/>
        </w:rPr>
        <w:t>تمت صياغة مشروع قانون الكهرباء الجديد للسماح بتغييرات كبيرة في بنية سوق قطاع الكهرباء، والحوكمة والعمليات، وكيفية تمويل هذا القطاع، وكيفية توريد الكهرباء للمستهلكين، والقانون يؤكد تأكيداً بالغاً على تنمية</w:t>
      </w:r>
      <w:r w:rsidR="00A11792">
        <w:rPr>
          <w:rFonts w:hint="cs"/>
          <w:sz w:val="30"/>
          <w:rtl/>
        </w:rPr>
        <w:t xml:space="preserve"> مصادر الطاقة المتجددة وزيادة فعالية الطاقة. تشتمل العناصر الأساسية لهذا القانون على ما يلي:</w:t>
      </w:r>
    </w:p>
    <w:p w:rsidR="00A11792" w:rsidRDefault="00D21F44" w:rsidP="0012012D">
      <w:pPr>
        <w:pStyle w:val="ListParagraph"/>
        <w:numPr>
          <w:ilvl w:val="0"/>
          <w:numId w:val="4"/>
        </w:numPr>
        <w:tabs>
          <w:tab w:val="left" w:pos="1643"/>
        </w:tabs>
        <w:spacing w:line="360" w:lineRule="auto"/>
        <w:jc w:val="both"/>
        <w:rPr>
          <w:sz w:val="30"/>
        </w:rPr>
      </w:pPr>
      <w:r>
        <w:rPr>
          <w:rFonts w:hint="cs"/>
          <w:sz w:val="30"/>
          <w:rtl/>
        </w:rPr>
        <w:t xml:space="preserve">تفويض هيئة </w:t>
      </w:r>
      <w:r w:rsidR="0012012D">
        <w:rPr>
          <w:rFonts w:hint="cs"/>
          <w:sz w:val="30"/>
          <w:rtl/>
        </w:rPr>
        <w:t>رقابية</w:t>
      </w:r>
      <w:r>
        <w:rPr>
          <w:rFonts w:hint="cs"/>
          <w:sz w:val="30"/>
          <w:rtl/>
        </w:rPr>
        <w:t xml:space="preserve"> بتعزيز استثمارات القطاع الخاص في الأنشطة المتعلقة بتوليد وتوزيع</w:t>
      </w:r>
      <w:r w:rsidR="00A11792">
        <w:rPr>
          <w:rFonts w:hint="cs"/>
          <w:sz w:val="30"/>
          <w:rtl/>
        </w:rPr>
        <w:t xml:space="preserve"> </w:t>
      </w:r>
      <w:r w:rsidR="0064365D">
        <w:rPr>
          <w:rFonts w:hint="cs"/>
          <w:sz w:val="30"/>
          <w:rtl/>
        </w:rPr>
        <w:t xml:space="preserve">الكهرباء في إطار سوق تنافسية، مع الوضع في الاعتبار مصالح المستهلكين. </w:t>
      </w:r>
    </w:p>
    <w:p w:rsidR="0064365D" w:rsidRDefault="0064365D" w:rsidP="0012012D">
      <w:pPr>
        <w:pStyle w:val="ListParagraph"/>
        <w:numPr>
          <w:ilvl w:val="0"/>
          <w:numId w:val="4"/>
        </w:numPr>
        <w:tabs>
          <w:tab w:val="left" w:pos="1643"/>
        </w:tabs>
        <w:spacing w:line="360" w:lineRule="auto"/>
        <w:jc w:val="both"/>
        <w:rPr>
          <w:sz w:val="30"/>
        </w:rPr>
      </w:pPr>
      <w:r>
        <w:rPr>
          <w:rFonts w:hint="cs"/>
          <w:sz w:val="30"/>
          <w:rtl/>
        </w:rPr>
        <w:t xml:space="preserve">تفويض هيئة </w:t>
      </w:r>
      <w:r w:rsidR="0012012D">
        <w:rPr>
          <w:rFonts w:hint="cs"/>
          <w:sz w:val="30"/>
          <w:rtl/>
        </w:rPr>
        <w:t xml:space="preserve">رقابية </w:t>
      </w:r>
      <w:r w:rsidR="004104C8">
        <w:rPr>
          <w:rFonts w:hint="cs"/>
          <w:sz w:val="30"/>
          <w:rtl/>
        </w:rPr>
        <w:t>ب</w:t>
      </w:r>
      <w:r w:rsidR="00FA29A0">
        <w:rPr>
          <w:rFonts w:hint="cs"/>
          <w:sz w:val="30"/>
          <w:rtl/>
        </w:rPr>
        <w:t>المسئولية عن الموافقة على تعريفة</w:t>
      </w:r>
      <w:r w:rsidR="004104C8">
        <w:rPr>
          <w:rFonts w:hint="cs"/>
          <w:sz w:val="30"/>
          <w:rtl/>
        </w:rPr>
        <w:t xml:space="preserve"> الكهرباء.</w:t>
      </w:r>
    </w:p>
    <w:p w:rsidR="004104C8" w:rsidRDefault="00287664" w:rsidP="00FA29A0">
      <w:pPr>
        <w:pStyle w:val="ListParagraph"/>
        <w:numPr>
          <w:ilvl w:val="0"/>
          <w:numId w:val="4"/>
        </w:numPr>
        <w:tabs>
          <w:tab w:val="left" w:pos="1643"/>
        </w:tabs>
        <w:spacing w:line="360" w:lineRule="auto"/>
        <w:jc w:val="both"/>
        <w:rPr>
          <w:sz w:val="30"/>
        </w:rPr>
      </w:pPr>
      <w:r>
        <w:rPr>
          <w:rFonts w:hint="cs"/>
          <w:sz w:val="30"/>
          <w:rtl/>
        </w:rPr>
        <w:t xml:space="preserve">إنشاء سوق مزدوجة للكهرباء على مراحل، سوق تنافسية </w:t>
      </w:r>
      <w:r w:rsidR="00FA2687">
        <w:rPr>
          <w:rFonts w:hint="cs"/>
          <w:sz w:val="30"/>
          <w:rtl/>
        </w:rPr>
        <w:t xml:space="preserve">للمستهلكين </w:t>
      </w:r>
      <w:r w:rsidR="0012012D">
        <w:rPr>
          <w:rFonts w:hint="cs"/>
          <w:sz w:val="30"/>
          <w:rtl/>
        </w:rPr>
        <w:t>المستحقين</w:t>
      </w:r>
      <w:r w:rsidR="00FA2687">
        <w:rPr>
          <w:rFonts w:hint="cs"/>
          <w:sz w:val="30"/>
          <w:rtl/>
        </w:rPr>
        <w:t xml:space="preserve"> (المستهلكين ذوي الاستهلاك الكهربائي العالي جداً والمستهلكين ذوي الاستهلاك الكهربائي العالي </w:t>
      </w:r>
      <w:r w:rsidR="00E113E8">
        <w:rPr>
          <w:rFonts w:hint="cs"/>
          <w:sz w:val="30"/>
          <w:rtl/>
        </w:rPr>
        <w:t xml:space="preserve">وهم </w:t>
      </w:r>
      <w:r w:rsidR="00FA2687">
        <w:rPr>
          <w:rFonts w:hint="cs"/>
          <w:sz w:val="30"/>
          <w:rtl/>
        </w:rPr>
        <w:t xml:space="preserve">يتمتعون بالحرية لاختيار </w:t>
      </w:r>
      <w:r w:rsidR="00121757">
        <w:rPr>
          <w:rFonts w:hint="cs"/>
          <w:sz w:val="30"/>
          <w:rtl/>
        </w:rPr>
        <w:t>موردي الكهرباء لهم على أساس عقود ثنائية الأطراف)</w:t>
      </w:r>
      <w:r w:rsidR="00E113E8">
        <w:rPr>
          <w:rFonts w:hint="cs"/>
          <w:sz w:val="30"/>
          <w:rtl/>
        </w:rPr>
        <w:t xml:space="preserve">، وسوق أخرى منظمة للمستهلكين غير </w:t>
      </w:r>
      <w:r w:rsidR="0012012D">
        <w:rPr>
          <w:rFonts w:hint="cs"/>
          <w:sz w:val="30"/>
          <w:rtl/>
        </w:rPr>
        <w:t>المستحقين</w:t>
      </w:r>
      <w:r w:rsidR="00E113E8">
        <w:rPr>
          <w:rFonts w:hint="cs"/>
          <w:sz w:val="30"/>
          <w:rtl/>
        </w:rPr>
        <w:t xml:space="preserve"> (المستهلكين ذوي </w:t>
      </w:r>
      <w:r w:rsidR="00E113E8">
        <w:rPr>
          <w:rFonts w:hint="cs"/>
          <w:sz w:val="30"/>
          <w:rtl/>
        </w:rPr>
        <w:lastRenderedPageBreak/>
        <w:t>الاستهلاك الكهربائي المنخفض وليس لديهم حرية الاختيار بين موردي الكهرباء).</w:t>
      </w:r>
    </w:p>
    <w:p w:rsidR="00E113E8" w:rsidRDefault="006C4252" w:rsidP="00A11792">
      <w:pPr>
        <w:pStyle w:val="ListParagraph"/>
        <w:numPr>
          <w:ilvl w:val="0"/>
          <w:numId w:val="4"/>
        </w:numPr>
        <w:tabs>
          <w:tab w:val="left" w:pos="1643"/>
        </w:tabs>
        <w:spacing w:line="360" w:lineRule="auto"/>
        <w:jc w:val="both"/>
        <w:rPr>
          <w:sz w:val="30"/>
        </w:rPr>
      </w:pPr>
      <w:r>
        <w:rPr>
          <w:rFonts w:hint="cs"/>
          <w:sz w:val="30"/>
          <w:rtl/>
        </w:rPr>
        <w:t xml:space="preserve">فصل الشركة القومية لنقل الكهرباء </w:t>
      </w:r>
      <w:r w:rsidR="00407BC7">
        <w:rPr>
          <w:rFonts w:hint="cs"/>
          <w:sz w:val="30"/>
          <w:rtl/>
        </w:rPr>
        <w:t xml:space="preserve">إلى شركة لتشغيل نظام النقل والتي تمنح أطرافاً ثالثة </w:t>
      </w:r>
      <w:r w:rsidR="00A227E0">
        <w:rPr>
          <w:rFonts w:hint="cs"/>
          <w:sz w:val="30"/>
          <w:rtl/>
        </w:rPr>
        <w:t xml:space="preserve">حق الدخول على الشبكة وتعمل كمشتري وحيد للكهرباء على أساس البيع بالجملة. </w:t>
      </w:r>
    </w:p>
    <w:p w:rsidR="00A227E0" w:rsidRDefault="002A0DA2" w:rsidP="00A11792">
      <w:pPr>
        <w:pStyle w:val="ListParagraph"/>
        <w:numPr>
          <w:ilvl w:val="0"/>
          <w:numId w:val="4"/>
        </w:numPr>
        <w:tabs>
          <w:tab w:val="left" w:pos="1643"/>
        </w:tabs>
        <w:spacing w:line="360" w:lineRule="auto"/>
        <w:jc w:val="both"/>
        <w:rPr>
          <w:sz w:val="30"/>
        </w:rPr>
      </w:pPr>
      <w:r>
        <w:rPr>
          <w:rFonts w:hint="cs"/>
          <w:sz w:val="30"/>
          <w:rtl/>
        </w:rPr>
        <w:t>تحديد</w:t>
      </w:r>
      <w:r w:rsidR="00A227E0">
        <w:rPr>
          <w:rFonts w:hint="cs"/>
          <w:sz w:val="30"/>
          <w:rtl/>
        </w:rPr>
        <w:t xml:space="preserve"> </w:t>
      </w:r>
      <w:r>
        <w:rPr>
          <w:rFonts w:hint="cs"/>
          <w:sz w:val="30"/>
          <w:rtl/>
        </w:rPr>
        <w:t>تعر</w:t>
      </w:r>
      <w:r w:rsidR="0068648B">
        <w:rPr>
          <w:rFonts w:hint="cs"/>
          <w:sz w:val="30"/>
          <w:rtl/>
        </w:rPr>
        <w:t>ي</w:t>
      </w:r>
      <w:r>
        <w:rPr>
          <w:rFonts w:hint="cs"/>
          <w:sz w:val="30"/>
          <w:rtl/>
        </w:rPr>
        <w:t xml:space="preserve">فة تشجيعية للكهرباء المولدة من مصادر متجددة وذلك من أجل تشجيع مشاركة القطاع الخاص. </w:t>
      </w:r>
    </w:p>
    <w:p w:rsidR="00A11792" w:rsidRDefault="002B14E8" w:rsidP="0068648B">
      <w:pPr>
        <w:pStyle w:val="ListParagraph"/>
        <w:numPr>
          <w:ilvl w:val="0"/>
          <w:numId w:val="3"/>
        </w:numPr>
        <w:tabs>
          <w:tab w:val="left" w:pos="1643"/>
        </w:tabs>
        <w:spacing w:line="360" w:lineRule="auto"/>
        <w:jc w:val="both"/>
        <w:rPr>
          <w:sz w:val="30"/>
        </w:rPr>
      </w:pPr>
      <w:r>
        <w:rPr>
          <w:rFonts w:hint="cs"/>
          <w:b/>
          <w:bCs/>
          <w:sz w:val="30"/>
          <w:rtl/>
        </w:rPr>
        <w:t xml:space="preserve">ضرورة </w:t>
      </w:r>
      <w:r w:rsidRPr="002B14E8">
        <w:rPr>
          <w:rFonts w:hint="cs"/>
          <w:b/>
          <w:bCs/>
          <w:sz w:val="30"/>
          <w:rtl/>
        </w:rPr>
        <w:t>إصلاح نظام الدعم</w:t>
      </w:r>
      <w:r>
        <w:rPr>
          <w:rFonts w:hint="cs"/>
          <w:sz w:val="30"/>
          <w:rtl/>
        </w:rPr>
        <w:t xml:space="preserve">: إصلاح نظام الدعم أمر ضروري للغاية لمصر لأن الدولة لم تعد </w:t>
      </w:r>
      <w:r w:rsidR="00DB2D5F">
        <w:rPr>
          <w:rFonts w:hint="cs"/>
          <w:sz w:val="30"/>
          <w:rtl/>
        </w:rPr>
        <w:t>تنتج البترول والغاز بوفرة، في حين أنها تواجه عجزاً غير مستدام</w:t>
      </w:r>
      <w:r w:rsidR="003D10C0">
        <w:rPr>
          <w:rFonts w:hint="cs"/>
          <w:sz w:val="30"/>
          <w:rtl/>
        </w:rPr>
        <w:t xml:space="preserve"> </w:t>
      </w:r>
      <w:r w:rsidR="00DB2D5F">
        <w:rPr>
          <w:rFonts w:hint="cs"/>
          <w:sz w:val="30"/>
          <w:rtl/>
        </w:rPr>
        <w:t xml:space="preserve">في الموازنة. </w:t>
      </w:r>
      <w:r w:rsidR="003D10C0">
        <w:rPr>
          <w:rFonts w:hint="cs"/>
          <w:sz w:val="30"/>
          <w:rtl/>
        </w:rPr>
        <w:t>من المعروف أن دعم الطاقة: (1)</w:t>
      </w:r>
      <w:r w:rsidR="003663DB" w:rsidRPr="003663DB">
        <w:rPr>
          <w:rFonts w:hint="cs"/>
          <w:sz w:val="30"/>
          <w:rtl/>
        </w:rPr>
        <w:t xml:space="preserve"> </w:t>
      </w:r>
      <w:r w:rsidR="003663DB">
        <w:rPr>
          <w:rFonts w:hint="cs"/>
          <w:sz w:val="30"/>
          <w:rtl/>
        </w:rPr>
        <w:t xml:space="preserve">يؤدي إلى الاستخدام غير الفعال لموارد الطاقة وتشويه التقنيات ذات الصلة، (2) يفيد الأغنياء الذين يستهلكون النصيب الأكبر من الطاقة المدعومة، (3) يفرض </w:t>
      </w:r>
      <w:r w:rsidR="000C070B">
        <w:rPr>
          <w:rFonts w:hint="cs"/>
          <w:sz w:val="30"/>
          <w:rtl/>
        </w:rPr>
        <w:t xml:space="preserve">أعباءً ثقيلة على الموازنة الحكومية ويعرض الاستدامة المالية للخطر. وعلى الرغم من أن جميع هذه القضايا ذات اهتمام بالغ، إلا أن القضية الأكثر أهمية هي </w:t>
      </w:r>
      <w:r w:rsidR="00DF54A8">
        <w:rPr>
          <w:rFonts w:hint="cs"/>
          <w:sz w:val="30"/>
          <w:rtl/>
        </w:rPr>
        <w:t xml:space="preserve">عدم المقدرة على الوفاء بالالتزامات المالية لدعم الطاقة، ومن ثم فهناك حاجة للإصلاح الفوري. </w:t>
      </w:r>
      <w:r w:rsidR="00AF48EC">
        <w:rPr>
          <w:rFonts w:hint="cs"/>
          <w:sz w:val="30"/>
          <w:rtl/>
        </w:rPr>
        <w:t xml:space="preserve">ومنذ العام المالي 2005 </w:t>
      </w:r>
      <w:r w:rsidR="00AF48EC">
        <w:rPr>
          <w:sz w:val="30"/>
          <w:rtl/>
        </w:rPr>
        <w:t>–</w:t>
      </w:r>
      <w:r w:rsidR="00AF48EC">
        <w:rPr>
          <w:rFonts w:hint="cs"/>
          <w:sz w:val="30"/>
          <w:rtl/>
        </w:rPr>
        <w:t xml:space="preserve"> 2006، وهي أول مرة يتم فيها احتساب دعم المنتجات البترولية (البت</w:t>
      </w:r>
      <w:r w:rsidR="00DC2A86">
        <w:rPr>
          <w:rFonts w:hint="cs"/>
          <w:sz w:val="30"/>
          <w:rtl/>
        </w:rPr>
        <w:t>ر</w:t>
      </w:r>
      <w:r w:rsidR="00AF48EC">
        <w:rPr>
          <w:rFonts w:hint="cs"/>
          <w:sz w:val="30"/>
          <w:rtl/>
        </w:rPr>
        <w:t xml:space="preserve">ول والغاز) من ضمن بنود الموازنة، زاد الدعم في مصر من 40 مليار جنيه مصري (ما يعادل 7.2 مليار دولار أمريكي) إلى 66 مليار جنيه مصري (ما يعادل 11.8 مليار دولار أمريكي) في العام المالي 2009 </w:t>
      </w:r>
      <w:r w:rsidR="00AF48EC">
        <w:rPr>
          <w:sz w:val="30"/>
          <w:rtl/>
        </w:rPr>
        <w:t>–</w:t>
      </w:r>
      <w:r w:rsidR="00AF48EC">
        <w:rPr>
          <w:rFonts w:hint="cs"/>
          <w:sz w:val="30"/>
          <w:rtl/>
        </w:rPr>
        <w:t xml:space="preserve"> 2010) ثم استمر الدعم في الزيادة بصورة كبيرة ليصل إلى 95.5 مليار جنيه مصري (ما يعادل 18 مليار دولار أمريكي) في عام 2012.</w:t>
      </w:r>
    </w:p>
    <w:p w:rsidR="00AF48EC" w:rsidRDefault="00DC2A86" w:rsidP="00AF48EC">
      <w:pPr>
        <w:pStyle w:val="ListParagraph"/>
        <w:numPr>
          <w:ilvl w:val="0"/>
          <w:numId w:val="3"/>
        </w:numPr>
        <w:tabs>
          <w:tab w:val="left" w:pos="1643"/>
        </w:tabs>
        <w:spacing w:line="360" w:lineRule="auto"/>
        <w:jc w:val="both"/>
        <w:rPr>
          <w:sz w:val="30"/>
        </w:rPr>
      </w:pPr>
      <w:r>
        <w:rPr>
          <w:rFonts w:hint="cs"/>
          <w:sz w:val="30"/>
          <w:rtl/>
        </w:rPr>
        <w:t>الأعباء العالية لدعم الطاقة والت</w:t>
      </w:r>
      <w:r w:rsidR="00563A69">
        <w:rPr>
          <w:rFonts w:hint="cs"/>
          <w:sz w:val="30"/>
          <w:rtl/>
        </w:rPr>
        <w:t>ي تتحمله</w:t>
      </w:r>
      <w:r>
        <w:rPr>
          <w:rFonts w:hint="cs"/>
          <w:sz w:val="30"/>
          <w:rtl/>
        </w:rPr>
        <w:t>ا</w:t>
      </w:r>
      <w:r w:rsidR="00563A69">
        <w:rPr>
          <w:rFonts w:hint="cs"/>
          <w:sz w:val="30"/>
          <w:rtl/>
        </w:rPr>
        <w:t xml:space="preserve"> الموازنة تتضح في نسبة هذا الدعم والتي تبلغ 7% من الناتج المحلي الإجمالي</w:t>
      </w:r>
      <w:r w:rsidR="00234E89">
        <w:rPr>
          <w:rFonts w:hint="cs"/>
          <w:sz w:val="30"/>
          <w:rtl/>
        </w:rPr>
        <w:t xml:space="preserve"> في العام 2012، مما جعله يتجاوز إجمالي الإنفاق على كلٍ من الصحة والتعليم</w:t>
      </w:r>
      <w:r w:rsidR="00563A69">
        <w:rPr>
          <w:rFonts w:hint="cs"/>
          <w:sz w:val="30"/>
          <w:rtl/>
        </w:rPr>
        <w:t xml:space="preserve"> </w:t>
      </w:r>
      <w:r w:rsidR="00234E89">
        <w:rPr>
          <w:rFonts w:hint="cs"/>
          <w:sz w:val="30"/>
          <w:rtl/>
        </w:rPr>
        <w:t>في الموازنة.</w:t>
      </w:r>
    </w:p>
    <w:p w:rsidR="00234E89" w:rsidRDefault="00234E89" w:rsidP="00AF48EC">
      <w:pPr>
        <w:pStyle w:val="ListParagraph"/>
        <w:numPr>
          <w:ilvl w:val="0"/>
          <w:numId w:val="3"/>
        </w:numPr>
        <w:tabs>
          <w:tab w:val="left" w:pos="1643"/>
        </w:tabs>
        <w:spacing w:line="360" w:lineRule="auto"/>
        <w:jc w:val="both"/>
        <w:rPr>
          <w:sz w:val="30"/>
        </w:rPr>
      </w:pPr>
      <w:r>
        <w:rPr>
          <w:rFonts w:hint="cs"/>
          <w:sz w:val="30"/>
          <w:rtl/>
        </w:rPr>
        <w:lastRenderedPageBreak/>
        <w:t>ولإدراك الحكومة لأعباء دعم الوقود على الموازنة، فلقد شرعت الحكومة في تنفيذ برنامج لإصلاح نظام الدعم وهو يتكون من مرحلتين على النحو المذكور أدناه.</w:t>
      </w:r>
    </w:p>
    <w:p w:rsidR="00234E89" w:rsidRDefault="00234E89" w:rsidP="00BA7689">
      <w:pPr>
        <w:pStyle w:val="ListParagraph"/>
        <w:numPr>
          <w:ilvl w:val="0"/>
          <w:numId w:val="3"/>
        </w:numPr>
        <w:tabs>
          <w:tab w:val="left" w:pos="1643"/>
        </w:tabs>
        <w:spacing w:line="360" w:lineRule="auto"/>
        <w:jc w:val="both"/>
        <w:rPr>
          <w:sz w:val="30"/>
        </w:rPr>
      </w:pPr>
      <w:r w:rsidRPr="00F41A02">
        <w:rPr>
          <w:rFonts w:hint="cs"/>
          <w:b/>
          <w:bCs/>
          <w:sz w:val="30"/>
          <w:rtl/>
        </w:rPr>
        <w:t>المرحلة الأولى</w:t>
      </w:r>
      <w:r>
        <w:rPr>
          <w:rFonts w:hint="cs"/>
          <w:sz w:val="30"/>
          <w:rtl/>
        </w:rPr>
        <w:t xml:space="preserve">: </w:t>
      </w:r>
      <w:r w:rsidR="009D7708">
        <w:rPr>
          <w:rFonts w:hint="cs"/>
          <w:sz w:val="30"/>
          <w:rtl/>
        </w:rPr>
        <w:t>بدأت هذه المرحلة في نوفمبر 2012</w:t>
      </w:r>
      <w:r w:rsidR="00BA7689">
        <w:rPr>
          <w:rFonts w:hint="cs"/>
          <w:sz w:val="30"/>
          <w:rtl/>
        </w:rPr>
        <w:t xml:space="preserve"> ومن المتوقع أن تشتمل على نطاق كبير من إصلاحات الدعم الموجه للمنتجات البترولية وتعرفة الكهرباء.</w:t>
      </w:r>
    </w:p>
    <w:p w:rsidR="00BA7689" w:rsidRDefault="003433BB" w:rsidP="008E3E73">
      <w:pPr>
        <w:pStyle w:val="ListParagraph"/>
        <w:numPr>
          <w:ilvl w:val="0"/>
          <w:numId w:val="4"/>
        </w:numPr>
        <w:tabs>
          <w:tab w:val="left" w:pos="1643"/>
        </w:tabs>
        <w:spacing w:line="360" w:lineRule="auto"/>
        <w:jc w:val="both"/>
        <w:rPr>
          <w:sz w:val="30"/>
        </w:rPr>
      </w:pPr>
      <w:r>
        <w:rPr>
          <w:rFonts w:hint="cs"/>
          <w:sz w:val="30"/>
          <w:rtl/>
        </w:rPr>
        <w:t>أنظمة توزيع جديدة لأنابيب الغاز البترولي المسال</w:t>
      </w:r>
      <w:r w:rsidR="008E3E73">
        <w:rPr>
          <w:rFonts w:hint="cs"/>
          <w:sz w:val="30"/>
          <w:rtl/>
        </w:rPr>
        <w:t xml:space="preserve"> (البوتاجاز)</w:t>
      </w:r>
      <w:r>
        <w:rPr>
          <w:rFonts w:hint="cs"/>
          <w:sz w:val="30"/>
          <w:rtl/>
        </w:rPr>
        <w:t>، 18 أنبوبة لكل أسرة مستحقة في كل عام</w:t>
      </w:r>
      <w:r w:rsidR="0006686A">
        <w:rPr>
          <w:rFonts w:hint="cs"/>
          <w:sz w:val="30"/>
          <w:rtl/>
        </w:rPr>
        <w:t xml:space="preserve"> ويتم صرفها بموجب كوبون استحقاق (سيتم إضافتها لاحقاً على البطاقات الذكية التي يتم استخدامها لصرف المنتجات الغذائية المدعومة) بسعر يبلغ 8 جنيهات مصرية</w:t>
      </w:r>
      <w:r w:rsidR="008E3E73">
        <w:rPr>
          <w:rFonts w:hint="cs"/>
          <w:sz w:val="30"/>
          <w:rtl/>
        </w:rPr>
        <w:t>، بينما يبلغ سعر الأنبوبة لغير المستحقين 30 جنيهاً مصرياً، ويبلغ سعر الأنبوبة للاستخدام التجاري 60 جنيهاً مصرياً.</w:t>
      </w:r>
    </w:p>
    <w:p w:rsidR="008E3E73" w:rsidRDefault="00444257" w:rsidP="0002768C">
      <w:pPr>
        <w:pStyle w:val="ListParagraph"/>
        <w:numPr>
          <w:ilvl w:val="0"/>
          <w:numId w:val="4"/>
        </w:numPr>
        <w:tabs>
          <w:tab w:val="left" w:pos="1643"/>
        </w:tabs>
        <w:spacing w:line="360" w:lineRule="auto"/>
        <w:jc w:val="both"/>
        <w:rPr>
          <w:sz w:val="30"/>
        </w:rPr>
      </w:pPr>
      <w:r>
        <w:rPr>
          <w:rFonts w:hint="cs"/>
          <w:sz w:val="30"/>
          <w:rtl/>
        </w:rPr>
        <w:t xml:space="preserve">زيادة أسعار </w:t>
      </w:r>
      <w:r w:rsidR="0002768C">
        <w:rPr>
          <w:rFonts w:hint="cs"/>
          <w:sz w:val="30"/>
          <w:rtl/>
        </w:rPr>
        <w:t>زيت الوقود</w:t>
      </w:r>
      <w:r>
        <w:rPr>
          <w:rFonts w:hint="cs"/>
          <w:sz w:val="30"/>
          <w:rtl/>
        </w:rPr>
        <w:t xml:space="preserve"> الثقيل</w:t>
      </w:r>
      <w:r w:rsidR="0002768C">
        <w:rPr>
          <w:rFonts w:hint="cs"/>
          <w:sz w:val="30"/>
          <w:rtl/>
        </w:rPr>
        <w:t xml:space="preserve"> (السولار)</w:t>
      </w:r>
      <w:r>
        <w:rPr>
          <w:rFonts w:hint="cs"/>
          <w:sz w:val="30"/>
          <w:rtl/>
        </w:rPr>
        <w:t xml:space="preserve"> من 1.000 جنيه مصري إلى 2300 جنيه مصري وهذا السعر يشمل قطاع الكهرباء أيضاً.</w:t>
      </w:r>
    </w:p>
    <w:p w:rsidR="00444257" w:rsidRDefault="000E5D00" w:rsidP="000E5D00">
      <w:pPr>
        <w:pStyle w:val="ListParagraph"/>
        <w:numPr>
          <w:ilvl w:val="0"/>
          <w:numId w:val="4"/>
        </w:numPr>
        <w:tabs>
          <w:tab w:val="left" w:pos="1643"/>
        </w:tabs>
        <w:spacing w:line="360" w:lineRule="auto"/>
        <w:jc w:val="both"/>
        <w:rPr>
          <w:sz w:val="30"/>
        </w:rPr>
      </w:pPr>
      <w:r>
        <w:rPr>
          <w:rFonts w:hint="cs"/>
          <w:sz w:val="30"/>
          <w:rtl/>
        </w:rPr>
        <w:t>زيادة تعر</w:t>
      </w:r>
      <w:r w:rsidR="00273217">
        <w:rPr>
          <w:rFonts w:hint="cs"/>
          <w:sz w:val="30"/>
          <w:rtl/>
        </w:rPr>
        <w:t>ي</w:t>
      </w:r>
      <w:r>
        <w:rPr>
          <w:rFonts w:hint="cs"/>
          <w:sz w:val="30"/>
          <w:rtl/>
        </w:rPr>
        <w:t xml:space="preserve">فة الكهرباء بنسبة تبلغ 15.6% في المتوسط، مع نقل في بنود الموازنة من أجل تعويض قطاع الكهرباء عن زيادة أسعار تكلفة المدخلات (زيت الوقود الثقيل والغاز الطبيعي). وأما بالنسبة </w:t>
      </w:r>
      <w:r w:rsidR="00B41407">
        <w:rPr>
          <w:rFonts w:hint="cs"/>
          <w:sz w:val="30"/>
          <w:rtl/>
        </w:rPr>
        <w:t>للأسر، فإن أول شريحة في تعر</w:t>
      </w:r>
      <w:r w:rsidR="00273217">
        <w:rPr>
          <w:rFonts w:hint="cs"/>
          <w:sz w:val="30"/>
          <w:rtl/>
        </w:rPr>
        <w:t>ي</w:t>
      </w:r>
      <w:r w:rsidR="00B41407">
        <w:rPr>
          <w:rFonts w:hint="cs"/>
          <w:sz w:val="30"/>
          <w:rtl/>
        </w:rPr>
        <w:t xml:space="preserve">فة الكهرباء (استهلاك حتى 50 كيلو وات في الساعة) لن يتغير سعرها، بينما سوف يزداد سعر الشريحة الثانية (والتي يبلغ استهلاكها من 50 </w:t>
      </w:r>
      <w:r w:rsidR="00B41407">
        <w:rPr>
          <w:sz w:val="30"/>
          <w:rtl/>
        </w:rPr>
        <w:t>–</w:t>
      </w:r>
      <w:r w:rsidR="00B41407">
        <w:rPr>
          <w:rFonts w:hint="cs"/>
          <w:sz w:val="30"/>
          <w:rtl/>
        </w:rPr>
        <w:t xml:space="preserve"> 200 كيلو وات في الساعة) بمقدار يبلغ 9.1%. </w:t>
      </w:r>
      <w:r w:rsidR="00A66598">
        <w:rPr>
          <w:rFonts w:hint="cs"/>
          <w:sz w:val="30"/>
          <w:rtl/>
        </w:rPr>
        <w:t>أما أعلى شريحة (والتي يزيد استهلاكها عن 1000 كيلو وات في الساعة)</w:t>
      </w:r>
      <w:r w:rsidR="00AA6456">
        <w:rPr>
          <w:rFonts w:hint="cs"/>
          <w:sz w:val="30"/>
          <w:rtl/>
        </w:rPr>
        <w:t xml:space="preserve"> فسوف يزداد سعرها بنسبة تبلغ 39.6%. أما أسعار الاستهلاك التجاري فسوف تزداد بنسبة تبلغ 15%.</w:t>
      </w:r>
    </w:p>
    <w:p w:rsidR="00AA6456" w:rsidRDefault="00F41A02" w:rsidP="00F41A02">
      <w:pPr>
        <w:pStyle w:val="ListParagraph"/>
        <w:numPr>
          <w:ilvl w:val="0"/>
          <w:numId w:val="4"/>
        </w:numPr>
        <w:tabs>
          <w:tab w:val="left" w:pos="1643"/>
        </w:tabs>
        <w:spacing w:line="360" w:lineRule="auto"/>
        <w:jc w:val="both"/>
        <w:rPr>
          <w:sz w:val="30"/>
        </w:rPr>
      </w:pPr>
      <w:r>
        <w:rPr>
          <w:rFonts w:hint="cs"/>
          <w:sz w:val="30"/>
          <w:rtl/>
        </w:rPr>
        <w:t>رفع الدعم عن بنزين أوكتان 95، حيث سيرتفع سعره الذي يبلغ حاليا 2.75 جنيهاً مصرياً إلى 5.85 جنيهاً مصرياً.</w:t>
      </w:r>
    </w:p>
    <w:p w:rsidR="00BA7689" w:rsidRDefault="00F41A02" w:rsidP="002608D6">
      <w:pPr>
        <w:pStyle w:val="ListParagraph"/>
        <w:numPr>
          <w:ilvl w:val="0"/>
          <w:numId w:val="3"/>
        </w:numPr>
        <w:tabs>
          <w:tab w:val="left" w:pos="1643"/>
        </w:tabs>
        <w:spacing w:line="360" w:lineRule="auto"/>
        <w:jc w:val="both"/>
        <w:rPr>
          <w:sz w:val="30"/>
        </w:rPr>
      </w:pPr>
      <w:r w:rsidRPr="00F41A02">
        <w:rPr>
          <w:rFonts w:hint="cs"/>
          <w:b/>
          <w:bCs/>
          <w:sz w:val="30"/>
          <w:rtl/>
        </w:rPr>
        <w:lastRenderedPageBreak/>
        <w:t>المرحلة الثانية</w:t>
      </w:r>
      <w:r>
        <w:rPr>
          <w:rFonts w:hint="cs"/>
          <w:sz w:val="30"/>
          <w:rtl/>
        </w:rPr>
        <w:t xml:space="preserve">: </w:t>
      </w:r>
      <w:r w:rsidR="002608D6">
        <w:rPr>
          <w:rFonts w:hint="cs"/>
          <w:sz w:val="30"/>
          <w:rtl/>
        </w:rPr>
        <w:t>من المتوقع أن يتم الشروع في تنفيذ هذه</w:t>
      </w:r>
      <w:r w:rsidR="00EF3E2A">
        <w:rPr>
          <w:rFonts w:hint="cs"/>
          <w:sz w:val="30"/>
          <w:rtl/>
        </w:rPr>
        <w:t xml:space="preserve"> المرحلة في إبريل 2013، وستكون أ</w:t>
      </w:r>
      <w:r w:rsidR="002608D6">
        <w:rPr>
          <w:rFonts w:hint="cs"/>
          <w:sz w:val="30"/>
          <w:rtl/>
        </w:rPr>
        <w:t>سعار البنزين والسولار في هذه المرحلة على النحو التالي:</w:t>
      </w:r>
    </w:p>
    <w:p w:rsidR="008B1854" w:rsidRDefault="008F2551" w:rsidP="008F2551">
      <w:pPr>
        <w:pStyle w:val="ListParagraph"/>
        <w:numPr>
          <w:ilvl w:val="0"/>
          <w:numId w:val="4"/>
        </w:numPr>
        <w:tabs>
          <w:tab w:val="left" w:pos="1643"/>
        </w:tabs>
        <w:spacing w:line="360" w:lineRule="auto"/>
        <w:jc w:val="both"/>
        <w:rPr>
          <w:sz w:val="30"/>
        </w:rPr>
      </w:pPr>
      <w:r w:rsidRPr="008F2551">
        <w:rPr>
          <w:rFonts w:hint="cs"/>
          <w:sz w:val="30"/>
          <w:rtl/>
        </w:rPr>
        <w:t xml:space="preserve">ترشيد الدعم </w:t>
      </w:r>
      <w:r>
        <w:rPr>
          <w:rFonts w:hint="cs"/>
          <w:sz w:val="30"/>
          <w:rtl/>
        </w:rPr>
        <w:t>على كميات السولار وذلك من خلال توزيع بطاقات ذكية والتي تمنح نسبة محددة من السولار لكل سيارة مستحقة سنوياً</w:t>
      </w:r>
      <w:r w:rsidR="008B1854">
        <w:rPr>
          <w:rFonts w:hint="cs"/>
          <w:sz w:val="30"/>
          <w:rtl/>
        </w:rPr>
        <w:t xml:space="preserve"> على النحو التالي.</w:t>
      </w:r>
    </w:p>
    <w:p w:rsidR="002608D6" w:rsidRDefault="00FF0946" w:rsidP="008B1854">
      <w:pPr>
        <w:pStyle w:val="ListParagraph"/>
        <w:numPr>
          <w:ilvl w:val="0"/>
          <w:numId w:val="5"/>
        </w:numPr>
        <w:tabs>
          <w:tab w:val="left" w:pos="1643"/>
        </w:tabs>
        <w:spacing w:line="360" w:lineRule="auto"/>
        <w:jc w:val="both"/>
        <w:rPr>
          <w:sz w:val="30"/>
        </w:rPr>
      </w:pPr>
      <w:r w:rsidRPr="00FF0946">
        <w:rPr>
          <w:rFonts w:hint="cs"/>
          <w:sz w:val="30"/>
          <w:rtl/>
        </w:rPr>
        <w:t>الاستحقاق: يتم توزيع البطاقات الذكية على جميع السيارات التي تبلغ سعتها اللترية 1600 سم مكعب أو أقل</w:t>
      </w:r>
      <w:r>
        <w:rPr>
          <w:rFonts w:hint="cs"/>
          <w:sz w:val="30"/>
          <w:rtl/>
        </w:rPr>
        <w:t>.</w:t>
      </w:r>
    </w:p>
    <w:p w:rsidR="00FF0946" w:rsidRDefault="00460F0A" w:rsidP="00BE7788">
      <w:pPr>
        <w:pStyle w:val="ListParagraph"/>
        <w:numPr>
          <w:ilvl w:val="0"/>
          <w:numId w:val="5"/>
        </w:numPr>
        <w:tabs>
          <w:tab w:val="left" w:pos="1643"/>
        </w:tabs>
        <w:spacing w:line="360" w:lineRule="auto"/>
        <w:jc w:val="both"/>
        <w:rPr>
          <w:sz w:val="30"/>
        </w:rPr>
      </w:pPr>
      <w:r>
        <w:rPr>
          <w:rFonts w:hint="cs"/>
          <w:sz w:val="30"/>
          <w:rtl/>
        </w:rPr>
        <w:t>الكميات</w:t>
      </w:r>
      <w:r w:rsidR="00FF0946">
        <w:rPr>
          <w:rFonts w:hint="cs"/>
          <w:sz w:val="30"/>
          <w:rtl/>
        </w:rPr>
        <w:t xml:space="preserve"> المدعومة: بنزين أوكتان 80: 1800 لتر كل عام، أوكتان 9</w:t>
      </w:r>
      <w:r w:rsidR="00BE7788">
        <w:rPr>
          <w:rFonts w:hint="cs"/>
          <w:sz w:val="30"/>
          <w:rtl/>
        </w:rPr>
        <w:t>2</w:t>
      </w:r>
      <w:r w:rsidR="00FF0946">
        <w:rPr>
          <w:rFonts w:hint="cs"/>
          <w:sz w:val="30"/>
          <w:rtl/>
        </w:rPr>
        <w:t xml:space="preserve">: 900 لتر </w:t>
      </w:r>
      <w:r>
        <w:rPr>
          <w:rFonts w:hint="cs"/>
          <w:sz w:val="30"/>
          <w:rtl/>
        </w:rPr>
        <w:t xml:space="preserve">(سوف يتم التحقق من هذا الرقم) </w:t>
      </w:r>
      <w:r w:rsidR="00FF0946">
        <w:rPr>
          <w:rFonts w:hint="cs"/>
          <w:sz w:val="30"/>
          <w:rtl/>
        </w:rPr>
        <w:t>كل عام</w:t>
      </w:r>
      <w:r>
        <w:rPr>
          <w:rFonts w:hint="cs"/>
          <w:sz w:val="30"/>
          <w:rtl/>
        </w:rPr>
        <w:t xml:space="preserve">. ومن المتوقع أن تكون هذه الكميات كافية لتغطية 50 </w:t>
      </w:r>
      <w:r>
        <w:rPr>
          <w:sz w:val="30"/>
          <w:rtl/>
        </w:rPr>
        <w:t>–</w:t>
      </w:r>
      <w:r>
        <w:rPr>
          <w:rFonts w:hint="cs"/>
          <w:sz w:val="30"/>
          <w:rtl/>
        </w:rPr>
        <w:t xml:space="preserve"> 60 كيلو متر يومياً</w:t>
      </w:r>
      <w:r w:rsidR="00BE7788">
        <w:rPr>
          <w:rFonts w:hint="cs"/>
          <w:sz w:val="30"/>
          <w:rtl/>
        </w:rPr>
        <w:t>. أما بنزين أوكتان 90 فسوف يتم إلغاؤه.</w:t>
      </w:r>
    </w:p>
    <w:p w:rsidR="00BE7788" w:rsidRDefault="00BE7788" w:rsidP="00F652F4">
      <w:pPr>
        <w:pStyle w:val="ListParagraph"/>
        <w:numPr>
          <w:ilvl w:val="0"/>
          <w:numId w:val="5"/>
        </w:numPr>
        <w:tabs>
          <w:tab w:val="left" w:pos="1643"/>
        </w:tabs>
        <w:spacing w:line="360" w:lineRule="auto"/>
        <w:jc w:val="both"/>
        <w:rPr>
          <w:sz w:val="30"/>
        </w:rPr>
      </w:pPr>
      <w:r>
        <w:rPr>
          <w:rFonts w:hint="cs"/>
          <w:sz w:val="30"/>
          <w:rtl/>
        </w:rPr>
        <w:t xml:space="preserve">الأسعار: </w:t>
      </w:r>
      <w:r w:rsidR="00EF34B9">
        <w:rPr>
          <w:rFonts w:hint="cs"/>
          <w:sz w:val="30"/>
          <w:rtl/>
        </w:rPr>
        <w:t>السعر المدعوم لن يتغير إذ سيظل ثابتاً عند 0.90 جنيهاً مصرياً و 1.85 جنيهاً مصرياً (لبنزين 80 وبنزين 92 على التوالي). أما تكلفة الأسعار غير المدعومة</w:t>
      </w:r>
      <w:r w:rsidR="00660D7C">
        <w:rPr>
          <w:rFonts w:hint="cs"/>
          <w:sz w:val="30"/>
          <w:rtl/>
        </w:rPr>
        <w:t xml:space="preserve"> فت</w:t>
      </w:r>
      <w:r w:rsidR="00F652F4">
        <w:rPr>
          <w:rFonts w:hint="cs"/>
          <w:sz w:val="30"/>
          <w:rtl/>
        </w:rPr>
        <w:t>م</w:t>
      </w:r>
      <w:r w:rsidR="00660D7C">
        <w:rPr>
          <w:rFonts w:hint="cs"/>
          <w:sz w:val="30"/>
          <w:rtl/>
        </w:rPr>
        <w:t xml:space="preserve"> تحديدها على أساس تكلفة الهيئة المصرية العامة للبترول والتي تقدر على النحو التالي: 3.60 جنيهاً و 4.35 جنيهاً مصرياً (لبنزين 80 و بنزين 92 على التوالي). </w:t>
      </w:r>
      <w:r w:rsidR="00970DA2">
        <w:rPr>
          <w:rFonts w:hint="cs"/>
          <w:sz w:val="30"/>
          <w:rtl/>
        </w:rPr>
        <w:t xml:space="preserve">ذكر بعض المسئولين أنه سيتم تعديل الأسعار غير المدعومة بصفة ربع سنوية وذلك وفق فعالية التكلفة في ربع السنة السابق. </w:t>
      </w:r>
    </w:p>
    <w:p w:rsidR="004E4FC7" w:rsidRDefault="004E4FC7" w:rsidP="00970DA2">
      <w:pPr>
        <w:pStyle w:val="ListParagraph"/>
        <w:numPr>
          <w:ilvl w:val="0"/>
          <w:numId w:val="5"/>
        </w:numPr>
        <w:tabs>
          <w:tab w:val="left" w:pos="1643"/>
        </w:tabs>
        <w:spacing w:line="360" w:lineRule="auto"/>
        <w:jc w:val="both"/>
        <w:rPr>
          <w:sz w:val="30"/>
        </w:rPr>
      </w:pPr>
      <w:r>
        <w:rPr>
          <w:rFonts w:hint="cs"/>
          <w:sz w:val="30"/>
          <w:rtl/>
        </w:rPr>
        <w:t>لم يتم توضيح أي خطوات واضحة تالية.</w:t>
      </w:r>
    </w:p>
    <w:p w:rsidR="00E15FD6" w:rsidRDefault="004E4FC7" w:rsidP="00F652F4">
      <w:pPr>
        <w:pStyle w:val="ListParagraph"/>
        <w:numPr>
          <w:ilvl w:val="0"/>
          <w:numId w:val="5"/>
        </w:numPr>
        <w:tabs>
          <w:tab w:val="left" w:pos="1643"/>
        </w:tabs>
        <w:spacing w:line="360" w:lineRule="auto"/>
        <w:jc w:val="both"/>
        <w:rPr>
          <w:sz w:val="30"/>
        </w:rPr>
      </w:pPr>
      <w:r>
        <w:rPr>
          <w:rFonts w:hint="cs"/>
          <w:sz w:val="30"/>
          <w:rtl/>
        </w:rPr>
        <w:t xml:space="preserve">قدرت وزارة المالية نصيب الدعم للكميات المدعومة على النحو التالي: </w:t>
      </w:r>
      <w:r w:rsidR="00E15FD6">
        <w:rPr>
          <w:rFonts w:hint="cs"/>
          <w:sz w:val="30"/>
          <w:rtl/>
        </w:rPr>
        <w:t>بنزين</w:t>
      </w:r>
      <w:r w:rsidR="00F652F4">
        <w:rPr>
          <w:rFonts w:hint="cs"/>
          <w:sz w:val="30"/>
          <w:rtl/>
        </w:rPr>
        <w:t xml:space="preserve"> </w:t>
      </w:r>
      <w:r w:rsidR="00E15FD6">
        <w:rPr>
          <w:rFonts w:hint="cs"/>
          <w:sz w:val="30"/>
          <w:rtl/>
        </w:rPr>
        <w:t>80</w:t>
      </w:r>
      <w:r w:rsidR="00F652F4">
        <w:rPr>
          <w:rFonts w:hint="cs"/>
          <w:sz w:val="30"/>
          <w:rtl/>
        </w:rPr>
        <w:t xml:space="preserve">، </w:t>
      </w:r>
      <w:r>
        <w:rPr>
          <w:rFonts w:hint="cs"/>
          <w:sz w:val="30"/>
          <w:rtl/>
        </w:rPr>
        <w:t xml:space="preserve">تبلغ نسبة </w:t>
      </w:r>
      <w:r w:rsidR="00E15FD6">
        <w:rPr>
          <w:rFonts w:hint="cs"/>
          <w:sz w:val="30"/>
          <w:rtl/>
        </w:rPr>
        <w:t>ال</w:t>
      </w:r>
      <w:r>
        <w:rPr>
          <w:rFonts w:hint="cs"/>
          <w:sz w:val="30"/>
          <w:rtl/>
        </w:rPr>
        <w:t>دعم</w:t>
      </w:r>
      <w:r w:rsidR="00E15FD6">
        <w:rPr>
          <w:rFonts w:hint="cs"/>
          <w:sz w:val="30"/>
          <w:rtl/>
        </w:rPr>
        <w:t xml:space="preserve"> المخصصة له 70%، أما بنزين 92</w:t>
      </w:r>
      <w:r w:rsidR="00F652F4">
        <w:rPr>
          <w:rFonts w:hint="cs"/>
          <w:sz w:val="30"/>
          <w:rtl/>
        </w:rPr>
        <w:t>،</w:t>
      </w:r>
      <w:r w:rsidR="00E15FD6">
        <w:rPr>
          <w:rFonts w:hint="cs"/>
          <w:sz w:val="30"/>
          <w:rtl/>
        </w:rPr>
        <w:t xml:space="preserve"> فتبلع نسبة الدعم 30%، وعلى هذا، فإن 55% من إجمالي الاستهلاك سوف يتم دعمه.</w:t>
      </w:r>
    </w:p>
    <w:p w:rsidR="004E4FC7" w:rsidRPr="00FF0946" w:rsidRDefault="00713757" w:rsidP="00776B08">
      <w:pPr>
        <w:pStyle w:val="ListParagraph"/>
        <w:numPr>
          <w:ilvl w:val="0"/>
          <w:numId w:val="5"/>
        </w:numPr>
        <w:tabs>
          <w:tab w:val="left" w:pos="1643"/>
        </w:tabs>
        <w:spacing w:line="360" w:lineRule="auto"/>
        <w:jc w:val="both"/>
        <w:rPr>
          <w:sz w:val="30"/>
        </w:rPr>
      </w:pPr>
      <w:r>
        <w:rPr>
          <w:rFonts w:hint="cs"/>
          <w:sz w:val="30"/>
          <w:rtl/>
        </w:rPr>
        <w:t xml:space="preserve">وأما بالنسبة للسولار، فهناك وضوح أقل فيما يتعلق بالتنفيذ الفني لعملية إصلاح الدعم. فمن حيث المبدأ، </w:t>
      </w:r>
      <w:r w:rsidR="00394165">
        <w:rPr>
          <w:rFonts w:hint="cs"/>
          <w:sz w:val="30"/>
          <w:rtl/>
        </w:rPr>
        <w:t xml:space="preserve">فإن الخطة هي </w:t>
      </w:r>
      <w:r w:rsidR="00394165">
        <w:rPr>
          <w:rFonts w:hint="cs"/>
          <w:sz w:val="30"/>
          <w:rtl/>
        </w:rPr>
        <w:lastRenderedPageBreak/>
        <w:t>الاستمرار في دعم قطاع النقل (الشاحنات) ووسائل المواصلات العامة، والميكروباص (الحافلات الصغيرة) والزراعة، والري</w:t>
      </w:r>
      <w:r w:rsidR="00776B08">
        <w:rPr>
          <w:rFonts w:hint="cs"/>
          <w:sz w:val="30"/>
          <w:rtl/>
        </w:rPr>
        <w:t xml:space="preserve">، </w:t>
      </w:r>
      <w:r w:rsidR="00394165">
        <w:rPr>
          <w:rFonts w:hint="cs"/>
          <w:sz w:val="30"/>
          <w:rtl/>
        </w:rPr>
        <w:t xml:space="preserve">والصيد. </w:t>
      </w:r>
      <w:r w:rsidR="00167BA4">
        <w:rPr>
          <w:rFonts w:hint="cs"/>
          <w:sz w:val="30"/>
          <w:rtl/>
        </w:rPr>
        <w:t>ربما يتم هذا الدعم من خلال البطاقات الذكية ذات المخصصات العالية (على سبيل المثال 10.000 كيلو متر سوف يتم دعمه بالنسبة للميكروباص). أما فيما يتعلق بالأسعار غير المدعومة ، فسوف تزداد</w:t>
      </w:r>
      <w:r w:rsidR="00C04CFC">
        <w:rPr>
          <w:rFonts w:hint="cs"/>
          <w:sz w:val="30"/>
          <w:rtl/>
        </w:rPr>
        <w:t xml:space="preserve"> من 1.10 جنيهاً إلى 4.15 جنيهاً مصرياً. قدرت وزارة المالية نسب كميات إجمالي الاستهلاك المدعوم للسولار على النحو التالي: </w:t>
      </w:r>
      <w:r w:rsidR="00132455">
        <w:rPr>
          <w:rFonts w:hint="cs"/>
          <w:sz w:val="30"/>
          <w:rtl/>
        </w:rPr>
        <w:t xml:space="preserve">قطاع النقل: 100%، الزراعة والري: 100%، الطرق والأعمال التعاقدية: 50%، الصناعة: 46%، السياحة: 0%، الإجمالي: 60% من استهلاك السولار </w:t>
      </w:r>
      <w:r w:rsidR="00B1231C">
        <w:rPr>
          <w:rFonts w:hint="cs"/>
          <w:sz w:val="30"/>
          <w:rtl/>
        </w:rPr>
        <w:t>سيظل مدعوماً.</w:t>
      </w:r>
    </w:p>
    <w:p w:rsidR="00602559" w:rsidRDefault="0091549C" w:rsidP="002608D6">
      <w:pPr>
        <w:pStyle w:val="ListParagraph"/>
        <w:numPr>
          <w:ilvl w:val="0"/>
          <w:numId w:val="3"/>
        </w:numPr>
        <w:tabs>
          <w:tab w:val="left" w:pos="1643"/>
        </w:tabs>
        <w:spacing w:line="360" w:lineRule="auto"/>
        <w:jc w:val="both"/>
        <w:rPr>
          <w:sz w:val="30"/>
        </w:rPr>
      </w:pPr>
      <w:r>
        <w:rPr>
          <w:rFonts w:hint="cs"/>
          <w:sz w:val="30"/>
          <w:rtl/>
        </w:rPr>
        <w:t>وحتى مع تطبيق الإجراءات التي تم ذكرها سابقاً، تظل أسعار المنتجات البترولية وتعرفة الكهرباء أقل من مستويات تغطية التكلفة لهذه المنتجات، ومن ثم فإن التأثير المالي لدعم الوقود</w:t>
      </w:r>
      <w:r w:rsidR="003657FB">
        <w:rPr>
          <w:rFonts w:hint="cs"/>
          <w:sz w:val="30"/>
          <w:rtl/>
        </w:rPr>
        <w:t xml:space="preserve"> على الموازنة الحكومية سوف يستمر حتى يتم صياغة وتطوير استراتيجية شاملة لإصلاح نظام الدعم.</w:t>
      </w:r>
    </w:p>
    <w:p w:rsidR="002608D6" w:rsidRDefault="00CA49E1" w:rsidP="00273217">
      <w:pPr>
        <w:pStyle w:val="ListParagraph"/>
        <w:numPr>
          <w:ilvl w:val="0"/>
          <w:numId w:val="3"/>
        </w:numPr>
        <w:tabs>
          <w:tab w:val="left" w:pos="1643"/>
        </w:tabs>
        <w:spacing w:line="360" w:lineRule="auto"/>
        <w:jc w:val="both"/>
        <w:rPr>
          <w:sz w:val="30"/>
        </w:rPr>
      </w:pPr>
      <w:r w:rsidRPr="00273217">
        <w:rPr>
          <w:rFonts w:hint="cs"/>
          <w:sz w:val="30"/>
          <w:rtl/>
        </w:rPr>
        <w:t>شبكات الحماية الاجتماعية.</w:t>
      </w:r>
      <w:r w:rsidR="0091549C">
        <w:rPr>
          <w:rFonts w:hint="cs"/>
          <w:sz w:val="30"/>
          <w:rtl/>
        </w:rPr>
        <w:t xml:space="preserve"> </w:t>
      </w:r>
      <w:r w:rsidR="00F65A10">
        <w:rPr>
          <w:rFonts w:hint="cs"/>
          <w:sz w:val="30"/>
          <w:rtl/>
        </w:rPr>
        <w:t>يجب أن يتم إصلاح دعم الطاقة جنباً إلى جنب مع إصلاح ش</w:t>
      </w:r>
      <w:r w:rsidR="005122EE">
        <w:rPr>
          <w:rFonts w:hint="cs"/>
          <w:sz w:val="30"/>
          <w:rtl/>
        </w:rPr>
        <w:t xml:space="preserve">بكات الحماية الاجتماعية في مصر، حيث توجد حاجة ملحة لتماسك هذه الشبكات من أجل توفير حماية أفضل للأسر الفقيرة </w:t>
      </w:r>
      <w:r w:rsidR="00273217">
        <w:rPr>
          <w:rFonts w:hint="cs"/>
          <w:sz w:val="30"/>
          <w:rtl/>
        </w:rPr>
        <w:t>والضعيفة الموجودة حالياً</w:t>
      </w:r>
      <w:r w:rsidR="005122EE">
        <w:rPr>
          <w:rFonts w:hint="cs"/>
          <w:sz w:val="30"/>
          <w:rtl/>
        </w:rPr>
        <w:t xml:space="preserve"> ، وكذلك تخفيف الآثار العكسية لإصلاح الدعم الموجه للطاقة. </w:t>
      </w:r>
      <w:r w:rsidR="001E0A6D">
        <w:rPr>
          <w:rFonts w:hint="cs"/>
          <w:sz w:val="30"/>
          <w:rtl/>
        </w:rPr>
        <w:t xml:space="preserve">يفرض نظام إصلاح الدعم تحديات هائلة حيث من المتوقع أن يكون التأثير العكسي </w:t>
      </w:r>
      <w:r w:rsidR="00893F59">
        <w:rPr>
          <w:rFonts w:hint="cs"/>
          <w:sz w:val="30"/>
          <w:rtl/>
        </w:rPr>
        <w:t>المتناسب مع</w:t>
      </w:r>
      <w:r w:rsidR="001E0A6D">
        <w:rPr>
          <w:rFonts w:hint="cs"/>
          <w:sz w:val="30"/>
          <w:rtl/>
        </w:rPr>
        <w:t xml:space="preserve"> رفع هذا الدعم </w:t>
      </w:r>
      <w:r w:rsidR="00373DA7">
        <w:rPr>
          <w:rFonts w:hint="cs"/>
          <w:sz w:val="30"/>
          <w:rtl/>
        </w:rPr>
        <w:t xml:space="preserve">أكثر حدةً على الفقراء، على الرغم من أن الأغنياء هم من يحصلون على النصيب الأكبر من هذا الدعم.  </w:t>
      </w:r>
      <w:r w:rsidR="00060D16">
        <w:rPr>
          <w:rFonts w:hint="cs"/>
          <w:sz w:val="30"/>
          <w:rtl/>
        </w:rPr>
        <w:t xml:space="preserve">ووفق النتائج التي توصلت إليها آخر مسوح أُجريت على الأسر، فإن دعم الطاقة يمثل 12% من </w:t>
      </w:r>
      <w:r w:rsidR="00025759">
        <w:rPr>
          <w:rFonts w:hint="cs"/>
          <w:sz w:val="30"/>
          <w:rtl/>
        </w:rPr>
        <w:t>ال</w:t>
      </w:r>
      <w:r w:rsidR="00060D16">
        <w:rPr>
          <w:rFonts w:hint="cs"/>
          <w:sz w:val="30"/>
          <w:rtl/>
        </w:rPr>
        <w:t xml:space="preserve">إنفاق </w:t>
      </w:r>
      <w:r w:rsidR="00025759">
        <w:rPr>
          <w:rFonts w:hint="cs"/>
          <w:sz w:val="30"/>
          <w:rtl/>
        </w:rPr>
        <w:t xml:space="preserve">الأسري في الشريحة الأدنى، بينما تبلغ ذات النسبة للشريحة الأعلى 9% فحسب. </w:t>
      </w:r>
    </w:p>
    <w:p w:rsidR="00AB0CCF" w:rsidRDefault="00A42DE4" w:rsidP="00025759">
      <w:pPr>
        <w:pStyle w:val="ListParagraph"/>
        <w:numPr>
          <w:ilvl w:val="0"/>
          <w:numId w:val="3"/>
        </w:numPr>
        <w:tabs>
          <w:tab w:val="left" w:pos="1643"/>
        </w:tabs>
        <w:spacing w:line="360" w:lineRule="auto"/>
        <w:jc w:val="both"/>
        <w:rPr>
          <w:sz w:val="30"/>
        </w:rPr>
      </w:pPr>
      <w:r w:rsidRPr="00A42DE4">
        <w:rPr>
          <w:rFonts w:hint="cs"/>
          <w:sz w:val="30"/>
          <w:rtl/>
        </w:rPr>
        <w:lastRenderedPageBreak/>
        <w:t>تفتقر مصر إلى شبك</w:t>
      </w:r>
      <w:r>
        <w:rPr>
          <w:rFonts w:hint="cs"/>
          <w:sz w:val="30"/>
          <w:rtl/>
        </w:rPr>
        <w:t xml:space="preserve">ة حماية اجتماعية مصممة على نحو جيد، والتي يمكنها توفير آلية لتخفيف الآثار العكسية لبرامج إصلاح الدعم الموجه للوقود، والتي يمكن تطويرها وتنفيذها من قبل الحكومة. </w:t>
      </w:r>
      <w:r w:rsidR="0090752C">
        <w:rPr>
          <w:rFonts w:hint="cs"/>
          <w:sz w:val="30"/>
          <w:rtl/>
        </w:rPr>
        <w:t xml:space="preserve">يعاني نظام شبكات الحماية الاجتماعية الحالي من العديد من أوجه الضعف والتي تشمل التشتت وضعف التنسيق، والتغطية الضعيفة للفقراء، والروابط </w:t>
      </w:r>
      <w:r w:rsidR="004172C1">
        <w:rPr>
          <w:rFonts w:hint="cs"/>
          <w:sz w:val="30"/>
          <w:rtl/>
        </w:rPr>
        <w:t xml:space="preserve">الضعيفة مع قضايا تعزيز رأس المال البشري، والتأثير الضعيف على برامج مكافحة الفقر، وقلة الفعالية الاجتماعية والاقتصادية. </w:t>
      </w:r>
      <w:r w:rsidR="00671DA8">
        <w:rPr>
          <w:rFonts w:hint="cs"/>
          <w:sz w:val="30"/>
          <w:rtl/>
        </w:rPr>
        <w:t>بلغ إجمالي الإنفاق العام على معاشات التضامن الاجتماعي، وهو البرنامج الأساسي غير المدعوم لشبكات الحماية الاجتماعية، 2.58 مليار جنيه في العام المالي 2012، مما يمثل نسبة 0.17% فحسب من الناتج المحلي الإجمالي</w:t>
      </w:r>
      <w:r w:rsidR="00BB2FB9">
        <w:rPr>
          <w:rFonts w:hint="cs"/>
          <w:sz w:val="30"/>
          <w:rtl/>
        </w:rPr>
        <w:t xml:space="preserve">، وهي تعد نسبة ضئيلة للغاية إذا ما قورنت بدول أخرى والتي تنفق ما بين 1% - 1.5% من الناتج المحلي الإجمالي على برامج مماثلة. وإذا ما تجاوزنا الأساس المنطقي الاقتصادي، فهناك أيضاً ضغوط سياسية واجتماعية على الحكومة الجديدة من أجل تنفيذ الوعود التي نادت بها ثورة 2011. </w:t>
      </w:r>
      <w:r w:rsidR="00FD3D1E">
        <w:rPr>
          <w:rFonts w:hint="cs"/>
          <w:sz w:val="30"/>
          <w:rtl/>
        </w:rPr>
        <w:t xml:space="preserve">أوضح استطلاع للرأي أُجري مؤخراً أن نسبة رضاء المصريين عن جهود الحكومة الحالية في مساعدة الفقراء تعد بين أقل النسب في المنطقة، </w:t>
      </w:r>
      <w:r w:rsidR="00AB0CCF">
        <w:rPr>
          <w:rFonts w:hint="cs"/>
          <w:sz w:val="30"/>
          <w:rtl/>
        </w:rPr>
        <w:t>بينما كانت الحاجة إلى الخدمات الحكومية بين أعلى النسب.</w:t>
      </w:r>
    </w:p>
    <w:p w:rsidR="00A42DE4" w:rsidRDefault="00607C70" w:rsidP="003E1E82">
      <w:pPr>
        <w:pStyle w:val="ListParagraph"/>
        <w:numPr>
          <w:ilvl w:val="0"/>
          <w:numId w:val="3"/>
        </w:numPr>
        <w:tabs>
          <w:tab w:val="left" w:pos="1643"/>
        </w:tabs>
        <w:spacing w:line="360" w:lineRule="auto"/>
        <w:jc w:val="both"/>
        <w:rPr>
          <w:sz w:val="30"/>
        </w:rPr>
      </w:pPr>
      <w:r>
        <w:rPr>
          <w:rFonts w:hint="cs"/>
          <w:sz w:val="30"/>
          <w:rtl/>
        </w:rPr>
        <w:t xml:space="preserve">وعلى هذا الأساس، </w:t>
      </w:r>
      <w:r w:rsidR="00F857F8">
        <w:rPr>
          <w:rFonts w:hint="cs"/>
          <w:sz w:val="30"/>
          <w:rtl/>
        </w:rPr>
        <w:t>فإن إصلاح وتعزيز نظام شبكات الحماية الاجتماعية</w:t>
      </w:r>
      <w:r w:rsidR="00FD3D1E">
        <w:rPr>
          <w:rFonts w:hint="cs"/>
          <w:sz w:val="30"/>
          <w:rtl/>
        </w:rPr>
        <w:t xml:space="preserve"> </w:t>
      </w:r>
      <w:r w:rsidR="00F857F8">
        <w:rPr>
          <w:rFonts w:hint="cs"/>
          <w:sz w:val="30"/>
          <w:rtl/>
        </w:rPr>
        <w:t xml:space="preserve">المشتت يعد من القضايا الأساسية. وهذا يتطلب تحسين </w:t>
      </w:r>
      <w:r w:rsidR="007F0176">
        <w:rPr>
          <w:rFonts w:hint="cs"/>
          <w:sz w:val="30"/>
          <w:rtl/>
        </w:rPr>
        <w:t xml:space="preserve">استهداف ودمج برامح شبكات الحماية الاجتماعية الحالية في برنامج أكثر فعالية والذي يسمح للحكومة بتوفير مزايا أكثر </w:t>
      </w:r>
      <w:r w:rsidR="004851D6">
        <w:rPr>
          <w:rFonts w:hint="cs"/>
          <w:sz w:val="30"/>
          <w:rtl/>
        </w:rPr>
        <w:t xml:space="preserve">وأهم للفقراء. </w:t>
      </w:r>
      <w:r w:rsidR="00F60743">
        <w:rPr>
          <w:rFonts w:hint="cs"/>
          <w:sz w:val="30"/>
          <w:rtl/>
        </w:rPr>
        <w:t xml:space="preserve">يعد برنامج التحويلات النقدية الذي يتم تصميمه بصورة جيدة من بين أهم برامج شبكات الحماية الاجتماعية على المستوى العالمي، ويمكنه توفير آلية فعالة لتخفيف أي آثار اجتماعية عكسية </w:t>
      </w:r>
      <w:r w:rsidR="00475DCA">
        <w:rPr>
          <w:rFonts w:hint="cs"/>
          <w:sz w:val="30"/>
          <w:rtl/>
        </w:rPr>
        <w:t xml:space="preserve">لاستراتيجية رفع الدعم عن الوقود والذي يتم تطويره بموجب هذه المساعدة الفنية. أوضحت التجارب الدولية أن وجود برنامج واحد شامل، يتم تصميمه للوصول إلى شرائح مختلفة </w:t>
      </w:r>
      <w:r w:rsidR="00475DCA">
        <w:rPr>
          <w:rFonts w:hint="cs"/>
          <w:sz w:val="30"/>
          <w:rtl/>
        </w:rPr>
        <w:lastRenderedPageBreak/>
        <w:t xml:space="preserve">من الفقراء والمعرضين للفقر، يمكنه أن يتعامل مع </w:t>
      </w:r>
      <w:r w:rsidR="003E1E82">
        <w:rPr>
          <w:rFonts w:hint="cs"/>
          <w:sz w:val="30"/>
          <w:rtl/>
        </w:rPr>
        <w:t>أوجه الضعف وفجوات الحماية الاجتماعية</w:t>
      </w:r>
      <w:r w:rsidR="003E1E82" w:rsidRPr="003E1E82">
        <w:rPr>
          <w:rFonts w:hint="cs"/>
          <w:sz w:val="30"/>
          <w:rtl/>
        </w:rPr>
        <w:t xml:space="preserve"> </w:t>
      </w:r>
      <w:r w:rsidR="003E1E82">
        <w:rPr>
          <w:rFonts w:hint="cs"/>
          <w:sz w:val="30"/>
          <w:rtl/>
        </w:rPr>
        <w:t xml:space="preserve">الحالية، وذلك من خلال زيادة التغطية، وتحسين برامج الاستهداف، وزيادة حجم المزايا المقدمة وتقليل الازدواجية. </w:t>
      </w:r>
    </w:p>
    <w:p w:rsidR="003E1E82" w:rsidRDefault="00895781" w:rsidP="00AC1686">
      <w:pPr>
        <w:pStyle w:val="ListParagraph"/>
        <w:numPr>
          <w:ilvl w:val="0"/>
          <w:numId w:val="3"/>
        </w:numPr>
        <w:tabs>
          <w:tab w:val="left" w:pos="1643"/>
        </w:tabs>
        <w:spacing w:line="360" w:lineRule="auto"/>
        <w:jc w:val="both"/>
        <w:rPr>
          <w:sz w:val="30"/>
        </w:rPr>
      </w:pPr>
      <w:r>
        <w:rPr>
          <w:rFonts w:hint="cs"/>
          <w:sz w:val="30"/>
          <w:rtl/>
        </w:rPr>
        <w:t xml:space="preserve">أول خطوة يتعين القيام بها في إصلاح مثل هذه العملية هي إنشاء قاعدة بيانات بالفقراء والمعرضين للفقر. </w:t>
      </w:r>
      <w:r w:rsidR="00D63ED4">
        <w:rPr>
          <w:rFonts w:hint="cs"/>
          <w:sz w:val="30"/>
          <w:rtl/>
        </w:rPr>
        <w:t>يتعين الشروع في هذه الخطوة من خلال دمج قواعد البيانات الحالية، مثل قاعدة بيانات البطاقات التموينية</w:t>
      </w:r>
      <w:r w:rsidR="004A1D33">
        <w:rPr>
          <w:rFonts w:hint="cs"/>
          <w:sz w:val="30"/>
          <w:rtl/>
        </w:rPr>
        <w:t xml:space="preserve"> والتي تديرها وزارة الدولة للتنمية الإدارية. وهناك قواعد بيانات أخرى مثل </w:t>
      </w:r>
      <w:r w:rsidR="00D64D37">
        <w:rPr>
          <w:rFonts w:hint="cs"/>
          <w:sz w:val="30"/>
          <w:rtl/>
        </w:rPr>
        <w:t>مكاتب</w:t>
      </w:r>
      <w:r w:rsidR="003D1CF2">
        <w:rPr>
          <w:rFonts w:hint="cs"/>
          <w:sz w:val="30"/>
          <w:rtl/>
        </w:rPr>
        <w:t xml:space="preserve"> المرور، فواتير الكهرباء، والتي يمكن استخدامها </w:t>
      </w:r>
      <w:r w:rsidR="00896FA1">
        <w:rPr>
          <w:rFonts w:hint="cs"/>
          <w:sz w:val="30"/>
          <w:rtl/>
        </w:rPr>
        <w:t xml:space="preserve">من أجل رفع الأسر غير الفقيرة والأسر غير المستحقة من قاعدة بيانات البطاقات التموينية. </w:t>
      </w:r>
      <w:r w:rsidR="00CF5541">
        <w:rPr>
          <w:rFonts w:hint="cs"/>
          <w:sz w:val="30"/>
          <w:rtl/>
        </w:rPr>
        <w:t xml:space="preserve">وزارة الدولة للتنمية الإدارية، والتي تدير حالياً قاعدة بيانات البطاقات التموينية والبطاقات الذكية والتي يوجد بها حوالي 17 مليون أسرة، هي أفضل </w:t>
      </w:r>
      <w:r w:rsidR="000D4705">
        <w:rPr>
          <w:rFonts w:hint="cs"/>
          <w:sz w:val="30"/>
          <w:rtl/>
        </w:rPr>
        <w:t>جهة</w:t>
      </w:r>
      <w:r w:rsidR="003E5581">
        <w:rPr>
          <w:rFonts w:hint="cs"/>
          <w:sz w:val="30"/>
          <w:rtl/>
        </w:rPr>
        <w:t xml:space="preserve"> لإدارة مثل هذه المهمة. ومن خلال دمج هذه البيانات مع قواعد البيانات الأخرى، يمكن تحديد عدد كبير من الفقراء. ومن ثم، يمكن للدعم الفني المقترح أن يدعم وزارة الدولة للتنمية الإدارية في إنشاء مثل قاعدة البيانات هذه</w:t>
      </w:r>
      <w:r w:rsidR="00787A56">
        <w:rPr>
          <w:rFonts w:hint="cs"/>
          <w:sz w:val="30"/>
          <w:rtl/>
        </w:rPr>
        <w:t xml:space="preserve"> والتي من شأنها أيضاً أن تستهدف المستهلكين المعرضين للفقر وذلك من أجل تخفيف آثار نظام إصلاح دعم الوقود.</w:t>
      </w:r>
    </w:p>
    <w:p w:rsidR="00787A56" w:rsidRDefault="00511BD3" w:rsidP="005029E3">
      <w:pPr>
        <w:pStyle w:val="ListParagraph"/>
        <w:numPr>
          <w:ilvl w:val="0"/>
          <w:numId w:val="3"/>
        </w:numPr>
        <w:tabs>
          <w:tab w:val="left" w:pos="1643"/>
        </w:tabs>
        <w:spacing w:line="360" w:lineRule="auto"/>
        <w:jc w:val="both"/>
        <w:rPr>
          <w:sz w:val="30"/>
        </w:rPr>
      </w:pPr>
      <w:r>
        <w:rPr>
          <w:rFonts w:hint="cs"/>
          <w:b/>
          <w:bCs/>
          <w:sz w:val="30"/>
          <w:rtl/>
        </w:rPr>
        <w:t>الأساس المنطقي ل</w:t>
      </w:r>
      <w:r w:rsidRPr="00511BD3">
        <w:rPr>
          <w:rFonts w:hint="cs"/>
          <w:b/>
          <w:bCs/>
          <w:sz w:val="30"/>
          <w:rtl/>
        </w:rPr>
        <w:t>صندوق التحول وتدخل البنك</w:t>
      </w:r>
      <w:r>
        <w:rPr>
          <w:rFonts w:hint="cs"/>
          <w:sz w:val="30"/>
          <w:rtl/>
        </w:rPr>
        <w:t xml:space="preserve">: </w:t>
      </w:r>
      <w:r w:rsidR="00F37BFF">
        <w:rPr>
          <w:rFonts w:hint="cs"/>
          <w:sz w:val="30"/>
          <w:rtl/>
        </w:rPr>
        <w:t xml:space="preserve">لا يعد توافر مورداً </w:t>
      </w:r>
      <w:r w:rsidR="00CE534D">
        <w:rPr>
          <w:rFonts w:hint="cs"/>
          <w:sz w:val="30"/>
          <w:rtl/>
        </w:rPr>
        <w:t>موثوقاً</w:t>
      </w:r>
      <w:r w:rsidR="00F37BFF">
        <w:rPr>
          <w:rFonts w:hint="cs"/>
          <w:sz w:val="30"/>
          <w:rtl/>
        </w:rPr>
        <w:t xml:space="preserve"> للطاقة شرطاً أساسياً للنمو الاقتصادي</w:t>
      </w:r>
      <w:r w:rsidR="00CE534D">
        <w:rPr>
          <w:rFonts w:hint="cs"/>
          <w:sz w:val="30"/>
          <w:rtl/>
        </w:rPr>
        <w:t xml:space="preserve"> فحسب، بل يعد أيضاً عامل جذب لاستثمارات القطاع الخاص في الدولة. وعلى الرغم من أن مصر كانت تعد في السابق من المصدرين المهمين للبترول والغاز، إلا أنها تكافح في الوقت الحالي لتلبية احتياجاتها المحلية من الطاقة. </w:t>
      </w:r>
      <w:r w:rsidR="0080026D">
        <w:rPr>
          <w:rFonts w:hint="cs"/>
          <w:sz w:val="30"/>
          <w:rtl/>
        </w:rPr>
        <w:t xml:space="preserve">عدم موثوقية </w:t>
      </w:r>
      <w:r w:rsidR="005029E3">
        <w:rPr>
          <w:rFonts w:hint="cs"/>
          <w:sz w:val="30"/>
          <w:rtl/>
        </w:rPr>
        <w:t xml:space="preserve">إمدادات </w:t>
      </w:r>
      <w:r w:rsidR="0080026D">
        <w:rPr>
          <w:rFonts w:hint="cs"/>
          <w:sz w:val="30"/>
          <w:rtl/>
        </w:rPr>
        <w:t xml:space="preserve">الطاقة يهدد الاحتمالات الهشة بالفعل في التوسع الاقتصادي، وتوفير الوظائف والرخاء الاجتماعي. </w:t>
      </w:r>
      <w:r w:rsidR="006E7CD3">
        <w:rPr>
          <w:rFonts w:hint="cs"/>
          <w:sz w:val="30"/>
          <w:rtl/>
        </w:rPr>
        <w:t xml:space="preserve">عدم الموثوقية في </w:t>
      </w:r>
      <w:r w:rsidR="005029E3">
        <w:rPr>
          <w:rFonts w:hint="cs"/>
          <w:sz w:val="30"/>
          <w:rtl/>
        </w:rPr>
        <w:t xml:space="preserve">إمدادات </w:t>
      </w:r>
      <w:r w:rsidR="006E7CD3">
        <w:rPr>
          <w:rFonts w:hint="cs"/>
          <w:sz w:val="30"/>
          <w:rtl/>
        </w:rPr>
        <w:t>الطاقة أصبح أمراً شائعاً للغاية في قطاع الكهرباء، حيث أصبح</w:t>
      </w:r>
      <w:r w:rsidR="0014435C">
        <w:rPr>
          <w:rFonts w:hint="cs"/>
          <w:sz w:val="30"/>
          <w:rtl/>
        </w:rPr>
        <w:t>ت هناك معاناة من</w:t>
      </w:r>
      <w:r w:rsidR="006E7CD3">
        <w:rPr>
          <w:rFonts w:hint="cs"/>
          <w:sz w:val="30"/>
          <w:rtl/>
        </w:rPr>
        <w:t xml:space="preserve"> العجز الحاد والمتكرر والمنتشر في الكهرباء </w:t>
      </w:r>
      <w:r w:rsidR="0014435C">
        <w:rPr>
          <w:rFonts w:hint="cs"/>
          <w:sz w:val="30"/>
          <w:rtl/>
        </w:rPr>
        <w:t xml:space="preserve">في السنوات الثلاثة </w:t>
      </w:r>
      <w:r w:rsidR="0014435C">
        <w:rPr>
          <w:rFonts w:hint="cs"/>
          <w:sz w:val="30"/>
          <w:rtl/>
        </w:rPr>
        <w:lastRenderedPageBreak/>
        <w:t xml:space="preserve">الأخيرة. </w:t>
      </w:r>
      <w:r w:rsidR="00847CED">
        <w:rPr>
          <w:rFonts w:hint="cs"/>
          <w:sz w:val="30"/>
          <w:rtl/>
        </w:rPr>
        <w:t xml:space="preserve">ومن ثم فإن </w:t>
      </w:r>
      <w:r w:rsidR="005029E3">
        <w:rPr>
          <w:rFonts w:hint="cs"/>
          <w:sz w:val="30"/>
          <w:rtl/>
        </w:rPr>
        <w:t xml:space="preserve">عدم توافر كميات كافية من الغاز الطبيعي </w:t>
      </w:r>
      <w:r w:rsidR="00995F43">
        <w:rPr>
          <w:rFonts w:hint="cs"/>
          <w:sz w:val="30"/>
          <w:rtl/>
        </w:rPr>
        <w:t xml:space="preserve">لتزويد محطات الكهرباء بالوقود </w:t>
      </w:r>
      <w:r w:rsidR="005029E3">
        <w:rPr>
          <w:rFonts w:hint="cs"/>
          <w:sz w:val="30"/>
          <w:rtl/>
        </w:rPr>
        <w:t xml:space="preserve">أدى إلى </w:t>
      </w:r>
      <w:r w:rsidR="0014435C">
        <w:rPr>
          <w:rFonts w:hint="cs"/>
          <w:sz w:val="30"/>
          <w:rtl/>
        </w:rPr>
        <w:t xml:space="preserve">العجز في </w:t>
      </w:r>
      <w:r w:rsidR="005029E3">
        <w:rPr>
          <w:rFonts w:hint="cs"/>
          <w:sz w:val="30"/>
          <w:rtl/>
        </w:rPr>
        <w:t>إمدادات</w:t>
      </w:r>
      <w:r w:rsidR="00995F43">
        <w:rPr>
          <w:rFonts w:hint="cs"/>
          <w:sz w:val="30"/>
          <w:rtl/>
        </w:rPr>
        <w:t xml:space="preserve"> الكهرباء.</w:t>
      </w:r>
    </w:p>
    <w:p w:rsidR="00995F43" w:rsidRDefault="00B6587B" w:rsidP="00DD285F">
      <w:pPr>
        <w:pStyle w:val="ListParagraph"/>
        <w:numPr>
          <w:ilvl w:val="0"/>
          <w:numId w:val="3"/>
        </w:numPr>
        <w:tabs>
          <w:tab w:val="left" w:pos="1643"/>
        </w:tabs>
        <w:spacing w:line="360" w:lineRule="auto"/>
        <w:jc w:val="both"/>
        <w:rPr>
          <w:sz w:val="30"/>
        </w:rPr>
      </w:pPr>
      <w:r w:rsidRPr="00B6587B">
        <w:rPr>
          <w:rFonts w:hint="cs"/>
          <w:sz w:val="30"/>
          <w:rtl/>
        </w:rPr>
        <w:t>حافظ ق</w:t>
      </w:r>
      <w:r>
        <w:rPr>
          <w:rFonts w:hint="cs"/>
          <w:sz w:val="30"/>
          <w:rtl/>
        </w:rPr>
        <w:t>ط</w:t>
      </w:r>
      <w:r w:rsidRPr="00B6587B">
        <w:rPr>
          <w:rFonts w:hint="cs"/>
          <w:sz w:val="30"/>
          <w:rtl/>
        </w:rPr>
        <w:t xml:space="preserve">اعي </w:t>
      </w:r>
      <w:r>
        <w:rPr>
          <w:rFonts w:hint="cs"/>
          <w:sz w:val="30"/>
          <w:rtl/>
        </w:rPr>
        <w:t>الكهرباء والغاز على فعاليتهم</w:t>
      </w:r>
      <w:r w:rsidR="00AC1686">
        <w:rPr>
          <w:rFonts w:hint="cs"/>
          <w:sz w:val="30"/>
          <w:rtl/>
        </w:rPr>
        <w:t>ا</w:t>
      </w:r>
      <w:r>
        <w:rPr>
          <w:rFonts w:hint="cs"/>
          <w:sz w:val="30"/>
          <w:rtl/>
        </w:rPr>
        <w:t xml:space="preserve"> في الماضي من خلال أنواع متعددة من الدعم. </w:t>
      </w:r>
      <w:r w:rsidR="00A96DA9">
        <w:rPr>
          <w:rFonts w:hint="cs"/>
          <w:sz w:val="30"/>
          <w:rtl/>
        </w:rPr>
        <w:t xml:space="preserve">وعلى الرغم من ذلك، هناك اقتناع كبير حالياً بأن الحكومة لم يعد في مقدورها الاستمرار في توفير دعم الطاقة. وهذا بدوره سيحول قطاعي الكهرباء والغاز إلى </w:t>
      </w:r>
      <w:r w:rsidR="0089043E">
        <w:rPr>
          <w:rFonts w:hint="cs"/>
          <w:sz w:val="30"/>
          <w:rtl/>
        </w:rPr>
        <w:t>قطاعات غير قابلة للاستمرار من الناحية المالية وذلك بناءً على الأسعار الحالية للغا</w:t>
      </w:r>
      <w:r w:rsidR="00AC16BC">
        <w:rPr>
          <w:rFonts w:hint="cs"/>
          <w:sz w:val="30"/>
          <w:rtl/>
        </w:rPr>
        <w:t xml:space="preserve">ز والكهرباء. من الواضح أيضاً أنه إذا ما تم تعديل أسعار الطاقة على المستوى المحلي بصورة مناسبة، </w:t>
      </w:r>
      <w:r w:rsidR="00DD285F">
        <w:rPr>
          <w:rFonts w:hint="cs"/>
          <w:sz w:val="30"/>
          <w:rtl/>
        </w:rPr>
        <w:t>ف</w:t>
      </w:r>
      <w:r w:rsidR="00AC16BC">
        <w:rPr>
          <w:rFonts w:hint="cs"/>
          <w:sz w:val="30"/>
          <w:rtl/>
        </w:rPr>
        <w:t xml:space="preserve">إن التدفقات النقدية في القطاع العام لن تكون كافية لتلبية الاحتياجات الاستثمارية لقطاعي الكهرباء والغاز. </w:t>
      </w:r>
      <w:r w:rsidR="00C76E06">
        <w:rPr>
          <w:rFonts w:hint="cs"/>
          <w:sz w:val="30"/>
          <w:rtl/>
        </w:rPr>
        <w:t>وعلاوةً على ذلك، فمن المعروف أيضاً أن التطورات في قطاعي الغاز والكهرباء متشابكة بصورة هائلة لأن معظم إنتاج الغاز يتم استخدامه في قطاع الكهرباء</w:t>
      </w:r>
      <w:r w:rsidR="00A80C77">
        <w:rPr>
          <w:rFonts w:hint="cs"/>
          <w:sz w:val="30"/>
          <w:rtl/>
        </w:rPr>
        <w:t xml:space="preserve"> حيث يتم تسعير الغاز بسعر تافه يبلغ 1 دولار لكل مليون وحدة حرارية بريطانية. </w:t>
      </w:r>
    </w:p>
    <w:p w:rsidR="00A80C77" w:rsidRDefault="00510064" w:rsidP="00960F32">
      <w:pPr>
        <w:pStyle w:val="ListParagraph"/>
        <w:numPr>
          <w:ilvl w:val="0"/>
          <w:numId w:val="3"/>
        </w:numPr>
        <w:tabs>
          <w:tab w:val="left" w:pos="1643"/>
        </w:tabs>
        <w:spacing w:line="360" w:lineRule="auto"/>
        <w:jc w:val="both"/>
        <w:rPr>
          <w:sz w:val="30"/>
        </w:rPr>
      </w:pPr>
      <w:r>
        <w:rPr>
          <w:rFonts w:hint="cs"/>
          <w:sz w:val="30"/>
          <w:rtl/>
        </w:rPr>
        <w:t xml:space="preserve">إن الصورة المعقدة السابقة لعدم المقدرة المالية لقطاعي الغاز والكهرباء جعلت الحكومة تدرس الاستعداد لخطة تحول والتي تتشكل من ثلاث مسارات مترابطة: (1) رفع الدعم عن الطاقة من خلال </w:t>
      </w:r>
      <w:r w:rsidR="00B61A64">
        <w:rPr>
          <w:rFonts w:hint="cs"/>
          <w:sz w:val="30"/>
          <w:rtl/>
        </w:rPr>
        <w:t xml:space="preserve">برنامج متماسك لتعديل الأسعار، (2) الانتقال من إمدادات </w:t>
      </w:r>
      <w:r w:rsidR="002912DB">
        <w:rPr>
          <w:rFonts w:hint="cs"/>
          <w:sz w:val="30"/>
          <w:rtl/>
        </w:rPr>
        <w:t>القطاع العام</w:t>
      </w:r>
      <w:r w:rsidR="00B61A64">
        <w:rPr>
          <w:rFonts w:hint="cs"/>
          <w:sz w:val="30"/>
          <w:rtl/>
        </w:rPr>
        <w:t xml:space="preserve"> </w:t>
      </w:r>
      <w:r w:rsidR="002912DB">
        <w:rPr>
          <w:rFonts w:hint="cs"/>
          <w:sz w:val="30"/>
          <w:rtl/>
        </w:rPr>
        <w:t xml:space="preserve">من الكهرباء والغاز </w:t>
      </w:r>
      <w:r w:rsidR="00B61A64">
        <w:rPr>
          <w:rFonts w:hint="cs"/>
          <w:sz w:val="30"/>
          <w:rtl/>
        </w:rPr>
        <w:t>المدعوم</w:t>
      </w:r>
      <w:r w:rsidR="002912DB">
        <w:rPr>
          <w:rFonts w:hint="cs"/>
          <w:sz w:val="30"/>
          <w:rtl/>
        </w:rPr>
        <w:t>ين</w:t>
      </w:r>
      <w:r w:rsidR="00B61A64">
        <w:rPr>
          <w:rFonts w:hint="cs"/>
          <w:sz w:val="30"/>
          <w:rtl/>
        </w:rPr>
        <w:t xml:space="preserve"> إلى الإمدادات </w:t>
      </w:r>
      <w:r w:rsidR="0091332C">
        <w:rPr>
          <w:rFonts w:hint="cs"/>
          <w:sz w:val="30"/>
          <w:rtl/>
        </w:rPr>
        <w:t xml:space="preserve">من القطاع العام والقطاع الخاص والتي سوف تعمل على أساس تجاري مع خطة دعم شفافة ومستهدفة عندما وحينما تكون هناك حاجة إليها، (3) </w:t>
      </w:r>
      <w:r w:rsidR="002912DB">
        <w:rPr>
          <w:rFonts w:hint="cs"/>
          <w:sz w:val="30"/>
          <w:rtl/>
        </w:rPr>
        <w:t>صياغة خطة حماية اجتماعية والتي من شأنها أن تحمي الفئات المعرضة للفقر</w:t>
      </w:r>
      <w:r w:rsidR="006A21AE">
        <w:rPr>
          <w:rFonts w:hint="cs"/>
          <w:sz w:val="30"/>
          <w:rtl/>
        </w:rPr>
        <w:t xml:space="preserve"> من السكان المصريين. يتعين إعداد مسارات التحول هذه وتنفيذها بشكل متناسق ومصمم على نحو جيد ومحسوب.</w:t>
      </w:r>
    </w:p>
    <w:p w:rsidR="006A21AE" w:rsidRDefault="006C7737" w:rsidP="0012336B">
      <w:pPr>
        <w:pStyle w:val="ListParagraph"/>
        <w:numPr>
          <w:ilvl w:val="0"/>
          <w:numId w:val="3"/>
        </w:numPr>
        <w:tabs>
          <w:tab w:val="left" w:pos="1643"/>
        </w:tabs>
        <w:spacing w:line="360" w:lineRule="auto"/>
        <w:jc w:val="both"/>
        <w:rPr>
          <w:sz w:val="30"/>
        </w:rPr>
      </w:pPr>
      <w:r>
        <w:rPr>
          <w:rFonts w:hint="cs"/>
          <w:sz w:val="30"/>
          <w:rtl/>
        </w:rPr>
        <w:t xml:space="preserve">إن الدعم الفني المقترح من قبل الحكومة المصرية من أجل </w:t>
      </w:r>
      <w:r w:rsidR="00F54AC4">
        <w:rPr>
          <w:rFonts w:hint="cs"/>
          <w:sz w:val="30"/>
          <w:rtl/>
        </w:rPr>
        <w:t>الحصول ع</w:t>
      </w:r>
      <w:r w:rsidR="008972D1">
        <w:rPr>
          <w:rFonts w:hint="cs"/>
          <w:sz w:val="30"/>
          <w:rtl/>
        </w:rPr>
        <w:t>لى التمويل من خلال صندوق التحول</w:t>
      </w:r>
      <w:r w:rsidR="00F54AC4">
        <w:rPr>
          <w:rFonts w:hint="cs"/>
          <w:sz w:val="30"/>
          <w:rtl/>
        </w:rPr>
        <w:t xml:space="preserve"> </w:t>
      </w:r>
      <w:r w:rsidR="008972D1">
        <w:rPr>
          <w:rFonts w:hint="cs"/>
          <w:sz w:val="30"/>
          <w:rtl/>
        </w:rPr>
        <w:t>ل</w:t>
      </w:r>
      <w:r w:rsidR="00F54AC4">
        <w:rPr>
          <w:rFonts w:hint="cs"/>
          <w:sz w:val="30"/>
          <w:rtl/>
        </w:rPr>
        <w:t xml:space="preserve">منطقة الشرق الأوسط وشمال </w:t>
      </w:r>
      <w:r w:rsidR="00F54AC4">
        <w:rPr>
          <w:rFonts w:hint="cs"/>
          <w:sz w:val="30"/>
          <w:rtl/>
        </w:rPr>
        <w:lastRenderedPageBreak/>
        <w:t>إفريقيا</w:t>
      </w:r>
      <w:r w:rsidR="008972D1">
        <w:rPr>
          <w:rFonts w:hint="cs"/>
          <w:sz w:val="30"/>
          <w:rtl/>
        </w:rPr>
        <w:t xml:space="preserve"> سوف يركز على </w:t>
      </w:r>
      <w:r w:rsidR="00960F32">
        <w:rPr>
          <w:rFonts w:hint="cs"/>
          <w:sz w:val="30"/>
          <w:rtl/>
        </w:rPr>
        <w:t>مواصلة مسارات التحول الثلاثة المذكورة سابقاً من خلال ثلاث مكونات من الدعم الفني، وه</w:t>
      </w:r>
      <w:r w:rsidR="0012336B">
        <w:rPr>
          <w:rFonts w:hint="cs"/>
          <w:sz w:val="30"/>
          <w:rtl/>
        </w:rPr>
        <w:t>ي</w:t>
      </w:r>
      <w:r w:rsidR="00960F32">
        <w:rPr>
          <w:rFonts w:hint="cs"/>
          <w:sz w:val="30"/>
          <w:rtl/>
        </w:rPr>
        <w:t>:</w:t>
      </w:r>
    </w:p>
    <w:p w:rsidR="006C74ED" w:rsidRDefault="00C0290C" w:rsidP="00960F32">
      <w:pPr>
        <w:pStyle w:val="ListParagraph"/>
        <w:numPr>
          <w:ilvl w:val="0"/>
          <w:numId w:val="4"/>
        </w:numPr>
        <w:tabs>
          <w:tab w:val="left" w:pos="1643"/>
        </w:tabs>
        <w:spacing w:line="360" w:lineRule="auto"/>
        <w:jc w:val="both"/>
        <w:rPr>
          <w:sz w:val="30"/>
        </w:rPr>
      </w:pPr>
      <w:r>
        <w:rPr>
          <w:rFonts w:hint="cs"/>
          <w:sz w:val="30"/>
          <w:rtl/>
        </w:rPr>
        <w:t xml:space="preserve">المكون الأول: </w:t>
      </w:r>
      <w:r w:rsidR="006C74ED">
        <w:rPr>
          <w:rFonts w:hint="cs"/>
          <w:sz w:val="30"/>
          <w:rtl/>
        </w:rPr>
        <w:t>المقدرة المالية والتنمية المؤسسية لقطاع الكهرباء.</w:t>
      </w:r>
    </w:p>
    <w:p w:rsidR="00960F32" w:rsidRDefault="006C74ED" w:rsidP="00960F32">
      <w:pPr>
        <w:pStyle w:val="ListParagraph"/>
        <w:numPr>
          <w:ilvl w:val="0"/>
          <w:numId w:val="4"/>
        </w:numPr>
        <w:tabs>
          <w:tab w:val="left" w:pos="1643"/>
        </w:tabs>
        <w:spacing w:line="360" w:lineRule="auto"/>
        <w:jc w:val="both"/>
        <w:rPr>
          <w:sz w:val="30"/>
        </w:rPr>
      </w:pPr>
      <w:r>
        <w:rPr>
          <w:rFonts w:hint="cs"/>
          <w:sz w:val="30"/>
          <w:rtl/>
        </w:rPr>
        <w:t>المكون الثاني: تسعير الطاقة وإصلاح إحلال الوقود.</w:t>
      </w:r>
      <w:r w:rsidR="00960F32">
        <w:rPr>
          <w:rFonts w:hint="cs"/>
          <w:sz w:val="30"/>
          <w:rtl/>
        </w:rPr>
        <w:t xml:space="preserve"> </w:t>
      </w:r>
    </w:p>
    <w:p w:rsidR="006C74ED" w:rsidRDefault="006C74ED" w:rsidP="00960F32">
      <w:pPr>
        <w:pStyle w:val="ListParagraph"/>
        <w:numPr>
          <w:ilvl w:val="0"/>
          <w:numId w:val="4"/>
        </w:numPr>
        <w:tabs>
          <w:tab w:val="left" w:pos="1643"/>
        </w:tabs>
        <w:spacing w:line="360" w:lineRule="auto"/>
        <w:jc w:val="both"/>
        <w:rPr>
          <w:sz w:val="30"/>
        </w:rPr>
      </w:pPr>
      <w:r>
        <w:rPr>
          <w:rFonts w:hint="cs"/>
          <w:sz w:val="30"/>
          <w:rtl/>
        </w:rPr>
        <w:t>المكون الثالث: تعزيز شبكات الحماية الاجتماعية.</w:t>
      </w:r>
    </w:p>
    <w:p w:rsidR="00960F32" w:rsidRDefault="002C1AA5" w:rsidP="002A5D6B">
      <w:pPr>
        <w:pStyle w:val="ListParagraph"/>
        <w:numPr>
          <w:ilvl w:val="0"/>
          <w:numId w:val="3"/>
        </w:numPr>
        <w:tabs>
          <w:tab w:val="left" w:pos="1643"/>
        </w:tabs>
        <w:spacing w:line="360" w:lineRule="auto"/>
        <w:jc w:val="both"/>
        <w:rPr>
          <w:sz w:val="30"/>
        </w:rPr>
      </w:pPr>
      <w:r>
        <w:rPr>
          <w:rFonts w:hint="cs"/>
          <w:sz w:val="30"/>
          <w:rtl/>
        </w:rPr>
        <w:t xml:space="preserve">وفي كل مكون من المكونات السابقة، يضع البرنامج المقترح في اعتباره العمل الذي يدعمه المانحون الآخرون، ويحدد البرنامج الدعم المطلوب من أجل صياغة سياسة وخطط التنفيذ. </w:t>
      </w:r>
      <w:r w:rsidR="00D43E73">
        <w:rPr>
          <w:rFonts w:hint="cs"/>
          <w:sz w:val="30"/>
          <w:rtl/>
        </w:rPr>
        <w:t>لوحظ على وجه الخصوص أن الاتحاد الأوروبي يمول مجموعة من الشراكات مع مصر من أجل تعزيز آلية الإصلاح. والبرنامج الأساسي هو برنامج دعم سياسة الطاقة في الاتحاد الأوروبي والذي يهدف إلى تحسين السياسة وإطار العمل التنظيمي</w:t>
      </w:r>
      <w:r w:rsidR="005925CD">
        <w:rPr>
          <w:rFonts w:hint="cs"/>
          <w:sz w:val="30"/>
          <w:rtl/>
        </w:rPr>
        <w:t xml:space="preserve"> في قطاع الغاز، وتعزيز كفاءة الطاقة، وتخفيف انبعاثات </w:t>
      </w:r>
      <w:r w:rsidR="0012068D">
        <w:rPr>
          <w:rFonts w:hint="cs"/>
          <w:sz w:val="30"/>
          <w:rtl/>
        </w:rPr>
        <w:t xml:space="preserve">الغازات الدفيئة، وتحديث استراتيجية الطاقة طويلة الأمد في مصر. </w:t>
      </w:r>
      <w:r w:rsidR="00E6281A">
        <w:rPr>
          <w:rFonts w:hint="cs"/>
          <w:sz w:val="30"/>
          <w:rtl/>
        </w:rPr>
        <w:t xml:space="preserve">سوف يتم </w:t>
      </w:r>
      <w:r w:rsidR="00581266">
        <w:rPr>
          <w:rFonts w:hint="cs"/>
          <w:sz w:val="30"/>
          <w:rtl/>
        </w:rPr>
        <w:t xml:space="preserve">تقديم </w:t>
      </w:r>
      <w:r w:rsidR="00E6281A">
        <w:rPr>
          <w:rFonts w:hint="cs"/>
          <w:sz w:val="30"/>
          <w:rtl/>
        </w:rPr>
        <w:t>دعم فني م</w:t>
      </w:r>
      <w:r w:rsidR="00202121">
        <w:rPr>
          <w:rFonts w:hint="cs"/>
          <w:sz w:val="30"/>
          <w:rtl/>
        </w:rPr>
        <w:t>و</w:t>
      </w:r>
      <w:r w:rsidR="00E6281A">
        <w:rPr>
          <w:rFonts w:hint="cs"/>
          <w:sz w:val="30"/>
          <w:rtl/>
        </w:rPr>
        <w:t>ازي</w:t>
      </w:r>
      <w:r w:rsidR="00581266">
        <w:rPr>
          <w:rFonts w:hint="cs"/>
          <w:sz w:val="30"/>
          <w:rtl/>
        </w:rPr>
        <w:t xml:space="preserve"> من قبل الاتحاد الأوروبي إلى هيئة الطاقة الجديدة والمتجددة في مصر من أجل تعزيز قدراتها المؤسسية</w:t>
      </w:r>
      <w:r w:rsidR="002A5D6B">
        <w:rPr>
          <w:rFonts w:hint="cs"/>
          <w:sz w:val="30"/>
          <w:rtl/>
        </w:rPr>
        <w:t xml:space="preserve"> من أجل تنفيذ قانون الكهرباء. يدعم الاتحاد الأوروبي بالشراكة أيضاً مع </w:t>
      </w:r>
      <w:r w:rsidR="00900851">
        <w:rPr>
          <w:rFonts w:hint="cs"/>
          <w:sz w:val="30"/>
          <w:rtl/>
        </w:rPr>
        <w:t xml:space="preserve">بنك التنمية الألماني إعداد المخطط الشامل للطاقة المتجددة في مصر. </w:t>
      </w:r>
    </w:p>
    <w:p w:rsidR="00EB7C8C" w:rsidRDefault="00EB7C8C" w:rsidP="00A651FB">
      <w:pPr>
        <w:pStyle w:val="ListParagraph"/>
        <w:numPr>
          <w:ilvl w:val="0"/>
          <w:numId w:val="3"/>
        </w:numPr>
        <w:tabs>
          <w:tab w:val="left" w:pos="1643"/>
        </w:tabs>
        <w:spacing w:line="360" w:lineRule="auto"/>
        <w:jc w:val="both"/>
        <w:rPr>
          <w:sz w:val="30"/>
        </w:rPr>
      </w:pPr>
      <w:r>
        <w:rPr>
          <w:rFonts w:hint="cs"/>
          <w:sz w:val="30"/>
          <w:rtl/>
        </w:rPr>
        <w:t xml:space="preserve">في حين أن أنشطة الدعم الفني التي يمولها الاتحاد الأوروبي تركز على تطوير سياسة ولوائح سوق الطاقة، وبناء قدرات هيئة الطاقة الجديدة والمتجددة في مصر، فإن هذا الدعم الفني المقترح </w:t>
      </w:r>
      <w:r w:rsidR="00A651FB">
        <w:rPr>
          <w:rFonts w:hint="cs"/>
          <w:sz w:val="30"/>
          <w:rtl/>
        </w:rPr>
        <w:t>والذي يتم تمويله من قبل صندوق التحول لمنطقة الشرق الأوسط وشمال إفريقيا يهدف إلى تحويل قطاعي الكهرباء والغاز إلى قطاعات تمتع بالمقدرة المالية، وفي الوقت ذاته حماية الفقراء من التأثيرات غير المرغوبة الناتجة عن إصلاح الدعم الموجه للطاقة.</w:t>
      </w:r>
    </w:p>
    <w:p w:rsidR="00A36DA8" w:rsidRDefault="00E055C5" w:rsidP="002145AC">
      <w:pPr>
        <w:pStyle w:val="ListParagraph"/>
        <w:numPr>
          <w:ilvl w:val="0"/>
          <w:numId w:val="3"/>
        </w:numPr>
        <w:tabs>
          <w:tab w:val="left" w:pos="1643"/>
        </w:tabs>
        <w:spacing w:line="360" w:lineRule="auto"/>
        <w:jc w:val="both"/>
        <w:rPr>
          <w:sz w:val="30"/>
        </w:rPr>
      </w:pPr>
      <w:r>
        <w:rPr>
          <w:rFonts w:hint="cs"/>
          <w:sz w:val="30"/>
          <w:rtl/>
        </w:rPr>
        <w:t>يعتمد</w:t>
      </w:r>
      <w:r w:rsidR="001A61A6">
        <w:rPr>
          <w:rFonts w:hint="cs"/>
          <w:sz w:val="30"/>
          <w:rtl/>
        </w:rPr>
        <w:t xml:space="preserve"> الدعم الفني المقترح أيضاً على </w:t>
      </w:r>
      <w:r>
        <w:rPr>
          <w:rFonts w:hint="cs"/>
          <w:sz w:val="30"/>
          <w:rtl/>
        </w:rPr>
        <w:t xml:space="preserve">برنامج الطاقة الفعال الممول من البنك الدولي في قطاعي الكهرباء والغاز. أسهم هذا البرنامج إسهامات كبيرة </w:t>
      </w:r>
      <w:r w:rsidR="00B5768C">
        <w:rPr>
          <w:rFonts w:hint="cs"/>
          <w:sz w:val="30"/>
          <w:rtl/>
        </w:rPr>
        <w:t xml:space="preserve">في تعزيز أمان واعتمادية إمدادات الكهرباء، وتطوير الطاقة </w:t>
      </w:r>
      <w:r w:rsidR="00B5768C">
        <w:rPr>
          <w:rFonts w:hint="cs"/>
          <w:sz w:val="30"/>
          <w:rtl/>
        </w:rPr>
        <w:lastRenderedPageBreak/>
        <w:t xml:space="preserve">المتجددة، وتسريع وتيرة توصيل الغاز الطبيعي إلى المساكن، وقدم البرنامج أيضاً الدعم الفني </w:t>
      </w:r>
      <w:r w:rsidR="00A36DA8">
        <w:rPr>
          <w:rFonts w:hint="cs"/>
          <w:sz w:val="30"/>
          <w:rtl/>
        </w:rPr>
        <w:t>والذ</w:t>
      </w:r>
      <w:r w:rsidR="002145AC">
        <w:rPr>
          <w:rFonts w:hint="cs"/>
          <w:sz w:val="30"/>
          <w:rtl/>
        </w:rPr>
        <w:t>ي</w:t>
      </w:r>
      <w:r w:rsidR="00A36DA8">
        <w:rPr>
          <w:rFonts w:hint="cs"/>
          <w:sz w:val="30"/>
          <w:rtl/>
        </w:rPr>
        <w:t xml:space="preserve"> يشمل إجراء دراسات على تسعير الطاقة، وتخطيط عملية توليد الطاقة، وزيادة كفاءة الطاقة. </w:t>
      </w:r>
      <w:r w:rsidR="002145AC">
        <w:rPr>
          <w:rFonts w:hint="cs"/>
          <w:sz w:val="30"/>
          <w:rtl/>
        </w:rPr>
        <w:t>يرتكز</w:t>
      </w:r>
      <w:r w:rsidR="00A36DA8">
        <w:rPr>
          <w:rFonts w:hint="cs"/>
          <w:sz w:val="30"/>
          <w:rtl/>
        </w:rPr>
        <w:t xml:space="preserve"> هذا الدعم الفني على جميع الأعمال </w:t>
      </w:r>
      <w:r w:rsidR="002145AC">
        <w:rPr>
          <w:rFonts w:hint="cs"/>
          <w:sz w:val="30"/>
          <w:rtl/>
        </w:rPr>
        <w:t>التي تمت سابقاً</w:t>
      </w:r>
      <w:r w:rsidR="00A36DA8">
        <w:rPr>
          <w:rFonts w:hint="cs"/>
          <w:sz w:val="30"/>
          <w:rtl/>
        </w:rPr>
        <w:t>، وفي الوقت ذاته يركز على صياغة وتنفيذ خطط عمل من أجل تطوير قطاع الطاقة تجاه تحقيق الاستدامة طويلة الأمد.</w:t>
      </w:r>
    </w:p>
    <w:p w:rsidR="00A651FB" w:rsidRPr="00B6587B" w:rsidRDefault="006F191C" w:rsidP="00AC1686">
      <w:pPr>
        <w:pStyle w:val="ListParagraph"/>
        <w:numPr>
          <w:ilvl w:val="0"/>
          <w:numId w:val="3"/>
        </w:numPr>
        <w:tabs>
          <w:tab w:val="left" w:pos="1643"/>
        </w:tabs>
        <w:spacing w:line="360" w:lineRule="auto"/>
        <w:jc w:val="both"/>
        <w:rPr>
          <w:sz w:val="30"/>
        </w:rPr>
      </w:pPr>
      <w:r>
        <w:rPr>
          <w:rFonts w:hint="cs"/>
          <w:sz w:val="30"/>
          <w:rtl/>
        </w:rPr>
        <w:t>إن الأساس المنطقي</w:t>
      </w:r>
      <w:r w:rsidR="00E055C5">
        <w:rPr>
          <w:rFonts w:hint="cs"/>
          <w:sz w:val="30"/>
          <w:rtl/>
        </w:rPr>
        <w:t xml:space="preserve"> </w:t>
      </w:r>
      <w:r>
        <w:rPr>
          <w:rFonts w:hint="cs"/>
          <w:sz w:val="30"/>
          <w:rtl/>
        </w:rPr>
        <w:t xml:space="preserve">للدعم المقدم من البنك الدولي لهذا الدعم الفني، وذلك من خلال العمل على أن يكون </w:t>
      </w:r>
      <w:r w:rsidR="006619AD">
        <w:rPr>
          <w:rFonts w:hint="cs"/>
          <w:sz w:val="30"/>
          <w:rtl/>
        </w:rPr>
        <w:t>الجهة الداعمة لتنفيذ</w:t>
      </w:r>
      <w:r>
        <w:rPr>
          <w:rFonts w:hint="cs"/>
          <w:sz w:val="30"/>
          <w:rtl/>
        </w:rPr>
        <w:t xml:space="preserve"> هذا الدعم، كما طلبت الحكومة المصرية، </w:t>
      </w:r>
      <w:r w:rsidR="006619AD">
        <w:rPr>
          <w:rFonts w:hint="cs"/>
          <w:sz w:val="30"/>
          <w:rtl/>
        </w:rPr>
        <w:t xml:space="preserve">هو الاستمرار في الشراكة مع البنك الدولي من أجل تطوير قطاع الطاقة في مصر من </w:t>
      </w:r>
      <w:r w:rsidR="007E3432">
        <w:rPr>
          <w:rFonts w:hint="cs"/>
          <w:sz w:val="30"/>
          <w:rtl/>
        </w:rPr>
        <w:t>أجل</w:t>
      </w:r>
      <w:r w:rsidR="006619AD">
        <w:rPr>
          <w:rFonts w:hint="cs"/>
          <w:sz w:val="30"/>
          <w:rtl/>
        </w:rPr>
        <w:t xml:space="preserve"> الاستفادة من الخبرات الهائلة التي يتمتع بها البنك الدولي في تنفيذ إصلاح القطاع في المراحل الانتقالية الصعبة. وعلاوة على ذلك، </w:t>
      </w:r>
      <w:r w:rsidR="007E3432">
        <w:rPr>
          <w:rFonts w:hint="cs"/>
          <w:sz w:val="30"/>
          <w:rtl/>
        </w:rPr>
        <w:t xml:space="preserve">فإن المكون المقترح بموجب هذا الدعم الفني لغرض تعزيز شبكات الحماية الاجتماعية في مصر من خلال دمج قواعد البيانات للفقراء والمعرضين للفقر سوف </w:t>
      </w:r>
      <w:r w:rsidR="00DC20C9">
        <w:rPr>
          <w:rFonts w:hint="cs"/>
          <w:sz w:val="30"/>
          <w:rtl/>
        </w:rPr>
        <w:t xml:space="preserve">يكمل </w:t>
      </w:r>
      <w:r w:rsidR="00BA3625">
        <w:rPr>
          <w:rFonts w:hint="cs"/>
          <w:sz w:val="30"/>
          <w:rtl/>
        </w:rPr>
        <w:t>المباحثات</w:t>
      </w:r>
      <w:r w:rsidR="00DC20C9">
        <w:rPr>
          <w:rFonts w:hint="cs"/>
          <w:sz w:val="30"/>
          <w:rtl/>
        </w:rPr>
        <w:t xml:space="preserve"> الجاري</w:t>
      </w:r>
      <w:r w:rsidR="00BA3625">
        <w:rPr>
          <w:rFonts w:hint="cs"/>
          <w:sz w:val="30"/>
          <w:rtl/>
        </w:rPr>
        <w:t xml:space="preserve">ة بين </w:t>
      </w:r>
      <w:r w:rsidR="00BA3625" w:rsidRPr="00AC1686">
        <w:rPr>
          <w:rFonts w:hint="cs"/>
          <w:sz w:val="30"/>
          <w:rtl/>
        </w:rPr>
        <w:t xml:space="preserve">الحوكمة </w:t>
      </w:r>
      <w:r w:rsidR="00AC1686">
        <w:rPr>
          <w:rFonts w:hint="cs"/>
          <w:sz w:val="30"/>
          <w:rtl/>
        </w:rPr>
        <w:t>في مصر</w:t>
      </w:r>
      <w:r w:rsidR="00EB60DF">
        <w:rPr>
          <w:rFonts w:hint="cs"/>
          <w:sz w:val="30"/>
          <w:rtl/>
        </w:rPr>
        <w:t xml:space="preserve"> وقرض سياسات التنمية المعنية بشبكات الحماية الاجتماعية. </w:t>
      </w:r>
      <w:r w:rsidR="00732836">
        <w:rPr>
          <w:rFonts w:hint="cs"/>
          <w:sz w:val="30"/>
          <w:rtl/>
        </w:rPr>
        <w:t xml:space="preserve">أحد المكونين الأساسيين الشاملين لقرض سياسات التنمية هو حماية الفقراء والمعرضين للفقر من تأثيرات الإصلاحات الاقتصادية الجارية، وتعزيز شبكة الحماية الاجتماعية في مصر. ومن بين </w:t>
      </w:r>
      <w:r w:rsidR="008835AC">
        <w:rPr>
          <w:rFonts w:hint="cs"/>
          <w:sz w:val="30"/>
          <w:rtl/>
        </w:rPr>
        <w:t xml:space="preserve">أعمال </w:t>
      </w:r>
      <w:r w:rsidR="003926D2">
        <w:rPr>
          <w:rFonts w:hint="cs"/>
          <w:sz w:val="30"/>
          <w:rtl/>
        </w:rPr>
        <w:t>السياسة التي يتم دعمها، استحداث برنامج تحويل النقد والذي يستهدف الفقراء والمعرضين للفقر</w:t>
      </w:r>
      <w:r w:rsidR="007F45EF">
        <w:rPr>
          <w:rFonts w:hint="cs"/>
          <w:sz w:val="30"/>
          <w:rtl/>
        </w:rPr>
        <w:t xml:space="preserve">، وذلك بالنظر إلى الطبيعة الهشة لبرامج شبكة الحماية الاجتماعية الحالية وضعف استهدافهم وتغطيتهم وكفايتهم. ومن ثم فإن الدعم الفني المقترح </w:t>
      </w:r>
      <w:r w:rsidR="000C6374">
        <w:rPr>
          <w:rFonts w:hint="cs"/>
          <w:sz w:val="30"/>
          <w:rtl/>
        </w:rPr>
        <w:t xml:space="preserve">سوف يدعم أيضاً </w:t>
      </w:r>
      <w:r w:rsidR="00DF5231">
        <w:rPr>
          <w:rFonts w:hint="cs"/>
          <w:sz w:val="30"/>
          <w:rtl/>
        </w:rPr>
        <w:t xml:space="preserve">الإعداد الفني والمرتبط بالسياسة لهذا البرنامج. </w:t>
      </w:r>
    </w:p>
    <w:p w:rsidR="00BA4507" w:rsidRPr="00DF5231" w:rsidRDefault="00DF5231" w:rsidP="00D43C76">
      <w:pPr>
        <w:pStyle w:val="ListParagraph"/>
        <w:numPr>
          <w:ilvl w:val="0"/>
          <w:numId w:val="2"/>
        </w:numPr>
        <w:spacing w:line="360" w:lineRule="auto"/>
        <w:jc w:val="both"/>
        <w:rPr>
          <w:b/>
          <w:bCs/>
          <w:sz w:val="32"/>
          <w:szCs w:val="32"/>
        </w:rPr>
      </w:pPr>
      <w:r w:rsidRPr="00DF5231">
        <w:rPr>
          <w:rFonts w:hint="cs"/>
          <w:b/>
          <w:bCs/>
          <w:sz w:val="32"/>
          <w:szCs w:val="32"/>
          <w:rtl/>
        </w:rPr>
        <w:t xml:space="preserve">أهداف تطوير </w:t>
      </w:r>
      <w:r w:rsidR="00D43C76">
        <w:rPr>
          <w:rFonts w:hint="cs"/>
          <w:b/>
          <w:bCs/>
          <w:sz w:val="32"/>
          <w:szCs w:val="32"/>
          <w:rtl/>
        </w:rPr>
        <w:t>المشروع</w:t>
      </w:r>
    </w:p>
    <w:p w:rsidR="00DF5231" w:rsidRDefault="002D7701" w:rsidP="00DF5231">
      <w:pPr>
        <w:pStyle w:val="ListParagraph"/>
        <w:spacing w:line="360" w:lineRule="auto"/>
        <w:ind w:left="1080"/>
        <w:jc w:val="both"/>
        <w:rPr>
          <w:sz w:val="30"/>
        </w:rPr>
      </w:pPr>
      <w:r>
        <w:rPr>
          <w:rFonts w:hint="cs"/>
          <w:sz w:val="30"/>
          <w:rtl/>
        </w:rPr>
        <w:t>سوف يدعم البرنامج المقترح الحكومة المصرية في تقليل معوقات تحسين المقدرة المالية لقطاع الطاقة</w:t>
      </w:r>
      <w:r w:rsidR="00D43C76">
        <w:rPr>
          <w:rFonts w:hint="cs"/>
          <w:sz w:val="30"/>
          <w:rtl/>
        </w:rPr>
        <w:t xml:space="preserve"> وتعزيز شبكات الحماية الاجتماعية.</w:t>
      </w:r>
    </w:p>
    <w:p w:rsidR="00DF5231" w:rsidRPr="00D43C76" w:rsidRDefault="00D43C76" w:rsidP="005A046A">
      <w:pPr>
        <w:pStyle w:val="ListParagraph"/>
        <w:numPr>
          <w:ilvl w:val="0"/>
          <w:numId w:val="2"/>
        </w:numPr>
        <w:spacing w:line="360" w:lineRule="auto"/>
        <w:jc w:val="both"/>
        <w:rPr>
          <w:b/>
          <w:bCs/>
          <w:sz w:val="32"/>
          <w:szCs w:val="32"/>
        </w:rPr>
      </w:pPr>
      <w:r w:rsidRPr="00D43C76">
        <w:rPr>
          <w:rFonts w:hint="cs"/>
          <w:b/>
          <w:bCs/>
          <w:sz w:val="32"/>
          <w:szCs w:val="32"/>
          <w:rtl/>
        </w:rPr>
        <w:t>وصف المشروع</w:t>
      </w:r>
    </w:p>
    <w:p w:rsidR="00D43C76" w:rsidRPr="00166A7C" w:rsidRDefault="00166A7C" w:rsidP="00D43C76">
      <w:pPr>
        <w:pStyle w:val="ListParagraph"/>
        <w:spacing w:line="360" w:lineRule="auto"/>
        <w:ind w:left="1080"/>
        <w:jc w:val="both"/>
        <w:rPr>
          <w:b/>
          <w:bCs/>
          <w:sz w:val="30"/>
          <w:rtl/>
        </w:rPr>
      </w:pPr>
      <w:r w:rsidRPr="00166A7C">
        <w:rPr>
          <w:rFonts w:hint="cs"/>
          <w:b/>
          <w:bCs/>
          <w:sz w:val="30"/>
          <w:rtl/>
        </w:rPr>
        <w:lastRenderedPageBreak/>
        <w:t>اسم المكون</w:t>
      </w:r>
    </w:p>
    <w:p w:rsidR="00166A7C" w:rsidRDefault="00166A7C" w:rsidP="00D43C76">
      <w:pPr>
        <w:pStyle w:val="ListParagraph"/>
        <w:spacing w:line="360" w:lineRule="auto"/>
        <w:ind w:left="1080"/>
        <w:jc w:val="both"/>
        <w:rPr>
          <w:sz w:val="30"/>
          <w:rtl/>
        </w:rPr>
      </w:pPr>
      <w:r>
        <w:rPr>
          <w:rFonts w:hint="cs"/>
          <w:sz w:val="30"/>
          <w:rtl/>
        </w:rPr>
        <w:t>التطوير المؤسسي والمقدرة المالية لقطاع الكهرباء</w:t>
      </w:r>
    </w:p>
    <w:p w:rsidR="00166A7C" w:rsidRPr="00166A7C" w:rsidRDefault="00AC1686" w:rsidP="00AC1686">
      <w:pPr>
        <w:pStyle w:val="ListParagraph"/>
        <w:spacing w:line="360" w:lineRule="auto"/>
        <w:ind w:left="1080"/>
        <w:jc w:val="both"/>
        <w:rPr>
          <w:sz w:val="30"/>
        </w:rPr>
      </w:pPr>
      <w:r w:rsidRPr="00166A7C">
        <w:rPr>
          <w:rFonts w:hint="cs"/>
          <w:sz w:val="30"/>
          <w:rtl/>
        </w:rPr>
        <w:t xml:space="preserve">إصلاح </w:t>
      </w:r>
      <w:r w:rsidR="00166A7C" w:rsidRPr="00166A7C">
        <w:rPr>
          <w:rFonts w:hint="cs"/>
          <w:sz w:val="30"/>
          <w:rtl/>
        </w:rPr>
        <w:t xml:space="preserve">تسعير الطاقة </w:t>
      </w:r>
      <w:r>
        <w:rPr>
          <w:rFonts w:hint="cs"/>
          <w:sz w:val="30"/>
          <w:rtl/>
        </w:rPr>
        <w:t>و</w:t>
      </w:r>
      <w:r w:rsidR="00166A7C" w:rsidRPr="00166A7C">
        <w:rPr>
          <w:rFonts w:hint="cs"/>
          <w:sz w:val="30"/>
          <w:rtl/>
        </w:rPr>
        <w:t xml:space="preserve">إحلال الوقود. </w:t>
      </w:r>
    </w:p>
    <w:p w:rsidR="00166A7C" w:rsidRDefault="00166A7C" w:rsidP="00166A7C">
      <w:pPr>
        <w:pStyle w:val="ListParagraph"/>
        <w:spacing w:line="360" w:lineRule="auto"/>
        <w:ind w:left="1080"/>
        <w:jc w:val="both"/>
        <w:rPr>
          <w:sz w:val="30"/>
        </w:rPr>
      </w:pPr>
      <w:r>
        <w:rPr>
          <w:rFonts w:hint="cs"/>
          <w:sz w:val="30"/>
          <w:rtl/>
        </w:rPr>
        <w:t>تعزيز شبكات الحماية الاجتماعية</w:t>
      </w:r>
    </w:p>
    <w:p w:rsidR="00D43C76" w:rsidRPr="00166A7C" w:rsidRDefault="00166A7C" w:rsidP="005A046A">
      <w:pPr>
        <w:pStyle w:val="ListParagraph"/>
        <w:numPr>
          <w:ilvl w:val="0"/>
          <w:numId w:val="2"/>
        </w:numPr>
        <w:spacing w:line="360" w:lineRule="auto"/>
        <w:jc w:val="both"/>
        <w:rPr>
          <w:b/>
          <w:bCs/>
          <w:sz w:val="32"/>
          <w:szCs w:val="32"/>
        </w:rPr>
      </w:pPr>
      <w:r w:rsidRPr="00166A7C">
        <w:rPr>
          <w:rFonts w:hint="cs"/>
          <w:b/>
          <w:bCs/>
          <w:sz w:val="32"/>
          <w:szCs w:val="32"/>
          <w:rtl/>
        </w:rPr>
        <w:t>التمويل</w:t>
      </w:r>
      <w:r w:rsidR="00DC540E">
        <w:rPr>
          <w:rFonts w:hint="cs"/>
          <w:b/>
          <w:bCs/>
          <w:sz w:val="32"/>
          <w:szCs w:val="32"/>
          <w:rtl/>
        </w:rPr>
        <w:t xml:space="preserve"> </w:t>
      </w:r>
      <w:r w:rsidR="00DC540E" w:rsidRPr="00DC540E">
        <w:rPr>
          <w:rFonts w:hint="cs"/>
          <w:sz w:val="32"/>
          <w:szCs w:val="32"/>
          <w:rtl/>
        </w:rPr>
        <w:t>(مليون دولار أمريكي)</w:t>
      </w:r>
    </w:p>
    <w:tbl>
      <w:tblPr>
        <w:tblStyle w:val="TableGrid"/>
        <w:bidiVisual/>
        <w:tblW w:w="0" w:type="auto"/>
        <w:tblInd w:w="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235"/>
      </w:tblGrid>
      <w:tr w:rsidR="00DC540E" w:rsidTr="003F15FB">
        <w:tc>
          <w:tcPr>
            <w:tcW w:w="5670" w:type="dxa"/>
          </w:tcPr>
          <w:p w:rsidR="00DC540E" w:rsidRPr="00DC540E" w:rsidRDefault="00DC540E" w:rsidP="00DC540E">
            <w:pPr>
              <w:pStyle w:val="ListParagraph"/>
              <w:spacing w:line="360" w:lineRule="auto"/>
              <w:ind w:left="0"/>
              <w:jc w:val="center"/>
              <w:rPr>
                <w:b/>
                <w:bCs/>
                <w:sz w:val="32"/>
                <w:szCs w:val="32"/>
                <w:rtl/>
              </w:rPr>
            </w:pPr>
            <w:r w:rsidRPr="00DC540E">
              <w:rPr>
                <w:rFonts w:hint="cs"/>
                <w:b/>
                <w:bCs/>
                <w:sz w:val="32"/>
                <w:szCs w:val="32"/>
                <w:rtl/>
              </w:rPr>
              <w:t>للقروض / الاعتمادات / أخرى</w:t>
            </w:r>
          </w:p>
        </w:tc>
        <w:tc>
          <w:tcPr>
            <w:tcW w:w="2235" w:type="dxa"/>
          </w:tcPr>
          <w:p w:rsidR="00DC540E" w:rsidRPr="00DC540E" w:rsidRDefault="00DC540E" w:rsidP="00DC540E">
            <w:pPr>
              <w:pStyle w:val="ListParagraph"/>
              <w:spacing w:line="360" w:lineRule="auto"/>
              <w:ind w:left="0"/>
              <w:jc w:val="center"/>
              <w:rPr>
                <w:b/>
                <w:bCs/>
                <w:sz w:val="32"/>
                <w:szCs w:val="32"/>
                <w:rtl/>
              </w:rPr>
            </w:pPr>
            <w:r w:rsidRPr="00DC540E">
              <w:rPr>
                <w:rFonts w:hint="cs"/>
                <w:b/>
                <w:bCs/>
                <w:sz w:val="32"/>
                <w:szCs w:val="32"/>
                <w:rtl/>
              </w:rPr>
              <w:t>القيمة</w:t>
            </w:r>
          </w:p>
        </w:tc>
      </w:tr>
      <w:tr w:rsidR="00DC540E" w:rsidTr="003F15FB">
        <w:tc>
          <w:tcPr>
            <w:tcW w:w="5670" w:type="dxa"/>
          </w:tcPr>
          <w:p w:rsidR="00DC540E" w:rsidRDefault="00DC540E" w:rsidP="00166A7C">
            <w:pPr>
              <w:pStyle w:val="ListParagraph"/>
              <w:spacing w:line="360" w:lineRule="auto"/>
              <w:ind w:left="0"/>
              <w:jc w:val="both"/>
              <w:rPr>
                <w:sz w:val="30"/>
                <w:rtl/>
              </w:rPr>
            </w:pPr>
            <w:r>
              <w:rPr>
                <w:rFonts w:hint="cs"/>
                <w:sz w:val="30"/>
                <w:rtl/>
              </w:rPr>
              <w:t>المقترض</w:t>
            </w:r>
          </w:p>
        </w:tc>
        <w:tc>
          <w:tcPr>
            <w:tcW w:w="2235" w:type="dxa"/>
          </w:tcPr>
          <w:p w:rsidR="00DC540E" w:rsidRDefault="00DC540E" w:rsidP="00166A7C">
            <w:pPr>
              <w:pStyle w:val="ListParagraph"/>
              <w:spacing w:line="360" w:lineRule="auto"/>
              <w:ind w:left="0"/>
              <w:jc w:val="both"/>
              <w:rPr>
                <w:sz w:val="30"/>
                <w:rtl/>
              </w:rPr>
            </w:pPr>
            <w:r>
              <w:rPr>
                <w:rFonts w:hint="cs"/>
                <w:sz w:val="30"/>
                <w:rtl/>
              </w:rPr>
              <w:t>0.00</w:t>
            </w:r>
          </w:p>
        </w:tc>
      </w:tr>
      <w:tr w:rsidR="00DC540E" w:rsidTr="003F15FB">
        <w:tc>
          <w:tcPr>
            <w:tcW w:w="5670" w:type="dxa"/>
          </w:tcPr>
          <w:p w:rsidR="00DC540E" w:rsidRDefault="005562C9" w:rsidP="00166A7C">
            <w:pPr>
              <w:pStyle w:val="ListParagraph"/>
              <w:spacing w:line="360" w:lineRule="auto"/>
              <w:ind w:left="0"/>
              <w:jc w:val="both"/>
              <w:rPr>
                <w:sz w:val="30"/>
              </w:rPr>
            </w:pPr>
            <w:r>
              <w:rPr>
                <w:rFonts w:hint="cs"/>
                <w:sz w:val="30"/>
                <w:rtl/>
              </w:rPr>
              <w:t xml:space="preserve">صندوق ائتمان قائم بذاته </w:t>
            </w:r>
            <w:r>
              <w:rPr>
                <w:sz w:val="30"/>
              </w:rPr>
              <w:t>MNA VPU</w:t>
            </w:r>
          </w:p>
        </w:tc>
        <w:tc>
          <w:tcPr>
            <w:tcW w:w="2235" w:type="dxa"/>
          </w:tcPr>
          <w:p w:rsidR="00DC540E" w:rsidRDefault="005562C9" w:rsidP="00166A7C">
            <w:pPr>
              <w:pStyle w:val="ListParagraph"/>
              <w:spacing w:line="360" w:lineRule="auto"/>
              <w:ind w:left="0"/>
              <w:jc w:val="both"/>
              <w:rPr>
                <w:sz w:val="30"/>
                <w:rtl/>
              </w:rPr>
            </w:pPr>
            <w:r>
              <w:rPr>
                <w:rFonts w:hint="cs"/>
                <w:sz w:val="30"/>
                <w:rtl/>
              </w:rPr>
              <w:t>6.00</w:t>
            </w:r>
          </w:p>
        </w:tc>
      </w:tr>
      <w:tr w:rsidR="005562C9" w:rsidTr="003F15FB">
        <w:tc>
          <w:tcPr>
            <w:tcW w:w="5670" w:type="dxa"/>
          </w:tcPr>
          <w:p w:rsidR="005562C9" w:rsidRDefault="005562C9" w:rsidP="00166A7C">
            <w:pPr>
              <w:pStyle w:val="ListParagraph"/>
              <w:spacing w:line="360" w:lineRule="auto"/>
              <w:ind w:left="0"/>
              <w:jc w:val="both"/>
              <w:rPr>
                <w:sz w:val="30"/>
                <w:rtl/>
              </w:rPr>
            </w:pPr>
            <w:r>
              <w:rPr>
                <w:rFonts w:hint="cs"/>
                <w:sz w:val="30"/>
                <w:rtl/>
              </w:rPr>
              <w:t xml:space="preserve">الإجمالي </w:t>
            </w:r>
          </w:p>
        </w:tc>
        <w:tc>
          <w:tcPr>
            <w:tcW w:w="2235" w:type="dxa"/>
          </w:tcPr>
          <w:p w:rsidR="005562C9" w:rsidRDefault="005562C9" w:rsidP="00C80E60">
            <w:pPr>
              <w:pStyle w:val="ListParagraph"/>
              <w:spacing w:line="360" w:lineRule="auto"/>
              <w:ind w:left="0"/>
              <w:jc w:val="both"/>
              <w:rPr>
                <w:sz w:val="30"/>
                <w:rtl/>
              </w:rPr>
            </w:pPr>
            <w:r>
              <w:rPr>
                <w:rFonts w:hint="cs"/>
                <w:sz w:val="30"/>
                <w:rtl/>
              </w:rPr>
              <w:t>6.00</w:t>
            </w:r>
          </w:p>
        </w:tc>
      </w:tr>
    </w:tbl>
    <w:p w:rsidR="00166A7C" w:rsidRDefault="00166A7C" w:rsidP="00166A7C">
      <w:pPr>
        <w:pStyle w:val="ListParagraph"/>
        <w:spacing w:line="360" w:lineRule="auto"/>
        <w:ind w:left="1080"/>
        <w:jc w:val="both"/>
        <w:rPr>
          <w:sz w:val="30"/>
        </w:rPr>
      </w:pPr>
    </w:p>
    <w:p w:rsidR="00166A7C" w:rsidRPr="003F15FB" w:rsidRDefault="003F15FB" w:rsidP="005A046A">
      <w:pPr>
        <w:pStyle w:val="ListParagraph"/>
        <w:numPr>
          <w:ilvl w:val="0"/>
          <w:numId w:val="2"/>
        </w:numPr>
        <w:spacing w:line="360" w:lineRule="auto"/>
        <w:jc w:val="both"/>
        <w:rPr>
          <w:b/>
          <w:bCs/>
          <w:sz w:val="32"/>
          <w:szCs w:val="32"/>
        </w:rPr>
      </w:pPr>
      <w:r w:rsidRPr="003F15FB">
        <w:rPr>
          <w:rFonts w:hint="cs"/>
          <w:b/>
          <w:bCs/>
          <w:sz w:val="32"/>
          <w:szCs w:val="32"/>
          <w:rtl/>
        </w:rPr>
        <w:t>التنفيذ</w:t>
      </w:r>
    </w:p>
    <w:p w:rsidR="003F15FB" w:rsidRDefault="007C265B" w:rsidP="003F15FB">
      <w:pPr>
        <w:pStyle w:val="ListParagraph"/>
        <w:numPr>
          <w:ilvl w:val="0"/>
          <w:numId w:val="3"/>
        </w:numPr>
        <w:tabs>
          <w:tab w:val="left" w:pos="1643"/>
        </w:tabs>
        <w:spacing w:line="360" w:lineRule="auto"/>
        <w:jc w:val="both"/>
        <w:rPr>
          <w:sz w:val="30"/>
        </w:rPr>
      </w:pPr>
      <w:r>
        <w:rPr>
          <w:rFonts w:hint="cs"/>
          <w:sz w:val="30"/>
          <w:rtl/>
        </w:rPr>
        <w:t>سوف يتم تقديم الدعم الفني المقترح من قبل وزارة التعاون الدولي وذلك من أجل الحصول على التمويل من صندوق التحول لمنطقة الشرق الأوسط وشمال إفريقيا</w:t>
      </w:r>
      <w:r w:rsidR="00DF6F94">
        <w:rPr>
          <w:rFonts w:hint="cs"/>
          <w:sz w:val="30"/>
          <w:rtl/>
        </w:rPr>
        <w:t>. الجهة المنفذة لمنحة الدعم الفني هي وزارة الكهرباء والطاقة.</w:t>
      </w:r>
    </w:p>
    <w:p w:rsidR="00DF6F94" w:rsidRDefault="00DF0832" w:rsidP="008E633C">
      <w:pPr>
        <w:pStyle w:val="ListParagraph"/>
        <w:numPr>
          <w:ilvl w:val="0"/>
          <w:numId w:val="3"/>
        </w:numPr>
        <w:tabs>
          <w:tab w:val="left" w:pos="1643"/>
        </w:tabs>
        <w:spacing w:line="360" w:lineRule="auto"/>
        <w:jc w:val="both"/>
        <w:rPr>
          <w:sz w:val="30"/>
        </w:rPr>
      </w:pPr>
      <w:r>
        <w:rPr>
          <w:rFonts w:hint="cs"/>
          <w:sz w:val="30"/>
          <w:rtl/>
        </w:rPr>
        <w:t xml:space="preserve">تم إنشاء لجنة </w:t>
      </w:r>
      <w:r w:rsidR="00AC2F34">
        <w:rPr>
          <w:rFonts w:hint="cs"/>
          <w:sz w:val="30"/>
          <w:rtl/>
        </w:rPr>
        <w:t>متعددة القطاعات لإدارة</w:t>
      </w:r>
      <w:r>
        <w:rPr>
          <w:rFonts w:hint="cs"/>
          <w:sz w:val="30"/>
          <w:rtl/>
        </w:rPr>
        <w:t xml:space="preserve"> </w:t>
      </w:r>
      <w:r w:rsidR="00AC2F34">
        <w:rPr>
          <w:rFonts w:hint="cs"/>
          <w:sz w:val="30"/>
          <w:rtl/>
        </w:rPr>
        <w:t>ا</w:t>
      </w:r>
      <w:r>
        <w:rPr>
          <w:rFonts w:hint="cs"/>
          <w:sz w:val="30"/>
          <w:rtl/>
        </w:rPr>
        <w:t xml:space="preserve">لمشروع </w:t>
      </w:r>
      <w:r w:rsidR="00485543">
        <w:rPr>
          <w:rFonts w:hint="cs"/>
          <w:sz w:val="30"/>
          <w:rtl/>
        </w:rPr>
        <w:t>وذلك قبل تقييم المشروع من أجل تقديم التوجيه الاستراتيجي للمساعدة الفنية والدعم، والتنسيق وتوفير الموارد المطلوبة لتنفيذ مكونات المشروع</w:t>
      </w:r>
      <w:r w:rsidR="00AC2F34">
        <w:rPr>
          <w:rFonts w:hint="cs"/>
          <w:sz w:val="30"/>
          <w:rtl/>
        </w:rPr>
        <w:t xml:space="preserve"> مع العديد من الوزارات المختصة، والهيئات الحكومية والبرامج الوطنية. سوف تراقب لجنة إدارة المشروع تنفيذ </w:t>
      </w:r>
      <w:r w:rsidR="008E633C">
        <w:rPr>
          <w:rFonts w:hint="cs"/>
          <w:sz w:val="30"/>
          <w:rtl/>
        </w:rPr>
        <w:t>مدى تقدم</w:t>
      </w:r>
      <w:r w:rsidR="00AC2F34">
        <w:rPr>
          <w:rFonts w:hint="cs"/>
          <w:sz w:val="30"/>
          <w:rtl/>
        </w:rPr>
        <w:t xml:space="preserve"> البرنامج وفق تقارير </w:t>
      </w:r>
      <w:r w:rsidR="008E633C">
        <w:rPr>
          <w:rFonts w:hint="cs"/>
          <w:sz w:val="30"/>
          <w:rtl/>
        </w:rPr>
        <w:t>أداء نصف سنوية يتم إعداده</w:t>
      </w:r>
      <w:r w:rsidR="005731EE">
        <w:rPr>
          <w:rFonts w:hint="cs"/>
          <w:sz w:val="30"/>
          <w:rtl/>
        </w:rPr>
        <w:t>ا</w:t>
      </w:r>
      <w:r w:rsidR="008E633C">
        <w:rPr>
          <w:rFonts w:hint="cs"/>
          <w:sz w:val="30"/>
          <w:rtl/>
        </w:rPr>
        <w:t xml:space="preserve"> من قبل منسق المشروع، وتتم الموافقة عليها من قبل لجنة إدارة المشروع، ويتم تقديمها للبنك الدولي. سوف</w:t>
      </w:r>
      <w:r w:rsidR="005C66C5">
        <w:rPr>
          <w:rFonts w:hint="cs"/>
          <w:sz w:val="30"/>
          <w:rtl/>
        </w:rPr>
        <w:t xml:space="preserve"> تقترح أيضاً لجنة إدارة المشروع على الوزارات المختصة والهيئات الحكومية تنفيذ التوصيات واستراتيجيات القطاع التي سيتم تطويرها من خلال الدعم الفني. </w:t>
      </w:r>
    </w:p>
    <w:p w:rsidR="00335070" w:rsidRDefault="006D66BA" w:rsidP="00AC1686">
      <w:pPr>
        <w:pStyle w:val="ListParagraph"/>
        <w:numPr>
          <w:ilvl w:val="0"/>
          <w:numId w:val="3"/>
        </w:numPr>
        <w:tabs>
          <w:tab w:val="left" w:pos="1643"/>
        </w:tabs>
        <w:spacing w:line="360" w:lineRule="auto"/>
        <w:jc w:val="both"/>
        <w:rPr>
          <w:sz w:val="30"/>
        </w:rPr>
      </w:pPr>
      <w:r>
        <w:rPr>
          <w:rFonts w:hint="cs"/>
          <w:sz w:val="30"/>
          <w:rtl/>
        </w:rPr>
        <w:t xml:space="preserve">ومن أجل ضمان التنفيذ الفعال والمناسب للمشروع، قامت الحكومة المصرية أيضاً </w:t>
      </w:r>
      <w:r w:rsidRPr="00AC1686">
        <w:rPr>
          <w:rFonts w:hint="cs"/>
          <w:sz w:val="30"/>
          <w:rtl/>
        </w:rPr>
        <w:t xml:space="preserve">بتعيين فريق </w:t>
      </w:r>
      <w:r w:rsidR="00454EE9" w:rsidRPr="00AC1686">
        <w:rPr>
          <w:rFonts w:hint="cs"/>
          <w:sz w:val="30"/>
          <w:rtl/>
        </w:rPr>
        <w:t>لإدارة المشروع</w:t>
      </w:r>
      <w:r w:rsidR="00454EE9">
        <w:rPr>
          <w:rFonts w:hint="cs"/>
          <w:sz w:val="30"/>
          <w:rtl/>
        </w:rPr>
        <w:t xml:space="preserve"> والذي يرأسه منسق </w:t>
      </w:r>
      <w:r w:rsidR="00454EE9">
        <w:rPr>
          <w:rFonts w:hint="cs"/>
          <w:sz w:val="30"/>
          <w:rtl/>
        </w:rPr>
        <w:lastRenderedPageBreak/>
        <w:t xml:space="preserve">المشروع، والذي سيكون المتحدث الأساسي </w:t>
      </w:r>
      <w:r w:rsidR="005731EE">
        <w:rPr>
          <w:rFonts w:hint="cs"/>
          <w:sz w:val="30"/>
          <w:rtl/>
        </w:rPr>
        <w:t>باسم</w:t>
      </w:r>
      <w:r w:rsidR="00454EE9">
        <w:rPr>
          <w:rFonts w:hint="cs"/>
          <w:sz w:val="30"/>
          <w:rtl/>
        </w:rPr>
        <w:t xml:space="preserve"> فريق البنك الدولي، </w:t>
      </w:r>
      <w:r w:rsidR="002754DE">
        <w:rPr>
          <w:rFonts w:hint="cs"/>
          <w:sz w:val="30"/>
          <w:rtl/>
        </w:rPr>
        <w:t xml:space="preserve">وكذلك من أجل تنسيق تنفيذ أنشطة الدعم الفني مع لجنة إدارة المشروع والوزراء المختصين والهيئات الحكومية. </w:t>
      </w:r>
      <w:r w:rsidR="00610695">
        <w:rPr>
          <w:rFonts w:hint="cs"/>
          <w:sz w:val="30"/>
          <w:rtl/>
        </w:rPr>
        <w:t xml:space="preserve">يتكون فريق إدارة المشروع من </w:t>
      </w:r>
      <w:r w:rsidR="0061755F">
        <w:rPr>
          <w:rFonts w:hint="cs"/>
          <w:sz w:val="30"/>
          <w:rtl/>
        </w:rPr>
        <w:t xml:space="preserve">المسئولين الفنيين عن المكونات الفرعية للدعم الفني، ومسئول المشتريات والمسئول المالي والذي سيكون مسئولاً عن </w:t>
      </w:r>
      <w:r w:rsidR="000D3376">
        <w:rPr>
          <w:rFonts w:hint="cs"/>
          <w:sz w:val="30"/>
          <w:rtl/>
        </w:rPr>
        <w:t xml:space="preserve">إجراء المعاملات وفق إجراءات البنك الدولي ووضع الإرشادات العامة </w:t>
      </w:r>
      <w:r w:rsidR="005B4BD0">
        <w:rPr>
          <w:rFonts w:hint="cs"/>
          <w:sz w:val="30"/>
          <w:rtl/>
        </w:rPr>
        <w:t xml:space="preserve">لكل جوانب القضايا </w:t>
      </w:r>
      <w:r w:rsidR="001770FE">
        <w:rPr>
          <w:rFonts w:hint="cs"/>
          <w:sz w:val="30"/>
          <w:rtl/>
        </w:rPr>
        <w:t xml:space="preserve">المالية والمشتريات المتعلقة بمشروع الدعم الفني. </w:t>
      </w:r>
    </w:p>
    <w:p w:rsidR="003F15FB" w:rsidRPr="005179C6" w:rsidRDefault="00AC1686" w:rsidP="00AC1686">
      <w:pPr>
        <w:pStyle w:val="ListParagraph"/>
        <w:numPr>
          <w:ilvl w:val="0"/>
          <w:numId w:val="2"/>
        </w:numPr>
        <w:spacing w:line="360" w:lineRule="auto"/>
        <w:jc w:val="both"/>
        <w:rPr>
          <w:b/>
          <w:bCs/>
          <w:sz w:val="32"/>
          <w:szCs w:val="32"/>
        </w:rPr>
      </w:pPr>
      <w:r>
        <w:rPr>
          <w:rFonts w:hint="cs"/>
          <w:b/>
          <w:bCs/>
          <w:sz w:val="32"/>
          <w:szCs w:val="32"/>
          <w:rtl/>
        </w:rPr>
        <w:t>سياسات</w:t>
      </w:r>
      <w:r w:rsidR="005179C6" w:rsidRPr="005179C6">
        <w:rPr>
          <w:rFonts w:hint="cs"/>
          <w:b/>
          <w:bCs/>
          <w:sz w:val="32"/>
          <w:szCs w:val="32"/>
          <w:rtl/>
        </w:rPr>
        <w:t xml:space="preserve"> الضمانات</w:t>
      </w:r>
      <w:r>
        <w:rPr>
          <w:rFonts w:hint="cs"/>
          <w:b/>
          <w:bCs/>
          <w:sz w:val="32"/>
          <w:szCs w:val="32"/>
          <w:rtl/>
        </w:rPr>
        <w:t xml:space="preserve"> أو السياسات الوقائية</w:t>
      </w:r>
      <w:r w:rsidR="005179C6" w:rsidRPr="005179C6">
        <w:rPr>
          <w:rFonts w:hint="cs"/>
          <w:b/>
          <w:bCs/>
          <w:sz w:val="32"/>
          <w:szCs w:val="32"/>
          <w:rtl/>
        </w:rPr>
        <w:t xml:space="preserve"> (شاملة الاستشار</w:t>
      </w:r>
      <w:r>
        <w:rPr>
          <w:rFonts w:hint="cs"/>
          <w:b/>
          <w:bCs/>
          <w:sz w:val="32"/>
          <w:szCs w:val="32"/>
          <w:rtl/>
        </w:rPr>
        <w:t>ات</w:t>
      </w:r>
      <w:r w:rsidR="005179C6" w:rsidRPr="005179C6">
        <w:rPr>
          <w:rFonts w:hint="cs"/>
          <w:b/>
          <w:bCs/>
          <w:sz w:val="32"/>
          <w:szCs w:val="32"/>
          <w:rtl/>
        </w:rPr>
        <w:t xml:space="preserve"> العامة)</w:t>
      </w:r>
    </w:p>
    <w:p w:rsidR="005179C6" w:rsidRDefault="005179C6" w:rsidP="005179C6">
      <w:pPr>
        <w:pStyle w:val="ListParagraph"/>
        <w:spacing w:line="360" w:lineRule="auto"/>
        <w:ind w:left="1080"/>
        <w:jc w:val="both"/>
        <w:rPr>
          <w:sz w:val="30"/>
        </w:rPr>
      </w:pPr>
      <w:r>
        <w:rPr>
          <w:rFonts w:hint="cs"/>
          <w:sz w:val="30"/>
          <w:rtl/>
        </w:rPr>
        <w:t xml:space="preserve"> </w:t>
      </w:r>
    </w:p>
    <w:tbl>
      <w:tblPr>
        <w:tblStyle w:val="TableGrid"/>
        <w:bidiVisual/>
        <w:tblW w:w="8931" w:type="dxa"/>
        <w:tblInd w:w="-233" w:type="dxa"/>
        <w:tblLook w:val="04A0" w:firstRow="1" w:lastRow="0" w:firstColumn="1" w:lastColumn="0" w:noHBand="0" w:noVBand="1"/>
      </w:tblPr>
      <w:tblGrid>
        <w:gridCol w:w="6804"/>
        <w:gridCol w:w="1134"/>
        <w:gridCol w:w="993"/>
      </w:tblGrid>
      <w:tr w:rsidR="002A3399" w:rsidTr="00793C96">
        <w:tc>
          <w:tcPr>
            <w:tcW w:w="6804" w:type="dxa"/>
          </w:tcPr>
          <w:p w:rsidR="002A3399" w:rsidRPr="00024E4E" w:rsidRDefault="002A3399" w:rsidP="00024E4E">
            <w:pPr>
              <w:spacing w:line="360" w:lineRule="auto"/>
              <w:rPr>
                <w:rFonts w:ascii="Arial" w:hAnsi="Arial"/>
                <w:bCs/>
                <w:szCs w:val="28"/>
                <w:rtl/>
              </w:rPr>
            </w:pPr>
            <w:r w:rsidRPr="00024E4E">
              <w:rPr>
                <w:rFonts w:ascii="Arial" w:hAnsi="Arial" w:hint="cs"/>
                <w:bCs/>
                <w:szCs w:val="28"/>
                <w:rtl/>
              </w:rPr>
              <w:t>إجراءات الضمانات</w:t>
            </w:r>
            <w:r>
              <w:rPr>
                <w:rFonts w:ascii="Arial" w:hAnsi="Arial" w:hint="cs"/>
                <w:bCs/>
                <w:szCs w:val="28"/>
                <w:rtl/>
              </w:rPr>
              <w:t xml:space="preserve"> التي يثيرها هذا المشروع</w:t>
            </w:r>
          </w:p>
        </w:tc>
        <w:tc>
          <w:tcPr>
            <w:tcW w:w="1134" w:type="dxa"/>
          </w:tcPr>
          <w:p w:rsidR="002A3399" w:rsidRPr="002A3399" w:rsidRDefault="002A3399" w:rsidP="002A3399">
            <w:pPr>
              <w:pStyle w:val="ListParagraph"/>
              <w:spacing w:line="360" w:lineRule="auto"/>
              <w:ind w:left="0"/>
              <w:jc w:val="center"/>
              <w:rPr>
                <w:b/>
                <w:bCs/>
                <w:sz w:val="30"/>
                <w:rtl/>
              </w:rPr>
            </w:pPr>
            <w:r w:rsidRPr="002A3399">
              <w:rPr>
                <w:rFonts w:hint="cs"/>
                <w:b/>
                <w:bCs/>
                <w:sz w:val="30"/>
                <w:rtl/>
              </w:rPr>
              <w:t>نعم</w:t>
            </w:r>
          </w:p>
        </w:tc>
        <w:tc>
          <w:tcPr>
            <w:tcW w:w="993" w:type="dxa"/>
          </w:tcPr>
          <w:p w:rsidR="002A3399" w:rsidRPr="002A3399" w:rsidRDefault="002A3399" w:rsidP="002A3399">
            <w:pPr>
              <w:pStyle w:val="ListParagraph"/>
              <w:spacing w:line="360" w:lineRule="auto"/>
              <w:ind w:left="0"/>
              <w:jc w:val="center"/>
              <w:rPr>
                <w:b/>
                <w:bCs/>
                <w:sz w:val="30"/>
                <w:rtl/>
              </w:rPr>
            </w:pPr>
            <w:r w:rsidRPr="002A3399">
              <w:rPr>
                <w:rFonts w:hint="cs"/>
                <w:b/>
                <w:bCs/>
                <w:sz w:val="30"/>
                <w:rtl/>
              </w:rPr>
              <w:t>لا</w:t>
            </w:r>
          </w:p>
        </w:tc>
      </w:tr>
      <w:tr w:rsidR="002A3399" w:rsidTr="00793C96">
        <w:tc>
          <w:tcPr>
            <w:tcW w:w="6804" w:type="dxa"/>
          </w:tcPr>
          <w:p w:rsidR="002A3399" w:rsidRPr="00793C96" w:rsidRDefault="002A3399" w:rsidP="00C80E60">
            <w:pPr>
              <w:pStyle w:val="ListParagraph"/>
              <w:spacing w:line="360" w:lineRule="auto"/>
              <w:ind w:left="0"/>
              <w:jc w:val="lowKashida"/>
              <w:rPr>
                <w:rFonts w:ascii="Arial" w:hAnsi="Arial"/>
                <w:b/>
                <w:sz w:val="24"/>
                <w:szCs w:val="24"/>
              </w:rPr>
            </w:pPr>
            <w:r w:rsidRPr="00793C96">
              <w:rPr>
                <w:rFonts w:ascii="Arial" w:hAnsi="Arial" w:hint="cs"/>
                <w:b/>
                <w:sz w:val="24"/>
                <w:szCs w:val="24"/>
                <w:rtl/>
              </w:rPr>
              <w:t>التقييم البيئي (</w:t>
            </w:r>
            <w:r w:rsidRPr="00793C96">
              <w:rPr>
                <w:rFonts w:ascii="Arial" w:hAnsi="Arial"/>
                <w:b/>
                <w:sz w:val="24"/>
                <w:szCs w:val="24"/>
                <w:rtl/>
              </w:rPr>
              <w:t>منشور سياسة العمليات/إجراءات البنك</w:t>
            </w:r>
            <w:r w:rsidRPr="00793C96">
              <w:rPr>
                <w:rFonts w:ascii="Arial" w:hAnsi="Arial" w:hint="cs"/>
                <w:b/>
                <w:sz w:val="24"/>
                <w:szCs w:val="24"/>
                <w:rtl/>
              </w:rPr>
              <w:t xml:space="preserve"> </w:t>
            </w:r>
            <w:r w:rsidRPr="00793C96">
              <w:rPr>
                <w:rFonts w:ascii="Arial" w:hAnsi="Arial"/>
                <w:bCs/>
                <w:sz w:val="24"/>
                <w:szCs w:val="24"/>
              </w:rPr>
              <w:t>1.01</w:t>
            </w:r>
            <w:r w:rsidRPr="00793C96">
              <w:rPr>
                <w:rFonts w:ascii="Arial" w:hAnsi="Arial" w:hint="cs"/>
                <w:b/>
                <w:sz w:val="24"/>
                <w:szCs w:val="24"/>
                <w:rtl/>
              </w:rPr>
              <w:t>)</w:t>
            </w:r>
          </w:p>
        </w:tc>
        <w:tc>
          <w:tcPr>
            <w:tcW w:w="1134" w:type="dxa"/>
          </w:tcPr>
          <w:p w:rsidR="002A3399" w:rsidRDefault="002A3399" w:rsidP="005179C6">
            <w:pPr>
              <w:pStyle w:val="ListParagraph"/>
              <w:spacing w:line="360" w:lineRule="auto"/>
              <w:ind w:left="0"/>
              <w:jc w:val="both"/>
              <w:rPr>
                <w:sz w:val="30"/>
                <w:rtl/>
              </w:rPr>
            </w:pPr>
          </w:p>
        </w:tc>
        <w:tc>
          <w:tcPr>
            <w:tcW w:w="993" w:type="dxa"/>
          </w:tcPr>
          <w:p w:rsidR="002A3399" w:rsidRDefault="00793C96" w:rsidP="00793C96">
            <w:pPr>
              <w:pStyle w:val="ListParagraph"/>
              <w:spacing w:line="360" w:lineRule="auto"/>
              <w:ind w:left="0"/>
              <w:jc w:val="center"/>
              <w:rPr>
                <w:sz w:val="30"/>
                <w:rtl/>
              </w:rPr>
            </w:pPr>
            <w:r>
              <w:rPr>
                <w:rFonts w:hint="cs"/>
                <w:sz w:val="30"/>
                <w:rtl/>
              </w:rPr>
              <w:t>×</w:t>
            </w:r>
          </w:p>
        </w:tc>
      </w:tr>
      <w:tr w:rsidR="00793C96" w:rsidTr="00793C96">
        <w:tc>
          <w:tcPr>
            <w:tcW w:w="6804" w:type="dxa"/>
          </w:tcPr>
          <w:p w:rsidR="00793C96" w:rsidRPr="00793C96" w:rsidRDefault="00793C96" w:rsidP="00C80E60">
            <w:pPr>
              <w:pStyle w:val="ListParagraph"/>
              <w:spacing w:line="360" w:lineRule="auto"/>
              <w:ind w:left="0"/>
              <w:jc w:val="lowKashida"/>
              <w:rPr>
                <w:rFonts w:ascii="Arial" w:hAnsi="Arial"/>
                <w:b/>
                <w:sz w:val="24"/>
                <w:szCs w:val="24"/>
                <w:rtl/>
              </w:rPr>
            </w:pPr>
            <w:r w:rsidRPr="00793C96">
              <w:rPr>
                <w:rFonts w:ascii="Arial" w:hAnsi="Arial" w:hint="cs"/>
                <w:b/>
                <w:sz w:val="24"/>
                <w:szCs w:val="24"/>
                <w:rtl/>
              </w:rPr>
              <w:t>البيئات الطبيعية (</w:t>
            </w:r>
            <w:r w:rsidRPr="00793C96">
              <w:rPr>
                <w:rFonts w:ascii="Arial" w:hAnsi="Arial"/>
                <w:b/>
                <w:sz w:val="24"/>
                <w:szCs w:val="24"/>
                <w:rtl/>
              </w:rPr>
              <w:t>منشور سياسة العمليات/إجراءات البنك</w:t>
            </w:r>
            <w:r w:rsidRPr="00793C96">
              <w:rPr>
                <w:rFonts w:ascii="Arial" w:hAnsi="Arial" w:hint="cs"/>
                <w:b/>
                <w:sz w:val="24"/>
                <w:szCs w:val="24"/>
                <w:rtl/>
              </w:rPr>
              <w:t xml:space="preserve"> </w:t>
            </w:r>
            <w:r w:rsidRPr="00793C96">
              <w:rPr>
                <w:rFonts w:ascii="Arial" w:hAnsi="Arial"/>
                <w:bCs/>
                <w:sz w:val="24"/>
                <w:szCs w:val="24"/>
              </w:rPr>
              <w:t>4.04</w:t>
            </w:r>
            <w:r w:rsidRPr="00793C96">
              <w:rPr>
                <w:rFonts w:ascii="Arial" w:hAnsi="Arial" w:hint="cs"/>
                <w:b/>
                <w:sz w:val="24"/>
                <w:szCs w:val="24"/>
                <w:rtl/>
              </w:rPr>
              <w:t>)</w:t>
            </w:r>
          </w:p>
        </w:tc>
        <w:tc>
          <w:tcPr>
            <w:tcW w:w="1134" w:type="dxa"/>
          </w:tcPr>
          <w:p w:rsidR="00793C96" w:rsidRDefault="00793C96" w:rsidP="005179C6">
            <w:pPr>
              <w:pStyle w:val="ListParagraph"/>
              <w:spacing w:line="360" w:lineRule="auto"/>
              <w:ind w:left="0"/>
              <w:jc w:val="both"/>
              <w:rPr>
                <w:sz w:val="30"/>
                <w:rtl/>
              </w:rPr>
            </w:pPr>
          </w:p>
        </w:tc>
        <w:tc>
          <w:tcPr>
            <w:tcW w:w="993" w:type="dxa"/>
          </w:tcPr>
          <w:p w:rsidR="00793C96" w:rsidRDefault="00793C96" w:rsidP="00C80E60">
            <w:pPr>
              <w:pStyle w:val="ListParagraph"/>
              <w:spacing w:line="360" w:lineRule="auto"/>
              <w:ind w:left="0"/>
              <w:jc w:val="center"/>
              <w:rPr>
                <w:sz w:val="30"/>
                <w:rtl/>
              </w:rPr>
            </w:pPr>
            <w:r>
              <w:rPr>
                <w:rFonts w:hint="cs"/>
                <w:sz w:val="30"/>
                <w:rtl/>
              </w:rPr>
              <w:t>×</w:t>
            </w:r>
          </w:p>
        </w:tc>
      </w:tr>
      <w:tr w:rsidR="00793C96" w:rsidTr="00793C96">
        <w:tc>
          <w:tcPr>
            <w:tcW w:w="6804" w:type="dxa"/>
          </w:tcPr>
          <w:p w:rsidR="00793C96" w:rsidRPr="00793C96" w:rsidRDefault="00793C96" w:rsidP="00C80E60">
            <w:pPr>
              <w:pStyle w:val="ListParagraph"/>
              <w:spacing w:line="360" w:lineRule="auto"/>
              <w:ind w:left="0"/>
              <w:jc w:val="lowKashida"/>
              <w:rPr>
                <w:rFonts w:ascii="Arial" w:hAnsi="Arial"/>
                <w:b/>
                <w:sz w:val="24"/>
                <w:szCs w:val="24"/>
                <w:rtl/>
              </w:rPr>
            </w:pPr>
            <w:r w:rsidRPr="00793C96">
              <w:rPr>
                <w:rFonts w:ascii="Arial" w:hAnsi="Arial" w:hint="cs"/>
                <w:b/>
                <w:sz w:val="24"/>
                <w:szCs w:val="24"/>
                <w:rtl/>
              </w:rPr>
              <w:t>الغابات (</w:t>
            </w:r>
            <w:r w:rsidRPr="00793C96">
              <w:rPr>
                <w:rFonts w:ascii="Arial" w:hAnsi="Arial"/>
                <w:b/>
                <w:sz w:val="24"/>
                <w:szCs w:val="24"/>
                <w:rtl/>
              </w:rPr>
              <w:t>منشور سياسة العمليات/إجراءات البنك</w:t>
            </w:r>
            <w:r w:rsidRPr="00793C96">
              <w:rPr>
                <w:rFonts w:ascii="Arial" w:hAnsi="Arial"/>
                <w:bCs/>
                <w:sz w:val="24"/>
                <w:szCs w:val="24"/>
              </w:rPr>
              <w:t xml:space="preserve">4.36 </w:t>
            </w:r>
            <w:r w:rsidRPr="00793C96">
              <w:rPr>
                <w:rFonts w:ascii="Arial" w:hAnsi="Arial" w:hint="cs"/>
                <w:b/>
                <w:sz w:val="24"/>
                <w:szCs w:val="24"/>
                <w:rtl/>
              </w:rPr>
              <w:t>)</w:t>
            </w:r>
          </w:p>
        </w:tc>
        <w:tc>
          <w:tcPr>
            <w:tcW w:w="1134" w:type="dxa"/>
          </w:tcPr>
          <w:p w:rsidR="00793C96" w:rsidRDefault="00793C96" w:rsidP="005179C6">
            <w:pPr>
              <w:pStyle w:val="ListParagraph"/>
              <w:spacing w:line="360" w:lineRule="auto"/>
              <w:ind w:left="0"/>
              <w:jc w:val="both"/>
              <w:rPr>
                <w:sz w:val="30"/>
                <w:rtl/>
              </w:rPr>
            </w:pPr>
          </w:p>
        </w:tc>
        <w:tc>
          <w:tcPr>
            <w:tcW w:w="993" w:type="dxa"/>
          </w:tcPr>
          <w:p w:rsidR="00793C96" w:rsidRDefault="00793C96" w:rsidP="00C80E60">
            <w:pPr>
              <w:pStyle w:val="ListParagraph"/>
              <w:spacing w:line="360" w:lineRule="auto"/>
              <w:ind w:left="0"/>
              <w:jc w:val="center"/>
              <w:rPr>
                <w:sz w:val="30"/>
                <w:rtl/>
              </w:rPr>
            </w:pPr>
            <w:r>
              <w:rPr>
                <w:rFonts w:hint="cs"/>
                <w:sz w:val="30"/>
                <w:rtl/>
              </w:rPr>
              <w:t>×</w:t>
            </w:r>
          </w:p>
        </w:tc>
      </w:tr>
      <w:tr w:rsidR="00793C96" w:rsidTr="00793C96">
        <w:tc>
          <w:tcPr>
            <w:tcW w:w="6804" w:type="dxa"/>
          </w:tcPr>
          <w:p w:rsidR="00793C96" w:rsidRPr="00793C96" w:rsidRDefault="00793C96" w:rsidP="00C80E60">
            <w:pPr>
              <w:pStyle w:val="ListParagraph"/>
              <w:spacing w:line="360" w:lineRule="auto"/>
              <w:ind w:left="0"/>
              <w:jc w:val="lowKashida"/>
              <w:rPr>
                <w:rFonts w:ascii="Arial" w:hAnsi="Arial"/>
                <w:b/>
                <w:sz w:val="24"/>
                <w:szCs w:val="24"/>
                <w:rtl/>
              </w:rPr>
            </w:pPr>
            <w:r w:rsidRPr="00793C96">
              <w:rPr>
                <w:rFonts w:ascii="Arial" w:hAnsi="Arial" w:hint="cs"/>
                <w:b/>
                <w:sz w:val="24"/>
                <w:szCs w:val="24"/>
                <w:rtl/>
              </w:rPr>
              <w:t>مكافحة الآفات (</w:t>
            </w:r>
            <w:r w:rsidRPr="00793C96">
              <w:rPr>
                <w:rFonts w:ascii="Arial" w:hAnsi="Arial"/>
                <w:b/>
                <w:sz w:val="24"/>
                <w:szCs w:val="24"/>
                <w:rtl/>
              </w:rPr>
              <w:t>منشور سياسة العمليات</w:t>
            </w:r>
            <w:r w:rsidRPr="00793C96">
              <w:rPr>
                <w:rFonts w:ascii="Arial" w:hAnsi="Arial" w:hint="cs"/>
                <w:b/>
                <w:sz w:val="24"/>
                <w:szCs w:val="24"/>
                <w:rtl/>
              </w:rPr>
              <w:t xml:space="preserve"> </w:t>
            </w:r>
            <w:r w:rsidRPr="00793C96">
              <w:rPr>
                <w:rFonts w:ascii="Arial" w:hAnsi="Arial"/>
                <w:bCs/>
                <w:sz w:val="24"/>
                <w:szCs w:val="24"/>
              </w:rPr>
              <w:t>4.09</w:t>
            </w:r>
            <w:r w:rsidRPr="00793C96">
              <w:rPr>
                <w:rFonts w:ascii="Arial" w:hAnsi="Arial" w:hint="cs"/>
                <w:b/>
                <w:sz w:val="24"/>
                <w:szCs w:val="24"/>
                <w:rtl/>
              </w:rPr>
              <w:t>)</w:t>
            </w:r>
          </w:p>
        </w:tc>
        <w:tc>
          <w:tcPr>
            <w:tcW w:w="1134" w:type="dxa"/>
          </w:tcPr>
          <w:p w:rsidR="00793C96" w:rsidRDefault="00793C96" w:rsidP="005179C6">
            <w:pPr>
              <w:pStyle w:val="ListParagraph"/>
              <w:spacing w:line="360" w:lineRule="auto"/>
              <w:ind w:left="0"/>
              <w:jc w:val="both"/>
              <w:rPr>
                <w:sz w:val="30"/>
                <w:rtl/>
              </w:rPr>
            </w:pPr>
          </w:p>
        </w:tc>
        <w:tc>
          <w:tcPr>
            <w:tcW w:w="993" w:type="dxa"/>
          </w:tcPr>
          <w:p w:rsidR="00793C96" w:rsidRDefault="00793C96" w:rsidP="00C80E60">
            <w:pPr>
              <w:pStyle w:val="ListParagraph"/>
              <w:spacing w:line="360" w:lineRule="auto"/>
              <w:ind w:left="0"/>
              <w:jc w:val="center"/>
              <w:rPr>
                <w:sz w:val="30"/>
                <w:rtl/>
              </w:rPr>
            </w:pPr>
            <w:r>
              <w:rPr>
                <w:rFonts w:hint="cs"/>
                <w:sz w:val="30"/>
                <w:rtl/>
              </w:rPr>
              <w:t>×</w:t>
            </w:r>
          </w:p>
        </w:tc>
      </w:tr>
      <w:tr w:rsidR="00793C96" w:rsidTr="00793C96">
        <w:tc>
          <w:tcPr>
            <w:tcW w:w="6804" w:type="dxa"/>
          </w:tcPr>
          <w:p w:rsidR="00793C96" w:rsidRPr="00793C96" w:rsidRDefault="00793C96" w:rsidP="00AC1686">
            <w:pPr>
              <w:pStyle w:val="ListParagraph"/>
              <w:spacing w:line="360" w:lineRule="auto"/>
              <w:ind w:left="0"/>
              <w:jc w:val="lowKashida"/>
              <w:rPr>
                <w:rFonts w:ascii="Arial" w:hAnsi="Arial"/>
                <w:b/>
                <w:sz w:val="24"/>
                <w:szCs w:val="24"/>
                <w:rtl/>
              </w:rPr>
            </w:pPr>
            <w:r w:rsidRPr="00793C96">
              <w:rPr>
                <w:rFonts w:ascii="Arial" w:hAnsi="Arial" w:hint="cs"/>
                <w:b/>
                <w:sz w:val="24"/>
                <w:szCs w:val="24"/>
                <w:rtl/>
              </w:rPr>
              <w:t xml:space="preserve">الموارد </w:t>
            </w:r>
            <w:r w:rsidR="00AC1686">
              <w:rPr>
                <w:rFonts w:ascii="Arial" w:hAnsi="Arial" w:hint="cs"/>
                <w:b/>
                <w:sz w:val="24"/>
                <w:szCs w:val="24"/>
                <w:rtl/>
              </w:rPr>
              <w:t>المادية</w:t>
            </w:r>
            <w:r w:rsidRPr="00793C96">
              <w:rPr>
                <w:rFonts w:ascii="Arial" w:hAnsi="Arial" w:hint="cs"/>
                <w:b/>
                <w:sz w:val="24"/>
                <w:szCs w:val="24"/>
                <w:rtl/>
              </w:rPr>
              <w:t xml:space="preserve"> الثقافية </w:t>
            </w:r>
            <w:r w:rsidRPr="00793C96">
              <w:rPr>
                <w:rFonts w:ascii="Arial" w:hAnsi="Arial"/>
                <w:b/>
                <w:sz w:val="24"/>
                <w:szCs w:val="24"/>
                <w:rtl/>
              </w:rPr>
              <w:t xml:space="preserve"> (منشور سياسة العمليات/إجراءات البنك </w:t>
            </w:r>
            <w:r w:rsidRPr="00793C96">
              <w:rPr>
                <w:rFonts w:ascii="Arial" w:hAnsi="Arial"/>
                <w:bCs/>
                <w:sz w:val="24"/>
                <w:szCs w:val="24"/>
              </w:rPr>
              <w:t>4.11</w:t>
            </w:r>
            <w:r w:rsidRPr="00793C96">
              <w:rPr>
                <w:rFonts w:ascii="Arial" w:hAnsi="Arial"/>
                <w:b/>
                <w:sz w:val="24"/>
                <w:szCs w:val="24"/>
                <w:rtl/>
              </w:rPr>
              <w:t>)</w:t>
            </w:r>
          </w:p>
        </w:tc>
        <w:tc>
          <w:tcPr>
            <w:tcW w:w="1134" w:type="dxa"/>
          </w:tcPr>
          <w:p w:rsidR="00793C96" w:rsidRDefault="00793C96" w:rsidP="005179C6">
            <w:pPr>
              <w:pStyle w:val="ListParagraph"/>
              <w:spacing w:line="360" w:lineRule="auto"/>
              <w:ind w:left="0"/>
              <w:jc w:val="both"/>
              <w:rPr>
                <w:sz w:val="30"/>
                <w:rtl/>
              </w:rPr>
            </w:pPr>
          </w:p>
        </w:tc>
        <w:tc>
          <w:tcPr>
            <w:tcW w:w="993" w:type="dxa"/>
          </w:tcPr>
          <w:p w:rsidR="00793C96" w:rsidRDefault="00793C96" w:rsidP="00C80E60">
            <w:pPr>
              <w:pStyle w:val="ListParagraph"/>
              <w:spacing w:line="360" w:lineRule="auto"/>
              <w:ind w:left="0"/>
              <w:jc w:val="center"/>
              <w:rPr>
                <w:sz w:val="30"/>
                <w:rtl/>
              </w:rPr>
            </w:pPr>
            <w:r>
              <w:rPr>
                <w:rFonts w:hint="cs"/>
                <w:sz w:val="30"/>
                <w:rtl/>
              </w:rPr>
              <w:t>×</w:t>
            </w:r>
          </w:p>
        </w:tc>
      </w:tr>
      <w:tr w:rsidR="00793C96" w:rsidTr="00793C96">
        <w:tc>
          <w:tcPr>
            <w:tcW w:w="6804" w:type="dxa"/>
          </w:tcPr>
          <w:p w:rsidR="00793C96" w:rsidRPr="00793C96" w:rsidRDefault="00793C96" w:rsidP="00C80E60">
            <w:pPr>
              <w:pStyle w:val="ListParagraph"/>
              <w:spacing w:line="360" w:lineRule="auto"/>
              <w:ind w:left="0"/>
              <w:jc w:val="lowKashida"/>
              <w:rPr>
                <w:rFonts w:ascii="Arial" w:hAnsi="Arial"/>
                <w:b/>
                <w:sz w:val="24"/>
                <w:szCs w:val="24"/>
                <w:rtl/>
              </w:rPr>
            </w:pPr>
            <w:bookmarkStart w:id="1" w:name="CulturalProperty_Row"/>
            <w:bookmarkStart w:id="2" w:name="PhysicalCulturalResources_Row"/>
            <w:bookmarkStart w:id="3" w:name="IndigenousPeoples_Y"/>
            <w:bookmarkStart w:id="4" w:name="IndigenousPeoples_N"/>
            <w:bookmarkStart w:id="5" w:name="IndigenousPeoples_"/>
            <w:r w:rsidRPr="00793C96">
              <w:rPr>
                <w:rFonts w:ascii="Arial" w:hAnsi="Arial"/>
                <w:b/>
                <w:sz w:val="24"/>
                <w:szCs w:val="24"/>
                <w:rtl/>
              </w:rPr>
              <w:t xml:space="preserve">السكان الأصليون (منشور سياسة العمليات/إجراءات البنك </w:t>
            </w:r>
            <w:r w:rsidRPr="00793C96">
              <w:rPr>
                <w:rFonts w:ascii="Arial" w:hAnsi="Arial"/>
                <w:bCs/>
                <w:sz w:val="24"/>
                <w:szCs w:val="24"/>
              </w:rPr>
              <w:t>4.10</w:t>
            </w:r>
            <w:r w:rsidRPr="00793C96">
              <w:rPr>
                <w:rFonts w:ascii="Arial" w:hAnsi="Arial"/>
                <w:b/>
                <w:sz w:val="24"/>
                <w:szCs w:val="24"/>
                <w:rtl/>
              </w:rPr>
              <w:t>)</w:t>
            </w:r>
            <w:bookmarkEnd w:id="1"/>
            <w:bookmarkEnd w:id="2"/>
            <w:bookmarkEnd w:id="3"/>
            <w:bookmarkEnd w:id="4"/>
            <w:bookmarkEnd w:id="5"/>
          </w:p>
        </w:tc>
        <w:tc>
          <w:tcPr>
            <w:tcW w:w="1134" w:type="dxa"/>
          </w:tcPr>
          <w:p w:rsidR="00793C96" w:rsidRDefault="00793C96" w:rsidP="005179C6">
            <w:pPr>
              <w:pStyle w:val="ListParagraph"/>
              <w:spacing w:line="360" w:lineRule="auto"/>
              <w:ind w:left="0"/>
              <w:jc w:val="both"/>
              <w:rPr>
                <w:sz w:val="30"/>
                <w:rtl/>
              </w:rPr>
            </w:pPr>
          </w:p>
        </w:tc>
        <w:tc>
          <w:tcPr>
            <w:tcW w:w="993" w:type="dxa"/>
          </w:tcPr>
          <w:p w:rsidR="00793C96" w:rsidRDefault="00793C96" w:rsidP="00C80E60">
            <w:pPr>
              <w:pStyle w:val="ListParagraph"/>
              <w:spacing w:line="360" w:lineRule="auto"/>
              <w:ind w:left="0"/>
              <w:jc w:val="center"/>
              <w:rPr>
                <w:sz w:val="30"/>
                <w:rtl/>
              </w:rPr>
            </w:pPr>
            <w:r>
              <w:rPr>
                <w:rFonts w:hint="cs"/>
                <w:sz w:val="30"/>
                <w:rtl/>
              </w:rPr>
              <w:t>×</w:t>
            </w:r>
          </w:p>
        </w:tc>
      </w:tr>
      <w:tr w:rsidR="00793C96" w:rsidTr="00793C96">
        <w:tc>
          <w:tcPr>
            <w:tcW w:w="6804" w:type="dxa"/>
          </w:tcPr>
          <w:p w:rsidR="00793C96" w:rsidRPr="00793C96" w:rsidRDefault="00793C96" w:rsidP="00C80E60">
            <w:pPr>
              <w:pStyle w:val="ListParagraph"/>
              <w:spacing w:line="360" w:lineRule="auto"/>
              <w:ind w:left="0"/>
              <w:jc w:val="lowKashida"/>
              <w:rPr>
                <w:rFonts w:ascii="Arial" w:hAnsi="Arial"/>
                <w:b/>
                <w:sz w:val="24"/>
                <w:szCs w:val="24"/>
                <w:rtl/>
              </w:rPr>
            </w:pPr>
            <w:r w:rsidRPr="00793C96">
              <w:rPr>
                <w:rFonts w:ascii="Arial" w:hAnsi="Arial"/>
                <w:b/>
                <w:sz w:val="24"/>
                <w:szCs w:val="24"/>
                <w:rtl/>
              </w:rPr>
              <w:t>إعادة التوطين القسري</w:t>
            </w:r>
            <w:r w:rsidRPr="00793C96">
              <w:rPr>
                <w:rFonts w:ascii="Arial" w:hAnsi="Arial" w:hint="cs"/>
                <w:b/>
                <w:sz w:val="24"/>
                <w:szCs w:val="24"/>
                <w:rtl/>
              </w:rPr>
              <w:t xml:space="preserve"> </w:t>
            </w:r>
            <w:r w:rsidRPr="00793C96">
              <w:rPr>
                <w:rFonts w:ascii="Arial" w:hAnsi="Arial"/>
                <w:b/>
                <w:sz w:val="24"/>
                <w:szCs w:val="24"/>
                <w:rtl/>
              </w:rPr>
              <w:t xml:space="preserve"> (منشور سياسة العمليات/إجراءات البنك </w:t>
            </w:r>
            <w:r w:rsidRPr="00793C96">
              <w:rPr>
                <w:rFonts w:ascii="Arial" w:hAnsi="Arial"/>
                <w:bCs/>
                <w:sz w:val="24"/>
                <w:szCs w:val="24"/>
              </w:rPr>
              <w:t>4.12</w:t>
            </w:r>
            <w:r w:rsidRPr="00793C96">
              <w:rPr>
                <w:rFonts w:ascii="Arial" w:hAnsi="Arial"/>
                <w:b/>
                <w:sz w:val="24"/>
                <w:szCs w:val="24"/>
                <w:rtl/>
              </w:rPr>
              <w:t>)</w:t>
            </w:r>
          </w:p>
        </w:tc>
        <w:tc>
          <w:tcPr>
            <w:tcW w:w="1134" w:type="dxa"/>
          </w:tcPr>
          <w:p w:rsidR="00793C96" w:rsidRDefault="00793C96" w:rsidP="005179C6">
            <w:pPr>
              <w:pStyle w:val="ListParagraph"/>
              <w:spacing w:line="360" w:lineRule="auto"/>
              <w:ind w:left="0"/>
              <w:jc w:val="both"/>
              <w:rPr>
                <w:sz w:val="30"/>
                <w:rtl/>
              </w:rPr>
            </w:pPr>
          </w:p>
        </w:tc>
        <w:tc>
          <w:tcPr>
            <w:tcW w:w="993" w:type="dxa"/>
          </w:tcPr>
          <w:p w:rsidR="00793C96" w:rsidRDefault="00793C96" w:rsidP="00C80E60">
            <w:pPr>
              <w:pStyle w:val="ListParagraph"/>
              <w:spacing w:line="360" w:lineRule="auto"/>
              <w:ind w:left="0"/>
              <w:jc w:val="center"/>
              <w:rPr>
                <w:sz w:val="30"/>
                <w:rtl/>
              </w:rPr>
            </w:pPr>
            <w:r>
              <w:rPr>
                <w:rFonts w:hint="cs"/>
                <w:sz w:val="30"/>
                <w:rtl/>
              </w:rPr>
              <w:t>×</w:t>
            </w:r>
          </w:p>
        </w:tc>
      </w:tr>
      <w:tr w:rsidR="00F61414" w:rsidTr="00793C96">
        <w:tc>
          <w:tcPr>
            <w:tcW w:w="6804" w:type="dxa"/>
          </w:tcPr>
          <w:p w:rsidR="00F61414" w:rsidRPr="00793C96" w:rsidRDefault="00F61414" w:rsidP="00C80E60">
            <w:pPr>
              <w:keepNext/>
              <w:jc w:val="lowKashida"/>
              <w:rPr>
                <w:rFonts w:ascii="Arial" w:hAnsi="Arial"/>
                <w:b/>
                <w:sz w:val="24"/>
                <w:szCs w:val="24"/>
                <w:rtl/>
              </w:rPr>
            </w:pPr>
            <w:r w:rsidRPr="00793C96">
              <w:rPr>
                <w:rFonts w:ascii="Arial" w:hAnsi="Arial"/>
                <w:b/>
                <w:sz w:val="24"/>
                <w:szCs w:val="24"/>
                <w:rtl/>
              </w:rPr>
              <w:t xml:space="preserve">سلامة السدود (منشور سياسة العمليات/إجراءات البنك </w:t>
            </w:r>
            <w:r w:rsidRPr="00793C96">
              <w:rPr>
                <w:rFonts w:ascii="Arial" w:hAnsi="Arial"/>
                <w:bCs/>
                <w:sz w:val="24"/>
                <w:szCs w:val="24"/>
              </w:rPr>
              <w:t>4.37</w:t>
            </w:r>
            <w:r w:rsidRPr="00793C96">
              <w:rPr>
                <w:rFonts w:ascii="Arial" w:hAnsi="Arial"/>
                <w:b/>
                <w:sz w:val="24"/>
                <w:szCs w:val="24"/>
                <w:rtl/>
              </w:rPr>
              <w:t>)</w:t>
            </w:r>
          </w:p>
        </w:tc>
        <w:tc>
          <w:tcPr>
            <w:tcW w:w="1134" w:type="dxa"/>
          </w:tcPr>
          <w:p w:rsidR="00F61414" w:rsidRDefault="00F61414" w:rsidP="005179C6">
            <w:pPr>
              <w:pStyle w:val="ListParagraph"/>
              <w:spacing w:line="360" w:lineRule="auto"/>
              <w:ind w:left="0"/>
              <w:jc w:val="both"/>
              <w:rPr>
                <w:sz w:val="30"/>
                <w:rtl/>
              </w:rPr>
            </w:pPr>
          </w:p>
        </w:tc>
        <w:tc>
          <w:tcPr>
            <w:tcW w:w="993" w:type="dxa"/>
          </w:tcPr>
          <w:p w:rsidR="00F61414" w:rsidRDefault="00F61414" w:rsidP="00C80E60">
            <w:pPr>
              <w:pStyle w:val="ListParagraph"/>
              <w:spacing w:line="360" w:lineRule="auto"/>
              <w:ind w:left="0"/>
              <w:jc w:val="center"/>
              <w:rPr>
                <w:sz w:val="30"/>
                <w:rtl/>
              </w:rPr>
            </w:pPr>
            <w:r>
              <w:rPr>
                <w:rFonts w:hint="cs"/>
                <w:sz w:val="30"/>
                <w:rtl/>
              </w:rPr>
              <w:t>×</w:t>
            </w:r>
          </w:p>
        </w:tc>
      </w:tr>
      <w:tr w:rsidR="00F61414" w:rsidTr="00793C96">
        <w:tc>
          <w:tcPr>
            <w:tcW w:w="6804" w:type="dxa"/>
          </w:tcPr>
          <w:p w:rsidR="00F61414" w:rsidRPr="00793C96" w:rsidRDefault="00F61414" w:rsidP="00C80E60">
            <w:pPr>
              <w:keepNext/>
              <w:jc w:val="lowKashida"/>
              <w:rPr>
                <w:rFonts w:ascii="Arial" w:hAnsi="Arial"/>
                <w:b/>
                <w:sz w:val="24"/>
                <w:szCs w:val="24"/>
                <w:rtl/>
              </w:rPr>
            </w:pPr>
            <w:r w:rsidRPr="00793C96">
              <w:rPr>
                <w:rFonts w:ascii="Arial" w:hAnsi="Arial"/>
                <w:b/>
                <w:sz w:val="24"/>
                <w:szCs w:val="24"/>
                <w:rtl/>
              </w:rPr>
              <w:t>المشروعات على المجاري المائية الدولية (منشور سياسة العمليات/إجراءات البنك 7.50)</w:t>
            </w:r>
          </w:p>
        </w:tc>
        <w:tc>
          <w:tcPr>
            <w:tcW w:w="1134" w:type="dxa"/>
          </w:tcPr>
          <w:p w:rsidR="00F61414" w:rsidRDefault="00F61414" w:rsidP="005179C6">
            <w:pPr>
              <w:pStyle w:val="ListParagraph"/>
              <w:spacing w:line="360" w:lineRule="auto"/>
              <w:ind w:left="0"/>
              <w:jc w:val="both"/>
              <w:rPr>
                <w:sz w:val="30"/>
                <w:rtl/>
              </w:rPr>
            </w:pPr>
          </w:p>
        </w:tc>
        <w:tc>
          <w:tcPr>
            <w:tcW w:w="993" w:type="dxa"/>
          </w:tcPr>
          <w:p w:rsidR="00F61414" w:rsidRDefault="00F61414" w:rsidP="00C80E60">
            <w:pPr>
              <w:pStyle w:val="ListParagraph"/>
              <w:spacing w:line="360" w:lineRule="auto"/>
              <w:ind w:left="0"/>
              <w:jc w:val="center"/>
              <w:rPr>
                <w:sz w:val="30"/>
                <w:rtl/>
              </w:rPr>
            </w:pPr>
            <w:r>
              <w:rPr>
                <w:rFonts w:hint="cs"/>
                <w:sz w:val="30"/>
                <w:rtl/>
              </w:rPr>
              <w:t>×</w:t>
            </w:r>
          </w:p>
        </w:tc>
      </w:tr>
      <w:tr w:rsidR="00F61414" w:rsidTr="00793C96">
        <w:tc>
          <w:tcPr>
            <w:tcW w:w="6804" w:type="dxa"/>
          </w:tcPr>
          <w:p w:rsidR="00F61414" w:rsidRPr="00793C96" w:rsidRDefault="00F61414" w:rsidP="00C80E60">
            <w:pPr>
              <w:keepNext/>
              <w:jc w:val="lowKashida"/>
              <w:rPr>
                <w:rFonts w:ascii="Arial" w:hAnsi="Arial"/>
                <w:b/>
                <w:sz w:val="24"/>
                <w:szCs w:val="24"/>
                <w:rtl/>
              </w:rPr>
            </w:pPr>
            <w:r w:rsidRPr="00793C96">
              <w:rPr>
                <w:rFonts w:ascii="Arial" w:hAnsi="Arial"/>
                <w:b/>
                <w:sz w:val="24"/>
                <w:szCs w:val="24"/>
                <w:rtl/>
              </w:rPr>
              <w:t>المشروعات المقامة في مناطق متنازع عليها (منشور سياسة العمليات/إجراءات البنك 7.60)</w:t>
            </w:r>
          </w:p>
        </w:tc>
        <w:tc>
          <w:tcPr>
            <w:tcW w:w="1134" w:type="dxa"/>
          </w:tcPr>
          <w:p w:rsidR="00F61414" w:rsidRDefault="00F61414" w:rsidP="005179C6">
            <w:pPr>
              <w:pStyle w:val="ListParagraph"/>
              <w:spacing w:line="360" w:lineRule="auto"/>
              <w:ind w:left="0"/>
              <w:jc w:val="both"/>
              <w:rPr>
                <w:sz w:val="30"/>
                <w:rtl/>
              </w:rPr>
            </w:pPr>
          </w:p>
        </w:tc>
        <w:tc>
          <w:tcPr>
            <w:tcW w:w="993" w:type="dxa"/>
          </w:tcPr>
          <w:p w:rsidR="00F61414" w:rsidRDefault="00F61414" w:rsidP="00C80E60">
            <w:pPr>
              <w:pStyle w:val="ListParagraph"/>
              <w:spacing w:line="360" w:lineRule="auto"/>
              <w:ind w:left="0"/>
              <w:jc w:val="center"/>
              <w:rPr>
                <w:sz w:val="30"/>
                <w:rtl/>
              </w:rPr>
            </w:pPr>
            <w:r>
              <w:rPr>
                <w:rFonts w:hint="cs"/>
                <w:sz w:val="30"/>
                <w:rtl/>
              </w:rPr>
              <w:t>×</w:t>
            </w:r>
          </w:p>
        </w:tc>
      </w:tr>
    </w:tbl>
    <w:p w:rsidR="005179C6" w:rsidRDefault="005179C6" w:rsidP="005179C6">
      <w:pPr>
        <w:pStyle w:val="ListParagraph"/>
        <w:spacing w:line="360" w:lineRule="auto"/>
        <w:ind w:left="1080"/>
        <w:jc w:val="both"/>
        <w:rPr>
          <w:sz w:val="30"/>
        </w:rPr>
      </w:pPr>
    </w:p>
    <w:p w:rsidR="005179C6" w:rsidRPr="00182FDE" w:rsidRDefault="00182FDE" w:rsidP="005179C6">
      <w:pPr>
        <w:pStyle w:val="ListParagraph"/>
        <w:numPr>
          <w:ilvl w:val="0"/>
          <w:numId w:val="2"/>
        </w:numPr>
        <w:spacing w:line="360" w:lineRule="auto"/>
        <w:jc w:val="both"/>
        <w:rPr>
          <w:b/>
          <w:bCs/>
          <w:sz w:val="30"/>
        </w:rPr>
      </w:pPr>
      <w:r w:rsidRPr="00182FDE">
        <w:rPr>
          <w:rFonts w:hint="cs"/>
          <w:b/>
          <w:bCs/>
          <w:sz w:val="30"/>
          <w:rtl/>
        </w:rPr>
        <w:t>نقطة الاتصال</w:t>
      </w:r>
    </w:p>
    <w:p w:rsidR="00182FDE" w:rsidRPr="00182FDE" w:rsidRDefault="00182FDE" w:rsidP="00182FDE">
      <w:pPr>
        <w:pStyle w:val="ListParagraph"/>
        <w:spacing w:line="360" w:lineRule="auto"/>
        <w:ind w:left="1080"/>
        <w:jc w:val="both"/>
        <w:rPr>
          <w:b/>
          <w:bCs/>
          <w:sz w:val="30"/>
          <w:rtl/>
        </w:rPr>
      </w:pPr>
      <w:r w:rsidRPr="00182FDE">
        <w:rPr>
          <w:rFonts w:hint="cs"/>
          <w:b/>
          <w:bCs/>
          <w:sz w:val="30"/>
          <w:rtl/>
        </w:rPr>
        <w:t>البنك الدولي</w:t>
      </w:r>
    </w:p>
    <w:p w:rsidR="00182FDE" w:rsidRDefault="00182FDE" w:rsidP="00182FDE">
      <w:pPr>
        <w:pStyle w:val="ListParagraph"/>
        <w:spacing w:line="360" w:lineRule="auto"/>
        <w:ind w:left="1080"/>
        <w:jc w:val="both"/>
        <w:rPr>
          <w:sz w:val="30"/>
          <w:rtl/>
        </w:rPr>
      </w:pPr>
      <w:r>
        <w:rPr>
          <w:rFonts w:hint="cs"/>
          <w:sz w:val="30"/>
          <w:rtl/>
        </w:rPr>
        <w:t>طرف الاتصال: حسام محمد بيدس</w:t>
      </w:r>
    </w:p>
    <w:p w:rsidR="005D19B6" w:rsidRDefault="00182FDE" w:rsidP="00182FDE">
      <w:pPr>
        <w:pStyle w:val="ListParagraph"/>
        <w:spacing w:line="360" w:lineRule="auto"/>
        <w:ind w:left="1080"/>
        <w:jc w:val="both"/>
        <w:rPr>
          <w:sz w:val="30"/>
          <w:rtl/>
        </w:rPr>
      </w:pPr>
      <w:r>
        <w:rPr>
          <w:rFonts w:hint="cs"/>
          <w:sz w:val="30"/>
          <w:rtl/>
        </w:rPr>
        <w:t>الوظيفة: كبير خبراء الطاقة</w:t>
      </w:r>
      <w:r w:rsidR="005D19B6">
        <w:rPr>
          <w:rFonts w:hint="cs"/>
          <w:sz w:val="30"/>
          <w:rtl/>
        </w:rPr>
        <w:t xml:space="preserve"> </w:t>
      </w:r>
    </w:p>
    <w:p w:rsidR="00182FDE" w:rsidRDefault="005D19B6" w:rsidP="005D19B6">
      <w:pPr>
        <w:pStyle w:val="ListParagraph"/>
        <w:spacing w:line="360" w:lineRule="auto"/>
        <w:ind w:left="1080"/>
        <w:jc w:val="both"/>
        <w:rPr>
          <w:sz w:val="30"/>
        </w:rPr>
      </w:pPr>
      <w:r>
        <w:rPr>
          <w:rFonts w:hint="cs"/>
          <w:sz w:val="30"/>
          <w:rtl/>
        </w:rPr>
        <w:t xml:space="preserve">الهاتف: </w:t>
      </w:r>
      <w:r>
        <w:rPr>
          <w:sz w:val="30"/>
        </w:rPr>
        <w:t>5367+235 / 9</w:t>
      </w:r>
    </w:p>
    <w:p w:rsidR="005D19B6" w:rsidRDefault="005D19B6" w:rsidP="00182FDE">
      <w:pPr>
        <w:pStyle w:val="ListParagraph"/>
        <w:spacing w:line="360" w:lineRule="auto"/>
        <w:ind w:left="1080"/>
        <w:jc w:val="both"/>
        <w:rPr>
          <w:sz w:val="30"/>
          <w:rtl/>
        </w:rPr>
      </w:pPr>
      <w:r>
        <w:rPr>
          <w:rFonts w:hint="cs"/>
          <w:sz w:val="30"/>
          <w:rtl/>
        </w:rPr>
        <w:lastRenderedPageBreak/>
        <w:t xml:space="preserve">البريد الإلكتروني: </w:t>
      </w:r>
      <w:hyperlink r:id="rId6" w:history="1">
        <w:r w:rsidRPr="0088716B">
          <w:rPr>
            <w:rStyle w:val="Hyperlink"/>
            <w:sz w:val="30"/>
          </w:rPr>
          <w:t>hbeides@worldbank.org</w:t>
        </w:r>
      </w:hyperlink>
      <w:r>
        <w:rPr>
          <w:sz w:val="30"/>
        </w:rPr>
        <w:t xml:space="preserve"> </w:t>
      </w:r>
    </w:p>
    <w:p w:rsidR="005D19B6" w:rsidRPr="005D19B6" w:rsidRDefault="005D19B6" w:rsidP="00182FDE">
      <w:pPr>
        <w:pStyle w:val="ListParagraph"/>
        <w:spacing w:line="360" w:lineRule="auto"/>
        <w:ind w:left="1080"/>
        <w:jc w:val="both"/>
        <w:rPr>
          <w:b/>
          <w:bCs/>
          <w:sz w:val="30"/>
          <w:rtl/>
        </w:rPr>
      </w:pPr>
      <w:r w:rsidRPr="005D19B6">
        <w:rPr>
          <w:rFonts w:hint="cs"/>
          <w:b/>
          <w:bCs/>
          <w:sz w:val="30"/>
          <w:rtl/>
        </w:rPr>
        <w:t>الجهة المقترضة / العميل / المستلم</w:t>
      </w:r>
    </w:p>
    <w:p w:rsidR="005D19B6" w:rsidRDefault="005D19B6" w:rsidP="00182FDE">
      <w:pPr>
        <w:pStyle w:val="ListParagraph"/>
        <w:spacing w:line="360" w:lineRule="auto"/>
        <w:ind w:left="1080"/>
        <w:jc w:val="both"/>
        <w:rPr>
          <w:sz w:val="30"/>
          <w:rtl/>
        </w:rPr>
      </w:pPr>
      <w:r>
        <w:rPr>
          <w:rFonts w:hint="cs"/>
          <w:sz w:val="30"/>
          <w:rtl/>
        </w:rPr>
        <w:t>الاسم: جمهورية مصر العربية</w:t>
      </w:r>
    </w:p>
    <w:p w:rsidR="005D19B6" w:rsidRDefault="00643AD3" w:rsidP="00182FDE">
      <w:pPr>
        <w:pStyle w:val="ListParagraph"/>
        <w:spacing w:line="360" w:lineRule="auto"/>
        <w:ind w:left="1080"/>
        <w:jc w:val="both"/>
        <w:rPr>
          <w:sz w:val="30"/>
          <w:rtl/>
        </w:rPr>
      </w:pPr>
      <w:r>
        <w:rPr>
          <w:rFonts w:hint="cs"/>
          <w:sz w:val="30"/>
          <w:rtl/>
        </w:rPr>
        <w:t>طرف الاتصال: محمد همام</w:t>
      </w:r>
    </w:p>
    <w:p w:rsidR="00643AD3" w:rsidRDefault="00643AD3" w:rsidP="00182FDE">
      <w:pPr>
        <w:pStyle w:val="ListParagraph"/>
        <w:spacing w:line="360" w:lineRule="auto"/>
        <w:ind w:left="1080"/>
        <w:jc w:val="both"/>
        <w:rPr>
          <w:sz w:val="30"/>
          <w:rtl/>
        </w:rPr>
      </w:pPr>
      <w:r>
        <w:rPr>
          <w:rFonts w:hint="cs"/>
          <w:sz w:val="30"/>
          <w:rtl/>
        </w:rPr>
        <w:t>الوظيفة: مساعد الوزير</w:t>
      </w:r>
    </w:p>
    <w:p w:rsidR="00643AD3" w:rsidRDefault="00643AD3" w:rsidP="00182FDE">
      <w:pPr>
        <w:pStyle w:val="ListParagraph"/>
        <w:spacing w:line="360" w:lineRule="auto"/>
        <w:ind w:left="1080"/>
        <w:jc w:val="both"/>
        <w:rPr>
          <w:sz w:val="30"/>
          <w:rtl/>
        </w:rPr>
      </w:pPr>
      <w:r>
        <w:rPr>
          <w:rFonts w:hint="cs"/>
          <w:sz w:val="30"/>
          <w:rtl/>
        </w:rPr>
        <w:t xml:space="preserve">الهاتف: </w:t>
      </w:r>
      <w:r>
        <w:rPr>
          <w:sz w:val="30"/>
        </w:rPr>
        <w:t>202 – 2391 – 2815</w:t>
      </w:r>
      <w:r>
        <w:rPr>
          <w:rFonts w:hint="cs"/>
          <w:sz w:val="30"/>
          <w:rtl/>
        </w:rPr>
        <w:t xml:space="preserve"> </w:t>
      </w:r>
    </w:p>
    <w:p w:rsidR="00643AD3" w:rsidRDefault="00643AD3" w:rsidP="00182FDE">
      <w:pPr>
        <w:pStyle w:val="ListParagraph"/>
        <w:spacing w:line="360" w:lineRule="auto"/>
        <w:ind w:left="1080"/>
        <w:jc w:val="both"/>
        <w:rPr>
          <w:sz w:val="30"/>
          <w:rtl/>
        </w:rPr>
      </w:pPr>
      <w:r>
        <w:rPr>
          <w:rFonts w:hint="cs"/>
          <w:sz w:val="30"/>
          <w:rtl/>
        </w:rPr>
        <w:t xml:space="preserve">البريد الإلكتروني: </w:t>
      </w:r>
      <w:hyperlink r:id="rId7" w:history="1">
        <w:r w:rsidRPr="0088716B">
          <w:rPr>
            <w:rStyle w:val="Hyperlink"/>
            <w:sz w:val="30"/>
          </w:rPr>
          <w:t>mhammam@mic.gov.eg</w:t>
        </w:r>
      </w:hyperlink>
    </w:p>
    <w:p w:rsidR="00643AD3" w:rsidRPr="0093436A" w:rsidRDefault="0093436A" w:rsidP="00182FDE">
      <w:pPr>
        <w:pStyle w:val="ListParagraph"/>
        <w:spacing w:line="360" w:lineRule="auto"/>
        <w:ind w:left="1080"/>
        <w:jc w:val="both"/>
        <w:rPr>
          <w:b/>
          <w:bCs/>
          <w:sz w:val="30"/>
          <w:rtl/>
        </w:rPr>
      </w:pPr>
      <w:r w:rsidRPr="0093436A">
        <w:rPr>
          <w:rFonts w:hint="cs"/>
          <w:b/>
          <w:bCs/>
          <w:sz w:val="30"/>
          <w:rtl/>
        </w:rPr>
        <w:t>الجهة المنفذة</w:t>
      </w:r>
    </w:p>
    <w:p w:rsidR="000D6165" w:rsidRDefault="000D6165" w:rsidP="000D6165">
      <w:pPr>
        <w:pStyle w:val="ListParagraph"/>
        <w:spacing w:line="360" w:lineRule="auto"/>
        <w:ind w:left="1080"/>
        <w:jc w:val="both"/>
        <w:rPr>
          <w:sz w:val="30"/>
          <w:rtl/>
        </w:rPr>
      </w:pPr>
      <w:r>
        <w:rPr>
          <w:rFonts w:hint="cs"/>
          <w:sz w:val="30"/>
          <w:rtl/>
        </w:rPr>
        <w:t>الاسم: وزارة الكهرباء والطاقة</w:t>
      </w:r>
    </w:p>
    <w:p w:rsidR="000D6165" w:rsidRDefault="000D6165" w:rsidP="000D6165">
      <w:pPr>
        <w:pStyle w:val="ListParagraph"/>
        <w:spacing w:line="360" w:lineRule="auto"/>
        <w:ind w:left="1080"/>
        <w:jc w:val="both"/>
        <w:rPr>
          <w:sz w:val="30"/>
          <w:rtl/>
        </w:rPr>
      </w:pPr>
      <w:r>
        <w:rPr>
          <w:rFonts w:hint="cs"/>
          <w:sz w:val="30"/>
          <w:rtl/>
        </w:rPr>
        <w:t>طرف الاتصال: أميرة الملا</w:t>
      </w:r>
      <w:r w:rsidR="00AC1686">
        <w:rPr>
          <w:rFonts w:hint="cs"/>
          <w:sz w:val="30"/>
          <w:rtl/>
        </w:rPr>
        <w:t>ح</w:t>
      </w:r>
    </w:p>
    <w:p w:rsidR="000D6165" w:rsidRDefault="000D6165" w:rsidP="000D6165">
      <w:pPr>
        <w:pStyle w:val="ListParagraph"/>
        <w:spacing w:line="360" w:lineRule="auto"/>
        <w:ind w:left="1080"/>
        <w:jc w:val="both"/>
        <w:rPr>
          <w:sz w:val="30"/>
          <w:rtl/>
        </w:rPr>
      </w:pPr>
      <w:r>
        <w:rPr>
          <w:rFonts w:hint="cs"/>
          <w:sz w:val="30"/>
          <w:rtl/>
        </w:rPr>
        <w:t>الوظيفة: مدير فريق إدارة المشروع</w:t>
      </w:r>
    </w:p>
    <w:p w:rsidR="000D6165" w:rsidRDefault="000D6165" w:rsidP="000D6165">
      <w:pPr>
        <w:pStyle w:val="ListParagraph"/>
        <w:spacing w:line="360" w:lineRule="auto"/>
        <w:ind w:left="1080"/>
        <w:jc w:val="both"/>
        <w:rPr>
          <w:sz w:val="30"/>
          <w:rtl/>
        </w:rPr>
      </w:pPr>
      <w:r>
        <w:rPr>
          <w:rFonts w:hint="cs"/>
          <w:sz w:val="30"/>
          <w:rtl/>
        </w:rPr>
        <w:t xml:space="preserve">الهاتف: </w:t>
      </w:r>
      <w:r>
        <w:rPr>
          <w:sz w:val="30"/>
        </w:rPr>
        <w:t>202 – 0014 – 22712</w:t>
      </w:r>
      <w:r>
        <w:rPr>
          <w:rFonts w:hint="cs"/>
          <w:sz w:val="30"/>
          <w:rtl/>
        </w:rPr>
        <w:t xml:space="preserve"> </w:t>
      </w:r>
    </w:p>
    <w:p w:rsidR="000D6165" w:rsidRDefault="000D6165" w:rsidP="000D6165">
      <w:pPr>
        <w:pStyle w:val="ListParagraph"/>
        <w:spacing w:line="360" w:lineRule="auto"/>
        <w:ind w:left="1080"/>
        <w:jc w:val="both"/>
        <w:rPr>
          <w:sz w:val="30"/>
          <w:rtl/>
        </w:rPr>
      </w:pPr>
      <w:r>
        <w:rPr>
          <w:rFonts w:hint="cs"/>
          <w:sz w:val="30"/>
          <w:rtl/>
        </w:rPr>
        <w:t xml:space="preserve">البريد الإلكتروني: </w:t>
      </w:r>
      <w:hyperlink r:id="rId8" w:history="1">
        <w:r w:rsidRPr="0088716B">
          <w:rPr>
            <w:rStyle w:val="Hyperlink"/>
            <w:sz w:val="30"/>
          </w:rPr>
          <w:t>amira.elmallah55@gmail.com</w:t>
        </w:r>
      </w:hyperlink>
      <w:r>
        <w:rPr>
          <w:sz w:val="30"/>
        </w:rPr>
        <w:t xml:space="preserve"> </w:t>
      </w:r>
    </w:p>
    <w:p w:rsidR="00182FDE" w:rsidRDefault="000D5379" w:rsidP="005179C6">
      <w:pPr>
        <w:pStyle w:val="ListParagraph"/>
        <w:numPr>
          <w:ilvl w:val="0"/>
          <w:numId w:val="2"/>
        </w:numPr>
        <w:spacing w:line="360" w:lineRule="auto"/>
        <w:jc w:val="both"/>
        <w:rPr>
          <w:sz w:val="30"/>
        </w:rPr>
      </w:pPr>
      <w:r>
        <w:rPr>
          <w:rFonts w:hint="cs"/>
          <w:sz w:val="30"/>
          <w:rtl/>
        </w:rPr>
        <w:t>لمعلومات إضافية اتصل بـ:</w:t>
      </w:r>
    </w:p>
    <w:p w:rsidR="000D5379" w:rsidRDefault="000D5379" w:rsidP="000D5379">
      <w:pPr>
        <w:pStyle w:val="ListParagraph"/>
        <w:spacing w:line="360" w:lineRule="auto"/>
        <w:ind w:left="1080"/>
        <w:jc w:val="both"/>
        <w:rPr>
          <w:sz w:val="30"/>
          <w:rtl/>
        </w:rPr>
      </w:pPr>
      <w:r>
        <w:rPr>
          <w:rFonts w:hint="cs"/>
          <w:sz w:val="30"/>
          <w:rtl/>
        </w:rPr>
        <w:t xml:space="preserve">مكتبة البنك الدولي </w:t>
      </w:r>
      <w:proofErr w:type="spellStart"/>
      <w:r>
        <w:rPr>
          <w:sz w:val="30"/>
        </w:rPr>
        <w:t>infoshop</w:t>
      </w:r>
      <w:proofErr w:type="spellEnd"/>
    </w:p>
    <w:p w:rsidR="000D5379" w:rsidRDefault="000D5379" w:rsidP="000D5379">
      <w:pPr>
        <w:pStyle w:val="ListParagraph"/>
        <w:spacing w:line="360" w:lineRule="auto"/>
        <w:ind w:left="1080"/>
        <w:jc w:val="both"/>
        <w:rPr>
          <w:sz w:val="30"/>
          <w:rtl/>
        </w:rPr>
      </w:pPr>
      <w:r>
        <w:rPr>
          <w:rFonts w:hint="cs"/>
          <w:sz w:val="30"/>
          <w:rtl/>
        </w:rPr>
        <w:t>البنك الدولي</w:t>
      </w:r>
    </w:p>
    <w:p w:rsidR="000D5379" w:rsidRDefault="000D5379" w:rsidP="000D5379">
      <w:pPr>
        <w:pStyle w:val="ListParagraph"/>
        <w:spacing w:line="360" w:lineRule="auto"/>
        <w:ind w:left="1080"/>
        <w:jc w:val="both"/>
        <w:rPr>
          <w:sz w:val="30"/>
          <w:rtl/>
        </w:rPr>
      </w:pPr>
      <w:r>
        <w:rPr>
          <w:rFonts w:hint="cs"/>
          <w:sz w:val="30"/>
          <w:rtl/>
        </w:rPr>
        <w:t xml:space="preserve">1818 شارع </w:t>
      </w:r>
      <w:r>
        <w:rPr>
          <w:sz w:val="30"/>
        </w:rPr>
        <w:t>H</w:t>
      </w:r>
      <w:r>
        <w:rPr>
          <w:rFonts w:hint="cs"/>
          <w:sz w:val="30"/>
          <w:rtl/>
        </w:rPr>
        <w:t xml:space="preserve"> نيو يورك</w:t>
      </w:r>
    </w:p>
    <w:p w:rsidR="000D5379" w:rsidRDefault="000D5379" w:rsidP="000D5379">
      <w:pPr>
        <w:pStyle w:val="ListParagraph"/>
        <w:spacing w:line="360" w:lineRule="auto"/>
        <w:ind w:left="1080"/>
        <w:jc w:val="both"/>
        <w:rPr>
          <w:sz w:val="30"/>
          <w:rtl/>
        </w:rPr>
      </w:pPr>
      <w:r>
        <w:rPr>
          <w:rFonts w:hint="cs"/>
          <w:sz w:val="30"/>
          <w:rtl/>
        </w:rPr>
        <w:t>واشنطن العاصمة 20433</w:t>
      </w:r>
    </w:p>
    <w:p w:rsidR="000D5379" w:rsidRDefault="000D5379" w:rsidP="000D5379">
      <w:pPr>
        <w:pStyle w:val="ListParagraph"/>
        <w:spacing w:line="360" w:lineRule="auto"/>
        <w:ind w:left="1080"/>
        <w:jc w:val="both"/>
        <w:rPr>
          <w:sz w:val="30"/>
          <w:rtl/>
        </w:rPr>
      </w:pPr>
      <w:r>
        <w:rPr>
          <w:rFonts w:hint="cs"/>
          <w:sz w:val="30"/>
          <w:rtl/>
        </w:rPr>
        <w:t xml:space="preserve">الهاتف: </w:t>
      </w:r>
      <w:r>
        <w:rPr>
          <w:sz w:val="30"/>
        </w:rPr>
        <w:t>(202) 458 – 4500</w:t>
      </w:r>
    </w:p>
    <w:p w:rsidR="000D5379" w:rsidRDefault="000D5379" w:rsidP="000D5379">
      <w:pPr>
        <w:pStyle w:val="ListParagraph"/>
        <w:spacing w:line="360" w:lineRule="auto"/>
        <w:ind w:left="1080"/>
        <w:jc w:val="both"/>
        <w:rPr>
          <w:sz w:val="30"/>
          <w:rtl/>
        </w:rPr>
      </w:pPr>
      <w:r>
        <w:rPr>
          <w:rFonts w:hint="cs"/>
          <w:sz w:val="30"/>
          <w:rtl/>
        </w:rPr>
        <w:t xml:space="preserve">الفاكس: </w:t>
      </w:r>
      <w:r>
        <w:rPr>
          <w:sz w:val="30"/>
        </w:rPr>
        <w:t>(202) 522 – 1500</w:t>
      </w:r>
    </w:p>
    <w:p w:rsidR="000D5379" w:rsidRDefault="000D5379" w:rsidP="00AC1686">
      <w:pPr>
        <w:pStyle w:val="ListParagraph"/>
        <w:spacing w:line="360" w:lineRule="auto"/>
        <w:ind w:left="1080"/>
        <w:jc w:val="both"/>
        <w:rPr>
          <w:sz w:val="30"/>
          <w:rtl/>
        </w:rPr>
      </w:pPr>
      <w:r>
        <w:rPr>
          <w:rFonts w:hint="cs"/>
          <w:sz w:val="30"/>
          <w:rtl/>
        </w:rPr>
        <w:t xml:space="preserve">الموقع </w:t>
      </w:r>
      <w:r w:rsidR="00AC1686">
        <w:rPr>
          <w:rFonts w:hint="cs"/>
          <w:sz w:val="30"/>
          <w:rtl/>
        </w:rPr>
        <w:t>على الانترنت</w:t>
      </w:r>
      <w:r>
        <w:rPr>
          <w:rFonts w:hint="cs"/>
          <w:sz w:val="30"/>
          <w:rtl/>
        </w:rPr>
        <w:t xml:space="preserve">: </w:t>
      </w:r>
      <w:hyperlink r:id="rId9" w:history="1">
        <w:r w:rsidRPr="0088716B">
          <w:rPr>
            <w:rStyle w:val="Hyperlink"/>
            <w:sz w:val="30"/>
          </w:rPr>
          <w:t>http://www.worldbank.org/infoshop</w:t>
        </w:r>
      </w:hyperlink>
      <w:r>
        <w:rPr>
          <w:sz w:val="30"/>
        </w:rPr>
        <w:t xml:space="preserve"> </w:t>
      </w:r>
    </w:p>
    <w:p w:rsidR="000D5379" w:rsidRPr="000D5379" w:rsidRDefault="000D5379" w:rsidP="000D5379">
      <w:pPr>
        <w:pStyle w:val="ListParagraph"/>
        <w:spacing w:line="360" w:lineRule="auto"/>
        <w:ind w:left="1080"/>
        <w:jc w:val="both"/>
        <w:rPr>
          <w:sz w:val="30"/>
          <w:rtl/>
        </w:rPr>
      </w:pPr>
    </w:p>
    <w:sectPr w:rsidR="000D5379" w:rsidRPr="000D5379" w:rsidSect="000423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82A85"/>
    <w:multiLevelType w:val="hybridMultilevel"/>
    <w:tmpl w:val="B7303EEC"/>
    <w:lvl w:ilvl="0" w:tplc="0750F334">
      <w:numFmt w:val="bullet"/>
      <w:lvlText w:val=""/>
      <w:lvlJc w:val="left"/>
      <w:pPr>
        <w:ind w:left="1800" w:hanging="360"/>
      </w:pPr>
      <w:rPr>
        <w:rFonts w:ascii="Symbol" w:eastAsiaTheme="minorHAnsi" w:hAnsi="Symbol" w:cs="Arabic Transparen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1B8411A"/>
    <w:multiLevelType w:val="hybridMultilevel"/>
    <w:tmpl w:val="4B625308"/>
    <w:lvl w:ilvl="0" w:tplc="49DAA3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A029A"/>
    <w:multiLevelType w:val="hybridMultilevel"/>
    <w:tmpl w:val="85BE2D5E"/>
    <w:lvl w:ilvl="0" w:tplc="DC1494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5302B"/>
    <w:multiLevelType w:val="hybridMultilevel"/>
    <w:tmpl w:val="27287558"/>
    <w:lvl w:ilvl="0" w:tplc="04090003">
      <w:start w:val="1"/>
      <w:numFmt w:val="bullet"/>
      <w:lvlText w:val="o"/>
      <w:lvlJc w:val="left"/>
      <w:pPr>
        <w:ind w:left="2611" w:hanging="360"/>
      </w:pPr>
      <w:rPr>
        <w:rFonts w:ascii="Courier New" w:hAnsi="Courier New" w:cs="Courier New" w:hint="default"/>
      </w:rPr>
    </w:lvl>
    <w:lvl w:ilvl="1" w:tplc="04090003" w:tentative="1">
      <w:start w:val="1"/>
      <w:numFmt w:val="bullet"/>
      <w:lvlText w:val="o"/>
      <w:lvlJc w:val="left"/>
      <w:pPr>
        <w:ind w:left="3331" w:hanging="360"/>
      </w:pPr>
      <w:rPr>
        <w:rFonts w:ascii="Courier New" w:hAnsi="Courier New" w:cs="Courier New" w:hint="default"/>
      </w:rPr>
    </w:lvl>
    <w:lvl w:ilvl="2" w:tplc="04090005" w:tentative="1">
      <w:start w:val="1"/>
      <w:numFmt w:val="bullet"/>
      <w:lvlText w:val=""/>
      <w:lvlJc w:val="left"/>
      <w:pPr>
        <w:ind w:left="4051" w:hanging="360"/>
      </w:pPr>
      <w:rPr>
        <w:rFonts w:ascii="Wingdings" w:hAnsi="Wingdings" w:hint="default"/>
      </w:rPr>
    </w:lvl>
    <w:lvl w:ilvl="3" w:tplc="04090001" w:tentative="1">
      <w:start w:val="1"/>
      <w:numFmt w:val="bullet"/>
      <w:lvlText w:val=""/>
      <w:lvlJc w:val="left"/>
      <w:pPr>
        <w:ind w:left="4771" w:hanging="360"/>
      </w:pPr>
      <w:rPr>
        <w:rFonts w:ascii="Symbol" w:hAnsi="Symbol" w:hint="default"/>
      </w:rPr>
    </w:lvl>
    <w:lvl w:ilvl="4" w:tplc="04090003" w:tentative="1">
      <w:start w:val="1"/>
      <w:numFmt w:val="bullet"/>
      <w:lvlText w:val="o"/>
      <w:lvlJc w:val="left"/>
      <w:pPr>
        <w:ind w:left="5491" w:hanging="360"/>
      </w:pPr>
      <w:rPr>
        <w:rFonts w:ascii="Courier New" w:hAnsi="Courier New" w:cs="Courier New" w:hint="default"/>
      </w:rPr>
    </w:lvl>
    <w:lvl w:ilvl="5" w:tplc="04090005" w:tentative="1">
      <w:start w:val="1"/>
      <w:numFmt w:val="bullet"/>
      <w:lvlText w:val=""/>
      <w:lvlJc w:val="left"/>
      <w:pPr>
        <w:ind w:left="6211" w:hanging="360"/>
      </w:pPr>
      <w:rPr>
        <w:rFonts w:ascii="Wingdings" w:hAnsi="Wingdings" w:hint="default"/>
      </w:rPr>
    </w:lvl>
    <w:lvl w:ilvl="6" w:tplc="04090001" w:tentative="1">
      <w:start w:val="1"/>
      <w:numFmt w:val="bullet"/>
      <w:lvlText w:val=""/>
      <w:lvlJc w:val="left"/>
      <w:pPr>
        <w:ind w:left="6931" w:hanging="360"/>
      </w:pPr>
      <w:rPr>
        <w:rFonts w:ascii="Symbol" w:hAnsi="Symbol" w:hint="default"/>
      </w:rPr>
    </w:lvl>
    <w:lvl w:ilvl="7" w:tplc="04090003" w:tentative="1">
      <w:start w:val="1"/>
      <w:numFmt w:val="bullet"/>
      <w:lvlText w:val="o"/>
      <w:lvlJc w:val="left"/>
      <w:pPr>
        <w:ind w:left="7651" w:hanging="360"/>
      </w:pPr>
      <w:rPr>
        <w:rFonts w:ascii="Courier New" w:hAnsi="Courier New" w:cs="Courier New" w:hint="default"/>
      </w:rPr>
    </w:lvl>
    <w:lvl w:ilvl="8" w:tplc="04090005" w:tentative="1">
      <w:start w:val="1"/>
      <w:numFmt w:val="bullet"/>
      <w:lvlText w:val=""/>
      <w:lvlJc w:val="left"/>
      <w:pPr>
        <w:ind w:left="8371" w:hanging="360"/>
      </w:pPr>
      <w:rPr>
        <w:rFonts w:ascii="Wingdings" w:hAnsi="Wingdings" w:hint="default"/>
      </w:rPr>
    </w:lvl>
  </w:abstractNum>
  <w:abstractNum w:abstractNumId="4">
    <w:nsid w:val="39FA773B"/>
    <w:multiLevelType w:val="hybridMultilevel"/>
    <w:tmpl w:val="851E4124"/>
    <w:lvl w:ilvl="0" w:tplc="8E2466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A718A7"/>
    <w:multiLevelType w:val="hybridMultilevel"/>
    <w:tmpl w:val="D8DC2600"/>
    <w:lvl w:ilvl="0" w:tplc="664623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D7"/>
    <w:rsid w:val="000116B7"/>
    <w:rsid w:val="00024E4E"/>
    <w:rsid w:val="00025759"/>
    <w:rsid w:val="0002768C"/>
    <w:rsid w:val="000330E7"/>
    <w:rsid w:val="00041920"/>
    <w:rsid w:val="00042315"/>
    <w:rsid w:val="00046145"/>
    <w:rsid w:val="000520B6"/>
    <w:rsid w:val="00060D16"/>
    <w:rsid w:val="0006686A"/>
    <w:rsid w:val="000670D7"/>
    <w:rsid w:val="00084EDD"/>
    <w:rsid w:val="000C070B"/>
    <w:rsid w:val="000C2573"/>
    <w:rsid w:val="000C6374"/>
    <w:rsid w:val="000D3376"/>
    <w:rsid w:val="000D4512"/>
    <w:rsid w:val="000D4705"/>
    <w:rsid w:val="000D5379"/>
    <w:rsid w:val="000D6165"/>
    <w:rsid w:val="000E5D00"/>
    <w:rsid w:val="000F4573"/>
    <w:rsid w:val="00100FA1"/>
    <w:rsid w:val="00116585"/>
    <w:rsid w:val="0012012D"/>
    <w:rsid w:val="0012068D"/>
    <w:rsid w:val="00121757"/>
    <w:rsid w:val="0012336B"/>
    <w:rsid w:val="00124FCB"/>
    <w:rsid w:val="00125489"/>
    <w:rsid w:val="00132455"/>
    <w:rsid w:val="00132DDF"/>
    <w:rsid w:val="0014435C"/>
    <w:rsid w:val="00166A7C"/>
    <w:rsid w:val="00167BA4"/>
    <w:rsid w:val="001770FE"/>
    <w:rsid w:val="00182FDE"/>
    <w:rsid w:val="001953B8"/>
    <w:rsid w:val="001A4C07"/>
    <w:rsid w:val="001A61A6"/>
    <w:rsid w:val="001A6AB8"/>
    <w:rsid w:val="001E0A6D"/>
    <w:rsid w:val="001F2881"/>
    <w:rsid w:val="001F6B64"/>
    <w:rsid w:val="00202121"/>
    <w:rsid w:val="002145AC"/>
    <w:rsid w:val="00232EEC"/>
    <w:rsid w:val="00234E00"/>
    <w:rsid w:val="00234E89"/>
    <w:rsid w:val="002608D6"/>
    <w:rsid w:val="00263636"/>
    <w:rsid w:val="00270F7B"/>
    <w:rsid w:val="00273217"/>
    <w:rsid w:val="002754DE"/>
    <w:rsid w:val="00276C42"/>
    <w:rsid w:val="00281BB5"/>
    <w:rsid w:val="00287664"/>
    <w:rsid w:val="002912DB"/>
    <w:rsid w:val="002A0B0E"/>
    <w:rsid w:val="002A0DA2"/>
    <w:rsid w:val="002A3399"/>
    <w:rsid w:val="002A3FBE"/>
    <w:rsid w:val="002A5D6B"/>
    <w:rsid w:val="002B074B"/>
    <w:rsid w:val="002B14E8"/>
    <w:rsid w:val="002C1AA5"/>
    <w:rsid w:val="002C4951"/>
    <w:rsid w:val="002D7701"/>
    <w:rsid w:val="002F6C84"/>
    <w:rsid w:val="003325D0"/>
    <w:rsid w:val="00335070"/>
    <w:rsid w:val="00342E53"/>
    <w:rsid w:val="0034336B"/>
    <w:rsid w:val="003433BB"/>
    <w:rsid w:val="0034534C"/>
    <w:rsid w:val="00354A6A"/>
    <w:rsid w:val="00360C2B"/>
    <w:rsid w:val="00361EAB"/>
    <w:rsid w:val="00364162"/>
    <w:rsid w:val="003657FB"/>
    <w:rsid w:val="003663DB"/>
    <w:rsid w:val="00373DA7"/>
    <w:rsid w:val="00381508"/>
    <w:rsid w:val="003926D2"/>
    <w:rsid w:val="00394165"/>
    <w:rsid w:val="003A011D"/>
    <w:rsid w:val="003A04CD"/>
    <w:rsid w:val="003A2ECE"/>
    <w:rsid w:val="003A6331"/>
    <w:rsid w:val="003B6D22"/>
    <w:rsid w:val="003D10C0"/>
    <w:rsid w:val="003D1CF2"/>
    <w:rsid w:val="003D4E52"/>
    <w:rsid w:val="003E1E82"/>
    <w:rsid w:val="003E5581"/>
    <w:rsid w:val="003F15FB"/>
    <w:rsid w:val="00407BC7"/>
    <w:rsid w:val="004104C8"/>
    <w:rsid w:val="00415523"/>
    <w:rsid w:val="004172C1"/>
    <w:rsid w:val="00427E34"/>
    <w:rsid w:val="004303C0"/>
    <w:rsid w:val="00440019"/>
    <w:rsid w:val="00444257"/>
    <w:rsid w:val="00454EE9"/>
    <w:rsid w:val="00460F0A"/>
    <w:rsid w:val="004747F6"/>
    <w:rsid w:val="00475DCA"/>
    <w:rsid w:val="004851D6"/>
    <w:rsid w:val="00485543"/>
    <w:rsid w:val="004A1D33"/>
    <w:rsid w:val="004A3011"/>
    <w:rsid w:val="004B1B49"/>
    <w:rsid w:val="004B6A20"/>
    <w:rsid w:val="004B7349"/>
    <w:rsid w:val="004C4347"/>
    <w:rsid w:val="004D16DB"/>
    <w:rsid w:val="004D27FF"/>
    <w:rsid w:val="004D31F9"/>
    <w:rsid w:val="004E4FC7"/>
    <w:rsid w:val="004F24C5"/>
    <w:rsid w:val="005029E3"/>
    <w:rsid w:val="00505845"/>
    <w:rsid w:val="00510064"/>
    <w:rsid w:val="00511BD3"/>
    <w:rsid w:val="005122EE"/>
    <w:rsid w:val="00514691"/>
    <w:rsid w:val="005179C6"/>
    <w:rsid w:val="0052149C"/>
    <w:rsid w:val="00521A36"/>
    <w:rsid w:val="005307E5"/>
    <w:rsid w:val="00543AC4"/>
    <w:rsid w:val="00545BE1"/>
    <w:rsid w:val="005562C9"/>
    <w:rsid w:val="0056033F"/>
    <w:rsid w:val="00562D93"/>
    <w:rsid w:val="00563A69"/>
    <w:rsid w:val="005731EE"/>
    <w:rsid w:val="00581266"/>
    <w:rsid w:val="0058709D"/>
    <w:rsid w:val="005925CD"/>
    <w:rsid w:val="005A046A"/>
    <w:rsid w:val="005A2B80"/>
    <w:rsid w:val="005A6E8E"/>
    <w:rsid w:val="005B4BD0"/>
    <w:rsid w:val="005B641F"/>
    <w:rsid w:val="005C66C5"/>
    <w:rsid w:val="005D19B6"/>
    <w:rsid w:val="005D6198"/>
    <w:rsid w:val="005E5E41"/>
    <w:rsid w:val="005F496C"/>
    <w:rsid w:val="00602559"/>
    <w:rsid w:val="00607C70"/>
    <w:rsid w:val="00610695"/>
    <w:rsid w:val="0061755F"/>
    <w:rsid w:val="00637349"/>
    <w:rsid w:val="0064365D"/>
    <w:rsid w:val="00643AD3"/>
    <w:rsid w:val="00660D7C"/>
    <w:rsid w:val="006619AD"/>
    <w:rsid w:val="00671DA8"/>
    <w:rsid w:val="006760BF"/>
    <w:rsid w:val="00677DFE"/>
    <w:rsid w:val="0068648B"/>
    <w:rsid w:val="006A21AE"/>
    <w:rsid w:val="006B0911"/>
    <w:rsid w:val="006C4252"/>
    <w:rsid w:val="006C6567"/>
    <w:rsid w:val="006C74ED"/>
    <w:rsid w:val="006C7737"/>
    <w:rsid w:val="006C79BD"/>
    <w:rsid w:val="006D0CB2"/>
    <w:rsid w:val="006D66BA"/>
    <w:rsid w:val="006E334E"/>
    <w:rsid w:val="006E7CD3"/>
    <w:rsid w:val="006F191C"/>
    <w:rsid w:val="0071034B"/>
    <w:rsid w:val="00713757"/>
    <w:rsid w:val="00716F0C"/>
    <w:rsid w:val="00732836"/>
    <w:rsid w:val="00732B49"/>
    <w:rsid w:val="00733AE4"/>
    <w:rsid w:val="00772564"/>
    <w:rsid w:val="00776B08"/>
    <w:rsid w:val="00780DED"/>
    <w:rsid w:val="007833E1"/>
    <w:rsid w:val="00787A56"/>
    <w:rsid w:val="00793C96"/>
    <w:rsid w:val="007A0FAB"/>
    <w:rsid w:val="007A5D99"/>
    <w:rsid w:val="007A7DF9"/>
    <w:rsid w:val="007B0A69"/>
    <w:rsid w:val="007C265B"/>
    <w:rsid w:val="007D3D1D"/>
    <w:rsid w:val="007E3432"/>
    <w:rsid w:val="007E7DC4"/>
    <w:rsid w:val="007F0176"/>
    <w:rsid w:val="007F1D41"/>
    <w:rsid w:val="007F4288"/>
    <w:rsid w:val="007F45EF"/>
    <w:rsid w:val="0080026D"/>
    <w:rsid w:val="00821812"/>
    <w:rsid w:val="0082633C"/>
    <w:rsid w:val="0082758B"/>
    <w:rsid w:val="00837EAA"/>
    <w:rsid w:val="00847CED"/>
    <w:rsid w:val="008724C2"/>
    <w:rsid w:val="00877F8E"/>
    <w:rsid w:val="008804B2"/>
    <w:rsid w:val="00880EBA"/>
    <w:rsid w:val="008835AC"/>
    <w:rsid w:val="0089043E"/>
    <w:rsid w:val="008932AF"/>
    <w:rsid w:val="00893F59"/>
    <w:rsid w:val="00895781"/>
    <w:rsid w:val="00896FA1"/>
    <w:rsid w:val="008972D1"/>
    <w:rsid w:val="008A72D0"/>
    <w:rsid w:val="008B13DD"/>
    <w:rsid w:val="008B1854"/>
    <w:rsid w:val="008C7D76"/>
    <w:rsid w:val="008D1A75"/>
    <w:rsid w:val="008E1A9D"/>
    <w:rsid w:val="008E3E73"/>
    <w:rsid w:val="008E633C"/>
    <w:rsid w:val="008F015D"/>
    <w:rsid w:val="008F2551"/>
    <w:rsid w:val="008F63C3"/>
    <w:rsid w:val="00900851"/>
    <w:rsid w:val="0090752C"/>
    <w:rsid w:val="00910593"/>
    <w:rsid w:val="0091332C"/>
    <w:rsid w:val="00914F57"/>
    <w:rsid w:val="0091549C"/>
    <w:rsid w:val="00924597"/>
    <w:rsid w:val="0093436A"/>
    <w:rsid w:val="00936842"/>
    <w:rsid w:val="00960F32"/>
    <w:rsid w:val="00970DA2"/>
    <w:rsid w:val="009858FB"/>
    <w:rsid w:val="00995F43"/>
    <w:rsid w:val="009B5664"/>
    <w:rsid w:val="009C224A"/>
    <w:rsid w:val="009D5E3E"/>
    <w:rsid w:val="009D7708"/>
    <w:rsid w:val="009D798D"/>
    <w:rsid w:val="009E4B0B"/>
    <w:rsid w:val="00A11792"/>
    <w:rsid w:val="00A1681C"/>
    <w:rsid w:val="00A227E0"/>
    <w:rsid w:val="00A27531"/>
    <w:rsid w:val="00A3454F"/>
    <w:rsid w:val="00A36DA8"/>
    <w:rsid w:val="00A42DE4"/>
    <w:rsid w:val="00A458BB"/>
    <w:rsid w:val="00A55BF6"/>
    <w:rsid w:val="00A56855"/>
    <w:rsid w:val="00A651FB"/>
    <w:rsid w:val="00A66598"/>
    <w:rsid w:val="00A71B18"/>
    <w:rsid w:val="00A80C77"/>
    <w:rsid w:val="00A96DA9"/>
    <w:rsid w:val="00AA6456"/>
    <w:rsid w:val="00AA69BC"/>
    <w:rsid w:val="00AB0CCF"/>
    <w:rsid w:val="00AB1BDC"/>
    <w:rsid w:val="00AB74A5"/>
    <w:rsid w:val="00AC1686"/>
    <w:rsid w:val="00AC16BC"/>
    <w:rsid w:val="00AC2F34"/>
    <w:rsid w:val="00AE4F11"/>
    <w:rsid w:val="00AF48EC"/>
    <w:rsid w:val="00AF68C2"/>
    <w:rsid w:val="00B0290D"/>
    <w:rsid w:val="00B060C0"/>
    <w:rsid w:val="00B1231C"/>
    <w:rsid w:val="00B22305"/>
    <w:rsid w:val="00B234D9"/>
    <w:rsid w:val="00B306E8"/>
    <w:rsid w:val="00B41407"/>
    <w:rsid w:val="00B5768C"/>
    <w:rsid w:val="00B61A64"/>
    <w:rsid w:val="00B64C66"/>
    <w:rsid w:val="00B6587B"/>
    <w:rsid w:val="00B67ED7"/>
    <w:rsid w:val="00B77003"/>
    <w:rsid w:val="00BA3625"/>
    <w:rsid w:val="00BA4507"/>
    <w:rsid w:val="00BA7689"/>
    <w:rsid w:val="00BB2FB9"/>
    <w:rsid w:val="00BC7107"/>
    <w:rsid w:val="00BE7788"/>
    <w:rsid w:val="00BF3295"/>
    <w:rsid w:val="00BF5839"/>
    <w:rsid w:val="00C0290C"/>
    <w:rsid w:val="00C04CFC"/>
    <w:rsid w:val="00C05F93"/>
    <w:rsid w:val="00C50B9C"/>
    <w:rsid w:val="00C61455"/>
    <w:rsid w:val="00C76E06"/>
    <w:rsid w:val="00C80E60"/>
    <w:rsid w:val="00C90347"/>
    <w:rsid w:val="00C94873"/>
    <w:rsid w:val="00C95285"/>
    <w:rsid w:val="00C95916"/>
    <w:rsid w:val="00CA2FEF"/>
    <w:rsid w:val="00CA49E1"/>
    <w:rsid w:val="00CD64EA"/>
    <w:rsid w:val="00CE534D"/>
    <w:rsid w:val="00CF203D"/>
    <w:rsid w:val="00CF5541"/>
    <w:rsid w:val="00D03D7A"/>
    <w:rsid w:val="00D21F44"/>
    <w:rsid w:val="00D24EE9"/>
    <w:rsid w:val="00D43C76"/>
    <w:rsid w:val="00D43E73"/>
    <w:rsid w:val="00D5309C"/>
    <w:rsid w:val="00D554EE"/>
    <w:rsid w:val="00D610EC"/>
    <w:rsid w:val="00D62D82"/>
    <w:rsid w:val="00D63ED4"/>
    <w:rsid w:val="00D64D37"/>
    <w:rsid w:val="00D64F35"/>
    <w:rsid w:val="00D6772D"/>
    <w:rsid w:val="00D81197"/>
    <w:rsid w:val="00DA387D"/>
    <w:rsid w:val="00DB2D5F"/>
    <w:rsid w:val="00DC20C9"/>
    <w:rsid w:val="00DC2A86"/>
    <w:rsid w:val="00DC540E"/>
    <w:rsid w:val="00DD285F"/>
    <w:rsid w:val="00DF0832"/>
    <w:rsid w:val="00DF112F"/>
    <w:rsid w:val="00DF4A6D"/>
    <w:rsid w:val="00DF5231"/>
    <w:rsid w:val="00DF54A8"/>
    <w:rsid w:val="00DF6F94"/>
    <w:rsid w:val="00E055C5"/>
    <w:rsid w:val="00E113E8"/>
    <w:rsid w:val="00E15FD6"/>
    <w:rsid w:val="00E4187E"/>
    <w:rsid w:val="00E608D6"/>
    <w:rsid w:val="00E6281A"/>
    <w:rsid w:val="00E6509D"/>
    <w:rsid w:val="00E8228C"/>
    <w:rsid w:val="00E83B0F"/>
    <w:rsid w:val="00E8576C"/>
    <w:rsid w:val="00E8702C"/>
    <w:rsid w:val="00EB60DF"/>
    <w:rsid w:val="00EB7C8C"/>
    <w:rsid w:val="00EF34B9"/>
    <w:rsid w:val="00EF3E2A"/>
    <w:rsid w:val="00F27967"/>
    <w:rsid w:val="00F37BFF"/>
    <w:rsid w:val="00F41A02"/>
    <w:rsid w:val="00F43D3F"/>
    <w:rsid w:val="00F54AC4"/>
    <w:rsid w:val="00F60743"/>
    <w:rsid w:val="00F61414"/>
    <w:rsid w:val="00F6439C"/>
    <w:rsid w:val="00F652F4"/>
    <w:rsid w:val="00F65A10"/>
    <w:rsid w:val="00F857F8"/>
    <w:rsid w:val="00F95464"/>
    <w:rsid w:val="00FA2687"/>
    <w:rsid w:val="00FA29A0"/>
    <w:rsid w:val="00FC663B"/>
    <w:rsid w:val="00FD3D1E"/>
    <w:rsid w:val="00FE5D95"/>
    <w:rsid w:val="00FF09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abic Transparent"/>
        <w:sz w:val="28"/>
        <w:szCs w:val="3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B0E"/>
    <w:pPr>
      <w:bidi/>
    </w:pPr>
  </w:style>
  <w:style w:type="paragraph" w:styleId="Heading3">
    <w:name w:val="heading 3"/>
    <w:basedOn w:val="Normal"/>
    <w:link w:val="Heading3Char"/>
    <w:uiPriority w:val="9"/>
    <w:qFormat/>
    <w:rsid w:val="00427E34"/>
    <w:pPr>
      <w:bidi w:val="0"/>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046A"/>
    <w:pPr>
      <w:ind w:left="720"/>
      <w:contextualSpacing/>
    </w:pPr>
  </w:style>
  <w:style w:type="character" w:customStyle="1" w:styleId="Heading3Char">
    <w:name w:val="Heading 3 Char"/>
    <w:basedOn w:val="DefaultParagraphFont"/>
    <w:link w:val="Heading3"/>
    <w:uiPriority w:val="9"/>
    <w:rsid w:val="00427E34"/>
    <w:rPr>
      <w:rFonts w:eastAsia="Times New Roman" w:cs="Times New Roman"/>
      <w:b/>
      <w:bCs/>
      <w:sz w:val="27"/>
      <w:szCs w:val="27"/>
    </w:rPr>
  </w:style>
  <w:style w:type="character" w:styleId="Hyperlink">
    <w:name w:val="Hyperlink"/>
    <w:basedOn w:val="DefaultParagraphFont"/>
    <w:uiPriority w:val="99"/>
    <w:unhideWhenUsed/>
    <w:rsid w:val="00427E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abic Transparent"/>
        <w:sz w:val="28"/>
        <w:szCs w:val="3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B0E"/>
    <w:pPr>
      <w:bidi/>
    </w:pPr>
  </w:style>
  <w:style w:type="paragraph" w:styleId="Heading3">
    <w:name w:val="heading 3"/>
    <w:basedOn w:val="Normal"/>
    <w:link w:val="Heading3Char"/>
    <w:uiPriority w:val="9"/>
    <w:qFormat/>
    <w:rsid w:val="00427E34"/>
    <w:pPr>
      <w:bidi w:val="0"/>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046A"/>
    <w:pPr>
      <w:ind w:left="720"/>
      <w:contextualSpacing/>
    </w:pPr>
  </w:style>
  <w:style w:type="character" w:customStyle="1" w:styleId="Heading3Char">
    <w:name w:val="Heading 3 Char"/>
    <w:basedOn w:val="DefaultParagraphFont"/>
    <w:link w:val="Heading3"/>
    <w:uiPriority w:val="9"/>
    <w:rsid w:val="00427E34"/>
    <w:rPr>
      <w:rFonts w:eastAsia="Times New Roman" w:cs="Times New Roman"/>
      <w:b/>
      <w:bCs/>
      <w:sz w:val="27"/>
      <w:szCs w:val="27"/>
    </w:rPr>
  </w:style>
  <w:style w:type="character" w:styleId="Hyperlink">
    <w:name w:val="Hyperlink"/>
    <w:basedOn w:val="DefaultParagraphFont"/>
    <w:uiPriority w:val="99"/>
    <w:unhideWhenUsed/>
    <w:rsid w:val="00427E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8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ra.elmallah55@gmail.com" TargetMode="External"/><Relationship Id="rId3" Type="http://schemas.microsoft.com/office/2007/relationships/stylesWithEffects" Target="stylesWithEffects.xml"/><Relationship Id="rId7" Type="http://schemas.openxmlformats.org/officeDocument/2006/relationships/hyperlink" Target="mailto:mhammam@mic.gov.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beides@worldbank.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ldbank.org/info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4343</Words>
  <Characters>24757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dc:creator>
  <cp:lastModifiedBy>Claire Guimbert</cp:lastModifiedBy>
  <cp:revision>2</cp:revision>
  <dcterms:created xsi:type="dcterms:W3CDTF">2013-04-08T17:11:00Z</dcterms:created>
  <dcterms:modified xsi:type="dcterms:W3CDTF">2013-04-08T17:11:00Z</dcterms:modified>
</cp:coreProperties>
</file>