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0C6993">
      <w:pPr>
        <w:jc w:val="center"/>
        <w:rPr>
          <w:b/>
          <w:bCs/>
        </w:rPr>
      </w:pPr>
      <w:r>
        <w:rPr>
          <w:b/>
          <w:bCs/>
        </w:rPr>
        <w:t>APPRAISAL</w:t>
      </w:r>
      <w:r w:rsidR="00A126FA">
        <w:rPr>
          <w:b/>
          <w:bCs/>
        </w:rPr>
        <w:t xml:space="preserve"> STAGE</w:t>
      </w:r>
    </w:p>
    <w:p w:rsidR="00283684" w:rsidRDefault="004557BC" w:rsidP="008E4856">
      <w:pPr>
        <w:jc w:val="center"/>
      </w:pPr>
      <w:r>
        <w:t>19</w:t>
      </w:r>
      <w:r w:rsidR="004825FA">
        <w:t xml:space="preserve"> </w:t>
      </w:r>
      <w:r>
        <w:t>March</w:t>
      </w:r>
      <w:r w:rsidR="004825FA">
        <w:t xml:space="preserve"> 2013</w:t>
      </w:r>
    </w:p>
    <w:p w:rsidR="001D607D" w:rsidRDefault="001D607D" w:rsidP="008E4856">
      <w:pPr>
        <w:ind w:right="720" w:firstLine="720"/>
        <w:jc w:val="right"/>
      </w:pPr>
      <w:r>
        <w:t xml:space="preserve">Report No.:  </w:t>
      </w:r>
      <w:bookmarkStart w:id="0" w:name="ReportNo"/>
      <w:r w:rsidR="00EE1671">
        <w:t>AB72</w:t>
      </w:r>
      <w:bookmarkEnd w:id="0"/>
      <w:r w:rsidR="004557BC">
        <w:t>75</w:t>
      </w:r>
      <w:bookmarkStart w:id="1" w:name="_GoBack"/>
      <w:bookmarkEnd w:id="1"/>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4825FA" w:rsidP="004825FA">
            <w:bookmarkStart w:id="2" w:name="PROJECTNAME"/>
            <w:r>
              <w:t>Competitiveness and Savings</w:t>
            </w:r>
            <w:r w:rsidR="00EE1671">
              <w:t xml:space="preserve"> Development Policy Loan</w:t>
            </w:r>
            <w:bookmarkEnd w:id="2"/>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4825FA">
            <w:bookmarkStart w:id="3" w:name="REGION"/>
            <w:r>
              <w:t>EUROPE AND CENTRAL ASIA</w:t>
            </w:r>
            <w:bookmarkEnd w:id="3"/>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4825FA">
            <w:bookmarkStart w:id="4" w:name="COUNTRY"/>
            <w:r>
              <w:t>Turkey</w:t>
            </w:r>
            <w:bookmarkEnd w:id="4"/>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B64BFB">
            <w:bookmarkStart w:id="5" w:name="SECTOR"/>
            <w:r>
              <w:t>General public administration sector (</w:t>
            </w:r>
            <w:r w:rsidR="00B64BFB">
              <w:t>40</w:t>
            </w:r>
            <w:r>
              <w:t>%);</w:t>
            </w:r>
            <w:r w:rsidR="00B611B1">
              <w:t xml:space="preserve"> </w:t>
            </w:r>
            <w:r w:rsidR="00B64BFB">
              <w:t>General industry and trade</w:t>
            </w:r>
            <w:r>
              <w:t xml:space="preserve"> (2</w:t>
            </w:r>
            <w:r w:rsidR="00B64BFB">
              <w:t>5</w:t>
            </w:r>
            <w:r>
              <w:t>%);</w:t>
            </w:r>
            <w:r w:rsidR="00B611B1">
              <w:t xml:space="preserve"> </w:t>
            </w:r>
            <w:r w:rsidR="00B64BFB">
              <w:t>Capital markets</w:t>
            </w:r>
            <w:r>
              <w:t xml:space="preserve"> (1</w:t>
            </w:r>
            <w:r w:rsidR="00B64BFB">
              <w:t>5</w:t>
            </w:r>
            <w:r>
              <w:t>%);</w:t>
            </w:r>
            <w:r w:rsidR="00B611B1">
              <w:t xml:space="preserve"> </w:t>
            </w:r>
            <w:r w:rsidR="00B64BFB">
              <w:t>Non-compulsory pensions and insurance (20</w:t>
            </w:r>
            <w:r>
              <w:t>%)</w:t>
            </w:r>
            <w:bookmarkEnd w:id="5"/>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4825FA">
            <w:bookmarkStart w:id="6" w:name="PROJECTCODE"/>
            <w:r>
              <w:t>P127787</w:t>
            </w:r>
            <w:bookmarkEnd w:id="6"/>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4825FA">
            <w:bookmarkStart w:id="7" w:name="INSTR_NAME"/>
            <w:r>
              <w:t>Development Policy Lending</w:t>
            </w:r>
            <w:bookmarkEnd w:id="7"/>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4825FA">
            <w:bookmarkStart w:id="8" w:name="BORROWERNAME"/>
            <w:r>
              <w:t>REPUBLIC OF TURKEY</w:t>
            </w:r>
            <w:bookmarkEnd w:id="8"/>
          </w:p>
        </w:tc>
      </w:tr>
      <w:tr w:rsidR="001D607D" w:rsidTr="004825FA">
        <w:trPr>
          <w:trHeight w:val="140"/>
        </w:trPr>
        <w:tc>
          <w:tcPr>
            <w:tcW w:w="3420" w:type="dxa"/>
            <w:tcBorders>
              <w:top w:val="single" w:sz="4" w:space="0" w:color="auto"/>
              <w:left w:val="single" w:sz="4" w:space="0" w:color="auto"/>
              <w:bottom w:val="nil"/>
              <w:right w:val="single" w:sz="4" w:space="0" w:color="auto"/>
            </w:tcBorders>
          </w:tcPr>
          <w:p w:rsidR="001D607D" w:rsidRDefault="001D607D" w:rsidP="004825FA">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4825FA" w:rsidP="00B611B1">
            <w:bookmarkStart w:id="9" w:name="IMPLEMENTINGAGENCY"/>
            <w:bookmarkEnd w:id="9"/>
            <w:proofErr w:type="spellStart"/>
            <w:r>
              <w:t>Undersecretariat</w:t>
            </w:r>
            <w:proofErr w:type="spellEnd"/>
            <w:r>
              <w:t xml:space="preserve"> of Treasu</w:t>
            </w:r>
            <w:r w:rsidR="00B611B1">
              <w:t>r</w:t>
            </w:r>
            <w:r>
              <w:t>y</w:t>
            </w:r>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540AFE" w:rsidP="004825FA">
            <w:bookmarkStart w:id="10" w:name="DATEPREPARED"/>
            <w:r>
              <w:t>February 26</w:t>
            </w:r>
            <w:r w:rsidR="00EE1671">
              <w:t>, 2013</w:t>
            </w:r>
            <w:bookmarkEnd w:id="10"/>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4825FA" w:rsidP="00540AFE">
            <w:bookmarkStart w:id="11" w:name="APPRAISALDATE"/>
            <w:r>
              <w:t xml:space="preserve">March </w:t>
            </w:r>
            <w:r w:rsidR="00540AFE">
              <w:t>15</w:t>
            </w:r>
            <w:r w:rsidR="00EE1671">
              <w:t>, 2013</w:t>
            </w:r>
            <w:bookmarkEnd w:id="11"/>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EE1671" w:rsidP="004825FA">
            <w:bookmarkStart w:id="12" w:name="BOARDAPPROVALDATE"/>
            <w:r>
              <w:t>May 30, 2013</w:t>
            </w:r>
            <w:bookmarkEnd w:id="12"/>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RDefault="001D607D" w:rsidP="004825FA">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E463F5" w:rsidRDefault="00E463F5" w:rsidP="004825FA">
            <w:r w:rsidRPr="00E463F5">
              <w:t>March 7, 2013</w:t>
            </w:r>
          </w:p>
        </w:tc>
      </w:tr>
      <w:tr w:rsidR="001D607D" w:rsidTr="004825FA">
        <w:tc>
          <w:tcPr>
            <w:tcW w:w="3420" w:type="dxa"/>
            <w:tcBorders>
              <w:top w:val="single" w:sz="4" w:space="0" w:color="auto"/>
              <w:left w:val="single" w:sz="4" w:space="0" w:color="auto"/>
              <w:bottom w:val="single" w:sz="4" w:space="0" w:color="auto"/>
              <w:right w:val="single" w:sz="4" w:space="0" w:color="auto"/>
            </w:tcBorders>
          </w:tcPr>
          <w:p w:rsidR="001D607D" w:rsidDel="00AD4588" w:rsidRDefault="001D607D" w:rsidP="004825FA">
            <w:pPr>
              <w:rPr>
                <w:b/>
                <w:bCs/>
              </w:rPr>
            </w:pPr>
            <w:r>
              <w:rPr>
                <w:b/>
                <w:bCs/>
              </w:rPr>
              <w:t>Other Decision</w:t>
            </w:r>
          </w:p>
        </w:tc>
        <w:tc>
          <w:tcPr>
            <w:tcW w:w="6120" w:type="dxa"/>
            <w:tcBorders>
              <w:top w:val="single" w:sz="4" w:space="0" w:color="auto"/>
              <w:left w:val="single" w:sz="4" w:space="0" w:color="auto"/>
              <w:bottom w:val="single" w:sz="4" w:space="0" w:color="auto"/>
              <w:right w:val="single" w:sz="4" w:space="0" w:color="auto"/>
            </w:tcBorders>
          </w:tcPr>
          <w:p w:rsidR="001D607D" w:rsidRPr="00577870" w:rsidRDefault="001D607D" w:rsidP="004825FA"/>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E463F5" w:rsidRDefault="00E463F5" w:rsidP="00E463F5">
      <w:pPr>
        <w:pStyle w:val="ParaNumberPinar"/>
        <w:numPr>
          <w:ilvl w:val="0"/>
          <w:numId w:val="0"/>
        </w:numPr>
        <w:ind w:left="720"/>
        <w:rPr>
          <w:b/>
        </w:rPr>
      </w:pPr>
    </w:p>
    <w:p w:rsidR="00E463F5" w:rsidRPr="00E463F5" w:rsidRDefault="00E463F5" w:rsidP="00E463F5">
      <w:pPr>
        <w:pStyle w:val="ParaNumberPinar"/>
        <w:numPr>
          <w:ilvl w:val="0"/>
          <w:numId w:val="0"/>
        </w:numPr>
        <w:ind w:left="720"/>
        <w:jc w:val="left"/>
      </w:pPr>
      <w:r w:rsidRPr="00E463F5">
        <w:t>Turkey’s rapid growth and development over the past decade is one of the success stories of the global economy.  After a banking crisis in 2001, the country embarked on a concerted path of structural reform supported by strong fiscal consolidation, strengthened banking supervision, a reform of the social security system, and the shift to a flexible exchange rate regime with an independent Central Bank responsible for inflation targeting.  Per-capita income subsequently almost tripled in less than a decade, and Turkey, with a population of 75 million, is now an upper middle-income country with the world’s 18</w:t>
      </w:r>
      <w:r w:rsidRPr="00E463F5">
        <w:rPr>
          <w:vertAlign w:val="superscript"/>
        </w:rPr>
        <w:t>th</w:t>
      </w:r>
      <w:r w:rsidRPr="00E463F5">
        <w:t xml:space="preserve"> largest economy.  Social outcomes have also improved considerably as a result of economic growth and improved public service delivery, with an increased in </w:t>
      </w:r>
      <w:proofErr w:type="gramStart"/>
      <w:r w:rsidRPr="00E463F5">
        <w:t>access</w:t>
      </w:r>
      <w:proofErr w:type="gramEnd"/>
      <w:r w:rsidRPr="00E463F5">
        <w:t xml:space="preserve"> to education</w:t>
      </w:r>
      <w:r>
        <w:t xml:space="preserve"> </w:t>
      </w:r>
      <w:r w:rsidRPr="00E463F5">
        <w:t>and health services.</w:t>
      </w:r>
    </w:p>
    <w:p w:rsidR="004D4000" w:rsidRPr="00E463F5" w:rsidRDefault="00E463F5" w:rsidP="00E463F5">
      <w:pPr>
        <w:pStyle w:val="ParaNumberPinar"/>
        <w:numPr>
          <w:ilvl w:val="0"/>
          <w:numId w:val="0"/>
        </w:numPr>
        <w:ind w:left="720"/>
        <w:jc w:val="left"/>
      </w:pPr>
      <w:r w:rsidRPr="00E463F5">
        <w:t>Further enhancing the economy’s potential over the medium term and reaching high-income status will require more structural reforms, particularly at the micro level, to bolster competitiveness and boost private savings.  Turkey’s business environment remains relatively burdensome, with the country ranking 71</w:t>
      </w:r>
      <w:r w:rsidRPr="00E463F5">
        <w:rPr>
          <w:vertAlign w:val="superscript"/>
        </w:rPr>
        <w:t>st</w:t>
      </w:r>
      <w:r w:rsidRPr="00E463F5">
        <w:t xml:space="preserve"> in the 2013 Doing Business Ratings.  Improving the investment climate is critical for raising Turkey’s labor productivity growth and further boosting its export performance. Turkey also has considerable potential to attract further FDI inflows (where Turkey ranks 23</w:t>
      </w:r>
      <w:r w:rsidRPr="00E463F5">
        <w:rPr>
          <w:vertAlign w:val="superscript"/>
        </w:rPr>
        <w:t>rd</w:t>
      </w:r>
      <w:r w:rsidRPr="00E463F5">
        <w:t xml:space="preserve"> globally), bringing in associated new technologies, and providing a more stable source of external financing.  The implementation of further micro reforms to deepen the financial sector will help provide greater access to financial services for all citizens and can also </w:t>
      </w:r>
      <w:r w:rsidRPr="00E463F5">
        <w:lastRenderedPageBreak/>
        <w:t>contribute to reversing the significant decline in Turkey’s domestic saving rates that took place over the past decade.  Continuing the fight against informality will reinforce the payoff to the Government’s other reform efforts including in the area of competitiveness and domestic savings.</w:t>
      </w:r>
    </w:p>
    <w:p w:rsidR="003103C4" w:rsidRDefault="003103C4" w:rsidP="003103C4">
      <w:pPr>
        <w:numPr>
          <w:ilvl w:val="0"/>
          <w:numId w:val="24"/>
        </w:numPr>
        <w:rPr>
          <w:b/>
        </w:rPr>
      </w:pPr>
      <w:r w:rsidRPr="008D1059">
        <w:rPr>
          <w:b/>
        </w:rPr>
        <w:t>Proposed</w:t>
      </w:r>
      <w:r>
        <w:rPr>
          <w:b/>
        </w:rPr>
        <w:t xml:space="preserve"> O</w:t>
      </w:r>
      <w:r w:rsidRPr="008D1059">
        <w:rPr>
          <w:b/>
        </w:rPr>
        <w:t>bjective(s)</w:t>
      </w:r>
    </w:p>
    <w:p w:rsidR="009C74B4" w:rsidRDefault="00540AFE" w:rsidP="009C74B4">
      <w:pPr>
        <w:pStyle w:val="CM1"/>
        <w:ind w:left="720"/>
      </w:pPr>
      <w:r w:rsidRPr="00540AFE">
        <w:t>The proposed DPL would support Turkey’s growth to high income status through the implementation of reforms in two key areas: (</w:t>
      </w:r>
      <w:proofErr w:type="spellStart"/>
      <w:r w:rsidRPr="00540AFE">
        <w:t>i</w:t>
      </w:r>
      <w:proofErr w:type="spellEnd"/>
      <w:r w:rsidRPr="00540AFE">
        <w:t xml:space="preserve">) </w:t>
      </w:r>
      <w:r w:rsidRPr="00540AFE">
        <w:rPr>
          <w:color w:val="000000"/>
        </w:rPr>
        <w:t>bolstering competitiveness via an improved business environment and better governance</w:t>
      </w:r>
      <w:r w:rsidRPr="00540AFE">
        <w:t>; and (ii) boosting domestic savings and deepening the financial sector.</w:t>
      </w:r>
    </w:p>
    <w:p w:rsidR="00E463F5" w:rsidRPr="00E463F5" w:rsidRDefault="00E463F5" w:rsidP="00E463F5"/>
    <w:p w:rsidR="00E463F5" w:rsidRPr="00E463F5" w:rsidRDefault="00E463F5" w:rsidP="00E463F5">
      <w:pPr>
        <w:pStyle w:val="CM1"/>
        <w:ind w:left="720"/>
      </w:pPr>
      <w:r>
        <w:t xml:space="preserve">The DPL will </w:t>
      </w:r>
      <w:r w:rsidRPr="005E489F">
        <w:t>contribute</w:t>
      </w:r>
      <w:r>
        <w:t xml:space="preserve"> to the following expected Country Partnership Strategy outcomes under the competitiveness pillar: (</w:t>
      </w:r>
      <w:proofErr w:type="spellStart"/>
      <w:r>
        <w:t>i</w:t>
      </w:r>
      <w:proofErr w:type="spellEnd"/>
      <w:r>
        <w:t xml:space="preserve">) sustained macroeconomic and financial stability and strengthened exports, domestic savings, and external resilience; (ii) improved investment and business climate; deepened and broadened access to finance.  </w:t>
      </w:r>
    </w:p>
    <w:p w:rsidR="00540AFE" w:rsidRPr="00540AFE" w:rsidRDefault="00540AFE" w:rsidP="00540AFE"/>
    <w:p w:rsidR="00A126FA" w:rsidRDefault="00A126FA" w:rsidP="00A126FA">
      <w:pPr>
        <w:numPr>
          <w:ilvl w:val="0"/>
          <w:numId w:val="24"/>
        </w:numPr>
        <w:rPr>
          <w:b/>
        </w:rPr>
      </w:pPr>
      <w:r w:rsidRPr="005B0352">
        <w:rPr>
          <w:b/>
        </w:rPr>
        <w:t>Preliminary Description</w:t>
      </w:r>
    </w:p>
    <w:p w:rsidR="004D4000" w:rsidRDefault="004D4000" w:rsidP="004B1A96">
      <w:pPr>
        <w:ind w:left="720"/>
      </w:pPr>
      <w:r w:rsidRPr="004D4000">
        <w:t>The</w:t>
      </w:r>
      <w:r>
        <w:t xml:space="preserve"> proposed Operation is a single-tranche stand-alone Operation. </w:t>
      </w:r>
      <w:r w:rsidR="004B1A96">
        <w:t xml:space="preserve"> It supports measures under two pillars </w:t>
      </w:r>
      <w:r w:rsidRPr="00663D25">
        <w:t>as follows:</w:t>
      </w:r>
    </w:p>
    <w:p w:rsidR="004B1A96" w:rsidRPr="00663D25" w:rsidRDefault="004B1A96" w:rsidP="004B1A96">
      <w:pPr>
        <w:ind w:left="720"/>
      </w:pPr>
    </w:p>
    <w:p w:rsidR="004D4000" w:rsidRPr="00663D25" w:rsidRDefault="004D4000" w:rsidP="004D4000">
      <w:pPr>
        <w:pStyle w:val="CM1"/>
        <w:ind w:left="720"/>
      </w:pPr>
      <w:r w:rsidRPr="00663D25">
        <w:t>Pillar 1</w:t>
      </w:r>
      <w:r w:rsidR="00663D25" w:rsidRPr="00663D25">
        <w:t xml:space="preserve"> Bolstering competitiveness</w:t>
      </w:r>
      <w:r w:rsidRPr="00663D25">
        <w:t xml:space="preserve">: </w:t>
      </w:r>
      <w:r w:rsidR="00663D25" w:rsidRPr="00663D25">
        <w:t xml:space="preserve">issuance of secondary legislation to ensure implementation of the commercial code, progress in improving the investment climate, and further actions taken to reduce informality. </w:t>
      </w:r>
    </w:p>
    <w:p w:rsidR="004B1A96" w:rsidRDefault="004B1A96" w:rsidP="00671A99">
      <w:pPr>
        <w:ind w:left="720"/>
      </w:pPr>
    </w:p>
    <w:p w:rsidR="00F41703" w:rsidRPr="00663D25" w:rsidRDefault="004D4000" w:rsidP="00671A99">
      <w:pPr>
        <w:ind w:left="720"/>
      </w:pPr>
      <w:r w:rsidRPr="00663D25">
        <w:t>Pillar 2</w:t>
      </w:r>
      <w:r w:rsidR="00663D25" w:rsidRPr="00663D25">
        <w:t xml:space="preserve"> Boosting domestic savings and deepening the financial sector: enactment of new legislation restructuring the private pension scheme, enactment of a new Capital Markets Law, and enactment of a Leasing, Factoring and Companies Law. </w:t>
      </w:r>
    </w:p>
    <w:p w:rsidR="00276562" w:rsidRPr="00663D25" w:rsidRDefault="00276562" w:rsidP="00E463F5">
      <w:pPr>
        <w:rPr>
          <w:b/>
        </w:rPr>
      </w:pPr>
    </w:p>
    <w:p w:rsidR="00AA5A30" w:rsidRDefault="00AA5A30" w:rsidP="00AA5A30">
      <w:pPr>
        <w:numPr>
          <w:ilvl w:val="0"/>
          <w:numId w:val="24"/>
        </w:numPr>
        <w:rPr>
          <w:b/>
        </w:rPr>
      </w:pPr>
      <w:r>
        <w:rPr>
          <w:b/>
        </w:rPr>
        <w:t>Poverty and Social Impacts and Environment Aspects</w:t>
      </w:r>
    </w:p>
    <w:p w:rsidR="00E463F5" w:rsidRDefault="00E463F5" w:rsidP="00AA5A30">
      <w:pPr>
        <w:pStyle w:val="CM4"/>
        <w:spacing w:after="252" w:line="253" w:lineRule="atLeast"/>
        <w:rPr>
          <w:iCs/>
          <w:color w:val="00007F"/>
        </w:rPr>
      </w:pPr>
    </w:p>
    <w:p w:rsidR="00AA5A30" w:rsidRPr="00540AFE" w:rsidRDefault="00AA5A30" w:rsidP="00AA5A30">
      <w:pPr>
        <w:pStyle w:val="CM4"/>
        <w:spacing w:after="252" w:line="253" w:lineRule="atLeast"/>
        <w:rPr>
          <w:iCs/>
          <w:color w:val="00007F"/>
        </w:rPr>
      </w:pPr>
      <w:r w:rsidRPr="00540AFE">
        <w:rPr>
          <w:iCs/>
          <w:color w:val="00007F"/>
        </w:rPr>
        <w:t xml:space="preserve">Poverty and Social Impacts </w:t>
      </w:r>
    </w:p>
    <w:p w:rsidR="00540AFE" w:rsidRDefault="00540AFE" w:rsidP="00540AFE">
      <w:pPr>
        <w:pStyle w:val="ParaNumberPinar"/>
        <w:numPr>
          <w:ilvl w:val="0"/>
          <w:numId w:val="0"/>
        </w:numPr>
        <w:ind w:left="720"/>
        <w:jc w:val="left"/>
        <w:rPr>
          <w:b/>
        </w:rPr>
      </w:pPr>
      <w:r w:rsidRPr="00540AFE">
        <w:t xml:space="preserve">The policies and reforms supported by the CSDPL (CSDPL) program are expected to have positive distributional impacts in Turkey. All policy actions supported by the </w:t>
      </w:r>
      <w:r>
        <w:t>operation are expected to contribute to higher and sustainable growth, a stronger fiscal position and ultimately higher living standards over the long term, while specific measures under both pillars are also likely to have direct and positive distributional impacts over the short-term.</w:t>
      </w:r>
    </w:p>
    <w:p w:rsidR="00AA5A30" w:rsidRPr="00540AFE" w:rsidRDefault="00AA5A30" w:rsidP="00AA5A30">
      <w:pPr>
        <w:pStyle w:val="CM4"/>
        <w:spacing w:after="252" w:line="253" w:lineRule="atLeast"/>
        <w:rPr>
          <w:iCs/>
          <w:color w:val="00007F"/>
        </w:rPr>
      </w:pPr>
      <w:r w:rsidRPr="00540AFE">
        <w:rPr>
          <w:iCs/>
          <w:color w:val="00007F"/>
        </w:rPr>
        <w:t xml:space="preserve">Environment Aspects </w:t>
      </w:r>
    </w:p>
    <w:p w:rsidR="004825FA" w:rsidRPr="00540AFE" w:rsidRDefault="004825FA" w:rsidP="004825FA">
      <w:pPr>
        <w:ind w:left="720"/>
      </w:pPr>
      <w:r w:rsidRPr="00540AFE">
        <w:t xml:space="preserve">The specific policies supported by the DPL series are not likely to have significant effects on Turkey’s environment, forests, water resources, habitats or other natural resources. </w:t>
      </w:r>
    </w:p>
    <w:p w:rsidR="003723D9" w:rsidRDefault="003723D9"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lastRenderedPageBreak/>
              <w:t>Source:</w:t>
            </w:r>
            <w:bookmarkStart w:id="13" w:name="FINANCINGTAB_PID"/>
            <w:bookmarkEnd w:id="13"/>
          </w:p>
        </w:tc>
        <w:tc>
          <w:tcPr>
            <w:tcW w:w="1980" w:type="dxa"/>
          </w:tcPr>
          <w:p w:rsidR="00A126FA" w:rsidRDefault="00A126FA" w:rsidP="00A126FA">
            <w:pPr>
              <w:tabs>
                <w:tab w:val="decimal" w:pos="252"/>
              </w:tabs>
              <w:jc w:val="center"/>
            </w:pPr>
            <w:r>
              <w:t>($m.)</w:t>
            </w:r>
          </w:p>
        </w:tc>
      </w:tr>
      <w:tr w:rsidR="00EE1671" w:rsidTr="00F34B6F">
        <w:tc>
          <w:tcPr>
            <w:tcW w:w="7488" w:type="dxa"/>
          </w:tcPr>
          <w:p w:rsidR="00EE1671" w:rsidRDefault="00EE1671" w:rsidP="00A126FA">
            <w:pPr>
              <w:tabs>
                <w:tab w:val="right" w:pos="7200"/>
              </w:tabs>
            </w:pPr>
            <w:r>
              <w:t>Borrower</w:t>
            </w:r>
          </w:p>
        </w:tc>
        <w:tc>
          <w:tcPr>
            <w:tcW w:w="1980" w:type="dxa"/>
          </w:tcPr>
          <w:p w:rsidR="00EE1671" w:rsidRDefault="00EE1671" w:rsidP="00A126FA">
            <w:pPr>
              <w:tabs>
                <w:tab w:val="decimal" w:pos="252"/>
              </w:tabs>
              <w:jc w:val="center"/>
            </w:pPr>
            <w:r>
              <w:t>0</w:t>
            </w:r>
          </w:p>
        </w:tc>
      </w:tr>
      <w:tr w:rsidR="00EE1671" w:rsidTr="00F34B6F">
        <w:tc>
          <w:tcPr>
            <w:tcW w:w="7488" w:type="dxa"/>
          </w:tcPr>
          <w:p w:rsidR="00EE1671" w:rsidRDefault="00EE1671" w:rsidP="00A126FA">
            <w:pPr>
              <w:tabs>
                <w:tab w:val="right" w:pos="7200"/>
              </w:tabs>
            </w:pPr>
            <w:r>
              <w:t>International Bank for Reconstruction and Development</w:t>
            </w:r>
          </w:p>
        </w:tc>
        <w:tc>
          <w:tcPr>
            <w:tcW w:w="1980" w:type="dxa"/>
          </w:tcPr>
          <w:p w:rsidR="00EE1671" w:rsidRDefault="00EE1671" w:rsidP="00A126FA">
            <w:pPr>
              <w:tabs>
                <w:tab w:val="decimal" w:pos="252"/>
              </w:tabs>
              <w:jc w:val="center"/>
            </w:pPr>
            <w:r>
              <w:t>600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proofErr w:type="spellStart"/>
            <w:r>
              <w:t>specifiy</w:t>
            </w:r>
            <w:proofErr w:type="spellEnd"/>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4825FA" w:rsidP="00A126FA">
            <w:pPr>
              <w:tabs>
                <w:tab w:val="decimal" w:pos="252"/>
              </w:tabs>
              <w:jc w:val="center"/>
            </w:pPr>
            <w:r>
              <w:t>600</w:t>
            </w: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EE1671" w:rsidRDefault="00EE1671" w:rsidP="008F0B46">
      <w:bookmarkStart w:id="14" w:name="ContactInfo"/>
      <w:r>
        <w:t>Contact: Marina Wes</w:t>
      </w:r>
    </w:p>
    <w:p w:rsidR="00EE1671" w:rsidRDefault="00EE1671" w:rsidP="008F0B46">
      <w:r>
        <w:t>Title: Lead Economist</w:t>
      </w:r>
    </w:p>
    <w:p w:rsidR="00EE1671" w:rsidRDefault="00EE1671" w:rsidP="008F0B46">
      <w:r>
        <w:t>Tel: 5242+8359 / 90-312-459-8359</w:t>
      </w:r>
    </w:p>
    <w:p w:rsidR="00EE1671" w:rsidRDefault="00EE1671" w:rsidP="008F0B46">
      <w:r>
        <w:t xml:space="preserve">Fax: </w:t>
      </w:r>
    </w:p>
    <w:p w:rsidR="00EE1671" w:rsidRDefault="00EE1671" w:rsidP="008F0B46">
      <w:r>
        <w:t>Email: mwes@worldbank.org</w:t>
      </w:r>
    </w:p>
    <w:p w:rsidR="008F0B46" w:rsidRDefault="00EE1671" w:rsidP="008F0B46">
      <w:r>
        <w:t>Location: Ankara, Turkey (IBRD)</w:t>
      </w:r>
      <w:bookmarkEnd w:id="14"/>
    </w:p>
    <w:p w:rsidR="008F0B46" w:rsidRPr="00225112" w:rsidRDefault="008F0B46" w:rsidP="008F0B46">
      <w:pPr>
        <w:rPr>
          <w:b/>
        </w:rPr>
      </w:pPr>
      <w:r w:rsidRPr="00225112">
        <w:rPr>
          <w:b/>
        </w:rPr>
        <w:t>Borrower</w:t>
      </w:r>
    </w:p>
    <w:p w:rsidR="008F0B46" w:rsidRDefault="008F0B46" w:rsidP="008F0B46">
      <w:r w:rsidRPr="00A30F2B">
        <w:t>Contact</w:t>
      </w:r>
      <w:r>
        <w:t>:</w:t>
      </w:r>
      <w:r w:rsidR="00B611B1">
        <w:t xml:space="preserve"> Elvan </w:t>
      </w:r>
      <w:proofErr w:type="spellStart"/>
      <w:r w:rsidR="00B611B1">
        <w:t>Ongun</w:t>
      </w:r>
      <w:proofErr w:type="spellEnd"/>
    </w:p>
    <w:p w:rsidR="008F0B46" w:rsidRDefault="00B611B1" w:rsidP="008F0B46">
      <w:r>
        <w:t xml:space="preserve">Title: </w:t>
      </w:r>
      <w:r w:rsidR="00FF167B">
        <w:t xml:space="preserve">Acting </w:t>
      </w:r>
      <w:r>
        <w:t>Deputy Director General</w:t>
      </w:r>
    </w:p>
    <w:p w:rsidR="008F0B46" w:rsidRDefault="00B611B1" w:rsidP="008F0B46">
      <w:r>
        <w:t>Tel: (90-312) 204-6000</w:t>
      </w:r>
    </w:p>
    <w:p w:rsidR="008F0B46" w:rsidRDefault="008F0B46" w:rsidP="008F0B46">
      <w:r>
        <w:t>Email:</w:t>
      </w:r>
      <w:r w:rsidR="00B611B1">
        <w:t xml:space="preserve"> hazine@hazine.gov.tr</w:t>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FB" w:rsidRDefault="005C19FB">
      <w:r>
        <w:separator/>
      </w:r>
    </w:p>
  </w:endnote>
  <w:endnote w:type="continuationSeparator" w:id="0">
    <w:p w:rsidR="005C19FB" w:rsidRDefault="005C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FB" w:rsidRDefault="005C19FB">
      <w:r>
        <w:separator/>
      </w:r>
    </w:p>
  </w:footnote>
  <w:footnote w:type="continuationSeparator" w:id="0">
    <w:p w:rsidR="005C19FB" w:rsidRDefault="005C1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82AC9"/>
    <w:multiLevelType w:val="hybridMultilevel"/>
    <w:tmpl w:val="D87C8F56"/>
    <w:lvl w:ilvl="0" w:tplc="CDA27882">
      <w:start w:val="1"/>
      <w:numFmt w:val="decimal"/>
      <w:pStyle w:val="ParaNumberPinar"/>
      <w:lvlText w:val="%1."/>
      <w:lvlJc w:val="left"/>
      <w:pPr>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2ED8A">
      <w:start w:val="1"/>
      <w:numFmt w:val="lowerLetter"/>
      <w:lvlText w:val="%2."/>
      <w:lvlJc w:val="left"/>
      <w:pPr>
        <w:ind w:left="1440" w:hanging="360"/>
      </w:pPr>
      <w:rPr>
        <w:rFonts w:ascii="Times New Roman Bold" w:hAnsi="Times New Roman Bold" w:hint="default"/>
        <w:b/>
        <w:i w:val="0"/>
        <w:caps w:val="0"/>
        <w:strike w:val="0"/>
        <w:dstrike w:val="0"/>
        <w:vanish w:val="0"/>
        <w:color w:val="000000"/>
        <w:sz w:val="24"/>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20"/>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6"/>
  </w:num>
  <w:num w:numId="20">
    <w:abstractNumId w:val="3"/>
  </w:num>
  <w:num w:numId="21">
    <w:abstractNumId w:val="21"/>
  </w:num>
  <w:num w:numId="22">
    <w:abstractNumId w:val="18"/>
  </w:num>
  <w:num w:numId="23">
    <w:abstractNumId w:val="5"/>
  </w:num>
  <w:num w:numId="24">
    <w:abstractNumId w:val="23"/>
  </w:num>
  <w:num w:numId="25">
    <w:abstractNumId w:val="19"/>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22513"/>
    <w:rsid w:val="00030402"/>
    <w:rsid w:val="00071B65"/>
    <w:rsid w:val="000736A2"/>
    <w:rsid w:val="00086692"/>
    <w:rsid w:val="00086EAA"/>
    <w:rsid w:val="000C6993"/>
    <w:rsid w:val="000D2D1B"/>
    <w:rsid w:val="00101C42"/>
    <w:rsid w:val="001527BE"/>
    <w:rsid w:val="00171E5D"/>
    <w:rsid w:val="00182A0D"/>
    <w:rsid w:val="001936A8"/>
    <w:rsid w:val="001A4469"/>
    <w:rsid w:val="001D607D"/>
    <w:rsid w:val="001E638A"/>
    <w:rsid w:val="002123A5"/>
    <w:rsid w:val="002428DC"/>
    <w:rsid w:val="00256E92"/>
    <w:rsid w:val="00276562"/>
    <w:rsid w:val="00283684"/>
    <w:rsid w:val="003103C4"/>
    <w:rsid w:val="00335C23"/>
    <w:rsid w:val="00337CE7"/>
    <w:rsid w:val="003723D9"/>
    <w:rsid w:val="00383CBB"/>
    <w:rsid w:val="00397DF9"/>
    <w:rsid w:val="003E3E86"/>
    <w:rsid w:val="003F02CA"/>
    <w:rsid w:val="004557BC"/>
    <w:rsid w:val="004825FA"/>
    <w:rsid w:val="004B1A96"/>
    <w:rsid w:val="004C6525"/>
    <w:rsid w:val="004D4000"/>
    <w:rsid w:val="004D6196"/>
    <w:rsid w:val="004F0F64"/>
    <w:rsid w:val="005314AC"/>
    <w:rsid w:val="00540AFE"/>
    <w:rsid w:val="00577870"/>
    <w:rsid w:val="00586A53"/>
    <w:rsid w:val="0059349F"/>
    <w:rsid w:val="005C19FB"/>
    <w:rsid w:val="00663D25"/>
    <w:rsid w:val="00671A99"/>
    <w:rsid w:val="00674243"/>
    <w:rsid w:val="0067697E"/>
    <w:rsid w:val="00690F9A"/>
    <w:rsid w:val="006C5D18"/>
    <w:rsid w:val="006F3FC6"/>
    <w:rsid w:val="00701460"/>
    <w:rsid w:val="007150F6"/>
    <w:rsid w:val="00731BC4"/>
    <w:rsid w:val="007863D3"/>
    <w:rsid w:val="00787B7C"/>
    <w:rsid w:val="00793D7D"/>
    <w:rsid w:val="007B7DB3"/>
    <w:rsid w:val="008451FE"/>
    <w:rsid w:val="008A6CEA"/>
    <w:rsid w:val="008B293E"/>
    <w:rsid w:val="008E4856"/>
    <w:rsid w:val="008F0B46"/>
    <w:rsid w:val="008F7DA9"/>
    <w:rsid w:val="00914E33"/>
    <w:rsid w:val="00915DAE"/>
    <w:rsid w:val="00921E31"/>
    <w:rsid w:val="00923AC9"/>
    <w:rsid w:val="00963593"/>
    <w:rsid w:val="00996EEB"/>
    <w:rsid w:val="009B1BF2"/>
    <w:rsid w:val="009B6060"/>
    <w:rsid w:val="009C74B4"/>
    <w:rsid w:val="009F5E4D"/>
    <w:rsid w:val="00A05BC0"/>
    <w:rsid w:val="00A126FA"/>
    <w:rsid w:val="00A25C56"/>
    <w:rsid w:val="00A26E7E"/>
    <w:rsid w:val="00AA5A30"/>
    <w:rsid w:val="00AB0F65"/>
    <w:rsid w:val="00AC78BB"/>
    <w:rsid w:val="00B17C5F"/>
    <w:rsid w:val="00B611B1"/>
    <w:rsid w:val="00B64BFB"/>
    <w:rsid w:val="00B677C4"/>
    <w:rsid w:val="00C070C8"/>
    <w:rsid w:val="00C63E52"/>
    <w:rsid w:val="00C67E15"/>
    <w:rsid w:val="00C82B3B"/>
    <w:rsid w:val="00C96CBF"/>
    <w:rsid w:val="00D2365D"/>
    <w:rsid w:val="00D545E4"/>
    <w:rsid w:val="00DE739D"/>
    <w:rsid w:val="00E463F5"/>
    <w:rsid w:val="00E528E0"/>
    <w:rsid w:val="00EC042A"/>
    <w:rsid w:val="00EE1671"/>
    <w:rsid w:val="00F0622C"/>
    <w:rsid w:val="00F229E6"/>
    <w:rsid w:val="00F34A55"/>
    <w:rsid w:val="00F34B6F"/>
    <w:rsid w:val="00F41703"/>
    <w:rsid w:val="00F7168A"/>
    <w:rsid w:val="00FF167B"/>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ParaNumberPinar">
    <w:name w:val="Para. Number Pinar"/>
    <w:basedOn w:val="Normal"/>
    <w:link w:val="ParaNumberPinarChar"/>
    <w:uiPriority w:val="99"/>
    <w:qFormat/>
    <w:rsid w:val="00540AFE"/>
    <w:pPr>
      <w:numPr>
        <w:numId w:val="27"/>
      </w:numPr>
      <w:spacing w:after="240"/>
      <w:jc w:val="both"/>
      <w:outlineLvl w:val="1"/>
    </w:pPr>
  </w:style>
  <w:style w:type="character" w:customStyle="1" w:styleId="ParaNumberPinarChar">
    <w:name w:val="Para. Number Pinar Char"/>
    <w:link w:val="ParaNumberPinar"/>
    <w:uiPriority w:val="99"/>
    <w:locked/>
    <w:rsid w:val="00540AFE"/>
    <w:rPr>
      <w:sz w:val="24"/>
      <w:szCs w:val="24"/>
    </w:rPr>
  </w:style>
  <w:style w:type="paragraph" w:styleId="CommentSubject">
    <w:name w:val="annotation subject"/>
    <w:basedOn w:val="CommentText"/>
    <w:next w:val="CommentText"/>
    <w:link w:val="CommentSubjectChar"/>
    <w:rsid w:val="008A6CEA"/>
    <w:rPr>
      <w:b/>
      <w:bCs/>
    </w:rPr>
  </w:style>
  <w:style w:type="character" w:customStyle="1" w:styleId="CommentTextChar">
    <w:name w:val="Comment Text Char"/>
    <w:basedOn w:val="DefaultParagraphFont"/>
    <w:link w:val="CommentText"/>
    <w:semiHidden/>
    <w:rsid w:val="008A6CEA"/>
  </w:style>
  <w:style w:type="character" w:customStyle="1" w:styleId="CommentSubjectChar">
    <w:name w:val="Comment Subject Char"/>
    <w:basedOn w:val="CommentTextChar"/>
    <w:link w:val="CommentSubject"/>
    <w:rsid w:val="008A6C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ParaNumberPinar">
    <w:name w:val="Para. Number Pinar"/>
    <w:basedOn w:val="Normal"/>
    <w:link w:val="ParaNumberPinarChar"/>
    <w:uiPriority w:val="99"/>
    <w:qFormat/>
    <w:rsid w:val="00540AFE"/>
    <w:pPr>
      <w:numPr>
        <w:numId w:val="27"/>
      </w:numPr>
      <w:spacing w:after="240"/>
      <w:jc w:val="both"/>
      <w:outlineLvl w:val="1"/>
    </w:pPr>
  </w:style>
  <w:style w:type="character" w:customStyle="1" w:styleId="ParaNumberPinarChar">
    <w:name w:val="Para. Number Pinar Char"/>
    <w:link w:val="ParaNumberPinar"/>
    <w:uiPriority w:val="99"/>
    <w:locked/>
    <w:rsid w:val="00540AFE"/>
    <w:rPr>
      <w:sz w:val="24"/>
      <w:szCs w:val="24"/>
    </w:rPr>
  </w:style>
  <w:style w:type="paragraph" w:styleId="CommentSubject">
    <w:name w:val="annotation subject"/>
    <w:basedOn w:val="CommentText"/>
    <w:next w:val="CommentText"/>
    <w:link w:val="CommentSubjectChar"/>
    <w:rsid w:val="008A6CEA"/>
    <w:rPr>
      <w:b/>
      <w:bCs/>
    </w:rPr>
  </w:style>
  <w:style w:type="character" w:customStyle="1" w:styleId="CommentTextChar">
    <w:name w:val="Comment Text Char"/>
    <w:basedOn w:val="DefaultParagraphFont"/>
    <w:link w:val="CommentText"/>
    <w:semiHidden/>
    <w:rsid w:val="008A6CEA"/>
  </w:style>
  <w:style w:type="character" w:customStyle="1" w:styleId="CommentSubjectChar">
    <w:name w:val="Comment Subject Char"/>
    <w:basedOn w:val="CommentTextChar"/>
    <w:link w:val="CommentSubject"/>
    <w:rsid w:val="008A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1181-C14B-462D-8EBD-84594C57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5321</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Marina Wes</cp:lastModifiedBy>
  <cp:revision>2</cp:revision>
  <cp:lastPrinted>2013-02-27T06:53:00Z</cp:lastPrinted>
  <dcterms:created xsi:type="dcterms:W3CDTF">2013-03-19T12:46:00Z</dcterms:created>
  <dcterms:modified xsi:type="dcterms:W3CDTF">2013-03-19T12:46:00Z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AB7219</vt:lpwstr>
  </property>
  <property fmtid="{D5CDD505-2E9C-101B-9397-08002B2CF9AE}" pid="3" name="TEAMLEADER">
    <vt:lpwstr>Ms Marina Wes</vt:lpwstr>
  </property>
</Properties>
</file>