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05" w:rsidRDefault="00D43B05">
      <w:pPr>
        <w:pStyle w:val="Heading2"/>
      </w:pPr>
    </w:p>
    <w:p w:rsidR="00DD3322" w:rsidRPr="00DD3322" w:rsidRDefault="00DD3322" w:rsidP="00DD3322"/>
    <w:p w:rsidR="00DD3322" w:rsidRPr="00D005EA" w:rsidRDefault="00D005EA" w:rsidP="00D005EA">
      <w:pPr>
        <w:jc w:val="right"/>
        <w:rPr>
          <w:b/>
          <w:sz w:val="22"/>
          <w:szCs w:val="22"/>
        </w:rPr>
      </w:pPr>
      <w:r w:rsidRPr="00D005EA">
        <w:rPr>
          <w:b/>
          <w:sz w:val="22"/>
          <w:szCs w:val="22"/>
        </w:rPr>
        <w:t>CONFORMED COPY</w:t>
      </w:r>
    </w:p>
    <w:p w:rsidR="00312FF3" w:rsidRPr="00312FF3" w:rsidRDefault="00312FF3" w:rsidP="00DD3322">
      <w:pPr>
        <w:pBdr>
          <w:top w:val="double" w:sz="18" w:space="1" w:color="auto"/>
        </w:pBdr>
      </w:pPr>
    </w:p>
    <w:p w:rsidR="00F7234C" w:rsidRDefault="00F7234C" w:rsidP="006440D6">
      <w:pPr>
        <w:suppressAutoHyphens/>
        <w:jc w:val="right"/>
        <w:rPr>
          <w:b/>
        </w:rPr>
      </w:pPr>
      <w:r>
        <w:rPr>
          <w:b/>
        </w:rPr>
        <w:t xml:space="preserve">CREDIT NUMBER </w:t>
      </w:r>
      <w:r w:rsidR="0018598D">
        <w:rPr>
          <w:b/>
        </w:rPr>
        <w:t>3767</w:t>
      </w:r>
      <w:r>
        <w:rPr>
          <w:b/>
        </w:rPr>
        <w:t xml:space="preserve">-VN </w:t>
      </w:r>
    </w:p>
    <w:p w:rsidR="00D43B05" w:rsidRDefault="006440D6" w:rsidP="006440D6">
      <w:pPr>
        <w:suppressAutoHyphens/>
        <w:jc w:val="right"/>
        <w:rPr>
          <w:b/>
        </w:rPr>
      </w:pPr>
      <w:r>
        <w:rPr>
          <w:b/>
        </w:rPr>
        <w:t xml:space="preserve">CREDIT NUMBER </w:t>
      </w:r>
      <w:r w:rsidR="00540886">
        <w:rPr>
          <w:b/>
        </w:rPr>
        <w:t>4863</w:t>
      </w:r>
      <w:r>
        <w:rPr>
          <w:b/>
        </w:rPr>
        <w:t>-VN</w:t>
      </w:r>
    </w:p>
    <w:p w:rsidR="00D43B05" w:rsidRDefault="00D43B05">
      <w:pPr>
        <w:suppressAutoHyphens/>
        <w:rPr>
          <w:b/>
        </w:rPr>
      </w:pPr>
    </w:p>
    <w:p w:rsidR="00D43B05" w:rsidRDefault="00D43B05">
      <w:pPr>
        <w:suppressAutoHyphens/>
        <w:rPr>
          <w:b/>
        </w:rPr>
      </w:pPr>
    </w:p>
    <w:p w:rsidR="00D43B05" w:rsidRDefault="00D43B05">
      <w:pPr>
        <w:suppressAutoHyphens/>
        <w:rPr>
          <w:b/>
        </w:rPr>
      </w:pPr>
    </w:p>
    <w:p w:rsidR="00D43B05" w:rsidRDefault="00D43B05">
      <w:pPr>
        <w:suppressAutoHyphens/>
        <w:rPr>
          <w:b/>
        </w:rPr>
      </w:pPr>
    </w:p>
    <w:p w:rsidR="00D43B05" w:rsidRDefault="00D43B05">
      <w:pPr>
        <w:suppressAutoHyphens/>
        <w:rPr>
          <w:b/>
        </w:rPr>
      </w:pPr>
    </w:p>
    <w:p w:rsidR="00D43B05" w:rsidRDefault="00D43B05">
      <w:pPr>
        <w:suppressAutoHyphens/>
        <w:rPr>
          <w:b/>
        </w:rPr>
      </w:pPr>
    </w:p>
    <w:p w:rsidR="00DD3322" w:rsidRDefault="00DD3322">
      <w:pPr>
        <w:suppressAutoHyphens/>
        <w:rPr>
          <w:b/>
        </w:rPr>
      </w:pPr>
    </w:p>
    <w:p w:rsidR="00D43B05" w:rsidRPr="000A622B" w:rsidRDefault="009E1B93">
      <w:pPr>
        <w:suppressAutoHyphens/>
        <w:jc w:val="center"/>
        <w:rPr>
          <w:b/>
          <w:sz w:val="56"/>
          <w:szCs w:val="56"/>
        </w:rPr>
      </w:pPr>
      <w:r w:rsidRPr="000A622B">
        <w:rPr>
          <w:b/>
          <w:sz w:val="56"/>
          <w:szCs w:val="56"/>
        </w:rPr>
        <w:t>Financing Agreement</w:t>
      </w:r>
    </w:p>
    <w:p w:rsidR="00D43B05" w:rsidRDefault="00D43B05">
      <w:pPr>
        <w:suppressAutoHyphens/>
        <w:jc w:val="center"/>
        <w:rPr>
          <w:b/>
        </w:rPr>
      </w:pPr>
    </w:p>
    <w:p w:rsidR="00D43B05" w:rsidRDefault="00D43B05">
      <w:pPr>
        <w:suppressAutoHyphens/>
        <w:jc w:val="center"/>
        <w:rPr>
          <w:b/>
        </w:rPr>
      </w:pPr>
    </w:p>
    <w:p w:rsidR="006440D6" w:rsidRDefault="00D43B05">
      <w:pPr>
        <w:suppressAutoHyphens/>
        <w:jc w:val="center"/>
        <w:rPr>
          <w:b/>
          <w:sz w:val="22"/>
        </w:rPr>
      </w:pPr>
      <w:r>
        <w:rPr>
          <w:b/>
          <w:sz w:val="22"/>
        </w:rPr>
        <w:t>(</w:t>
      </w:r>
      <w:r w:rsidR="006440D6">
        <w:rPr>
          <w:b/>
          <w:sz w:val="22"/>
        </w:rPr>
        <w:t>AMENDED AND RESTATED DEVELOPMENT CREDIT AGREEMENT)</w:t>
      </w:r>
    </w:p>
    <w:p w:rsidR="006440D6" w:rsidRDefault="006440D6">
      <w:pPr>
        <w:suppressAutoHyphens/>
        <w:jc w:val="center"/>
        <w:rPr>
          <w:b/>
          <w:sz w:val="22"/>
        </w:rPr>
      </w:pPr>
    </w:p>
    <w:p w:rsidR="00D43B05" w:rsidRDefault="006440D6">
      <w:pPr>
        <w:suppressAutoHyphens/>
        <w:jc w:val="center"/>
        <w:rPr>
          <w:b/>
          <w:sz w:val="22"/>
        </w:rPr>
      </w:pPr>
      <w:r>
        <w:rPr>
          <w:b/>
          <w:sz w:val="22"/>
        </w:rPr>
        <w:t>(</w:t>
      </w:r>
      <w:r w:rsidR="00D43B05">
        <w:rPr>
          <w:b/>
          <w:sz w:val="22"/>
        </w:rPr>
        <w:t>Public Financial Management Reform Project)</w:t>
      </w:r>
    </w:p>
    <w:p w:rsidR="00D43B05" w:rsidRDefault="00D43B05">
      <w:pPr>
        <w:suppressAutoHyphens/>
        <w:jc w:val="center"/>
        <w:rPr>
          <w:b/>
          <w:sz w:val="22"/>
        </w:rPr>
      </w:pPr>
    </w:p>
    <w:p w:rsidR="00D43B05" w:rsidRDefault="00D43B05">
      <w:pPr>
        <w:suppressAutoHyphens/>
        <w:jc w:val="center"/>
        <w:rPr>
          <w:b/>
          <w:sz w:val="22"/>
        </w:rPr>
      </w:pPr>
    </w:p>
    <w:p w:rsidR="00D43B05" w:rsidRDefault="00D43B05">
      <w:pPr>
        <w:suppressAutoHyphens/>
        <w:jc w:val="center"/>
        <w:rPr>
          <w:b/>
          <w:sz w:val="22"/>
        </w:rPr>
      </w:pPr>
      <w:proofErr w:type="gramStart"/>
      <w:r>
        <w:rPr>
          <w:b/>
          <w:sz w:val="22"/>
        </w:rPr>
        <w:t>between</w:t>
      </w:r>
      <w:proofErr w:type="gramEnd"/>
    </w:p>
    <w:p w:rsidR="00D43B05" w:rsidRDefault="00D43B05">
      <w:pPr>
        <w:pStyle w:val="ModelHead2"/>
        <w:suppressAutoHyphens/>
        <w:spacing w:after="0" w:line="240" w:lineRule="auto"/>
        <w:rPr>
          <w:szCs w:val="24"/>
        </w:rPr>
      </w:pPr>
    </w:p>
    <w:p w:rsidR="00D43B05" w:rsidRDefault="00D43B05">
      <w:pPr>
        <w:suppressAutoHyphens/>
        <w:jc w:val="center"/>
        <w:rPr>
          <w:b/>
          <w:sz w:val="22"/>
        </w:rPr>
      </w:pPr>
    </w:p>
    <w:p w:rsidR="00D43B05" w:rsidRDefault="00D43B05">
      <w:pPr>
        <w:suppressAutoHyphens/>
        <w:jc w:val="center"/>
        <w:rPr>
          <w:b/>
          <w:sz w:val="22"/>
        </w:rPr>
      </w:pPr>
      <w:r>
        <w:rPr>
          <w:b/>
          <w:sz w:val="22"/>
        </w:rPr>
        <w:t>SOCIALIST REPUBLIC OF VIETNAM</w:t>
      </w:r>
    </w:p>
    <w:p w:rsidR="00D43B05" w:rsidRDefault="00D43B05">
      <w:pPr>
        <w:suppressAutoHyphens/>
        <w:jc w:val="center"/>
        <w:rPr>
          <w:b/>
          <w:sz w:val="22"/>
        </w:rPr>
      </w:pPr>
    </w:p>
    <w:p w:rsidR="00D43B05" w:rsidRDefault="00D43B05">
      <w:pPr>
        <w:suppressAutoHyphens/>
        <w:jc w:val="center"/>
        <w:rPr>
          <w:b/>
          <w:sz w:val="22"/>
        </w:rPr>
      </w:pPr>
    </w:p>
    <w:p w:rsidR="00D43B05" w:rsidRDefault="00D43B05">
      <w:pPr>
        <w:suppressAutoHyphens/>
        <w:jc w:val="center"/>
        <w:rPr>
          <w:b/>
          <w:sz w:val="22"/>
        </w:rPr>
      </w:pPr>
      <w:proofErr w:type="gramStart"/>
      <w:r>
        <w:rPr>
          <w:b/>
          <w:sz w:val="22"/>
        </w:rPr>
        <w:t>and</w:t>
      </w:r>
      <w:proofErr w:type="gramEnd"/>
    </w:p>
    <w:p w:rsidR="00D43B05" w:rsidRDefault="00D43B05">
      <w:pPr>
        <w:suppressAutoHyphens/>
        <w:jc w:val="center"/>
        <w:rPr>
          <w:b/>
          <w:sz w:val="22"/>
        </w:rPr>
      </w:pPr>
    </w:p>
    <w:p w:rsidR="00D43B05" w:rsidRDefault="00D43B05">
      <w:pPr>
        <w:suppressAutoHyphens/>
        <w:jc w:val="center"/>
        <w:rPr>
          <w:b/>
          <w:sz w:val="22"/>
        </w:rPr>
      </w:pPr>
    </w:p>
    <w:p w:rsidR="00D43B05" w:rsidRDefault="00D43B05">
      <w:pPr>
        <w:suppressAutoHyphens/>
        <w:jc w:val="center"/>
        <w:rPr>
          <w:b/>
          <w:sz w:val="22"/>
        </w:rPr>
      </w:pPr>
      <w:r>
        <w:rPr>
          <w:b/>
          <w:sz w:val="22"/>
        </w:rPr>
        <w:t>INTERNATIONAL DEVELOPMENT ASSOCIATION</w:t>
      </w:r>
    </w:p>
    <w:p w:rsidR="00D43B05" w:rsidRDefault="00D43B05">
      <w:pPr>
        <w:suppressAutoHyphens/>
        <w:rPr>
          <w:b/>
          <w:sz w:val="22"/>
        </w:rPr>
      </w:pPr>
    </w:p>
    <w:p w:rsidR="00D43B05" w:rsidRDefault="00D43B05">
      <w:pPr>
        <w:suppressAutoHyphens/>
        <w:rPr>
          <w:b/>
        </w:rPr>
      </w:pPr>
    </w:p>
    <w:p w:rsidR="00D43B05" w:rsidRDefault="00D43B05">
      <w:pPr>
        <w:suppressAutoHyphens/>
        <w:rPr>
          <w:b/>
        </w:rPr>
      </w:pPr>
    </w:p>
    <w:p w:rsidR="00D43B05" w:rsidRDefault="00D43B05">
      <w:pPr>
        <w:suppressAutoHyphens/>
        <w:rPr>
          <w:b/>
        </w:rPr>
      </w:pPr>
    </w:p>
    <w:p w:rsidR="00D43B05" w:rsidRDefault="00D43B05">
      <w:pPr>
        <w:suppressAutoHyphens/>
        <w:rPr>
          <w:b/>
        </w:rPr>
      </w:pPr>
    </w:p>
    <w:p w:rsidR="000A622B" w:rsidRDefault="000A622B">
      <w:pPr>
        <w:suppressAutoHyphens/>
        <w:rPr>
          <w:b/>
        </w:rPr>
      </w:pPr>
    </w:p>
    <w:p w:rsidR="000A622B" w:rsidRDefault="000A622B">
      <w:pPr>
        <w:suppressAutoHyphens/>
        <w:rPr>
          <w:b/>
        </w:rPr>
      </w:pPr>
    </w:p>
    <w:p w:rsidR="000A622B" w:rsidRDefault="000A622B">
      <w:pPr>
        <w:suppressAutoHyphens/>
        <w:rPr>
          <w:b/>
        </w:rPr>
      </w:pPr>
    </w:p>
    <w:p w:rsidR="00DD3322" w:rsidRDefault="00DD3322">
      <w:pPr>
        <w:suppressAutoHyphens/>
        <w:rPr>
          <w:b/>
        </w:rPr>
      </w:pPr>
    </w:p>
    <w:p w:rsidR="000A622B" w:rsidRDefault="000A622B">
      <w:pPr>
        <w:suppressAutoHyphens/>
        <w:rPr>
          <w:b/>
        </w:rPr>
      </w:pPr>
    </w:p>
    <w:p w:rsidR="00D43B05" w:rsidRDefault="00D43B05" w:rsidP="00DD3322">
      <w:pPr>
        <w:suppressAutoHyphens/>
        <w:jc w:val="center"/>
        <w:rPr>
          <w:b/>
        </w:rPr>
      </w:pPr>
    </w:p>
    <w:p w:rsidR="00D43B05" w:rsidRDefault="00086960" w:rsidP="00DD3322">
      <w:pPr>
        <w:pStyle w:val="ModelHead2"/>
        <w:suppressAutoHyphens/>
        <w:spacing w:after="0" w:line="240" w:lineRule="auto"/>
        <w:rPr>
          <w:szCs w:val="24"/>
        </w:rPr>
      </w:pPr>
      <w:r>
        <w:rPr>
          <w:szCs w:val="24"/>
        </w:rPr>
        <w:t>Dated April 7, 2011</w:t>
      </w:r>
    </w:p>
    <w:p w:rsidR="00D43B05" w:rsidRDefault="00D43B05" w:rsidP="00DD3322">
      <w:pPr>
        <w:pBdr>
          <w:bottom w:val="double" w:sz="18" w:space="1" w:color="auto"/>
        </w:pBdr>
        <w:suppressAutoHyphens/>
      </w:pPr>
    </w:p>
    <w:p w:rsidR="00DD3322" w:rsidRDefault="00DD3322" w:rsidP="00DD3322">
      <w:pPr>
        <w:pBdr>
          <w:bottom w:val="double" w:sz="18" w:space="1" w:color="auto"/>
        </w:pBdr>
        <w:suppressAutoHyphens/>
        <w:sectPr w:rsidR="00DD3322" w:rsidSect="00826EE2">
          <w:headerReference w:type="even" r:id="rId8"/>
          <w:headerReference w:type="default" r:id="rId9"/>
          <w:footerReference w:type="even" r:id="rId10"/>
          <w:footerReference w:type="default" r:id="rId11"/>
          <w:headerReference w:type="first" r:id="rId12"/>
          <w:footerReference w:type="first" r:id="rId13"/>
          <w:pgSz w:w="12240" w:h="15840" w:code="1"/>
          <w:pgMar w:top="1152" w:right="2160" w:bottom="2160" w:left="2160" w:header="720" w:footer="720" w:gutter="0"/>
          <w:pgNumType w:start="1"/>
          <w:cols w:space="720"/>
          <w:noEndnote/>
          <w:titlePg/>
        </w:sectPr>
      </w:pPr>
    </w:p>
    <w:p w:rsidR="00D43B05" w:rsidRPr="000A622B" w:rsidRDefault="00D43B05" w:rsidP="006440D6">
      <w:pPr>
        <w:pStyle w:val="ModelNrmlDouble"/>
        <w:spacing w:after="0" w:line="240" w:lineRule="auto"/>
        <w:jc w:val="right"/>
        <w:rPr>
          <w:b/>
          <w:szCs w:val="22"/>
        </w:rPr>
      </w:pPr>
      <w:r w:rsidRPr="000A622B">
        <w:rPr>
          <w:b/>
          <w:szCs w:val="22"/>
        </w:rPr>
        <w:lastRenderedPageBreak/>
        <w:t>CREDIT NUMBER 3767-VN</w:t>
      </w:r>
    </w:p>
    <w:p w:rsidR="006440D6" w:rsidRPr="000A622B" w:rsidRDefault="006440D6" w:rsidP="006440D6">
      <w:pPr>
        <w:pStyle w:val="ModelNrmlDouble"/>
        <w:spacing w:after="0" w:line="240" w:lineRule="auto"/>
        <w:jc w:val="right"/>
        <w:rPr>
          <w:b/>
          <w:szCs w:val="22"/>
        </w:rPr>
      </w:pPr>
      <w:r w:rsidRPr="000A622B">
        <w:rPr>
          <w:b/>
          <w:szCs w:val="22"/>
        </w:rPr>
        <w:t xml:space="preserve">CREDIT NUMBER </w:t>
      </w:r>
      <w:r w:rsidR="00540886" w:rsidRPr="000A622B">
        <w:rPr>
          <w:b/>
          <w:szCs w:val="22"/>
        </w:rPr>
        <w:t>4863</w:t>
      </w:r>
      <w:r w:rsidRPr="000A622B">
        <w:rPr>
          <w:b/>
          <w:szCs w:val="22"/>
        </w:rPr>
        <w:t>-VN</w:t>
      </w:r>
    </w:p>
    <w:p w:rsidR="0018598D" w:rsidRDefault="0018598D" w:rsidP="006440D6">
      <w:pPr>
        <w:pStyle w:val="ModelNrmlDouble"/>
        <w:spacing w:after="0" w:line="240" w:lineRule="auto"/>
        <w:jc w:val="right"/>
        <w:rPr>
          <w:b/>
          <w:sz w:val="20"/>
        </w:rPr>
      </w:pPr>
    </w:p>
    <w:p w:rsidR="00E21A72" w:rsidRPr="00E21A72" w:rsidRDefault="00E21A72" w:rsidP="00E21A72">
      <w:pPr>
        <w:pStyle w:val="ModelNrmlSingle"/>
        <w:jc w:val="center"/>
        <w:rPr>
          <w:b/>
        </w:rPr>
      </w:pPr>
      <w:r w:rsidRPr="00E21A72">
        <w:rPr>
          <w:b/>
        </w:rPr>
        <w:t>FINANCING AGREEMENT</w:t>
      </w:r>
    </w:p>
    <w:p w:rsidR="00D43B05" w:rsidRDefault="00AA2C01">
      <w:pPr>
        <w:pStyle w:val="ModelNrmlSingle"/>
      </w:pPr>
      <w:r>
        <w:t>AGREEMENT</w:t>
      </w:r>
      <w:r w:rsidR="00D43B05">
        <w:t xml:space="preserve">, </w:t>
      </w:r>
      <w:r w:rsidR="00086960">
        <w:t>dated April 7, 2011</w:t>
      </w:r>
      <w:r w:rsidR="00D43B05">
        <w:t xml:space="preserve">, </w:t>
      </w:r>
      <w:r w:rsidR="000475E7">
        <w:t xml:space="preserve">entered into </w:t>
      </w:r>
      <w:r w:rsidR="00D43B05">
        <w:t xml:space="preserve">between </w:t>
      </w:r>
      <w:r w:rsidR="00086960">
        <w:t xml:space="preserve">                  </w:t>
      </w:r>
      <w:r w:rsidR="00D43B05">
        <w:t xml:space="preserve">SOCIALIST REPUBLIC OF VIETNAM (the </w:t>
      </w:r>
      <w:r w:rsidR="00DD3322">
        <w:t>“</w:t>
      </w:r>
      <w:r w:rsidR="000475E7">
        <w:t>Recipient</w:t>
      </w:r>
      <w:r w:rsidR="00DD3322">
        <w:t>”</w:t>
      </w:r>
      <w:r w:rsidR="00D43B05">
        <w:t xml:space="preserve">) and INTERNATIONAL DEVELOPMENT ASSOCIATION (the </w:t>
      </w:r>
      <w:r w:rsidR="00DD3322">
        <w:t>“</w:t>
      </w:r>
      <w:r w:rsidR="00D43B05">
        <w:t>Association</w:t>
      </w:r>
      <w:r w:rsidR="00DD3322">
        <w:t>”</w:t>
      </w:r>
      <w:r w:rsidR="00D43B05">
        <w:t>).</w:t>
      </w:r>
    </w:p>
    <w:p w:rsidR="009E1DB8" w:rsidRDefault="00D43B05">
      <w:pPr>
        <w:pStyle w:val="ModelNrmlSingle"/>
      </w:pPr>
      <w:r>
        <w:t xml:space="preserve">WHEREAS </w:t>
      </w:r>
      <w:r w:rsidR="00E85F2B">
        <w:t xml:space="preserve">for the purpose of the Project, the Association had agreed to extend to the Recipient a Credit in an amount equivalent to thirty nine million nine hundred thousand Special Drawing Rights (SDR 39,900,000) (the “Original Credit”) on the terms and conditions set forth or referred to in the Development Credit Agreement dated June 6, 2003 between the Recipient and the Association (the “Development Credit Agreement”) </w:t>
      </w:r>
    </w:p>
    <w:p w:rsidR="00226247" w:rsidRDefault="00C14448">
      <w:pPr>
        <w:pStyle w:val="ModelNrmlSingle"/>
      </w:pPr>
      <w:r>
        <w:t>WHEREAS the Recipient has requested the Association to provide further additional assistance in support of the Project by increasing the amount made available under the Development Credit Agreement by an amount equivalent to</w:t>
      </w:r>
      <w:r w:rsidR="009E1DB8">
        <w:t xml:space="preserve"> </w:t>
      </w:r>
      <w:r w:rsidR="007C7C5E" w:rsidRPr="007C7C5E">
        <w:t>nine million two hundred thousand</w:t>
      </w:r>
      <w:r>
        <w:t xml:space="preserve"> </w:t>
      </w:r>
      <w:r w:rsidR="009E1DB8">
        <w:t xml:space="preserve">Special </w:t>
      </w:r>
      <w:r>
        <w:t xml:space="preserve">Drawing Rights </w:t>
      </w:r>
      <w:r w:rsidRPr="007C7C5E">
        <w:t>(SDR</w:t>
      </w:r>
      <w:r w:rsidR="007C7C5E">
        <w:t xml:space="preserve"> 9,200,000</w:t>
      </w:r>
      <w:r>
        <w:t>) (the “Additional Credit”); and</w:t>
      </w:r>
    </w:p>
    <w:p w:rsidR="00C44E6C" w:rsidRDefault="00C44E6C" w:rsidP="00C44E6C">
      <w:pPr>
        <w:pStyle w:val="ModelNrmlDouble"/>
        <w:spacing w:line="240" w:lineRule="auto"/>
        <w:rPr>
          <w:szCs w:val="22"/>
        </w:rPr>
      </w:pPr>
      <w:r>
        <w:rPr>
          <w:szCs w:val="22"/>
        </w:rPr>
        <w:t xml:space="preserve">WHEREAS, </w:t>
      </w:r>
      <w:r w:rsidRPr="008A0444">
        <w:t>the Associati</w:t>
      </w:r>
      <w:r>
        <w:t>on has agreed</w:t>
      </w:r>
      <w:r w:rsidRPr="008A0444">
        <w:t xml:space="preserve"> on the basis, inter alia, of the foregoing, to provide such additional </w:t>
      </w:r>
      <w:r>
        <w:t xml:space="preserve">financial </w:t>
      </w:r>
      <w:r w:rsidRPr="008A0444">
        <w:t xml:space="preserve">assistance to the </w:t>
      </w:r>
      <w:r>
        <w:t xml:space="preserve">Recipient </w:t>
      </w:r>
      <w:r w:rsidRPr="008A0444">
        <w:t>upon the terms and conditions set forth in this Agreement</w:t>
      </w:r>
      <w:r>
        <w:rPr>
          <w:szCs w:val="22"/>
        </w:rPr>
        <w:t>;</w:t>
      </w:r>
    </w:p>
    <w:p w:rsidR="00C44E6C" w:rsidRPr="00CF2390" w:rsidRDefault="00C44E6C" w:rsidP="00C44E6C">
      <w:pPr>
        <w:pStyle w:val="ModelNrmlDouble"/>
        <w:spacing w:line="240" w:lineRule="auto"/>
        <w:rPr>
          <w:szCs w:val="22"/>
        </w:rPr>
      </w:pPr>
      <w:r>
        <w:rPr>
          <w:szCs w:val="22"/>
        </w:rPr>
        <w:t>NOW THEREFORE t</w:t>
      </w:r>
      <w:r w:rsidRPr="00CF2390">
        <w:rPr>
          <w:szCs w:val="22"/>
        </w:rPr>
        <w:t xml:space="preserve">he Recipient and the Association hereby agree </w:t>
      </w:r>
      <w:r>
        <w:rPr>
          <w:szCs w:val="22"/>
        </w:rPr>
        <w:t xml:space="preserve">to amend and restate the Development Credit Agreement to read </w:t>
      </w:r>
      <w:r w:rsidRPr="00CF2390">
        <w:rPr>
          <w:szCs w:val="22"/>
        </w:rPr>
        <w:t>as follows:</w:t>
      </w:r>
    </w:p>
    <w:p w:rsidR="00C14448" w:rsidRDefault="00D43B05" w:rsidP="00C14448">
      <w:pPr>
        <w:pStyle w:val="ModelNrmlSingle"/>
        <w:ind w:firstLine="0"/>
        <w:jc w:val="center"/>
      </w:pPr>
      <w:r>
        <w:rPr>
          <w:b/>
        </w:rPr>
        <w:t>ARTICLE I</w:t>
      </w:r>
      <w:r w:rsidR="00C14448">
        <w:rPr>
          <w:b/>
        </w:rPr>
        <w:t xml:space="preserve"> </w:t>
      </w:r>
      <w:r w:rsidR="00C44E6C">
        <w:rPr>
          <w:b/>
        </w:rPr>
        <w:t>- GENERAL</w:t>
      </w:r>
      <w:r w:rsidR="00676E83">
        <w:rPr>
          <w:b/>
        </w:rPr>
        <w:t xml:space="preserve"> CONDITIONS; DEFINITIONS</w:t>
      </w:r>
    </w:p>
    <w:p w:rsidR="00D43B05" w:rsidRDefault="00D43B05" w:rsidP="00C44E6C">
      <w:pPr>
        <w:pStyle w:val="ModelNrmlSingle"/>
        <w:ind w:left="720" w:hanging="720"/>
      </w:pPr>
      <w:r>
        <w:t xml:space="preserve">1.01. </w:t>
      </w:r>
      <w:r w:rsidR="00C44E6C">
        <w:tab/>
      </w:r>
      <w:r>
        <w:t xml:space="preserve">The “General Conditions </w:t>
      </w:r>
      <w:r w:rsidR="009E1B93">
        <w:t xml:space="preserve">(as defined in the </w:t>
      </w:r>
      <w:r w:rsidR="009E1B93" w:rsidRPr="00676E83">
        <w:t>Appendix</w:t>
      </w:r>
      <w:r w:rsidR="009E1B93">
        <w:t xml:space="preserve"> to this Agreement) </w:t>
      </w:r>
      <w:r>
        <w:t xml:space="preserve">constitute an integral part of this Agreement. </w:t>
      </w:r>
    </w:p>
    <w:p w:rsidR="00D43B05" w:rsidRDefault="00D43B05" w:rsidP="00C44E6C">
      <w:pPr>
        <w:pStyle w:val="ModelNrmlSingle"/>
        <w:ind w:left="720" w:hanging="720"/>
      </w:pPr>
      <w:r>
        <w:t xml:space="preserve">1.02. </w:t>
      </w:r>
      <w:r w:rsidR="00C44E6C">
        <w:tab/>
      </w:r>
      <w:r>
        <w:t xml:space="preserve">Unless the context otherwise requires, the </w:t>
      </w:r>
      <w:r w:rsidR="00786695">
        <w:t xml:space="preserve">capitalized terms used in this Agreement have the meanings ascribed to them in the General Conditions or in the Appendix to this Agreement. </w:t>
      </w:r>
    </w:p>
    <w:p w:rsidR="00D43B05" w:rsidRDefault="00D43B05">
      <w:pPr>
        <w:pStyle w:val="ModelNrmlSingle"/>
        <w:ind w:firstLine="0"/>
        <w:jc w:val="center"/>
        <w:rPr>
          <w:b/>
        </w:rPr>
      </w:pPr>
      <w:r>
        <w:rPr>
          <w:b/>
        </w:rPr>
        <w:t>ARTICLE II</w:t>
      </w:r>
      <w:r w:rsidR="00CC0356">
        <w:rPr>
          <w:b/>
        </w:rPr>
        <w:t xml:space="preserve"> - </w:t>
      </w:r>
      <w:r w:rsidR="00676E83">
        <w:rPr>
          <w:b/>
        </w:rPr>
        <w:t>FINANCING</w:t>
      </w:r>
    </w:p>
    <w:p w:rsidR="00D43B05" w:rsidRDefault="00D43B05" w:rsidP="002E26A1">
      <w:pPr>
        <w:pStyle w:val="ModelNrmlSingle"/>
        <w:ind w:left="720" w:hanging="720"/>
      </w:pPr>
      <w:r>
        <w:t xml:space="preserve">2.01. </w:t>
      </w:r>
      <w:r w:rsidR="002E26A1">
        <w:tab/>
      </w:r>
      <w:r>
        <w:t xml:space="preserve">The Association agrees to </w:t>
      </w:r>
      <w:r w:rsidR="00CC0356">
        <w:t xml:space="preserve">extend to the Recipient, </w:t>
      </w:r>
      <w:r>
        <w:t xml:space="preserve">on the terms and conditions set forth or referred to in </w:t>
      </w:r>
      <w:r w:rsidR="00CC0356">
        <w:t xml:space="preserve">this Agreement, a credit in </w:t>
      </w:r>
      <w:r>
        <w:t xml:space="preserve">an amount equivalent to </w:t>
      </w:r>
      <w:r w:rsidR="001B46EF">
        <w:t>forty nine million one hundred thousand</w:t>
      </w:r>
      <w:r w:rsidR="009E1DB8">
        <w:t xml:space="preserve"> </w:t>
      </w:r>
      <w:r>
        <w:t xml:space="preserve">Special Drawing </w:t>
      </w:r>
      <w:r w:rsidRPr="001B46EF">
        <w:t xml:space="preserve">Rights </w:t>
      </w:r>
      <w:r w:rsidR="00826EE2">
        <w:t xml:space="preserve">                   </w:t>
      </w:r>
      <w:r w:rsidRPr="001B46EF">
        <w:t>(SDR</w:t>
      </w:r>
      <w:r w:rsidR="001B46EF" w:rsidRPr="001B46EF">
        <w:t xml:space="preserve"> 49,100,000</w:t>
      </w:r>
      <w:r w:rsidRPr="001B46EF">
        <w:t>)</w:t>
      </w:r>
      <w:r w:rsidR="00CC0356" w:rsidRPr="001B46EF">
        <w:t xml:space="preserve"> </w:t>
      </w:r>
      <w:r w:rsidR="00395196" w:rsidRPr="001B46EF">
        <w:t>(</w:t>
      </w:r>
      <w:r w:rsidR="005905AF" w:rsidRPr="001B46EF">
        <w:t>variously, “Cre</w:t>
      </w:r>
      <w:r w:rsidR="005905AF">
        <w:t>dit” and “Financing”</w:t>
      </w:r>
      <w:r w:rsidR="00395196">
        <w:t xml:space="preserve">) </w:t>
      </w:r>
      <w:r w:rsidR="00CC0356">
        <w:t xml:space="preserve">to assist in financing the </w:t>
      </w:r>
      <w:r w:rsidR="00CC0356">
        <w:lastRenderedPageBreak/>
        <w:t>project described in Schedule 1 to this Agreement (the “Project”), which Credit includes:</w:t>
      </w:r>
    </w:p>
    <w:p w:rsidR="003370C5" w:rsidRDefault="003370C5" w:rsidP="002E26A1">
      <w:pPr>
        <w:pStyle w:val="ModelNrmlSingle"/>
        <w:numPr>
          <w:ilvl w:val="0"/>
          <w:numId w:val="5"/>
        </w:numPr>
        <w:ind w:hanging="720"/>
      </w:pPr>
      <w:r>
        <w:t>a</w:t>
      </w:r>
      <w:r w:rsidR="00CC0356">
        <w:t xml:space="preserve">n amount equivalent to </w:t>
      </w:r>
      <w:r>
        <w:t>thirty nine million nine hundred thousand Special Drawing Rights (SDR 39,900,000) (the “Original Credit”); and</w:t>
      </w:r>
    </w:p>
    <w:p w:rsidR="00CC0356" w:rsidRDefault="003370C5" w:rsidP="002E26A1">
      <w:pPr>
        <w:pStyle w:val="ModelNrmlSingle"/>
        <w:numPr>
          <w:ilvl w:val="0"/>
          <w:numId w:val="5"/>
        </w:numPr>
        <w:ind w:hanging="720"/>
      </w:pPr>
      <w:proofErr w:type="gramStart"/>
      <w:r>
        <w:t>an</w:t>
      </w:r>
      <w:proofErr w:type="gramEnd"/>
      <w:r>
        <w:t xml:space="preserve"> amount equivalent to </w:t>
      </w:r>
      <w:r w:rsidR="007C7C5E" w:rsidRPr="007C7C5E">
        <w:t>nine million two hundred thousand</w:t>
      </w:r>
      <w:r w:rsidR="007C7C5E">
        <w:t xml:space="preserve"> </w:t>
      </w:r>
      <w:r>
        <w:t xml:space="preserve">Special Drawing Rights </w:t>
      </w:r>
      <w:r w:rsidR="007C7C5E" w:rsidRPr="007C7C5E">
        <w:t>SDR</w:t>
      </w:r>
      <w:r w:rsidR="007C7C5E">
        <w:t xml:space="preserve"> </w:t>
      </w:r>
      <w:r w:rsidR="00C55707">
        <w:t>(</w:t>
      </w:r>
      <w:r w:rsidR="007C7C5E">
        <w:t>9,200,000</w:t>
      </w:r>
      <w:r>
        <w:t>) (the “Additional Credit”).</w:t>
      </w:r>
    </w:p>
    <w:p w:rsidR="00B90340" w:rsidRDefault="00D43B05" w:rsidP="002E26A1">
      <w:pPr>
        <w:pStyle w:val="ModelNrmlSingle"/>
        <w:ind w:left="720" w:hanging="720"/>
        <w:rPr>
          <w:szCs w:val="22"/>
        </w:rPr>
      </w:pPr>
      <w:r>
        <w:t xml:space="preserve">2.02. </w:t>
      </w:r>
      <w:r w:rsidR="002E26A1">
        <w:tab/>
      </w:r>
      <w:r w:rsidR="0092436B" w:rsidRPr="00CF2390">
        <w:rPr>
          <w:szCs w:val="22"/>
        </w:rPr>
        <w:t xml:space="preserve">The Recipient may withdraw the proceeds of the </w:t>
      </w:r>
      <w:r w:rsidR="009C6E2E">
        <w:rPr>
          <w:szCs w:val="22"/>
        </w:rPr>
        <w:t>Original Credit and the Additional Credit i</w:t>
      </w:r>
      <w:r w:rsidR="0092436B" w:rsidRPr="00CF2390">
        <w:rPr>
          <w:szCs w:val="22"/>
        </w:rPr>
        <w:t>n accordance with Section IV of Schedule 2 to this Agreement</w:t>
      </w:r>
    </w:p>
    <w:p w:rsidR="00BD23D5" w:rsidRPr="00CF2390" w:rsidRDefault="00B90340" w:rsidP="002E26A1">
      <w:pPr>
        <w:pStyle w:val="ModelNrmlSingle"/>
        <w:ind w:left="720" w:hanging="720"/>
        <w:rPr>
          <w:szCs w:val="22"/>
        </w:rPr>
      </w:pPr>
      <w:r>
        <w:rPr>
          <w:szCs w:val="22"/>
        </w:rPr>
        <w:t xml:space="preserve">2.03. </w:t>
      </w:r>
      <w:r w:rsidR="002E26A1">
        <w:rPr>
          <w:szCs w:val="22"/>
        </w:rPr>
        <w:tab/>
        <w:t>T</w:t>
      </w:r>
      <w:r w:rsidR="00BD23D5" w:rsidRPr="00CF2390">
        <w:rPr>
          <w:szCs w:val="22"/>
        </w:rPr>
        <w:t xml:space="preserve">he Maximum Commitment Charge Rate payable by the Recipient on the </w:t>
      </w:r>
      <w:proofErr w:type="spellStart"/>
      <w:r w:rsidR="00BD23D5" w:rsidRPr="00CF2390">
        <w:rPr>
          <w:szCs w:val="22"/>
        </w:rPr>
        <w:t>Unwithdrawn</w:t>
      </w:r>
      <w:proofErr w:type="spellEnd"/>
      <w:r w:rsidR="00BD23D5" w:rsidRPr="00CF2390">
        <w:rPr>
          <w:szCs w:val="22"/>
        </w:rPr>
        <w:t xml:space="preserve"> Financing Balance shall be one-half of one percent (1/2 of 1%) per annum.</w:t>
      </w:r>
    </w:p>
    <w:p w:rsidR="00B90340" w:rsidRDefault="00D43B05" w:rsidP="002E26A1">
      <w:pPr>
        <w:pStyle w:val="ModelNrmlSingle"/>
        <w:ind w:left="720" w:hanging="720"/>
        <w:rPr>
          <w:szCs w:val="22"/>
        </w:rPr>
      </w:pPr>
      <w:r>
        <w:t>2.</w:t>
      </w:r>
      <w:r w:rsidR="009C6E2E">
        <w:t>04</w:t>
      </w:r>
      <w:r>
        <w:t xml:space="preserve">. </w:t>
      </w:r>
      <w:r w:rsidR="002E26A1">
        <w:tab/>
      </w:r>
      <w:r w:rsidR="009C6E2E" w:rsidRPr="00CF2390">
        <w:rPr>
          <w:szCs w:val="22"/>
        </w:rPr>
        <w:t>The Service Charge payable by the Recipient on the Withdrawn Credit Balance shall be equal to three-fourths of one percent (3/4 of 1%) per annum.</w:t>
      </w:r>
    </w:p>
    <w:p w:rsidR="009C6E2E" w:rsidRDefault="00D43B05" w:rsidP="002E26A1">
      <w:pPr>
        <w:pStyle w:val="ModelNrmlSingle"/>
        <w:ind w:firstLine="0"/>
        <w:rPr>
          <w:szCs w:val="22"/>
        </w:rPr>
      </w:pPr>
      <w:r>
        <w:t>2.</w:t>
      </w:r>
      <w:r w:rsidR="009C6E2E">
        <w:t>05</w:t>
      </w:r>
      <w:r>
        <w:t xml:space="preserve">. </w:t>
      </w:r>
      <w:r w:rsidR="002E26A1">
        <w:tab/>
      </w:r>
      <w:r w:rsidR="009C6E2E" w:rsidRPr="00CF2390">
        <w:rPr>
          <w:szCs w:val="22"/>
        </w:rPr>
        <w:t>The Payment Dates are</w:t>
      </w:r>
      <w:r w:rsidR="009C6E2E">
        <w:rPr>
          <w:szCs w:val="22"/>
        </w:rPr>
        <w:t>:</w:t>
      </w:r>
      <w:r w:rsidR="009C6E2E" w:rsidRPr="00CF2390">
        <w:rPr>
          <w:szCs w:val="22"/>
        </w:rPr>
        <w:t xml:space="preserve"> </w:t>
      </w:r>
    </w:p>
    <w:p w:rsidR="001A4C53" w:rsidRPr="001A4C53" w:rsidRDefault="009C6E2E" w:rsidP="002E26A1">
      <w:pPr>
        <w:pStyle w:val="ModelNrmlSingle"/>
        <w:numPr>
          <w:ilvl w:val="0"/>
          <w:numId w:val="10"/>
        </w:numPr>
        <w:ind w:left="1440" w:hanging="720"/>
      </w:pPr>
      <w:r>
        <w:t xml:space="preserve">in respect of the Original Credit: May 15 </w:t>
      </w:r>
      <w:r w:rsidRPr="001A4C53">
        <w:rPr>
          <w:szCs w:val="22"/>
        </w:rPr>
        <w:t xml:space="preserve">and </w:t>
      </w:r>
      <w:r>
        <w:t xml:space="preserve">November 15 </w:t>
      </w:r>
      <w:r w:rsidR="002E26A1">
        <w:rPr>
          <w:szCs w:val="22"/>
        </w:rPr>
        <w:t xml:space="preserve">in each year; </w:t>
      </w:r>
      <w:r w:rsidRPr="001A4C53">
        <w:rPr>
          <w:szCs w:val="22"/>
        </w:rPr>
        <w:t xml:space="preserve">and </w:t>
      </w:r>
    </w:p>
    <w:p w:rsidR="009C6E2E" w:rsidRDefault="009C6E2E" w:rsidP="00CB6658">
      <w:pPr>
        <w:pStyle w:val="ModelNrmlSingle"/>
        <w:numPr>
          <w:ilvl w:val="0"/>
          <w:numId w:val="10"/>
        </w:numPr>
        <w:ind w:left="1440" w:hanging="720"/>
      </w:pPr>
      <w:proofErr w:type="gramStart"/>
      <w:r>
        <w:t>in</w:t>
      </w:r>
      <w:proofErr w:type="gramEnd"/>
      <w:r>
        <w:t xml:space="preserve"> respect of the Additional </w:t>
      </w:r>
      <w:r w:rsidRPr="00CB6658">
        <w:t xml:space="preserve">Credit: </w:t>
      </w:r>
      <w:r w:rsidR="001B46EF" w:rsidRPr="00CB6658">
        <w:t>May 15 and November 15</w:t>
      </w:r>
      <w:r w:rsidR="001A4C53" w:rsidRPr="00CB6658">
        <w:t xml:space="preserve"> in</w:t>
      </w:r>
      <w:r w:rsidR="001A4C53">
        <w:t xml:space="preserve"> each </w:t>
      </w:r>
      <w:r w:rsidR="001A4C53" w:rsidRPr="00CB6658">
        <w:rPr>
          <w:szCs w:val="22"/>
        </w:rPr>
        <w:t>year</w:t>
      </w:r>
      <w:r w:rsidR="001A4C53">
        <w:t>.</w:t>
      </w:r>
    </w:p>
    <w:p w:rsidR="001A4C53" w:rsidRPr="00CF2390" w:rsidRDefault="001A4C53" w:rsidP="002E26A1">
      <w:pPr>
        <w:pStyle w:val="ModelNrmlDouble"/>
        <w:spacing w:line="240" w:lineRule="auto"/>
        <w:ind w:left="720" w:hanging="720"/>
        <w:rPr>
          <w:szCs w:val="22"/>
        </w:rPr>
      </w:pPr>
      <w:r>
        <w:t>2.06</w:t>
      </w:r>
      <w:r w:rsidR="00D43B05">
        <w:t xml:space="preserve">. </w:t>
      </w:r>
      <w:r w:rsidR="002E26A1">
        <w:tab/>
      </w:r>
      <w:r w:rsidRPr="00CF2390">
        <w:rPr>
          <w:szCs w:val="22"/>
        </w:rPr>
        <w:t xml:space="preserve">The principal amount of the </w:t>
      </w:r>
      <w:r>
        <w:rPr>
          <w:szCs w:val="22"/>
        </w:rPr>
        <w:t xml:space="preserve">Original </w:t>
      </w:r>
      <w:r w:rsidRPr="00CF2390">
        <w:rPr>
          <w:szCs w:val="22"/>
        </w:rPr>
        <w:t xml:space="preserve">Credit </w:t>
      </w:r>
      <w:r>
        <w:rPr>
          <w:szCs w:val="22"/>
        </w:rPr>
        <w:t xml:space="preserve">and the principal amount of the Additional Credit </w:t>
      </w:r>
      <w:r w:rsidRPr="00CF2390">
        <w:rPr>
          <w:szCs w:val="22"/>
        </w:rPr>
        <w:t>shall be repaid in accordance with the repayment schedule set forth</w:t>
      </w:r>
      <w:r>
        <w:rPr>
          <w:szCs w:val="22"/>
        </w:rPr>
        <w:t xml:space="preserve"> </w:t>
      </w:r>
      <w:r w:rsidRPr="00CF2390">
        <w:rPr>
          <w:szCs w:val="22"/>
        </w:rPr>
        <w:t xml:space="preserve">in </w:t>
      </w:r>
      <w:r>
        <w:rPr>
          <w:szCs w:val="22"/>
        </w:rPr>
        <w:t xml:space="preserve">Section I and Section II, respectively, of </w:t>
      </w:r>
      <w:r w:rsidRPr="00CF2390">
        <w:rPr>
          <w:szCs w:val="22"/>
        </w:rPr>
        <w:t>Sche</w:t>
      </w:r>
      <w:r>
        <w:rPr>
          <w:szCs w:val="22"/>
        </w:rPr>
        <w:t>dule 3 to this Agreement.</w:t>
      </w:r>
    </w:p>
    <w:p w:rsidR="00D43B05" w:rsidRDefault="001A4C53" w:rsidP="002E26A1">
      <w:pPr>
        <w:pStyle w:val="ModelNrmlSingle"/>
        <w:ind w:firstLine="0"/>
      </w:pPr>
      <w:r>
        <w:t>2.07</w:t>
      </w:r>
      <w:r w:rsidR="00D43B05">
        <w:t xml:space="preserve">. </w:t>
      </w:r>
      <w:r w:rsidR="002E26A1">
        <w:tab/>
      </w:r>
      <w:r w:rsidR="00D43B05">
        <w:t xml:space="preserve">The </w:t>
      </w:r>
      <w:r>
        <w:t>Payment Currency is Dollar</w:t>
      </w:r>
      <w:r w:rsidR="00D43B05">
        <w:t>.</w:t>
      </w:r>
    </w:p>
    <w:p w:rsidR="00E21A72" w:rsidRDefault="00D43B05" w:rsidP="00E21A72">
      <w:pPr>
        <w:pStyle w:val="ModelNrmlSingle"/>
        <w:jc w:val="center"/>
        <w:rPr>
          <w:b/>
        </w:rPr>
      </w:pPr>
      <w:r>
        <w:rPr>
          <w:b/>
        </w:rPr>
        <w:t>ARTICLE III</w:t>
      </w:r>
      <w:r w:rsidR="00C56A5B">
        <w:rPr>
          <w:b/>
        </w:rPr>
        <w:t xml:space="preserve"> </w:t>
      </w:r>
      <w:r w:rsidR="00E21A72">
        <w:rPr>
          <w:b/>
        </w:rPr>
        <w:t>–</w:t>
      </w:r>
      <w:r w:rsidR="00C56A5B">
        <w:rPr>
          <w:b/>
        </w:rPr>
        <w:t xml:space="preserve"> </w:t>
      </w:r>
      <w:r w:rsidR="001A4C53">
        <w:rPr>
          <w:b/>
        </w:rPr>
        <w:t>PROJECT</w:t>
      </w:r>
    </w:p>
    <w:p w:rsidR="00D43B05" w:rsidRDefault="00D43B05" w:rsidP="00537150">
      <w:pPr>
        <w:pStyle w:val="ModelNrmlSingle"/>
        <w:ind w:left="720" w:hanging="720"/>
      </w:pPr>
      <w:r>
        <w:t xml:space="preserve">3.01. </w:t>
      </w:r>
      <w:r w:rsidR="00537150">
        <w:tab/>
      </w:r>
      <w:r>
        <w:t xml:space="preserve">The </w:t>
      </w:r>
      <w:r w:rsidR="002149BF">
        <w:t>Recipient</w:t>
      </w:r>
      <w:r>
        <w:t xml:space="preserve"> declares its commitment to the objectives of the Project</w:t>
      </w:r>
      <w:r w:rsidR="001A4C53">
        <w:t xml:space="preserve">. To this end, the Recipient </w:t>
      </w:r>
      <w:r>
        <w:t>shall carry out the Project</w:t>
      </w:r>
      <w:r w:rsidR="001A4C53">
        <w:t xml:space="preserve"> </w:t>
      </w:r>
      <w:r>
        <w:t>through its Ministry of Finance</w:t>
      </w:r>
      <w:r w:rsidR="001A4C53">
        <w:t xml:space="preserve"> in accordance with the provisions of </w:t>
      </w:r>
      <w:r w:rsidR="00EF0792">
        <w:t>Article IV of the General Conditions</w:t>
      </w:r>
      <w:r w:rsidR="001A4C53">
        <w:t>.</w:t>
      </w:r>
    </w:p>
    <w:p w:rsidR="00D43B05" w:rsidRDefault="00537150" w:rsidP="00537150">
      <w:pPr>
        <w:pStyle w:val="ModelNrmlSingle"/>
        <w:ind w:left="720" w:hanging="720"/>
      </w:pPr>
      <w:r>
        <w:t>3.02.</w:t>
      </w:r>
      <w:r>
        <w:tab/>
      </w:r>
      <w:r w:rsidR="00D43B05">
        <w:t xml:space="preserve">Without limitation upon the provisions of </w:t>
      </w:r>
      <w:r w:rsidR="00EF0792">
        <w:t xml:space="preserve">Section 3.01 of this Agreement, and </w:t>
      </w:r>
      <w:r w:rsidR="00D43B05">
        <w:t xml:space="preserve">except as the </w:t>
      </w:r>
      <w:r w:rsidR="002149BF">
        <w:t>Recipient</w:t>
      </w:r>
      <w:r w:rsidR="00D43B05">
        <w:t xml:space="preserve"> and the Association shall otherwise agree, the </w:t>
      </w:r>
      <w:r w:rsidR="002149BF">
        <w:t>Recipient</w:t>
      </w:r>
      <w:r w:rsidR="00D43B05">
        <w:t xml:space="preserve"> shall </w:t>
      </w:r>
      <w:r w:rsidR="00EF0792">
        <w:t xml:space="preserve">ensure that </w:t>
      </w:r>
      <w:r w:rsidR="00D43B05">
        <w:t xml:space="preserve">the Project </w:t>
      </w:r>
      <w:r w:rsidR="00EF0792">
        <w:t xml:space="preserve">is carried out in accordance with the provisions of </w:t>
      </w:r>
      <w:r w:rsidR="00D43B05">
        <w:t xml:space="preserve">Schedule </w:t>
      </w:r>
      <w:r w:rsidR="00EF0792">
        <w:t>2</w:t>
      </w:r>
      <w:r w:rsidR="00D43B05">
        <w:t xml:space="preserve"> to this Agreement.</w:t>
      </w:r>
    </w:p>
    <w:p w:rsidR="00826EE2" w:rsidRDefault="00826EE2" w:rsidP="00537150">
      <w:pPr>
        <w:pStyle w:val="ModelNrmlSingle"/>
        <w:ind w:left="720" w:hanging="720"/>
      </w:pPr>
    </w:p>
    <w:p w:rsidR="00E21A72" w:rsidRDefault="00D43B05" w:rsidP="00CF6287">
      <w:pPr>
        <w:pStyle w:val="ModelNrmlDouble"/>
        <w:spacing w:line="240" w:lineRule="auto"/>
        <w:ind w:left="720" w:firstLine="0"/>
        <w:jc w:val="center"/>
        <w:rPr>
          <w:b/>
        </w:rPr>
      </w:pPr>
      <w:r>
        <w:rPr>
          <w:b/>
        </w:rPr>
        <w:lastRenderedPageBreak/>
        <w:t xml:space="preserve">ARTICLE </w:t>
      </w:r>
      <w:r w:rsidR="00996514">
        <w:rPr>
          <w:b/>
        </w:rPr>
        <w:t>I</w:t>
      </w:r>
      <w:r>
        <w:rPr>
          <w:b/>
        </w:rPr>
        <w:t>V</w:t>
      </w:r>
      <w:r w:rsidR="00CE256C">
        <w:rPr>
          <w:b/>
        </w:rPr>
        <w:t xml:space="preserve"> </w:t>
      </w:r>
      <w:r w:rsidR="00EF0792">
        <w:rPr>
          <w:b/>
        </w:rPr>
        <w:t>–</w:t>
      </w:r>
      <w:r w:rsidR="00CE256C">
        <w:rPr>
          <w:b/>
        </w:rPr>
        <w:t xml:space="preserve"> </w:t>
      </w:r>
      <w:r w:rsidR="00EF0792">
        <w:rPr>
          <w:b/>
        </w:rPr>
        <w:t>REMEDIES</w:t>
      </w:r>
      <w:r w:rsidR="00996514">
        <w:rPr>
          <w:b/>
        </w:rPr>
        <w:t xml:space="preserve"> OF THE ASSOCIATION</w:t>
      </w:r>
    </w:p>
    <w:p w:rsidR="000517D3" w:rsidRPr="00CF2390" w:rsidRDefault="000517D3" w:rsidP="00537150">
      <w:pPr>
        <w:pStyle w:val="ModelNrmlDouble"/>
        <w:spacing w:line="240" w:lineRule="auto"/>
        <w:ind w:firstLine="0"/>
        <w:rPr>
          <w:szCs w:val="22"/>
        </w:rPr>
      </w:pPr>
      <w:r>
        <w:rPr>
          <w:szCs w:val="22"/>
        </w:rPr>
        <w:t>4.01.</w:t>
      </w:r>
      <w:r>
        <w:rPr>
          <w:szCs w:val="22"/>
        </w:rPr>
        <w:tab/>
        <w:t>The Additional Events</w:t>
      </w:r>
      <w:r w:rsidRPr="00CF2390">
        <w:rPr>
          <w:szCs w:val="22"/>
        </w:rPr>
        <w:t xml:space="preserve"> of Suspension consist of the following:</w:t>
      </w:r>
    </w:p>
    <w:p w:rsidR="000517D3" w:rsidRPr="00A27EF4" w:rsidRDefault="000517D3" w:rsidP="000A622B">
      <w:pPr>
        <w:pStyle w:val="ModelNrmlSingle"/>
        <w:ind w:left="1440" w:hanging="720"/>
      </w:pPr>
      <w:r w:rsidRPr="00A27EF4">
        <w:t>(a)</w:t>
      </w:r>
      <w:r w:rsidRPr="00A27EF4">
        <w:tab/>
        <w:t>the Recipient’s Public Financial Management Reform Initiative shall have been amended, suspended, abrogated or repealed so as to affect materially and adversely the Recipient’s ability to achieve the objectives of the Project;</w:t>
      </w:r>
      <w:r w:rsidR="008771DE">
        <w:t xml:space="preserve"> or</w:t>
      </w:r>
    </w:p>
    <w:p w:rsidR="000517D3" w:rsidRDefault="000517D3" w:rsidP="000A622B">
      <w:pPr>
        <w:pStyle w:val="ModelNrmlSingle"/>
        <w:ind w:left="1440" w:hanging="720"/>
      </w:pPr>
      <w:r w:rsidRPr="00A27EF4">
        <w:t>(b)</w:t>
      </w:r>
      <w:r w:rsidRPr="00A27EF4">
        <w:tab/>
        <w:t>the State Budget Law shall have been amended, suspended, abrogated or repealed so as to affect materially and adversely the Recipient’s ability to achieve the objectives of the Project;</w:t>
      </w:r>
      <w:r>
        <w:t xml:space="preserve"> </w:t>
      </w:r>
    </w:p>
    <w:p w:rsidR="00206B8C" w:rsidRPr="00CF2390" w:rsidRDefault="00206B8C" w:rsidP="008771DE">
      <w:pPr>
        <w:pStyle w:val="ModelNrmlDouble"/>
        <w:spacing w:line="240" w:lineRule="auto"/>
        <w:ind w:left="720" w:hanging="720"/>
        <w:rPr>
          <w:szCs w:val="22"/>
        </w:rPr>
      </w:pPr>
      <w:r w:rsidRPr="00CF2390">
        <w:rPr>
          <w:szCs w:val="22"/>
        </w:rPr>
        <w:t>4.0</w:t>
      </w:r>
      <w:r>
        <w:rPr>
          <w:szCs w:val="22"/>
        </w:rPr>
        <w:t>2</w:t>
      </w:r>
      <w:r w:rsidRPr="00CF2390">
        <w:rPr>
          <w:szCs w:val="22"/>
        </w:rPr>
        <w:t>.</w:t>
      </w:r>
      <w:r w:rsidRPr="00CF2390">
        <w:rPr>
          <w:szCs w:val="22"/>
        </w:rPr>
        <w:tab/>
        <w:t>The Additional Event</w:t>
      </w:r>
      <w:r>
        <w:rPr>
          <w:szCs w:val="22"/>
        </w:rPr>
        <w:t>s</w:t>
      </w:r>
      <w:r w:rsidRPr="00CF2390">
        <w:rPr>
          <w:szCs w:val="22"/>
        </w:rPr>
        <w:t xml:space="preserve"> of Acceleration </w:t>
      </w:r>
      <w:r>
        <w:rPr>
          <w:szCs w:val="22"/>
        </w:rPr>
        <w:t>consist</w:t>
      </w:r>
      <w:r w:rsidRPr="00CF2390">
        <w:rPr>
          <w:szCs w:val="22"/>
        </w:rPr>
        <w:t xml:space="preserve"> of the </w:t>
      </w:r>
      <w:r>
        <w:rPr>
          <w:szCs w:val="22"/>
        </w:rPr>
        <w:t>following</w:t>
      </w:r>
      <w:r w:rsidR="008771DE">
        <w:rPr>
          <w:szCs w:val="22"/>
        </w:rPr>
        <w:t>, namely a</w:t>
      </w:r>
      <w:r w:rsidRPr="00CF2390">
        <w:rPr>
          <w:szCs w:val="22"/>
        </w:rPr>
        <w:t>ny event specified in paragraphs (</w:t>
      </w:r>
      <w:r w:rsidR="008771DE">
        <w:rPr>
          <w:szCs w:val="22"/>
        </w:rPr>
        <w:t>a</w:t>
      </w:r>
      <w:r w:rsidRPr="00CF2390">
        <w:rPr>
          <w:szCs w:val="22"/>
        </w:rPr>
        <w:t>) and (</w:t>
      </w:r>
      <w:r w:rsidR="008771DE">
        <w:rPr>
          <w:szCs w:val="22"/>
        </w:rPr>
        <w:t>b</w:t>
      </w:r>
      <w:r w:rsidRPr="00CF2390">
        <w:rPr>
          <w:szCs w:val="22"/>
        </w:rPr>
        <w:t>) of Section 4.01</w:t>
      </w:r>
      <w:r w:rsidRPr="00CF2390">
        <w:rPr>
          <w:rStyle w:val="EndnoteReference"/>
          <w:szCs w:val="22"/>
        </w:rPr>
        <w:t xml:space="preserve"> </w:t>
      </w:r>
      <w:r w:rsidRPr="00CF2390">
        <w:rPr>
          <w:szCs w:val="22"/>
        </w:rPr>
        <w:t xml:space="preserve">of this Agreement occurs and is continuing for a period of </w:t>
      </w:r>
      <w:r w:rsidR="00DD3322">
        <w:rPr>
          <w:szCs w:val="22"/>
        </w:rPr>
        <w:t>sixty (</w:t>
      </w:r>
      <w:r w:rsidRPr="00CF2390">
        <w:rPr>
          <w:szCs w:val="22"/>
        </w:rPr>
        <w:t>60</w:t>
      </w:r>
      <w:r w:rsidR="00DD3322">
        <w:rPr>
          <w:szCs w:val="22"/>
        </w:rPr>
        <w:t xml:space="preserve">) </w:t>
      </w:r>
      <w:r w:rsidRPr="00CF2390">
        <w:rPr>
          <w:rStyle w:val="EndnoteReference"/>
          <w:szCs w:val="22"/>
        </w:rPr>
        <w:t xml:space="preserve"> </w:t>
      </w:r>
      <w:r w:rsidRPr="00CF2390">
        <w:rPr>
          <w:szCs w:val="22"/>
        </w:rPr>
        <w:t>days after notice of the event has been given by the Association to the Recipient.</w:t>
      </w:r>
    </w:p>
    <w:p w:rsidR="00996514" w:rsidRDefault="00A27EF4" w:rsidP="00996514">
      <w:pPr>
        <w:pStyle w:val="ModelNrmlSingle"/>
        <w:spacing w:before="360"/>
        <w:ind w:firstLine="0"/>
        <w:jc w:val="center"/>
        <w:rPr>
          <w:b/>
          <w:lang w:val="fr-FR"/>
        </w:rPr>
      </w:pPr>
      <w:r>
        <w:rPr>
          <w:b/>
          <w:lang w:val="fr-FR"/>
        </w:rPr>
        <w:t xml:space="preserve">ARTICLE </w:t>
      </w:r>
      <w:r w:rsidR="00996514">
        <w:rPr>
          <w:b/>
          <w:lang w:val="fr-FR"/>
        </w:rPr>
        <w:t xml:space="preserve">V - EFFECTIVENESS </w:t>
      </w:r>
    </w:p>
    <w:p w:rsidR="00996514" w:rsidRDefault="00A27EF4" w:rsidP="008771DE">
      <w:pPr>
        <w:pStyle w:val="ModelNrmlDouble"/>
        <w:spacing w:after="0" w:line="240" w:lineRule="auto"/>
        <w:ind w:left="720" w:hanging="720"/>
        <w:rPr>
          <w:szCs w:val="22"/>
        </w:rPr>
      </w:pPr>
      <w:r>
        <w:rPr>
          <w:szCs w:val="22"/>
        </w:rPr>
        <w:t>5</w:t>
      </w:r>
      <w:r w:rsidR="00996514" w:rsidRPr="003A3483">
        <w:rPr>
          <w:szCs w:val="22"/>
        </w:rPr>
        <w:t>.0</w:t>
      </w:r>
      <w:r w:rsidR="005B7921">
        <w:rPr>
          <w:szCs w:val="22"/>
        </w:rPr>
        <w:t>1</w:t>
      </w:r>
      <w:r w:rsidR="00996514" w:rsidRPr="003A3483">
        <w:rPr>
          <w:szCs w:val="22"/>
        </w:rPr>
        <w:t>.</w:t>
      </w:r>
      <w:r w:rsidR="00996514" w:rsidRPr="003A3483">
        <w:rPr>
          <w:szCs w:val="22"/>
        </w:rPr>
        <w:tab/>
        <w:t>The Effectiveness Deadline is the date ninety (90) days after the date of this Agreement.</w:t>
      </w:r>
    </w:p>
    <w:p w:rsidR="00996514" w:rsidRPr="003A3483" w:rsidRDefault="00996514" w:rsidP="00996514">
      <w:pPr>
        <w:pStyle w:val="ModelNrmlDouble"/>
        <w:spacing w:after="0" w:line="240" w:lineRule="auto"/>
        <w:ind w:left="720" w:hanging="720"/>
        <w:rPr>
          <w:szCs w:val="22"/>
        </w:rPr>
      </w:pPr>
    </w:p>
    <w:p w:rsidR="00996514" w:rsidRDefault="00A27EF4" w:rsidP="008771DE">
      <w:pPr>
        <w:pStyle w:val="ModelNrmlDouble"/>
        <w:spacing w:line="240" w:lineRule="auto"/>
        <w:ind w:left="720" w:hanging="720"/>
        <w:rPr>
          <w:szCs w:val="22"/>
        </w:rPr>
      </w:pPr>
      <w:r>
        <w:rPr>
          <w:szCs w:val="22"/>
        </w:rPr>
        <w:t>5</w:t>
      </w:r>
      <w:r w:rsidR="005B7921">
        <w:rPr>
          <w:szCs w:val="22"/>
        </w:rPr>
        <w:t>.02</w:t>
      </w:r>
      <w:r w:rsidR="00996514" w:rsidRPr="00CF2390">
        <w:rPr>
          <w:szCs w:val="22"/>
        </w:rPr>
        <w:t>.</w:t>
      </w:r>
      <w:r w:rsidR="00996514" w:rsidRPr="00CF2390">
        <w:rPr>
          <w:szCs w:val="22"/>
        </w:rPr>
        <w:tab/>
      </w:r>
      <w:r w:rsidR="00826EE2">
        <w:rPr>
          <w:szCs w:val="22"/>
        </w:rPr>
        <w:t>For purposes of Section 8.05</w:t>
      </w:r>
      <w:r w:rsidR="00996514" w:rsidRPr="00087F78">
        <w:rPr>
          <w:szCs w:val="22"/>
        </w:rPr>
        <w:t>(b) of the General Conditions, the date on which the obligations of the Recipient under this Agreement (other than those providing for payment obligations) shall terminate is twenty (20) years after the date of this Agreement</w:t>
      </w:r>
      <w:r w:rsidR="00996514" w:rsidRPr="00CF2390">
        <w:rPr>
          <w:szCs w:val="22"/>
        </w:rPr>
        <w:t>.</w:t>
      </w:r>
    </w:p>
    <w:p w:rsidR="00D43B05" w:rsidRDefault="00A27EF4">
      <w:pPr>
        <w:pStyle w:val="ModelNrmlSingle"/>
        <w:ind w:firstLine="0"/>
        <w:jc w:val="center"/>
      </w:pPr>
      <w:r>
        <w:rPr>
          <w:b/>
        </w:rPr>
        <w:t>ARTICLE VI</w:t>
      </w:r>
      <w:r w:rsidR="00E21A72">
        <w:rPr>
          <w:b/>
        </w:rPr>
        <w:t xml:space="preserve"> - </w:t>
      </w:r>
      <w:r w:rsidR="00D43B05">
        <w:rPr>
          <w:b/>
        </w:rPr>
        <w:t>R</w:t>
      </w:r>
      <w:r w:rsidR="00E21A72">
        <w:rPr>
          <w:b/>
        </w:rPr>
        <w:t>EPRESENTATIVE</w:t>
      </w:r>
      <w:r w:rsidR="00D43B05">
        <w:rPr>
          <w:b/>
        </w:rPr>
        <w:t>; A</w:t>
      </w:r>
      <w:r w:rsidR="00E21A72">
        <w:rPr>
          <w:b/>
        </w:rPr>
        <w:t>DDRESSES</w:t>
      </w:r>
    </w:p>
    <w:p w:rsidR="00375A71" w:rsidRPr="00CF2390" w:rsidRDefault="005B7921" w:rsidP="00375A71">
      <w:pPr>
        <w:pStyle w:val="ModelNrmlSingle"/>
        <w:ind w:left="720" w:hanging="720"/>
        <w:rPr>
          <w:szCs w:val="22"/>
        </w:rPr>
      </w:pPr>
      <w:r>
        <w:rPr>
          <w:szCs w:val="22"/>
        </w:rPr>
        <w:t>6</w:t>
      </w:r>
      <w:r w:rsidR="00375A71" w:rsidRPr="00CF2390">
        <w:rPr>
          <w:szCs w:val="22"/>
        </w:rPr>
        <w:t>.01.</w:t>
      </w:r>
      <w:r w:rsidR="00375A71" w:rsidRPr="00CF2390">
        <w:rPr>
          <w:szCs w:val="22"/>
        </w:rPr>
        <w:tab/>
      </w:r>
      <w:r w:rsidR="00375A71">
        <w:rPr>
          <w:szCs w:val="22"/>
        </w:rPr>
        <w:t>T</w:t>
      </w:r>
      <w:r w:rsidR="00375A71" w:rsidRPr="00CF2390">
        <w:rPr>
          <w:szCs w:val="22"/>
        </w:rPr>
        <w:t xml:space="preserve">he Recipient’s Representative is </w:t>
      </w:r>
      <w:r w:rsidR="00375A71">
        <w:rPr>
          <w:szCs w:val="22"/>
        </w:rPr>
        <w:t>the Governor, or a Deputy Governor, of the State Bank of Vietnam</w:t>
      </w:r>
      <w:r w:rsidR="00375A71" w:rsidRPr="00CF2390">
        <w:rPr>
          <w:szCs w:val="22"/>
        </w:rPr>
        <w:t>.</w:t>
      </w:r>
    </w:p>
    <w:p w:rsidR="00375A71" w:rsidRPr="00CF2390" w:rsidRDefault="005B7921" w:rsidP="00375A71">
      <w:pPr>
        <w:pStyle w:val="ModelNrmlSingle"/>
        <w:ind w:left="720" w:hanging="720"/>
        <w:rPr>
          <w:szCs w:val="22"/>
        </w:rPr>
      </w:pPr>
      <w:r>
        <w:rPr>
          <w:szCs w:val="22"/>
        </w:rPr>
        <w:t>6</w:t>
      </w:r>
      <w:r w:rsidR="00375A71" w:rsidRPr="00CF2390">
        <w:rPr>
          <w:szCs w:val="22"/>
        </w:rPr>
        <w:t>.02.</w:t>
      </w:r>
      <w:r w:rsidR="00375A71" w:rsidRPr="00CF2390">
        <w:rPr>
          <w:szCs w:val="22"/>
        </w:rPr>
        <w:tab/>
        <w:t>The Recipient’s Address is:</w:t>
      </w:r>
    </w:p>
    <w:p w:rsidR="0090133F" w:rsidRPr="009402E8" w:rsidRDefault="00375A71" w:rsidP="00C93E48">
      <w:pPr>
        <w:ind w:left="1080" w:firstLine="360"/>
        <w:rPr>
          <w:sz w:val="22"/>
          <w:szCs w:val="22"/>
        </w:rPr>
      </w:pPr>
      <w:r w:rsidRPr="009402E8">
        <w:rPr>
          <w:sz w:val="22"/>
          <w:szCs w:val="22"/>
        </w:rPr>
        <w:t>State Bank of Vietnam</w:t>
      </w:r>
    </w:p>
    <w:p w:rsidR="00375A71" w:rsidRPr="009402E8" w:rsidRDefault="00375A71" w:rsidP="00DD3322">
      <w:pPr>
        <w:ind w:left="1080" w:firstLine="360"/>
        <w:rPr>
          <w:sz w:val="22"/>
          <w:szCs w:val="22"/>
        </w:rPr>
      </w:pPr>
      <w:r w:rsidRPr="009402E8">
        <w:rPr>
          <w:sz w:val="22"/>
          <w:szCs w:val="22"/>
        </w:rPr>
        <w:t xml:space="preserve">49 </w:t>
      </w:r>
      <w:proofErr w:type="spellStart"/>
      <w:r w:rsidRPr="009402E8">
        <w:rPr>
          <w:sz w:val="22"/>
          <w:szCs w:val="22"/>
        </w:rPr>
        <w:t>L</w:t>
      </w:r>
      <w:r>
        <w:rPr>
          <w:sz w:val="22"/>
          <w:szCs w:val="22"/>
        </w:rPr>
        <w:t>ý</w:t>
      </w:r>
      <w:proofErr w:type="spellEnd"/>
      <w:r>
        <w:rPr>
          <w:sz w:val="22"/>
          <w:szCs w:val="22"/>
        </w:rPr>
        <w:t xml:space="preserve"> </w:t>
      </w:r>
      <w:proofErr w:type="spellStart"/>
      <w:r>
        <w:rPr>
          <w:sz w:val="22"/>
          <w:szCs w:val="22"/>
        </w:rPr>
        <w:t>Thái</w:t>
      </w:r>
      <w:proofErr w:type="spellEnd"/>
      <w:r>
        <w:rPr>
          <w:sz w:val="22"/>
          <w:szCs w:val="22"/>
        </w:rPr>
        <w:t xml:space="preserve"> </w:t>
      </w:r>
      <w:proofErr w:type="spellStart"/>
      <w:r>
        <w:rPr>
          <w:sz w:val="22"/>
          <w:szCs w:val="22"/>
        </w:rPr>
        <w:t>Tổ</w:t>
      </w:r>
      <w:proofErr w:type="spellEnd"/>
    </w:p>
    <w:p w:rsidR="00375A71" w:rsidRDefault="00375A71" w:rsidP="00DD3322">
      <w:pPr>
        <w:ind w:left="1080" w:firstLine="360"/>
        <w:rPr>
          <w:sz w:val="22"/>
          <w:szCs w:val="22"/>
        </w:rPr>
      </w:pPr>
      <w:proofErr w:type="spellStart"/>
      <w:r w:rsidRPr="009402E8">
        <w:rPr>
          <w:sz w:val="22"/>
          <w:szCs w:val="22"/>
        </w:rPr>
        <w:t>H</w:t>
      </w:r>
      <w:r>
        <w:rPr>
          <w:sz w:val="22"/>
          <w:szCs w:val="22"/>
        </w:rPr>
        <w:t>à</w:t>
      </w:r>
      <w:proofErr w:type="spellEnd"/>
      <w:r>
        <w:rPr>
          <w:sz w:val="22"/>
          <w:szCs w:val="22"/>
        </w:rPr>
        <w:t xml:space="preserve"> </w:t>
      </w:r>
      <w:proofErr w:type="spellStart"/>
      <w:r>
        <w:rPr>
          <w:sz w:val="22"/>
          <w:szCs w:val="22"/>
        </w:rPr>
        <w:t>Nội</w:t>
      </w:r>
      <w:proofErr w:type="spellEnd"/>
    </w:p>
    <w:p w:rsidR="00DD3322" w:rsidRDefault="00375A71" w:rsidP="00C93E48">
      <w:pPr>
        <w:ind w:left="1080" w:firstLine="360"/>
        <w:rPr>
          <w:sz w:val="22"/>
          <w:szCs w:val="22"/>
        </w:rPr>
      </w:pPr>
      <w:r>
        <w:rPr>
          <w:sz w:val="22"/>
          <w:szCs w:val="22"/>
        </w:rPr>
        <w:t xml:space="preserve">Socialist Republic of </w:t>
      </w:r>
      <w:r w:rsidRPr="009402E8">
        <w:rPr>
          <w:sz w:val="22"/>
          <w:szCs w:val="22"/>
        </w:rPr>
        <w:t>Vietnam</w:t>
      </w:r>
    </w:p>
    <w:p w:rsidR="00DD3322" w:rsidRDefault="00DD3322" w:rsidP="00DD3322">
      <w:pPr>
        <w:ind w:left="1080" w:firstLine="360"/>
        <w:rPr>
          <w:sz w:val="22"/>
          <w:szCs w:val="22"/>
        </w:rPr>
      </w:pPr>
    </w:p>
    <w:p w:rsidR="00375A71" w:rsidRPr="009402E8" w:rsidRDefault="00375A71" w:rsidP="00DD3322">
      <w:pPr>
        <w:ind w:left="1080" w:firstLine="360"/>
        <w:rPr>
          <w:sz w:val="22"/>
          <w:szCs w:val="22"/>
        </w:rPr>
      </w:pPr>
      <w:r w:rsidRPr="009402E8">
        <w:rPr>
          <w:sz w:val="22"/>
          <w:szCs w:val="22"/>
        </w:rPr>
        <w:t>Cable:</w:t>
      </w:r>
      <w:r w:rsidRPr="009402E8">
        <w:rPr>
          <w:sz w:val="22"/>
          <w:szCs w:val="22"/>
        </w:rPr>
        <w:tab/>
      </w:r>
      <w:r w:rsidRPr="009402E8">
        <w:rPr>
          <w:sz w:val="22"/>
          <w:szCs w:val="22"/>
        </w:rPr>
        <w:tab/>
      </w:r>
      <w:r w:rsidRPr="009402E8">
        <w:rPr>
          <w:sz w:val="22"/>
          <w:szCs w:val="22"/>
        </w:rPr>
        <w:tab/>
        <w:t>Telex:</w:t>
      </w:r>
      <w:r w:rsidRPr="009402E8">
        <w:rPr>
          <w:sz w:val="22"/>
          <w:szCs w:val="22"/>
        </w:rPr>
        <w:tab/>
      </w:r>
      <w:r w:rsidRPr="009402E8">
        <w:rPr>
          <w:sz w:val="22"/>
          <w:szCs w:val="22"/>
        </w:rPr>
        <w:tab/>
      </w:r>
      <w:r w:rsidRPr="009402E8">
        <w:rPr>
          <w:sz w:val="22"/>
          <w:szCs w:val="22"/>
        </w:rPr>
        <w:tab/>
        <w:t>Facsimile:</w:t>
      </w:r>
    </w:p>
    <w:p w:rsidR="007B7251" w:rsidRDefault="007B7251" w:rsidP="00375A71">
      <w:pPr>
        <w:ind w:left="1080"/>
        <w:rPr>
          <w:sz w:val="22"/>
          <w:szCs w:val="22"/>
        </w:rPr>
      </w:pPr>
    </w:p>
    <w:p w:rsidR="00375A71" w:rsidRPr="009402E8" w:rsidRDefault="00375A71" w:rsidP="00DD3322">
      <w:pPr>
        <w:ind w:left="1080" w:firstLine="360"/>
        <w:rPr>
          <w:sz w:val="22"/>
          <w:szCs w:val="22"/>
        </w:rPr>
      </w:pPr>
      <w:r w:rsidRPr="009402E8">
        <w:rPr>
          <w:sz w:val="22"/>
          <w:szCs w:val="22"/>
        </w:rPr>
        <w:t xml:space="preserve">VIETBANK </w:t>
      </w:r>
      <w:r w:rsidRPr="009402E8">
        <w:rPr>
          <w:sz w:val="22"/>
          <w:szCs w:val="22"/>
        </w:rPr>
        <w:tab/>
      </w:r>
      <w:r w:rsidRPr="009402E8">
        <w:rPr>
          <w:sz w:val="22"/>
          <w:szCs w:val="22"/>
        </w:rPr>
        <w:tab/>
        <w:t>412248</w:t>
      </w:r>
      <w:r w:rsidRPr="009402E8">
        <w:rPr>
          <w:sz w:val="22"/>
          <w:szCs w:val="22"/>
        </w:rPr>
        <w:tab/>
      </w:r>
      <w:r w:rsidRPr="009402E8">
        <w:rPr>
          <w:sz w:val="22"/>
          <w:szCs w:val="22"/>
        </w:rPr>
        <w:tab/>
      </w:r>
      <w:r>
        <w:rPr>
          <w:sz w:val="22"/>
          <w:szCs w:val="22"/>
        </w:rPr>
        <w:tab/>
      </w:r>
      <w:r w:rsidRPr="009402E8">
        <w:rPr>
          <w:sz w:val="22"/>
          <w:szCs w:val="22"/>
        </w:rPr>
        <w:t xml:space="preserve">(84-4) </w:t>
      </w:r>
      <w:r>
        <w:rPr>
          <w:sz w:val="22"/>
          <w:szCs w:val="22"/>
        </w:rPr>
        <w:t xml:space="preserve">3 </w:t>
      </w:r>
      <w:r w:rsidRPr="009402E8">
        <w:rPr>
          <w:sz w:val="22"/>
          <w:szCs w:val="22"/>
        </w:rPr>
        <w:t>82</w:t>
      </w:r>
      <w:r>
        <w:rPr>
          <w:sz w:val="22"/>
          <w:szCs w:val="22"/>
        </w:rPr>
        <w:t xml:space="preserve"> 5</w:t>
      </w:r>
      <w:r w:rsidRPr="009402E8">
        <w:rPr>
          <w:sz w:val="22"/>
          <w:szCs w:val="22"/>
        </w:rPr>
        <w:t>0</w:t>
      </w:r>
      <w:r>
        <w:rPr>
          <w:sz w:val="22"/>
          <w:szCs w:val="22"/>
        </w:rPr>
        <w:t xml:space="preserve"> </w:t>
      </w:r>
      <w:r w:rsidRPr="009402E8">
        <w:rPr>
          <w:sz w:val="22"/>
          <w:szCs w:val="22"/>
        </w:rPr>
        <w:t>612</w:t>
      </w:r>
    </w:p>
    <w:p w:rsidR="00375A71" w:rsidRPr="009402E8" w:rsidRDefault="00375A71" w:rsidP="00DD3322">
      <w:pPr>
        <w:pStyle w:val="ModelNrmlSingle"/>
        <w:ind w:left="720"/>
        <w:rPr>
          <w:szCs w:val="22"/>
        </w:rPr>
      </w:pPr>
      <w:r w:rsidRPr="009402E8">
        <w:rPr>
          <w:szCs w:val="22"/>
        </w:rPr>
        <w:t>Hanoi</w:t>
      </w:r>
      <w:r w:rsidRPr="009402E8">
        <w:rPr>
          <w:szCs w:val="22"/>
        </w:rPr>
        <w:tab/>
      </w:r>
      <w:r w:rsidRPr="009402E8">
        <w:rPr>
          <w:szCs w:val="22"/>
        </w:rPr>
        <w:tab/>
      </w:r>
      <w:r w:rsidRPr="009402E8">
        <w:rPr>
          <w:szCs w:val="22"/>
        </w:rPr>
        <w:tab/>
        <w:t>NHTWVT</w:t>
      </w:r>
    </w:p>
    <w:p w:rsidR="00375A71" w:rsidRPr="00CF2390" w:rsidRDefault="005B7921" w:rsidP="00375A71">
      <w:pPr>
        <w:pStyle w:val="ModelNrmlSingle"/>
        <w:ind w:left="720" w:hanging="720"/>
        <w:rPr>
          <w:bCs/>
          <w:szCs w:val="22"/>
        </w:rPr>
      </w:pPr>
      <w:r>
        <w:rPr>
          <w:szCs w:val="22"/>
        </w:rPr>
        <w:lastRenderedPageBreak/>
        <w:t>6</w:t>
      </w:r>
      <w:r w:rsidR="00375A71" w:rsidRPr="00A837D4">
        <w:rPr>
          <w:szCs w:val="22"/>
        </w:rPr>
        <w:t>.03.</w:t>
      </w:r>
      <w:r w:rsidR="00375A71" w:rsidRPr="00A837D4">
        <w:rPr>
          <w:szCs w:val="22"/>
        </w:rPr>
        <w:tab/>
        <w:t>The Association’s</w:t>
      </w:r>
      <w:r w:rsidR="00375A71" w:rsidRPr="00CF2390">
        <w:rPr>
          <w:bCs/>
          <w:szCs w:val="22"/>
        </w:rPr>
        <w:t xml:space="preserve"> Address is:</w:t>
      </w:r>
    </w:p>
    <w:p w:rsidR="00375A71" w:rsidRPr="00CF2390" w:rsidRDefault="00375A71" w:rsidP="00DD3322">
      <w:pPr>
        <w:pStyle w:val="ModelNrmlSingle"/>
        <w:spacing w:after="0"/>
        <w:ind w:left="1080" w:firstLine="360"/>
        <w:rPr>
          <w:bCs/>
          <w:szCs w:val="22"/>
        </w:rPr>
      </w:pPr>
      <w:r w:rsidRPr="00CF2390">
        <w:rPr>
          <w:bCs/>
          <w:szCs w:val="22"/>
        </w:rPr>
        <w:t>International Development Association</w:t>
      </w:r>
    </w:p>
    <w:p w:rsidR="00375A71" w:rsidRPr="00CF2390" w:rsidRDefault="00375A71" w:rsidP="00DD3322">
      <w:pPr>
        <w:pStyle w:val="ModelNrmlSingle"/>
        <w:spacing w:after="0"/>
        <w:ind w:left="1080" w:firstLine="360"/>
        <w:rPr>
          <w:bCs/>
          <w:szCs w:val="22"/>
        </w:rPr>
      </w:pPr>
      <w:r w:rsidRPr="00CF2390">
        <w:rPr>
          <w:bCs/>
          <w:szCs w:val="22"/>
        </w:rPr>
        <w:t>1818 H Street, N.W.</w:t>
      </w:r>
    </w:p>
    <w:p w:rsidR="00375A71" w:rsidRPr="00CF2390" w:rsidRDefault="00375A71" w:rsidP="00DD3322">
      <w:pPr>
        <w:pStyle w:val="ModelNrmlSingle"/>
        <w:spacing w:after="0"/>
        <w:ind w:left="1080" w:firstLine="360"/>
        <w:rPr>
          <w:bCs/>
          <w:szCs w:val="22"/>
        </w:rPr>
      </w:pPr>
      <w:r w:rsidRPr="00CF2390">
        <w:rPr>
          <w:bCs/>
          <w:szCs w:val="22"/>
        </w:rPr>
        <w:t>Washington, D.C. 20433</w:t>
      </w:r>
    </w:p>
    <w:p w:rsidR="00375A71" w:rsidRPr="00CF2390" w:rsidRDefault="00375A71" w:rsidP="00DD3322">
      <w:pPr>
        <w:pStyle w:val="ModelNrmlSingle"/>
        <w:spacing w:after="0"/>
        <w:ind w:left="1080" w:firstLine="360"/>
        <w:rPr>
          <w:bCs/>
          <w:szCs w:val="22"/>
        </w:rPr>
      </w:pPr>
      <w:r w:rsidRPr="00CF2390">
        <w:rPr>
          <w:bCs/>
          <w:szCs w:val="22"/>
        </w:rPr>
        <w:t>United States of America</w:t>
      </w:r>
    </w:p>
    <w:p w:rsidR="00375A71" w:rsidRPr="00CF2390" w:rsidRDefault="00375A71" w:rsidP="00375A71">
      <w:pPr>
        <w:pStyle w:val="ModelNrmlSingle"/>
        <w:spacing w:after="0"/>
        <w:ind w:left="1080" w:firstLine="0"/>
        <w:rPr>
          <w:bCs/>
          <w:szCs w:val="22"/>
        </w:rPr>
      </w:pPr>
    </w:p>
    <w:p w:rsidR="00375A71" w:rsidRPr="00CF2390" w:rsidRDefault="00375A71" w:rsidP="00DD3322">
      <w:pPr>
        <w:pStyle w:val="ModelNrmlSingle"/>
        <w:ind w:left="1080" w:firstLine="360"/>
        <w:rPr>
          <w:bCs/>
          <w:szCs w:val="22"/>
        </w:rPr>
      </w:pPr>
      <w:r w:rsidRPr="00CF2390">
        <w:rPr>
          <w:bCs/>
          <w:szCs w:val="22"/>
        </w:rPr>
        <w:t>Cable:</w:t>
      </w:r>
      <w:r w:rsidRPr="00CF2390">
        <w:rPr>
          <w:bCs/>
          <w:szCs w:val="22"/>
        </w:rPr>
        <w:tab/>
      </w:r>
      <w:r w:rsidRPr="00CF2390">
        <w:rPr>
          <w:bCs/>
          <w:szCs w:val="22"/>
        </w:rPr>
        <w:tab/>
      </w:r>
      <w:r>
        <w:rPr>
          <w:bCs/>
          <w:szCs w:val="22"/>
        </w:rPr>
        <w:tab/>
      </w:r>
      <w:r w:rsidRPr="00CF2390">
        <w:rPr>
          <w:bCs/>
          <w:szCs w:val="22"/>
        </w:rPr>
        <w:t>Telex:</w:t>
      </w:r>
      <w:r w:rsidRPr="00CF2390">
        <w:rPr>
          <w:bCs/>
          <w:szCs w:val="22"/>
        </w:rPr>
        <w:tab/>
      </w:r>
      <w:r w:rsidRPr="00CF2390">
        <w:rPr>
          <w:bCs/>
          <w:szCs w:val="22"/>
        </w:rPr>
        <w:tab/>
      </w:r>
      <w:r w:rsidRPr="00CF2390">
        <w:rPr>
          <w:bCs/>
          <w:szCs w:val="22"/>
        </w:rPr>
        <w:tab/>
        <w:t>Facsimile:</w:t>
      </w:r>
    </w:p>
    <w:p w:rsidR="00375A71" w:rsidRPr="00CF2390" w:rsidRDefault="00375A71" w:rsidP="00DD3322">
      <w:pPr>
        <w:pStyle w:val="ModelNrmlSingle"/>
        <w:spacing w:after="0"/>
        <w:ind w:left="1080" w:firstLine="360"/>
        <w:rPr>
          <w:bCs/>
          <w:szCs w:val="22"/>
        </w:rPr>
      </w:pPr>
      <w:r w:rsidRPr="00CF2390">
        <w:rPr>
          <w:bCs/>
          <w:szCs w:val="22"/>
        </w:rPr>
        <w:t>INDEVAS</w:t>
      </w:r>
      <w:r w:rsidRPr="00CF2390">
        <w:rPr>
          <w:bCs/>
          <w:szCs w:val="22"/>
        </w:rPr>
        <w:tab/>
      </w:r>
      <w:r w:rsidRPr="00CF2390">
        <w:rPr>
          <w:bCs/>
          <w:szCs w:val="22"/>
        </w:rPr>
        <w:tab/>
      </w:r>
      <w:r>
        <w:rPr>
          <w:bCs/>
          <w:szCs w:val="22"/>
        </w:rPr>
        <w:tab/>
      </w:r>
      <w:r w:rsidR="00DD3322">
        <w:rPr>
          <w:bCs/>
          <w:szCs w:val="22"/>
        </w:rPr>
        <w:t>248423 (MCI)</w:t>
      </w:r>
      <w:r w:rsidR="00DD3322">
        <w:rPr>
          <w:bCs/>
          <w:szCs w:val="22"/>
        </w:rPr>
        <w:tab/>
      </w:r>
      <w:r>
        <w:rPr>
          <w:bCs/>
          <w:szCs w:val="22"/>
        </w:rPr>
        <w:t>(</w:t>
      </w:r>
      <w:r w:rsidRPr="00CF2390">
        <w:rPr>
          <w:bCs/>
          <w:szCs w:val="22"/>
        </w:rPr>
        <w:t>1-202</w:t>
      </w:r>
      <w:r>
        <w:rPr>
          <w:bCs/>
          <w:szCs w:val="22"/>
        </w:rPr>
        <w:t xml:space="preserve">) </w:t>
      </w:r>
      <w:r w:rsidRPr="00CF2390">
        <w:rPr>
          <w:bCs/>
          <w:szCs w:val="22"/>
        </w:rPr>
        <w:t>477-6391</w:t>
      </w:r>
    </w:p>
    <w:p w:rsidR="00375A71" w:rsidRDefault="00375A71" w:rsidP="00DD3322">
      <w:pPr>
        <w:pStyle w:val="ModelNrmlSingle"/>
        <w:ind w:left="720"/>
        <w:rPr>
          <w:szCs w:val="22"/>
        </w:rPr>
      </w:pPr>
      <w:r w:rsidRPr="00CF2390">
        <w:rPr>
          <w:bCs/>
          <w:szCs w:val="22"/>
        </w:rPr>
        <w:t>Washington, D.C.</w:t>
      </w:r>
    </w:p>
    <w:p w:rsidR="00375A71" w:rsidRDefault="00375A71" w:rsidP="001D1B84">
      <w:pPr>
        <w:pStyle w:val="ModelNrmlDouble"/>
        <w:spacing w:after="120" w:line="240" w:lineRule="auto"/>
        <w:rPr>
          <w:szCs w:val="22"/>
        </w:rPr>
      </w:pPr>
    </w:p>
    <w:p w:rsidR="00375A71" w:rsidRDefault="00375A71" w:rsidP="001D1B84">
      <w:pPr>
        <w:pStyle w:val="ModelNrmlDouble"/>
        <w:spacing w:line="240" w:lineRule="auto"/>
        <w:rPr>
          <w:szCs w:val="22"/>
        </w:rPr>
      </w:pPr>
      <w:proofErr w:type="gramStart"/>
      <w:r w:rsidRPr="00CF2390">
        <w:rPr>
          <w:szCs w:val="22"/>
        </w:rPr>
        <w:t xml:space="preserve">AGREED at </w:t>
      </w:r>
      <w:r w:rsidRPr="008244DF">
        <w:rPr>
          <w:szCs w:val="22"/>
        </w:rPr>
        <w:t>Hanoi</w:t>
      </w:r>
      <w:r>
        <w:rPr>
          <w:szCs w:val="22"/>
        </w:rPr>
        <w:t>, Socialist Republic of Vietnam</w:t>
      </w:r>
      <w:r w:rsidRPr="00CF2390">
        <w:rPr>
          <w:szCs w:val="22"/>
        </w:rPr>
        <w:t>, as of the day and year first above written.</w:t>
      </w:r>
      <w:proofErr w:type="gramEnd"/>
    </w:p>
    <w:p w:rsidR="00C93E48" w:rsidRPr="001D1B84" w:rsidRDefault="00C93E48" w:rsidP="001D1B84">
      <w:pPr>
        <w:pStyle w:val="ModelNrmlDouble"/>
        <w:spacing w:line="240" w:lineRule="auto"/>
        <w:rPr>
          <w:szCs w:val="22"/>
        </w:rPr>
      </w:pPr>
    </w:p>
    <w:p w:rsidR="00826EE2" w:rsidRDefault="00826EE2" w:rsidP="00375A71">
      <w:pPr>
        <w:rPr>
          <w:b/>
          <w:sz w:val="22"/>
          <w:szCs w:val="22"/>
        </w:rPr>
      </w:pPr>
    </w:p>
    <w:p w:rsidR="00375A71" w:rsidRPr="000A622B" w:rsidRDefault="00375A71" w:rsidP="00375A71">
      <w:pPr>
        <w:ind w:left="1440" w:firstLine="720"/>
        <w:rPr>
          <w:sz w:val="22"/>
          <w:szCs w:val="22"/>
        </w:rPr>
      </w:pPr>
      <w:r w:rsidRPr="000A622B">
        <w:rPr>
          <w:sz w:val="22"/>
          <w:szCs w:val="22"/>
        </w:rPr>
        <w:t>SOCIALIST REPUBLIC OF VIETNAM</w:t>
      </w:r>
    </w:p>
    <w:p w:rsidR="00375A71" w:rsidRPr="000A622B" w:rsidRDefault="00375A71" w:rsidP="00375A71">
      <w:pPr>
        <w:rPr>
          <w:sz w:val="22"/>
          <w:szCs w:val="22"/>
        </w:rPr>
      </w:pPr>
    </w:p>
    <w:p w:rsidR="00375A71" w:rsidRDefault="00375A71" w:rsidP="00375A71">
      <w:pPr>
        <w:rPr>
          <w:sz w:val="22"/>
          <w:szCs w:val="22"/>
        </w:rPr>
      </w:pPr>
    </w:p>
    <w:p w:rsidR="000A622B" w:rsidRPr="000A622B" w:rsidRDefault="000A622B" w:rsidP="00375A71">
      <w:pPr>
        <w:rPr>
          <w:sz w:val="22"/>
          <w:szCs w:val="22"/>
        </w:rPr>
      </w:pPr>
    </w:p>
    <w:p w:rsidR="00375A71" w:rsidRDefault="00375A71" w:rsidP="00375A71">
      <w:pPr>
        <w:rPr>
          <w:sz w:val="22"/>
          <w:szCs w:val="22"/>
        </w:rPr>
      </w:pPr>
      <w:r w:rsidRPr="000A622B">
        <w:rPr>
          <w:sz w:val="22"/>
          <w:szCs w:val="22"/>
        </w:rPr>
        <w:tab/>
      </w:r>
      <w:r w:rsidRPr="000A622B">
        <w:rPr>
          <w:sz w:val="22"/>
          <w:szCs w:val="22"/>
        </w:rPr>
        <w:tab/>
      </w:r>
      <w:r w:rsidRPr="000A622B">
        <w:rPr>
          <w:sz w:val="22"/>
          <w:szCs w:val="22"/>
        </w:rPr>
        <w:tab/>
        <w:t>By</w:t>
      </w:r>
      <w:r w:rsidR="007916D4">
        <w:rPr>
          <w:sz w:val="22"/>
          <w:szCs w:val="22"/>
        </w:rPr>
        <w:t xml:space="preserve">: /s/ </w:t>
      </w:r>
      <w:r w:rsidR="007916D4" w:rsidRPr="007916D4">
        <w:t xml:space="preserve">Nguyen Van </w:t>
      </w:r>
      <w:proofErr w:type="spellStart"/>
      <w:r w:rsidR="007916D4" w:rsidRPr="007916D4">
        <w:t>Giau</w:t>
      </w:r>
      <w:proofErr w:type="spellEnd"/>
    </w:p>
    <w:p w:rsidR="000A622B" w:rsidRDefault="000A622B" w:rsidP="00375A71">
      <w:pPr>
        <w:rPr>
          <w:sz w:val="22"/>
          <w:szCs w:val="22"/>
        </w:rPr>
      </w:pPr>
    </w:p>
    <w:p w:rsidR="000A622B" w:rsidRPr="000A622B" w:rsidRDefault="000A622B" w:rsidP="00375A71">
      <w:pPr>
        <w:rPr>
          <w:sz w:val="22"/>
          <w:szCs w:val="22"/>
        </w:rPr>
      </w:pPr>
    </w:p>
    <w:p w:rsidR="00375A71" w:rsidRPr="000A622B" w:rsidRDefault="00375A71" w:rsidP="00375A71">
      <w:pPr>
        <w:jc w:val="right"/>
        <w:rPr>
          <w:sz w:val="22"/>
          <w:szCs w:val="22"/>
        </w:rPr>
      </w:pPr>
    </w:p>
    <w:p w:rsidR="001D1B84" w:rsidRDefault="001D1B84" w:rsidP="00375A71">
      <w:pPr>
        <w:jc w:val="right"/>
        <w:rPr>
          <w:sz w:val="22"/>
          <w:szCs w:val="22"/>
        </w:rPr>
      </w:pPr>
    </w:p>
    <w:p w:rsidR="00375A71" w:rsidRPr="000A622B" w:rsidRDefault="00375A71" w:rsidP="00375A71">
      <w:pPr>
        <w:jc w:val="right"/>
        <w:rPr>
          <w:sz w:val="22"/>
          <w:szCs w:val="22"/>
        </w:rPr>
      </w:pPr>
      <w:r w:rsidRPr="000A622B">
        <w:rPr>
          <w:sz w:val="22"/>
          <w:szCs w:val="22"/>
        </w:rPr>
        <w:t>Authorized Representative</w:t>
      </w:r>
    </w:p>
    <w:p w:rsidR="000A622B" w:rsidRDefault="000A622B" w:rsidP="00375A71">
      <w:pPr>
        <w:rPr>
          <w:sz w:val="22"/>
          <w:szCs w:val="22"/>
        </w:rPr>
      </w:pPr>
    </w:p>
    <w:p w:rsidR="000A622B" w:rsidRPr="000A622B" w:rsidRDefault="000A622B" w:rsidP="00375A71">
      <w:pPr>
        <w:rPr>
          <w:sz w:val="22"/>
          <w:szCs w:val="22"/>
        </w:rPr>
      </w:pPr>
    </w:p>
    <w:p w:rsidR="00375A71" w:rsidRPr="000A622B" w:rsidRDefault="00375A71" w:rsidP="00375A71">
      <w:pPr>
        <w:rPr>
          <w:sz w:val="22"/>
          <w:szCs w:val="22"/>
        </w:rPr>
      </w:pPr>
    </w:p>
    <w:p w:rsidR="00375A71" w:rsidRPr="000A622B" w:rsidRDefault="00375A71" w:rsidP="00375A71">
      <w:pPr>
        <w:jc w:val="both"/>
        <w:rPr>
          <w:sz w:val="22"/>
          <w:szCs w:val="22"/>
        </w:rPr>
      </w:pPr>
      <w:r w:rsidRPr="000A622B">
        <w:rPr>
          <w:sz w:val="22"/>
          <w:szCs w:val="22"/>
        </w:rPr>
        <w:tab/>
      </w:r>
      <w:r w:rsidRPr="000A622B">
        <w:rPr>
          <w:sz w:val="22"/>
          <w:szCs w:val="22"/>
        </w:rPr>
        <w:tab/>
      </w:r>
      <w:r w:rsidRPr="000A622B">
        <w:rPr>
          <w:sz w:val="22"/>
          <w:szCs w:val="22"/>
        </w:rPr>
        <w:tab/>
        <w:t>INTERNATIONAL DEVELOPMENT ASSOCIATION</w:t>
      </w:r>
    </w:p>
    <w:p w:rsidR="00375A71" w:rsidRPr="000A622B" w:rsidRDefault="00375A71" w:rsidP="00375A71">
      <w:pPr>
        <w:jc w:val="both"/>
        <w:rPr>
          <w:sz w:val="22"/>
          <w:szCs w:val="22"/>
        </w:rPr>
      </w:pPr>
    </w:p>
    <w:p w:rsidR="000A622B" w:rsidRDefault="000A622B" w:rsidP="00375A71">
      <w:pPr>
        <w:jc w:val="both"/>
        <w:rPr>
          <w:sz w:val="22"/>
          <w:szCs w:val="22"/>
        </w:rPr>
      </w:pPr>
    </w:p>
    <w:p w:rsidR="000A622B" w:rsidRPr="000A622B" w:rsidRDefault="000A622B" w:rsidP="00375A71">
      <w:pPr>
        <w:jc w:val="both"/>
        <w:rPr>
          <w:sz w:val="22"/>
          <w:szCs w:val="22"/>
        </w:rPr>
      </w:pPr>
    </w:p>
    <w:p w:rsidR="00375A71" w:rsidRDefault="00375A71" w:rsidP="00375A71">
      <w:pPr>
        <w:jc w:val="both"/>
        <w:rPr>
          <w:sz w:val="22"/>
          <w:szCs w:val="22"/>
        </w:rPr>
      </w:pPr>
      <w:r w:rsidRPr="000A622B">
        <w:rPr>
          <w:sz w:val="22"/>
          <w:szCs w:val="22"/>
        </w:rPr>
        <w:tab/>
      </w:r>
      <w:r w:rsidRPr="000A622B">
        <w:rPr>
          <w:sz w:val="22"/>
          <w:szCs w:val="22"/>
        </w:rPr>
        <w:tab/>
      </w:r>
      <w:r w:rsidRPr="000A622B">
        <w:rPr>
          <w:sz w:val="22"/>
          <w:szCs w:val="22"/>
        </w:rPr>
        <w:tab/>
        <w:t>By</w:t>
      </w:r>
      <w:r w:rsidR="007916D4">
        <w:rPr>
          <w:sz w:val="22"/>
          <w:szCs w:val="22"/>
        </w:rPr>
        <w:t xml:space="preserve">: /s/ Victoria </w:t>
      </w:r>
      <w:proofErr w:type="spellStart"/>
      <w:r w:rsidR="007916D4">
        <w:rPr>
          <w:sz w:val="22"/>
          <w:szCs w:val="22"/>
        </w:rPr>
        <w:t>Kwakwa</w:t>
      </w:r>
      <w:proofErr w:type="spellEnd"/>
    </w:p>
    <w:p w:rsidR="000A622B" w:rsidRDefault="000A622B" w:rsidP="00375A71">
      <w:pPr>
        <w:jc w:val="both"/>
        <w:rPr>
          <w:sz w:val="22"/>
          <w:szCs w:val="22"/>
        </w:rPr>
      </w:pPr>
    </w:p>
    <w:p w:rsidR="000A622B" w:rsidRPr="000A622B" w:rsidRDefault="000A622B" w:rsidP="00375A71">
      <w:pPr>
        <w:jc w:val="both"/>
        <w:rPr>
          <w:sz w:val="22"/>
          <w:szCs w:val="22"/>
        </w:rPr>
      </w:pPr>
    </w:p>
    <w:p w:rsidR="00375A71" w:rsidRPr="000A622B" w:rsidRDefault="00375A71" w:rsidP="00375A71">
      <w:pPr>
        <w:jc w:val="right"/>
        <w:rPr>
          <w:sz w:val="22"/>
          <w:szCs w:val="22"/>
        </w:rPr>
      </w:pPr>
    </w:p>
    <w:p w:rsidR="00C93E48" w:rsidRDefault="00375A71" w:rsidP="00375A71">
      <w:pPr>
        <w:jc w:val="right"/>
        <w:rPr>
          <w:sz w:val="22"/>
          <w:szCs w:val="22"/>
        </w:rPr>
      </w:pPr>
      <w:r w:rsidRPr="000A622B">
        <w:rPr>
          <w:sz w:val="22"/>
          <w:szCs w:val="22"/>
        </w:rPr>
        <w:t>Authorized Representative</w:t>
      </w:r>
    </w:p>
    <w:p w:rsidR="00C93E48" w:rsidRDefault="00C93E48">
      <w:pPr>
        <w:rPr>
          <w:sz w:val="22"/>
          <w:szCs w:val="22"/>
        </w:rPr>
      </w:pPr>
      <w:r>
        <w:rPr>
          <w:sz w:val="22"/>
          <w:szCs w:val="22"/>
        </w:rPr>
        <w:br w:type="page"/>
      </w:r>
    </w:p>
    <w:p w:rsidR="00375A71" w:rsidRDefault="00375A71" w:rsidP="00375A71">
      <w:pPr>
        <w:jc w:val="right"/>
        <w:rPr>
          <w:sz w:val="22"/>
          <w:szCs w:val="22"/>
        </w:rPr>
      </w:pPr>
    </w:p>
    <w:p w:rsidR="005905AF" w:rsidRDefault="005905AF" w:rsidP="00826EE2">
      <w:pPr>
        <w:pStyle w:val="ModelNrmlSingle"/>
        <w:ind w:firstLine="0"/>
        <w:jc w:val="center"/>
        <w:rPr>
          <w:b/>
        </w:rPr>
      </w:pPr>
      <w:r>
        <w:rPr>
          <w:b/>
        </w:rPr>
        <w:t>SCHEDULE 1</w:t>
      </w:r>
    </w:p>
    <w:p w:rsidR="005905AF" w:rsidRDefault="005905AF" w:rsidP="00C1523C">
      <w:pPr>
        <w:pStyle w:val="ModelNrmlSingle"/>
        <w:ind w:firstLine="0"/>
        <w:jc w:val="center"/>
        <w:rPr>
          <w:b/>
        </w:rPr>
      </w:pPr>
      <w:r>
        <w:rPr>
          <w:b/>
        </w:rPr>
        <w:t>Project</w:t>
      </w:r>
      <w:r w:rsidR="00E21A72">
        <w:rPr>
          <w:b/>
        </w:rPr>
        <w:t xml:space="preserve"> Description</w:t>
      </w:r>
    </w:p>
    <w:p w:rsidR="005905AF" w:rsidRDefault="005905AF" w:rsidP="005905AF">
      <w:pPr>
        <w:pStyle w:val="ModelNrmlSingle"/>
      </w:pPr>
      <w:r>
        <w:t xml:space="preserve">The objective of the Project is to strengthen the </w:t>
      </w:r>
      <w:r w:rsidR="007E1380">
        <w:t>Recipient</w:t>
      </w:r>
      <w:r>
        <w:t>’s capacity to plan, execute and report on its budget and to improve the transparency and accountability of the budgetary systems and processes.</w:t>
      </w:r>
    </w:p>
    <w:p w:rsidR="005905AF" w:rsidRDefault="005905AF" w:rsidP="005905AF">
      <w:pPr>
        <w:pStyle w:val="ModelNrmlSingle"/>
      </w:pPr>
      <w:r>
        <w:t xml:space="preserve">The Project consists of the following parts, subject to such modifications thereof as the </w:t>
      </w:r>
      <w:r w:rsidR="00F56297">
        <w:t>Recipient</w:t>
      </w:r>
      <w:r>
        <w:t xml:space="preserve"> and the Association may agree upon from time to time to achieve such objectives:</w:t>
      </w:r>
    </w:p>
    <w:p w:rsidR="005905AF" w:rsidRPr="00E21A72" w:rsidRDefault="005905AF" w:rsidP="005905AF">
      <w:pPr>
        <w:pStyle w:val="ModelNrmlSingle"/>
        <w:ind w:firstLine="0"/>
        <w:rPr>
          <w:b/>
        </w:rPr>
      </w:pPr>
      <w:r w:rsidRPr="00E21A72">
        <w:rPr>
          <w:b/>
        </w:rPr>
        <w:t xml:space="preserve">PART A:  </w:t>
      </w:r>
      <w:r w:rsidR="00E21A72">
        <w:rPr>
          <w:b/>
        </w:rPr>
        <w:tab/>
      </w:r>
      <w:r w:rsidRPr="00E21A72">
        <w:rPr>
          <w:b/>
        </w:rPr>
        <w:t xml:space="preserve">Strengthen Treasury and Budget Management </w:t>
      </w:r>
    </w:p>
    <w:p w:rsidR="005905AF" w:rsidRDefault="005905AF" w:rsidP="005905AF">
      <w:pPr>
        <w:pStyle w:val="ModelNrmlSingle"/>
        <w:ind w:firstLine="0"/>
      </w:pPr>
      <w:r>
        <w:tab/>
        <w:t xml:space="preserve">Establish </w:t>
      </w:r>
      <w:r w:rsidR="007C1173">
        <w:t xml:space="preserve">TABMIS </w:t>
      </w:r>
      <w:r>
        <w:t>to support budgeting, control, monitoring and accounting at central, provincial and local government levels, consisting of:</w:t>
      </w:r>
    </w:p>
    <w:p w:rsidR="005905AF" w:rsidRDefault="005905AF" w:rsidP="00826EE2">
      <w:pPr>
        <w:pStyle w:val="ModelNrmlSingle"/>
        <w:numPr>
          <w:ilvl w:val="0"/>
          <w:numId w:val="2"/>
        </w:numPr>
        <w:ind w:left="720"/>
        <w:rPr>
          <w:szCs w:val="22"/>
        </w:rPr>
      </w:pPr>
      <w:r>
        <w:rPr>
          <w:szCs w:val="22"/>
        </w:rPr>
        <w:t xml:space="preserve">(a) </w:t>
      </w:r>
      <w:r w:rsidRPr="00F35BDC">
        <w:t>Procurement</w:t>
      </w:r>
      <w:r>
        <w:rPr>
          <w:szCs w:val="22"/>
        </w:rPr>
        <w:t>, development,</w:t>
      </w:r>
      <w:r w:rsidRPr="00A939F9">
        <w:rPr>
          <w:szCs w:val="22"/>
        </w:rPr>
        <w:t xml:space="preserve"> and deployment of TABMIS,</w:t>
      </w:r>
      <w:r>
        <w:rPr>
          <w:szCs w:val="22"/>
        </w:rPr>
        <w:t xml:space="preserve"> and rolling-out of TABMIS deployment to all treasury and financial offices at central, provincial, and district levels and the MPI,</w:t>
      </w:r>
      <w:r w:rsidRPr="00A939F9">
        <w:rPr>
          <w:szCs w:val="22"/>
        </w:rPr>
        <w:t xml:space="preserve"> including hardware, software</w:t>
      </w:r>
      <w:r>
        <w:rPr>
          <w:szCs w:val="22"/>
        </w:rPr>
        <w:t xml:space="preserve">, and services; </w:t>
      </w:r>
      <w:r w:rsidR="00826EE2">
        <w:rPr>
          <w:szCs w:val="22"/>
        </w:rPr>
        <w:t xml:space="preserve">      </w:t>
      </w:r>
      <w:r>
        <w:rPr>
          <w:szCs w:val="22"/>
        </w:rPr>
        <w:t>(b)</w:t>
      </w:r>
      <w:r w:rsidRPr="00A939F9" w:rsidDel="00952DCD">
        <w:rPr>
          <w:szCs w:val="22"/>
        </w:rPr>
        <w:t xml:space="preserve"> development and implementation of a </w:t>
      </w:r>
      <w:r>
        <w:rPr>
          <w:szCs w:val="22"/>
        </w:rPr>
        <w:t>plan</w:t>
      </w:r>
      <w:r w:rsidRPr="00A939F9" w:rsidDel="00952DCD">
        <w:rPr>
          <w:szCs w:val="22"/>
        </w:rPr>
        <w:t xml:space="preserve"> for change management and training to enable the adoption and </w:t>
      </w:r>
      <w:proofErr w:type="spellStart"/>
      <w:r w:rsidRPr="00A939F9" w:rsidDel="00952DCD">
        <w:rPr>
          <w:szCs w:val="22"/>
        </w:rPr>
        <w:t>operationalization</w:t>
      </w:r>
      <w:proofErr w:type="spellEnd"/>
      <w:r w:rsidRPr="00A939F9" w:rsidDel="00952DCD">
        <w:rPr>
          <w:szCs w:val="22"/>
        </w:rPr>
        <w:t xml:space="preserve"> of said system</w:t>
      </w:r>
      <w:r>
        <w:rPr>
          <w:szCs w:val="22"/>
        </w:rPr>
        <w:t xml:space="preserve">; </w:t>
      </w:r>
      <w:r w:rsidR="007B7251">
        <w:rPr>
          <w:szCs w:val="22"/>
        </w:rPr>
        <w:t xml:space="preserve">               and </w:t>
      </w:r>
      <w:r>
        <w:rPr>
          <w:szCs w:val="22"/>
        </w:rPr>
        <w:t>(c) strengthening of institutional capacity for TABMIS implementation and operation</w:t>
      </w:r>
      <w:r w:rsidRPr="00A939F9" w:rsidDel="00952DCD">
        <w:rPr>
          <w:szCs w:val="22"/>
        </w:rPr>
        <w:t>.</w:t>
      </w:r>
    </w:p>
    <w:p w:rsidR="005905AF" w:rsidRPr="00F35BDC" w:rsidRDefault="005905AF" w:rsidP="00826EE2">
      <w:pPr>
        <w:pStyle w:val="ModelNrmlSingle"/>
        <w:numPr>
          <w:ilvl w:val="0"/>
          <w:numId w:val="2"/>
        </w:numPr>
        <w:ind w:left="720"/>
      </w:pPr>
      <w:r w:rsidRPr="00F35BDC">
        <w:rPr>
          <w:szCs w:val="22"/>
        </w:rPr>
        <w:t xml:space="preserve">(a) Implementation </w:t>
      </w:r>
      <w:r w:rsidRPr="00767B99">
        <w:rPr>
          <w:szCs w:val="22"/>
        </w:rPr>
        <w:t xml:space="preserve">of budget allocation module at </w:t>
      </w:r>
      <w:r w:rsidR="002205D9">
        <w:rPr>
          <w:szCs w:val="22"/>
        </w:rPr>
        <w:t>treasur</w:t>
      </w:r>
      <w:r w:rsidR="00380F50">
        <w:rPr>
          <w:szCs w:val="22"/>
        </w:rPr>
        <w:t xml:space="preserve">y offices </w:t>
      </w:r>
      <w:r w:rsidR="002205D9">
        <w:rPr>
          <w:szCs w:val="22"/>
        </w:rPr>
        <w:t>and financial agencies from the central level to the district level</w:t>
      </w:r>
      <w:r w:rsidR="007C1173">
        <w:rPr>
          <w:szCs w:val="22"/>
        </w:rPr>
        <w:t>,</w:t>
      </w:r>
      <w:r w:rsidR="002205D9">
        <w:rPr>
          <w:szCs w:val="22"/>
        </w:rPr>
        <w:t xml:space="preserve"> </w:t>
      </w:r>
      <w:r w:rsidR="0094303B">
        <w:rPr>
          <w:szCs w:val="22"/>
        </w:rPr>
        <w:t xml:space="preserve">as well as </w:t>
      </w:r>
      <w:r w:rsidR="00380F50">
        <w:rPr>
          <w:szCs w:val="22"/>
        </w:rPr>
        <w:t>ministries and government agencies</w:t>
      </w:r>
      <w:r w:rsidRPr="00767B99">
        <w:rPr>
          <w:szCs w:val="22"/>
        </w:rPr>
        <w:t>; and (b) rolling out o</w:t>
      </w:r>
      <w:r w:rsidRPr="00F35BDC">
        <w:rPr>
          <w:szCs w:val="22"/>
        </w:rPr>
        <w:t xml:space="preserve">f budget allocation module to selected major supervising </w:t>
      </w:r>
      <w:r w:rsidR="00700503">
        <w:rPr>
          <w:szCs w:val="22"/>
        </w:rPr>
        <w:t>agencies</w:t>
      </w:r>
      <w:r w:rsidRPr="00F35BDC">
        <w:rPr>
          <w:szCs w:val="22"/>
        </w:rPr>
        <w:t xml:space="preserve"> at </w:t>
      </w:r>
      <w:r w:rsidR="0094303B">
        <w:rPr>
          <w:szCs w:val="22"/>
        </w:rPr>
        <w:t xml:space="preserve">the </w:t>
      </w:r>
      <w:r w:rsidRPr="00F35BDC">
        <w:rPr>
          <w:szCs w:val="22"/>
        </w:rPr>
        <w:t xml:space="preserve">central budget level.  </w:t>
      </w:r>
    </w:p>
    <w:p w:rsidR="005905AF" w:rsidRPr="00A83A58" w:rsidRDefault="005905AF" w:rsidP="00826EE2">
      <w:pPr>
        <w:pStyle w:val="ModelNrmlSingle"/>
        <w:numPr>
          <w:ilvl w:val="0"/>
          <w:numId w:val="2"/>
        </w:numPr>
        <w:ind w:left="720"/>
      </w:pPr>
      <w:r w:rsidRPr="00F35BDC">
        <w:rPr>
          <w:szCs w:val="22"/>
        </w:rPr>
        <w:t>Undertaking of further financial management ration</w:t>
      </w:r>
      <w:r w:rsidR="00826EE2">
        <w:rPr>
          <w:szCs w:val="22"/>
        </w:rPr>
        <w:t xml:space="preserve">alization and reform, including:  </w:t>
      </w:r>
      <w:r w:rsidR="008710E0">
        <w:rPr>
          <w:szCs w:val="22"/>
        </w:rPr>
        <w:t xml:space="preserve">(a) </w:t>
      </w:r>
      <w:r w:rsidR="008710E0" w:rsidRPr="00A83A58">
        <w:rPr>
          <w:szCs w:val="22"/>
        </w:rPr>
        <w:t>preparation for an effective cash management system including cash forecasting</w:t>
      </w:r>
      <w:r w:rsidR="008710E0">
        <w:rPr>
          <w:szCs w:val="22"/>
        </w:rPr>
        <w:t xml:space="preserve"> and </w:t>
      </w:r>
      <w:proofErr w:type="spellStart"/>
      <w:r w:rsidRPr="00F35BDC">
        <w:rPr>
          <w:szCs w:val="22"/>
        </w:rPr>
        <w:t>operationalization</w:t>
      </w:r>
      <w:proofErr w:type="spellEnd"/>
      <w:r w:rsidRPr="00F35BDC">
        <w:rPr>
          <w:szCs w:val="22"/>
        </w:rPr>
        <w:t xml:space="preserve"> of a treasury single account</w:t>
      </w:r>
      <w:r w:rsidR="008710E0">
        <w:rPr>
          <w:szCs w:val="22"/>
        </w:rPr>
        <w:t>;</w:t>
      </w:r>
      <w:r>
        <w:rPr>
          <w:szCs w:val="22"/>
        </w:rPr>
        <w:t xml:space="preserve"> and</w:t>
      </w:r>
      <w:r w:rsidR="008710E0">
        <w:rPr>
          <w:szCs w:val="22"/>
        </w:rPr>
        <w:t xml:space="preserve"> </w:t>
      </w:r>
      <w:r w:rsidR="00826EE2">
        <w:rPr>
          <w:szCs w:val="22"/>
        </w:rPr>
        <w:t xml:space="preserve">          </w:t>
      </w:r>
      <w:r w:rsidR="008710E0">
        <w:rPr>
          <w:szCs w:val="22"/>
        </w:rPr>
        <w:t>(</w:t>
      </w:r>
      <w:r w:rsidR="00826EE2">
        <w:rPr>
          <w:szCs w:val="22"/>
        </w:rPr>
        <w:t>b</w:t>
      </w:r>
      <w:r w:rsidR="008710E0">
        <w:rPr>
          <w:szCs w:val="22"/>
        </w:rPr>
        <w:t>)</w:t>
      </w:r>
      <w:r w:rsidRPr="00023D28">
        <w:rPr>
          <w:szCs w:val="22"/>
        </w:rPr>
        <w:t xml:space="preserve"> </w:t>
      </w:r>
      <w:r w:rsidRPr="00A83A58">
        <w:rPr>
          <w:szCs w:val="22"/>
        </w:rPr>
        <w:t>preparation for establishment of state accounting general function</w:t>
      </w:r>
      <w:r>
        <w:rPr>
          <w:szCs w:val="22"/>
        </w:rPr>
        <w:t>.</w:t>
      </w:r>
    </w:p>
    <w:p w:rsidR="005905AF" w:rsidRPr="00D22A63" w:rsidRDefault="005905AF" w:rsidP="00826EE2">
      <w:pPr>
        <w:pStyle w:val="ModelNrmlSingle"/>
        <w:numPr>
          <w:ilvl w:val="0"/>
          <w:numId w:val="2"/>
        </w:numPr>
        <w:ind w:left="720"/>
      </w:pPr>
      <w:r w:rsidRPr="00A83A58">
        <w:rPr>
          <w:szCs w:val="22"/>
        </w:rPr>
        <w:t>Undertaking of preparation work towards a government financial management information system, including: (a) development of model, roadmap, technical requirements and bidding document for a portal providing access to TABMIS by spending units and planning and investment agencies at all levels;</w:t>
      </w:r>
      <w:r>
        <w:rPr>
          <w:szCs w:val="22"/>
        </w:rPr>
        <w:t xml:space="preserve"> and </w:t>
      </w:r>
      <w:r w:rsidR="00007F98">
        <w:rPr>
          <w:szCs w:val="22"/>
        </w:rPr>
        <w:t xml:space="preserve">              </w:t>
      </w:r>
      <w:r>
        <w:rPr>
          <w:szCs w:val="22"/>
        </w:rPr>
        <w:t>(</w:t>
      </w:r>
      <w:r w:rsidR="008710E0">
        <w:rPr>
          <w:szCs w:val="22"/>
        </w:rPr>
        <w:t>b</w:t>
      </w:r>
      <w:r>
        <w:rPr>
          <w:szCs w:val="22"/>
        </w:rPr>
        <w:t xml:space="preserve">) </w:t>
      </w:r>
      <w:r w:rsidRPr="00A83A58">
        <w:rPr>
          <w:szCs w:val="22"/>
        </w:rPr>
        <w:t>development of a model and roadmap for a government financial management information system.</w:t>
      </w:r>
    </w:p>
    <w:p w:rsidR="00557C3A" w:rsidRDefault="00557C3A" w:rsidP="005905AF">
      <w:pPr>
        <w:pStyle w:val="ModelNrmlSingle"/>
        <w:ind w:firstLine="0"/>
        <w:rPr>
          <w:b/>
        </w:rPr>
      </w:pPr>
    </w:p>
    <w:p w:rsidR="00557C3A" w:rsidRDefault="00557C3A" w:rsidP="005905AF">
      <w:pPr>
        <w:pStyle w:val="ModelNrmlSingle"/>
        <w:ind w:firstLine="0"/>
        <w:rPr>
          <w:b/>
        </w:rPr>
      </w:pPr>
    </w:p>
    <w:p w:rsidR="005905AF" w:rsidRPr="00E21A72" w:rsidRDefault="005905AF" w:rsidP="005905AF">
      <w:pPr>
        <w:pStyle w:val="ModelNrmlSingle"/>
        <w:ind w:firstLine="0"/>
        <w:rPr>
          <w:b/>
        </w:rPr>
      </w:pPr>
      <w:r w:rsidRPr="00E21A72">
        <w:rPr>
          <w:b/>
        </w:rPr>
        <w:lastRenderedPageBreak/>
        <w:t>PART B:</w:t>
      </w:r>
      <w:r w:rsidR="00E21A72">
        <w:rPr>
          <w:b/>
        </w:rPr>
        <w:tab/>
      </w:r>
      <w:r w:rsidRPr="00E21A72">
        <w:rPr>
          <w:b/>
        </w:rPr>
        <w:t xml:space="preserve">Strengthen State Budget and Investment Planning  </w:t>
      </w:r>
    </w:p>
    <w:p w:rsidR="005905AF" w:rsidRDefault="005905AF" w:rsidP="005905AF">
      <w:pPr>
        <w:pStyle w:val="ModelNrmlSingle"/>
        <w:ind w:firstLine="0"/>
      </w:pPr>
      <w:r>
        <w:tab/>
        <w:t>Carrying out a program to strengthen budget and investment planning capacity, consisting of:</w:t>
      </w:r>
    </w:p>
    <w:p w:rsidR="005905AF" w:rsidRPr="00F35BDC" w:rsidRDefault="005905AF" w:rsidP="00826EE2">
      <w:pPr>
        <w:pStyle w:val="ModelNrmlSingle"/>
        <w:numPr>
          <w:ilvl w:val="0"/>
          <w:numId w:val="3"/>
        </w:numPr>
        <w:ind w:left="720"/>
      </w:pPr>
      <w:r w:rsidRPr="00A939F9">
        <w:rPr>
          <w:szCs w:val="22"/>
        </w:rPr>
        <w:t xml:space="preserve">(a) Development of a </w:t>
      </w:r>
      <w:r>
        <w:rPr>
          <w:szCs w:val="22"/>
        </w:rPr>
        <w:t>MTFF</w:t>
      </w:r>
      <w:r w:rsidRPr="00A939F9">
        <w:rPr>
          <w:szCs w:val="22"/>
        </w:rPr>
        <w:t xml:space="preserve"> by </w:t>
      </w:r>
      <w:r>
        <w:rPr>
          <w:szCs w:val="22"/>
        </w:rPr>
        <w:t>MOF and MPI</w:t>
      </w:r>
      <w:r w:rsidRPr="00A939F9">
        <w:rPr>
          <w:szCs w:val="22"/>
        </w:rPr>
        <w:t>, to link national development goals and expenditures planning processes and to integrate planning of recurrent and capital expenditures;</w:t>
      </w:r>
      <w:r w:rsidR="00826EE2">
        <w:rPr>
          <w:szCs w:val="22"/>
        </w:rPr>
        <w:t xml:space="preserve"> and</w:t>
      </w:r>
      <w:r w:rsidRPr="00A939F9">
        <w:rPr>
          <w:szCs w:val="22"/>
        </w:rPr>
        <w:t xml:space="preserve"> (b) strengthening of their capacity to oversee the development of </w:t>
      </w:r>
      <w:r>
        <w:rPr>
          <w:szCs w:val="22"/>
        </w:rPr>
        <w:t>MTEFs</w:t>
      </w:r>
      <w:r w:rsidRPr="00A939F9">
        <w:rPr>
          <w:szCs w:val="22"/>
        </w:rPr>
        <w:t xml:space="preserve"> at the </w:t>
      </w:r>
      <w:proofErr w:type="spellStart"/>
      <w:r w:rsidRPr="00A939F9">
        <w:rPr>
          <w:szCs w:val="22"/>
        </w:rPr>
        <w:t>sectoral</w:t>
      </w:r>
      <w:proofErr w:type="spellEnd"/>
      <w:r w:rsidRPr="00A939F9">
        <w:rPr>
          <w:szCs w:val="22"/>
        </w:rPr>
        <w:t xml:space="preserve"> and provincial levels.</w:t>
      </w:r>
      <w:r w:rsidRPr="00F35BDC">
        <w:rPr>
          <w:szCs w:val="22"/>
        </w:rPr>
        <w:t xml:space="preserve"> </w:t>
      </w:r>
    </w:p>
    <w:p w:rsidR="005905AF" w:rsidRPr="00F35BDC" w:rsidRDefault="005905AF" w:rsidP="00826EE2">
      <w:pPr>
        <w:pStyle w:val="ModelNrmlSingle"/>
        <w:numPr>
          <w:ilvl w:val="0"/>
          <w:numId w:val="3"/>
        </w:numPr>
        <w:ind w:left="720"/>
      </w:pPr>
      <w:r w:rsidRPr="00A939F9">
        <w:rPr>
          <w:szCs w:val="22"/>
        </w:rPr>
        <w:t xml:space="preserve">Preparation of </w:t>
      </w:r>
      <w:r>
        <w:rPr>
          <w:szCs w:val="22"/>
        </w:rPr>
        <w:t xml:space="preserve">MTFFs and MTEFs </w:t>
      </w:r>
      <w:r w:rsidRPr="00A939F9">
        <w:rPr>
          <w:szCs w:val="22"/>
        </w:rPr>
        <w:t xml:space="preserve">in selected sectors and selected provinces to link spending at the </w:t>
      </w:r>
      <w:proofErr w:type="spellStart"/>
      <w:r w:rsidRPr="00A939F9">
        <w:rPr>
          <w:szCs w:val="22"/>
        </w:rPr>
        <w:t>sectoral</w:t>
      </w:r>
      <w:proofErr w:type="spellEnd"/>
      <w:r w:rsidRPr="00A939F9">
        <w:rPr>
          <w:szCs w:val="22"/>
        </w:rPr>
        <w:t xml:space="preserve"> or provincial level with national policy strategies.</w:t>
      </w:r>
    </w:p>
    <w:p w:rsidR="005905AF" w:rsidRPr="00F35BDC" w:rsidRDefault="005905AF" w:rsidP="00826EE2">
      <w:pPr>
        <w:pStyle w:val="ModelNrmlSingle"/>
        <w:numPr>
          <w:ilvl w:val="0"/>
          <w:numId w:val="3"/>
        </w:numPr>
        <w:ind w:left="720"/>
      </w:pPr>
      <w:r>
        <w:rPr>
          <w:szCs w:val="22"/>
        </w:rPr>
        <w:t>Introduction of medium-term budget planning approach to relevant senior National Assembly deputies and government officials; and d</w:t>
      </w:r>
      <w:r w:rsidRPr="00A939F9">
        <w:rPr>
          <w:szCs w:val="22"/>
        </w:rPr>
        <w:t>issemination of the lessons of the pilot</w:t>
      </w:r>
      <w:r>
        <w:rPr>
          <w:szCs w:val="22"/>
        </w:rPr>
        <w:t xml:space="preserve"> MTFFs and MTEFs </w:t>
      </w:r>
      <w:r w:rsidRPr="00A939F9">
        <w:rPr>
          <w:szCs w:val="22"/>
        </w:rPr>
        <w:t>to facilitate the roll-out of medium-term budget planning.</w:t>
      </w:r>
    </w:p>
    <w:p w:rsidR="005905AF" w:rsidRPr="00F35BDC" w:rsidRDefault="005905AF" w:rsidP="005905AF">
      <w:pPr>
        <w:pStyle w:val="ModelNrmlSingle"/>
        <w:numPr>
          <w:ilvl w:val="0"/>
          <w:numId w:val="3"/>
        </w:numPr>
        <w:ind w:left="0" w:firstLine="0"/>
      </w:pPr>
      <w:r>
        <w:rPr>
          <w:szCs w:val="22"/>
        </w:rPr>
        <w:t xml:space="preserve">Preparation of </w:t>
      </w:r>
      <w:r w:rsidRPr="00AA2494">
        <w:rPr>
          <w:szCs w:val="22"/>
        </w:rPr>
        <w:t xml:space="preserve">guidelines for </w:t>
      </w:r>
      <w:r>
        <w:rPr>
          <w:szCs w:val="22"/>
        </w:rPr>
        <w:t xml:space="preserve">nationwide </w:t>
      </w:r>
      <w:r w:rsidRPr="00AA2494">
        <w:rPr>
          <w:szCs w:val="22"/>
        </w:rPr>
        <w:t>implementation of MTEF and MTFF</w:t>
      </w:r>
      <w:r>
        <w:rPr>
          <w:szCs w:val="22"/>
        </w:rPr>
        <w:t>.</w:t>
      </w:r>
    </w:p>
    <w:p w:rsidR="005905AF" w:rsidRDefault="00B04B13" w:rsidP="00826EE2">
      <w:pPr>
        <w:pStyle w:val="ModelNrmlSingle"/>
        <w:numPr>
          <w:ilvl w:val="0"/>
          <w:numId w:val="3"/>
        </w:numPr>
        <w:ind w:left="720"/>
      </w:pPr>
      <w:r>
        <w:rPr>
          <w:szCs w:val="22"/>
        </w:rPr>
        <w:t xml:space="preserve">Carrying out </w:t>
      </w:r>
      <w:r w:rsidR="005905AF">
        <w:rPr>
          <w:szCs w:val="22"/>
        </w:rPr>
        <w:t xml:space="preserve">of </w:t>
      </w:r>
      <w:r w:rsidR="005905AF" w:rsidRPr="0008321C">
        <w:rPr>
          <w:szCs w:val="22"/>
        </w:rPr>
        <w:t>feasibility study</w:t>
      </w:r>
      <w:r w:rsidR="005905AF">
        <w:rPr>
          <w:szCs w:val="22"/>
        </w:rPr>
        <w:t xml:space="preserve"> and </w:t>
      </w:r>
      <w:r>
        <w:rPr>
          <w:szCs w:val="22"/>
        </w:rPr>
        <w:t xml:space="preserve">development of </w:t>
      </w:r>
      <w:r w:rsidR="005905AF">
        <w:rPr>
          <w:szCs w:val="22"/>
        </w:rPr>
        <w:t xml:space="preserve">technical requirements for </w:t>
      </w:r>
      <w:r w:rsidR="005905AF" w:rsidRPr="00A939F9">
        <w:rPr>
          <w:szCs w:val="22"/>
        </w:rPr>
        <w:t>a budget preparation system</w:t>
      </w:r>
      <w:r w:rsidR="00380F50">
        <w:rPr>
          <w:szCs w:val="22"/>
        </w:rPr>
        <w:t xml:space="preserve"> in line with the conclusion of the feasibility study</w:t>
      </w:r>
      <w:r w:rsidR="005905AF" w:rsidRPr="00A939F9">
        <w:rPr>
          <w:szCs w:val="22"/>
        </w:rPr>
        <w:t>.</w:t>
      </w:r>
    </w:p>
    <w:p w:rsidR="005905AF" w:rsidRPr="00E21A72" w:rsidRDefault="005905AF" w:rsidP="005905AF">
      <w:pPr>
        <w:pStyle w:val="ModelNrmlSingle"/>
        <w:ind w:left="1080" w:hanging="1080"/>
        <w:rPr>
          <w:b/>
        </w:rPr>
      </w:pPr>
      <w:r w:rsidRPr="00E21A72">
        <w:rPr>
          <w:b/>
        </w:rPr>
        <w:t>PART C</w:t>
      </w:r>
      <w:r w:rsidR="00E21A72">
        <w:rPr>
          <w:b/>
        </w:rPr>
        <w:t>:</w:t>
      </w:r>
      <w:r w:rsidR="00E21A72">
        <w:rPr>
          <w:b/>
        </w:rPr>
        <w:tab/>
      </w:r>
      <w:r w:rsidRPr="00E21A72">
        <w:rPr>
          <w:b/>
        </w:rPr>
        <w:t xml:space="preserve">Strengthen the Management of Public Debt and other Fiscal Risks </w:t>
      </w:r>
    </w:p>
    <w:p w:rsidR="005905AF" w:rsidRDefault="005905AF" w:rsidP="005905AF">
      <w:pPr>
        <w:pStyle w:val="ModelNrmlSingle"/>
        <w:ind w:firstLine="0"/>
      </w:pPr>
      <w:r>
        <w:tab/>
        <w:t>Carrying out a program to manage public debts and fiscal risks, consisting of:</w:t>
      </w:r>
    </w:p>
    <w:p w:rsidR="005905AF" w:rsidRDefault="005905AF" w:rsidP="00826EE2">
      <w:pPr>
        <w:pStyle w:val="ModelNrmlSingle"/>
        <w:numPr>
          <w:ilvl w:val="0"/>
          <w:numId w:val="4"/>
        </w:numPr>
        <w:ind w:left="720"/>
      </w:pPr>
      <w:r w:rsidRPr="00A939F9">
        <w:rPr>
          <w:szCs w:val="22"/>
        </w:rPr>
        <w:t xml:space="preserve">Strengthening of the institutional capacity </w:t>
      </w:r>
      <w:r w:rsidR="00B04B13">
        <w:rPr>
          <w:szCs w:val="22"/>
        </w:rPr>
        <w:t xml:space="preserve">and instruments </w:t>
      </w:r>
      <w:r w:rsidRPr="00A939F9">
        <w:rPr>
          <w:szCs w:val="22"/>
        </w:rPr>
        <w:t xml:space="preserve">for public debt </w:t>
      </w:r>
      <w:r>
        <w:rPr>
          <w:szCs w:val="22"/>
        </w:rPr>
        <w:t xml:space="preserve">management and </w:t>
      </w:r>
      <w:r w:rsidRPr="00A939F9">
        <w:rPr>
          <w:szCs w:val="22"/>
        </w:rPr>
        <w:t>recording</w:t>
      </w:r>
      <w:r>
        <w:rPr>
          <w:szCs w:val="22"/>
        </w:rPr>
        <w:t>,</w:t>
      </w:r>
      <w:r w:rsidRPr="00A939F9">
        <w:rPr>
          <w:szCs w:val="22"/>
        </w:rPr>
        <w:t xml:space="preserve"> and risk management</w:t>
      </w:r>
      <w:r>
        <w:rPr>
          <w:szCs w:val="22"/>
        </w:rPr>
        <w:t>,</w:t>
      </w:r>
      <w:r w:rsidRPr="00A939F9">
        <w:rPr>
          <w:szCs w:val="22"/>
        </w:rPr>
        <w:t xml:space="preserve"> through the clarification of roles and reporting relationships among the relevant agencies; the development of a public debt strategy, including development of debt management objectives; adoption of a risk management framework; </w:t>
      </w:r>
      <w:r>
        <w:rPr>
          <w:szCs w:val="22"/>
        </w:rPr>
        <w:t>a</w:t>
      </w:r>
      <w:r w:rsidRPr="00A939F9">
        <w:rPr>
          <w:szCs w:val="22"/>
        </w:rPr>
        <w:t>nd the provision of debt recording, consolidation and management systems</w:t>
      </w:r>
      <w:r>
        <w:rPr>
          <w:szCs w:val="22"/>
        </w:rPr>
        <w:t>, and development of a strategy to develop future debt and risk management systems</w:t>
      </w:r>
      <w:r w:rsidRPr="00A939F9">
        <w:rPr>
          <w:szCs w:val="22"/>
        </w:rPr>
        <w:t>.</w:t>
      </w:r>
    </w:p>
    <w:p w:rsidR="005905AF" w:rsidRDefault="005905AF" w:rsidP="00826EE2">
      <w:pPr>
        <w:pStyle w:val="ModelNrmlSingle"/>
        <w:ind w:left="720" w:hanging="720"/>
      </w:pPr>
      <w:r>
        <w:t>2.</w:t>
      </w:r>
      <w:r>
        <w:tab/>
      </w:r>
      <w:r>
        <w:rPr>
          <w:szCs w:val="22"/>
        </w:rPr>
        <w:t>Strengthening of m</w:t>
      </w:r>
      <w:r w:rsidRPr="00A939F9">
        <w:rPr>
          <w:szCs w:val="22"/>
        </w:rPr>
        <w:t xml:space="preserve">onitoring of the fiscal risks </w:t>
      </w:r>
      <w:r>
        <w:rPr>
          <w:szCs w:val="22"/>
        </w:rPr>
        <w:t xml:space="preserve">arising from </w:t>
      </w:r>
      <w:r w:rsidR="00AE7334">
        <w:rPr>
          <w:szCs w:val="22"/>
        </w:rPr>
        <w:t xml:space="preserve">liabilities of </w:t>
      </w:r>
      <w:r w:rsidRPr="00A939F9">
        <w:rPr>
          <w:szCs w:val="22"/>
        </w:rPr>
        <w:t>state-owned enterprises</w:t>
      </w:r>
      <w:r>
        <w:rPr>
          <w:szCs w:val="22"/>
        </w:rPr>
        <w:t>,</w:t>
      </w:r>
      <w:r w:rsidRPr="00A939F9">
        <w:rPr>
          <w:szCs w:val="22"/>
        </w:rPr>
        <w:t xml:space="preserve"> through </w:t>
      </w:r>
      <w:r>
        <w:rPr>
          <w:szCs w:val="22"/>
        </w:rPr>
        <w:t>formulation of necessary legal framework and monitoring indicators; and enhancement of institutional capacity.</w:t>
      </w:r>
    </w:p>
    <w:p w:rsidR="005905AF" w:rsidRPr="00E21A72" w:rsidRDefault="005905AF" w:rsidP="005905AF">
      <w:pPr>
        <w:pStyle w:val="ModelNrmlSingle"/>
        <w:ind w:firstLine="0"/>
        <w:rPr>
          <w:b/>
        </w:rPr>
      </w:pPr>
      <w:r w:rsidRPr="00E21A72">
        <w:rPr>
          <w:b/>
        </w:rPr>
        <w:t>PART D</w:t>
      </w:r>
      <w:r w:rsidR="00E21A72">
        <w:rPr>
          <w:b/>
        </w:rPr>
        <w:t xml:space="preserve">: </w:t>
      </w:r>
      <w:r w:rsidR="00E21A72">
        <w:rPr>
          <w:b/>
        </w:rPr>
        <w:tab/>
      </w:r>
      <w:r w:rsidRPr="00E21A72">
        <w:rPr>
          <w:b/>
        </w:rPr>
        <w:t>Project Implementation Support</w:t>
      </w:r>
    </w:p>
    <w:p w:rsidR="00E21A72" w:rsidRDefault="005905AF" w:rsidP="005905AF">
      <w:pPr>
        <w:pStyle w:val="ModelNrmlSingle"/>
        <w:ind w:firstLine="0"/>
      </w:pPr>
      <w:r>
        <w:tab/>
        <w:t xml:space="preserve">Strengthen the </w:t>
      </w:r>
      <w:r w:rsidR="00F56297">
        <w:t>Recipient</w:t>
      </w:r>
      <w:r>
        <w:t>’s Project implementation capacity, including audit of Project accounts and activities, preparation of follow-on activities, and strengthening of the procurement and financial management capacity of the PM</w:t>
      </w:r>
      <w:r w:rsidR="00E21A72">
        <w:t>U</w:t>
      </w:r>
      <w:r>
        <w:t xml:space="preserve">. </w:t>
      </w:r>
    </w:p>
    <w:p w:rsidR="00E67E34" w:rsidRDefault="00E21A72" w:rsidP="00E21A72">
      <w:pPr>
        <w:pStyle w:val="ModelNrmlSingle"/>
        <w:ind w:firstLine="0"/>
        <w:jc w:val="center"/>
        <w:rPr>
          <w:b/>
        </w:rPr>
      </w:pPr>
      <w:r>
        <w:br w:type="page"/>
      </w:r>
      <w:r w:rsidR="00E67E34">
        <w:rPr>
          <w:b/>
        </w:rPr>
        <w:lastRenderedPageBreak/>
        <w:t xml:space="preserve">SCHEDULE </w:t>
      </w:r>
      <w:r w:rsidR="005905AF">
        <w:rPr>
          <w:b/>
        </w:rPr>
        <w:t>2</w:t>
      </w:r>
    </w:p>
    <w:p w:rsidR="00872486" w:rsidRDefault="00872486" w:rsidP="0036237B">
      <w:pPr>
        <w:pStyle w:val="ModelNrmlSingle"/>
        <w:ind w:firstLine="0"/>
        <w:jc w:val="center"/>
        <w:rPr>
          <w:b/>
        </w:rPr>
      </w:pPr>
      <w:r>
        <w:rPr>
          <w:b/>
        </w:rPr>
        <w:t>Project Execution</w:t>
      </w:r>
    </w:p>
    <w:p w:rsidR="00872486" w:rsidRDefault="00872486" w:rsidP="00872486">
      <w:pPr>
        <w:pStyle w:val="ModelNrmlSingle"/>
        <w:ind w:firstLine="0"/>
        <w:jc w:val="left"/>
        <w:rPr>
          <w:b/>
        </w:rPr>
      </w:pPr>
      <w:r>
        <w:rPr>
          <w:b/>
        </w:rPr>
        <w:t>Section I.</w:t>
      </w:r>
      <w:r>
        <w:rPr>
          <w:b/>
        </w:rPr>
        <w:tab/>
      </w:r>
      <w:r w:rsidRPr="004B566E">
        <w:rPr>
          <w:b/>
          <w:u w:val="single"/>
        </w:rPr>
        <w:t>Impl</w:t>
      </w:r>
      <w:r w:rsidR="006A6934">
        <w:rPr>
          <w:b/>
          <w:u w:val="single"/>
        </w:rPr>
        <w:t>eme</w:t>
      </w:r>
      <w:r w:rsidRPr="004B566E">
        <w:rPr>
          <w:b/>
          <w:u w:val="single"/>
        </w:rPr>
        <w:t>ntation Arrangements</w:t>
      </w:r>
    </w:p>
    <w:p w:rsidR="00FF6E21" w:rsidRPr="003852F5" w:rsidRDefault="00FF6E21" w:rsidP="00FF6E21">
      <w:pPr>
        <w:pStyle w:val="ModelNrmlSingle"/>
        <w:ind w:left="720" w:hanging="720"/>
        <w:rPr>
          <w:bCs/>
          <w:i/>
          <w:iCs/>
          <w:szCs w:val="22"/>
        </w:rPr>
      </w:pPr>
      <w:r w:rsidRPr="00694D25">
        <w:rPr>
          <w:b/>
          <w:bCs/>
          <w:szCs w:val="22"/>
        </w:rPr>
        <w:t>A.</w:t>
      </w:r>
      <w:r w:rsidRPr="00DB5C9F">
        <w:rPr>
          <w:b/>
          <w:bCs/>
          <w:szCs w:val="22"/>
        </w:rPr>
        <w:tab/>
        <w:t>Institutional</w:t>
      </w:r>
      <w:r w:rsidRPr="00694D25">
        <w:rPr>
          <w:b/>
          <w:bCs/>
          <w:szCs w:val="22"/>
        </w:rPr>
        <w:t xml:space="preserve"> Arrangements</w:t>
      </w:r>
      <w:r w:rsidRPr="00CF2390">
        <w:rPr>
          <w:bCs/>
          <w:i/>
          <w:iCs/>
          <w:szCs w:val="22"/>
        </w:rPr>
        <w:t xml:space="preserve"> </w:t>
      </w:r>
    </w:p>
    <w:p w:rsidR="00494DDE" w:rsidRDefault="00FF6E21" w:rsidP="00826EE2">
      <w:pPr>
        <w:pStyle w:val="ModelNrmlSingle"/>
        <w:ind w:left="720" w:hanging="720"/>
        <w:rPr>
          <w:szCs w:val="22"/>
        </w:rPr>
      </w:pPr>
      <w:r>
        <w:rPr>
          <w:szCs w:val="22"/>
        </w:rPr>
        <w:t>1.</w:t>
      </w:r>
      <w:r>
        <w:rPr>
          <w:szCs w:val="22"/>
        </w:rPr>
        <w:tab/>
        <w:t xml:space="preserve">The Recipient shall maintain at all times during the implementation of the </w:t>
      </w:r>
      <w:r w:rsidR="00580B81">
        <w:rPr>
          <w:szCs w:val="22"/>
        </w:rPr>
        <w:t xml:space="preserve">Project, </w:t>
      </w:r>
      <w:r w:rsidR="00C708AF">
        <w:rPr>
          <w:szCs w:val="22"/>
        </w:rPr>
        <w:t xml:space="preserve">the </w:t>
      </w:r>
      <w:r w:rsidR="00580B81">
        <w:rPr>
          <w:szCs w:val="22"/>
        </w:rPr>
        <w:t>Steering Committee</w:t>
      </w:r>
      <w:r w:rsidR="00C708AF">
        <w:rPr>
          <w:szCs w:val="22"/>
        </w:rPr>
        <w:t xml:space="preserve"> including: (a) </w:t>
      </w:r>
      <w:r w:rsidR="00494DDE">
        <w:rPr>
          <w:szCs w:val="22"/>
        </w:rPr>
        <w:t>representatives</w:t>
      </w:r>
      <w:r w:rsidR="00580B81">
        <w:rPr>
          <w:szCs w:val="22"/>
        </w:rPr>
        <w:t>,</w:t>
      </w:r>
      <w:r w:rsidR="00494DDE">
        <w:rPr>
          <w:szCs w:val="22"/>
        </w:rPr>
        <w:t xml:space="preserve"> </w:t>
      </w:r>
      <w:r w:rsidR="00494DDE" w:rsidRPr="00F62BE4">
        <w:rPr>
          <w:i/>
          <w:szCs w:val="22"/>
        </w:rPr>
        <w:t>inter alia</w:t>
      </w:r>
      <w:r w:rsidR="00494DDE">
        <w:rPr>
          <w:szCs w:val="22"/>
        </w:rPr>
        <w:t>, of the Ministry of Planning and Investment and the State Bank of Vietnam; and (b) at least one</w:t>
      </w:r>
      <w:r w:rsidR="00F62BE4">
        <w:rPr>
          <w:szCs w:val="22"/>
        </w:rPr>
        <w:t xml:space="preserve"> (1)</w:t>
      </w:r>
      <w:r w:rsidR="00494DDE">
        <w:rPr>
          <w:szCs w:val="22"/>
        </w:rPr>
        <w:t xml:space="preserve"> representative of line ministries of the sectors selected for piloting the medium-term expenditure framework under Part B.2 of the Project, and one </w:t>
      </w:r>
      <w:r w:rsidR="00F62BE4">
        <w:rPr>
          <w:szCs w:val="22"/>
        </w:rPr>
        <w:t xml:space="preserve">(1) </w:t>
      </w:r>
      <w:r w:rsidR="00494DDE">
        <w:rPr>
          <w:szCs w:val="22"/>
        </w:rPr>
        <w:t>representative of the provinces.</w:t>
      </w:r>
    </w:p>
    <w:p w:rsidR="00580B81" w:rsidRDefault="00494DDE" w:rsidP="00826EE2">
      <w:pPr>
        <w:pStyle w:val="ModelNrmlSingle"/>
        <w:ind w:left="720" w:hanging="720"/>
        <w:rPr>
          <w:szCs w:val="22"/>
        </w:rPr>
      </w:pPr>
      <w:r>
        <w:rPr>
          <w:szCs w:val="22"/>
        </w:rPr>
        <w:t>2.</w:t>
      </w:r>
      <w:r>
        <w:rPr>
          <w:szCs w:val="22"/>
        </w:rPr>
        <w:tab/>
        <w:t xml:space="preserve">The Steering Committee shall be responsible for providing </w:t>
      </w:r>
      <w:r w:rsidR="00580B81">
        <w:rPr>
          <w:szCs w:val="22"/>
        </w:rPr>
        <w:t xml:space="preserve">overall guidance and direction in the implementation of the Project and to ensure the Project activities are coordinated </w:t>
      </w:r>
      <w:r w:rsidR="00FF6E21">
        <w:rPr>
          <w:szCs w:val="22"/>
        </w:rPr>
        <w:t xml:space="preserve">with </w:t>
      </w:r>
      <w:r w:rsidR="00580B81">
        <w:rPr>
          <w:szCs w:val="22"/>
        </w:rPr>
        <w:t>other national initiatives for public administration reform.</w:t>
      </w:r>
    </w:p>
    <w:p w:rsidR="00580B81" w:rsidRDefault="00494DDE" w:rsidP="00826EE2">
      <w:pPr>
        <w:autoSpaceDE w:val="0"/>
        <w:autoSpaceDN w:val="0"/>
        <w:adjustRightInd w:val="0"/>
        <w:spacing w:after="240"/>
        <w:ind w:left="630" w:hanging="630"/>
        <w:jc w:val="both"/>
        <w:rPr>
          <w:sz w:val="22"/>
          <w:szCs w:val="22"/>
        </w:rPr>
      </w:pPr>
      <w:r>
        <w:rPr>
          <w:sz w:val="22"/>
          <w:szCs w:val="22"/>
        </w:rPr>
        <w:t>3</w:t>
      </w:r>
      <w:r w:rsidR="00FF6E21">
        <w:rPr>
          <w:sz w:val="22"/>
          <w:szCs w:val="22"/>
        </w:rPr>
        <w:t>.</w:t>
      </w:r>
      <w:r w:rsidR="00FF6E21">
        <w:rPr>
          <w:sz w:val="22"/>
          <w:szCs w:val="22"/>
        </w:rPr>
        <w:tab/>
        <w:t xml:space="preserve">The Recipient shall </w:t>
      </w:r>
      <w:r w:rsidR="00580B81">
        <w:rPr>
          <w:sz w:val="22"/>
          <w:szCs w:val="22"/>
        </w:rPr>
        <w:t xml:space="preserve">maintain </w:t>
      </w:r>
      <w:r w:rsidR="00580B81" w:rsidRPr="00580B81">
        <w:rPr>
          <w:sz w:val="22"/>
          <w:szCs w:val="22"/>
        </w:rPr>
        <w:t>at all times during the implementation of the Project,</w:t>
      </w:r>
      <w:r w:rsidR="00580B81">
        <w:rPr>
          <w:sz w:val="22"/>
          <w:szCs w:val="22"/>
        </w:rPr>
        <w:t xml:space="preserve"> a PM</w:t>
      </w:r>
      <w:r w:rsidR="00874E1B">
        <w:rPr>
          <w:sz w:val="22"/>
          <w:szCs w:val="22"/>
        </w:rPr>
        <w:t>U</w:t>
      </w:r>
      <w:r w:rsidR="00580B81">
        <w:rPr>
          <w:sz w:val="22"/>
          <w:szCs w:val="22"/>
        </w:rPr>
        <w:t xml:space="preserve"> within M</w:t>
      </w:r>
      <w:r w:rsidR="000543FB">
        <w:rPr>
          <w:sz w:val="22"/>
          <w:szCs w:val="22"/>
        </w:rPr>
        <w:t>OF</w:t>
      </w:r>
      <w:r w:rsidR="00580B81" w:rsidRPr="00580B81">
        <w:rPr>
          <w:sz w:val="22"/>
          <w:szCs w:val="22"/>
        </w:rPr>
        <w:t xml:space="preserve"> for overall Project management and administration; coordination among relevant departments within the M</w:t>
      </w:r>
      <w:r w:rsidR="000543FB">
        <w:rPr>
          <w:sz w:val="22"/>
          <w:szCs w:val="22"/>
        </w:rPr>
        <w:t>OF</w:t>
      </w:r>
      <w:r w:rsidR="00580B81" w:rsidRPr="00580B81">
        <w:rPr>
          <w:sz w:val="22"/>
          <w:szCs w:val="22"/>
        </w:rPr>
        <w:t>, and with other relevant agencies and line ministries; monitoring and evaluation of Project activities; said Unit to be under the direction of experienced managers, provided with sufficient resources, and staffed with competent personnel in adequate numbers, including without limitation, a Project director, a finance officer supported by an accountant, a cashier and assistant; procurement specialists and IT specialists;  all under terms of reference acceptable to the Association.</w:t>
      </w:r>
    </w:p>
    <w:p w:rsidR="00494DDE" w:rsidRDefault="003C44D1" w:rsidP="00494DDE">
      <w:pPr>
        <w:pStyle w:val="ModelNrmlSingle"/>
        <w:ind w:firstLine="0"/>
      </w:pPr>
      <w:r>
        <w:t>4</w:t>
      </w:r>
      <w:r w:rsidR="00494DDE">
        <w:t>.</w:t>
      </w:r>
      <w:r w:rsidR="00494DDE">
        <w:tab/>
        <w:t>The Recipient shall:</w:t>
      </w:r>
    </w:p>
    <w:p w:rsidR="00494DDE" w:rsidRDefault="00494DDE" w:rsidP="00826EE2">
      <w:pPr>
        <w:pStyle w:val="ModelNrmlSingle"/>
        <w:ind w:left="1440" w:hanging="720"/>
      </w:pPr>
      <w:r>
        <w:t>(a)</w:t>
      </w:r>
      <w:r>
        <w:tab/>
      </w:r>
      <w:r w:rsidR="003C44D1">
        <w:t xml:space="preserve">maintain </w:t>
      </w:r>
      <w:r>
        <w:t xml:space="preserve">a financial management manual satisfactory to the Association, to serve as reference and training manual to Project staff; said manual shall set forth, </w:t>
      </w:r>
      <w:r w:rsidRPr="00F62BE4">
        <w:rPr>
          <w:i/>
        </w:rPr>
        <w:t>inter alia</w:t>
      </w:r>
      <w:r>
        <w:t>, the organizational structure and responsibilities in regard to financial management, fund flow arrangements, staffing and training requirements, financial accounting systems, internal control mechanisms, financial reporting requirements and procedures, auditing arrangements, and samples and forms;</w:t>
      </w:r>
      <w:r w:rsidR="00087F78">
        <w:t xml:space="preserve"> and </w:t>
      </w:r>
    </w:p>
    <w:p w:rsidR="00494DDE" w:rsidRDefault="00494DDE" w:rsidP="00826EE2">
      <w:pPr>
        <w:pStyle w:val="ModelNrmlSingle"/>
        <w:ind w:left="1440" w:hanging="720"/>
      </w:pPr>
      <w:r>
        <w:t>(</w:t>
      </w:r>
      <w:r w:rsidR="00087F78">
        <w:t>b</w:t>
      </w:r>
      <w:r>
        <w:t>)</w:t>
      </w:r>
      <w:r>
        <w:tab/>
      </w:r>
      <w:proofErr w:type="gramStart"/>
      <w:r>
        <w:t>provide</w:t>
      </w:r>
      <w:proofErr w:type="gramEnd"/>
      <w:r>
        <w:t xml:space="preserve"> training to the PMU staff in financial management and disbursement in a manner satisfactory to the Association.</w:t>
      </w:r>
    </w:p>
    <w:p w:rsidR="00826EE2" w:rsidRDefault="00826EE2" w:rsidP="00FF26A2">
      <w:pPr>
        <w:pStyle w:val="ModelNrmlSingle"/>
        <w:ind w:firstLine="0"/>
      </w:pPr>
    </w:p>
    <w:p w:rsidR="00826EE2" w:rsidRDefault="00826EE2" w:rsidP="00FF26A2">
      <w:pPr>
        <w:pStyle w:val="ModelNrmlSingle"/>
        <w:ind w:firstLine="0"/>
      </w:pPr>
    </w:p>
    <w:p w:rsidR="00FF26A2" w:rsidRDefault="00A00260" w:rsidP="00FF26A2">
      <w:pPr>
        <w:pStyle w:val="ModelNrmlSingle"/>
        <w:ind w:firstLine="0"/>
      </w:pPr>
      <w:r>
        <w:lastRenderedPageBreak/>
        <w:t>5</w:t>
      </w:r>
      <w:r w:rsidR="00FF26A2">
        <w:t>.</w:t>
      </w:r>
      <w:r w:rsidR="00FF26A2">
        <w:tab/>
      </w:r>
      <w:r w:rsidR="00FF26A2" w:rsidRPr="0043712A">
        <w:t>The Recipient shall</w:t>
      </w:r>
      <w:r w:rsidR="00FF26A2">
        <w:t>:</w:t>
      </w:r>
    </w:p>
    <w:p w:rsidR="0043712A" w:rsidRDefault="00FF26A2" w:rsidP="00826EE2">
      <w:pPr>
        <w:pStyle w:val="ModelNrmlSingle"/>
        <w:ind w:left="1440" w:hanging="720"/>
      </w:pPr>
      <w:r>
        <w:t>(a)</w:t>
      </w:r>
      <w:r>
        <w:tab/>
      </w:r>
      <w:proofErr w:type="gramStart"/>
      <w:r>
        <w:t>by</w:t>
      </w:r>
      <w:proofErr w:type="gramEnd"/>
      <w:r>
        <w:t xml:space="preserve"> no later than May 31 and November 30 of each year, furnish to the Association for its review and comments, a semi-annual work program</w:t>
      </w:r>
      <w:r w:rsidR="0043712A">
        <w:t xml:space="preserve">; and </w:t>
      </w:r>
    </w:p>
    <w:p w:rsidR="00FF26A2" w:rsidRDefault="00FF26A2" w:rsidP="00826EE2">
      <w:pPr>
        <w:pStyle w:val="ModelNrmlSingle"/>
        <w:ind w:left="1440" w:hanging="720"/>
      </w:pPr>
      <w:r>
        <w:t>(b)</w:t>
      </w:r>
      <w:r>
        <w:tab/>
      </w:r>
      <w:proofErr w:type="gramStart"/>
      <w:r>
        <w:t>thereafter</w:t>
      </w:r>
      <w:proofErr w:type="gramEnd"/>
      <w:r>
        <w:t xml:space="preserve"> implement said work program in a manner satisfactory to the Association, taking into consideration the Association’s view thereon.</w:t>
      </w:r>
    </w:p>
    <w:p w:rsidR="00FF26A2" w:rsidRDefault="00331B10" w:rsidP="00FF26A2">
      <w:pPr>
        <w:pStyle w:val="ModelNrmlSingle"/>
        <w:ind w:firstLine="0"/>
      </w:pPr>
      <w:r>
        <w:t>6</w:t>
      </w:r>
      <w:r w:rsidR="00FF26A2">
        <w:t>.</w:t>
      </w:r>
      <w:r w:rsidR="00FF26A2">
        <w:tab/>
        <w:t xml:space="preserve">The </w:t>
      </w:r>
      <w:r w:rsidR="008A064C">
        <w:t>R</w:t>
      </w:r>
      <w:r w:rsidR="00FF26A2">
        <w:t>ecipient shall:</w:t>
      </w:r>
    </w:p>
    <w:p w:rsidR="00FF26A2" w:rsidRDefault="00FF26A2" w:rsidP="00F62BE4">
      <w:pPr>
        <w:pStyle w:val="ModelNrmlSingle"/>
        <w:ind w:left="1440" w:hanging="720"/>
      </w:pPr>
      <w:r>
        <w:t>(a)</w:t>
      </w:r>
      <w:r>
        <w:tab/>
        <w:t xml:space="preserve">by no later than November 30 of each year, furnish to the Association for its prior concurrence, an annual plan for the maintenance and, if necessary, upgrade of the hardware and software, and the connectivity of said system, said annual plan to include the estimated costs </w:t>
      </w:r>
      <w:proofErr w:type="spellStart"/>
      <w:r>
        <w:t>therefor</w:t>
      </w:r>
      <w:proofErr w:type="spellEnd"/>
      <w:r w:rsidR="00331B10">
        <w:t>;</w:t>
      </w:r>
      <w:r>
        <w:t xml:space="preserve"> and</w:t>
      </w:r>
    </w:p>
    <w:p w:rsidR="00FF26A2" w:rsidRDefault="00FF26A2" w:rsidP="00F62BE4">
      <w:pPr>
        <w:pStyle w:val="ModelNrmlSingle"/>
        <w:ind w:left="1440" w:hanging="720"/>
      </w:pPr>
      <w:r>
        <w:t>(b)</w:t>
      </w:r>
      <w:r>
        <w:tab/>
      </w:r>
      <w:proofErr w:type="gramStart"/>
      <w:r>
        <w:t>thereafter</w:t>
      </w:r>
      <w:proofErr w:type="gramEnd"/>
      <w:r>
        <w:t>, carry out such plan in a manner satisfactory to the Association.</w:t>
      </w:r>
    </w:p>
    <w:p w:rsidR="00FF6E21" w:rsidRPr="00CF2390" w:rsidRDefault="007C5C0A" w:rsidP="00FF6E21">
      <w:pPr>
        <w:pStyle w:val="ModelNrmlSingle"/>
        <w:ind w:left="720" w:hanging="720"/>
        <w:rPr>
          <w:b/>
          <w:bCs/>
          <w:szCs w:val="22"/>
        </w:rPr>
      </w:pPr>
      <w:r>
        <w:rPr>
          <w:b/>
          <w:bCs/>
          <w:szCs w:val="22"/>
        </w:rPr>
        <w:t>B</w:t>
      </w:r>
      <w:r w:rsidR="00FF6E21" w:rsidRPr="00CF2390">
        <w:rPr>
          <w:b/>
          <w:bCs/>
          <w:szCs w:val="22"/>
        </w:rPr>
        <w:t>.</w:t>
      </w:r>
      <w:r w:rsidR="00FF6E21" w:rsidRPr="00CF2390">
        <w:rPr>
          <w:b/>
          <w:bCs/>
          <w:szCs w:val="22"/>
        </w:rPr>
        <w:tab/>
        <w:t>Anti-Corruption</w:t>
      </w:r>
    </w:p>
    <w:p w:rsidR="00FF6E21" w:rsidRDefault="00FF6E21" w:rsidP="00FF6E21">
      <w:pPr>
        <w:pStyle w:val="ModelNrmlSingle"/>
        <w:ind w:firstLine="0"/>
        <w:rPr>
          <w:bCs/>
          <w:szCs w:val="22"/>
        </w:rPr>
      </w:pPr>
      <w:r w:rsidRPr="00CF2390">
        <w:rPr>
          <w:bCs/>
          <w:szCs w:val="22"/>
        </w:rPr>
        <w:t>The Recipient shall ensure that the Project is carried out in accordance with the provisions of the Anti-Corruption Guidelines.</w:t>
      </w:r>
    </w:p>
    <w:p w:rsidR="00FF6E21" w:rsidRPr="00CF2390" w:rsidRDefault="00FF6E21" w:rsidP="00FF6E21">
      <w:pPr>
        <w:pStyle w:val="ModelNrmlSingle"/>
        <w:ind w:left="720" w:hanging="720"/>
        <w:rPr>
          <w:b/>
          <w:bCs/>
          <w:szCs w:val="22"/>
        </w:rPr>
      </w:pPr>
      <w:r w:rsidRPr="00CF2390">
        <w:rPr>
          <w:b/>
          <w:bCs/>
          <w:szCs w:val="22"/>
        </w:rPr>
        <w:t>Section II.</w:t>
      </w:r>
      <w:r w:rsidRPr="00CF2390">
        <w:rPr>
          <w:b/>
          <w:bCs/>
          <w:szCs w:val="22"/>
        </w:rPr>
        <w:tab/>
      </w:r>
      <w:r w:rsidRPr="00CF2390">
        <w:rPr>
          <w:b/>
          <w:bCs/>
          <w:szCs w:val="22"/>
          <w:u w:val="single"/>
        </w:rPr>
        <w:t>Project Monitoring</w:t>
      </w:r>
      <w:r>
        <w:rPr>
          <w:b/>
          <w:bCs/>
          <w:szCs w:val="22"/>
          <w:u w:val="single"/>
        </w:rPr>
        <w:t>,</w:t>
      </w:r>
      <w:r w:rsidRPr="00CF2390">
        <w:rPr>
          <w:b/>
          <w:bCs/>
          <w:szCs w:val="22"/>
          <w:u w:val="single"/>
        </w:rPr>
        <w:t xml:space="preserve"> Reporting</w:t>
      </w:r>
      <w:r>
        <w:rPr>
          <w:b/>
          <w:bCs/>
          <w:szCs w:val="22"/>
          <w:u w:val="single"/>
        </w:rPr>
        <w:t xml:space="preserve"> and</w:t>
      </w:r>
      <w:r w:rsidRPr="00CF2390">
        <w:rPr>
          <w:b/>
          <w:bCs/>
          <w:szCs w:val="22"/>
          <w:u w:val="single"/>
        </w:rPr>
        <w:t xml:space="preserve"> Evaluation </w:t>
      </w:r>
    </w:p>
    <w:p w:rsidR="002C039C" w:rsidRPr="00CF2390" w:rsidRDefault="002C039C" w:rsidP="002C039C">
      <w:pPr>
        <w:pStyle w:val="ModelNrmlSingle"/>
        <w:ind w:left="720" w:hanging="720"/>
        <w:rPr>
          <w:b/>
          <w:bCs/>
          <w:szCs w:val="22"/>
        </w:rPr>
      </w:pPr>
      <w:r w:rsidRPr="00CF2390">
        <w:rPr>
          <w:b/>
          <w:bCs/>
          <w:szCs w:val="22"/>
        </w:rPr>
        <w:t>A.</w:t>
      </w:r>
      <w:r w:rsidRPr="00CF2390">
        <w:rPr>
          <w:b/>
          <w:bCs/>
          <w:szCs w:val="22"/>
        </w:rPr>
        <w:tab/>
        <w:t>Project Reports</w:t>
      </w:r>
    </w:p>
    <w:p w:rsidR="002C039C" w:rsidRPr="00CF2390" w:rsidRDefault="002C039C" w:rsidP="00D73D7D">
      <w:pPr>
        <w:pStyle w:val="ModelNrmlSingle"/>
        <w:tabs>
          <w:tab w:val="left" w:pos="720"/>
        </w:tabs>
        <w:ind w:left="810" w:hanging="900"/>
        <w:rPr>
          <w:szCs w:val="22"/>
        </w:rPr>
      </w:pPr>
      <w:r w:rsidRPr="00CF2390">
        <w:rPr>
          <w:szCs w:val="22"/>
        </w:rPr>
        <w:tab/>
        <w:t xml:space="preserve">The Recipient shall monitor and evaluate the progress of the Project and prepare Project Reports in accordance with the provisions of Section 4.08 of the General Conditions and on the basis of indicators agreed with the Association.  Each Project Report shall cover the period of </w:t>
      </w:r>
      <w:r w:rsidRPr="0043712A">
        <w:rPr>
          <w:szCs w:val="22"/>
        </w:rPr>
        <w:t>one</w:t>
      </w:r>
      <w:r w:rsidR="00826EE2">
        <w:rPr>
          <w:szCs w:val="22"/>
        </w:rPr>
        <w:t xml:space="preserve"> (1)</w:t>
      </w:r>
      <w:r w:rsidRPr="0043712A">
        <w:rPr>
          <w:szCs w:val="22"/>
        </w:rPr>
        <w:t xml:space="preserve"> calendar semester</w:t>
      </w:r>
      <w:r w:rsidRPr="00CF2390">
        <w:rPr>
          <w:szCs w:val="22"/>
        </w:rPr>
        <w:t xml:space="preserve">, and shall be furnished to the Association not later than </w:t>
      </w:r>
      <w:r w:rsidR="00826EE2">
        <w:rPr>
          <w:szCs w:val="22"/>
        </w:rPr>
        <w:t>forty-</w:t>
      </w:r>
      <w:r w:rsidR="000B5FF7">
        <w:rPr>
          <w:szCs w:val="22"/>
        </w:rPr>
        <w:t xml:space="preserve">five (45) days </w:t>
      </w:r>
      <w:r w:rsidRPr="00CF2390">
        <w:rPr>
          <w:szCs w:val="22"/>
        </w:rPr>
        <w:t xml:space="preserve">after the end of the period covered by such report. </w:t>
      </w:r>
    </w:p>
    <w:p w:rsidR="002C039C" w:rsidRPr="00CF2390" w:rsidRDefault="002C039C" w:rsidP="002C039C">
      <w:pPr>
        <w:pStyle w:val="ModelNrmlSingle"/>
        <w:ind w:left="720" w:hanging="720"/>
        <w:rPr>
          <w:b/>
          <w:bCs/>
          <w:szCs w:val="22"/>
        </w:rPr>
      </w:pPr>
      <w:r w:rsidRPr="00CF2390">
        <w:rPr>
          <w:b/>
          <w:bCs/>
          <w:szCs w:val="22"/>
        </w:rPr>
        <w:t>B.</w:t>
      </w:r>
      <w:r w:rsidRPr="00CF2390">
        <w:rPr>
          <w:b/>
          <w:bCs/>
          <w:szCs w:val="22"/>
        </w:rPr>
        <w:tab/>
        <w:t>Financial Management, Financial Reports and Audits</w:t>
      </w:r>
    </w:p>
    <w:p w:rsidR="002C039C" w:rsidRPr="00CF2390" w:rsidRDefault="002C039C" w:rsidP="002C039C">
      <w:pPr>
        <w:pStyle w:val="ModelNrmlSingle"/>
        <w:ind w:left="720" w:hanging="720"/>
        <w:rPr>
          <w:bCs/>
          <w:szCs w:val="22"/>
        </w:rPr>
      </w:pPr>
      <w:r w:rsidRPr="00CF2390">
        <w:rPr>
          <w:bCs/>
          <w:szCs w:val="22"/>
        </w:rPr>
        <w:t>1.</w:t>
      </w:r>
      <w:r w:rsidRPr="00CF2390">
        <w:rPr>
          <w:bCs/>
          <w:szCs w:val="22"/>
        </w:rPr>
        <w:tab/>
        <w:t>The Recipient shall maintain or cause to be maintained a financial management system in accordance with the provisions of Section 4.09 of the General Conditions.</w:t>
      </w:r>
    </w:p>
    <w:p w:rsidR="002C039C" w:rsidRPr="00CB6658" w:rsidRDefault="002C039C" w:rsidP="002C039C">
      <w:pPr>
        <w:pStyle w:val="ModelNrmlSingle"/>
        <w:ind w:left="720" w:hanging="720"/>
        <w:rPr>
          <w:bCs/>
          <w:szCs w:val="22"/>
        </w:rPr>
      </w:pPr>
      <w:r w:rsidRPr="00CB6658">
        <w:rPr>
          <w:bCs/>
          <w:szCs w:val="22"/>
        </w:rPr>
        <w:t>2.</w:t>
      </w:r>
      <w:r w:rsidRPr="00CB6658">
        <w:rPr>
          <w:bCs/>
          <w:szCs w:val="22"/>
        </w:rPr>
        <w:tab/>
        <w:t>Without limitation on the provisions of Part A of this Section, the Recipient shall prepare and furnish to the Association as part of the Project Report</w:t>
      </w:r>
      <w:r w:rsidR="00CB6658" w:rsidRPr="00CB6658">
        <w:rPr>
          <w:bCs/>
          <w:szCs w:val="22"/>
        </w:rPr>
        <w:t xml:space="preserve"> </w:t>
      </w:r>
      <w:r w:rsidRPr="00CB6658">
        <w:rPr>
          <w:bCs/>
          <w:szCs w:val="22"/>
        </w:rPr>
        <w:t>no</w:t>
      </w:r>
      <w:r w:rsidR="00CB6658" w:rsidRPr="00CB6658">
        <w:rPr>
          <w:bCs/>
          <w:szCs w:val="22"/>
        </w:rPr>
        <w:t>t</w:t>
      </w:r>
      <w:r w:rsidRPr="00CB6658">
        <w:rPr>
          <w:bCs/>
          <w:szCs w:val="22"/>
        </w:rPr>
        <w:t xml:space="preserve"> later than </w:t>
      </w:r>
      <w:r w:rsidR="00826EE2">
        <w:rPr>
          <w:bCs/>
          <w:szCs w:val="22"/>
        </w:rPr>
        <w:t>forty-</w:t>
      </w:r>
      <w:r w:rsidR="000B5FF7">
        <w:rPr>
          <w:bCs/>
          <w:szCs w:val="22"/>
        </w:rPr>
        <w:t xml:space="preserve">five (45) days </w:t>
      </w:r>
      <w:r w:rsidRPr="00CB6658">
        <w:rPr>
          <w:bCs/>
          <w:szCs w:val="22"/>
        </w:rPr>
        <w:t xml:space="preserve">after the end of each calendar </w:t>
      </w:r>
      <w:r w:rsidR="00CB6658" w:rsidRPr="00CB6658">
        <w:rPr>
          <w:bCs/>
          <w:szCs w:val="22"/>
        </w:rPr>
        <w:t>semester</w:t>
      </w:r>
      <w:r w:rsidRPr="00CB6658">
        <w:rPr>
          <w:bCs/>
          <w:szCs w:val="22"/>
        </w:rPr>
        <w:t xml:space="preserve">, interim unaudited financial reports for the Project covering the </w:t>
      </w:r>
      <w:r w:rsidR="00CB6658" w:rsidRPr="00CB6658">
        <w:rPr>
          <w:bCs/>
          <w:szCs w:val="22"/>
        </w:rPr>
        <w:t>semester</w:t>
      </w:r>
      <w:r w:rsidRPr="00CB6658">
        <w:rPr>
          <w:bCs/>
          <w:szCs w:val="22"/>
        </w:rPr>
        <w:t>, in form and substance satisfactory to the Association</w:t>
      </w:r>
      <w:r w:rsidR="00D73D7D" w:rsidRPr="00CB6658">
        <w:rPr>
          <w:bCs/>
          <w:szCs w:val="22"/>
        </w:rPr>
        <w:t>.</w:t>
      </w:r>
    </w:p>
    <w:p w:rsidR="002C039C" w:rsidRPr="00CF2390" w:rsidRDefault="002C039C" w:rsidP="002C039C">
      <w:pPr>
        <w:pStyle w:val="ModelNrmlSingle"/>
        <w:ind w:left="720" w:hanging="720"/>
        <w:rPr>
          <w:bCs/>
          <w:szCs w:val="22"/>
        </w:rPr>
      </w:pPr>
      <w:r w:rsidRPr="00CB6658">
        <w:rPr>
          <w:bCs/>
          <w:szCs w:val="22"/>
        </w:rPr>
        <w:lastRenderedPageBreak/>
        <w:t>3.</w:t>
      </w:r>
      <w:r w:rsidRPr="00CB6658">
        <w:rPr>
          <w:bCs/>
          <w:szCs w:val="22"/>
        </w:rPr>
        <w:tab/>
        <w:t>The Recipient shall have its Financial Statements audited in accordance with</w:t>
      </w:r>
      <w:r w:rsidR="00826EE2">
        <w:rPr>
          <w:bCs/>
          <w:szCs w:val="22"/>
        </w:rPr>
        <w:t xml:space="preserve"> the provisions of Section 4.09</w:t>
      </w:r>
      <w:r w:rsidRPr="00CB6658">
        <w:rPr>
          <w:bCs/>
          <w:szCs w:val="22"/>
        </w:rPr>
        <w:t>(b) of the General Conditions.  Each audit of the Financial Statements shall cover the period of one</w:t>
      </w:r>
      <w:r w:rsidR="00826EE2">
        <w:rPr>
          <w:bCs/>
          <w:szCs w:val="22"/>
        </w:rPr>
        <w:t xml:space="preserve"> (1)</w:t>
      </w:r>
      <w:r w:rsidRPr="00CB6658">
        <w:rPr>
          <w:bCs/>
          <w:szCs w:val="22"/>
        </w:rPr>
        <w:t xml:space="preserve"> fiscal year of the Recipient.  The audited Financial Statements for each such period shall be furnished to the Association not later than six</w:t>
      </w:r>
      <w:r w:rsidR="00826EE2">
        <w:rPr>
          <w:bCs/>
          <w:szCs w:val="22"/>
        </w:rPr>
        <w:t xml:space="preserve"> (6)</w:t>
      </w:r>
      <w:r w:rsidRPr="00CB6658">
        <w:rPr>
          <w:bCs/>
          <w:szCs w:val="22"/>
        </w:rPr>
        <w:t xml:space="preserve"> months after the end of such period.</w:t>
      </w:r>
      <w:r w:rsidRPr="00CF2390">
        <w:rPr>
          <w:bCs/>
          <w:szCs w:val="22"/>
          <w:vertAlign w:val="superscript"/>
        </w:rPr>
        <w:t xml:space="preserve"> </w:t>
      </w:r>
    </w:p>
    <w:p w:rsidR="0090133F" w:rsidRDefault="0090133F" w:rsidP="0092436B">
      <w:pPr>
        <w:pStyle w:val="ModelNrmlSingle"/>
        <w:ind w:firstLine="0"/>
        <w:rPr>
          <w:b/>
        </w:rPr>
      </w:pPr>
      <w:r>
        <w:rPr>
          <w:b/>
        </w:rPr>
        <w:t>Section III.</w:t>
      </w:r>
      <w:r>
        <w:rPr>
          <w:b/>
        </w:rPr>
        <w:tab/>
      </w:r>
      <w:r w:rsidRPr="0090133F">
        <w:rPr>
          <w:b/>
          <w:u w:val="single"/>
        </w:rPr>
        <w:t>Procurement</w:t>
      </w:r>
    </w:p>
    <w:p w:rsidR="00B20EF1" w:rsidRPr="00CF2390" w:rsidRDefault="00B20EF1" w:rsidP="00B20EF1">
      <w:pPr>
        <w:pStyle w:val="ModelNrmlSingle"/>
        <w:ind w:left="720" w:hanging="720"/>
        <w:rPr>
          <w:szCs w:val="22"/>
        </w:rPr>
      </w:pPr>
      <w:r w:rsidRPr="00CF2390">
        <w:rPr>
          <w:b/>
          <w:bCs/>
          <w:szCs w:val="22"/>
        </w:rPr>
        <w:t>A.</w:t>
      </w:r>
      <w:r w:rsidRPr="00CF2390">
        <w:rPr>
          <w:b/>
          <w:bCs/>
          <w:szCs w:val="22"/>
        </w:rPr>
        <w:tab/>
      </w:r>
      <w:r w:rsidRPr="004F5510">
        <w:rPr>
          <w:b/>
          <w:bCs/>
          <w:szCs w:val="22"/>
        </w:rPr>
        <w:t>General</w:t>
      </w:r>
    </w:p>
    <w:p w:rsidR="00B20EF1" w:rsidRPr="00CF2390" w:rsidRDefault="00B20EF1" w:rsidP="00B20EF1">
      <w:pPr>
        <w:pStyle w:val="ModelNrmlSingle"/>
        <w:ind w:left="720" w:hanging="720"/>
        <w:rPr>
          <w:szCs w:val="22"/>
        </w:rPr>
      </w:pPr>
      <w:r w:rsidRPr="00271B1D">
        <w:rPr>
          <w:bCs/>
          <w:szCs w:val="22"/>
        </w:rPr>
        <w:t>1.</w:t>
      </w:r>
      <w:r>
        <w:rPr>
          <w:b/>
          <w:bCs/>
          <w:szCs w:val="22"/>
        </w:rPr>
        <w:tab/>
        <w:t>Goods</w:t>
      </w:r>
      <w:r w:rsidRPr="00CF2390">
        <w:rPr>
          <w:b/>
          <w:bCs/>
          <w:szCs w:val="22"/>
        </w:rPr>
        <w:t>.</w:t>
      </w:r>
      <w:r w:rsidRPr="00CF2390">
        <w:rPr>
          <w:szCs w:val="22"/>
        </w:rPr>
        <w:t xml:space="preserve">  All goods required for the Project and to be financed out of the proceeds of the </w:t>
      </w:r>
      <w:r>
        <w:rPr>
          <w:szCs w:val="22"/>
        </w:rPr>
        <w:t>Credit</w:t>
      </w:r>
      <w:r w:rsidRPr="00CF2390">
        <w:rPr>
          <w:szCs w:val="22"/>
        </w:rPr>
        <w:t xml:space="preserve"> shall be procured in accordance with the requirements set forth or referred to in Section I of </w:t>
      </w:r>
      <w:r>
        <w:rPr>
          <w:szCs w:val="22"/>
        </w:rPr>
        <w:t>the P</w:t>
      </w:r>
      <w:r w:rsidRPr="00CF2390">
        <w:rPr>
          <w:szCs w:val="22"/>
        </w:rPr>
        <w:t>rocurement Guidelines</w:t>
      </w:r>
      <w:r>
        <w:rPr>
          <w:szCs w:val="22"/>
        </w:rPr>
        <w:t>,</w:t>
      </w:r>
      <w:r w:rsidRPr="00CF2390">
        <w:rPr>
          <w:szCs w:val="22"/>
        </w:rPr>
        <w:t xml:space="preserve"> and with the provisions of this Section</w:t>
      </w:r>
      <w:r>
        <w:rPr>
          <w:szCs w:val="22"/>
        </w:rPr>
        <w:t>.</w:t>
      </w:r>
    </w:p>
    <w:p w:rsidR="00B20EF1" w:rsidRPr="00F167C1" w:rsidRDefault="00B20EF1" w:rsidP="00B20EF1">
      <w:pPr>
        <w:pStyle w:val="ModelNrmlDouble"/>
        <w:spacing w:after="240" w:line="240" w:lineRule="auto"/>
        <w:ind w:left="720" w:hanging="720"/>
      </w:pPr>
      <w:r w:rsidRPr="00271B1D">
        <w:rPr>
          <w:bCs/>
        </w:rPr>
        <w:t>2.</w:t>
      </w:r>
      <w:r w:rsidRPr="00CF2390">
        <w:rPr>
          <w:b/>
          <w:bCs/>
        </w:rPr>
        <w:tab/>
        <w:t>Consultants’ Services.</w:t>
      </w:r>
      <w:r w:rsidRPr="00CF2390">
        <w:t xml:space="preserve">  All consultants’ services required for the Project and to be fina</w:t>
      </w:r>
      <w:r>
        <w:t>nced out of the proceeds of the Credit</w:t>
      </w:r>
      <w:r w:rsidRPr="00CF2390">
        <w:t xml:space="preserve"> shall be procured in accordance with the requirements set forth or referred to in Sections I and IV of the Consultant Guidelines</w:t>
      </w:r>
      <w:r>
        <w:t>,</w:t>
      </w:r>
      <w:r w:rsidRPr="00CF2390">
        <w:t xml:space="preserve"> and with the provisions of this Section</w:t>
      </w:r>
      <w:r>
        <w:t>.</w:t>
      </w:r>
    </w:p>
    <w:p w:rsidR="00B20EF1" w:rsidRPr="00CF2390" w:rsidRDefault="00B20EF1" w:rsidP="00B20EF1">
      <w:pPr>
        <w:pStyle w:val="ModelNrmlSingle"/>
        <w:ind w:left="720" w:hanging="720"/>
        <w:rPr>
          <w:szCs w:val="22"/>
        </w:rPr>
      </w:pPr>
      <w:r w:rsidRPr="00271B1D">
        <w:rPr>
          <w:bCs/>
          <w:szCs w:val="22"/>
        </w:rPr>
        <w:t>3.</w:t>
      </w:r>
      <w:r w:rsidRPr="00CF2390">
        <w:rPr>
          <w:b/>
          <w:bCs/>
          <w:szCs w:val="22"/>
        </w:rPr>
        <w:tab/>
        <w:t>Definitions.</w:t>
      </w:r>
      <w:r w:rsidRPr="00CF2390">
        <w:rPr>
          <w:szCs w:val="22"/>
        </w:rPr>
        <w:t xml:space="preserve">  The capitalized terms used below in this Section to describe particular procurement methods or methods of review by the Association of particular contracts, refer to the corresponding method described in the Procurement Guidelines, or Consultant Guidelines, as the case may be.</w:t>
      </w:r>
    </w:p>
    <w:p w:rsidR="00B20EF1" w:rsidRPr="004F5510" w:rsidRDefault="00B20EF1" w:rsidP="00B20EF1">
      <w:pPr>
        <w:pStyle w:val="ModelNrmlSingle"/>
        <w:ind w:left="720" w:hanging="720"/>
        <w:rPr>
          <w:szCs w:val="22"/>
        </w:rPr>
      </w:pPr>
      <w:r w:rsidRPr="00CF2390">
        <w:rPr>
          <w:b/>
          <w:bCs/>
          <w:szCs w:val="22"/>
        </w:rPr>
        <w:t>B.</w:t>
      </w:r>
      <w:r w:rsidRPr="00CF2390">
        <w:rPr>
          <w:b/>
          <w:bCs/>
          <w:szCs w:val="22"/>
        </w:rPr>
        <w:tab/>
      </w:r>
      <w:r w:rsidRPr="004F5510">
        <w:rPr>
          <w:b/>
          <w:bCs/>
          <w:szCs w:val="22"/>
        </w:rPr>
        <w:t xml:space="preserve">Particular Methods of Procurement of Goods </w:t>
      </w:r>
    </w:p>
    <w:p w:rsidR="00B20EF1" w:rsidRDefault="00B20EF1" w:rsidP="00B20EF1">
      <w:pPr>
        <w:pStyle w:val="ModelNrmlSingle"/>
        <w:ind w:left="720" w:hanging="720"/>
        <w:rPr>
          <w:szCs w:val="22"/>
        </w:rPr>
      </w:pPr>
      <w:r w:rsidRPr="00271B1D">
        <w:rPr>
          <w:bCs/>
          <w:szCs w:val="22"/>
        </w:rPr>
        <w:t>1.</w:t>
      </w:r>
      <w:r>
        <w:rPr>
          <w:b/>
          <w:bCs/>
          <w:szCs w:val="22"/>
        </w:rPr>
        <w:tab/>
      </w:r>
      <w:r w:rsidRPr="00CF2390">
        <w:rPr>
          <w:b/>
          <w:bCs/>
          <w:szCs w:val="22"/>
        </w:rPr>
        <w:t>International</w:t>
      </w:r>
      <w:r>
        <w:rPr>
          <w:b/>
          <w:bCs/>
          <w:szCs w:val="22"/>
        </w:rPr>
        <w:t xml:space="preserve"> </w:t>
      </w:r>
      <w:r w:rsidRPr="00CF2390">
        <w:rPr>
          <w:b/>
          <w:bCs/>
          <w:szCs w:val="22"/>
        </w:rPr>
        <w:t xml:space="preserve">Competitive Bidding.  </w:t>
      </w:r>
      <w:proofErr w:type="gramStart"/>
      <w:r w:rsidRPr="00CF2390">
        <w:rPr>
          <w:szCs w:val="22"/>
        </w:rPr>
        <w:t>Except as o</w:t>
      </w:r>
      <w:r w:rsidR="00CD6463">
        <w:rPr>
          <w:szCs w:val="22"/>
        </w:rPr>
        <w:t>therwise provided in paragraph 2</w:t>
      </w:r>
      <w:r w:rsidRPr="00CF2390">
        <w:rPr>
          <w:szCs w:val="22"/>
        </w:rPr>
        <w:t xml:space="preserve"> below, goods shall be procured under con</w:t>
      </w:r>
      <w:r>
        <w:rPr>
          <w:szCs w:val="22"/>
        </w:rPr>
        <w:t xml:space="preserve">tracts awarded on the basis of </w:t>
      </w:r>
      <w:r w:rsidRPr="00CF2390">
        <w:rPr>
          <w:szCs w:val="22"/>
        </w:rPr>
        <w:t>International Competitive Bidding</w:t>
      </w:r>
      <w:r>
        <w:rPr>
          <w:szCs w:val="22"/>
        </w:rPr>
        <w:t>.</w:t>
      </w:r>
      <w:proofErr w:type="gramEnd"/>
    </w:p>
    <w:p w:rsidR="00B20EF1" w:rsidRDefault="00D73D7D" w:rsidP="00B20EF1">
      <w:pPr>
        <w:pStyle w:val="ModelNrmlSingle"/>
        <w:ind w:left="720" w:hanging="720"/>
        <w:rPr>
          <w:szCs w:val="22"/>
        </w:rPr>
      </w:pPr>
      <w:r>
        <w:rPr>
          <w:bCs/>
          <w:szCs w:val="22"/>
        </w:rPr>
        <w:t>2</w:t>
      </w:r>
      <w:r w:rsidR="00B20EF1">
        <w:rPr>
          <w:bCs/>
          <w:szCs w:val="22"/>
        </w:rPr>
        <w:t>.</w:t>
      </w:r>
      <w:r w:rsidR="00B20EF1">
        <w:rPr>
          <w:bCs/>
          <w:szCs w:val="22"/>
        </w:rPr>
        <w:tab/>
      </w:r>
      <w:r w:rsidR="00B20EF1" w:rsidRPr="00CF2390">
        <w:rPr>
          <w:b/>
          <w:bCs/>
          <w:szCs w:val="22"/>
        </w:rPr>
        <w:t>Other Methods of Procurement of</w:t>
      </w:r>
      <w:r w:rsidR="003322BE">
        <w:rPr>
          <w:b/>
          <w:bCs/>
          <w:szCs w:val="22"/>
        </w:rPr>
        <w:t xml:space="preserve"> Goods</w:t>
      </w:r>
      <w:r w:rsidR="00B20EF1" w:rsidRPr="00CF2390">
        <w:rPr>
          <w:b/>
          <w:bCs/>
          <w:szCs w:val="22"/>
        </w:rPr>
        <w:t xml:space="preserve">.  </w:t>
      </w:r>
      <w:r w:rsidR="00B20EF1" w:rsidRPr="00CF2390">
        <w:rPr>
          <w:szCs w:val="22"/>
        </w:rPr>
        <w:t>The following table specifies the methods of procurement, other than International Competitive Bidding, which ma</w:t>
      </w:r>
      <w:r w:rsidR="00B20EF1">
        <w:rPr>
          <w:szCs w:val="22"/>
        </w:rPr>
        <w:t xml:space="preserve">y be used for goods.  </w:t>
      </w:r>
      <w:r w:rsidR="00B20EF1" w:rsidRPr="00CF2390">
        <w:rPr>
          <w:szCs w:val="22"/>
        </w:rPr>
        <w:t>The Procurement Plan shall specify the circum</w:t>
      </w:r>
      <w:r w:rsidR="00826EE2">
        <w:rPr>
          <w:szCs w:val="22"/>
        </w:rPr>
        <w:t>stances under which such method</w:t>
      </w:r>
      <w:r w:rsidR="00B20EF1" w:rsidRPr="00CF2390">
        <w:rPr>
          <w:szCs w:val="22"/>
        </w:rPr>
        <w:t xml:space="preserve"> may be used: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B20EF1" w:rsidRPr="002B3355" w:rsidTr="00B20EF1">
        <w:tc>
          <w:tcPr>
            <w:tcW w:w="7308" w:type="dxa"/>
          </w:tcPr>
          <w:p w:rsidR="00B20EF1" w:rsidRDefault="00B20EF1" w:rsidP="00826EE2">
            <w:pPr>
              <w:pStyle w:val="ModelNrmlSingle"/>
              <w:spacing w:after="0"/>
              <w:ind w:firstLine="0"/>
              <w:jc w:val="left"/>
              <w:rPr>
                <w:b/>
                <w:bCs/>
                <w:szCs w:val="22"/>
              </w:rPr>
            </w:pPr>
            <w:r w:rsidRPr="002C5B5C">
              <w:rPr>
                <w:b/>
                <w:bCs/>
                <w:szCs w:val="22"/>
              </w:rPr>
              <w:t>Procurement Method</w:t>
            </w:r>
          </w:p>
          <w:p w:rsidR="002C5B5C" w:rsidRPr="002C5B5C" w:rsidRDefault="002C5B5C" w:rsidP="00B20EF1">
            <w:pPr>
              <w:pStyle w:val="ModelNrmlSingle"/>
              <w:spacing w:after="0"/>
              <w:ind w:firstLine="0"/>
              <w:jc w:val="center"/>
              <w:rPr>
                <w:szCs w:val="22"/>
              </w:rPr>
            </w:pPr>
          </w:p>
        </w:tc>
      </w:tr>
      <w:tr w:rsidR="00B20EF1" w:rsidRPr="002B3355" w:rsidTr="00B20EF1">
        <w:tc>
          <w:tcPr>
            <w:tcW w:w="7308" w:type="dxa"/>
          </w:tcPr>
          <w:p w:rsidR="00B20EF1" w:rsidRPr="002B3355" w:rsidRDefault="00B20EF1" w:rsidP="00B20EF1">
            <w:pPr>
              <w:pStyle w:val="ModelNrmlSingle"/>
              <w:spacing w:after="0"/>
              <w:ind w:firstLine="0"/>
              <w:rPr>
                <w:szCs w:val="22"/>
              </w:rPr>
            </w:pPr>
            <w:r w:rsidRPr="002B3355">
              <w:rPr>
                <w:szCs w:val="22"/>
              </w:rPr>
              <w:t>Shopping</w:t>
            </w:r>
          </w:p>
        </w:tc>
      </w:tr>
    </w:tbl>
    <w:p w:rsidR="00826EE2" w:rsidRDefault="00826EE2" w:rsidP="00B20EF1">
      <w:pPr>
        <w:pStyle w:val="ModelDoubleNoIndent"/>
        <w:spacing w:after="0" w:line="240" w:lineRule="auto"/>
        <w:rPr>
          <w:b/>
          <w:bCs/>
          <w:szCs w:val="22"/>
        </w:rPr>
      </w:pPr>
    </w:p>
    <w:p w:rsidR="00B20EF1" w:rsidRPr="00CF2390" w:rsidRDefault="00B20EF1" w:rsidP="00B20EF1">
      <w:pPr>
        <w:pStyle w:val="ModelDoubleNoIndent"/>
        <w:spacing w:after="0" w:line="240" w:lineRule="auto"/>
        <w:rPr>
          <w:b/>
          <w:bCs/>
          <w:szCs w:val="22"/>
        </w:rPr>
      </w:pPr>
      <w:r w:rsidRPr="00CF2390">
        <w:rPr>
          <w:b/>
          <w:bCs/>
          <w:szCs w:val="22"/>
        </w:rPr>
        <w:t>C.</w:t>
      </w:r>
      <w:r w:rsidRPr="00CF2390">
        <w:rPr>
          <w:b/>
          <w:bCs/>
          <w:szCs w:val="22"/>
        </w:rPr>
        <w:tab/>
      </w:r>
      <w:r w:rsidRPr="004F5510">
        <w:rPr>
          <w:b/>
          <w:bCs/>
          <w:szCs w:val="22"/>
        </w:rPr>
        <w:t>Particular Methods of Procurement of Consultants’ Services</w:t>
      </w:r>
    </w:p>
    <w:p w:rsidR="00B20EF1" w:rsidRPr="00CF2390" w:rsidRDefault="00B20EF1" w:rsidP="00B20EF1">
      <w:pPr>
        <w:pStyle w:val="ModelNrmlDouble"/>
        <w:spacing w:after="0" w:line="240" w:lineRule="auto"/>
        <w:ind w:left="720" w:hanging="720"/>
        <w:rPr>
          <w:szCs w:val="22"/>
        </w:rPr>
      </w:pPr>
    </w:p>
    <w:p w:rsidR="00B20EF1" w:rsidRDefault="00B20EF1" w:rsidP="00B20EF1">
      <w:pPr>
        <w:pStyle w:val="ModelNrmlDouble"/>
        <w:spacing w:after="0" w:line="240" w:lineRule="auto"/>
        <w:ind w:left="720" w:hanging="720"/>
        <w:rPr>
          <w:szCs w:val="22"/>
        </w:rPr>
      </w:pPr>
      <w:r w:rsidRPr="000B6799">
        <w:rPr>
          <w:bCs/>
          <w:szCs w:val="22"/>
        </w:rPr>
        <w:t>1.</w:t>
      </w:r>
      <w:r>
        <w:rPr>
          <w:b/>
          <w:bCs/>
          <w:szCs w:val="22"/>
        </w:rPr>
        <w:t xml:space="preserve"> </w:t>
      </w:r>
      <w:r>
        <w:rPr>
          <w:b/>
          <w:bCs/>
          <w:szCs w:val="22"/>
        </w:rPr>
        <w:tab/>
      </w:r>
      <w:r w:rsidRPr="00CF2390">
        <w:rPr>
          <w:b/>
          <w:bCs/>
          <w:szCs w:val="22"/>
        </w:rPr>
        <w:t>Quality- and Cost-based Selection.</w:t>
      </w:r>
      <w:r w:rsidRPr="00CF2390">
        <w:rPr>
          <w:szCs w:val="22"/>
        </w:rPr>
        <w:t xml:space="preserve">  Except as otherwise provided in paragraph </w:t>
      </w:r>
      <w:r w:rsidR="00241FB5">
        <w:rPr>
          <w:szCs w:val="22"/>
        </w:rPr>
        <w:t>2</w:t>
      </w:r>
      <w:r w:rsidRPr="00CF2390">
        <w:rPr>
          <w:szCs w:val="22"/>
        </w:rPr>
        <w:t xml:space="preserve"> below, consultants’ services shall be procured under contracts awarded on the basis of Quality</w:t>
      </w:r>
      <w:r w:rsidR="00F62BE4">
        <w:rPr>
          <w:szCs w:val="22"/>
        </w:rPr>
        <w:t>-</w:t>
      </w:r>
      <w:r w:rsidRPr="00CF2390">
        <w:rPr>
          <w:szCs w:val="22"/>
        </w:rPr>
        <w:t xml:space="preserve"> and Cost-based Selection.</w:t>
      </w:r>
      <w:r>
        <w:rPr>
          <w:szCs w:val="22"/>
        </w:rPr>
        <w:t xml:space="preserve">  </w:t>
      </w:r>
    </w:p>
    <w:p w:rsidR="00B20EF1" w:rsidRDefault="00B20EF1" w:rsidP="00B20EF1">
      <w:pPr>
        <w:pStyle w:val="ModelDoubleNoIndent"/>
        <w:spacing w:after="0" w:line="240" w:lineRule="auto"/>
        <w:ind w:left="720" w:hanging="720"/>
        <w:rPr>
          <w:szCs w:val="22"/>
        </w:rPr>
      </w:pPr>
      <w:r w:rsidRPr="00271B1D">
        <w:rPr>
          <w:bCs/>
          <w:szCs w:val="22"/>
        </w:rPr>
        <w:lastRenderedPageBreak/>
        <w:t>2.</w:t>
      </w:r>
      <w:r w:rsidRPr="00CF2390">
        <w:rPr>
          <w:b/>
          <w:bCs/>
          <w:szCs w:val="22"/>
        </w:rPr>
        <w:tab/>
        <w:t>Other Methods of Procurement of Consultants’ Services</w:t>
      </w:r>
      <w:r w:rsidRPr="00CF2390">
        <w:rPr>
          <w:szCs w:val="22"/>
        </w:rPr>
        <w:t>.  The following table specifies methods of procurement, other than Quality</w:t>
      </w:r>
      <w:r w:rsidR="00F62BE4">
        <w:rPr>
          <w:szCs w:val="22"/>
        </w:rPr>
        <w:t>-</w:t>
      </w:r>
      <w:r w:rsidRPr="00CF2390">
        <w:rPr>
          <w:szCs w:val="22"/>
        </w:rPr>
        <w:t xml:space="preserve"> and Cost-based Selection, which may be used for consultants’ services.  The Procurement Plan shall specify the circumstances under which such methods may be used</w:t>
      </w:r>
      <w:r w:rsidR="00F62BE4">
        <w:rPr>
          <w:szCs w:val="22"/>
        </w:rPr>
        <w:t>:</w:t>
      </w:r>
    </w:p>
    <w:p w:rsidR="004618BD" w:rsidRDefault="004618BD" w:rsidP="00B20EF1">
      <w:pPr>
        <w:pStyle w:val="ModelDoubleNoIndent"/>
        <w:spacing w:after="0" w:line="240" w:lineRule="auto"/>
        <w:ind w:left="720" w:hanging="720"/>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B20EF1" w:rsidRPr="002B3355" w:rsidTr="00B20EF1">
        <w:tc>
          <w:tcPr>
            <w:tcW w:w="7308" w:type="dxa"/>
            <w:vAlign w:val="bottom"/>
          </w:tcPr>
          <w:p w:rsidR="00B20EF1" w:rsidRDefault="00B20EF1" w:rsidP="00826EE2">
            <w:pPr>
              <w:pStyle w:val="ModelDoubleNoIndent"/>
              <w:spacing w:after="0" w:line="240" w:lineRule="auto"/>
              <w:jc w:val="left"/>
              <w:rPr>
                <w:b/>
                <w:bCs/>
                <w:szCs w:val="22"/>
              </w:rPr>
            </w:pPr>
            <w:r w:rsidRPr="002C5B5C">
              <w:rPr>
                <w:b/>
                <w:bCs/>
                <w:szCs w:val="22"/>
              </w:rPr>
              <w:t>Procurement Method</w:t>
            </w:r>
            <w:r w:rsidR="00745E55">
              <w:rPr>
                <w:b/>
                <w:bCs/>
                <w:szCs w:val="22"/>
              </w:rPr>
              <w:t>s</w:t>
            </w:r>
          </w:p>
          <w:p w:rsidR="002C5B5C" w:rsidRPr="002C5B5C" w:rsidRDefault="002C5B5C" w:rsidP="00B20EF1">
            <w:pPr>
              <w:pStyle w:val="ModelDoubleNoIndent"/>
              <w:spacing w:after="0" w:line="240" w:lineRule="auto"/>
              <w:jc w:val="center"/>
              <w:rPr>
                <w:szCs w:val="22"/>
              </w:rPr>
            </w:pPr>
          </w:p>
        </w:tc>
      </w:tr>
      <w:tr w:rsidR="00B20EF1" w:rsidRPr="002B3355" w:rsidTr="00B20EF1">
        <w:tc>
          <w:tcPr>
            <w:tcW w:w="7308" w:type="dxa"/>
            <w:vAlign w:val="bottom"/>
          </w:tcPr>
          <w:p w:rsidR="00B20EF1" w:rsidRPr="002B3355" w:rsidRDefault="00B20EF1" w:rsidP="003423AB">
            <w:pPr>
              <w:pStyle w:val="ModelDoubleNoIndent"/>
              <w:spacing w:after="0" w:line="240" w:lineRule="auto"/>
              <w:rPr>
                <w:bCs/>
                <w:szCs w:val="22"/>
              </w:rPr>
            </w:pPr>
            <w:r w:rsidRPr="002B3355">
              <w:rPr>
                <w:bCs/>
                <w:szCs w:val="22"/>
              </w:rPr>
              <w:t xml:space="preserve">(a) </w:t>
            </w:r>
            <w:r>
              <w:rPr>
                <w:bCs/>
                <w:szCs w:val="22"/>
              </w:rPr>
              <w:t xml:space="preserve"> </w:t>
            </w:r>
            <w:r w:rsidR="003423AB">
              <w:rPr>
                <w:bCs/>
                <w:szCs w:val="22"/>
              </w:rPr>
              <w:t>Quality-based Selection</w:t>
            </w:r>
          </w:p>
        </w:tc>
      </w:tr>
      <w:tr w:rsidR="00B20EF1" w:rsidRPr="002B3355" w:rsidTr="00B20EF1">
        <w:tc>
          <w:tcPr>
            <w:tcW w:w="7308" w:type="dxa"/>
          </w:tcPr>
          <w:p w:rsidR="00B20EF1" w:rsidRPr="002B3355" w:rsidRDefault="00B20EF1" w:rsidP="003423AB">
            <w:pPr>
              <w:pStyle w:val="ModelDoubleNoIndent"/>
              <w:spacing w:after="0" w:line="240" w:lineRule="auto"/>
              <w:rPr>
                <w:szCs w:val="22"/>
              </w:rPr>
            </w:pPr>
            <w:r w:rsidRPr="002B3355">
              <w:rPr>
                <w:szCs w:val="22"/>
              </w:rPr>
              <w:t xml:space="preserve">(b)  </w:t>
            </w:r>
            <w:r w:rsidR="003423AB">
              <w:rPr>
                <w:bCs/>
                <w:szCs w:val="22"/>
              </w:rPr>
              <w:t>Least Cost</w:t>
            </w:r>
            <w:r w:rsidR="003423AB" w:rsidRPr="002B3355">
              <w:rPr>
                <w:bCs/>
                <w:szCs w:val="22"/>
              </w:rPr>
              <w:t xml:space="preserve"> Selection</w:t>
            </w:r>
            <w:r w:rsidR="003423AB" w:rsidRPr="002B3355">
              <w:rPr>
                <w:szCs w:val="22"/>
              </w:rPr>
              <w:t xml:space="preserve"> </w:t>
            </w:r>
          </w:p>
        </w:tc>
      </w:tr>
      <w:tr w:rsidR="00B20EF1" w:rsidRPr="002B3355" w:rsidTr="00B20EF1">
        <w:tc>
          <w:tcPr>
            <w:tcW w:w="7308" w:type="dxa"/>
          </w:tcPr>
          <w:p w:rsidR="00B20EF1" w:rsidRPr="002B3355" w:rsidRDefault="00B20EF1" w:rsidP="003423AB">
            <w:pPr>
              <w:pStyle w:val="ModelDoubleNoIndent"/>
              <w:spacing w:after="0" w:line="240" w:lineRule="auto"/>
              <w:rPr>
                <w:szCs w:val="22"/>
              </w:rPr>
            </w:pPr>
            <w:r w:rsidRPr="002B3355">
              <w:rPr>
                <w:szCs w:val="22"/>
              </w:rPr>
              <w:t xml:space="preserve">(c)  </w:t>
            </w:r>
            <w:r w:rsidR="003423AB" w:rsidRPr="002B3355">
              <w:rPr>
                <w:szCs w:val="22"/>
              </w:rPr>
              <w:t>Selection based on Consultants’ Qualifications</w:t>
            </w:r>
            <w:r w:rsidR="003423AB">
              <w:rPr>
                <w:szCs w:val="22"/>
              </w:rPr>
              <w:t xml:space="preserve"> </w:t>
            </w:r>
          </w:p>
        </w:tc>
      </w:tr>
      <w:tr w:rsidR="00B20EF1" w:rsidRPr="002B3355" w:rsidTr="00B20EF1">
        <w:tc>
          <w:tcPr>
            <w:tcW w:w="7308" w:type="dxa"/>
          </w:tcPr>
          <w:p w:rsidR="003423AB" w:rsidRPr="002B3355" w:rsidRDefault="00B20EF1" w:rsidP="0030383D">
            <w:pPr>
              <w:pStyle w:val="ModelDoubleNoIndent"/>
              <w:spacing w:after="0" w:line="240" w:lineRule="auto"/>
              <w:rPr>
                <w:szCs w:val="22"/>
              </w:rPr>
            </w:pPr>
            <w:r w:rsidRPr="002B3355">
              <w:rPr>
                <w:szCs w:val="22"/>
              </w:rPr>
              <w:t xml:space="preserve">(d) </w:t>
            </w:r>
            <w:r w:rsidR="00826EE2">
              <w:rPr>
                <w:szCs w:val="22"/>
              </w:rPr>
              <w:t xml:space="preserve"> </w:t>
            </w:r>
            <w:r w:rsidR="003423AB">
              <w:rPr>
                <w:szCs w:val="22"/>
              </w:rPr>
              <w:t>Single Source</w:t>
            </w:r>
            <w:r w:rsidR="003423AB" w:rsidRPr="002B3355">
              <w:rPr>
                <w:szCs w:val="22"/>
              </w:rPr>
              <w:t xml:space="preserve"> Selection</w:t>
            </w:r>
          </w:p>
        </w:tc>
      </w:tr>
      <w:tr w:rsidR="003423AB" w:rsidRPr="002B3355" w:rsidTr="00B20EF1">
        <w:tc>
          <w:tcPr>
            <w:tcW w:w="7308" w:type="dxa"/>
          </w:tcPr>
          <w:p w:rsidR="003423AB" w:rsidRPr="002B3355" w:rsidRDefault="003423AB" w:rsidP="003423AB">
            <w:pPr>
              <w:pStyle w:val="ModelDoubleNoIndent"/>
              <w:spacing w:after="0" w:line="240" w:lineRule="auto"/>
              <w:rPr>
                <w:szCs w:val="22"/>
              </w:rPr>
            </w:pPr>
            <w:r>
              <w:rPr>
                <w:szCs w:val="22"/>
              </w:rPr>
              <w:t xml:space="preserve">(e) </w:t>
            </w:r>
            <w:r w:rsidR="00826EE2">
              <w:rPr>
                <w:szCs w:val="22"/>
              </w:rPr>
              <w:t xml:space="preserve"> </w:t>
            </w:r>
            <w:r>
              <w:rPr>
                <w:szCs w:val="22"/>
              </w:rPr>
              <w:t xml:space="preserve">Selection of </w:t>
            </w:r>
            <w:r w:rsidRPr="002B3355">
              <w:rPr>
                <w:szCs w:val="22"/>
              </w:rPr>
              <w:t>Individual Consultants</w:t>
            </w:r>
          </w:p>
        </w:tc>
      </w:tr>
    </w:tbl>
    <w:p w:rsidR="00B20EF1" w:rsidRPr="00CF2390" w:rsidRDefault="00B20EF1" w:rsidP="00B20EF1">
      <w:pPr>
        <w:pStyle w:val="ModelDoubleNoIndent"/>
        <w:spacing w:after="0" w:line="240" w:lineRule="auto"/>
        <w:ind w:left="720" w:hanging="720"/>
        <w:rPr>
          <w:szCs w:val="22"/>
        </w:rPr>
      </w:pPr>
    </w:p>
    <w:p w:rsidR="00B20EF1" w:rsidRPr="004F5510" w:rsidRDefault="00B20EF1" w:rsidP="00B20EF1">
      <w:pPr>
        <w:pStyle w:val="ModelNrmlSingle"/>
        <w:ind w:firstLine="0"/>
        <w:rPr>
          <w:b/>
          <w:bCs/>
          <w:szCs w:val="22"/>
        </w:rPr>
      </w:pPr>
      <w:r w:rsidRPr="00CF2390">
        <w:rPr>
          <w:b/>
          <w:bCs/>
          <w:szCs w:val="22"/>
        </w:rPr>
        <w:t>D.</w:t>
      </w:r>
      <w:r w:rsidRPr="00CF2390">
        <w:rPr>
          <w:b/>
          <w:bCs/>
          <w:szCs w:val="22"/>
        </w:rPr>
        <w:tab/>
      </w:r>
      <w:r w:rsidRPr="004F5510">
        <w:rPr>
          <w:b/>
          <w:bCs/>
          <w:szCs w:val="22"/>
        </w:rPr>
        <w:t>Review by the Association of Procurement Decisions</w:t>
      </w:r>
    </w:p>
    <w:p w:rsidR="006B22EA" w:rsidRDefault="00B20EF1" w:rsidP="00B20EF1">
      <w:pPr>
        <w:pStyle w:val="ModelNrmlSingle"/>
        <w:ind w:left="720" w:hanging="720"/>
        <w:rPr>
          <w:szCs w:val="22"/>
        </w:rPr>
      </w:pPr>
      <w:r>
        <w:rPr>
          <w:szCs w:val="22"/>
        </w:rPr>
        <w:tab/>
      </w:r>
      <w:r w:rsidR="006B22EA">
        <w:rPr>
          <w:szCs w:val="22"/>
        </w:rPr>
        <w:t xml:space="preserve">Except as the Association shall otherwise determine by notice to the Recipient, the following contracts shall be subject to Prior Review by the Association: </w:t>
      </w:r>
      <w:r w:rsidR="00745E55">
        <w:rPr>
          <w:szCs w:val="22"/>
        </w:rPr>
        <w:t xml:space="preserve">      </w:t>
      </w:r>
      <w:r w:rsidR="006B22EA">
        <w:rPr>
          <w:szCs w:val="22"/>
        </w:rPr>
        <w:t xml:space="preserve">(a) </w:t>
      </w:r>
      <w:r w:rsidR="006B22EA">
        <w:t>each contract for goods estimated to cost the equivalent of $100,000 or more</w:t>
      </w:r>
      <w:r w:rsidR="00554990">
        <w:t xml:space="preserve">; (b) </w:t>
      </w:r>
      <w:r w:rsidR="006B22EA">
        <w:t xml:space="preserve">each contract for </w:t>
      </w:r>
      <w:r w:rsidR="00554990">
        <w:t xml:space="preserve">consultants’ services provided by a firm </w:t>
      </w:r>
      <w:r w:rsidR="006B22EA">
        <w:t>estimated to cost the equivalent of $100,000</w:t>
      </w:r>
      <w:r w:rsidR="00554990">
        <w:t xml:space="preserve"> or more; </w:t>
      </w:r>
      <w:r w:rsidR="0030383D">
        <w:t xml:space="preserve">(c) each contract for consultants service, regardless of its value, to be procured on the basis of Single Source Selection; and  </w:t>
      </w:r>
      <w:r w:rsidR="00554990">
        <w:t>(</w:t>
      </w:r>
      <w:r w:rsidR="0030383D">
        <w:t>d</w:t>
      </w:r>
      <w:r w:rsidR="00554990">
        <w:t>)</w:t>
      </w:r>
      <w:r w:rsidR="00554990" w:rsidRPr="00554990">
        <w:t xml:space="preserve"> </w:t>
      </w:r>
      <w:r w:rsidR="00554990">
        <w:t>each contract for the employment of individual consultants estimated to cost th</w:t>
      </w:r>
      <w:r w:rsidR="0030383D">
        <w:t xml:space="preserve">e equivalent of $50,000 or more. </w:t>
      </w:r>
      <w:r w:rsidR="00554990">
        <w:t xml:space="preserve"> </w:t>
      </w:r>
      <w:r w:rsidR="0036237B">
        <w:t>All other contracts shall be subject to Post Review by the Association.</w:t>
      </w:r>
      <w:r w:rsidR="00554990">
        <w:t xml:space="preserve"> </w:t>
      </w:r>
    </w:p>
    <w:p w:rsidR="004B566E" w:rsidRDefault="004B566E" w:rsidP="0092436B">
      <w:pPr>
        <w:pStyle w:val="ModelNrmlSingle"/>
        <w:ind w:firstLine="0"/>
        <w:rPr>
          <w:b/>
        </w:rPr>
      </w:pPr>
      <w:r>
        <w:rPr>
          <w:b/>
        </w:rPr>
        <w:t>Section IV.</w:t>
      </w:r>
      <w:r>
        <w:rPr>
          <w:b/>
        </w:rPr>
        <w:tab/>
      </w:r>
      <w:r w:rsidRPr="00E21A72">
        <w:rPr>
          <w:b/>
          <w:u w:val="single"/>
        </w:rPr>
        <w:t>Withdrawal of the Proceeds of the Credit</w:t>
      </w:r>
    </w:p>
    <w:p w:rsidR="0092436B" w:rsidRDefault="004B566E" w:rsidP="004B566E">
      <w:pPr>
        <w:pStyle w:val="ModelNrmlSingle"/>
        <w:ind w:firstLine="0"/>
        <w:rPr>
          <w:b/>
        </w:rPr>
      </w:pPr>
      <w:r>
        <w:rPr>
          <w:b/>
        </w:rPr>
        <w:t>A.</w:t>
      </w:r>
      <w:r>
        <w:rPr>
          <w:b/>
        </w:rPr>
        <w:tab/>
        <w:t>General</w:t>
      </w:r>
    </w:p>
    <w:p w:rsidR="00440FDE" w:rsidRPr="00CF2390" w:rsidRDefault="00440FDE" w:rsidP="00911873">
      <w:pPr>
        <w:pStyle w:val="ModelNrmlSingle"/>
        <w:ind w:left="720" w:hanging="720"/>
        <w:rPr>
          <w:szCs w:val="22"/>
        </w:rPr>
      </w:pPr>
      <w:r>
        <w:t>1.</w:t>
      </w:r>
      <w:r>
        <w:tab/>
      </w:r>
      <w:r w:rsidRPr="00CF2390">
        <w:rPr>
          <w:szCs w:val="22"/>
        </w:rPr>
        <w:t>The Recipient may withdraw the proceeds of the Financing in accordance with the provisions of Article II of the General Conditions, this Section, and such additional instructions as the Association shall specify by notice to the Recipient (including the “World Bank Disbursement Guidelines for Projects” dated May 2006, as revised from time to time by the Association and as made applicable to this Agreement pursuant to such instructions), to finance Eligible Expenditures as set forth in the table in paragraph 2 below.</w:t>
      </w:r>
    </w:p>
    <w:p w:rsidR="00E67E34" w:rsidRDefault="00440FDE" w:rsidP="00911873">
      <w:pPr>
        <w:pStyle w:val="ModelNrmlSingle"/>
        <w:ind w:left="720" w:hanging="720"/>
      </w:pPr>
      <w:r>
        <w:t>2</w:t>
      </w:r>
      <w:r w:rsidR="00E67E34">
        <w:t>.</w:t>
      </w:r>
      <w:r w:rsidR="00E67E34">
        <w:tab/>
        <w:t xml:space="preserve">The table below sets forth the Categories of items to be financed out of the proceeds of the Credit, the allocation of the amounts of the </w:t>
      </w:r>
      <w:r w:rsidR="005D7BA1">
        <w:t xml:space="preserve">Original </w:t>
      </w:r>
      <w:r w:rsidR="00E67E34">
        <w:t xml:space="preserve">Credit </w:t>
      </w:r>
      <w:r w:rsidR="005D7BA1">
        <w:t xml:space="preserve">and of the Additional Credit </w:t>
      </w:r>
      <w:r w:rsidR="00E67E34">
        <w:t>to each Category</w:t>
      </w:r>
      <w:r w:rsidR="005D7BA1">
        <w:t>,</w:t>
      </w:r>
      <w:r w:rsidR="00E67E34">
        <w:t xml:space="preserve"> and the percentage of expenditures for items so to be financed in each Category:</w:t>
      </w:r>
    </w:p>
    <w:p w:rsidR="00F62BE4" w:rsidRDefault="00F62BE4" w:rsidP="00911873">
      <w:pPr>
        <w:pStyle w:val="ModelNrmlSingle"/>
        <w:ind w:left="720" w:hanging="720"/>
      </w:pPr>
    </w:p>
    <w:p w:rsidR="006C3DF1" w:rsidRDefault="006C3DF1" w:rsidP="00911873">
      <w:pPr>
        <w:pStyle w:val="ModelNrmlSingle"/>
        <w:ind w:left="720" w:hanging="720"/>
      </w:pPr>
    </w:p>
    <w:tbl>
      <w:tblPr>
        <w:tblW w:w="89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42"/>
        <w:gridCol w:w="2250"/>
        <w:gridCol w:w="1710"/>
      </w:tblGrid>
      <w:tr w:rsidR="0086517E" w:rsidTr="000A7BE3">
        <w:tc>
          <w:tcPr>
            <w:tcW w:w="2880" w:type="dxa"/>
          </w:tcPr>
          <w:p w:rsidR="0086517E" w:rsidRDefault="0035753F" w:rsidP="0090133F">
            <w:pPr>
              <w:pStyle w:val="BodyText"/>
              <w:tabs>
                <w:tab w:val="left" w:pos="6210"/>
              </w:tabs>
              <w:spacing w:before="100"/>
              <w:jc w:val="center"/>
              <w:rPr>
                <w:bCs/>
              </w:rPr>
            </w:pPr>
            <w:r>
              <w:lastRenderedPageBreak/>
              <w:tab/>
            </w:r>
            <w:r>
              <w:tab/>
            </w:r>
            <w:r>
              <w:tab/>
            </w:r>
            <w:r>
              <w:tab/>
            </w:r>
            <w:r>
              <w:tab/>
            </w:r>
            <w:r>
              <w:tab/>
            </w:r>
            <w:r>
              <w:tab/>
            </w:r>
            <w:r>
              <w:tab/>
            </w:r>
            <w:r>
              <w:tab/>
            </w:r>
            <w:r>
              <w:tab/>
              <w:t xml:space="preserve"> </w:t>
            </w:r>
            <w:r w:rsidR="0086517E">
              <w:rPr>
                <w:bCs/>
              </w:rPr>
              <w:t xml:space="preserve">      </w:t>
            </w:r>
          </w:p>
          <w:p w:rsidR="0035753F" w:rsidRDefault="0035753F" w:rsidP="00E4333F">
            <w:pPr>
              <w:pStyle w:val="BodyText"/>
              <w:tabs>
                <w:tab w:val="left" w:pos="6210"/>
              </w:tabs>
              <w:jc w:val="center"/>
              <w:rPr>
                <w:u w:val="single"/>
              </w:rPr>
            </w:pPr>
          </w:p>
          <w:p w:rsidR="00E4333F" w:rsidRDefault="00E4333F" w:rsidP="00E4333F">
            <w:pPr>
              <w:pStyle w:val="BodyText"/>
              <w:tabs>
                <w:tab w:val="left" w:pos="6210"/>
              </w:tabs>
              <w:jc w:val="center"/>
              <w:rPr>
                <w:u w:val="single"/>
              </w:rPr>
            </w:pPr>
          </w:p>
          <w:p w:rsidR="0086517E" w:rsidRPr="00E4333F" w:rsidRDefault="0086517E" w:rsidP="0090133F">
            <w:pPr>
              <w:pStyle w:val="BodyText"/>
              <w:tabs>
                <w:tab w:val="left" w:pos="6210"/>
              </w:tabs>
              <w:spacing w:before="100"/>
              <w:jc w:val="center"/>
              <w:rPr>
                <w:b/>
              </w:rPr>
            </w:pPr>
            <w:r w:rsidRPr="00E4333F">
              <w:rPr>
                <w:b/>
              </w:rPr>
              <w:t>Category</w:t>
            </w:r>
          </w:p>
        </w:tc>
        <w:tc>
          <w:tcPr>
            <w:tcW w:w="2142" w:type="dxa"/>
          </w:tcPr>
          <w:p w:rsidR="00E4333F" w:rsidRDefault="00E4333F" w:rsidP="0090133F">
            <w:pPr>
              <w:pStyle w:val="BodyText"/>
              <w:tabs>
                <w:tab w:val="left" w:pos="6210"/>
              </w:tabs>
              <w:jc w:val="center"/>
              <w:rPr>
                <w:b/>
              </w:rPr>
            </w:pPr>
          </w:p>
          <w:p w:rsidR="0086517E" w:rsidRPr="00E4333F" w:rsidRDefault="0086517E" w:rsidP="0090133F">
            <w:pPr>
              <w:pStyle w:val="BodyText"/>
              <w:tabs>
                <w:tab w:val="left" w:pos="6210"/>
              </w:tabs>
              <w:jc w:val="center"/>
              <w:rPr>
                <w:b/>
              </w:rPr>
            </w:pPr>
            <w:r w:rsidRPr="00E4333F">
              <w:rPr>
                <w:b/>
              </w:rPr>
              <w:t>Amount of Original Credit Allocated</w:t>
            </w:r>
          </w:p>
          <w:p w:rsidR="0086517E" w:rsidRDefault="0086517E" w:rsidP="0090133F">
            <w:pPr>
              <w:pStyle w:val="BodyText"/>
              <w:tabs>
                <w:tab w:val="left" w:pos="6210"/>
              </w:tabs>
              <w:jc w:val="center"/>
              <w:rPr>
                <w:u w:val="single"/>
              </w:rPr>
            </w:pPr>
            <w:r w:rsidRPr="00E4333F">
              <w:rPr>
                <w:b/>
              </w:rPr>
              <w:t>(expressed in SDR Equivalent)</w:t>
            </w:r>
          </w:p>
        </w:tc>
        <w:tc>
          <w:tcPr>
            <w:tcW w:w="2250" w:type="dxa"/>
          </w:tcPr>
          <w:p w:rsidR="00E4333F" w:rsidRDefault="00E4333F" w:rsidP="0090133F">
            <w:pPr>
              <w:pStyle w:val="BodyText"/>
              <w:tabs>
                <w:tab w:val="left" w:pos="6210"/>
              </w:tabs>
              <w:jc w:val="center"/>
              <w:rPr>
                <w:b/>
              </w:rPr>
            </w:pPr>
          </w:p>
          <w:p w:rsidR="0086517E" w:rsidRPr="00E4333F" w:rsidRDefault="0086517E" w:rsidP="0090133F">
            <w:pPr>
              <w:pStyle w:val="BodyText"/>
              <w:tabs>
                <w:tab w:val="left" w:pos="6210"/>
              </w:tabs>
              <w:jc w:val="center"/>
              <w:rPr>
                <w:b/>
              </w:rPr>
            </w:pPr>
            <w:r w:rsidRPr="00E4333F">
              <w:rPr>
                <w:b/>
              </w:rPr>
              <w:t>Amount of Additional Credit Allocated (expressed in SDR Equivalent)</w:t>
            </w:r>
          </w:p>
        </w:tc>
        <w:tc>
          <w:tcPr>
            <w:tcW w:w="1710" w:type="dxa"/>
          </w:tcPr>
          <w:p w:rsidR="0086517E" w:rsidRPr="00E4333F" w:rsidRDefault="00E4333F" w:rsidP="0035753F">
            <w:pPr>
              <w:pStyle w:val="BodyText"/>
              <w:tabs>
                <w:tab w:val="left" w:pos="6210"/>
              </w:tabs>
              <w:jc w:val="center"/>
              <w:rPr>
                <w:b/>
              </w:rPr>
            </w:pPr>
            <w:r>
              <w:rPr>
                <w:b/>
              </w:rPr>
              <w:t>Percentage</w:t>
            </w:r>
            <w:r w:rsidRPr="00E4333F">
              <w:rPr>
                <w:b/>
              </w:rPr>
              <w:t xml:space="preserve"> of </w:t>
            </w:r>
            <w:r w:rsidR="0035753F" w:rsidRPr="00E4333F">
              <w:rPr>
                <w:b/>
              </w:rPr>
              <w:t>Expenditure</w:t>
            </w:r>
          </w:p>
          <w:p w:rsidR="0086517E" w:rsidRDefault="0086517E" w:rsidP="0035753F">
            <w:pPr>
              <w:pStyle w:val="BodyText"/>
              <w:tabs>
                <w:tab w:val="left" w:pos="6210"/>
              </w:tabs>
              <w:jc w:val="center"/>
              <w:rPr>
                <w:u w:val="single"/>
              </w:rPr>
            </w:pPr>
            <w:r w:rsidRPr="00E4333F">
              <w:rPr>
                <w:b/>
              </w:rPr>
              <w:t>to be Financed</w:t>
            </w:r>
            <w:r w:rsidR="0035753F" w:rsidRPr="00E4333F">
              <w:rPr>
                <w:b/>
              </w:rPr>
              <w:t xml:space="preserve"> (inclusive of Taxes)</w:t>
            </w:r>
          </w:p>
        </w:tc>
      </w:tr>
      <w:tr w:rsidR="00075E1B" w:rsidTr="000A7BE3">
        <w:tc>
          <w:tcPr>
            <w:tcW w:w="2880" w:type="dxa"/>
          </w:tcPr>
          <w:p w:rsidR="00075E1B" w:rsidRDefault="00075E1B" w:rsidP="0090133F">
            <w:pPr>
              <w:pStyle w:val="BodyText"/>
              <w:tabs>
                <w:tab w:val="left" w:pos="6210"/>
              </w:tabs>
              <w:spacing w:before="100"/>
              <w:ind w:left="450" w:hanging="450"/>
            </w:pPr>
            <w:r>
              <w:t>(1)</w:t>
            </w:r>
            <w:r>
              <w:tab/>
              <w:t xml:space="preserve">Goods other than financial management information systems </w:t>
            </w:r>
          </w:p>
          <w:p w:rsidR="00075E1B" w:rsidRDefault="00075E1B" w:rsidP="007B7251">
            <w:pPr>
              <w:pStyle w:val="BodyText"/>
              <w:tabs>
                <w:tab w:val="left" w:pos="6210"/>
              </w:tabs>
              <w:ind w:left="450" w:hanging="450"/>
            </w:pPr>
          </w:p>
        </w:tc>
        <w:tc>
          <w:tcPr>
            <w:tcW w:w="2142" w:type="dxa"/>
          </w:tcPr>
          <w:p w:rsidR="00075E1B" w:rsidRPr="004606DA" w:rsidRDefault="00075E1B" w:rsidP="004606DA">
            <w:pPr>
              <w:pStyle w:val="BodyText"/>
              <w:tabs>
                <w:tab w:val="clear" w:pos="720"/>
                <w:tab w:val="left" w:pos="6210"/>
              </w:tabs>
              <w:spacing w:before="100"/>
              <w:ind w:right="342"/>
              <w:jc w:val="right"/>
            </w:pPr>
            <w:r w:rsidRPr="004606DA">
              <w:t>130,000</w:t>
            </w:r>
          </w:p>
        </w:tc>
        <w:tc>
          <w:tcPr>
            <w:tcW w:w="2250" w:type="dxa"/>
          </w:tcPr>
          <w:p w:rsidR="00075E1B" w:rsidRPr="00075E1B" w:rsidRDefault="00075E1B" w:rsidP="0090133F">
            <w:pPr>
              <w:pStyle w:val="BodyText"/>
              <w:tabs>
                <w:tab w:val="clear" w:pos="720"/>
                <w:tab w:val="left" w:pos="6210"/>
              </w:tabs>
              <w:spacing w:before="100"/>
              <w:ind w:right="342"/>
              <w:jc w:val="right"/>
            </w:pPr>
            <w:r w:rsidRPr="00075E1B">
              <w:t>0</w:t>
            </w:r>
          </w:p>
        </w:tc>
        <w:tc>
          <w:tcPr>
            <w:tcW w:w="1710" w:type="dxa"/>
          </w:tcPr>
          <w:p w:rsidR="00075E1B" w:rsidRDefault="002C2F58" w:rsidP="0090133F">
            <w:pPr>
              <w:pStyle w:val="BodyText"/>
              <w:tabs>
                <w:tab w:val="clear" w:pos="720"/>
                <w:tab w:val="left" w:pos="6210"/>
              </w:tabs>
              <w:spacing w:before="100"/>
              <w:jc w:val="center"/>
            </w:pPr>
            <w:r>
              <w:t>95</w:t>
            </w:r>
            <w:r w:rsidR="00075E1B">
              <w:t>%</w:t>
            </w:r>
          </w:p>
          <w:p w:rsidR="00075E1B" w:rsidRDefault="00075E1B" w:rsidP="0090133F">
            <w:pPr>
              <w:pStyle w:val="BodyText"/>
              <w:tabs>
                <w:tab w:val="clear" w:pos="720"/>
                <w:tab w:val="left" w:pos="6210"/>
              </w:tabs>
              <w:spacing w:before="100"/>
              <w:jc w:val="center"/>
            </w:pPr>
          </w:p>
        </w:tc>
      </w:tr>
      <w:tr w:rsidR="00075E1B" w:rsidTr="000A7BE3">
        <w:tc>
          <w:tcPr>
            <w:tcW w:w="2880" w:type="dxa"/>
          </w:tcPr>
          <w:p w:rsidR="00075E1B" w:rsidRDefault="00745E55" w:rsidP="00745E55">
            <w:pPr>
              <w:pStyle w:val="BodyText"/>
              <w:tabs>
                <w:tab w:val="left" w:pos="6210"/>
              </w:tabs>
              <w:spacing w:before="100"/>
              <w:ind w:left="450" w:hanging="450"/>
            </w:pPr>
            <w:r>
              <w:t xml:space="preserve">(2)   </w:t>
            </w:r>
            <w:r w:rsidR="00075E1B">
              <w:t xml:space="preserve">Goods for the financial management information systems </w:t>
            </w:r>
          </w:p>
          <w:p w:rsidR="00075E1B" w:rsidRDefault="00075E1B" w:rsidP="007B7251">
            <w:pPr>
              <w:pStyle w:val="BodyText"/>
              <w:tabs>
                <w:tab w:val="left" w:pos="6210"/>
              </w:tabs>
              <w:ind w:left="450" w:hanging="450"/>
            </w:pPr>
          </w:p>
        </w:tc>
        <w:tc>
          <w:tcPr>
            <w:tcW w:w="2142" w:type="dxa"/>
          </w:tcPr>
          <w:p w:rsidR="00075E1B" w:rsidRPr="004606DA" w:rsidRDefault="00075E1B" w:rsidP="004606DA">
            <w:pPr>
              <w:pStyle w:val="BodyText"/>
              <w:tabs>
                <w:tab w:val="clear" w:pos="720"/>
                <w:tab w:val="left" w:pos="6210"/>
              </w:tabs>
              <w:spacing w:before="100"/>
              <w:ind w:right="342"/>
              <w:jc w:val="right"/>
            </w:pPr>
            <w:r w:rsidRPr="00075E1B">
              <w:t>32,380,000</w:t>
            </w:r>
          </w:p>
        </w:tc>
        <w:tc>
          <w:tcPr>
            <w:tcW w:w="2250" w:type="dxa"/>
          </w:tcPr>
          <w:p w:rsidR="00075E1B" w:rsidRPr="00075E1B" w:rsidRDefault="00075E1B" w:rsidP="00F733CA">
            <w:pPr>
              <w:pStyle w:val="BodyText"/>
              <w:tabs>
                <w:tab w:val="clear" w:pos="720"/>
                <w:tab w:val="left" w:pos="6210"/>
              </w:tabs>
              <w:spacing w:before="100"/>
              <w:ind w:right="342"/>
              <w:jc w:val="right"/>
            </w:pPr>
            <w:r w:rsidRPr="00075E1B">
              <w:t>5,8</w:t>
            </w:r>
            <w:r w:rsidR="00F733CA">
              <w:t>3</w:t>
            </w:r>
            <w:r w:rsidRPr="00075E1B">
              <w:t>5,000</w:t>
            </w:r>
          </w:p>
        </w:tc>
        <w:tc>
          <w:tcPr>
            <w:tcW w:w="1710" w:type="dxa"/>
          </w:tcPr>
          <w:p w:rsidR="00075E1B" w:rsidRDefault="00075E1B" w:rsidP="0090133F">
            <w:pPr>
              <w:pStyle w:val="BodyText"/>
              <w:tabs>
                <w:tab w:val="clear" w:pos="720"/>
                <w:tab w:val="left" w:pos="6210"/>
              </w:tabs>
              <w:spacing w:before="100"/>
              <w:jc w:val="center"/>
            </w:pPr>
            <w:r>
              <w:t>95%</w:t>
            </w:r>
          </w:p>
        </w:tc>
      </w:tr>
      <w:tr w:rsidR="00075E1B" w:rsidTr="000A7BE3">
        <w:trPr>
          <w:trHeight w:val="675"/>
        </w:trPr>
        <w:tc>
          <w:tcPr>
            <w:tcW w:w="2880" w:type="dxa"/>
          </w:tcPr>
          <w:p w:rsidR="00075E1B" w:rsidRDefault="00075E1B" w:rsidP="00745E55">
            <w:pPr>
              <w:pStyle w:val="BodyText"/>
              <w:tabs>
                <w:tab w:val="clear" w:pos="720"/>
                <w:tab w:val="left" w:pos="6210"/>
              </w:tabs>
              <w:spacing w:before="100"/>
              <w:ind w:left="432" w:hanging="432"/>
            </w:pPr>
            <w:r>
              <w:t xml:space="preserve">(3)  </w:t>
            </w:r>
            <w:r w:rsidR="00745E55">
              <w:t xml:space="preserve"> </w:t>
            </w:r>
            <w:r>
              <w:t xml:space="preserve">Incremental Operating </w:t>
            </w:r>
            <w:r w:rsidR="00745E55">
              <w:t xml:space="preserve">  </w:t>
            </w:r>
            <w:r>
              <w:t>Costs:</w:t>
            </w:r>
          </w:p>
          <w:p w:rsidR="00745E55" w:rsidRDefault="00745E55" w:rsidP="00745E55">
            <w:pPr>
              <w:pStyle w:val="BodyText"/>
              <w:tabs>
                <w:tab w:val="clear" w:pos="720"/>
                <w:tab w:val="left" w:pos="6210"/>
              </w:tabs>
              <w:spacing w:before="100"/>
              <w:ind w:left="972" w:hanging="972"/>
            </w:pPr>
            <w:r>
              <w:t xml:space="preserve">        (a)  for the TABMIS</w:t>
            </w:r>
          </w:p>
          <w:p w:rsidR="00745E55" w:rsidRDefault="00745E55" w:rsidP="007B7251">
            <w:pPr>
              <w:pStyle w:val="BodyText"/>
              <w:tabs>
                <w:tab w:val="clear" w:pos="720"/>
                <w:tab w:val="left" w:pos="6210"/>
              </w:tabs>
              <w:ind w:left="972" w:hanging="972"/>
            </w:pPr>
            <w:r>
              <w:t xml:space="preserve">        (b)  for PMU</w:t>
            </w:r>
          </w:p>
        </w:tc>
        <w:tc>
          <w:tcPr>
            <w:tcW w:w="2142" w:type="dxa"/>
          </w:tcPr>
          <w:p w:rsidR="00745E55" w:rsidRDefault="00745E55" w:rsidP="00745E55">
            <w:pPr>
              <w:pStyle w:val="BodyText"/>
              <w:tabs>
                <w:tab w:val="clear" w:pos="720"/>
                <w:tab w:val="left" w:pos="6210"/>
              </w:tabs>
              <w:spacing w:before="100"/>
              <w:ind w:right="342"/>
              <w:jc w:val="right"/>
            </w:pPr>
          </w:p>
          <w:p w:rsidR="00745E55" w:rsidRDefault="00745E55" w:rsidP="00745E55">
            <w:pPr>
              <w:pStyle w:val="BodyText"/>
              <w:tabs>
                <w:tab w:val="clear" w:pos="720"/>
                <w:tab w:val="left" w:pos="6210"/>
              </w:tabs>
              <w:spacing w:before="100"/>
              <w:ind w:right="342"/>
              <w:jc w:val="right"/>
            </w:pPr>
          </w:p>
          <w:p w:rsidR="00075E1B" w:rsidRDefault="00745E55" w:rsidP="00745E55">
            <w:pPr>
              <w:pStyle w:val="BodyText"/>
              <w:tabs>
                <w:tab w:val="clear" w:pos="720"/>
                <w:tab w:val="left" w:pos="6210"/>
              </w:tabs>
              <w:spacing w:before="100"/>
              <w:ind w:right="342"/>
              <w:jc w:val="right"/>
            </w:pPr>
            <w:r w:rsidRPr="00075E1B">
              <w:t>6,600,000</w:t>
            </w:r>
          </w:p>
          <w:p w:rsidR="00745E55" w:rsidRPr="004606DA" w:rsidRDefault="00745E55" w:rsidP="00745E55">
            <w:pPr>
              <w:pStyle w:val="BodyText"/>
              <w:tabs>
                <w:tab w:val="clear" w:pos="720"/>
                <w:tab w:val="left" w:pos="6210"/>
              </w:tabs>
              <w:spacing w:before="100"/>
              <w:ind w:right="342"/>
              <w:jc w:val="right"/>
            </w:pPr>
            <w:r>
              <w:t>130,000</w:t>
            </w:r>
          </w:p>
        </w:tc>
        <w:tc>
          <w:tcPr>
            <w:tcW w:w="2250" w:type="dxa"/>
          </w:tcPr>
          <w:p w:rsidR="00075E1B" w:rsidRDefault="00075E1B" w:rsidP="0090133F">
            <w:pPr>
              <w:pStyle w:val="BodyText"/>
              <w:tabs>
                <w:tab w:val="clear" w:pos="720"/>
                <w:tab w:val="left" w:pos="6210"/>
              </w:tabs>
              <w:spacing w:before="100"/>
              <w:ind w:right="342"/>
              <w:jc w:val="right"/>
            </w:pPr>
          </w:p>
          <w:p w:rsidR="00745E55" w:rsidRDefault="00745E55" w:rsidP="0090133F">
            <w:pPr>
              <w:pStyle w:val="BodyText"/>
              <w:tabs>
                <w:tab w:val="clear" w:pos="720"/>
                <w:tab w:val="left" w:pos="6210"/>
              </w:tabs>
              <w:spacing w:before="100"/>
              <w:ind w:right="342"/>
              <w:jc w:val="right"/>
            </w:pPr>
          </w:p>
          <w:p w:rsidR="00745E55" w:rsidRDefault="00745E55" w:rsidP="0090133F">
            <w:pPr>
              <w:pStyle w:val="BodyText"/>
              <w:tabs>
                <w:tab w:val="clear" w:pos="720"/>
                <w:tab w:val="left" w:pos="6210"/>
              </w:tabs>
              <w:spacing w:before="100"/>
              <w:ind w:right="342"/>
              <w:jc w:val="right"/>
            </w:pPr>
            <w:r>
              <w:t>280,000</w:t>
            </w:r>
          </w:p>
          <w:p w:rsidR="00745E55" w:rsidRPr="00075E1B" w:rsidRDefault="00745E55" w:rsidP="0090133F">
            <w:pPr>
              <w:pStyle w:val="BodyText"/>
              <w:tabs>
                <w:tab w:val="clear" w:pos="720"/>
                <w:tab w:val="left" w:pos="6210"/>
              </w:tabs>
              <w:spacing w:before="100"/>
              <w:ind w:right="342"/>
              <w:jc w:val="right"/>
            </w:pPr>
            <w:r>
              <w:t>0</w:t>
            </w:r>
          </w:p>
        </w:tc>
        <w:tc>
          <w:tcPr>
            <w:tcW w:w="1710" w:type="dxa"/>
          </w:tcPr>
          <w:p w:rsidR="00075E1B" w:rsidRDefault="00075E1B" w:rsidP="0090133F">
            <w:pPr>
              <w:pStyle w:val="BodyText"/>
              <w:tabs>
                <w:tab w:val="clear" w:pos="720"/>
                <w:tab w:val="left" w:pos="6210"/>
              </w:tabs>
              <w:spacing w:before="100"/>
              <w:ind w:right="342"/>
              <w:jc w:val="center"/>
            </w:pPr>
          </w:p>
          <w:p w:rsidR="00745E55" w:rsidRDefault="00745E55" w:rsidP="0090133F">
            <w:pPr>
              <w:pStyle w:val="BodyText"/>
              <w:tabs>
                <w:tab w:val="clear" w:pos="720"/>
                <w:tab w:val="left" w:pos="6210"/>
              </w:tabs>
              <w:spacing w:before="100"/>
              <w:jc w:val="center"/>
            </w:pPr>
          </w:p>
          <w:p w:rsidR="00075E1B" w:rsidRDefault="00745E55" w:rsidP="0090133F">
            <w:pPr>
              <w:pStyle w:val="BodyText"/>
              <w:tabs>
                <w:tab w:val="clear" w:pos="720"/>
                <w:tab w:val="left" w:pos="6210"/>
              </w:tabs>
              <w:spacing w:before="100"/>
              <w:jc w:val="center"/>
            </w:pPr>
            <w:r>
              <w:t>95%</w:t>
            </w:r>
          </w:p>
          <w:p w:rsidR="00745E55" w:rsidRDefault="00745E55" w:rsidP="0090133F">
            <w:pPr>
              <w:pStyle w:val="BodyText"/>
              <w:tabs>
                <w:tab w:val="clear" w:pos="720"/>
                <w:tab w:val="left" w:pos="6210"/>
              </w:tabs>
              <w:spacing w:before="100"/>
              <w:jc w:val="center"/>
            </w:pPr>
            <w:r>
              <w:t>100%</w:t>
            </w:r>
          </w:p>
        </w:tc>
      </w:tr>
      <w:tr w:rsidR="00075E1B" w:rsidTr="000A7BE3">
        <w:tc>
          <w:tcPr>
            <w:tcW w:w="2880" w:type="dxa"/>
          </w:tcPr>
          <w:p w:rsidR="00075E1B" w:rsidRDefault="00075E1B" w:rsidP="00075E1B">
            <w:pPr>
              <w:pStyle w:val="BodyText"/>
              <w:tabs>
                <w:tab w:val="clear" w:pos="720"/>
                <w:tab w:val="left" w:pos="6210"/>
              </w:tabs>
              <w:spacing w:before="100"/>
              <w:ind w:left="360" w:hanging="360"/>
            </w:pPr>
            <w:r>
              <w:t>(4)  Consultants’ Services/</w:t>
            </w:r>
            <w:r w:rsidDel="00075E1B">
              <w:t xml:space="preserve"> </w:t>
            </w:r>
            <w:r>
              <w:t>Training/Workshops</w:t>
            </w:r>
            <w:r w:rsidDel="00075E1B">
              <w:t xml:space="preserve"> </w:t>
            </w:r>
          </w:p>
          <w:p w:rsidR="007B7251" w:rsidRDefault="007B7251" w:rsidP="007B7251">
            <w:pPr>
              <w:pStyle w:val="BodyText"/>
              <w:tabs>
                <w:tab w:val="clear" w:pos="720"/>
                <w:tab w:val="left" w:pos="6210"/>
              </w:tabs>
              <w:ind w:left="360" w:hanging="360"/>
            </w:pPr>
          </w:p>
        </w:tc>
        <w:tc>
          <w:tcPr>
            <w:tcW w:w="2142" w:type="dxa"/>
          </w:tcPr>
          <w:p w:rsidR="00075E1B" w:rsidRPr="004606DA" w:rsidRDefault="00075E1B" w:rsidP="004606DA">
            <w:pPr>
              <w:pStyle w:val="BodyText"/>
              <w:tabs>
                <w:tab w:val="clear" w:pos="720"/>
                <w:tab w:val="left" w:pos="6210"/>
              </w:tabs>
              <w:spacing w:before="100"/>
              <w:ind w:right="342"/>
              <w:jc w:val="right"/>
            </w:pPr>
            <w:r w:rsidRPr="00075E1B">
              <w:t>660,000</w:t>
            </w:r>
          </w:p>
        </w:tc>
        <w:tc>
          <w:tcPr>
            <w:tcW w:w="2250" w:type="dxa"/>
          </w:tcPr>
          <w:p w:rsidR="00075E1B" w:rsidRPr="00075E1B" w:rsidRDefault="00075E1B" w:rsidP="00F030A9">
            <w:pPr>
              <w:pStyle w:val="BodyText"/>
              <w:tabs>
                <w:tab w:val="clear" w:pos="720"/>
                <w:tab w:val="left" w:pos="6210"/>
              </w:tabs>
              <w:spacing w:before="100"/>
              <w:ind w:right="342"/>
              <w:jc w:val="right"/>
            </w:pPr>
            <w:r w:rsidRPr="00075E1B">
              <w:t>3,085,000</w:t>
            </w:r>
          </w:p>
        </w:tc>
        <w:tc>
          <w:tcPr>
            <w:tcW w:w="1710" w:type="dxa"/>
          </w:tcPr>
          <w:p w:rsidR="00075E1B" w:rsidRDefault="00075E1B" w:rsidP="0090133F">
            <w:pPr>
              <w:pStyle w:val="BodyText"/>
              <w:tabs>
                <w:tab w:val="clear" w:pos="720"/>
                <w:tab w:val="left" w:pos="6210"/>
              </w:tabs>
              <w:spacing w:before="100"/>
              <w:jc w:val="center"/>
            </w:pPr>
            <w:r>
              <w:t>100%</w:t>
            </w:r>
          </w:p>
        </w:tc>
      </w:tr>
      <w:tr w:rsidR="00075E1B" w:rsidTr="000A7BE3">
        <w:tc>
          <w:tcPr>
            <w:tcW w:w="2880" w:type="dxa"/>
          </w:tcPr>
          <w:p w:rsidR="00075E1B" w:rsidRPr="00BC0C5B" w:rsidRDefault="00075E1B" w:rsidP="007B7251">
            <w:pPr>
              <w:pStyle w:val="BodyText"/>
              <w:tabs>
                <w:tab w:val="left" w:pos="6210"/>
              </w:tabs>
              <w:rPr>
                <w:b/>
              </w:rPr>
            </w:pPr>
            <w:r w:rsidRPr="00BC0C5B">
              <w:rPr>
                <w:b/>
              </w:rPr>
              <w:t>TOTAL:</w:t>
            </w:r>
          </w:p>
        </w:tc>
        <w:tc>
          <w:tcPr>
            <w:tcW w:w="2142" w:type="dxa"/>
          </w:tcPr>
          <w:p w:rsidR="00075E1B" w:rsidRPr="00BC0C5B" w:rsidRDefault="00075E1B" w:rsidP="00745E55">
            <w:pPr>
              <w:pStyle w:val="BodyText"/>
              <w:tabs>
                <w:tab w:val="clear" w:pos="720"/>
                <w:tab w:val="left" w:pos="6210"/>
              </w:tabs>
              <w:ind w:right="234"/>
              <w:jc w:val="right"/>
              <w:rPr>
                <w:b/>
              </w:rPr>
            </w:pPr>
            <w:r w:rsidRPr="00BC0C5B">
              <w:rPr>
                <w:b/>
              </w:rPr>
              <w:t xml:space="preserve">39,900,000          </w:t>
            </w:r>
          </w:p>
        </w:tc>
        <w:tc>
          <w:tcPr>
            <w:tcW w:w="2250" w:type="dxa"/>
          </w:tcPr>
          <w:p w:rsidR="00075E1B" w:rsidRDefault="00075E1B" w:rsidP="00C91D88">
            <w:pPr>
              <w:pStyle w:val="BodyText"/>
              <w:tabs>
                <w:tab w:val="clear" w:pos="720"/>
                <w:tab w:val="left" w:pos="6210"/>
              </w:tabs>
              <w:ind w:right="234"/>
              <w:jc w:val="right"/>
              <w:rPr>
                <w:b/>
              </w:rPr>
            </w:pPr>
            <w:r w:rsidRPr="00075E1B">
              <w:rPr>
                <w:b/>
              </w:rPr>
              <w:t>9,200,000</w:t>
            </w:r>
            <w:r>
              <w:rPr>
                <w:b/>
              </w:rPr>
              <w:t xml:space="preserve"> </w:t>
            </w:r>
          </w:p>
          <w:p w:rsidR="007B7251" w:rsidRPr="00BC0C5B" w:rsidRDefault="007B7251" w:rsidP="00C91D88">
            <w:pPr>
              <w:pStyle w:val="BodyText"/>
              <w:tabs>
                <w:tab w:val="clear" w:pos="720"/>
                <w:tab w:val="left" w:pos="6210"/>
              </w:tabs>
              <w:ind w:right="234"/>
              <w:jc w:val="right"/>
              <w:rPr>
                <w:b/>
              </w:rPr>
            </w:pPr>
          </w:p>
        </w:tc>
        <w:tc>
          <w:tcPr>
            <w:tcW w:w="1710" w:type="dxa"/>
          </w:tcPr>
          <w:p w:rsidR="00075E1B" w:rsidRDefault="00075E1B" w:rsidP="0090133F">
            <w:pPr>
              <w:pStyle w:val="BodyText"/>
              <w:tabs>
                <w:tab w:val="left" w:pos="6210"/>
              </w:tabs>
              <w:spacing w:before="100"/>
              <w:jc w:val="center"/>
            </w:pPr>
          </w:p>
        </w:tc>
      </w:tr>
    </w:tbl>
    <w:p w:rsidR="0086517E" w:rsidRDefault="0086517E" w:rsidP="0086517E">
      <w:pPr>
        <w:pStyle w:val="BodyText"/>
        <w:tabs>
          <w:tab w:val="left" w:pos="6210"/>
        </w:tabs>
        <w:jc w:val="both"/>
      </w:pPr>
    </w:p>
    <w:p w:rsidR="00E67E34" w:rsidRDefault="00E67E34" w:rsidP="005D7BA1">
      <w:pPr>
        <w:pStyle w:val="BodyText"/>
        <w:tabs>
          <w:tab w:val="left" w:pos="6210"/>
        </w:tabs>
        <w:jc w:val="both"/>
        <w:rPr>
          <w:bCs/>
        </w:rPr>
      </w:pPr>
      <w:r>
        <w:rPr>
          <w:bCs/>
        </w:rPr>
        <w:tab/>
        <w:t>For the purposes of this Schedule:</w:t>
      </w:r>
    </w:p>
    <w:p w:rsidR="001D5763" w:rsidRDefault="001D5763" w:rsidP="005D7BA1">
      <w:pPr>
        <w:pStyle w:val="BodyText"/>
        <w:tabs>
          <w:tab w:val="left" w:pos="6210"/>
        </w:tabs>
        <w:jc w:val="both"/>
      </w:pPr>
    </w:p>
    <w:p w:rsidR="00E67E34" w:rsidRDefault="00A07F5D" w:rsidP="004B140D">
      <w:pPr>
        <w:pStyle w:val="ModelNrmlSingle"/>
        <w:ind w:left="1440" w:hanging="720"/>
      </w:pPr>
      <w:r>
        <w:t>(a</w:t>
      </w:r>
      <w:r w:rsidR="00E67E34">
        <w:t>)</w:t>
      </w:r>
      <w:r w:rsidR="00E67E34">
        <w:tab/>
        <w:t xml:space="preserve">the term “Incremental Operating Costs” means the reasonable costs of incremental expenditures incurred by the </w:t>
      </w:r>
      <w:r w:rsidR="00A63B97">
        <w:t>Recipient</w:t>
      </w:r>
      <w:r w:rsidR="00E67E34">
        <w:t xml:space="preserve"> in the implementation of the Project (which expenditures would not have been incurred absent the Project), including</w:t>
      </w:r>
      <w:r w:rsidR="004B140D">
        <w:t xml:space="preserve">: </w:t>
      </w:r>
      <w:r w:rsidR="00E67E34">
        <w:t>(a) in regard to the TABMIS, the costs of hardware and software maintenance and the costs of connectivity; and costs related to training other than those for training services provided by TABMIS contractor</w:t>
      </w:r>
      <w:r w:rsidR="004B140D">
        <w:t xml:space="preserve">; </w:t>
      </w:r>
      <w:r w:rsidR="00E67E34">
        <w:t>and (b) in regard to the PMU, the costs of travel, communications and utilities, and office cons</w:t>
      </w:r>
      <w:r>
        <w:t>umables; but excluding salaries</w:t>
      </w:r>
      <w:r w:rsidR="004B140D">
        <w:t>;</w:t>
      </w:r>
      <w:r>
        <w:t xml:space="preserve"> and </w:t>
      </w:r>
    </w:p>
    <w:p w:rsidR="00DD4298" w:rsidRDefault="00E67E34" w:rsidP="004B140D">
      <w:pPr>
        <w:pStyle w:val="ModelNrmlSingle"/>
        <w:tabs>
          <w:tab w:val="left" w:pos="1440"/>
        </w:tabs>
        <w:ind w:left="1440" w:hanging="720"/>
        <w:rPr>
          <w:bCs/>
          <w:szCs w:val="22"/>
        </w:rPr>
      </w:pPr>
      <w:r w:rsidRPr="00DD4298">
        <w:t>(</w:t>
      </w:r>
      <w:r w:rsidR="00A07F5D" w:rsidRPr="00DD4298">
        <w:t>b</w:t>
      </w:r>
      <w:r w:rsidRPr="00DD4298">
        <w:t xml:space="preserve">) </w:t>
      </w:r>
      <w:r w:rsidRPr="00DD4298">
        <w:tab/>
      </w:r>
      <w:proofErr w:type="gramStart"/>
      <w:r w:rsidR="00DD4298">
        <w:t>the</w:t>
      </w:r>
      <w:proofErr w:type="gramEnd"/>
      <w:r w:rsidR="00DD4298">
        <w:t xml:space="preserve"> term “T</w:t>
      </w:r>
      <w:r w:rsidRPr="00DD4298">
        <w:t>raining</w:t>
      </w:r>
      <w:r w:rsidR="00DD4298">
        <w:t xml:space="preserve"> and Workshops” means  </w:t>
      </w:r>
      <w:r w:rsidR="00DD4298">
        <w:rPr>
          <w:bCs/>
          <w:szCs w:val="22"/>
        </w:rPr>
        <w:t xml:space="preserve">the reasonable costs of expenditure incurred by the Recipient in facilitating and conducting training and workshop activities under the Project including costs of material, equipment and venue rental, and per diem and transportation for those attending and training or the workshop, and study tours. </w:t>
      </w:r>
    </w:p>
    <w:p w:rsidR="00082350" w:rsidRDefault="00082350" w:rsidP="004B140D">
      <w:pPr>
        <w:pStyle w:val="ModelNrmlSingle"/>
        <w:tabs>
          <w:tab w:val="left" w:pos="1440"/>
        </w:tabs>
        <w:ind w:left="1440" w:hanging="720"/>
        <w:rPr>
          <w:bCs/>
          <w:szCs w:val="22"/>
        </w:rPr>
      </w:pPr>
    </w:p>
    <w:p w:rsidR="00AE1872" w:rsidRPr="004F5510" w:rsidRDefault="00AE1872" w:rsidP="00E67E34">
      <w:pPr>
        <w:pStyle w:val="ModelNrmlSingle"/>
        <w:ind w:firstLine="0"/>
        <w:rPr>
          <w:b/>
        </w:rPr>
      </w:pPr>
      <w:r w:rsidRPr="004F5510">
        <w:rPr>
          <w:b/>
        </w:rPr>
        <w:lastRenderedPageBreak/>
        <w:t>B.</w:t>
      </w:r>
      <w:r w:rsidR="004F5510" w:rsidRPr="004F5510">
        <w:rPr>
          <w:b/>
        </w:rPr>
        <w:tab/>
      </w:r>
      <w:r w:rsidRPr="004F5510">
        <w:rPr>
          <w:b/>
        </w:rPr>
        <w:t>Withdrawal Conditions; Withdrawal Period</w:t>
      </w:r>
    </w:p>
    <w:p w:rsidR="00DD4298" w:rsidRPr="00CF2390" w:rsidRDefault="00DD4298" w:rsidP="00DD4298">
      <w:pPr>
        <w:pStyle w:val="ModelNrmlSingle"/>
        <w:ind w:left="720" w:hanging="720"/>
        <w:rPr>
          <w:b/>
          <w:bCs/>
          <w:szCs w:val="22"/>
        </w:rPr>
      </w:pPr>
      <w:r w:rsidRPr="00CF2390">
        <w:rPr>
          <w:bCs/>
          <w:szCs w:val="22"/>
        </w:rPr>
        <w:t>1.</w:t>
      </w:r>
      <w:r w:rsidRPr="00CF2390">
        <w:rPr>
          <w:b/>
          <w:bCs/>
          <w:szCs w:val="22"/>
        </w:rPr>
        <w:tab/>
      </w:r>
      <w:r w:rsidRPr="00CF2390">
        <w:rPr>
          <w:bCs/>
          <w:szCs w:val="22"/>
        </w:rPr>
        <w:t>Notwithstanding the provisions of Part A of this Section, no withdrawal shall be made:</w:t>
      </w:r>
      <w:r>
        <w:rPr>
          <w:bCs/>
          <w:szCs w:val="22"/>
        </w:rPr>
        <w:t xml:space="preserve"> (a) with respect to amounts of the Original Credit, on accounts of payments made prior to Ju</w:t>
      </w:r>
      <w:r w:rsidR="00376358">
        <w:rPr>
          <w:bCs/>
          <w:szCs w:val="22"/>
        </w:rPr>
        <w:t>ne 6, 2003</w:t>
      </w:r>
      <w:r>
        <w:rPr>
          <w:bCs/>
          <w:szCs w:val="22"/>
        </w:rPr>
        <w:t>; or (</w:t>
      </w:r>
      <w:r w:rsidRPr="00CF2390">
        <w:rPr>
          <w:bCs/>
          <w:szCs w:val="22"/>
        </w:rPr>
        <w:t>b)</w:t>
      </w:r>
      <w:r>
        <w:rPr>
          <w:bCs/>
          <w:szCs w:val="22"/>
        </w:rPr>
        <w:t xml:space="preserve"> </w:t>
      </w:r>
      <w:r w:rsidR="002C2F58">
        <w:rPr>
          <w:bCs/>
          <w:szCs w:val="22"/>
        </w:rPr>
        <w:t>with respect to amounts of the Additional Credit, on account of payments made prior to the date of this Agreement;</w:t>
      </w:r>
      <w:r w:rsidR="002C2F58" w:rsidRPr="00CF2390">
        <w:rPr>
          <w:bCs/>
          <w:szCs w:val="22"/>
        </w:rPr>
        <w:t xml:space="preserve"> except that withdrawals up to an aggregate amount not to exceed </w:t>
      </w:r>
      <w:r w:rsidR="002C2F58">
        <w:rPr>
          <w:bCs/>
          <w:szCs w:val="22"/>
        </w:rPr>
        <w:t>SDR</w:t>
      </w:r>
      <w:r w:rsidR="00CD6463">
        <w:rPr>
          <w:bCs/>
          <w:szCs w:val="22"/>
        </w:rPr>
        <w:t xml:space="preserve"> </w:t>
      </w:r>
      <w:r w:rsidR="00DA5F56">
        <w:rPr>
          <w:bCs/>
          <w:szCs w:val="22"/>
        </w:rPr>
        <w:t xml:space="preserve">920,000 </w:t>
      </w:r>
      <w:r w:rsidR="002C2F58" w:rsidRPr="00CF2390">
        <w:rPr>
          <w:bCs/>
          <w:szCs w:val="22"/>
        </w:rPr>
        <w:t xml:space="preserve">equivalent may be made for payments made prior to this date but on or after </w:t>
      </w:r>
      <w:r w:rsidR="002C2F58">
        <w:rPr>
          <w:bCs/>
          <w:szCs w:val="22"/>
        </w:rPr>
        <w:t>February 28, 2011</w:t>
      </w:r>
      <w:r w:rsidR="002C2F58" w:rsidRPr="00CF2390">
        <w:rPr>
          <w:bCs/>
          <w:szCs w:val="22"/>
        </w:rPr>
        <w:t xml:space="preserve"> for Eligible Expenditures</w:t>
      </w:r>
      <w:r w:rsidR="00376358">
        <w:rPr>
          <w:bCs/>
          <w:szCs w:val="22"/>
        </w:rPr>
        <w:t>.</w:t>
      </w:r>
    </w:p>
    <w:p w:rsidR="00DD4298" w:rsidRDefault="00DD4298" w:rsidP="00DD4298">
      <w:pPr>
        <w:pStyle w:val="ModelNrmlSingle"/>
        <w:ind w:left="720" w:hanging="720"/>
        <w:rPr>
          <w:bCs/>
          <w:szCs w:val="22"/>
        </w:rPr>
      </w:pPr>
      <w:r w:rsidRPr="00CF2390">
        <w:rPr>
          <w:bCs/>
          <w:szCs w:val="22"/>
        </w:rPr>
        <w:t>2.</w:t>
      </w:r>
      <w:r w:rsidRPr="00CF2390">
        <w:rPr>
          <w:b/>
          <w:bCs/>
          <w:szCs w:val="22"/>
        </w:rPr>
        <w:tab/>
      </w:r>
      <w:r w:rsidRPr="00CF2390">
        <w:rPr>
          <w:bCs/>
          <w:szCs w:val="22"/>
        </w:rPr>
        <w:t xml:space="preserve">The Closing Date is </w:t>
      </w:r>
      <w:r w:rsidR="00AF267B">
        <w:rPr>
          <w:bCs/>
          <w:szCs w:val="22"/>
        </w:rPr>
        <w:t>February 28, 2013</w:t>
      </w:r>
      <w:r>
        <w:rPr>
          <w:bCs/>
          <w:szCs w:val="22"/>
        </w:rPr>
        <w:t>.</w:t>
      </w:r>
    </w:p>
    <w:p w:rsidR="00D43B05" w:rsidRDefault="0010358F" w:rsidP="003B4D04">
      <w:pPr>
        <w:jc w:val="center"/>
        <w:rPr>
          <w:b/>
        </w:rPr>
      </w:pPr>
      <w:r>
        <w:rPr>
          <w:b/>
        </w:rPr>
        <w:br w:type="page"/>
      </w:r>
      <w:r w:rsidR="00D43B05">
        <w:rPr>
          <w:b/>
        </w:rPr>
        <w:lastRenderedPageBreak/>
        <w:t>SCHEDULE 3</w:t>
      </w:r>
    </w:p>
    <w:p w:rsidR="003B4D04" w:rsidRDefault="003B4D04" w:rsidP="00E67E34">
      <w:pPr>
        <w:pStyle w:val="ModelNrmlSingle"/>
        <w:ind w:firstLine="0"/>
        <w:jc w:val="center"/>
        <w:rPr>
          <w:b/>
        </w:rPr>
      </w:pPr>
      <w:r>
        <w:rPr>
          <w:b/>
        </w:rPr>
        <w:t>Repayment Schedule</w:t>
      </w:r>
    </w:p>
    <w:p w:rsidR="003B4D04" w:rsidRDefault="003B4D04" w:rsidP="003B4D04">
      <w:pPr>
        <w:pStyle w:val="ModelNrmlSingle"/>
        <w:ind w:firstLine="0"/>
        <w:jc w:val="left"/>
        <w:rPr>
          <w:b/>
        </w:rPr>
      </w:pPr>
      <w:r>
        <w:rPr>
          <w:b/>
        </w:rPr>
        <w:t>Section I: The Original Credit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8"/>
        <w:gridCol w:w="4338"/>
      </w:tblGrid>
      <w:tr w:rsidR="00872486" w:rsidRPr="00CF2390" w:rsidTr="00082350">
        <w:trPr>
          <w:trHeight w:val="845"/>
        </w:trPr>
        <w:tc>
          <w:tcPr>
            <w:tcW w:w="3798" w:type="dxa"/>
            <w:tcBorders>
              <w:top w:val="single" w:sz="4" w:space="0" w:color="auto"/>
              <w:left w:val="single" w:sz="4" w:space="0" w:color="auto"/>
              <w:bottom w:val="single" w:sz="4" w:space="0" w:color="auto"/>
              <w:right w:val="single" w:sz="4" w:space="0" w:color="auto"/>
            </w:tcBorders>
          </w:tcPr>
          <w:p w:rsidR="004B140D" w:rsidRDefault="004B140D" w:rsidP="003B4D04">
            <w:pPr>
              <w:pStyle w:val="ModelNrmlSingle"/>
              <w:spacing w:after="0"/>
              <w:ind w:firstLine="0"/>
              <w:jc w:val="center"/>
              <w:rPr>
                <w:b/>
                <w:szCs w:val="22"/>
              </w:rPr>
            </w:pPr>
          </w:p>
          <w:p w:rsidR="004B140D" w:rsidRDefault="004B140D" w:rsidP="003B4D04">
            <w:pPr>
              <w:pStyle w:val="ModelNrmlSingle"/>
              <w:spacing w:after="0"/>
              <w:ind w:firstLine="0"/>
              <w:jc w:val="center"/>
              <w:rPr>
                <w:b/>
                <w:szCs w:val="22"/>
              </w:rPr>
            </w:pPr>
          </w:p>
          <w:p w:rsidR="003B4D04" w:rsidRPr="00CF2390" w:rsidRDefault="003B4D04" w:rsidP="003B4D04">
            <w:pPr>
              <w:pStyle w:val="ModelNrmlSingle"/>
              <w:spacing w:after="0"/>
              <w:ind w:firstLine="0"/>
              <w:jc w:val="center"/>
              <w:rPr>
                <w:b/>
                <w:szCs w:val="22"/>
              </w:rPr>
            </w:pPr>
            <w:r w:rsidRPr="00CF2390">
              <w:rPr>
                <w:b/>
                <w:szCs w:val="22"/>
              </w:rPr>
              <w:t>Date Payment Due</w:t>
            </w:r>
          </w:p>
        </w:tc>
        <w:tc>
          <w:tcPr>
            <w:tcW w:w="4338" w:type="dxa"/>
            <w:tcBorders>
              <w:top w:val="single" w:sz="4" w:space="0" w:color="auto"/>
              <w:left w:val="single" w:sz="4" w:space="0" w:color="auto"/>
              <w:bottom w:val="single" w:sz="4" w:space="0" w:color="auto"/>
              <w:right w:val="single" w:sz="4" w:space="0" w:color="auto"/>
            </w:tcBorders>
          </w:tcPr>
          <w:p w:rsidR="003B4D04" w:rsidRPr="00CF2390" w:rsidRDefault="003B4D04" w:rsidP="003B4D04">
            <w:pPr>
              <w:pStyle w:val="ModelNrmlSingle"/>
              <w:spacing w:after="0"/>
              <w:ind w:firstLine="0"/>
              <w:jc w:val="center"/>
              <w:rPr>
                <w:b/>
                <w:szCs w:val="22"/>
              </w:rPr>
            </w:pPr>
            <w:r w:rsidRPr="00CF2390">
              <w:rPr>
                <w:b/>
                <w:szCs w:val="22"/>
              </w:rPr>
              <w:t xml:space="preserve">Principal Amount of the </w:t>
            </w:r>
            <w:r w:rsidR="003322BE">
              <w:rPr>
                <w:b/>
                <w:szCs w:val="22"/>
              </w:rPr>
              <w:t xml:space="preserve">Original </w:t>
            </w:r>
            <w:r w:rsidRPr="00CF2390">
              <w:rPr>
                <w:b/>
                <w:szCs w:val="22"/>
              </w:rPr>
              <w:t>Credit repayable</w:t>
            </w:r>
          </w:p>
          <w:p w:rsidR="003B4D04" w:rsidRPr="00CF2390" w:rsidRDefault="003B4D04" w:rsidP="003B4D04">
            <w:pPr>
              <w:pStyle w:val="ModelNrmlSingle"/>
              <w:spacing w:after="0"/>
              <w:ind w:firstLine="0"/>
              <w:jc w:val="center"/>
              <w:rPr>
                <w:b/>
                <w:szCs w:val="22"/>
              </w:rPr>
            </w:pPr>
            <w:r w:rsidRPr="00CF2390">
              <w:rPr>
                <w:b/>
                <w:szCs w:val="22"/>
              </w:rPr>
              <w:t>(expressed as a percentage)*</w:t>
            </w:r>
          </w:p>
        </w:tc>
      </w:tr>
      <w:tr w:rsidR="00872486" w:rsidRPr="00CF2390" w:rsidTr="00082350">
        <w:tc>
          <w:tcPr>
            <w:tcW w:w="3798" w:type="dxa"/>
            <w:tcBorders>
              <w:top w:val="single" w:sz="4" w:space="0" w:color="auto"/>
              <w:left w:val="single" w:sz="4" w:space="0" w:color="auto"/>
              <w:bottom w:val="single" w:sz="4" w:space="0" w:color="auto"/>
              <w:right w:val="single" w:sz="4" w:space="0" w:color="auto"/>
            </w:tcBorders>
          </w:tcPr>
          <w:p w:rsidR="003B4D04" w:rsidRPr="00CF2390" w:rsidRDefault="003B4D04" w:rsidP="00872486">
            <w:pPr>
              <w:pStyle w:val="ModelNrmlSingle"/>
              <w:spacing w:after="0"/>
              <w:ind w:firstLine="0"/>
              <w:jc w:val="left"/>
              <w:rPr>
                <w:bCs/>
                <w:szCs w:val="22"/>
              </w:rPr>
            </w:pPr>
            <w:r w:rsidRPr="00CF2390">
              <w:rPr>
                <w:bCs/>
                <w:szCs w:val="22"/>
              </w:rPr>
              <w:t xml:space="preserve">On each </w:t>
            </w:r>
            <w:r w:rsidR="00872486">
              <w:rPr>
                <w:bCs/>
                <w:szCs w:val="22"/>
              </w:rPr>
              <w:t>May 15</w:t>
            </w:r>
            <w:r w:rsidRPr="00CF2390">
              <w:rPr>
                <w:bCs/>
                <w:szCs w:val="22"/>
              </w:rPr>
              <w:t xml:space="preserve"> and </w:t>
            </w:r>
            <w:r w:rsidR="00872486">
              <w:rPr>
                <w:bCs/>
                <w:szCs w:val="22"/>
              </w:rPr>
              <w:t>November 15</w:t>
            </w:r>
            <w:r w:rsidRPr="00CF2390">
              <w:rPr>
                <w:bCs/>
                <w:szCs w:val="22"/>
              </w:rPr>
              <w:t>:</w:t>
            </w:r>
          </w:p>
        </w:tc>
        <w:tc>
          <w:tcPr>
            <w:tcW w:w="4338" w:type="dxa"/>
            <w:tcBorders>
              <w:top w:val="single" w:sz="4" w:space="0" w:color="auto"/>
              <w:left w:val="single" w:sz="4" w:space="0" w:color="auto"/>
              <w:bottom w:val="single" w:sz="4" w:space="0" w:color="auto"/>
              <w:right w:val="single" w:sz="4" w:space="0" w:color="auto"/>
            </w:tcBorders>
          </w:tcPr>
          <w:p w:rsidR="003B4D04" w:rsidRPr="004B140D" w:rsidRDefault="003B4D04" w:rsidP="004B140D">
            <w:pPr>
              <w:pStyle w:val="ModelNrmlSingle"/>
              <w:spacing w:after="0"/>
              <w:ind w:firstLine="0"/>
              <w:jc w:val="center"/>
              <w:rPr>
                <w:szCs w:val="22"/>
              </w:rPr>
            </w:pPr>
          </w:p>
        </w:tc>
      </w:tr>
      <w:tr w:rsidR="00872486" w:rsidRPr="00CF2390" w:rsidTr="00082350">
        <w:tc>
          <w:tcPr>
            <w:tcW w:w="3798" w:type="dxa"/>
            <w:tcBorders>
              <w:top w:val="single" w:sz="4" w:space="0" w:color="auto"/>
              <w:left w:val="single" w:sz="4" w:space="0" w:color="auto"/>
              <w:bottom w:val="single" w:sz="4" w:space="0" w:color="auto"/>
              <w:right w:val="single" w:sz="4" w:space="0" w:color="auto"/>
            </w:tcBorders>
          </w:tcPr>
          <w:p w:rsidR="003B4D04" w:rsidRPr="00CF2390" w:rsidRDefault="003B4D04" w:rsidP="00872486">
            <w:pPr>
              <w:pStyle w:val="ModelNrmlSingle"/>
              <w:spacing w:after="0"/>
              <w:ind w:firstLine="0"/>
              <w:jc w:val="left"/>
              <w:rPr>
                <w:bCs/>
                <w:szCs w:val="22"/>
              </w:rPr>
            </w:pPr>
            <w:r w:rsidRPr="00CF2390">
              <w:rPr>
                <w:bCs/>
                <w:szCs w:val="22"/>
              </w:rPr>
              <w:t xml:space="preserve">commencing </w:t>
            </w:r>
            <w:r w:rsidR="00872486">
              <w:rPr>
                <w:bCs/>
                <w:szCs w:val="22"/>
              </w:rPr>
              <w:t>November 15, 2013</w:t>
            </w:r>
            <w:r w:rsidRPr="00CF2390">
              <w:rPr>
                <w:bCs/>
                <w:szCs w:val="22"/>
              </w:rPr>
              <w:t xml:space="preserve"> to and including </w:t>
            </w:r>
            <w:r w:rsidR="00872486">
              <w:rPr>
                <w:bCs/>
                <w:szCs w:val="22"/>
              </w:rPr>
              <w:t>May 15, 2023</w:t>
            </w:r>
          </w:p>
        </w:tc>
        <w:tc>
          <w:tcPr>
            <w:tcW w:w="4338" w:type="dxa"/>
            <w:tcBorders>
              <w:top w:val="single" w:sz="4" w:space="0" w:color="auto"/>
              <w:left w:val="single" w:sz="4" w:space="0" w:color="auto"/>
              <w:bottom w:val="single" w:sz="4" w:space="0" w:color="auto"/>
              <w:right w:val="single" w:sz="4" w:space="0" w:color="auto"/>
            </w:tcBorders>
          </w:tcPr>
          <w:p w:rsidR="003B4D04" w:rsidRPr="004B140D" w:rsidRDefault="003B4D04" w:rsidP="004B140D">
            <w:pPr>
              <w:pStyle w:val="ModelNrmlSingle"/>
              <w:spacing w:after="0"/>
              <w:ind w:firstLine="0"/>
              <w:jc w:val="center"/>
              <w:rPr>
                <w:szCs w:val="22"/>
              </w:rPr>
            </w:pPr>
            <w:r w:rsidRPr="004B140D">
              <w:rPr>
                <w:szCs w:val="22"/>
              </w:rPr>
              <w:t>1%</w:t>
            </w:r>
          </w:p>
        </w:tc>
      </w:tr>
      <w:tr w:rsidR="00872486" w:rsidRPr="00CF2390" w:rsidTr="00082350">
        <w:tc>
          <w:tcPr>
            <w:tcW w:w="3798" w:type="dxa"/>
            <w:tcBorders>
              <w:top w:val="single" w:sz="4" w:space="0" w:color="auto"/>
              <w:left w:val="single" w:sz="4" w:space="0" w:color="auto"/>
              <w:bottom w:val="single" w:sz="4" w:space="0" w:color="auto"/>
              <w:right w:val="single" w:sz="4" w:space="0" w:color="auto"/>
            </w:tcBorders>
          </w:tcPr>
          <w:p w:rsidR="003B4D04" w:rsidRPr="00CF2390" w:rsidRDefault="003B4D04" w:rsidP="00872486">
            <w:pPr>
              <w:pStyle w:val="ModelNrmlSingle"/>
              <w:spacing w:after="0"/>
              <w:ind w:firstLine="0"/>
              <w:jc w:val="left"/>
              <w:rPr>
                <w:bCs/>
                <w:szCs w:val="22"/>
              </w:rPr>
            </w:pPr>
            <w:r w:rsidRPr="00CF2390">
              <w:rPr>
                <w:bCs/>
                <w:szCs w:val="22"/>
              </w:rPr>
              <w:t xml:space="preserve">commencing </w:t>
            </w:r>
            <w:r w:rsidR="00872486">
              <w:rPr>
                <w:bCs/>
                <w:szCs w:val="22"/>
              </w:rPr>
              <w:t>November 15, 2023</w:t>
            </w:r>
            <w:r w:rsidRPr="00CF2390">
              <w:rPr>
                <w:bCs/>
                <w:szCs w:val="22"/>
              </w:rPr>
              <w:t xml:space="preserve"> to and including </w:t>
            </w:r>
            <w:r w:rsidR="00872486">
              <w:rPr>
                <w:bCs/>
                <w:szCs w:val="22"/>
              </w:rPr>
              <w:t>May 15, 2043</w:t>
            </w:r>
          </w:p>
        </w:tc>
        <w:tc>
          <w:tcPr>
            <w:tcW w:w="4338" w:type="dxa"/>
            <w:tcBorders>
              <w:top w:val="single" w:sz="4" w:space="0" w:color="auto"/>
              <w:left w:val="single" w:sz="4" w:space="0" w:color="auto"/>
              <w:bottom w:val="single" w:sz="4" w:space="0" w:color="auto"/>
              <w:right w:val="single" w:sz="4" w:space="0" w:color="auto"/>
            </w:tcBorders>
          </w:tcPr>
          <w:p w:rsidR="003B4D04" w:rsidRPr="004B140D" w:rsidRDefault="003B4D04" w:rsidP="004B140D">
            <w:pPr>
              <w:pStyle w:val="ModelNrmlSingle"/>
              <w:spacing w:after="0"/>
              <w:ind w:firstLine="0"/>
              <w:jc w:val="center"/>
              <w:rPr>
                <w:szCs w:val="22"/>
              </w:rPr>
            </w:pPr>
            <w:r w:rsidRPr="004B140D">
              <w:rPr>
                <w:szCs w:val="22"/>
              </w:rPr>
              <w:t>2%</w:t>
            </w:r>
          </w:p>
        </w:tc>
      </w:tr>
    </w:tbl>
    <w:p w:rsidR="003B4D04" w:rsidRDefault="003B4D04" w:rsidP="005F4B23">
      <w:pPr>
        <w:pStyle w:val="ModelNrmlSingle"/>
        <w:spacing w:after="0"/>
        <w:ind w:firstLine="0"/>
        <w:jc w:val="left"/>
        <w:rPr>
          <w:b/>
        </w:rPr>
      </w:pPr>
    </w:p>
    <w:p w:rsidR="003B4D04" w:rsidRDefault="003B4D04" w:rsidP="003B4D04">
      <w:pPr>
        <w:pStyle w:val="ModelNrmlSingle"/>
        <w:ind w:firstLine="0"/>
        <w:jc w:val="left"/>
        <w:rPr>
          <w:b/>
          <w:i/>
          <w:color w:val="0000FF"/>
          <w:szCs w:val="22"/>
        </w:rPr>
      </w:pPr>
      <w:r>
        <w:rPr>
          <w:b/>
        </w:rPr>
        <w:t>Section II: The Additional Credit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8"/>
        <w:gridCol w:w="4338"/>
      </w:tblGrid>
      <w:tr w:rsidR="003B4D04" w:rsidRPr="00CF2390" w:rsidTr="00082350">
        <w:trPr>
          <w:trHeight w:val="845"/>
        </w:trPr>
        <w:tc>
          <w:tcPr>
            <w:tcW w:w="3798" w:type="dxa"/>
            <w:tcBorders>
              <w:top w:val="single" w:sz="4" w:space="0" w:color="auto"/>
              <w:left w:val="single" w:sz="4" w:space="0" w:color="auto"/>
              <w:bottom w:val="single" w:sz="4" w:space="0" w:color="auto"/>
              <w:right w:val="single" w:sz="4" w:space="0" w:color="auto"/>
            </w:tcBorders>
          </w:tcPr>
          <w:p w:rsidR="004B140D" w:rsidRDefault="004B140D" w:rsidP="003B4D04">
            <w:pPr>
              <w:pStyle w:val="ModelNrmlSingle"/>
              <w:spacing w:after="0"/>
              <w:ind w:firstLine="0"/>
              <w:jc w:val="center"/>
              <w:rPr>
                <w:b/>
                <w:szCs w:val="22"/>
              </w:rPr>
            </w:pPr>
          </w:p>
          <w:p w:rsidR="004B140D" w:rsidRDefault="004B140D" w:rsidP="003B4D04">
            <w:pPr>
              <w:pStyle w:val="ModelNrmlSingle"/>
              <w:spacing w:after="0"/>
              <w:ind w:firstLine="0"/>
              <w:jc w:val="center"/>
              <w:rPr>
                <w:b/>
                <w:szCs w:val="22"/>
              </w:rPr>
            </w:pPr>
          </w:p>
          <w:p w:rsidR="003B4D04" w:rsidRPr="00CF2390" w:rsidRDefault="003B4D04" w:rsidP="003B4D04">
            <w:pPr>
              <w:pStyle w:val="ModelNrmlSingle"/>
              <w:spacing w:after="0"/>
              <w:ind w:firstLine="0"/>
              <w:jc w:val="center"/>
              <w:rPr>
                <w:b/>
                <w:szCs w:val="22"/>
              </w:rPr>
            </w:pPr>
            <w:r w:rsidRPr="00CF2390">
              <w:rPr>
                <w:b/>
                <w:szCs w:val="22"/>
              </w:rPr>
              <w:t>Date Payment Due</w:t>
            </w:r>
          </w:p>
        </w:tc>
        <w:tc>
          <w:tcPr>
            <w:tcW w:w="4338" w:type="dxa"/>
            <w:tcBorders>
              <w:top w:val="single" w:sz="4" w:space="0" w:color="auto"/>
              <w:left w:val="single" w:sz="4" w:space="0" w:color="auto"/>
              <w:bottom w:val="single" w:sz="4" w:space="0" w:color="auto"/>
              <w:right w:val="single" w:sz="4" w:space="0" w:color="auto"/>
            </w:tcBorders>
          </w:tcPr>
          <w:p w:rsidR="003B4D04" w:rsidRPr="00CF2390" w:rsidRDefault="003B4D04" w:rsidP="003B4D04">
            <w:pPr>
              <w:pStyle w:val="ModelNrmlSingle"/>
              <w:spacing w:after="0"/>
              <w:ind w:firstLine="0"/>
              <w:jc w:val="center"/>
              <w:rPr>
                <w:b/>
                <w:szCs w:val="22"/>
              </w:rPr>
            </w:pPr>
            <w:r w:rsidRPr="00CF2390">
              <w:rPr>
                <w:b/>
                <w:szCs w:val="22"/>
              </w:rPr>
              <w:t xml:space="preserve">Principal Amount of the </w:t>
            </w:r>
            <w:r>
              <w:rPr>
                <w:b/>
                <w:szCs w:val="22"/>
              </w:rPr>
              <w:t xml:space="preserve">Additional </w:t>
            </w:r>
            <w:r w:rsidRPr="00CF2390">
              <w:rPr>
                <w:b/>
                <w:szCs w:val="22"/>
              </w:rPr>
              <w:t>Credit repayable</w:t>
            </w:r>
          </w:p>
          <w:p w:rsidR="003B4D04" w:rsidRPr="00CF2390" w:rsidRDefault="003B4D04" w:rsidP="003B4D04">
            <w:pPr>
              <w:pStyle w:val="ModelNrmlSingle"/>
              <w:spacing w:after="0"/>
              <w:ind w:firstLine="0"/>
              <w:jc w:val="center"/>
              <w:rPr>
                <w:b/>
                <w:szCs w:val="22"/>
              </w:rPr>
            </w:pPr>
            <w:r w:rsidRPr="00CF2390">
              <w:rPr>
                <w:b/>
                <w:szCs w:val="22"/>
              </w:rPr>
              <w:t>(expressed as a percentage)*</w:t>
            </w:r>
          </w:p>
        </w:tc>
      </w:tr>
      <w:tr w:rsidR="003B4D04" w:rsidRPr="00CF2390" w:rsidTr="00082350">
        <w:tc>
          <w:tcPr>
            <w:tcW w:w="3798" w:type="dxa"/>
            <w:tcBorders>
              <w:top w:val="single" w:sz="4" w:space="0" w:color="auto"/>
              <w:left w:val="single" w:sz="4" w:space="0" w:color="auto"/>
              <w:bottom w:val="single" w:sz="4" w:space="0" w:color="auto"/>
              <w:right w:val="single" w:sz="4" w:space="0" w:color="auto"/>
            </w:tcBorders>
          </w:tcPr>
          <w:p w:rsidR="003B4D04" w:rsidRPr="00CF2390" w:rsidRDefault="003B4D04" w:rsidP="004D6619">
            <w:pPr>
              <w:pStyle w:val="ModelNrmlSingle"/>
              <w:spacing w:after="0"/>
              <w:ind w:firstLine="0"/>
              <w:jc w:val="left"/>
              <w:rPr>
                <w:bCs/>
                <w:szCs w:val="22"/>
              </w:rPr>
            </w:pPr>
            <w:r w:rsidRPr="00CF2390">
              <w:rPr>
                <w:bCs/>
                <w:szCs w:val="22"/>
              </w:rPr>
              <w:t>On each</w:t>
            </w:r>
            <w:r w:rsidR="004D6619">
              <w:rPr>
                <w:bCs/>
                <w:szCs w:val="22"/>
              </w:rPr>
              <w:t xml:space="preserve"> May 15 </w:t>
            </w:r>
            <w:r w:rsidRPr="00CF2390">
              <w:rPr>
                <w:bCs/>
                <w:szCs w:val="22"/>
              </w:rPr>
              <w:t>and</w:t>
            </w:r>
            <w:r w:rsidR="004D6619">
              <w:rPr>
                <w:bCs/>
                <w:szCs w:val="22"/>
              </w:rPr>
              <w:t xml:space="preserve"> November 15:</w:t>
            </w:r>
          </w:p>
        </w:tc>
        <w:tc>
          <w:tcPr>
            <w:tcW w:w="4338" w:type="dxa"/>
            <w:tcBorders>
              <w:top w:val="single" w:sz="4" w:space="0" w:color="auto"/>
              <w:left w:val="single" w:sz="4" w:space="0" w:color="auto"/>
              <w:bottom w:val="single" w:sz="4" w:space="0" w:color="auto"/>
              <w:right w:val="single" w:sz="4" w:space="0" w:color="auto"/>
            </w:tcBorders>
          </w:tcPr>
          <w:p w:rsidR="003B4D04" w:rsidRPr="00CF2390" w:rsidRDefault="003B4D04" w:rsidP="003B4D04">
            <w:pPr>
              <w:pStyle w:val="ModelNrmlSingle"/>
              <w:spacing w:after="0"/>
              <w:ind w:firstLine="0"/>
              <w:jc w:val="left"/>
              <w:rPr>
                <w:b/>
                <w:szCs w:val="22"/>
              </w:rPr>
            </w:pPr>
          </w:p>
        </w:tc>
      </w:tr>
      <w:tr w:rsidR="003B4D04" w:rsidRPr="00CF2390" w:rsidTr="00082350">
        <w:tc>
          <w:tcPr>
            <w:tcW w:w="3798" w:type="dxa"/>
            <w:tcBorders>
              <w:top w:val="single" w:sz="4" w:space="0" w:color="auto"/>
              <w:left w:val="single" w:sz="4" w:space="0" w:color="auto"/>
              <w:bottom w:val="single" w:sz="4" w:space="0" w:color="auto"/>
              <w:right w:val="single" w:sz="4" w:space="0" w:color="auto"/>
            </w:tcBorders>
          </w:tcPr>
          <w:p w:rsidR="003B4D04" w:rsidRPr="00CF2390" w:rsidRDefault="00F733CA" w:rsidP="00F733CA">
            <w:pPr>
              <w:pStyle w:val="ModelNrmlSingle"/>
              <w:spacing w:after="0"/>
              <w:ind w:firstLine="0"/>
              <w:jc w:val="left"/>
              <w:rPr>
                <w:bCs/>
                <w:szCs w:val="22"/>
              </w:rPr>
            </w:pPr>
            <w:r>
              <w:rPr>
                <w:bCs/>
                <w:szCs w:val="22"/>
              </w:rPr>
              <w:t>c</w:t>
            </w:r>
            <w:r w:rsidR="003B4D04" w:rsidRPr="00CF2390">
              <w:rPr>
                <w:bCs/>
                <w:szCs w:val="22"/>
              </w:rPr>
              <w:t>ommencing</w:t>
            </w:r>
            <w:r>
              <w:rPr>
                <w:bCs/>
                <w:szCs w:val="22"/>
              </w:rPr>
              <w:t xml:space="preserve"> May 15, 2021 </w:t>
            </w:r>
            <w:r w:rsidR="003B4D04" w:rsidRPr="00CF2390">
              <w:rPr>
                <w:bCs/>
                <w:szCs w:val="22"/>
              </w:rPr>
              <w:t xml:space="preserve">to and including </w:t>
            </w:r>
            <w:r>
              <w:rPr>
                <w:bCs/>
                <w:szCs w:val="22"/>
              </w:rPr>
              <w:t>November 15, 2030</w:t>
            </w:r>
          </w:p>
        </w:tc>
        <w:tc>
          <w:tcPr>
            <w:tcW w:w="4338" w:type="dxa"/>
            <w:tcBorders>
              <w:top w:val="single" w:sz="4" w:space="0" w:color="auto"/>
              <w:left w:val="single" w:sz="4" w:space="0" w:color="auto"/>
              <w:bottom w:val="single" w:sz="4" w:space="0" w:color="auto"/>
              <w:right w:val="single" w:sz="4" w:space="0" w:color="auto"/>
            </w:tcBorders>
          </w:tcPr>
          <w:p w:rsidR="003B4D04" w:rsidRPr="004B140D" w:rsidRDefault="003B4D04" w:rsidP="004B140D">
            <w:pPr>
              <w:pStyle w:val="ModelNrmlSingle"/>
              <w:spacing w:after="0"/>
              <w:ind w:firstLine="0"/>
              <w:jc w:val="center"/>
              <w:rPr>
                <w:szCs w:val="22"/>
              </w:rPr>
            </w:pPr>
            <w:r w:rsidRPr="004B140D">
              <w:rPr>
                <w:szCs w:val="22"/>
              </w:rPr>
              <w:t>1.25%</w:t>
            </w:r>
          </w:p>
        </w:tc>
      </w:tr>
      <w:tr w:rsidR="003B4D04" w:rsidRPr="00CF2390" w:rsidTr="00082350">
        <w:tc>
          <w:tcPr>
            <w:tcW w:w="3798" w:type="dxa"/>
            <w:tcBorders>
              <w:top w:val="single" w:sz="4" w:space="0" w:color="auto"/>
              <w:left w:val="single" w:sz="4" w:space="0" w:color="auto"/>
              <w:bottom w:val="single" w:sz="4" w:space="0" w:color="auto"/>
              <w:right w:val="single" w:sz="4" w:space="0" w:color="auto"/>
            </w:tcBorders>
          </w:tcPr>
          <w:p w:rsidR="003B4D04" w:rsidRPr="00CF2390" w:rsidRDefault="00F733CA" w:rsidP="00F733CA">
            <w:pPr>
              <w:pStyle w:val="ModelNrmlSingle"/>
              <w:spacing w:after="0"/>
              <w:ind w:firstLine="0"/>
              <w:jc w:val="left"/>
              <w:rPr>
                <w:bCs/>
                <w:szCs w:val="22"/>
              </w:rPr>
            </w:pPr>
            <w:r w:rsidRPr="00CF2390">
              <w:rPr>
                <w:bCs/>
                <w:szCs w:val="22"/>
              </w:rPr>
              <w:t>C</w:t>
            </w:r>
            <w:r w:rsidR="003B4D04" w:rsidRPr="00CF2390">
              <w:rPr>
                <w:bCs/>
                <w:szCs w:val="22"/>
              </w:rPr>
              <w:t>ommencing</w:t>
            </w:r>
            <w:r>
              <w:rPr>
                <w:bCs/>
                <w:szCs w:val="22"/>
              </w:rPr>
              <w:t xml:space="preserve"> May 15, 2031</w:t>
            </w:r>
            <w:r w:rsidR="003B4D04" w:rsidRPr="00CF2390">
              <w:rPr>
                <w:bCs/>
                <w:szCs w:val="22"/>
              </w:rPr>
              <w:t xml:space="preserve">to and including </w:t>
            </w:r>
            <w:r>
              <w:rPr>
                <w:bCs/>
                <w:szCs w:val="22"/>
              </w:rPr>
              <w:t>November 15, 2045</w:t>
            </w:r>
          </w:p>
        </w:tc>
        <w:tc>
          <w:tcPr>
            <w:tcW w:w="4338" w:type="dxa"/>
            <w:tcBorders>
              <w:top w:val="single" w:sz="4" w:space="0" w:color="auto"/>
              <w:left w:val="single" w:sz="4" w:space="0" w:color="auto"/>
              <w:bottom w:val="single" w:sz="4" w:space="0" w:color="auto"/>
              <w:right w:val="single" w:sz="4" w:space="0" w:color="auto"/>
            </w:tcBorders>
          </w:tcPr>
          <w:p w:rsidR="003B4D04" w:rsidRPr="004B140D" w:rsidRDefault="003B4D04" w:rsidP="004B140D">
            <w:pPr>
              <w:pStyle w:val="ModelNrmlSingle"/>
              <w:spacing w:after="0"/>
              <w:ind w:firstLine="0"/>
              <w:jc w:val="center"/>
              <w:rPr>
                <w:szCs w:val="22"/>
              </w:rPr>
            </w:pPr>
            <w:r w:rsidRPr="004B140D">
              <w:rPr>
                <w:szCs w:val="22"/>
              </w:rPr>
              <w:t>2.5%</w:t>
            </w:r>
          </w:p>
        </w:tc>
      </w:tr>
    </w:tbl>
    <w:p w:rsidR="003B4D04" w:rsidRDefault="003B4D04" w:rsidP="005F4B23">
      <w:pPr>
        <w:pStyle w:val="ModelNrmlSingle"/>
        <w:spacing w:after="0"/>
        <w:ind w:firstLine="0"/>
        <w:jc w:val="center"/>
      </w:pPr>
    </w:p>
    <w:p w:rsidR="003B4D04" w:rsidRPr="00CF2390" w:rsidRDefault="003B4D04" w:rsidP="003B4D04">
      <w:pPr>
        <w:pStyle w:val="ModelNrmlDouble"/>
        <w:spacing w:line="240" w:lineRule="auto"/>
        <w:ind w:firstLine="0"/>
        <w:rPr>
          <w:szCs w:val="22"/>
        </w:rPr>
      </w:pPr>
      <w:r w:rsidRPr="00CF2390">
        <w:rPr>
          <w:szCs w:val="22"/>
        </w:rPr>
        <w:t xml:space="preserve">* The percentages represent the percentage of the principal amount of the </w:t>
      </w:r>
      <w:r>
        <w:rPr>
          <w:szCs w:val="22"/>
        </w:rPr>
        <w:t xml:space="preserve">Original </w:t>
      </w:r>
      <w:r w:rsidRPr="00CF2390">
        <w:rPr>
          <w:szCs w:val="22"/>
        </w:rPr>
        <w:t>Credit</w:t>
      </w:r>
      <w:r>
        <w:rPr>
          <w:szCs w:val="22"/>
        </w:rPr>
        <w:t xml:space="preserve"> and of the Additional Credit</w:t>
      </w:r>
      <w:r w:rsidRPr="00CF2390">
        <w:rPr>
          <w:szCs w:val="22"/>
        </w:rPr>
        <w:t xml:space="preserve"> to be repaid, except as the Association may otherwise s</w:t>
      </w:r>
      <w:r w:rsidR="005F4B23">
        <w:rPr>
          <w:szCs w:val="22"/>
        </w:rPr>
        <w:t>pecify pursuant to Section 3.03</w:t>
      </w:r>
      <w:r w:rsidRPr="00CF2390">
        <w:rPr>
          <w:szCs w:val="22"/>
        </w:rPr>
        <w:t>(b) of the General Conditions.</w:t>
      </w:r>
    </w:p>
    <w:p w:rsidR="0016270B" w:rsidRPr="004F5510" w:rsidRDefault="00D43B05" w:rsidP="006E6C85">
      <w:pPr>
        <w:pStyle w:val="ModelNrmlSingle"/>
        <w:ind w:firstLine="0"/>
        <w:jc w:val="center"/>
        <w:rPr>
          <w:b/>
        </w:rPr>
      </w:pPr>
      <w:r>
        <w:br w:type="page"/>
      </w:r>
      <w:r w:rsidR="00BD23D5" w:rsidRPr="004F5510" w:rsidDel="00BD23D5">
        <w:rPr>
          <w:b/>
        </w:rPr>
        <w:lastRenderedPageBreak/>
        <w:t xml:space="preserve"> </w:t>
      </w:r>
      <w:r w:rsidR="00786695" w:rsidRPr="004F5510">
        <w:rPr>
          <w:b/>
        </w:rPr>
        <w:t>A</w:t>
      </w:r>
      <w:r w:rsidR="004F5510" w:rsidRPr="004F5510">
        <w:rPr>
          <w:b/>
        </w:rPr>
        <w:t>PPENDIX</w:t>
      </w:r>
    </w:p>
    <w:p w:rsidR="009B6D85" w:rsidRPr="004F5510" w:rsidRDefault="009B6D85" w:rsidP="009B6D85">
      <w:pPr>
        <w:pStyle w:val="ModelNrmlSingle"/>
        <w:ind w:firstLine="0"/>
        <w:rPr>
          <w:b/>
        </w:rPr>
      </w:pPr>
      <w:r w:rsidRPr="004F5510">
        <w:rPr>
          <w:b/>
        </w:rPr>
        <w:t xml:space="preserve">Section I. </w:t>
      </w:r>
      <w:r w:rsidR="004F5510">
        <w:rPr>
          <w:b/>
        </w:rPr>
        <w:tab/>
      </w:r>
      <w:r w:rsidRPr="00E21A72">
        <w:rPr>
          <w:b/>
          <w:u w:val="single"/>
        </w:rPr>
        <w:t>Definitions</w:t>
      </w:r>
    </w:p>
    <w:p w:rsidR="00786695" w:rsidRDefault="004F5510" w:rsidP="005F4B23">
      <w:pPr>
        <w:pStyle w:val="ModelNrmlSingle"/>
        <w:ind w:left="720" w:hanging="720"/>
      </w:pPr>
      <w:r>
        <w:t xml:space="preserve">1. </w:t>
      </w:r>
      <w:r w:rsidR="00786695">
        <w:tab/>
        <w:t>“</w:t>
      </w:r>
      <w:r w:rsidR="00786695" w:rsidRPr="007931F1">
        <w:t>Anti-Corruption Guidelines</w:t>
      </w:r>
      <w:r w:rsidR="00786695">
        <w:t xml:space="preserve">” means the “Guidelines on Preventing and Combating Fraud and Corruption in Projects Financed by IBRD Loans and IDA Credits and Grants”, dated October 15, 2006 with the modifications set forth in </w:t>
      </w:r>
      <w:r w:rsidR="00786695" w:rsidRPr="005D7BA1">
        <w:t>Section</w:t>
      </w:r>
      <w:r w:rsidR="005D7BA1" w:rsidRPr="005D7BA1">
        <w:t xml:space="preserve"> II </w:t>
      </w:r>
      <w:r w:rsidR="00786695" w:rsidRPr="005D7BA1">
        <w:t>of the Appendix to this Agreement.</w:t>
      </w:r>
    </w:p>
    <w:p w:rsidR="00786695" w:rsidRDefault="004F5510" w:rsidP="005F4B23">
      <w:pPr>
        <w:pStyle w:val="ModelNrmlSingle"/>
        <w:ind w:left="720" w:hanging="720"/>
      </w:pPr>
      <w:r>
        <w:t xml:space="preserve">2. </w:t>
      </w:r>
      <w:r>
        <w:tab/>
      </w:r>
      <w:r w:rsidR="00786695">
        <w:t xml:space="preserve">“Category” means a category of items set forth in the table in </w:t>
      </w:r>
      <w:r w:rsidR="003322BE">
        <w:t xml:space="preserve">Section IV, </w:t>
      </w:r>
      <w:r w:rsidR="00786695">
        <w:t xml:space="preserve">paragraph </w:t>
      </w:r>
      <w:r w:rsidR="003322BE">
        <w:t>A.</w:t>
      </w:r>
      <w:r w:rsidR="005D7BA1">
        <w:t>2</w:t>
      </w:r>
      <w:r w:rsidR="00786695">
        <w:t xml:space="preserve"> of Schedule </w:t>
      </w:r>
      <w:r w:rsidR="005D7BA1">
        <w:t>2</w:t>
      </w:r>
      <w:r w:rsidR="00786695">
        <w:t xml:space="preserve"> to this Agreement.</w:t>
      </w:r>
    </w:p>
    <w:p w:rsidR="003B4D04" w:rsidRPr="00CF2390" w:rsidRDefault="005F4B23" w:rsidP="005F4B23">
      <w:pPr>
        <w:pStyle w:val="ModelNrmlDouble"/>
        <w:spacing w:after="240" w:line="240" w:lineRule="auto"/>
        <w:ind w:left="720" w:hanging="720"/>
        <w:rPr>
          <w:szCs w:val="22"/>
        </w:rPr>
      </w:pPr>
      <w:r>
        <w:rPr>
          <w:szCs w:val="22"/>
        </w:rPr>
        <w:t>3.</w:t>
      </w:r>
      <w:r>
        <w:rPr>
          <w:szCs w:val="22"/>
        </w:rPr>
        <w:tab/>
      </w:r>
      <w:r w:rsidR="003B4D04" w:rsidRPr="00CF2390">
        <w:rPr>
          <w:szCs w:val="22"/>
        </w:rPr>
        <w:t xml:space="preserve">“Consultant Guidelines” means the “Guidelines: Selection and Employment of Consultants by World Bank Borrowers” published by the Bank in May 2004 and revised </w:t>
      </w:r>
      <w:r w:rsidR="003B4D04">
        <w:rPr>
          <w:szCs w:val="22"/>
        </w:rPr>
        <w:t xml:space="preserve">in </w:t>
      </w:r>
      <w:r w:rsidR="003B4D04" w:rsidRPr="00CF2390">
        <w:rPr>
          <w:szCs w:val="22"/>
        </w:rPr>
        <w:t>October 2006</w:t>
      </w:r>
      <w:r w:rsidR="003B4D04">
        <w:rPr>
          <w:szCs w:val="22"/>
        </w:rPr>
        <w:t xml:space="preserve"> and May 2010</w:t>
      </w:r>
      <w:r w:rsidR="003B4D04" w:rsidRPr="00CF2390">
        <w:rPr>
          <w:szCs w:val="22"/>
        </w:rPr>
        <w:t>.</w:t>
      </w:r>
    </w:p>
    <w:p w:rsidR="006E6C85" w:rsidRPr="00CF2390" w:rsidRDefault="004F5510" w:rsidP="005F4B23">
      <w:pPr>
        <w:pStyle w:val="ModelNrmlDouble"/>
        <w:spacing w:after="240" w:line="240" w:lineRule="auto"/>
        <w:ind w:left="720" w:hanging="720"/>
        <w:rPr>
          <w:szCs w:val="22"/>
        </w:rPr>
      </w:pPr>
      <w:r>
        <w:rPr>
          <w:szCs w:val="22"/>
        </w:rPr>
        <w:t>5.</w:t>
      </w:r>
      <w:r>
        <w:rPr>
          <w:szCs w:val="22"/>
        </w:rPr>
        <w:tab/>
      </w:r>
      <w:r w:rsidR="006E6C85" w:rsidRPr="00CF2390">
        <w:rPr>
          <w:szCs w:val="22"/>
        </w:rPr>
        <w:t xml:space="preserve">“General Conditions” means the “International Development Association General Conditions for Credits and Grants”, dated July </w:t>
      </w:r>
      <w:r w:rsidR="006E6C85">
        <w:rPr>
          <w:szCs w:val="22"/>
        </w:rPr>
        <w:t>3</w:t>
      </w:r>
      <w:r w:rsidR="006E6C85" w:rsidRPr="00CF2390">
        <w:rPr>
          <w:szCs w:val="22"/>
        </w:rPr>
        <w:t>1, 20</w:t>
      </w:r>
      <w:r w:rsidR="006E6C85">
        <w:rPr>
          <w:szCs w:val="22"/>
        </w:rPr>
        <w:t>1</w:t>
      </w:r>
      <w:r w:rsidR="006E6C85" w:rsidRPr="00CF2390">
        <w:rPr>
          <w:szCs w:val="22"/>
        </w:rPr>
        <w:t>0.</w:t>
      </w:r>
    </w:p>
    <w:p w:rsidR="00786695" w:rsidRDefault="004F5510" w:rsidP="004F5510">
      <w:pPr>
        <w:pStyle w:val="ModelNrmlSingle"/>
        <w:ind w:firstLine="0"/>
      </w:pPr>
      <w:r>
        <w:t>6.</w:t>
      </w:r>
      <w:r>
        <w:tab/>
      </w:r>
      <w:r w:rsidR="00786695">
        <w:t>“IT” means information technology.</w:t>
      </w:r>
    </w:p>
    <w:p w:rsidR="00786695" w:rsidRDefault="004F5510" w:rsidP="004F5510">
      <w:pPr>
        <w:pStyle w:val="ModelNrmlSingle"/>
        <w:ind w:firstLine="0"/>
      </w:pPr>
      <w:r>
        <w:t>7.</w:t>
      </w:r>
      <w:r>
        <w:tab/>
      </w:r>
      <w:r w:rsidR="00786695">
        <w:t xml:space="preserve">“MOF” means the </w:t>
      </w:r>
      <w:r w:rsidR="00F56297">
        <w:t>Recipient</w:t>
      </w:r>
      <w:r w:rsidR="00786695">
        <w:t xml:space="preserve">’s Ministry of </w:t>
      </w:r>
      <w:proofErr w:type="gramStart"/>
      <w:r w:rsidR="00FA7851">
        <w:t>Finance,</w:t>
      </w:r>
      <w:proofErr w:type="gramEnd"/>
      <w:r w:rsidR="00786695">
        <w:t xml:space="preserve"> and any successor thereto.</w:t>
      </w:r>
    </w:p>
    <w:p w:rsidR="00786695" w:rsidRDefault="004F5510" w:rsidP="005F4B23">
      <w:pPr>
        <w:pStyle w:val="ModelNrmlSingle"/>
        <w:ind w:left="720" w:hanging="720"/>
      </w:pPr>
      <w:r>
        <w:t>8.</w:t>
      </w:r>
      <w:r>
        <w:tab/>
      </w:r>
      <w:r w:rsidR="00786695">
        <w:t xml:space="preserve">“MPI” means the </w:t>
      </w:r>
      <w:r w:rsidR="00F56297">
        <w:t>Recipient</w:t>
      </w:r>
      <w:r w:rsidR="00786695">
        <w:t>’s Ministry of Planning and Investment, and any successor thereto.</w:t>
      </w:r>
    </w:p>
    <w:p w:rsidR="00082350" w:rsidRDefault="00082350" w:rsidP="005F4B23">
      <w:pPr>
        <w:pStyle w:val="ModelNrmlSingle"/>
        <w:ind w:left="720" w:hanging="720"/>
      </w:pPr>
      <w:r>
        <w:t>9.</w:t>
      </w:r>
      <w:r>
        <w:tab/>
        <w:t>“MTEF” means a medium-term expenditure framework prepared by the Recipient for each pilot sector or pilot province under Part B.1 and 2 in Schedule 1 to the Project.</w:t>
      </w:r>
    </w:p>
    <w:p w:rsidR="00786695" w:rsidRDefault="00082350" w:rsidP="005F4B23">
      <w:pPr>
        <w:pStyle w:val="ModelNrmlSingle"/>
        <w:ind w:left="720" w:hanging="720"/>
      </w:pPr>
      <w:r>
        <w:t>10</w:t>
      </w:r>
      <w:r w:rsidR="004F5510">
        <w:t>.</w:t>
      </w:r>
      <w:r w:rsidR="004F5510">
        <w:tab/>
      </w:r>
      <w:r w:rsidR="00786695">
        <w:t xml:space="preserve">“MTFF” means a medium-term fiscal framework prepared by the </w:t>
      </w:r>
      <w:r w:rsidR="00F56297">
        <w:t>Recipient</w:t>
      </w:r>
      <w:r w:rsidR="00786695">
        <w:t xml:space="preserve"> under Part B.1</w:t>
      </w:r>
      <w:r w:rsidR="00D93D32">
        <w:t xml:space="preserve"> and 2</w:t>
      </w:r>
      <w:r w:rsidR="00786695">
        <w:t xml:space="preserve"> </w:t>
      </w:r>
      <w:r>
        <w:t xml:space="preserve">in Schedule 1 to </w:t>
      </w:r>
      <w:r w:rsidR="00786695">
        <w:t>the Project.</w:t>
      </w:r>
    </w:p>
    <w:p w:rsidR="00786695" w:rsidRDefault="004F5510" w:rsidP="005F4B23">
      <w:pPr>
        <w:pStyle w:val="ModelNrmlSingle"/>
        <w:ind w:left="720" w:hanging="720"/>
      </w:pPr>
      <w:r>
        <w:t>11.</w:t>
      </w:r>
      <w:r>
        <w:tab/>
      </w:r>
      <w:r w:rsidR="00786695">
        <w:t xml:space="preserve">“National Assembly” means the </w:t>
      </w:r>
      <w:r w:rsidR="00F56297">
        <w:t>Recipient</w:t>
      </w:r>
      <w:r w:rsidR="00786695">
        <w:t xml:space="preserve">’s legislative branch established under the </w:t>
      </w:r>
      <w:r w:rsidR="00F56297">
        <w:t>Recipient</w:t>
      </w:r>
      <w:r w:rsidR="00786695">
        <w:t xml:space="preserve">’s </w:t>
      </w:r>
      <w:proofErr w:type="gramStart"/>
      <w:r w:rsidR="00786695">
        <w:t>Constitution</w:t>
      </w:r>
      <w:r w:rsidR="00FA7851">
        <w:t>,</w:t>
      </w:r>
      <w:proofErr w:type="gramEnd"/>
      <w:r w:rsidR="00FA7851">
        <w:t xml:space="preserve"> and </w:t>
      </w:r>
      <w:r w:rsidR="00786695">
        <w:t xml:space="preserve">any successor thereto. </w:t>
      </w:r>
    </w:p>
    <w:p w:rsidR="007E46DC" w:rsidRPr="007A04F1" w:rsidRDefault="00082350" w:rsidP="005F4B23">
      <w:pPr>
        <w:pStyle w:val="ModelNrmlDouble"/>
        <w:spacing w:after="240" w:line="240" w:lineRule="auto"/>
        <w:ind w:left="720" w:hanging="720"/>
      </w:pPr>
      <w:r>
        <w:t>12</w:t>
      </w:r>
      <w:r w:rsidR="004F5510">
        <w:t>.</w:t>
      </w:r>
      <w:r w:rsidR="004F5510">
        <w:tab/>
      </w:r>
      <w:r w:rsidR="007E46DC" w:rsidRPr="007E46DC">
        <w:rPr>
          <w:szCs w:val="22"/>
        </w:rPr>
        <w:t>“Procurement Guidelines” means the “Guidelines: Procurement under IBRD Loans and IDA Credits” published by the Bank in May 2004 and revised in October, 2006 and May 2010.</w:t>
      </w:r>
    </w:p>
    <w:p w:rsidR="007A04F1" w:rsidRDefault="00082350" w:rsidP="005F4B23">
      <w:pPr>
        <w:pStyle w:val="ModelNrmlDouble"/>
        <w:spacing w:after="240" w:line="240" w:lineRule="auto"/>
        <w:ind w:left="720" w:hanging="720"/>
        <w:rPr>
          <w:szCs w:val="22"/>
        </w:rPr>
      </w:pPr>
      <w:r>
        <w:rPr>
          <w:szCs w:val="22"/>
        </w:rPr>
        <w:t>13</w:t>
      </w:r>
      <w:r w:rsidR="004F5510">
        <w:rPr>
          <w:szCs w:val="22"/>
        </w:rPr>
        <w:t>.</w:t>
      </w:r>
      <w:r w:rsidR="004F5510">
        <w:rPr>
          <w:szCs w:val="22"/>
        </w:rPr>
        <w:tab/>
      </w:r>
      <w:r w:rsidR="007A04F1" w:rsidRPr="00CF2390">
        <w:rPr>
          <w:szCs w:val="22"/>
        </w:rPr>
        <w:t xml:space="preserve">“Procurement Plan” means the Recipient’s procurement plan for the Project, dated </w:t>
      </w:r>
      <w:r w:rsidR="00A210AC">
        <w:rPr>
          <w:szCs w:val="22"/>
        </w:rPr>
        <w:t xml:space="preserve">December 31, 2010 </w:t>
      </w:r>
      <w:r w:rsidR="007A04F1" w:rsidRPr="00CF2390">
        <w:rPr>
          <w:szCs w:val="22"/>
        </w:rPr>
        <w:t>and referred to in paragraph 1.16 of the Procurement Guidelines and paragraph 1.24 of the Consultant Guidelines, as the same shall be updated from time to time in accordance with the provisions of said paragraphs.</w:t>
      </w:r>
    </w:p>
    <w:p w:rsidR="00082350" w:rsidRDefault="00082350" w:rsidP="00082350">
      <w:pPr>
        <w:pStyle w:val="ModelNrmlSingle"/>
        <w:ind w:left="720" w:hanging="720"/>
      </w:pPr>
      <w:r>
        <w:rPr>
          <w:szCs w:val="22"/>
        </w:rPr>
        <w:lastRenderedPageBreak/>
        <w:t>14.</w:t>
      </w:r>
      <w:r>
        <w:rPr>
          <w:szCs w:val="22"/>
        </w:rPr>
        <w:tab/>
      </w:r>
      <w:r>
        <w:t xml:space="preserve">“PMU” means the Project Management Unit to be established within the Ministry of Finance to manage the overall implementation of the Project, and referred to in paragraph 3 of Section I. A. of Schedule 2 to this Agreement. </w:t>
      </w:r>
    </w:p>
    <w:p w:rsidR="00786695" w:rsidRDefault="004F5510" w:rsidP="005F4B23">
      <w:pPr>
        <w:pStyle w:val="ModelNrmlSingle"/>
        <w:ind w:left="720" w:hanging="720"/>
      </w:pPr>
      <w:r>
        <w:t>15.</w:t>
      </w:r>
      <w:r>
        <w:tab/>
      </w:r>
      <w:r w:rsidR="00786695">
        <w:t>“Public Financial Management Reform Initiative” means the program of actions approved by the Prime Minister’s Decision No. 136/201/QD-</w:t>
      </w:r>
      <w:proofErr w:type="spellStart"/>
      <w:r w:rsidR="00786695">
        <w:t>TTg</w:t>
      </w:r>
      <w:proofErr w:type="spellEnd"/>
      <w:r w:rsidR="00786695">
        <w:t xml:space="preserve"> of September 2001 for the purposes of reforming and modernizing public financial management as part of Vietnam’s Public Administration Reform Master Program for the period 2001-2010.</w:t>
      </w:r>
    </w:p>
    <w:p w:rsidR="00786695" w:rsidRDefault="004F5510" w:rsidP="005F4B23">
      <w:pPr>
        <w:pStyle w:val="ModelNrmlSingle"/>
        <w:ind w:left="720" w:hanging="720"/>
      </w:pPr>
      <w:r>
        <w:t>16.</w:t>
      </w:r>
      <w:r>
        <w:tab/>
      </w:r>
      <w:r w:rsidR="00786695">
        <w:t xml:space="preserve">“SBV” and “State Bank of Vietnam” mean the central bank of </w:t>
      </w:r>
      <w:proofErr w:type="gramStart"/>
      <w:r w:rsidR="00786695">
        <w:t>Vietnam,</w:t>
      </w:r>
      <w:proofErr w:type="gramEnd"/>
      <w:r w:rsidR="00786695">
        <w:t xml:space="preserve"> and any successor thereto.</w:t>
      </w:r>
    </w:p>
    <w:p w:rsidR="00786695" w:rsidRDefault="004F5510" w:rsidP="005F4B23">
      <w:pPr>
        <w:pStyle w:val="ModelNrmlSingle"/>
        <w:ind w:left="720" w:hanging="720"/>
      </w:pPr>
      <w:r>
        <w:t>17.</w:t>
      </w:r>
      <w:r>
        <w:tab/>
      </w:r>
      <w:r w:rsidR="00786695">
        <w:t>“State Budget Law” means the revised State Budget Law enacted by Vietnam’s National Assembly in December 2002.</w:t>
      </w:r>
    </w:p>
    <w:p w:rsidR="00786695" w:rsidRDefault="004F5510" w:rsidP="005F4B23">
      <w:pPr>
        <w:pStyle w:val="ModelNrmlSingle"/>
        <w:ind w:left="720" w:hanging="720"/>
      </w:pPr>
      <w:r>
        <w:t>18.</w:t>
      </w:r>
      <w:r>
        <w:tab/>
      </w:r>
      <w:r w:rsidR="00786695">
        <w:t xml:space="preserve">“Steering Committee” means the Steering Committee for the Modernization of Public Financial Management, established by the </w:t>
      </w:r>
      <w:r w:rsidR="00F56297">
        <w:t>Recipient</w:t>
      </w:r>
      <w:r w:rsidR="00786695">
        <w:t xml:space="preserve"> at the Ministry of Finance by Decision No. 683/QD-BTC dated June 6, 2001, and responsible for overseeing Vietnam’s Public Finance Management Reform Initiative, referred to in </w:t>
      </w:r>
      <w:r w:rsidR="00FA7851">
        <w:t>paragraph 1 of S</w:t>
      </w:r>
      <w:r w:rsidR="00580B81">
        <w:t xml:space="preserve">ection I. A. </w:t>
      </w:r>
      <w:r w:rsidR="00786695">
        <w:t xml:space="preserve">of Schedule </w:t>
      </w:r>
      <w:r w:rsidR="00580B81">
        <w:t xml:space="preserve">2 </w:t>
      </w:r>
      <w:r w:rsidR="00786695">
        <w:t xml:space="preserve">to this Agreement. </w:t>
      </w:r>
    </w:p>
    <w:p w:rsidR="00786695" w:rsidRDefault="004F5510" w:rsidP="005F4B23">
      <w:pPr>
        <w:pStyle w:val="ModelNrmlSingle"/>
        <w:ind w:left="720" w:hanging="720"/>
      </w:pPr>
      <w:r>
        <w:t>19.</w:t>
      </w:r>
      <w:r>
        <w:tab/>
      </w:r>
      <w:r w:rsidR="00786695">
        <w:t>“TABMIS” means the integrated Treasury and Budget Management Information System to be established under Part A of the Project.</w:t>
      </w:r>
    </w:p>
    <w:p w:rsidR="006C3DF1" w:rsidRDefault="006C3DF1" w:rsidP="009B6D85">
      <w:pPr>
        <w:pStyle w:val="BodyText"/>
        <w:rPr>
          <w:b/>
          <w:bCs/>
          <w:szCs w:val="22"/>
        </w:rPr>
      </w:pPr>
    </w:p>
    <w:p w:rsidR="006E6C85" w:rsidRPr="00A15E0B" w:rsidRDefault="006E6C85" w:rsidP="009B6D85">
      <w:pPr>
        <w:pStyle w:val="BodyText"/>
        <w:rPr>
          <w:b/>
          <w:bCs/>
          <w:szCs w:val="22"/>
        </w:rPr>
      </w:pPr>
      <w:r>
        <w:rPr>
          <w:b/>
          <w:bCs/>
          <w:szCs w:val="22"/>
        </w:rPr>
        <w:t>Section II</w:t>
      </w:r>
      <w:r w:rsidRPr="00A15E0B">
        <w:rPr>
          <w:b/>
          <w:bCs/>
          <w:szCs w:val="22"/>
        </w:rPr>
        <w:t>.</w:t>
      </w:r>
      <w:r w:rsidR="004F5510">
        <w:rPr>
          <w:b/>
          <w:bCs/>
          <w:szCs w:val="22"/>
        </w:rPr>
        <w:tab/>
      </w:r>
      <w:r w:rsidRPr="00E21A72">
        <w:rPr>
          <w:b/>
          <w:bCs/>
          <w:szCs w:val="22"/>
          <w:u w:val="single"/>
        </w:rPr>
        <w:t xml:space="preserve"> Modifications to the Anti-Corruption Guidelines</w:t>
      </w:r>
    </w:p>
    <w:p w:rsidR="009B6D85" w:rsidRDefault="009B6D85" w:rsidP="006E6C85">
      <w:pPr>
        <w:pStyle w:val="BodyText"/>
        <w:rPr>
          <w:bCs/>
          <w:iCs/>
          <w:szCs w:val="22"/>
        </w:rPr>
      </w:pPr>
    </w:p>
    <w:p w:rsidR="009B6D85" w:rsidRDefault="006E6C85" w:rsidP="006E6C85">
      <w:pPr>
        <w:pStyle w:val="BodyText"/>
        <w:rPr>
          <w:bCs/>
          <w:iCs/>
          <w:szCs w:val="22"/>
        </w:rPr>
      </w:pPr>
      <w:r w:rsidRPr="006143FE">
        <w:rPr>
          <w:bCs/>
          <w:iCs/>
          <w:szCs w:val="22"/>
        </w:rPr>
        <w:t>The modifications to the Anti-Corruption Guidelines are as follows:</w:t>
      </w:r>
    </w:p>
    <w:p w:rsidR="006E6C85" w:rsidRPr="006143FE" w:rsidRDefault="006E6C85" w:rsidP="006E6C85">
      <w:pPr>
        <w:pStyle w:val="BodyText"/>
        <w:rPr>
          <w:bCs/>
          <w:iCs/>
          <w:szCs w:val="22"/>
        </w:rPr>
      </w:pPr>
      <w:r w:rsidRPr="006143FE">
        <w:rPr>
          <w:bCs/>
          <w:iCs/>
          <w:szCs w:val="22"/>
        </w:rPr>
        <w:t xml:space="preserve">  </w:t>
      </w:r>
    </w:p>
    <w:p w:rsidR="006E6C85" w:rsidRPr="007A4C6B" w:rsidRDefault="006E6C85" w:rsidP="006E6C85">
      <w:pPr>
        <w:pStyle w:val="Default"/>
        <w:ind w:left="720" w:hanging="720"/>
        <w:rPr>
          <w:sz w:val="22"/>
          <w:szCs w:val="22"/>
        </w:rPr>
      </w:pPr>
      <w:r w:rsidRPr="006143FE">
        <w:rPr>
          <w:sz w:val="22"/>
          <w:szCs w:val="22"/>
        </w:rPr>
        <w:t xml:space="preserve">1. </w:t>
      </w:r>
      <w:r w:rsidRPr="006143FE">
        <w:rPr>
          <w:sz w:val="22"/>
          <w:szCs w:val="22"/>
        </w:rPr>
        <w:tab/>
        <w:t>Section 5 i</w:t>
      </w:r>
      <w:r w:rsidRPr="007A4C6B">
        <w:rPr>
          <w:sz w:val="22"/>
          <w:szCs w:val="22"/>
        </w:rPr>
        <w:t>s re-numbered as Section 5(a) and a new Section 5(b) is added to read as follows:</w:t>
      </w:r>
    </w:p>
    <w:p w:rsidR="006E6C85" w:rsidRPr="007A4C6B" w:rsidRDefault="006E6C85" w:rsidP="006E6C85">
      <w:pPr>
        <w:pStyle w:val="Default"/>
        <w:rPr>
          <w:sz w:val="22"/>
          <w:szCs w:val="22"/>
        </w:rPr>
      </w:pPr>
    </w:p>
    <w:p w:rsidR="006E6C85" w:rsidRPr="007A4C6B" w:rsidRDefault="006E6C85" w:rsidP="006E6C85">
      <w:pPr>
        <w:pStyle w:val="Default"/>
        <w:ind w:left="720"/>
        <w:jc w:val="both"/>
        <w:rPr>
          <w:sz w:val="22"/>
          <w:szCs w:val="22"/>
        </w:rPr>
      </w:pPr>
      <w:r w:rsidRPr="007A4C6B">
        <w:rPr>
          <w:sz w:val="22"/>
          <w:szCs w:val="22"/>
        </w:rPr>
        <w:t xml:space="preserve">“… (b) </w:t>
      </w:r>
      <w:r w:rsidRPr="007A4C6B">
        <w:rPr>
          <w:sz w:val="22"/>
          <w:szCs w:val="22"/>
        </w:rPr>
        <w:tab/>
        <w:t>These Guidelines also provide for the sanctions and related actions to be imposed by the Bank on Borrowers (other than the Member Country) and all other individuals or entities who are recipients of Loan proceeds, in the event that the Borrower or the individual or entity has been debarred by another financier as a result of a determination by such financier that the Borrower or the individual or entity has engaged in fraudulent, corrupt, coercive or collusive practices in connection with the use of the proceeds of a financing made by such financier.”</w:t>
      </w:r>
    </w:p>
    <w:p w:rsidR="006E6C85" w:rsidRPr="007A4C6B" w:rsidRDefault="006E6C85" w:rsidP="006E6C85">
      <w:pPr>
        <w:pStyle w:val="Default"/>
        <w:rPr>
          <w:sz w:val="22"/>
          <w:szCs w:val="22"/>
        </w:rPr>
      </w:pPr>
    </w:p>
    <w:p w:rsidR="006E6C85" w:rsidRPr="007A4C6B" w:rsidRDefault="006E6C85" w:rsidP="006E6C85">
      <w:pPr>
        <w:pStyle w:val="Default"/>
        <w:numPr>
          <w:ilvl w:val="0"/>
          <w:numId w:val="12"/>
        </w:numPr>
        <w:rPr>
          <w:sz w:val="22"/>
          <w:szCs w:val="22"/>
        </w:rPr>
      </w:pPr>
      <w:r w:rsidRPr="007A4C6B">
        <w:rPr>
          <w:sz w:val="22"/>
          <w:szCs w:val="22"/>
        </w:rPr>
        <w:t>Section 11(a) is modified to read as follows:</w:t>
      </w:r>
    </w:p>
    <w:p w:rsidR="006E6C85" w:rsidRPr="007A4C6B" w:rsidRDefault="006E6C85" w:rsidP="006E6C85">
      <w:pPr>
        <w:pStyle w:val="Default"/>
        <w:rPr>
          <w:sz w:val="22"/>
          <w:szCs w:val="22"/>
        </w:rPr>
      </w:pPr>
    </w:p>
    <w:p w:rsidR="006E6C85" w:rsidRPr="00D06918" w:rsidRDefault="006E6C85" w:rsidP="006E6C85">
      <w:pPr>
        <w:autoSpaceDE w:val="0"/>
        <w:autoSpaceDN w:val="0"/>
        <w:adjustRightInd w:val="0"/>
        <w:ind w:left="720"/>
        <w:jc w:val="both"/>
        <w:rPr>
          <w:sz w:val="22"/>
          <w:szCs w:val="22"/>
        </w:rPr>
      </w:pPr>
      <w:r w:rsidRPr="007A4C6B">
        <w:rPr>
          <w:rFonts w:eastAsia="Calibri"/>
          <w:sz w:val="22"/>
          <w:szCs w:val="22"/>
        </w:rPr>
        <w:t xml:space="preserve">“… (a) </w:t>
      </w:r>
      <w:r w:rsidRPr="007A4C6B">
        <w:rPr>
          <w:rFonts w:eastAsia="Calibri"/>
          <w:sz w:val="22"/>
          <w:szCs w:val="22"/>
        </w:rPr>
        <w:tab/>
        <w:t xml:space="preserve">sanction </w:t>
      </w:r>
      <w:r w:rsidRPr="007A4C6B">
        <w:rPr>
          <w:color w:val="000000"/>
          <w:sz w:val="22"/>
          <w:szCs w:val="22"/>
        </w:rPr>
        <w:t>in accordance with prevailing Bank’s sanctions policies and procedures</w:t>
      </w:r>
      <w:r w:rsidRPr="007A4C6B">
        <w:rPr>
          <w:rFonts w:eastAsia="Calibri"/>
          <w:sz w:val="22"/>
          <w:szCs w:val="22"/>
        </w:rPr>
        <w:t xml:space="preserve"> </w:t>
      </w:r>
      <w:r w:rsidRPr="009B6D85">
        <w:rPr>
          <w:rFonts w:eastAsia="Calibri"/>
          <w:sz w:val="22"/>
          <w:szCs w:val="22"/>
        </w:rPr>
        <w:t>(fn13)</w:t>
      </w:r>
      <w:r w:rsidRPr="007A4C6B">
        <w:rPr>
          <w:rFonts w:eastAsia="Calibri"/>
          <w:sz w:val="22"/>
          <w:szCs w:val="22"/>
        </w:rPr>
        <w:t xml:space="preserve"> a Borrower (other than a Member Country) </w:t>
      </w:r>
      <w:r w:rsidR="005F4B23">
        <w:rPr>
          <w:rFonts w:eastAsia="Calibri"/>
          <w:sz w:val="22"/>
          <w:szCs w:val="22"/>
        </w:rPr>
        <w:t>(fn</w:t>
      </w:r>
      <w:r w:rsidRPr="009B6D85">
        <w:rPr>
          <w:rFonts w:eastAsia="Calibri"/>
          <w:sz w:val="22"/>
          <w:szCs w:val="22"/>
        </w:rPr>
        <w:t>14)</w:t>
      </w:r>
      <w:r w:rsidRPr="007A4C6B">
        <w:rPr>
          <w:rFonts w:eastAsia="Calibri"/>
        </w:rPr>
        <w:t xml:space="preserve"> </w:t>
      </w:r>
      <w:r w:rsidRPr="007A4C6B">
        <w:rPr>
          <w:sz w:val="22"/>
          <w:szCs w:val="22"/>
        </w:rPr>
        <w:t xml:space="preserve">or an </w:t>
      </w:r>
      <w:r w:rsidRPr="007A4C6B">
        <w:rPr>
          <w:sz w:val="22"/>
          <w:szCs w:val="22"/>
        </w:rPr>
        <w:lastRenderedPageBreak/>
        <w:t>individual or entity</w:t>
      </w:r>
      <w:r w:rsidRPr="007A4C6B">
        <w:rPr>
          <w:rFonts w:eastAsia="Calibri"/>
          <w:sz w:val="22"/>
          <w:szCs w:val="22"/>
        </w:rPr>
        <w:t>, including (but not limited to) declaring such Borrower, individual or entity ineligible publicly</w:t>
      </w:r>
      <w:r w:rsidRPr="007A4C6B">
        <w:rPr>
          <w:sz w:val="22"/>
          <w:szCs w:val="22"/>
        </w:rPr>
        <w:t>, either indefinitely or for a stated period of time: (</w:t>
      </w:r>
      <w:proofErr w:type="spellStart"/>
      <w:r w:rsidRPr="007A4C6B">
        <w:rPr>
          <w:sz w:val="22"/>
          <w:szCs w:val="22"/>
        </w:rPr>
        <w:t>i</w:t>
      </w:r>
      <w:proofErr w:type="spellEnd"/>
      <w:r w:rsidRPr="007A4C6B">
        <w:rPr>
          <w:sz w:val="22"/>
          <w:szCs w:val="22"/>
        </w:rPr>
        <w:t xml:space="preserve">) </w:t>
      </w:r>
      <w:r w:rsidRPr="007A4C6B">
        <w:rPr>
          <w:rFonts w:eastAsia="Calibri"/>
          <w:sz w:val="22"/>
          <w:szCs w:val="22"/>
        </w:rPr>
        <w:t>to be awarded a Bank-financed contract; (ii)</w:t>
      </w:r>
      <w:r w:rsidRPr="007A4C6B">
        <w:rPr>
          <w:sz w:val="22"/>
          <w:szCs w:val="22"/>
        </w:rPr>
        <w:t xml:space="preserve"> to benefit from a Bank-financed contract, financially or otherwise, for example as a sub-contractor; and (iii) </w:t>
      </w:r>
      <w:r w:rsidRPr="007A4C6B">
        <w:rPr>
          <w:rFonts w:eastAsia="Calibri"/>
          <w:sz w:val="22"/>
          <w:szCs w:val="22"/>
        </w:rPr>
        <w:t xml:space="preserve">to otherwise participate in the preparation or implementation of the project or any other project financed, in whole or in part, by the Bank, if at any time the Bank determines </w:t>
      </w:r>
      <w:r w:rsidR="005F4B23">
        <w:rPr>
          <w:rFonts w:eastAsia="Calibri"/>
          <w:sz w:val="22"/>
          <w:szCs w:val="22"/>
        </w:rPr>
        <w:t>(fn</w:t>
      </w:r>
      <w:r w:rsidRPr="009B6D85">
        <w:rPr>
          <w:rFonts w:eastAsia="Calibri"/>
          <w:sz w:val="22"/>
          <w:szCs w:val="22"/>
        </w:rPr>
        <w:t>15)</w:t>
      </w:r>
      <w:r w:rsidRPr="007A4C6B">
        <w:rPr>
          <w:rFonts w:eastAsia="Calibri"/>
        </w:rPr>
        <w:t xml:space="preserve"> </w:t>
      </w:r>
      <w:r w:rsidRPr="007A4C6B">
        <w:rPr>
          <w:rFonts w:eastAsia="Calibri"/>
          <w:sz w:val="22"/>
          <w:szCs w:val="22"/>
        </w:rPr>
        <w:t xml:space="preserve">that such Borrower, individual or entity has engaged in corrupt, fraudulent, collusive, coercive or obstructive practices in connection with the use of loan proceeds, or if </w:t>
      </w:r>
      <w:r w:rsidRPr="00D06918">
        <w:rPr>
          <w:sz w:val="22"/>
          <w:szCs w:val="22"/>
        </w:rPr>
        <w:t xml:space="preserve">another financier with which the Bank has entered into an agreement for the mutual enforcement of debarment decisions </w:t>
      </w:r>
      <w:r w:rsidRPr="00D06918">
        <w:rPr>
          <w:rFonts w:eastAsia="Calibri"/>
          <w:sz w:val="22"/>
          <w:szCs w:val="22"/>
        </w:rPr>
        <w:t xml:space="preserve">has declared such person or entity ineligible </w:t>
      </w:r>
      <w:r w:rsidRPr="00D06918">
        <w:rPr>
          <w:sz w:val="22"/>
          <w:szCs w:val="22"/>
        </w:rPr>
        <w:t>to receive proceeds of financings made by such financier or otherwise to participate in the preparation or implementation of any project financed in whole or in part by such financier as a result of a determination by such financier that the Borrower or the individual or entity has engaged in fraudulent, corrupt, coercive or collusive practices in connection with the use of the proceeds of a financing made by such financier.</w:t>
      </w:r>
      <w:r>
        <w:rPr>
          <w:sz w:val="22"/>
          <w:szCs w:val="22"/>
        </w:rPr>
        <w:t>”</w:t>
      </w:r>
    </w:p>
    <w:p w:rsidR="006E6C85" w:rsidRPr="00C42D55" w:rsidRDefault="006E6C85" w:rsidP="006E6C85">
      <w:pPr>
        <w:autoSpaceDE w:val="0"/>
        <w:autoSpaceDN w:val="0"/>
        <w:adjustRightInd w:val="0"/>
        <w:ind w:left="720" w:hanging="720"/>
        <w:jc w:val="both"/>
        <w:rPr>
          <w:sz w:val="22"/>
          <w:szCs w:val="22"/>
        </w:rPr>
      </w:pPr>
    </w:p>
    <w:p w:rsidR="006E6C85" w:rsidRPr="006269FF" w:rsidRDefault="006E6C85" w:rsidP="006E6C85">
      <w:pPr>
        <w:autoSpaceDE w:val="0"/>
        <w:autoSpaceDN w:val="0"/>
        <w:adjustRightInd w:val="0"/>
        <w:jc w:val="both"/>
        <w:rPr>
          <w:rFonts w:eastAsia="Calibri"/>
          <w:sz w:val="22"/>
          <w:szCs w:val="22"/>
          <w:u w:val="single"/>
        </w:rPr>
      </w:pPr>
      <w:r w:rsidRPr="006269FF">
        <w:rPr>
          <w:rFonts w:eastAsia="Calibri"/>
          <w:sz w:val="22"/>
          <w:szCs w:val="22"/>
          <w:u w:val="single"/>
        </w:rPr>
        <w:t>Footnotes:</w:t>
      </w:r>
    </w:p>
    <w:p w:rsidR="006E6C85" w:rsidRDefault="006E6C85" w:rsidP="006E6C85">
      <w:pPr>
        <w:autoSpaceDE w:val="0"/>
        <w:autoSpaceDN w:val="0"/>
        <w:adjustRightInd w:val="0"/>
        <w:jc w:val="both"/>
        <w:rPr>
          <w:rFonts w:eastAsia="Calibri"/>
          <w:sz w:val="22"/>
          <w:szCs w:val="22"/>
        </w:rPr>
      </w:pPr>
    </w:p>
    <w:p w:rsidR="006E6C85" w:rsidRPr="006C3DF1" w:rsidRDefault="006E6C85" w:rsidP="006E6C85">
      <w:pPr>
        <w:autoSpaceDE w:val="0"/>
        <w:autoSpaceDN w:val="0"/>
        <w:adjustRightInd w:val="0"/>
        <w:ind w:left="720"/>
        <w:jc w:val="both"/>
        <w:rPr>
          <w:sz w:val="20"/>
          <w:szCs w:val="20"/>
        </w:rPr>
      </w:pPr>
      <w:r w:rsidRPr="006C3DF1">
        <w:rPr>
          <w:sz w:val="20"/>
          <w:szCs w:val="20"/>
        </w:rPr>
        <w:t>“13. An individual or entity may be declared ineligible to be awarded a Bank financed contract upon completion of sanctions proceedings pursuant to the  Bank’s sanctions policies and procedures, or under the procedures of temporary suspension or early temporary suspension in connection with an ongoing sanctions proceeding, or following a sanction by another financier with whom the Bank has entered into a cross debarment agreement, as a result of a determination by such financier that the firm or individual has engaged in fraudulent, corrupt, coercive or collusive practices in connection with the use of the proceeds of a financing made by such financier.”</w:t>
      </w:r>
    </w:p>
    <w:p w:rsidR="006E6C85" w:rsidRPr="006C3DF1" w:rsidRDefault="006E6C85" w:rsidP="006E6C85">
      <w:pPr>
        <w:autoSpaceDE w:val="0"/>
        <w:autoSpaceDN w:val="0"/>
        <w:adjustRightInd w:val="0"/>
        <w:jc w:val="both"/>
        <w:rPr>
          <w:sz w:val="20"/>
          <w:szCs w:val="20"/>
        </w:rPr>
      </w:pPr>
    </w:p>
    <w:p w:rsidR="006E6C85" w:rsidRPr="006C3DF1" w:rsidRDefault="006E6C85" w:rsidP="006E6C85">
      <w:pPr>
        <w:autoSpaceDE w:val="0"/>
        <w:autoSpaceDN w:val="0"/>
        <w:adjustRightInd w:val="0"/>
        <w:ind w:left="720"/>
        <w:jc w:val="both"/>
        <w:rPr>
          <w:sz w:val="20"/>
          <w:szCs w:val="20"/>
        </w:rPr>
      </w:pPr>
      <w:r w:rsidRPr="006C3DF1">
        <w:rPr>
          <w:sz w:val="20"/>
          <w:szCs w:val="20"/>
        </w:rPr>
        <w:t>“14. Member Country includes officials and employees of the national government or of any of its political or administrative subdivisions, and government owned enterprises and agencies that are not eligible to bid under paragraph 1.8(b) of the Procurement Guidelines or participate under paragraph 1.11(c) of the Consultant Guidelines.”</w:t>
      </w:r>
    </w:p>
    <w:p w:rsidR="006E6C85" w:rsidRPr="006C3DF1" w:rsidRDefault="006E6C85" w:rsidP="006E6C85">
      <w:pPr>
        <w:autoSpaceDE w:val="0"/>
        <w:autoSpaceDN w:val="0"/>
        <w:adjustRightInd w:val="0"/>
        <w:jc w:val="both"/>
        <w:rPr>
          <w:sz w:val="20"/>
          <w:szCs w:val="20"/>
        </w:rPr>
      </w:pPr>
    </w:p>
    <w:p w:rsidR="00D43B05" w:rsidRPr="006C3DF1" w:rsidRDefault="006E6C85" w:rsidP="004F5510">
      <w:pPr>
        <w:autoSpaceDE w:val="0"/>
        <w:autoSpaceDN w:val="0"/>
        <w:adjustRightInd w:val="0"/>
        <w:ind w:left="720"/>
        <w:jc w:val="both"/>
        <w:rPr>
          <w:sz w:val="20"/>
          <w:szCs w:val="20"/>
        </w:rPr>
      </w:pPr>
      <w:r w:rsidRPr="006C3DF1">
        <w:rPr>
          <w:sz w:val="20"/>
          <w:szCs w:val="20"/>
        </w:rPr>
        <w:t xml:space="preserve">“15. </w:t>
      </w:r>
      <w:r w:rsidRPr="006C3DF1">
        <w:rPr>
          <w:rFonts w:eastAsia="Calibri"/>
          <w:sz w:val="20"/>
          <w:szCs w:val="20"/>
        </w:rPr>
        <w:t xml:space="preserve">The Bank has established a Sanctions Board, and related procedures, for the purpose of making such determinations. The procedures of the Sanctions Board sets forth the full set of sanctions available to the Bank. In addition, the Bank has adopted an internal protocol </w:t>
      </w:r>
      <w:r w:rsidRPr="006C3DF1">
        <w:rPr>
          <w:color w:val="000000"/>
          <w:sz w:val="20"/>
          <w:szCs w:val="20"/>
        </w:rPr>
        <w:t>outlining the process to be followed in implementing debarments by other financiers, and explaining how cross-debarments will be posted on the Bank’s website and otherwise be made known to staff and other stakeholders.”</w:t>
      </w:r>
    </w:p>
    <w:sectPr w:rsidR="00D43B05" w:rsidRPr="006C3DF1" w:rsidSect="00E32020">
      <w:headerReference w:type="default" r:id="rId14"/>
      <w:pgSz w:w="12240" w:h="15840" w:code="1"/>
      <w:pgMar w:top="2160" w:right="2160" w:bottom="2160" w:left="2160" w:header="1440" w:footer="720" w:gutter="0"/>
      <w:pgNumType w:fmt="numberInDash"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BE4" w:rsidRDefault="00F62BE4" w:rsidP="00D43B05">
      <w:r>
        <w:separator/>
      </w:r>
    </w:p>
  </w:endnote>
  <w:endnote w:type="continuationSeparator" w:id="0">
    <w:p w:rsidR="00F62BE4" w:rsidRDefault="00F62BE4" w:rsidP="00D43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E4" w:rsidRDefault="00F62B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E4" w:rsidRDefault="00F62B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E4" w:rsidRDefault="00F62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BE4" w:rsidRDefault="00F62BE4" w:rsidP="00D43B05">
      <w:r>
        <w:separator/>
      </w:r>
    </w:p>
  </w:footnote>
  <w:footnote w:type="continuationSeparator" w:id="0">
    <w:p w:rsidR="00F62BE4" w:rsidRDefault="00F62BE4" w:rsidP="00D43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E4" w:rsidRDefault="00F62B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E4" w:rsidRDefault="006325AD">
    <w:pPr>
      <w:tabs>
        <w:tab w:val="left" w:pos="-1440"/>
        <w:tab w:val="left" w:pos="-720"/>
        <w:tab w:val="left" w:pos="0"/>
        <w:tab w:val="left" w:pos="720"/>
        <w:tab w:val="left" w:pos="1440"/>
        <w:tab w:val="left" w:pos="2280"/>
        <w:tab w:val="left" w:pos="3000"/>
        <w:tab w:val="left" w:pos="3720"/>
        <w:tab w:val="left" w:pos="4440"/>
        <w:tab w:val="left" w:pos="5160"/>
        <w:tab w:val="left" w:pos="5880"/>
      </w:tabs>
      <w:suppressAutoHyphens/>
    </w:pPr>
    <w:r>
      <w:rPr>
        <w:noProof/>
      </w:rPr>
      <w:pict>
        <v:rect id="_x0000_s1025" style="position:absolute;margin-left:108pt;margin-top:0;width:396pt;height:11pt;z-index:251657728;mso-position-horizontal-relative:page" o:allowincell="f" filled="f" stroked="f" strokeweight="0">
          <v:textbox inset="0,0,0,0">
            <w:txbxContent>
              <w:p w:rsidR="00F62BE4" w:rsidRDefault="00F62BE4">
                <w:pPr>
                  <w:tabs>
                    <w:tab w:val="center" w:pos="3960"/>
                    <w:tab w:val="right" w:pos="7920"/>
                  </w:tabs>
                </w:pPr>
                <w:r>
                  <w:tab/>
                </w:r>
                <w:fldSimple w:instr="page \* arabic">
                  <w:r>
                    <w:rPr>
                      <w:noProof/>
                    </w:rPr>
                    <w:t>2</w:t>
                  </w:r>
                </w:fldSimple>
              </w:p>
            </w:txbxContent>
          </v:textbox>
          <w10:wrap anchorx="page"/>
        </v:rect>
      </w:pict>
    </w:r>
  </w:p>
  <w:p w:rsidR="00F62BE4" w:rsidRDefault="00F62BE4">
    <w:pPr>
      <w:tabs>
        <w:tab w:val="left" w:pos="-1440"/>
        <w:tab w:val="left" w:pos="-720"/>
        <w:tab w:val="left" w:pos="0"/>
        <w:tab w:val="left" w:pos="720"/>
        <w:tab w:val="left" w:pos="1440"/>
        <w:tab w:val="left" w:pos="2280"/>
        <w:tab w:val="left" w:pos="3000"/>
        <w:tab w:val="left" w:pos="3720"/>
        <w:tab w:val="left" w:pos="4440"/>
        <w:tab w:val="left" w:pos="5160"/>
        <w:tab w:val="left" w:pos="5880"/>
      </w:tabs>
      <w:suppressAutoHyphens/>
      <w:spacing w:after="140" w:line="100" w:lineRule="exact"/>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E4" w:rsidRDefault="00F62BE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72404"/>
      <w:docPartObj>
        <w:docPartGallery w:val="Page Numbers (Top of Page)"/>
        <w:docPartUnique/>
      </w:docPartObj>
    </w:sdtPr>
    <w:sdtContent>
      <w:p w:rsidR="00F62BE4" w:rsidRDefault="006325AD">
        <w:pPr>
          <w:pStyle w:val="Header"/>
          <w:jc w:val="center"/>
        </w:pPr>
        <w:fldSimple w:instr=" PAGE   \* MERGEFORMAT ">
          <w:r w:rsidR="004C6B65">
            <w:rPr>
              <w:noProof/>
            </w:rPr>
            <w:t>- 2 -</w:t>
          </w:r>
        </w:fldSimple>
      </w:p>
    </w:sdtContent>
  </w:sdt>
  <w:p w:rsidR="00F62BE4" w:rsidRPr="004F5510" w:rsidRDefault="00F62BE4" w:rsidP="004F55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C02"/>
    <w:multiLevelType w:val="hybridMultilevel"/>
    <w:tmpl w:val="847E5F54"/>
    <w:lvl w:ilvl="0" w:tplc="5EFC71C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5306F8"/>
    <w:multiLevelType w:val="hybridMultilevel"/>
    <w:tmpl w:val="706A173A"/>
    <w:lvl w:ilvl="0" w:tplc="B5AE4D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E81138"/>
    <w:multiLevelType w:val="multilevel"/>
    <w:tmpl w:val="AC1AD24C"/>
    <w:lvl w:ilvl="0">
      <w:start w:val="2"/>
      <w:numFmt w:val="decimal"/>
      <w:lvlText w:val="%1."/>
      <w:lvlJc w:val="left"/>
      <w:pPr>
        <w:ind w:left="480" w:hanging="480"/>
      </w:pPr>
      <w:rPr>
        <w:rFonts w:hint="default"/>
      </w:rPr>
    </w:lvl>
    <w:lvl w:ilvl="1">
      <w:start w:val="2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BFA545B"/>
    <w:multiLevelType w:val="multilevel"/>
    <w:tmpl w:val="B7AE4206"/>
    <w:lvl w:ilvl="0">
      <w:start w:val="2"/>
      <w:numFmt w:val="decimal"/>
      <w:lvlText w:val="%1."/>
      <w:lvlJc w:val="left"/>
      <w:pPr>
        <w:ind w:left="480" w:hanging="480"/>
      </w:pPr>
      <w:rPr>
        <w:rFonts w:hint="default"/>
      </w:rPr>
    </w:lvl>
    <w:lvl w:ilvl="1">
      <w:start w:val="3"/>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CE76D9"/>
    <w:multiLevelType w:val="multilevel"/>
    <w:tmpl w:val="6FCA2404"/>
    <w:lvl w:ilvl="0">
      <w:start w:val="2"/>
      <w:numFmt w:val="decimal"/>
      <w:lvlText w:val="%1."/>
      <w:lvlJc w:val="left"/>
      <w:pPr>
        <w:ind w:left="480" w:hanging="480"/>
      </w:pPr>
      <w:rPr>
        <w:rFonts w:hint="default"/>
      </w:rPr>
    </w:lvl>
    <w:lvl w:ilvl="1">
      <w:start w:val="3"/>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9F6842"/>
    <w:multiLevelType w:val="hybridMultilevel"/>
    <w:tmpl w:val="7DEC32A8"/>
    <w:lvl w:ilvl="0" w:tplc="660E9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0D61C5"/>
    <w:multiLevelType w:val="hybridMultilevel"/>
    <w:tmpl w:val="965EFAA8"/>
    <w:lvl w:ilvl="0" w:tplc="B5AE4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8">
    <w:nsid w:val="48C315D1"/>
    <w:multiLevelType w:val="hybridMultilevel"/>
    <w:tmpl w:val="541041D6"/>
    <w:lvl w:ilvl="0" w:tplc="5EFC7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D04475"/>
    <w:multiLevelType w:val="singleLevel"/>
    <w:tmpl w:val="C78CBD10"/>
    <w:lvl w:ilvl="0">
      <w:start w:val="2"/>
      <w:numFmt w:val="decimal"/>
      <w:lvlText w:val="%1."/>
      <w:lvlJc w:val="left"/>
      <w:pPr>
        <w:tabs>
          <w:tab w:val="num" w:pos="720"/>
        </w:tabs>
        <w:ind w:left="720" w:hanging="720"/>
      </w:pPr>
      <w:rPr>
        <w:rFonts w:hint="default"/>
      </w:rPr>
    </w:lvl>
  </w:abstractNum>
  <w:abstractNum w:abstractNumId="11">
    <w:nsid w:val="561360A6"/>
    <w:multiLevelType w:val="hybridMultilevel"/>
    <w:tmpl w:val="A93E4FA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D618A"/>
    <w:multiLevelType w:val="multilevel"/>
    <w:tmpl w:val="8B6AE23E"/>
    <w:lvl w:ilvl="0">
      <w:start w:val="2"/>
      <w:numFmt w:val="decimal"/>
      <w:lvlText w:val="%1."/>
      <w:lvlJc w:val="left"/>
      <w:pPr>
        <w:ind w:left="435" w:hanging="435"/>
      </w:pPr>
      <w:rPr>
        <w:rFonts w:hint="default"/>
      </w:rPr>
    </w:lvl>
    <w:lvl w:ilvl="1">
      <w:start w:val="3"/>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D64668C"/>
    <w:multiLevelType w:val="hybridMultilevel"/>
    <w:tmpl w:val="C3CAA4C4"/>
    <w:lvl w:ilvl="0" w:tplc="5EFC7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3"/>
  </w:num>
  <w:num w:numId="5">
    <w:abstractNumId w:val="1"/>
  </w:num>
  <w:num w:numId="6">
    <w:abstractNumId w:val="7"/>
  </w:num>
  <w:num w:numId="7">
    <w:abstractNumId w:val="2"/>
  </w:num>
  <w:num w:numId="8">
    <w:abstractNumId w:val="3"/>
  </w:num>
  <w:num w:numId="9">
    <w:abstractNumId w:val="4"/>
  </w:num>
  <w:num w:numId="10">
    <w:abstractNumId w:val="6"/>
  </w:num>
  <w:num w:numId="11">
    <w:abstractNumId w:val="9"/>
  </w:num>
  <w:num w:numId="12">
    <w:abstractNumId w:val="1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A473B"/>
    <w:rsid w:val="0000183C"/>
    <w:rsid w:val="00005FBE"/>
    <w:rsid w:val="00007F98"/>
    <w:rsid w:val="000147C2"/>
    <w:rsid w:val="000475E7"/>
    <w:rsid w:val="000517D3"/>
    <w:rsid w:val="000543FB"/>
    <w:rsid w:val="00075E1B"/>
    <w:rsid w:val="00082350"/>
    <w:rsid w:val="00086960"/>
    <w:rsid w:val="00087A08"/>
    <w:rsid w:val="00087F78"/>
    <w:rsid w:val="000A622B"/>
    <w:rsid w:val="000A7BE3"/>
    <w:rsid w:val="000B5FF7"/>
    <w:rsid w:val="000E02AA"/>
    <w:rsid w:val="000E36D8"/>
    <w:rsid w:val="0010358F"/>
    <w:rsid w:val="0011290A"/>
    <w:rsid w:val="00141756"/>
    <w:rsid w:val="00143536"/>
    <w:rsid w:val="0016270B"/>
    <w:rsid w:val="00172A11"/>
    <w:rsid w:val="0017490C"/>
    <w:rsid w:val="0018598D"/>
    <w:rsid w:val="00194198"/>
    <w:rsid w:val="001A4C53"/>
    <w:rsid w:val="001B46EF"/>
    <w:rsid w:val="001C006E"/>
    <w:rsid w:val="001D1B84"/>
    <w:rsid w:val="001D2ECE"/>
    <w:rsid w:val="001D5763"/>
    <w:rsid w:val="001E6E21"/>
    <w:rsid w:val="00206B8C"/>
    <w:rsid w:val="002149BF"/>
    <w:rsid w:val="002205D9"/>
    <w:rsid w:val="00226247"/>
    <w:rsid w:val="00241FB5"/>
    <w:rsid w:val="00257C37"/>
    <w:rsid w:val="002C039C"/>
    <w:rsid w:val="002C2F58"/>
    <w:rsid w:val="002C452C"/>
    <w:rsid w:val="002C5B5C"/>
    <w:rsid w:val="002E26A1"/>
    <w:rsid w:val="002F6319"/>
    <w:rsid w:val="0030383D"/>
    <w:rsid w:val="00312FF3"/>
    <w:rsid w:val="003247BA"/>
    <w:rsid w:val="00331B10"/>
    <w:rsid w:val="003322BE"/>
    <w:rsid w:val="00335B6E"/>
    <w:rsid w:val="003370C5"/>
    <w:rsid w:val="003423AB"/>
    <w:rsid w:val="00342D76"/>
    <w:rsid w:val="0035753F"/>
    <w:rsid w:val="0036237B"/>
    <w:rsid w:val="003634B5"/>
    <w:rsid w:val="003673A2"/>
    <w:rsid w:val="00375A71"/>
    <w:rsid w:val="00376358"/>
    <w:rsid w:val="00380F50"/>
    <w:rsid w:val="00395196"/>
    <w:rsid w:val="003A1AAF"/>
    <w:rsid w:val="003A79B3"/>
    <w:rsid w:val="003B2C7B"/>
    <w:rsid w:val="003B4D04"/>
    <w:rsid w:val="003C32BC"/>
    <w:rsid w:val="003C44D1"/>
    <w:rsid w:val="003C586F"/>
    <w:rsid w:val="003D45AC"/>
    <w:rsid w:val="003F515D"/>
    <w:rsid w:val="0043712A"/>
    <w:rsid w:val="00440FDE"/>
    <w:rsid w:val="00443053"/>
    <w:rsid w:val="00446396"/>
    <w:rsid w:val="00452B0F"/>
    <w:rsid w:val="00456499"/>
    <w:rsid w:val="0045793C"/>
    <w:rsid w:val="004606DA"/>
    <w:rsid w:val="004618BD"/>
    <w:rsid w:val="00494DDE"/>
    <w:rsid w:val="004B140D"/>
    <w:rsid w:val="004B2496"/>
    <w:rsid w:val="004B566E"/>
    <w:rsid w:val="004B78AD"/>
    <w:rsid w:val="004C612F"/>
    <w:rsid w:val="004C6B65"/>
    <w:rsid w:val="004D6619"/>
    <w:rsid w:val="004F43DE"/>
    <w:rsid w:val="004F5510"/>
    <w:rsid w:val="0051430D"/>
    <w:rsid w:val="00537150"/>
    <w:rsid w:val="00540886"/>
    <w:rsid w:val="00554990"/>
    <w:rsid w:val="00557C3A"/>
    <w:rsid w:val="00580B81"/>
    <w:rsid w:val="005905AF"/>
    <w:rsid w:val="005B7921"/>
    <w:rsid w:val="005C614E"/>
    <w:rsid w:val="005D7BA1"/>
    <w:rsid w:val="005F4B23"/>
    <w:rsid w:val="0062160E"/>
    <w:rsid w:val="0062276F"/>
    <w:rsid w:val="006325AD"/>
    <w:rsid w:val="006440D6"/>
    <w:rsid w:val="00666AA7"/>
    <w:rsid w:val="00667093"/>
    <w:rsid w:val="00667C57"/>
    <w:rsid w:val="00676E83"/>
    <w:rsid w:val="006A1766"/>
    <w:rsid w:val="006A6934"/>
    <w:rsid w:val="006B22EA"/>
    <w:rsid w:val="006C3DF1"/>
    <w:rsid w:val="006E6C85"/>
    <w:rsid w:val="006F0ED6"/>
    <w:rsid w:val="006F3ED7"/>
    <w:rsid w:val="006F4E3D"/>
    <w:rsid w:val="00700503"/>
    <w:rsid w:val="0070630B"/>
    <w:rsid w:val="00745E55"/>
    <w:rsid w:val="00751B4E"/>
    <w:rsid w:val="00754668"/>
    <w:rsid w:val="007548F2"/>
    <w:rsid w:val="00756800"/>
    <w:rsid w:val="00764B5C"/>
    <w:rsid w:val="00786695"/>
    <w:rsid w:val="007916D4"/>
    <w:rsid w:val="00791A73"/>
    <w:rsid w:val="007931F1"/>
    <w:rsid w:val="007A04F1"/>
    <w:rsid w:val="007B7251"/>
    <w:rsid w:val="007C1173"/>
    <w:rsid w:val="007C5C0A"/>
    <w:rsid w:val="007C7C5E"/>
    <w:rsid w:val="007D1AAD"/>
    <w:rsid w:val="007D2A25"/>
    <w:rsid w:val="007E1380"/>
    <w:rsid w:val="007E46DC"/>
    <w:rsid w:val="007E766E"/>
    <w:rsid w:val="007F43F4"/>
    <w:rsid w:val="008044BE"/>
    <w:rsid w:val="008168E8"/>
    <w:rsid w:val="008244DF"/>
    <w:rsid w:val="00826EE2"/>
    <w:rsid w:val="008378C7"/>
    <w:rsid w:val="008417F6"/>
    <w:rsid w:val="0084605E"/>
    <w:rsid w:val="008569C7"/>
    <w:rsid w:val="0086517E"/>
    <w:rsid w:val="008710E0"/>
    <w:rsid w:val="00872486"/>
    <w:rsid w:val="00874E1B"/>
    <w:rsid w:val="008771DE"/>
    <w:rsid w:val="008A064C"/>
    <w:rsid w:val="008A3C3D"/>
    <w:rsid w:val="008E3AFE"/>
    <w:rsid w:val="008F3FC8"/>
    <w:rsid w:val="0090133F"/>
    <w:rsid w:val="00911873"/>
    <w:rsid w:val="0092436B"/>
    <w:rsid w:val="00930D2E"/>
    <w:rsid w:val="0094303B"/>
    <w:rsid w:val="00960797"/>
    <w:rsid w:val="00970882"/>
    <w:rsid w:val="0097122F"/>
    <w:rsid w:val="00976F86"/>
    <w:rsid w:val="0098384D"/>
    <w:rsid w:val="00994761"/>
    <w:rsid w:val="00996514"/>
    <w:rsid w:val="009A49ED"/>
    <w:rsid w:val="009B1E49"/>
    <w:rsid w:val="009B6D85"/>
    <w:rsid w:val="009C6E2E"/>
    <w:rsid w:val="009E1B93"/>
    <w:rsid w:val="009E1DB8"/>
    <w:rsid w:val="00A00260"/>
    <w:rsid w:val="00A00950"/>
    <w:rsid w:val="00A07F5D"/>
    <w:rsid w:val="00A14FBE"/>
    <w:rsid w:val="00A210AC"/>
    <w:rsid w:val="00A27EF4"/>
    <w:rsid w:val="00A63B97"/>
    <w:rsid w:val="00A842E6"/>
    <w:rsid w:val="00AA2C01"/>
    <w:rsid w:val="00AB7E75"/>
    <w:rsid w:val="00AC0B77"/>
    <w:rsid w:val="00AE1872"/>
    <w:rsid w:val="00AE2018"/>
    <w:rsid w:val="00AE7334"/>
    <w:rsid w:val="00AF267B"/>
    <w:rsid w:val="00AF4D20"/>
    <w:rsid w:val="00B00F11"/>
    <w:rsid w:val="00B04B13"/>
    <w:rsid w:val="00B20EF1"/>
    <w:rsid w:val="00B358C5"/>
    <w:rsid w:val="00B41B3D"/>
    <w:rsid w:val="00B81871"/>
    <w:rsid w:val="00B90340"/>
    <w:rsid w:val="00B94212"/>
    <w:rsid w:val="00BB3795"/>
    <w:rsid w:val="00BC5B67"/>
    <w:rsid w:val="00BD23D5"/>
    <w:rsid w:val="00BD796B"/>
    <w:rsid w:val="00C14448"/>
    <w:rsid w:val="00C1523C"/>
    <w:rsid w:val="00C15EE7"/>
    <w:rsid w:val="00C43BA6"/>
    <w:rsid w:val="00C44E6C"/>
    <w:rsid w:val="00C545B7"/>
    <w:rsid w:val="00C55707"/>
    <w:rsid w:val="00C56A5B"/>
    <w:rsid w:val="00C708AF"/>
    <w:rsid w:val="00C74EC6"/>
    <w:rsid w:val="00C91D88"/>
    <w:rsid w:val="00C93E48"/>
    <w:rsid w:val="00CB638A"/>
    <w:rsid w:val="00CB6658"/>
    <w:rsid w:val="00CC0356"/>
    <w:rsid w:val="00CD55E4"/>
    <w:rsid w:val="00CD6463"/>
    <w:rsid w:val="00CD7CF9"/>
    <w:rsid w:val="00CE12C7"/>
    <w:rsid w:val="00CE256C"/>
    <w:rsid w:val="00CE5CE2"/>
    <w:rsid w:val="00CE6A42"/>
    <w:rsid w:val="00CE767F"/>
    <w:rsid w:val="00CF6287"/>
    <w:rsid w:val="00D005EA"/>
    <w:rsid w:val="00D40EB5"/>
    <w:rsid w:val="00D41682"/>
    <w:rsid w:val="00D43B05"/>
    <w:rsid w:val="00D6708C"/>
    <w:rsid w:val="00D73D7D"/>
    <w:rsid w:val="00D85606"/>
    <w:rsid w:val="00D93D32"/>
    <w:rsid w:val="00D97A64"/>
    <w:rsid w:val="00DA0256"/>
    <w:rsid w:val="00DA5F56"/>
    <w:rsid w:val="00DB08F5"/>
    <w:rsid w:val="00DC27E3"/>
    <w:rsid w:val="00DD3322"/>
    <w:rsid w:val="00DD4298"/>
    <w:rsid w:val="00E01E1A"/>
    <w:rsid w:val="00E14D0F"/>
    <w:rsid w:val="00E21A72"/>
    <w:rsid w:val="00E32020"/>
    <w:rsid w:val="00E4333F"/>
    <w:rsid w:val="00E67E34"/>
    <w:rsid w:val="00E82BCA"/>
    <w:rsid w:val="00E85F2B"/>
    <w:rsid w:val="00EA473B"/>
    <w:rsid w:val="00EB58E3"/>
    <w:rsid w:val="00EC4976"/>
    <w:rsid w:val="00EF0792"/>
    <w:rsid w:val="00F030A9"/>
    <w:rsid w:val="00F31C13"/>
    <w:rsid w:val="00F5566C"/>
    <w:rsid w:val="00F56297"/>
    <w:rsid w:val="00F5792F"/>
    <w:rsid w:val="00F60065"/>
    <w:rsid w:val="00F62BE4"/>
    <w:rsid w:val="00F71650"/>
    <w:rsid w:val="00F7234C"/>
    <w:rsid w:val="00F733CA"/>
    <w:rsid w:val="00FA7851"/>
    <w:rsid w:val="00FE1AD1"/>
    <w:rsid w:val="00FE710C"/>
    <w:rsid w:val="00FF26A2"/>
    <w:rsid w:val="00FF437B"/>
    <w:rsid w:val="00FF6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93"/>
    <w:rPr>
      <w:sz w:val="24"/>
      <w:szCs w:val="24"/>
    </w:rPr>
  </w:style>
  <w:style w:type="paragraph" w:styleId="Heading1">
    <w:name w:val="heading 1"/>
    <w:basedOn w:val="Normal"/>
    <w:next w:val="Normal"/>
    <w:qFormat/>
    <w:rsid w:val="00667093"/>
    <w:pPr>
      <w:keepNext/>
      <w:suppressAutoHyphens/>
      <w:outlineLvl w:val="0"/>
    </w:pPr>
    <w:rPr>
      <w:b/>
      <w:color w:val="FF0000"/>
    </w:rPr>
  </w:style>
  <w:style w:type="paragraph" w:styleId="Heading2">
    <w:name w:val="heading 2"/>
    <w:basedOn w:val="Normal"/>
    <w:next w:val="Normal"/>
    <w:qFormat/>
    <w:rsid w:val="00667093"/>
    <w:pPr>
      <w:keepNext/>
      <w:suppressAutoHyphens/>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667093"/>
    <w:pPr>
      <w:spacing w:after="240"/>
      <w:ind w:firstLine="720"/>
      <w:jc w:val="both"/>
    </w:pPr>
    <w:rPr>
      <w:sz w:val="22"/>
      <w:szCs w:val="20"/>
    </w:rPr>
  </w:style>
  <w:style w:type="paragraph" w:styleId="BodyTextIndent2">
    <w:name w:val="Body Text Indent 2"/>
    <w:basedOn w:val="Normal"/>
    <w:semiHidden/>
    <w:rsid w:val="00667093"/>
    <w:pPr>
      <w:ind w:left="5400" w:hanging="5400"/>
    </w:pPr>
    <w:rPr>
      <w:sz w:val="22"/>
    </w:rPr>
  </w:style>
  <w:style w:type="character" w:styleId="CommentReference">
    <w:name w:val="annotation reference"/>
    <w:basedOn w:val="DefaultParagraphFont"/>
    <w:semiHidden/>
    <w:rsid w:val="00667093"/>
    <w:rPr>
      <w:sz w:val="16"/>
    </w:rPr>
  </w:style>
  <w:style w:type="paragraph" w:customStyle="1" w:styleId="ModelNrmlDouble">
    <w:name w:val="ModelNrmlDouble"/>
    <w:basedOn w:val="ModelNrmlSingle"/>
    <w:rsid w:val="00667093"/>
    <w:pPr>
      <w:spacing w:after="360" w:line="480" w:lineRule="auto"/>
    </w:pPr>
  </w:style>
  <w:style w:type="paragraph" w:customStyle="1" w:styleId="ModelHead2">
    <w:name w:val="ModelHead2"/>
    <w:basedOn w:val="ModelNrmlDouble"/>
    <w:next w:val="ModelNrmlDouble"/>
    <w:rsid w:val="00667093"/>
    <w:pPr>
      <w:ind w:firstLine="0"/>
      <w:jc w:val="center"/>
    </w:pPr>
    <w:rPr>
      <w:b/>
    </w:rPr>
  </w:style>
  <w:style w:type="character" w:styleId="FootnoteReference">
    <w:name w:val="footnote reference"/>
    <w:basedOn w:val="DefaultParagraphFont"/>
    <w:semiHidden/>
    <w:rsid w:val="00667093"/>
    <w:rPr>
      <w:vertAlign w:val="superscript"/>
    </w:rPr>
  </w:style>
  <w:style w:type="paragraph" w:styleId="Header">
    <w:name w:val="header"/>
    <w:basedOn w:val="Normal"/>
    <w:link w:val="HeaderChar"/>
    <w:uiPriority w:val="99"/>
    <w:rsid w:val="00667093"/>
    <w:pPr>
      <w:tabs>
        <w:tab w:val="center" w:pos="4320"/>
        <w:tab w:val="right" w:pos="8640"/>
      </w:tabs>
    </w:pPr>
    <w:rPr>
      <w:spacing w:val="-2"/>
      <w:sz w:val="22"/>
      <w:szCs w:val="20"/>
    </w:rPr>
  </w:style>
  <w:style w:type="paragraph" w:styleId="CommentText">
    <w:name w:val="annotation text"/>
    <w:basedOn w:val="Normal"/>
    <w:link w:val="CommentTextChar"/>
    <w:uiPriority w:val="99"/>
    <w:rsid w:val="00667093"/>
    <w:rPr>
      <w:spacing w:val="-2"/>
      <w:sz w:val="20"/>
      <w:szCs w:val="20"/>
    </w:rPr>
  </w:style>
  <w:style w:type="character" w:styleId="EndnoteReference">
    <w:name w:val="endnote reference"/>
    <w:basedOn w:val="DefaultParagraphFont"/>
    <w:semiHidden/>
    <w:rsid w:val="00667093"/>
    <w:rPr>
      <w:vertAlign w:val="superscript"/>
    </w:rPr>
  </w:style>
  <w:style w:type="paragraph" w:styleId="FootnoteText">
    <w:name w:val="footnote text"/>
    <w:basedOn w:val="Normal"/>
    <w:semiHidden/>
    <w:rsid w:val="00667093"/>
    <w:rPr>
      <w:sz w:val="20"/>
      <w:szCs w:val="20"/>
    </w:rPr>
  </w:style>
  <w:style w:type="paragraph" w:styleId="EndnoteText">
    <w:name w:val="endnote text"/>
    <w:basedOn w:val="Normal"/>
    <w:semiHidden/>
    <w:rsid w:val="00667093"/>
    <w:rPr>
      <w:spacing w:val="-2"/>
      <w:szCs w:val="20"/>
    </w:rPr>
  </w:style>
  <w:style w:type="paragraph" w:styleId="Footer">
    <w:name w:val="footer"/>
    <w:basedOn w:val="Normal"/>
    <w:link w:val="FooterChar"/>
    <w:uiPriority w:val="99"/>
    <w:rsid w:val="00667093"/>
    <w:pPr>
      <w:tabs>
        <w:tab w:val="center" w:pos="4320"/>
        <w:tab w:val="right" w:pos="8640"/>
      </w:tabs>
    </w:pPr>
  </w:style>
  <w:style w:type="paragraph" w:styleId="BodyText">
    <w:name w:val="Body Text"/>
    <w:basedOn w:val="Normal"/>
    <w:link w:val="BodyTextChar"/>
    <w:rsid w:val="00667093"/>
    <w:pPr>
      <w:tabs>
        <w:tab w:val="left" w:pos="720"/>
      </w:tabs>
    </w:pPr>
    <w:rPr>
      <w:sz w:val="22"/>
      <w:szCs w:val="20"/>
    </w:rPr>
  </w:style>
  <w:style w:type="paragraph" w:styleId="BalloonText">
    <w:name w:val="Balloon Text"/>
    <w:basedOn w:val="Normal"/>
    <w:link w:val="BalloonTextChar"/>
    <w:uiPriority w:val="99"/>
    <w:semiHidden/>
    <w:unhideWhenUsed/>
    <w:rsid w:val="00D43B05"/>
    <w:rPr>
      <w:rFonts w:ascii="Tahoma" w:hAnsi="Tahoma" w:cs="Tahoma"/>
      <w:sz w:val="16"/>
      <w:szCs w:val="16"/>
    </w:rPr>
  </w:style>
  <w:style w:type="character" w:customStyle="1" w:styleId="BalloonTextChar">
    <w:name w:val="Balloon Text Char"/>
    <w:basedOn w:val="DefaultParagraphFont"/>
    <w:link w:val="BalloonText"/>
    <w:uiPriority w:val="99"/>
    <w:semiHidden/>
    <w:rsid w:val="00D43B05"/>
    <w:rPr>
      <w:rFonts w:ascii="Tahoma" w:hAnsi="Tahoma" w:cs="Tahoma"/>
      <w:sz w:val="16"/>
      <w:szCs w:val="16"/>
      <w:lang w:eastAsia="en-US"/>
    </w:rPr>
  </w:style>
  <w:style w:type="character" w:customStyle="1" w:styleId="BodyTextChar">
    <w:name w:val="Body Text Char"/>
    <w:basedOn w:val="DefaultParagraphFont"/>
    <w:link w:val="BodyText"/>
    <w:rsid w:val="00E67E34"/>
    <w:rPr>
      <w:sz w:val="22"/>
      <w:lang w:eastAsia="en-US"/>
    </w:rPr>
  </w:style>
  <w:style w:type="paragraph" w:styleId="CommentSubject">
    <w:name w:val="annotation subject"/>
    <w:basedOn w:val="CommentText"/>
    <w:next w:val="CommentText"/>
    <w:link w:val="CommentSubjectChar"/>
    <w:uiPriority w:val="99"/>
    <w:semiHidden/>
    <w:unhideWhenUsed/>
    <w:rsid w:val="00AF4D20"/>
    <w:rPr>
      <w:b/>
      <w:bCs/>
      <w:spacing w:val="0"/>
    </w:rPr>
  </w:style>
  <w:style w:type="character" w:customStyle="1" w:styleId="CommentTextChar">
    <w:name w:val="Comment Text Char"/>
    <w:basedOn w:val="DefaultParagraphFont"/>
    <w:link w:val="CommentText"/>
    <w:uiPriority w:val="99"/>
    <w:rsid w:val="00AF4D20"/>
    <w:rPr>
      <w:spacing w:val="-2"/>
      <w:lang w:eastAsia="en-US"/>
    </w:rPr>
  </w:style>
  <w:style w:type="character" w:customStyle="1" w:styleId="CommentSubjectChar">
    <w:name w:val="Comment Subject Char"/>
    <w:basedOn w:val="CommentTextChar"/>
    <w:link w:val="CommentSubject"/>
    <w:rsid w:val="00AF4D20"/>
  </w:style>
  <w:style w:type="paragraph" w:customStyle="1" w:styleId="Default">
    <w:name w:val="Default"/>
    <w:rsid w:val="006E6C85"/>
    <w:pPr>
      <w:autoSpaceDE w:val="0"/>
      <w:autoSpaceDN w:val="0"/>
      <w:adjustRightInd w:val="0"/>
    </w:pPr>
    <w:rPr>
      <w:color w:val="000000"/>
      <w:sz w:val="24"/>
      <w:szCs w:val="24"/>
    </w:rPr>
  </w:style>
  <w:style w:type="character" w:customStyle="1" w:styleId="ModelNrmlSingleChar">
    <w:name w:val="ModelNrmlSingle Char"/>
    <w:basedOn w:val="DefaultParagraphFont"/>
    <w:link w:val="ModelNrmlSingle"/>
    <w:rsid w:val="00375A71"/>
    <w:rPr>
      <w:sz w:val="22"/>
      <w:lang w:eastAsia="en-US"/>
    </w:rPr>
  </w:style>
  <w:style w:type="paragraph" w:customStyle="1" w:styleId="ModelDoubleNoIndent">
    <w:name w:val="ModelDoubleNoIndent"/>
    <w:basedOn w:val="ModelNrmlDouble"/>
    <w:rsid w:val="00B20EF1"/>
    <w:pPr>
      <w:ind w:firstLine="0"/>
    </w:pPr>
  </w:style>
  <w:style w:type="character" w:customStyle="1" w:styleId="FooterChar">
    <w:name w:val="Footer Char"/>
    <w:basedOn w:val="DefaultParagraphFont"/>
    <w:link w:val="Footer"/>
    <w:uiPriority w:val="99"/>
    <w:rsid w:val="004F5510"/>
    <w:rPr>
      <w:sz w:val="24"/>
      <w:szCs w:val="24"/>
      <w:lang w:eastAsia="en-US"/>
    </w:rPr>
  </w:style>
  <w:style w:type="character" w:customStyle="1" w:styleId="HeaderChar">
    <w:name w:val="Header Char"/>
    <w:basedOn w:val="DefaultParagraphFont"/>
    <w:link w:val="Header"/>
    <w:uiPriority w:val="99"/>
    <w:rsid w:val="00E32020"/>
    <w:rPr>
      <w:spacing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4C2C-4D3F-4AC4-9146-E172E3B0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4360</Words>
  <Characters>24577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___-__</vt:lpstr>
    </vt:vector>
  </TitlesOfParts>
  <Company>World Bank Group</Company>
  <LinksUpToDate>false</LinksUpToDate>
  <CharactersWithSpaces>28880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WB89693</dc:creator>
  <cp:lastModifiedBy>wb269469</cp:lastModifiedBy>
  <cp:revision>8</cp:revision>
  <cp:lastPrinted>2011-01-10T15:17:00Z</cp:lastPrinted>
  <dcterms:created xsi:type="dcterms:W3CDTF">2011-05-04T16:56:00Z</dcterms:created>
  <dcterms:modified xsi:type="dcterms:W3CDTF">2011-05-04T17:27:00Z</dcterms:modified>
</cp:coreProperties>
</file>