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6" w:rsidRPr="004A37DA" w:rsidRDefault="00E53656" w:rsidP="00E53656">
      <w:pPr>
        <w:autoSpaceDE w:val="0"/>
        <w:autoSpaceDN w:val="0"/>
        <w:adjustRightInd w:val="0"/>
        <w:spacing w:line="240" w:lineRule="atLeast"/>
        <w:jc w:val="center"/>
        <w:rPr>
          <w:b/>
          <w:bCs/>
          <w:color w:val="000000"/>
          <w:sz w:val="22"/>
          <w:szCs w:val="22"/>
        </w:rPr>
      </w:pPr>
      <w:r w:rsidRPr="004A37DA">
        <w:rPr>
          <w:color w:val="000000"/>
          <w:sz w:val="22"/>
          <w:szCs w:val="22"/>
        </w:rPr>
        <w:t>Document of</w:t>
      </w:r>
    </w:p>
    <w:p w:rsidR="00E53656" w:rsidRPr="004A37DA" w:rsidRDefault="00E53656" w:rsidP="00E53656">
      <w:pPr>
        <w:autoSpaceDE w:val="0"/>
        <w:autoSpaceDN w:val="0"/>
        <w:adjustRightInd w:val="0"/>
        <w:spacing w:line="240" w:lineRule="atLeast"/>
        <w:jc w:val="center"/>
        <w:rPr>
          <w:color w:val="000000"/>
          <w:sz w:val="28"/>
          <w:szCs w:val="28"/>
        </w:rPr>
      </w:pPr>
      <w:r w:rsidRPr="004A37DA">
        <w:rPr>
          <w:color w:val="000000"/>
          <w:sz w:val="28"/>
          <w:szCs w:val="28"/>
        </w:rPr>
        <w:t>The World Bank</w:t>
      </w:r>
    </w:p>
    <w:p w:rsidR="00E53656" w:rsidRPr="004A37DA" w:rsidRDefault="00E53656" w:rsidP="00E53656">
      <w:pPr>
        <w:autoSpaceDE w:val="0"/>
        <w:autoSpaceDN w:val="0"/>
        <w:adjustRightInd w:val="0"/>
        <w:spacing w:line="240" w:lineRule="atLeast"/>
        <w:rPr>
          <w:color w:val="000000"/>
          <w:sz w:val="28"/>
          <w:szCs w:val="28"/>
        </w:rPr>
      </w:pPr>
    </w:p>
    <w:p w:rsidR="00E53656" w:rsidRPr="004A37DA" w:rsidRDefault="00E53656" w:rsidP="00E53656">
      <w:pPr>
        <w:autoSpaceDE w:val="0"/>
        <w:autoSpaceDN w:val="0"/>
        <w:adjustRightInd w:val="0"/>
        <w:spacing w:line="240" w:lineRule="atLeast"/>
        <w:rPr>
          <w:color w:val="000000"/>
          <w:sz w:val="28"/>
          <w:szCs w:val="28"/>
        </w:rPr>
      </w:pPr>
    </w:p>
    <w:p w:rsidR="00E53656" w:rsidRPr="004A37DA" w:rsidRDefault="00E53656" w:rsidP="00E53656">
      <w:pPr>
        <w:autoSpaceDE w:val="0"/>
        <w:autoSpaceDN w:val="0"/>
        <w:adjustRightInd w:val="0"/>
        <w:spacing w:line="240" w:lineRule="atLeast"/>
        <w:jc w:val="right"/>
        <w:rPr>
          <w:color w:val="000000"/>
          <w:sz w:val="22"/>
          <w:szCs w:val="22"/>
        </w:rPr>
      </w:pPr>
      <w:r w:rsidRPr="004A37DA">
        <w:rPr>
          <w:color w:val="000000"/>
          <w:sz w:val="22"/>
          <w:szCs w:val="22"/>
        </w:rPr>
        <w:t xml:space="preserve">Report No: </w:t>
      </w:r>
      <w:r w:rsidR="004C63F7">
        <w:rPr>
          <w:color w:val="000000"/>
          <w:sz w:val="22"/>
          <w:szCs w:val="22"/>
        </w:rPr>
        <w:t>65654</w:t>
      </w:r>
      <w:r w:rsidR="00347646">
        <w:rPr>
          <w:color w:val="000000"/>
          <w:sz w:val="22"/>
          <w:szCs w:val="22"/>
        </w:rPr>
        <w:t xml:space="preserve"> v1</w:t>
      </w:r>
    </w:p>
    <w:p w:rsidR="00E53656" w:rsidRPr="004A37DA" w:rsidRDefault="00E53656" w:rsidP="00E53656">
      <w:pPr>
        <w:autoSpaceDE w:val="0"/>
        <w:autoSpaceDN w:val="0"/>
        <w:adjustRightInd w:val="0"/>
        <w:spacing w:line="240" w:lineRule="atLeast"/>
        <w:jc w:val="center"/>
        <w:rPr>
          <w:color w:val="000000" w:themeColor="text1"/>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Restructuring </w:t>
      </w:r>
      <w:r w:rsidR="001C64DF" w:rsidRPr="004A37DA">
        <w:rPr>
          <w:caps/>
          <w:color w:val="000000"/>
          <w:szCs w:val="22"/>
        </w:rPr>
        <w:t>PAPER</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ON A</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PROPOSED Project restructuring </w:t>
      </w: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 xml:space="preserve">of </w:t>
      </w:r>
    </w:p>
    <w:p w:rsidR="000313F1" w:rsidRDefault="003B2BFB" w:rsidP="000313F1">
      <w:pPr>
        <w:autoSpaceDE w:val="0"/>
        <w:autoSpaceDN w:val="0"/>
        <w:adjustRightInd w:val="0"/>
        <w:spacing w:line="240" w:lineRule="atLeast"/>
        <w:jc w:val="center"/>
        <w:rPr>
          <w:caps/>
          <w:color w:val="000000"/>
          <w:szCs w:val="22"/>
        </w:rPr>
      </w:pPr>
      <w:bookmarkStart w:id="0" w:name="basprojlong_fld"/>
      <w:r>
        <w:rPr>
          <w:caps/>
          <w:color w:val="000000"/>
          <w:szCs w:val="22"/>
        </w:rPr>
        <w:t xml:space="preserve">THE NATIONAL </w:t>
      </w:r>
      <w:r w:rsidR="0078074E">
        <w:rPr>
          <w:caps/>
          <w:color w:val="000000"/>
          <w:szCs w:val="22"/>
        </w:rPr>
        <w:t xml:space="preserve">Disaster Vulnerability Reduction </w:t>
      </w:r>
      <w:r>
        <w:rPr>
          <w:caps/>
          <w:color w:val="000000"/>
          <w:szCs w:val="22"/>
        </w:rPr>
        <w:t xml:space="preserve">PROJECT </w:t>
      </w:r>
      <w:r>
        <w:rPr>
          <w:caps/>
          <w:color w:val="000000"/>
          <w:szCs w:val="22"/>
        </w:rPr>
        <w:br/>
      </w:r>
      <w:r w:rsidR="0078074E">
        <w:rPr>
          <w:caps/>
          <w:color w:val="000000"/>
          <w:szCs w:val="22"/>
        </w:rPr>
        <w:t>First Phase APL</w:t>
      </w:r>
      <w:bookmarkEnd w:id="0"/>
      <w:r w:rsidR="000313F1">
        <w:rPr>
          <w:caps/>
          <w:color w:val="000000"/>
          <w:szCs w:val="22"/>
        </w:rPr>
        <w:t xml:space="preserve"> </w:t>
      </w:r>
    </w:p>
    <w:p w:rsidR="0093332E" w:rsidRDefault="0078074E" w:rsidP="0093332E">
      <w:pPr>
        <w:autoSpaceDE w:val="0"/>
        <w:autoSpaceDN w:val="0"/>
        <w:adjustRightInd w:val="0"/>
        <w:spacing w:line="240" w:lineRule="atLeast"/>
        <w:jc w:val="center"/>
        <w:rPr>
          <w:iCs/>
          <w:color w:val="000000"/>
          <w:szCs w:val="22"/>
        </w:rPr>
      </w:pPr>
      <w:r w:rsidRPr="004A37DA">
        <w:rPr>
          <w:caps/>
          <w:noProof/>
          <w:color w:val="000000"/>
          <w:szCs w:val="22"/>
        </w:rPr>
        <w:t>LOAN</w:t>
      </w:r>
      <w:r w:rsidR="005400D8">
        <w:rPr>
          <w:caps/>
          <w:noProof/>
          <w:color w:val="000000"/>
          <w:szCs w:val="22"/>
        </w:rPr>
        <w:t xml:space="preserve"> </w:t>
      </w:r>
      <w:r w:rsidR="0093332E" w:rsidRPr="0093332E">
        <w:rPr>
          <w:iCs/>
          <w:color w:val="000000"/>
          <w:szCs w:val="22"/>
        </w:rPr>
        <w:t>IBRD-7293</w:t>
      </w:r>
    </w:p>
    <w:p w:rsidR="0093332E" w:rsidRPr="0093332E" w:rsidRDefault="006E44D7" w:rsidP="0093332E">
      <w:pPr>
        <w:autoSpaceDE w:val="0"/>
        <w:autoSpaceDN w:val="0"/>
        <w:adjustRightInd w:val="0"/>
        <w:spacing w:line="240" w:lineRule="atLeast"/>
        <w:jc w:val="center"/>
        <w:rPr>
          <w:color w:val="000000"/>
          <w:szCs w:val="22"/>
        </w:rPr>
      </w:pPr>
      <w:r>
        <w:rPr>
          <w:iCs/>
          <w:color w:val="000000"/>
          <w:szCs w:val="22"/>
        </w:rPr>
        <w:t xml:space="preserve">MAY </w:t>
      </w:r>
      <w:r w:rsidR="00B23E5E">
        <w:rPr>
          <w:iCs/>
          <w:color w:val="000000"/>
          <w:szCs w:val="22"/>
        </w:rPr>
        <w:t>10, 2005</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aps/>
          <w:color w:val="000000"/>
          <w:szCs w:val="22"/>
        </w:rPr>
      </w:pPr>
      <w:r w:rsidRPr="004A37DA">
        <w:rPr>
          <w:caps/>
          <w:color w:val="000000"/>
          <w:szCs w:val="22"/>
        </w:rPr>
        <w:t>TO THE</w:t>
      </w:r>
    </w:p>
    <w:p w:rsidR="00E53656" w:rsidRPr="004A37DA" w:rsidRDefault="00E53656" w:rsidP="00E53656">
      <w:pPr>
        <w:autoSpaceDE w:val="0"/>
        <w:autoSpaceDN w:val="0"/>
        <w:adjustRightInd w:val="0"/>
        <w:spacing w:line="240" w:lineRule="atLeast"/>
        <w:jc w:val="center"/>
        <w:rPr>
          <w:caps/>
          <w:color w:val="000000"/>
          <w:szCs w:val="22"/>
        </w:rPr>
      </w:pPr>
    </w:p>
    <w:p w:rsidR="0093332E" w:rsidRPr="0093332E" w:rsidRDefault="0093332E" w:rsidP="0093332E">
      <w:pPr>
        <w:autoSpaceDE w:val="0"/>
        <w:autoSpaceDN w:val="0"/>
        <w:adjustRightInd w:val="0"/>
        <w:spacing w:line="240" w:lineRule="atLeast"/>
        <w:jc w:val="center"/>
        <w:rPr>
          <w:caps/>
          <w:color w:val="000000"/>
          <w:szCs w:val="22"/>
        </w:rPr>
      </w:pPr>
      <w:r w:rsidRPr="0093332E">
        <w:rPr>
          <w:caps/>
          <w:color w:val="000000"/>
          <w:szCs w:val="22"/>
        </w:rPr>
        <w:t>REPUBLIC OF COLOMBIA</w:t>
      </w:r>
    </w:p>
    <w:p w:rsidR="00E53656" w:rsidRPr="004A37DA" w:rsidRDefault="00E53656" w:rsidP="00E53656">
      <w:pPr>
        <w:autoSpaceDE w:val="0"/>
        <w:autoSpaceDN w:val="0"/>
        <w:adjustRightInd w:val="0"/>
        <w:spacing w:line="240" w:lineRule="atLeast"/>
        <w:jc w:val="center"/>
        <w:rPr>
          <w:caps/>
          <w:color w:val="000000"/>
          <w:szCs w:val="22"/>
        </w:rPr>
      </w:pPr>
    </w:p>
    <w:p w:rsidR="00E53656" w:rsidRPr="004A37DA" w:rsidRDefault="00E53656" w:rsidP="00E53656">
      <w:pPr>
        <w:autoSpaceDE w:val="0"/>
        <w:autoSpaceDN w:val="0"/>
        <w:adjustRightInd w:val="0"/>
        <w:spacing w:line="240" w:lineRule="atLeast"/>
        <w:jc w:val="center"/>
        <w:rPr>
          <w:color w:val="000000"/>
          <w:szCs w:val="22"/>
        </w:rPr>
      </w:pPr>
    </w:p>
    <w:p w:rsidR="001C64DF" w:rsidRPr="004A37DA" w:rsidRDefault="006D18FD" w:rsidP="001C64DF">
      <w:pPr>
        <w:autoSpaceDE w:val="0"/>
        <w:autoSpaceDN w:val="0"/>
        <w:adjustRightInd w:val="0"/>
        <w:spacing w:line="240" w:lineRule="atLeast"/>
        <w:jc w:val="center"/>
        <w:rPr>
          <w:color w:val="000000"/>
          <w:szCs w:val="22"/>
        </w:rPr>
      </w:pPr>
      <w:r>
        <w:rPr>
          <w:color w:val="000000"/>
          <w:szCs w:val="22"/>
        </w:rPr>
        <w:t>DECEMBER</w:t>
      </w:r>
      <w:r w:rsidR="006E44D7" w:rsidRPr="00721AB3">
        <w:rPr>
          <w:color w:val="000000"/>
          <w:szCs w:val="22"/>
        </w:rPr>
        <w:t xml:space="preserve"> </w:t>
      </w:r>
      <w:r w:rsidR="009E317C">
        <w:rPr>
          <w:color w:val="000000"/>
          <w:szCs w:val="22"/>
        </w:rPr>
        <w:t>13</w:t>
      </w:r>
      <w:r w:rsidR="0093332E">
        <w:rPr>
          <w:color w:val="000000"/>
          <w:szCs w:val="22"/>
        </w:rPr>
        <w:t>, 2011</w:t>
      </w:r>
    </w:p>
    <w:p w:rsidR="001C64DF" w:rsidRDefault="001C64D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1C64DF">
      <w:pPr>
        <w:autoSpaceDE w:val="0"/>
        <w:autoSpaceDN w:val="0"/>
        <w:adjustRightInd w:val="0"/>
        <w:spacing w:line="240" w:lineRule="atLeast"/>
        <w:jc w:val="center"/>
        <w:rPr>
          <w:caps/>
          <w:color w:val="000000"/>
          <w:szCs w:val="22"/>
        </w:rPr>
      </w:pPr>
    </w:p>
    <w:p w:rsidR="005169BF" w:rsidRDefault="005169BF" w:rsidP="005169BF">
      <w:pPr>
        <w:autoSpaceDE w:val="0"/>
        <w:autoSpaceDN w:val="0"/>
        <w:adjustRightInd w:val="0"/>
        <w:spacing w:line="240" w:lineRule="atLeast"/>
        <w:rPr>
          <w:color w:val="000000"/>
          <w:szCs w:val="22"/>
        </w:rPr>
      </w:pPr>
      <w:r>
        <w:rPr>
          <w:color w:val="000000"/>
          <w:szCs w:val="22"/>
        </w:rPr>
        <w:t>Sustainable Development Department</w:t>
      </w:r>
      <w:r>
        <w:rPr>
          <w:color w:val="000000"/>
          <w:szCs w:val="22"/>
        </w:rPr>
        <w:br/>
        <w:t>Colombia and Mexico Country Management Unit</w:t>
      </w:r>
    </w:p>
    <w:p w:rsidR="005169BF" w:rsidRPr="004A37DA" w:rsidRDefault="005169BF" w:rsidP="005169BF">
      <w:pPr>
        <w:autoSpaceDE w:val="0"/>
        <w:autoSpaceDN w:val="0"/>
        <w:adjustRightInd w:val="0"/>
        <w:spacing w:line="240" w:lineRule="atLeast"/>
        <w:rPr>
          <w:caps/>
          <w:color w:val="000000"/>
          <w:szCs w:val="22"/>
        </w:rPr>
      </w:pPr>
      <w:r>
        <w:rPr>
          <w:color w:val="000000"/>
          <w:szCs w:val="22"/>
        </w:rPr>
        <w:t>Latin America and the Caribbean Region</w:t>
      </w:r>
    </w:p>
    <w:p w:rsidR="001C64DF" w:rsidRPr="004A37DA" w:rsidRDefault="001C64DF">
      <w:pPr>
        <w:rPr>
          <w:color w:val="000000"/>
          <w:szCs w:val="22"/>
        </w:rPr>
      </w:pPr>
      <w:r w:rsidRPr="004A37DA">
        <w:rPr>
          <w:color w:val="000000"/>
          <w:szCs w:val="22"/>
        </w:rPr>
        <w:br w:type="page"/>
      </w:r>
    </w:p>
    <w:p w:rsidR="00EC6D5A" w:rsidRPr="004A37DA" w:rsidRDefault="00810690" w:rsidP="00810690">
      <w:pPr>
        <w:jc w:val="center"/>
        <w:rPr>
          <w:color w:val="000000"/>
          <w:szCs w:val="22"/>
        </w:rPr>
      </w:pPr>
      <w:r w:rsidRPr="00810690">
        <w:rPr>
          <w:color w:val="000000"/>
          <w:szCs w:val="22"/>
        </w:rPr>
        <w:lastRenderedPageBreak/>
        <w:t>ABBREVIATIONS AND ACRONYMS</w:t>
      </w:r>
    </w:p>
    <w:p w:rsidR="0093332E" w:rsidRPr="0093332E" w:rsidRDefault="0093332E" w:rsidP="0093332E"/>
    <w:p w:rsidR="00816C7C" w:rsidRPr="00816C7C" w:rsidRDefault="00816C7C" w:rsidP="00816C7C">
      <w:pPr>
        <w:autoSpaceDE w:val="0"/>
        <w:autoSpaceDN w:val="0"/>
        <w:adjustRightInd w:val="0"/>
      </w:pPr>
      <w:r>
        <w:t>APL</w:t>
      </w:r>
      <w:r>
        <w:tab/>
      </w:r>
      <w:r>
        <w:tab/>
      </w:r>
      <w:r>
        <w:tab/>
      </w:r>
      <w:r w:rsidRPr="00816C7C">
        <w:t>Adaptable Program Loan</w:t>
      </w:r>
    </w:p>
    <w:p w:rsidR="00C5495A" w:rsidRDefault="00C5495A" w:rsidP="00816C7C">
      <w:pPr>
        <w:autoSpaceDE w:val="0"/>
        <w:autoSpaceDN w:val="0"/>
        <w:adjustRightInd w:val="0"/>
      </w:pPr>
      <w:r>
        <w:t>DGR</w:t>
      </w:r>
      <w:r>
        <w:tab/>
      </w:r>
      <w:r>
        <w:tab/>
      </w:r>
      <w:r>
        <w:tab/>
        <w:t>Directorate for Risk Management</w:t>
      </w:r>
    </w:p>
    <w:p w:rsidR="00816C7C" w:rsidRPr="00816C7C" w:rsidRDefault="00816C7C" w:rsidP="00816C7C">
      <w:pPr>
        <w:autoSpaceDE w:val="0"/>
        <w:autoSpaceDN w:val="0"/>
        <w:adjustRightInd w:val="0"/>
      </w:pPr>
      <w:r>
        <w:t>DPAD</w:t>
      </w:r>
      <w:r>
        <w:tab/>
      </w:r>
      <w:r>
        <w:tab/>
      </w:r>
      <w:r>
        <w:tab/>
      </w:r>
      <w:r w:rsidRPr="00816C7C">
        <w:t>National Directorate of Disaster Prevention and Response</w:t>
      </w:r>
    </w:p>
    <w:p w:rsidR="00816C7C" w:rsidRPr="00816C7C" w:rsidRDefault="00816C7C" w:rsidP="00816C7C">
      <w:pPr>
        <w:autoSpaceDE w:val="0"/>
        <w:autoSpaceDN w:val="0"/>
        <w:adjustRightInd w:val="0"/>
      </w:pPr>
      <w:r w:rsidRPr="00816C7C">
        <w:t xml:space="preserve">DNP </w:t>
      </w:r>
      <w:r>
        <w:tab/>
      </w:r>
      <w:r>
        <w:tab/>
      </w:r>
      <w:r>
        <w:tab/>
      </w:r>
      <w:r w:rsidRPr="00816C7C">
        <w:t>National Planning Department</w:t>
      </w:r>
    </w:p>
    <w:p w:rsidR="00816C7C" w:rsidRPr="00816C7C" w:rsidRDefault="00816C7C" w:rsidP="00816C7C">
      <w:pPr>
        <w:autoSpaceDE w:val="0"/>
        <w:autoSpaceDN w:val="0"/>
        <w:adjustRightInd w:val="0"/>
      </w:pPr>
      <w:r w:rsidRPr="00816C7C">
        <w:t xml:space="preserve">DRIS </w:t>
      </w:r>
      <w:r>
        <w:tab/>
      </w:r>
      <w:r>
        <w:tab/>
      </w:r>
      <w:r>
        <w:tab/>
      </w:r>
      <w:r w:rsidRPr="00816C7C">
        <w:t>Disaster Risk Information System</w:t>
      </w:r>
    </w:p>
    <w:p w:rsidR="00816C7C" w:rsidRPr="00816C7C" w:rsidRDefault="00816C7C" w:rsidP="00816C7C">
      <w:pPr>
        <w:autoSpaceDE w:val="0"/>
        <w:autoSpaceDN w:val="0"/>
        <w:adjustRightInd w:val="0"/>
      </w:pPr>
      <w:r w:rsidRPr="00816C7C">
        <w:t xml:space="preserve">EA </w:t>
      </w:r>
      <w:r>
        <w:tab/>
      </w:r>
      <w:r>
        <w:tab/>
      </w:r>
      <w:r>
        <w:tab/>
      </w:r>
      <w:r w:rsidRPr="00816C7C">
        <w:t>Environmental Assessment</w:t>
      </w:r>
    </w:p>
    <w:p w:rsidR="00816C7C" w:rsidRPr="00816C7C" w:rsidRDefault="00816C7C" w:rsidP="00816C7C">
      <w:pPr>
        <w:autoSpaceDE w:val="0"/>
        <w:autoSpaceDN w:val="0"/>
        <w:adjustRightInd w:val="0"/>
      </w:pPr>
      <w:r w:rsidRPr="00816C7C">
        <w:t xml:space="preserve">EBI </w:t>
      </w:r>
      <w:r>
        <w:tab/>
      </w:r>
      <w:r>
        <w:tab/>
      </w:r>
      <w:r>
        <w:tab/>
      </w:r>
      <w:r w:rsidRPr="00816C7C">
        <w:t>Basic Investment Statistics</w:t>
      </w:r>
    </w:p>
    <w:p w:rsidR="00816C7C" w:rsidRPr="00816C7C" w:rsidRDefault="00816C7C" w:rsidP="00816C7C">
      <w:pPr>
        <w:autoSpaceDE w:val="0"/>
        <w:autoSpaceDN w:val="0"/>
        <w:adjustRightInd w:val="0"/>
      </w:pPr>
      <w:r w:rsidRPr="00816C7C">
        <w:t xml:space="preserve">EMP </w:t>
      </w:r>
      <w:r>
        <w:tab/>
      </w:r>
      <w:r>
        <w:tab/>
      </w:r>
      <w:r>
        <w:tab/>
      </w:r>
      <w:r w:rsidRPr="00816C7C">
        <w:t>Environmental Management Plan</w:t>
      </w:r>
    </w:p>
    <w:p w:rsidR="00816C7C" w:rsidRPr="00816C7C" w:rsidRDefault="00816C7C" w:rsidP="00816C7C">
      <w:pPr>
        <w:autoSpaceDE w:val="0"/>
        <w:autoSpaceDN w:val="0"/>
        <w:adjustRightInd w:val="0"/>
      </w:pPr>
      <w:r w:rsidRPr="00816C7C">
        <w:t xml:space="preserve">FINDETER </w:t>
      </w:r>
      <w:r>
        <w:tab/>
      </w:r>
      <w:r>
        <w:tab/>
      </w:r>
      <w:r w:rsidRPr="00816C7C">
        <w:t>Municipal Finance Agency</w:t>
      </w:r>
    </w:p>
    <w:p w:rsidR="00816C7C" w:rsidRPr="00816C7C" w:rsidRDefault="00816C7C" w:rsidP="00816C7C">
      <w:pPr>
        <w:autoSpaceDE w:val="0"/>
        <w:autoSpaceDN w:val="0"/>
        <w:adjustRightInd w:val="0"/>
      </w:pPr>
      <w:r w:rsidRPr="00816C7C">
        <w:t xml:space="preserve">FM </w:t>
      </w:r>
      <w:r>
        <w:tab/>
      </w:r>
      <w:r>
        <w:tab/>
      </w:r>
      <w:r>
        <w:tab/>
      </w:r>
      <w:r w:rsidRPr="00816C7C">
        <w:t>Financial Management</w:t>
      </w:r>
    </w:p>
    <w:p w:rsidR="00816C7C" w:rsidRPr="00816C7C" w:rsidRDefault="00816C7C" w:rsidP="00816C7C">
      <w:pPr>
        <w:autoSpaceDE w:val="0"/>
        <w:autoSpaceDN w:val="0"/>
        <w:adjustRightInd w:val="0"/>
      </w:pPr>
      <w:r w:rsidRPr="00816C7C">
        <w:t xml:space="preserve">FMR </w:t>
      </w:r>
      <w:r>
        <w:tab/>
      </w:r>
      <w:r>
        <w:tab/>
      </w:r>
      <w:r>
        <w:tab/>
      </w:r>
      <w:r w:rsidRPr="00816C7C">
        <w:t>Financial Monitoring Reports</w:t>
      </w:r>
    </w:p>
    <w:p w:rsidR="00816C7C" w:rsidRDefault="00816C7C" w:rsidP="00816C7C">
      <w:pPr>
        <w:autoSpaceDE w:val="0"/>
        <w:autoSpaceDN w:val="0"/>
        <w:adjustRightInd w:val="0"/>
      </w:pPr>
      <w:r w:rsidRPr="009F448A">
        <w:t xml:space="preserve">FNC </w:t>
      </w:r>
      <w:r w:rsidRPr="009F448A">
        <w:tab/>
      </w:r>
      <w:r w:rsidRPr="009F448A">
        <w:tab/>
      </w:r>
      <w:r w:rsidRPr="009F448A">
        <w:tab/>
        <w:t>National Calamity Fund</w:t>
      </w:r>
    </w:p>
    <w:p w:rsidR="009209B4" w:rsidRPr="009F448A" w:rsidRDefault="009209B4" w:rsidP="00816C7C">
      <w:pPr>
        <w:autoSpaceDE w:val="0"/>
        <w:autoSpaceDN w:val="0"/>
        <w:adjustRightInd w:val="0"/>
      </w:pPr>
      <w:r>
        <w:t>FY</w:t>
      </w:r>
      <w:r>
        <w:tab/>
      </w:r>
      <w:r>
        <w:tab/>
      </w:r>
      <w:r>
        <w:tab/>
        <w:t>Fiscal Year</w:t>
      </w:r>
    </w:p>
    <w:p w:rsidR="00816C7C" w:rsidRPr="00816C7C" w:rsidRDefault="00816C7C" w:rsidP="00816C7C">
      <w:pPr>
        <w:autoSpaceDE w:val="0"/>
        <w:autoSpaceDN w:val="0"/>
        <w:adjustRightInd w:val="0"/>
      </w:pPr>
      <w:r w:rsidRPr="00816C7C">
        <w:t xml:space="preserve">GIS </w:t>
      </w:r>
      <w:r>
        <w:tab/>
      </w:r>
      <w:r>
        <w:tab/>
      </w:r>
      <w:r>
        <w:tab/>
      </w:r>
      <w:r w:rsidRPr="00816C7C">
        <w:t>Geographic Information System</w:t>
      </w:r>
    </w:p>
    <w:p w:rsidR="00816C7C" w:rsidRPr="00816C7C" w:rsidRDefault="00463C19" w:rsidP="00816C7C">
      <w:pPr>
        <w:autoSpaceDE w:val="0"/>
        <w:autoSpaceDN w:val="0"/>
        <w:adjustRightInd w:val="0"/>
      </w:pPr>
      <w:proofErr w:type="spellStart"/>
      <w:r>
        <w:t>Go</w:t>
      </w:r>
      <w:r w:rsidR="00816C7C" w:rsidRPr="00816C7C">
        <w:t>C</w:t>
      </w:r>
      <w:proofErr w:type="spellEnd"/>
      <w:r w:rsidR="00816C7C" w:rsidRPr="00816C7C">
        <w:t xml:space="preserve"> </w:t>
      </w:r>
      <w:r w:rsidR="00816C7C">
        <w:tab/>
      </w:r>
      <w:r w:rsidR="00816C7C">
        <w:tab/>
      </w:r>
      <w:r w:rsidR="00816C7C">
        <w:tab/>
      </w:r>
      <w:r w:rsidR="00816C7C" w:rsidRPr="00816C7C">
        <w:t>Government of Colombia</w:t>
      </w:r>
    </w:p>
    <w:p w:rsidR="00816C7C" w:rsidRPr="00816C7C" w:rsidRDefault="00816C7C" w:rsidP="00816C7C">
      <w:pPr>
        <w:autoSpaceDE w:val="0"/>
        <w:autoSpaceDN w:val="0"/>
        <w:adjustRightInd w:val="0"/>
      </w:pPr>
      <w:r w:rsidRPr="00816C7C">
        <w:t xml:space="preserve">GPC </w:t>
      </w:r>
      <w:r>
        <w:tab/>
      </w:r>
      <w:r>
        <w:tab/>
      </w:r>
      <w:r>
        <w:tab/>
      </w:r>
      <w:r w:rsidRPr="00816C7C">
        <w:t>Risk Management Group</w:t>
      </w:r>
    </w:p>
    <w:p w:rsidR="00816C7C" w:rsidRPr="00816C7C" w:rsidRDefault="00816C7C" w:rsidP="00816C7C">
      <w:pPr>
        <w:autoSpaceDE w:val="0"/>
        <w:autoSpaceDN w:val="0"/>
        <w:adjustRightInd w:val="0"/>
      </w:pPr>
      <w:r w:rsidRPr="00816C7C">
        <w:t xml:space="preserve">IDEAM </w:t>
      </w:r>
      <w:r>
        <w:tab/>
      </w:r>
      <w:r>
        <w:tab/>
      </w:r>
      <w:r w:rsidRPr="00816C7C">
        <w:t>Institute for Hydrology, Meteorology and Environment Studies</w:t>
      </w:r>
    </w:p>
    <w:p w:rsidR="00816C7C" w:rsidRPr="00816C7C" w:rsidRDefault="00816C7C" w:rsidP="00816C7C">
      <w:pPr>
        <w:autoSpaceDE w:val="0"/>
        <w:autoSpaceDN w:val="0"/>
        <w:adjustRightInd w:val="0"/>
      </w:pPr>
      <w:r w:rsidRPr="00816C7C">
        <w:t xml:space="preserve">INGEOMINAS </w:t>
      </w:r>
      <w:r>
        <w:tab/>
      </w:r>
      <w:r w:rsidRPr="00816C7C">
        <w:t>National Geological and Mining Institute</w:t>
      </w:r>
    </w:p>
    <w:p w:rsidR="008A6239" w:rsidRDefault="008A6239" w:rsidP="00816C7C">
      <w:pPr>
        <w:autoSpaceDE w:val="0"/>
        <w:autoSpaceDN w:val="0"/>
        <w:adjustRightInd w:val="0"/>
      </w:pPr>
      <w:r>
        <w:t>INVIAS</w:t>
      </w:r>
      <w:r>
        <w:tab/>
      </w:r>
      <w:r>
        <w:tab/>
        <w:t>National Roads Institute</w:t>
      </w:r>
    </w:p>
    <w:p w:rsidR="00AD4189" w:rsidRDefault="00AD4189" w:rsidP="00816C7C">
      <w:pPr>
        <w:autoSpaceDE w:val="0"/>
        <w:autoSpaceDN w:val="0"/>
        <w:adjustRightInd w:val="0"/>
      </w:pPr>
      <w:r>
        <w:t>ISR</w:t>
      </w:r>
      <w:r>
        <w:tab/>
      </w:r>
      <w:r>
        <w:tab/>
      </w:r>
      <w:r>
        <w:tab/>
        <w:t>Implementation Status Report</w:t>
      </w:r>
    </w:p>
    <w:p w:rsidR="00AD4189" w:rsidRDefault="00AD4189" w:rsidP="00816C7C">
      <w:pPr>
        <w:autoSpaceDE w:val="0"/>
        <w:autoSpaceDN w:val="0"/>
        <w:adjustRightInd w:val="0"/>
      </w:pPr>
      <w:r>
        <w:t>IP</w:t>
      </w:r>
      <w:r>
        <w:tab/>
      </w:r>
      <w:r>
        <w:tab/>
      </w:r>
      <w:r>
        <w:tab/>
      </w:r>
      <w:r w:rsidRPr="00AD4189">
        <w:t>Implementation Progress</w:t>
      </w:r>
    </w:p>
    <w:p w:rsidR="00816C7C" w:rsidRPr="00816C7C" w:rsidRDefault="00816C7C" w:rsidP="00816C7C">
      <w:pPr>
        <w:autoSpaceDE w:val="0"/>
        <w:autoSpaceDN w:val="0"/>
        <w:adjustRightInd w:val="0"/>
      </w:pPr>
      <w:r w:rsidRPr="00816C7C">
        <w:t xml:space="preserve">MEN </w:t>
      </w:r>
      <w:r>
        <w:tab/>
      </w:r>
      <w:r>
        <w:tab/>
      </w:r>
      <w:r>
        <w:tab/>
      </w:r>
      <w:r w:rsidRPr="00816C7C">
        <w:t>Ministry of Education</w:t>
      </w:r>
    </w:p>
    <w:p w:rsidR="00816C7C" w:rsidRPr="00816C7C" w:rsidRDefault="00816C7C" w:rsidP="00816C7C">
      <w:pPr>
        <w:autoSpaceDE w:val="0"/>
        <w:autoSpaceDN w:val="0"/>
        <w:adjustRightInd w:val="0"/>
      </w:pPr>
      <w:r w:rsidRPr="00816C7C">
        <w:t xml:space="preserve">MHCP </w:t>
      </w:r>
      <w:r>
        <w:tab/>
      </w:r>
      <w:r>
        <w:tab/>
      </w:r>
      <w:r w:rsidRPr="00816C7C">
        <w:t xml:space="preserve">Ministry of </w:t>
      </w:r>
      <w:r w:rsidR="00766BC7">
        <w:t xml:space="preserve">Public </w:t>
      </w:r>
      <w:r w:rsidRPr="00816C7C">
        <w:t>Finance and Public Credit</w:t>
      </w:r>
    </w:p>
    <w:p w:rsidR="008A6239" w:rsidRDefault="008A6239" w:rsidP="00816C7C">
      <w:pPr>
        <w:autoSpaceDE w:val="0"/>
        <w:autoSpaceDN w:val="0"/>
        <w:adjustRightInd w:val="0"/>
      </w:pPr>
      <w:r>
        <w:t>MAVDT</w:t>
      </w:r>
      <w:r>
        <w:tab/>
      </w:r>
      <w:r>
        <w:tab/>
        <w:t>Ministry of Environment, Housing and Territorial Development</w:t>
      </w:r>
    </w:p>
    <w:p w:rsidR="00816C7C" w:rsidRPr="00816C7C" w:rsidRDefault="00816C7C" w:rsidP="00816C7C">
      <w:pPr>
        <w:autoSpaceDE w:val="0"/>
        <w:autoSpaceDN w:val="0"/>
        <w:adjustRightInd w:val="0"/>
      </w:pPr>
      <w:r w:rsidRPr="00816C7C">
        <w:t>MV</w:t>
      </w:r>
      <w:r w:rsidR="00DD262B">
        <w:t>C</w:t>
      </w:r>
      <w:r w:rsidRPr="00816C7C">
        <w:t xml:space="preserve">T </w:t>
      </w:r>
      <w:r>
        <w:tab/>
      </w:r>
      <w:r>
        <w:tab/>
      </w:r>
      <w:r w:rsidRPr="00816C7C">
        <w:t>Ministry of Housing</w:t>
      </w:r>
      <w:r w:rsidR="00721AB3">
        <w:t>, Cities</w:t>
      </w:r>
      <w:r w:rsidRPr="00816C7C">
        <w:t xml:space="preserve"> and </w:t>
      </w:r>
      <w:r w:rsidR="00646008">
        <w:t>Territories</w:t>
      </w:r>
    </w:p>
    <w:p w:rsidR="00816C7C" w:rsidRPr="00816C7C" w:rsidRDefault="00816C7C" w:rsidP="00816C7C">
      <w:pPr>
        <w:autoSpaceDE w:val="0"/>
        <w:autoSpaceDN w:val="0"/>
        <w:adjustRightInd w:val="0"/>
      </w:pPr>
      <w:r w:rsidRPr="00816C7C">
        <w:t xml:space="preserve">MOPT </w:t>
      </w:r>
      <w:r>
        <w:tab/>
      </w:r>
      <w:r>
        <w:tab/>
      </w:r>
      <w:r w:rsidRPr="00816C7C">
        <w:t>Ministry of Transport and Public Works</w:t>
      </w:r>
    </w:p>
    <w:p w:rsidR="00816C7C" w:rsidRPr="00816C7C" w:rsidRDefault="00816C7C" w:rsidP="00816C7C">
      <w:pPr>
        <w:autoSpaceDE w:val="0"/>
        <w:autoSpaceDN w:val="0"/>
        <w:adjustRightInd w:val="0"/>
      </w:pPr>
      <w:r w:rsidRPr="00816C7C">
        <w:t xml:space="preserve">MPS </w:t>
      </w:r>
      <w:r>
        <w:tab/>
      </w:r>
      <w:r>
        <w:tab/>
      </w:r>
      <w:r>
        <w:tab/>
      </w:r>
      <w:r w:rsidRPr="00816C7C">
        <w:t>Ministry of Social Protection</w:t>
      </w:r>
    </w:p>
    <w:p w:rsidR="00086F35" w:rsidRDefault="00816C7C" w:rsidP="00816C7C">
      <w:pPr>
        <w:autoSpaceDE w:val="0"/>
        <w:autoSpaceDN w:val="0"/>
        <w:adjustRightInd w:val="0"/>
      </w:pPr>
      <w:r w:rsidRPr="00816C7C">
        <w:t xml:space="preserve">PDMs </w:t>
      </w:r>
      <w:r>
        <w:tab/>
      </w:r>
      <w:r>
        <w:tab/>
      </w:r>
      <w:r>
        <w:tab/>
      </w:r>
      <w:r w:rsidRPr="00816C7C">
        <w:t>Municipal Development Plans</w:t>
      </w:r>
    </w:p>
    <w:p w:rsidR="00AD4189" w:rsidRPr="00816C7C" w:rsidRDefault="00AD4189" w:rsidP="00816C7C">
      <w:pPr>
        <w:autoSpaceDE w:val="0"/>
        <w:autoSpaceDN w:val="0"/>
        <w:adjustRightInd w:val="0"/>
      </w:pPr>
      <w:r>
        <w:t>PDO</w:t>
      </w:r>
      <w:r>
        <w:tab/>
      </w:r>
      <w:r>
        <w:tab/>
      </w:r>
      <w:r>
        <w:tab/>
        <w:t>Project Development Objective</w:t>
      </w:r>
    </w:p>
    <w:p w:rsidR="00816C7C" w:rsidRPr="00E5462B" w:rsidRDefault="00D756E2" w:rsidP="0037571E">
      <w:pPr>
        <w:autoSpaceDE w:val="0"/>
        <w:autoSpaceDN w:val="0"/>
        <w:adjustRightInd w:val="0"/>
        <w:ind w:left="2160" w:hanging="2160"/>
      </w:pPr>
      <w:r w:rsidRPr="00E5462B">
        <w:t xml:space="preserve">PNPAD </w:t>
      </w:r>
      <w:r w:rsidRPr="00E5462B">
        <w:tab/>
        <w:t>National Disaster Prevention and Attention Plan</w:t>
      </w:r>
    </w:p>
    <w:p w:rsidR="008A6239" w:rsidRDefault="00816C7C" w:rsidP="00816C7C">
      <w:pPr>
        <w:autoSpaceDE w:val="0"/>
        <w:autoSpaceDN w:val="0"/>
        <w:adjustRightInd w:val="0"/>
      </w:pPr>
      <w:r w:rsidRPr="00816C7C">
        <w:t xml:space="preserve">POTs </w:t>
      </w:r>
      <w:r w:rsidR="00C71E5F">
        <w:tab/>
      </w:r>
      <w:r w:rsidR="00C71E5F">
        <w:tab/>
      </w:r>
      <w:r w:rsidR="00C71E5F">
        <w:tab/>
      </w:r>
      <w:r w:rsidRPr="00816C7C">
        <w:t>Land Use Plans</w:t>
      </w:r>
    </w:p>
    <w:p w:rsidR="00816C7C" w:rsidRPr="00816C7C" w:rsidRDefault="00816C7C" w:rsidP="00816C7C">
      <w:pPr>
        <w:autoSpaceDE w:val="0"/>
        <w:autoSpaceDN w:val="0"/>
        <w:adjustRightInd w:val="0"/>
      </w:pPr>
      <w:r w:rsidRPr="00816C7C">
        <w:t xml:space="preserve">SA </w:t>
      </w:r>
      <w:r w:rsidR="00C71E5F">
        <w:tab/>
      </w:r>
      <w:r w:rsidR="00C71E5F">
        <w:tab/>
      </w:r>
      <w:r w:rsidR="00C71E5F">
        <w:tab/>
      </w:r>
      <w:r w:rsidRPr="00816C7C">
        <w:t>Special Account</w:t>
      </w:r>
    </w:p>
    <w:p w:rsidR="00816C7C" w:rsidRPr="00816C7C" w:rsidRDefault="00816C7C" w:rsidP="0037571E">
      <w:pPr>
        <w:autoSpaceDE w:val="0"/>
        <w:autoSpaceDN w:val="0"/>
        <w:adjustRightInd w:val="0"/>
        <w:ind w:left="2160" w:hanging="2160"/>
      </w:pPr>
      <w:r w:rsidRPr="00816C7C">
        <w:t xml:space="preserve">SNPAD </w:t>
      </w:r>
      <w:r w:rsidR="00C71E5F">
        <w:tab/>
      </w:r>
      <w:r w:rsidRPr="00816C7C">
        <w:t xml:space="preserve">National System for Disaster </w:t>
      </w:r>
      <w:r w:rsidR="00101E9E">
        <w:t xml:space="preserve">Prevention and Emergency </w:t>
      </w:r>
      <w:r w:rsidRPr="00816C7C">
        <w:t xml:space="preserve">Response </w:t>
      </w:r>
    </w:p>
    <w:p w:rsidR="00816C7C" w:rsidRPr="00816C7C" w:rsidRDefault="00816C7C" w:rsidP="00816C7C">
      <w:pPr>
        <w:autoSpaceDE w:val="0"/>
        <w:autoSpaceDN w:val="0"/>
        <w:adjustRightInd w:val="0"/>
      </w:pPr>
      <w:r w:rsidRPr="00816C7C">
        <w:t xml:space="preserve">TA </w:t>
      </w:r>
      <w:r w:rsidR="00C71E5F">
        <w:tab/>
      </w:r>
      <w:r w:rsidR="00C71E5F">
        <w:tab/>
      </w:r>
      <w:r w:rsidR="00C71E5F">
        <w:tab/>
      </w:r>
      <w:r w:rsidRPr="00816C7C">
        <w:t>Technical Assistance</w:t>
      </w:r>
    </w:p>
    <w:p w:rsidR="00816C7C" w:rsidRPr="00816C7C" w:rsidRDefault="00816C7C" w:rsidP="00816C7C">
      <w:pPr>
        <w:autoSpaceDE w:val="0"/>
        <w:autoSpaceDN w:val="0"/>
        <w:adjustRightInd w:val="0"/>
      </w:pPr>
      <w:r w:rsidRPr="00816C7C">
        <w:t xml:space="preserve">VMA </w:t>
      </w:r>
      <w:r w:rsidR="008A6239">
        <w:tab/>
      </w:r>
      <w:r w:rsidR="008A6239">
        <w:tab/>
      </w:r>
      <w:r w:rsidR="008A6239">
        <w:tab/>
      </w:r>
      <w:proofErr w:type="gramStart"/>
      <w:r w:rsidR="008A6239">
        <w:t>Vice</w:t>
      </w:r>
      <w:proofErr w:type="gramEnd"/>
      <w:r w:rsidR="008A6239">
        <w:t xml:space="preserve"> </w:t>
      </w:r>
      <w:r w:rsidRPr="00816C7C">
        <w:t>Ministry for Environment</w:t>
      </w:r>
    </w:p>
    <w:p w:rsidR="0067724E" w:rsidRPr="00816C7C" w:rsidRDefault="00816C7C" w:rsidP="00816C7C">
      <w:pPr>
        <w:autoSpaceDE w:val="0"/>
        <w:autoSpaceDN w:val="0"/>
        <w:adjustRightInd w:val="0"/>
      </w:pPr>
      <w:r w:rsidRPr="00816C7C">
        <w:t xml:space="preserve">VMVDT </w:t>
      </w:r>
      <w:r w:rsidR="00C71E5F">
        <w:tab/>
      </w:r>
      <w:r w:rsidR="00C71E5F">
        <w:tab/>
      </w:r>
      <w:proofErr w:type="gramStart"/>
      <w:r w:rsidR="008A6239">
        <w:t>Vice</w:t>
      </w:r>
      <w:proofErr w:type="gramEnd"/>
      <w:r w:rsidR="008A6239">
        <w:t xml:space="preserve"> </w:t>
      </w:r>
      <w:r w:rsidRPr="00816C7C">
        <w:t>Ministry for Housing and Urban Development</w:t>
      </w:r>
    </w:p>
    <w:p w:rsidR="00624E55" w:rsidRDefault="00624E55" w:rsidP="00E53656"/>
    <w:p w:rsidR="00624E55" w:rsidRPr="004A37DA" w:rsidRDefault="00624E55" w:rsidP="00E53656"/>
    <w:tbl>
      <w:tblPr>
        <w:tblpPr w:leftFromText="180" w:rightFromText="180" w:vertAnchor="text" w:horzAnchor="margin" w:tblpY="32"/>
        <w:tblOverlap w:val="never"/>
        <w:tblW w:w="8479" w:type="dxa"/>
        <w:tblBorders>
          <w:top w:val="single" w:sz="4" w:space="0" w:color="auto"/>
          <w:left w:val="single" w:sz="4" w:space="0" w:color="auto"/>
          <w:bottom w:val="single" w:sz="4" w:space="0" w:color="auto"/>
          <w:right w:val="single" w:sz="4" w:space="0" w:color="auto"/>
        </w:tblBorders>
        <w:tblLook w:val="0000"/>
      </w:tblPr>
      <w:tblGrid>
        <w:gridCol w:w="4074"/>
        <w:gridCol w:w="329"/>
        <w:gridCol w:w="4076"/>
      </w:tblGrid>
      <w:tr w:rsidR="0093332E" w:rsidRPr="0093332E" w:rsidTr="00997805">
        <w:trPr>
          <w:trHeight w:val="264"/>
        </w:trPr>
        <w:tc>
          <w:tcPr>
            <w:tcW w:w="4074" w:type="dxa"/>
          </w:tcPr>
          <w:p w:rsidR="0093332E" w:rsidRPr="0093332E" w:rsidRDefault="0093332E" w:rsidP="0093332E">
            <w:r w:rsidRPr="0093332E">
              <w:t>Vice President:</w:t>
            </w:r>
          </w:p>
        </w:tc>
        <w:tc>
          <w:tcPr>
            <w:tcW w:w="329" w:type="dxa"/>
          </w:tcPr>
          <w:p w:rsidR="0093332E" w:rsidRPr="0093332E" w:rsidRDefault="0093332E" w:rsidP="0093332E"/>
        </w:tc>
        <w:tc>
          <w:tcPr>
            <w:tcW w:w="4076" w:type="dxa"/>
          </w:tcPr>
          <w:p w:rsidR="0093332E" w:rsidRPr="002D6222" w:rsidRDefault="00E82AEA" w:rsidP="0093332E">
            <w:r w:rsidRPr="002D6222">
              <w:t>Pamela Cox</w:t>
            </w:r>
          </w:p>
        </w:tc>
      </w:tr>
      <w:tr w:rsidR="0093332E" w:rsidRPr="0093332E" w:rsidTr="00997805">
        <w:trPr>
          <w:trHeight w:val="279"/>
        </w:trPr>
        <w:tc>
          <w:tcPr>
            <w:tcW w:w="4074" w:type="dxa"/>
          </w:tcPr>
          <w:p w:rsidR="0093332E" w:rsidRPr="0093332E" w:rsidRDefault="0093332E" w:rsidP="0093332E">
            <w:bookmarkStart w:id="1" w:name="basctryd_fld_lbl"/>
            <w:r w:rsidRPr="0093332E">
              <w:t>Country Director:</w:t>
            </w:r>
            <w:bookmarkEnd w:id="1"/>
          </w:p>
        </w:tc>
        <w:tc>
          <w:tcPr>
            <w:tcW w:w="329" w:type="dxa"/>
          </w:tcPr>
          <w:p w:rsidR="0093332E" w:rsidRPr="0093332E" w:rsidRDefault="0093332E" w:rsidP="0093332E"/>
        </w:tc>
        <w:tc>
          <w:tcPr>
            <w:tcW w:w="4076" w:type="dxa"/>
          </w:tcPr>
          <w:p w:rsidR="0093332E" w:rsidRPr="0093332E" w:rsidRDefault="0093332E" w:rsidP="0093332E">
            <w:r w:rsidRPr="0093332E">
              <w:t xml:space="preserve">Gloria M. </w:t>
            </w:r>
            <w:proofErr w:type="spellStart"/>
            <w:r w:rsidRPr="0093332E">
              <w:t>Grandolini</w:t>
            </w:r>
            <w:proofErr w:type="spellEnd"/>
          </w:p>
        </w:tc>
      </w:tr>
      <w:tr w:rsidR="0093332E" w:rsidRPr="0093332E" w:rsidTr="00997805">
        <w:trPr>
          <w:trHeight w:val="279"/>
        </w:trPr>
        <w:tc>
          <w:tcPr>
            <w:tcW w:w="4074" w:type="dxa"/>
          </w:tcPr>
          <w:p w:rsidR="0093332E" w:rsidRPr="0093332E" w:rsidRDefault="0093332E" w:rsidP="00030D2A">
            <w:bookmarkStart w:id="2" w:name="bassmd_fld_lbl"/>
            <w:r w:rsidRPr="0093332E">
              <w:t>Sector Manager:</w:t>
            </w:r>
            <w:bookmarkEnd w:id="2"/>
          </w:p>
        </w:tc>
        <w:tc>
          <w:tcPr>
            <w:tcW w:w="329" w:type="dxa"/>
          </w:tcPr>
          <w:p w:rsidR="0093332E" w:rsidRPr="0093332E" w:rsidRDefault="0093332E" w:rsidP="0093332E"/>
        </w:tc>
        <w:tc>
          <w:tcPr>
            <w:tcW w:w="4076" w:type="dxa"/>
          </w:tcPr>
          <w:p w:rsidR="0093332E" w:rsidRPr="0093332E" w:rsidRDefault="0093332E" w:rsidP="0093332E">
            <w:proofErr w:type="spellStart"/>
            <w:r w:rsidRPr="0093332E">
              <w:t>Guang</w:t>
            </w:r>
            <w:proofErr w:type="spellEnd"/>
            <w:r w:rsidRPr="0093332E">
              <w:t xml:space="preserve"> </w:t>
            </w:r>
            <w:proofErr w:type="spellStart"/>
            <w:r w:rsidRPr="0093332E">
              <w:t>Zhe</w:t>
            </w:r>
            <w:proofErr w:type="spellEnd"/>
            <w:r w:rsidRPr="0093332E">
              <w:t xml:space="preserve"> Chen</w:t>
            </w:r>
          </w:p>
        </w:tc>
      </w:tr>
      <w:tr w:rsidR="0093332E" w:rsidRPr="0093332E" w:rsidTr="00997805">
        <w:trPr>
          <w:trHeight w:val="279"/>
        </w:trPr>
        <w:tc>
          <w:tcPr>
            <w:tcW w:w="4074" w:type="dxa"/>
          </w:tcPr>
          <w:p w:rsidR="0093332E" w:rsidRPr="0093332E" w:rsidRDefault="0093332E" w:rsidP="0093332E">
            <w:bookmarkStart w:id="3" w:name="basttl_fld_lbl"/>
            <w:r w:rsidRPr="0093332E">
              <w:t>Task Team Leader:</w:t>
            </w:r>
            <w:bookmarkEnd w:id="3"/>
          </w:p>
        </w:tc>
        <w:tc>
          <w:tcPr>
            <w:tcW w:w="329" w:type="dxa"/>
          </w:tcPr>
          <w:p w:rsidR="0093332E" w:rsidRPr="0093332E" w:rsidRDefault="0093332E" w:rsidP="0093332E"/>
        </w:tc>
        <w:tc>
          <w:tcPr>
            <w:tcW w:w="4076" w:type="dxa"/>
          </w:tcPr>
          <w:p w:rsidR="0093332E" w:rsidRPr="0093332E" w:rsidRDefault="0093332E" w:rsidP="0093332E">
            <w:bookmarkStart w:id="4" w:name="basttl_fld"/>
            <w:proofErr w:type="spellStart"/>
            <w:r w:rsidRPr="0093332E">
              <w:t>Niels</w:t>
            </w:r>
            <w:proofErr w:type="spellEnd"/>
            <w:r w:rsidRPr="0093332E">
              <w:t xml:space="preserve"> B. Holm-Nielsen</w:t>
            </w:r>
            <w:bookmarkEnd w:id="4"/>
          </w:p>
        </w:tc>
      </w:tr>
    </w:tbl>
    <w:p w:rsidR="00E53656" w:rsidRPr="004A37DA" w:rsidRDefault="00E53656" w:rsidP="00E53656"/>
    <w:p w:rsidR="00EC6D5A" w:rsidRPr="004A37DA" w:rsidRDefault="00EC6D5A">
      <w:r w:rsidRPr="004A37DA">
        <w:br w:type="page"/>
      </w:r>
    </w:p>
    <w:p w:rsidR="00E53656" w:rsidRPr="004A37DA" w:rsidRDefault="00E53656" w:rsidP="00E53656"/>
    <w:p w:rsidR="000313F1" w:rsidRDefault="0078074E" w:rsidP="000313F1">
      <w:pPr>
        <w:jc w:val="center"/>
      </w:pPr>
      <w:bookmarkStart w:id="5" w:name="basctry_fld"/>
      <w:r w:rsidRPr="009B31FA">
        <w:rPr>
          <w:b/>
          <w:bCs/>
          <w:caps/>
        </w:rPr>
        <w:t>Colombia</w:t>
      </w:r>
      <w:bookmarkEnd w:id="5"/>
      <w:r w:rsidR="000313F1" w:rsidRPr="009B31FA">
        <w:t xml:space="preserve"> </w:t>
      </w:r>
    </w:p>
    <w:p w:rsidR="00D150E5" w:rsidRPr="009B31FA" w:rsidRDefault="00D150E5" w:rsidP="000313F1">
      <w:pPr>
        <w:jc w:val="center"/>
      </w:pPr>
    </w:p>
    <w:p w:rsidR="000313F1" w:rsidRPr="006F5A49" w:rsidRDefault="00D150E5" w:rsidP="000313F1">
      <w:pPr>
        <w:jc w:val="center"/>
        <w:rPr>
          <w:b/>
          <w:bCs/>
          <w:caps/>
        </w:rPr>
      </w:pPr>
      <w:r w:rsidRPr="006F5A49">
        <w:rPr>
          <w:b/>
          <w:color w:val="000000"/>
          <w:szCs w:val="22"/>
        </w:rPr>
        <w:t xml:space="preserve">National Disaster Vulnerability Reduction Project </w:t>
      </w:r>
      <w:r w:rsidRPr="006F5A49">
        <w:rPr>
          <w:b/>
          <w:color w:val="000000"/>
          <w:szCs w:val="22"/>
        </w:rPr>
        <w:br/>
        <w:t>First Phase APL</w:t>
      </w:r>
    </w:p>
    <w:p w:rsidR="000313F1" w:rsidRPr="009B31FA" w:rsidRDefault="0078074E" w:rsidP="000313F1">
      <w:pPr>
        <w:jc w:val="center"/>
        <w:rPr>
          <w:color w:val="FFFFFF" w:themeColor="background1"/>
        </w:rPr>
      </w:pPr>
      <w:bookmarkStart w:id="6" w:name="basprojid_fld"/>
      <w:r w:rsidRPr="009B31FA">
        <w:rPr>
          <w:color w:val="FFFFFF" w:themeColor="background1"/>
        </w:rPr>
        <w:t>P082429</w:t>
      </w:r>
      <w:bookmarkEnd w:id="6"/>
    </w:p>
    <w:p w:rsidR="00E53656" w:rsidRPr="009B31FA" w:rsidRDefault="00E53656" w:rsidP="00E53656">
      <w:pPr>
        <w:jc w:val="center"/>
        <w:rPr>
          <w:b/>
          <w:bCs/>
          <w:caps/>
        </w:rPr>
      </w:pPr>
      <w:r w:rsidRPr="009B31FA">
        <w:rPr>
          <w:b/>
          <w:bCs/>
          <w:caps/>
        </w:rPr>
        <w:t>Contents</w:t>
      </w:r>
    </w:p>
    <w:p w:rsidR="00E53656" w:rsidRPr="009B31FA" w:rsidRDefault="00E53656" w:rsidP="00E53656">
      <w:pPr>
        <w:jc w:val="center"/>
      </w:pPr>
    </w:p>
    <w:p w:rsidR="00E53656" w:rsidRPr="009B31FA" w:rsidRDefault="00E53656" w:rsidP="00E53656">
      <w:pPr>
        <w:jc w:val="right"/>
        <w:rPr>
          <w:bCs/>
        </w:rPr>
      </w:pPr>
      <w:r w:rsidRPr="009B31FA">
        <w:rPr>
          <w:bCs/>
        </w:rPr>
        <w:t>Page</w:t>
      </w:r>
    </w:p>
    <w:p w:rsidR="00B60878" w:rsidRPr="00DD262B" w:rsidRDefault="00B60878" w:rsidP="009F448A">
      <w:pPr>
        <w:pStyle w:val="TOC1"/>
        <w:rPr>
          <w:noProof/>
        </w:rPr>
      </w:pPr>
      <w:r w:rsidRPr="00DD262B">
        <w:rPr>
          <w:noProof/>
        </w:rPr>
        <w:t>A.</w:t>
      </w:r>
      <w:r w:rsidRPr="00DD262B">
        <w:rPr>
          <w:noProof/>
        </w:rPr>
        <w:tab/>
        <w:t>SUMMARY</w:t>
      </w:r>
      <w:r w:rsidRPr="00DD262B">
        <w:rPr>
          <w:noProof/>
        </w:rPr>
        <w:tab/>
      </w:r>
      <w:r w:rsidR="00B641E3">
        <w:rPr>
          <w:noProof/>
        </w:rPr>
        <w:t>1</w:t>
      </w:r>
    </w:p>
    <w:p w:rsidR="00B60878" w:rsidRPr="00DD262B" w:rsidRDefault="00B60878" w:rsidP="009F448A">
      <w:pPr>
        <w:pStyle w:val="TOC1"/>
        <w:rPr>
          <w:noProof/>
        </w:rPr>
      </w:pPr>
      <w:r w:rsidRPr="00DD262B">
        <w:rPr>
          <w:noProof/>
        </w:rPr>
        <w:t>B.</w:t>
      </w:r>
      <w:r w:rsidRPr="00DD262B">
        <w:rPr>
          <w:noProof/>
        </w:rPr>
        <w:tab/>
        <w:t>PROJECT STATUS</w:t>
      </w:r>
      <w:r w:rsidRPr="00DD262B">
        <w:rPr>
          <w:noProof/>
        </w:rPr>
        <w:tab/>
      </w:r>
      <w:r w:rsidR="00B641E3">
        <w:rPr>
          <w:noProof/>
        </w:rPr>
        <w:t>1</w:t>
      </w:r>
    </w:p>
    <w:p w:rsidR="00B60878" w:rsidRPr="00DD262B" w:rsidRDefault="00B60878" w:rsidP="009F448A">
      <w:pPr>
        <w:pStyle w:val="TOC1"/>
        <w:rPr>
          <w:noProof/>
        </w:rPr>
      </w:pPr>
      <w:r w:rsidRPr="00DD262B">
        <w:rPr>
          <w:noProof/>
        </w:rPr>
        <w:t>C.</w:t>
      </w:r>
      <w:r w:rsidRPr="00DD262B">
        <w:rPr>
          <w:noProof/>
        </w:rPr>
        <w:tab/>
        <w:t>PROPOSED CHANGES</w:t>
      </w:r>
      <w:r w:rsidRPr="00DD262B">
        <w:rPr>
          <w:noProof/>
        </w:rPr>
        <w:tab/>
      </w:r>
      <w:r w:rsidR="00B641E3">
        <w:rPr>
          <w:noProof/>
        </w:rPr>
        <w:t>3</w:t>
      </w:r>
    </w:p>
    <w:p w:rsidR="00B60878" w:rsidRPr="00DD262B" w:rsidRDefault="00B60878" w:rsidP="009F448A">
      <w:pPr>
        <w:pStyle w:val="TOC1"/>
        <w:rPr>
          <w:noProof/>
        </w:rPr>
      </w:pPr>
      <w:r w:rsidRPr="00DD262B">
        <w:rPr>
          <w:noProof/>
        </w:rPr>
        <w:t>D.</w:t>
      </w:r>
      <w:r w:rsidRPr="00DD262B">
        <w:rPr>
          <w:noProof/>
        </w:rPr>
        <w:tab/>
        <w:t>APPRAISAL SUMMARY</w:t>
      </w:r>
      <w:r w:rsidRPr="00DD262B">
        <w:rPr>
          <w:noProof/>
        </w:rPr>
        <w:tab/>
      </w:r>
      <w:r w:rsidR="00B641E3">
        <w:rPr>
          <w:noProof/>
        </w:rPr>
        <w:t>5</w:t>
      </w:r>
    </w:p>
    <w:p w:rsidR="008D0816" w:rsidRPr="00DD262B" w:rsidRDefault="008D0816" w:rsidP="009F448A">
      <w:pPr>
        <w:pStyle w:val="TOC1"/>
        <w:rPr>
          <w:noProof/>
        </w:rPr>
      </w:pPr>
      <w:r w:rsidRPr="00DD262B">
        <w:rPr>
          <w:noProof/>
        </w:rPr>
        <w:t>ANNEX 1: RESULTS FRAMEWORK AND MONITORING</w:t>
      </w:r>
      <w:r w:rsidRPr="00DD262B">
        <w:rPr>
          <w:noProof/>
        </w:rPr>
        <w:tab/>
      </w:r>
      <w:r w:rsidR="00B641E3">
        <w:rPr>
          <w:noProof/>
        </w:rPr>
        <w:t>6</w:t>
      </w:r>
    </w:p>
    <w:p w:rsidR="00853D8E" w:rsidRPr="00DD262B" w:rsidRDefault="00853D8E" w:rsidP="009F448A">
      <w:pPr>
        <w:pStyle w:val="TOC1"/>
        <w:rPr>
          <w:noProof/>
          <w:webHidden/>
        </w:rPr>
      </w:pPr>
      <w:r w:rsidRPr="00DD262B">
        <w:rPr>
          <w:noProof/>
        </w:rPr>
        <w:t xml:space="preserve">ANNEX 2: </w:t>
      </w:r>
      <w:r w:rsidR="00F80961" w:rsidRPr="00DD262B">
        <w:rPr>
          <w:noProof/>
        </w:rPr>
        <w:t>REALLOCATION OF PROCEEDS</w:t>
      </w:r>
      <w:r w:rsidRPr="00DD262B">
        <w:rPr>
          <w:noProof/>
          <w:webHidden/>
        </w:rPr>
        <w:tab/>
      </w:r>
      <w:r w:rsidR="00B641E3">
        <w:rPr>
          <w:noProof/>
          <w:webHidden/>
        </w:rPr>
        <w:t>8</w:t>
      </w:r>
    </w:p>
    <w:p w:rsidR="001F1A21" w:rsidRPr="00F57A80" w:rsidRDefault="001F1A21" w:rsidP="009F448A">
      <w:pPr>
        <w:pStyle w:val="TOC1"/>
        <w:rPr>
          <w:noProof/>
          <w:webHidden/>
        </w:rPr>
      </w:pPr>
      <w:r w:rsidRPr="00DD262B">
        <w:rPr>
          <w:noProof/>
        </w:rPr>
        <w:t>ANNEX 3: EXTENSION OF CLOSING DATE</w:t>
      </w:r>
      <w:r w:rsidRPr="00DD262B">
        <w:rPr>
          <w:noProof/>
        </w:rPr>
        <w:tab/>
      </w:r>
      <w:r w:rsidR="001E06AB">
        <w:rPr>
          <w:noProof/>
        </w:rPr>
        <w:t>1</w:t>
      </w:r>
      <w:r w:rsidR="00B641E3">
        <w:rPr>
          <w:noProof/>
        </w:rPr>
        <w:t>2</w:t>
      </w:r>
    </w:p>
    <w:p w:rsidR="001F1A21" w:rsidRPr="009B31FA" w:rsidRDefault="001F1A21" w:rsidP="001F1A21">
      <w:pPr>
        <w:rPr>
          <w:rFonts w:eastAsiaTheme="minorEastAsia"/>
        </w:rPr>
      </w:pPr>
    </w:p>
    <w:p w:rsidR="00692882" w:rsidRDefault="00692882" w:rsidP="001F1A21">
      <w:pPr>
        <w:rPr>
          <w:rFonts w:eastAsiaTheme="minorEastAsia"/>
        </w:rPr>
        <w:sectPr w:rsidR="00692882" w:rsidSect="008B3054">
          <w:headerReference w:type="even" r:id="rId8"/>
          <w:headerReference w:type="default" r:id="rId9"/>
          <w:footerReference w:type="default" r:id="rId10"/>
          <w:footerReference w:type="first" r:id="rId11"/>
          <w:pgSz w:w="12240" w:h="15840"/>
          <w:pgMar w:top="1440" w:right="1800" w:bottom="1080" w:left="1800" w:header="720" w:footer="720" w:gutter="0"/>
          <w:cols w:space="720"/>
          <w:titlePg/>
          <w:docGrid w:linePitch="360"/>
        </w:sectPr>
      </w:pPr>
    </w:p>
    <w:p w:rsidR="001F1A21" w:rsidRPr="001F1A21" w:rsidRDefault="001F1A21" w:rsidP="001F1A21">
      <w:pPr>
        <w:rPr>
          <w:rFonts w:eastAsiaTheme="minorEastAsia"/>
        </w:rPr>
      </w:pPr>
    </w:p>
    <w:p w:rsidR="00E53656" w:rsidRPr="004A37DA" w:rsidRDefault="00E53656" w:rsidP="00E53656"/>
    <w:p w:rsidR="00E53656" w:rsidRPr="004A37DA" w:rsidRDefault="00E53656" w:rsidP="00E53656">
      <w:r w:rsidRPr="004A37DA">
        <w:br w:type="page"/>
      </w:r>
    </w:p>
    <w:p w:rsidR="00692882" w:rsidRDefault="00692882" w:rsidP="00C33310">
      <w:pPr>
        <w:jc w:val="center"/>
        <w:rPr>
          <w:b/>
          <w:color w:val="000000"/>
          <w:szCs w:val="22"/>
        </w:rPr>
        <w:sectPr w:rsidR="00692882" w:rsidSect="00692882">
          <w:type w:val="continuous"/>
          <w:pgSz w:w="12240" w:h="15840"/>
          <w:pgMar w:top="1440" w:right="1800" w:bottom="1080" w:left="1800" w:header="720" w:footer="720" w:gutter="0"/>
          <w:cols w:space="720"/>
          <w:titlePg/>
          <w:docGrid w:linePitch="360"/>
        </w:sectPr>
      </w:pPr>
      <w:bookmarkStart w:id="7" w:name="_Toc257726064"/>
    </w:p>
    <w:p w:rsidR="001121B9" w:rsidRPr="006F5A49" w:rsidRDefault="00874CC7" w:rsidP="00C33310">
      <w:pPr>
        <w:jc w:val="center"/>
        <w:rPr>
          <w:b/>
          <w:color w:val="000000"/>
          <w:szCs w:val="22"/>
        </w:rPr>
      </w:pPr>
      <w:r>
        <w:rPr>
          <w:b/>
          <w:color w:val="000000"/>
          <w:szCs w:val="22"/>
        </w:rPr>
        <w:lastRenderedPageBreak/>
        <w:t xml:space="preserve">COLOMBIA </w:t>
      </w:r>
      <w:r w:rsidR="00FF5684" w:rsidRPr="006F5A49">
        <w:rPr>
          <w:b/>
          <w:color w:val="000000"/>
          <w:szCs w:val="22"/>
        </w:rPr>
        <w:t xml:space="preserve">NATIONAL DISASTER VULNERABILITY </w:t>
      </w:r>
      <w:r w:rsidR="005878C1">
        <w:rPr>
          <w:b/>
          <w:color w:val="000000"/>
          <w:szCs w:val="22"/>
        </w:rPr>
        <w:br/>
      </w:r>
      <w:r w:rsidR="00FF5684" w:rsidRPr="006F5A49">
        <w:rPr>
          <w:b/>
          <w:color w:val="000000"/>
          <w:szCs w:val="22"/>
        </w:rPr>
        <w:t xml:space="preserve">REDUCTION </w:t>
      </w:r>
      <w:r>
        <w:rPr>
          <w:b/>
          <w:color w:val="000000"/>
          <w:szCs w:val="22"/>
        </w:rPr>
        <w:t>PROJECT</w:t>
      </w:r>
      <w:r w:rsidR="005878C1">
        <w:rPr>
          <w:b/>
          <w:color w:val="000000"/>
          <w:szCs w:val="22"/>
        </w:rPr>
        <w:t xml:space="preserve"> </w:t>
      </w:r>
      <w:r w:rsidR="00FF5684" w:rsidRPr="006F5A49">
        <w:rPr>
          <w:b/>
          <w:color w:val="000000"/>
          <w:szCs w:val="22"/>
        </w:rPr>
        <w:t>FIRST PHASE APL</w:t>
      </w:r>
    </w:p>
    <w:p w:rsidR="001121B9" w:rsidRPr="009B31FA" w:rsidRDefault="001121B9" w:rsidP="001121B9">
      <w:pPr>
        <w:jc w:val="center"/>
        <w:rPr>
          <w:i/>
        </w:rPr>
      </w:pPr>
    </w:p>
    <w:p w:rsidR="001121B9" w:rsidRPr="009B31FA" w:rsidRDefault="001121B9" w:rsidP="001121B9">
      <w:pPr>
        <w:jc w:val="center"/>
        <w:rPr>
          <w:b/>
        </w:rPr>
      </w:pPr>
      <w:r w:rsidRPr="009B31FA">
        <w:rPr>
          <w:b/>
        </w:rPr>
        <w:t>Restructuring Paper</w:t>
      </w:r>
    </w:p>
    <w:p w:rsidR="009B31FA" w:rsidRPr="00BE6937" w:rsidRDefault="009B31FA" w:rsidP="009B31FA"/>
    <w:p w:rsidR="001121B9" w:rsidRPr="009B31FA" w:rsidRDefault="001121B9" w:rsidP="009B31FA">
      <w:pPr>
        <w:pStyle w:val="Heading1"/>
        <w:ind w:left="360"/>
      </w:pPr>
      <w:bookmarkStart w:id="8" w:name="_Toc257726059"/>
      <w:bookmarkStart w:id="9" w:name="_Ref248036046"/>
      <w:r w:rsidRPr="009B31FA">
        <w:t>SUMMARY</w:t>
      </w:r>
      <w:bookmarkEnd w:id="8"/>
    </w:p>
    <w:p w:rsidR="008A10E3" w:rsidRDefault="001C3BEF" w:rsidP="009F448A">
      <w:pPr>
        <w:spacing w:after="240"/>
        <w:jc w:val="both"/>
      </w:pPr>
      <w:r>
        <w:t>This Restructuring Paper summarizes the request from the Government of Colombia (</w:t>
      </w:r>
      <w:proofErr w:type="spellStart"/>
      <w:r>
        <w:t>GoC</w:t>
      </w:r>
      <w:proofErr w:type="spellEnd"/>
      <w:r>
        <w:t xml:space="preserve">), dated </w:t>
      </w:r>
      <w:r w:rsidRPr="00B50C56">
        <w:t>August 19, 2011</w:t>
      </w:r>
      <w:r w:rsidRPr="001C3BEF">
        <w:t>,</w:t>
      </w:r>
      <w:r>
        <w:t xml:space="preserve"> to </w:t>
      </w:r>
      <w:r w:rsidRPr="00B50C56">
        <w:t xml:space="preserve">introduce changes in the </w:t>
      </w:r>
      <w:r w:rsidR="006F5A49">
        <w:t xml:space="preserve">Colombia </w:t>
      </w:r>
      <w:r w:rsidRPr="001C3BEF">
        <w:t xml:space="preserve">National Disaster Vulnerability Reduction Project First Phase APL. </w:t>
      </w:r>
      <w:r w:rsidR="002838F9">
        <w:t xml:space="preserve">This is a </w:t>
      </w:r>
      <w:r w:rsidR="002D03B0">
        <w:t>Level 2 Restructuring</w:t>
      </w:r>
      <w:r w:rsidR="002838F9">
        <w:t>, and t</w:t>
      </w:r>
      <w:r w:rsidR="002838F9" w:rsidRPr="002838F9">
        <w:t>here is no change in the Project Development Objective (PDO</w:t>
      </w:r>
      <w:r w:rsidR="002838F9">
        <w:t>).</w:t>
      </w:r>
      <w:r w:rsidR="002D03B0">
        <w:t xml:space="preserve"> </w:t>
      </w:r>
      <w:r w:rsidRPr="001C3BEF">
        <w:t>The three proposed changes are: a) reallocation of US$16.13 million from disbursement Category 2</w:t>
      </w:r>
      <w:r w:rsidR="00B27118">
        <w:t xml:space="preserve"> </w:t>
      </w:r>
      <w:r w:rsidR="00B27118" w:rsidRPr="00B27118">
        <w:rPr>
          <w:iCs/>
        </w:rPr>
        <w:t xml:space="preserve">(Recognizing Costs) </w:t>
      </w:r>
      <w:r w:rsidRPr="001C3BEF">
        <w:t>to disbursement Category 1</w:t>
      </w:r>
      <w:r w:rsidR="00B27118">
        <w:t xml:space="preserve"> (Investments)</w:t>
      </w:r>
      <w:r w:rsidRPr="001C3BEF">
        <w:t xml:space="preserve">, b) extension of closing date from December 31, 2011 to </w:t>
      </w:r>
      <w:r w:rsidR="0014707B">
        <w:t>August 31</w:t>
      </w:r>
      <w:r w:rsidRPr="001C3BEF">
        <w:t>, 2013, and c) increase in the Special Account</w:t>
      </w:r>
      <w:r w:rsidR="008A10E3">
        <w:t xml:space="preserve"> (SA)</w:t>
      </w:r>
      <w:r w:rsidRPr="001C3BEF">
        <w:t xml:space="preserve"> quota for Category 1 from US$2 million to US$4.5 million. </w:t>
      </w:r>
    </w:p>
    <w:p w:rsidR="00DE7784" w:rsidRDefault="00DE7784" w:rsidP="00DE7784">
      <w:pPr>
        <w:spacing w:after="240"/>
        <w:jc w:val="both"/>
        <w:rPr>
          <w:iCs/>
        </w:rPr>
      </w:pPr>
      <w:r w:rsidRPr="002838F9">
        <w:rPr>
          <w:iCs/>
        </w:rPr>
        <w:t>The Project was approved on May 10, 2005 and declared effective on November 29, 2005 for US$260 million. The first restructuring was approved in May 2009, in which US$150 million was cancelled and applied to the first Disaster Risk Management DPL with a CAT DDO, for a revised loan total of US$110 million</w:t>
      </w:r>
      <w:r w:rsidR="00F24480">
        <w:rPr>
          <w:iCs/>
        </w:rPr>
        <w:t xml:space="preserve"> with an undisbursed balance of</w:t>
      </w:r>
      <w:r w:rsidR="00CE6840">
        <w:rPr>
          <w:iCs/>
        </w:rPr>
        <w:t xml:space="preserve"> $US59.5 million</w:t>
      </w:r>
      <w:r>
        <w:rPr>
          <w:iCs/>
        </w:rPr>
        <w:t>.</w:t>
      </w:r>
      <w:r w:rsidRPr="002838F9">
        <w:rPr>
          <w:iCs/>
        </w:rPr>
        <w:t xml:space="preserve"> The Project was subsequently restructured in March 2010 and May 2011 for the reallocation of resources from Category 2 to Category 1.  </w:t>
      </w:r>
      <w:r w:rsidR="00733E2E" w:rsidRPr="00733E2E">
        <w:rPr>
          <w:iCs/>
        </w:rPr>
        <w:t>The undisbursed balance as of November 23, 2011</w:t>
      </w:r>
      <w:r w:rsidR="006D18FD">
        <w:rPr>
          <w:iCs/>
        </w:rPr>
        <w:t xml:space="preserve"> was</w:t>
      </w:r>
      <w:r w:rsidR="00733E2E" w:rsidRPr="00733E2E">
        <w:rPr>
          <w:iCs/>
        </w:rPr>
        <w:t xml:space="preserve"> US$21.55 million (19.6% of loan proceeds).</w:t>
      </w:r>
    </w:p>
    <w:p w:rsidR="001C3BEF" w:rsidRDefault="008A10E3" w:rsidP="009F448A">
      <w:pPr>
        <w:spacing w:after="240"/>
        <w:jc w:val="both"/>
      </w:pPr>
      <w:r w:rsidRPr="008A10E3">
        <w:t>The Government of Colombia (</w:t>
      </w:r>
      <w:proofErr w:type="spellStart"/>
      <w:r w:rsidRPr="008A10E3">
        <w:t>GoC</w:t>
      </w:r>
      <w:proofErr w:type="spellEnd"/>
      <w:r w:rsidRPr="008A10E3">
        <w:t xml:space="preserve">) is pleased with the investments made in vulnerability reduction </w:t>
      </w:r>
      <w:r>
        <w:t xml:space="preserve">(Category 1) </w:t>
      </w:r>
      <w:r w:rsidRPr="008A10E3">
        <w:t>by t</w:t>
      </w:r>
      <w:r>
        <w:t>he executing agencies and has therefore requested the redistribution of</w:t>
      </w:r>
      <w:r w:rsidRPr="008A10E3">
        <w:t xml:space="preserve"> funds to continu</w:t>
      </w:r>
      <w:r>
        <w:t xml:space="preserve">e and boost these investments. </w:t>
      </w:r>
      <w:r w:rsidR="00784995">
        <w:t>Accordingly, the</w:t>
      </w:r>
      <w:r w:rsidRPr="008A10E3">
        <w:t xml:space="preserve"> Borrower has proposed changes in the 2011-2013 outcome indicator targets that do not change the scope of activities but expand the reach</w:t>
      </w:r>
      <w:r>
        <w:t xml:space="preserve"> of activities under Category 1. </w:t>
      </w:r>
      <w:r w:rsidR="00784995">
        <w:t>The Borrower</w:t>
      </w:r>
      <w:r w:rsidRPr="008A10E3">
        <w:t xml:space="preserve"> has </w:t>
      </w:r>
      <w:r w:rsidR="00784995">
        <w:t xml:space="preserve">therefore </w:t>
      </w:r>
      <w:r w:rsidRPr="008A10E3">
        <w:t xml:space="preserve">requested the accompanying extension of the closing date and the increase in the SA quota to </w:t>
      </w:r>
      <w:r w:rsidR="00784995" w:rsidRPr="00784995">
        <w:t xml:space="preserve">help the implementing agencies achieve the investment objectives planned for </w:t>
      </w:r>
      <w:r w:rsidR="00784995">
        <w:t>Category 1.</w:t>
      </w:r>
    </w:p>
    <w:p w:rsidR="001121B9" w:rsidRPr="009B31FA" w:rsidRDefault="001121B9" w:rsidP="009F448A">
      <w:pPr>
        <w:pStyle w:val="TOC1"/>
      </w:pPr>
    </w:p>
    <w:p w:rsidR="001121B9" w:rsidRPr="009B31FA" w:rsidRDefault="001121B9" w:rsidP="009B31FA">
      <w:pPr>
        <w:pStyle w:val="Heading1"/>
        <w:ind w:left="360"/>
      </w:pPr>
      <w:bookmarkStart w:id="10" w:name="_Toc257726060"/>
      <w:r w:rsidRPr="009B31FA">
        <w:t>PROJECT STATUS</w:t>
      </w:r>
      <w:bookmarkEnd w:id="10"/>
    </w:p>
    <w:p w:rsidR="00101E9E" w:rsidRDefault="008E3E69" w:rsidP="00101E9E">
      <w:pPr>
        <w:spacing w:after="240"/>
        <w:jc w:val="both"/>
      </w:pPr>
      <w:r w:rsidRPr="00B50C56">
        <w:t xml:space="preserve">The project has made significant progress towards achieving its </w:t>
      </w:r>
      <w:r w:rsidR="00E357D2">
        <w:t>Project D</w:t>
      </w:r>
      <w:r w:rsidRPr="00B50C56">
        <w:t xml:space="preserve">evelopment </w:t>
      </w:r>
      <w:r w:rsidR="00E357D2">
        <w:t>O</w:t>
      </w:r>
      <w:r w:rsidRPr="00B50C56">
        <w:t xml:space="preserve">bjective. To date the </w:t>
      </w:r>
      <w:proofErr w:type="spellStart"/>
      <w:r w:rsidRPr="00B50C56">
        <w:t>GoC</w:t>
      </w:r>
      <w:proofErr w:type="spellEnd"/>
      <w:r w:rsidRPr="00B50C56">
        <w:t xml:space="preserve"> has complied with the attainment of the Project’s </w:t>
      </w:r>
      <w:r w:rsidR="00E357D2">
        <w:t>O</w:t>
      </w:r>
      <w:r w:rsidRPr="00B50C56">
        <w:t xml:space="preserve">utcome </w:t>
      </w:r>
      <w:r w:rsidR="00E357D2">
        <w:t>I</w:t>
      </w:r>
      <w:r w:rsidRPr="00B50C56">
        <w:t xml:space="preserve">ndicator, and as a result 434 municipalities have </w:t>
      </w:r>
      <w:r w:rsidR="00AB142F">
        <w:t xml:space="preserve"> </w:t>
      </w:r>
      <w:r w:rsidR="00E357D2" w:rsidRPr="00E357D2">
        <w:t>hazard risk management program</w:t>
      </w:r>
      <w:r w:rsidR="00E357D2">
        <w:t>s</w:t>
      </w:r>
      <w:r w:rsidRPr="00B50C56">
        <w:t xml:space="preserve"> which corresponds to 92% of the agreed target of 472 municipalities. </w:t>
      </w:r>
    </w:p>
    <w:p w:rsidR="008E3E69" w:rsidRPr="00B50C56" w:rsidRDefault="008E3E69" w:rsidP="00101E9E">
      <w:pPr>
        <w:spacing w:after="240"/>
        <w:jc w:val="both"/>
      </w:pPr>
      <w:r w:rsidRPr="00B50C56">
        <w:t xml:space="preserve">Similarly, </w:t>
      </w:r>
      <w:r w:rsidR="006718EE">
        <w:t xml:space="preserve">there has been significant progress in the </w:t>
      </w:r>
      <w:r w:rsidR="00AB142F">
        <w:t xml:space="preserve">Intermediate Outcome Indicators of the </w:t>
      </w:r>
      <w:r w:rsidR="006718EE">
        <w:t>project components</w:t>
      </w:r>
      <w:r w:rsidR="00DE7784">
        <w:t xml:space="preserve"> (see Annex 1).</w:t>
      </w:r>
      <w:r w:rsidR="006718EE">
        <w:t xml:space="preserve"> Component A (</w:t>
      </w:r>
      <w:r w:rsidR="00DE7784">
        <w:t>Disaster Risk Identification</w:t>
      </w:r>
      <w:r w:rsidR="006718EE">
        <w:t xml:space="preserve">) shows 42% of </w:t>
      </w:r>
      <w:r w:rsidR="00AB142F">
        <w:t xml:space="preserve">the </w:t>
      </w:r>
      <w:r w:rsidR="00AB142F" w:rsidRPr="00AB142F">
        <w:t xml:space="preserve">National System for Disaster </w:t>
      </w:r>
      <w:r w:rsidR="00101E9E">
        <w:t xml:space="preserve">Prevention and Emergency </w:t>
      </w:r>
      <w:r w:rsidR="00AB142F" w:rsidRPr="00AB142F">
        <w:t xml:space="preserve">Response </w:t>
      </w:r>
      <w:r w:rsidR="00AB142F">
        <w:t>(</w:t>
      </w:r>
      <w:r w:rsidR="006718EE">
        <w:t>SNPAD</w:t>
      </w:r>
      <w:r w:rsidR="00AB142F">
        <w:t>)</w:t>
      </w:r>
      <w:r w:rsidR="006718EE">
        <w:t xml:space="preserve"> integrated into </w:t>
      </w:r>
      <w:r w:rsidR="00AB142F">
        <w:t xml:space="preserve">the </w:t>
      </w:r>
      <w:r w:rsidR="00AB142F" w:rsidRPr="00AB142F">
        <w:t>Disaster Risk Information System</w:t>
      </w:r>
      <w:r w:rsidR="00AB142F">
        <w:t xml:space="preserve"> (</w:t>
      </w:r>
      <w:r w:rsidR="006718EE">
        <w:t>DRIS</w:t>
      </w:r>
      <w:r w:rsidR="00AB142F">
        <w:t xml:space="preserve">), </w:t>
      </w:r>
      <w:r w:rsidR="00101E9E">
        <w:t xml:space="preserve">due to the establishment of </w:t>
      </w:r>
      <w:r w:rsidR="00AB142F">
        <w:t>information sharing</w:t>
      </w:r>
      <w:r w:rsidR="00101E9E">
        <w:t xml:space="preserve"> </w:t>
      </w:r>
      <w:r w:rsidR="00AB142F">
        <w:t xml:space="preserve">agreements </w:t>
      </w:r>
      <w:r w:rsidR="00101E9E">
        <w:t>for several</w:t>
      </w:r>
      <w:r w:rsidR="00AB142F">
        <w:t xml:space="preserve"> entities</w:t>
      </w:r>
      <w:r w:rsidR="00101E9E">
        <w:t xml:space="preserve"> </w:t>
      </w:r>
      <w:r w:rsidR="00AB142F">
        <w:t>of SNPAD</w:t>
      </w:r>
      <w:r w:rsidR="006718EE">
        <w:t xml:space="preserve">. </w:t>
      </w:r>
      <w:r w:rsidR="00101E9E">
        <w:t xml:space="preserve">Under </w:t>
      </w:r>
      <w:r w:rsidRPr="00B50C56">
        <w:t xml:space="preserve">Component B </w:t>
      </w:r>
      <w:r w:rsidR="006718EE">
        <w:t>(</w:t>
      </w:r>
      <w:r w:rsidR="00DE7784">
        <w:t>Disaster Risk Reduction</w:t>
      </w:r>
      <w:r w:rsidR="006718EE">
        <w:t>)</w:t>
      </w:r>
      <w:r w:rsidR="006718EE" w:rsidRPr="006718EE">
        <w:t xml:space="preserve">, </w:t>
      </w:r>
      <w:r w:rsidRPr="00B50C56">
        <w:t>795 municipalities have received technical assistance on hazard risk reduction, correspond</w:t>
      </w:r>
      <w:r w:rsidR="009F448A">
        <w:t>ing</w:t>
      </w:r>
      <w:r w:rsidRPr="00B50C56">
        <w:t xml:space="preserve"> to 111% of the target agreed, </w:t>
      </w:r>
      <w:r w:rsidR="008D7FD0" w:rsidRPr="00B50C56">
        <w:t>and equivalent</w:t>
      </w:r>
      <w:r w:rsidRPr="00B50C56">
        <w:t xml:space="preserve"> to 714 municipalitie</w:t>
      </w:r>
      <w:r w:rsidR="009F448A">
        <w:t>s</w:t>
      </w:r>
      <w:r w:rsidRPr="00B50C56">
        <w:t xml:space="preserve">. </w:t>
      </w:r>
      <w:r w:rsidR="00101E9E">
        <w:t xml:space="preserve">Progress is also evident in </w:t>
      </w:r>
      <w:r w:rsidR="006718EE">
        <w:t>Component C (</w:t>
      </w:r>
      <w:r w:rsidR="006718EE" w:rsidRPr="006718EE">
        <w:t xml:space="preserve">Institutional </w:t>
      </w:r>
      <w:r w:rsidR="00DE7784">
        <w:t>Development</w:t>
      </w:r>
      <w:r w:rsidR="006718EE">
        <w:t>)</w:t>
      </w:r>
      <w:r w:rsidR="00101E9E">
        <w:t xml:space="preserve">, with 80% of the draft of "Policy Guidelines for Settlements in High Risk Zones” </w:t>
      </w:r>
      <w:r w:rsidR="00101E9E">
        <w:lastRenderedPageBreak/>
        <w:t>completed, and</w:t>
      </w:r>
      <w:r w:rsidR="009F448A">
        <w:t xml:space="preserve"> for Component D </w:t>
      </w:r>
      <w:r w:rsidR="006718EE">
        <w:t>(</w:t>
      </w:r>
      <w:r w:rsidR="00DE7784">
        <w:t>e</w:t>
      </w:r>
      <w:r w:rsidR="006718EE" w:rsidRPr="006718EE">
        <w:t>nhanced capacity to promote risk awareness and emergency preparedness</w:t>
      </w:r>
      <w:r w:rsidR="006718EE">
        <w:t>)</w:t>
      </w:r>
      <w:r w:rsidR="00101E9E">
        <w:t xml:space="preserve">, </w:t>
      </w:r>
      <w:r w:rsidR="009F448A">
        <w:t xml:space="preserve">under which </w:t>
      </w:r>
      <w:r w:rsidRPr="00B50C56">
        <w:t xml:space="preserve">46 municipalities </w:t>
      </w:r>
      <w:r w:rsidR="009F448A">
        <w:t xml:space="preserve">have been </w:t>
      </w:r>
      <w:r w:rsidRPr="00B50C56">
        <w:t xml:space="preserve">covered by the environmental education for risk management </w:t>
      </w:r>
      <w:r w:rsidR="008311D9">
        <w:t xml:space="preserve">activities </w:t>
      </w:r>
      <w:r w:rsidRPr="00B50C56">
        <w:t xml:space="preserve">administered by </w:t>
      </w:r>
      <w:r w:rsidR="009A5275">
        <w:t>Ministry of Housing</w:t>
      </w:r>
      <w:r w:rsidR="00DD262B">
        <w:t>, Cities</w:t>
      </w:r>
      <w:r w:rsidR="009A5275">
        <w:t xml:space="preserve"> and </w:t>
      </w:r>
      <w:r w:rsidR="00646008">
        <w:t>Territories</w:t>
      </w:r>
      <w:r w:rsidR="009A5275">
        <w:t xml:space="preserve"> (</w:t>
      </w:r>
      <w:r w:rsidRPr="00B50C56">
        <w:t>MV</w:t>
      </w:r>
      <w:r w:rsidR="00DD262B">
        <w:t>C</w:t>
      </w:r>
      <w:r w:rsidRPr="00B50C56">
        <w:t>T</w:t>
      </w:r>
      <w:r w:rsidR="009A5275">
        <w:t>)</w:t>
      </w:r>
      <w:r w:rsidR="00DD262B">
        <w:rPr>
          <w:rStyle w:val="FootnoteReference"/>
        </w:rPr>
        <w:footnoteReference w:id="1"/>
      </w:r>
      <w:r w:rsidRPr="00B50C56">
        <w:t>.</w:t>
      </w:r>
      <w:r w:rsidR="00101E9E">
        <w:t xml:space="preserve"> </w:t>
      </w:r>
      <w:r w:rsidR="00101E9E" w:rsidRPr="00101E9E">
        <w:t>Component E (</w:t>
      </w:r>
      <w:r w:rsidR="00DE7784">
        <w:t>Risk Financing</w:t>
      </w:r>
      <w:r w:rsidR="00101E9E" w:rsidRPr="00101E9E">
        <w:t>)</w:t>
      </w:r>
      <w:r w:rsidR="00101E9E">
        <w:t xml:space="preserve"> shows that 60% of the draft "Policy Guidelines for Risk Financing Protection Mechanisms” has been completed.</w:t>
      </w:r>
      <w:r w:rsidRPr="00B50C56">
        <w:t xml:space="preserve"> The </w:t>
      </w:r>
      <w:r w:rsidR="002B35D3">
        <w:t>Bank</w:t>
      </w:r>
      <w:r w:rsidR="002B35D3" w:rsidRPr="00B50C56">
        <w:t xml:space="preserve"> </w:t>
      </w:r>
      <w:r w:rsidRPr="00B50C56">
        <w:t xml:space="preserve">team finds that the </w:t>
      </w:r>
      <w:proofErr w:type="spellStart"/>
      <w:r w:rsidRPr="00B50C56">
        <w:t>GoC’s</w:t>
      </w:r>
      <w:proofErr w:type="spellEnd"/>
      <w:r w:rsidRPr="00B50C56">
        <w:t xml:space="preserve"> request for reallocating funds to Category 1 is a clear indication of the success of the project given that the </w:t>
      </w:r>
      <w:proofErr w:type="spellStart"/>
      <w:r w:rsidRPr="00B50C56">
        <w:t>GoC</w:t>
      </w:r>
      <w:proofErr w:type="spellEnd"/>
      <w:r w:rsidRPr="00B50C56">
        <w:t xml:space="preserve"> seeks to increase the Bank’s financing for Technical Assistance</w:t>
      </w:r>
      <w:r w:rsidR="00DE7784">
        <w:t>.</w:t>
      </w:r>
    </w:p>
    <w:p w:rsidR="00784995" w:rsidRPr="00786A30" w:rsidRDefault="00784995" w:rsidP="00784995">
      <w:pPr>
        <w:spacing w:after="240"/>
        <w:jc w:val="both"/>
      </w:pPr>
      <w:r w:rsidRPr="00786A30">
        <w:t>The current I</w:t>
      </w:r>
      <w:r w:rsidR="008311D9">
        <w:t>mplementation Summary Report (I</w:t>
      </w:r>
      <w:r w:rsidRPr="00786A30">
        <w:t>SR</w:t>
      </w:r>
      <w:r w:rsidR="008311D9">
        <w:t>)</w:t>
      </w:r>
      <w:r w:rsidRPr="00786A30">
        <w:t xml:space="preserve"> Rating (June 15, 2011) is ‘Satisfactory’ for both the Progress towards achievement of the PDO and the Overall Implementation Progress (IP). Progress in project implementation can be summarized through the following points: (</w:t>
      </w:r>
      <w:proofErr w:type="spellStart"/>
      <w:r w:rsidRPr="00786A30">
        <w:t>i</w:t>
      </w:r>
      <w:proofErr w:type="spellEnd"/>
      <w:r w:rsidRPr="00786A30">
        <w:t xml:space="preserve">) expansion of budget available to fund Category 1 from US$10 million to US$21.5 million based on the first reallocation issued in March 25, 2010, and the second reallocation issued in May 11, 2011, (ii) satisfactory implementation of development objectives of the Project on agreed targets for 2010 and 2011, and (iii) satisfactory financial performance and budget execution of Category 1. Of the </w:t>
      </w:r>
      <w:r w:rsidR="00786A30">
        <w:t xml:space="preserve">total </w:t>
      </w:r>
      <w:r w:rsidRPr="00786A30">
        <w:t>loan</w:t>
      </w:r>
      <w:r w:rsidR="00786A30">
        <w:t xml:space="preserve"> amount</w:t>
      </w:r>
      <w:r w:rsidRPr="00786A30">
        <w:t xml:space="preserve"> of US$110 million, there is an undisbursed balance of US$21.55 million (19.6% of loan proceeds) as of November 23, 2011</w:t>
      </w:r>
      <w:r w:rsidR="00786A30">
        <w:t xml:space="preserve">. </w:t>
      </w:r>
      <w:r w:rsidR="00786A30" w:rsidRPr="00786A30">
        <w:t>Table 1 summarizes the project’s ISR ratings since January 2010.</w:t>
      </w:r>
    </w:p>
    <w:p w:rsidR="00A40605" w:rsidRDefault="00A40605" w:rsidP="00A40605">
      <w:pPr>
        <w:spacing w:after="240"/>
        <w:jc w:val="both"/>
        <w:rPr>
          <w:b/>
        </w:rPr>
      </w:pPr>
    </w:p>
    <w:p w:rsidR="00A40605" w:rsidRPr="00A40605" w:rsidRDefault="00A40605" w:rsidP="00A40605">
      <w:pPr>
        <w:spacing w:after="240"/>
        <w:jc w:val="both"/>
        <w:rPr>
          <w:b/>
        </w:rPr>
      </w:pPr>
      <w:r w:rsidRPr="00A40605">
        <w:rPr>
          <w:b/>
        </w:rPr>
        <w:t>Table 1: Summary of ISR Ratings for the Project (last 3 ISRs)</w:t>
      </w:r>
    </w:p>
    <w:tbl>
      <w:tblPr>
        <w:tblStyle w:val="TableProfessional"/>
        <w:tblW w:w="0" w:type="auto"/>
        <w:tblLayout w:type="fixed"/>
        <w:tblLook w:val="04A0"/>
      </w:tblPr>
      <w:tblGrid>
        <w:gridCol w:w="1188"/>
        <w:gridCol w:w="810"/>
        <w:gridCol w:w="720"/>
        <w:gridCol w:w="810"/>
        <w:gridCol w:w="1530"/>
        <w:gridCol w:w="1372"/>
        <w:gridCol w:w="1508"/>
        <w:gridCol w:w="918"/>
      </w:tblGrid>
      <w:tr w:rsidR="00A40605" w:rsidRPr="00A40605" w:rsidTr="00E50740">
        <w:trPr>
          <w:cnfStyle w:val="100000000000"/>
        </w:trPr>
        <w:tc>
          <w:tcPr>
            <w:tcW w:w="1188" w:type="dxa"/>
            <w:shd w:val="clear" w:color="auto" w:fill="D9D9D9" w:themeFill="background1" w:themeFillShade="D9"/>
          </w:tcPr>
          <w:p w:rsidR="00A40605" w:rsidRPr="00A40605" w:rsidRDefault="00A40605" w:rsidP="00C33310">
            <w:pPr>
              <w:spacing w:after="200" w:line="276" w:lineRule="auto"/>
              <w:rPr>
                <w:b w:val="0"/>
              </w:rPr>
            </w:pPr>
            <w:r w:rsidRPr="00A40605">
              <w:rPr>
                <w:b w:val="0"/>
              </w:rPr>
              <w:t>Date</w:t>
            </w:r>
          </w:p>
        </w:tc>
        <w:tc>
          <w:tcPr>
            <w:tcW w:w="810" w:type="dxa"/>
            <w:shd w:val="clear" w:color="auto" w:fill="D9D9D9" w:themeFill="background1" w:themeFillShade="D9"/>
          </w:tcPr>
          <w:p w:rsidR="00A40605" w:rsidRPr="00A40605" w:rsidRDefault="00A40605" w:rsidP="00C33310">
            <w:pPr>
              <w:rPr>
                <w:b w:val="0"/>
              </w:rPr>
            </w:pPr>
            <w:r w:rsidRPr="00A40605">
              <w:rPr>
                <w:b w:val="0"/>
              </w:rPr>
              <w:t>PDO</w:t>
            </w:r>
          </w:p>
        </w:tc>
        <w:tc>
          <w:tcPr>
            <w:tcW w:w="720" w:type="dxa"/>
            <w:shd w:val="clear" w:color="auto" w:fill="D9D9D9" w:themeFill="background1" w:themeFillShade="D9"/>
          </w:tcPr>
          <w:p w:rsidR="00A40605" w:rsidRPr="00A40605" w:rsidRDefault="00A40605" w:rsidP="00C33310">
            <w:pPr>
              <w:rPr>
                <w:b w:val="0"/>
              </w:rPr>
            </w:pPr>
            <w:r w:rsidRPr="00A40605">
              <w:rPr>
                <w:b w:val="0"/>
              </w:rPr>
              <w:t>IP</w:t>
            </w:r>
          </w:p>
          <w:p w:rsidR="00A40605" w:rsidRPr="00A40605" w:rsidRDefault="00A40605" w:rsidP="00C33310">
            <w:pPr>
              <w:rPr>
                <w:b w:val="0"/>
              </w:rPr>
            </w:pPr>
          </w:p>
        </w:tc>
        <w:tc>
          <w:tcPr>
            <w:tcW w:w="810" w:type="dxa"/>
            <w:shd w:val="clear" w:color="auto" w:fill="D9D9D9" w:themeFill="background1" w:themeFillShade="D9"/>
          </w:tcPr>
          <w:p w:rsidR="00A40605" w:rsidRPr="00A40605" w:rsidRDefault="00A40605" w:rsidP="00C33310">
            <w:pPr>
              <w:rPr>
                <w:b w:val="0"/>
              </w:rPr>
            </w:pPr>
            <w:r w:rsidRPr="00A40605">
              <w:rPr>
                <w:b w:val="0"/>
              </w:rPr>
              <w:t>FM</w:t>
            </w:r>
          </w:p>
        </w:tc>
        <w:tc>
          <w:tcPr>
            <w:tcW w:w="1530" w:type="dxa"/>
            <w:shd w:val="clear" w:color="auto" w:fill="D9D9D9" w:themeFill="background1" w:themeFillShade="D9"/>
          </w:tcPr>
          <w:p w:rsidR="00A40605" w:rsidRPr="00A40605" w:rsidRDefault="00A40605" w:rsidP="00C33310">
            <w:pPr>
              <w:rPr>
                <w:b w:val="0"/>
              </w:rPr>
            </w:pPr>
            <w:r w:rsidRPr="00A40605">
              <w:rPr>
                <w:b w:val="0"/>
              </w:rPr>
              <w:t>Project Management</w:t>
            </w:r>
          </w:p>
        </w:tc>
        <w:tc>
          <w:tcPr>
            <w:tcW w:w="1372" w:type="dxa"/>
            <w:shd w:val="clear" w:color="auto" w:fill="D9D9D9" w:themeFill="background1" w:themeFillShade="D9"/>
          </w:tcPr>
          <w:p w:rsidR="00A40605" w:rsidRPr="00A40605" w:rsidRDefault="00A40605" w:rsidP="00C33310">
            <w:pPr>
              <w:rPr>
                <w:b w:val="0"/>
              </w:rPr>
            </w:pPr>
            <w:r w:rsidRPr="00A40605">
              <w:rPr>
                <w:b w:val="0"/>
              </w:rPr>
              <w:t>Counterpart Funding</w:t>
            </w:r>
          </w:p>
        </w:tc>
        <w:tc>
          <w:tcPr>
            <w:tcW w:w="1508" w:type="dxa"/>
            <w:shd w:val="clear" w:color="auto" w:fill="D9D9D9" w:themeFill="background1" w:themeFillShade="D9"/>
          </w:tcPr>
          <w:p w:rsidR="00A40605" w:rsidRPr="00A40605" w:rsidRDefault="00A40605" w:rsidP="00C33310">
            <w:pPr>
              <w:rPr>
                <w:b w:val="0"/>
              </w:rPr>
            </w:pPr>
            <w:r w:rsidRPr="00A40605">
              <w:rPr>
                <w:b w:val="0"/>
              </w:rPr>
              <w:t>Procurement</w:t>
            </w:r>
          </w:p>
        </w:tc>
        <w:tc>
          <w:tcPr>
            <w:tcW w:w="918" w:type="dxa"/>
            <w:shd w:val="clear" w:color="auto" w:fill="D9D9D9" w:themeFill="background1" w:themeFillShade="D9"/>
          </w:tcPr>
          <w:p w:rsidR="00A40605" w:rsidRPr="00A40605" w:rsidRDefault="00A40605" w:rsidP="00C33310">
            <w:pPr>
              <w:rPr>
                <w:b w:val="0"/>
              </w:rPr>
            </w:pPr>
            <w:r w:rsidRPr="00A40605">
              <w:rPr>
                <w:b w:val="0"/>
              </w:rPr>
              <w:t>M&amp;E</w:t>
            </w:r>
          </w:p>
        </w:tc>
      </w:tr>
      <w:tr w:rsidR="00A40605" w:rsidRPr="00A40605" w:rsidTr="00E84A6C">
        <w:tc>
          <w:tcPr>
            <w:tcW w:w="1188" w:type="dxa"/>
          </w:tcPr>
          <w:p w:rsidR="00A40605" w:rsidRPr="00A40605" w:rsidRDefault="00A40605" w:rsidP="00C33310">
            <w:pPr>
              <w:spacing w:after="200" w:line="276" w:lineRule="auto"/>
            </w:pPr>
            <w:r w:rsidRPr="00A40605">
              <w:t>06-15-11</w:t>
            </w:r>
          </w:p>
        </w:tc>
        <w:tc>
          <w:tcPr>
            <w:tcW w:w="810" w:type="dxa"/>
          </w:tcPr>
          <w:p w:rsidR="00A40605" w:rsidRPr="00A40605" w:rsidRDefault="00A40605" w:rsidP="00C33310">
            <w:r w:rsidRPr="00A40605">
              <w:t>S</w:t>
            </w:r>
          </w:p>
        </w:tc>
        <w:tc>
          <w:tcPr>
            <w:tcW w:w="720" w:type="dxa"/>
          </w:tcPr>
          <w:p w:rsidR="00A40605" w:rsidRPr="00A40605" w:rsidRDefault="00A40605" w:rsidP="00C33310">
            <w:pPr>
              <w:spacing w:after="200" w:line="276" w:lineRule="auto"/>
            </w:pPr>
            <w:r w:rsidRPr="00A40605">
              <w:t>S</w:t>
            </w:r>
          </w:p>
        </w:tc>
        <w:tc>
          <w:tcPr>
            <w:tcW w:w="810" w:type="dxa"/>
          </w:tcPr>
          <w:p w:rsidR="00A40605" w:rsidRPr="00A40605" w:rsidRDefault="00A40605" w:rsidP="00C33310">
            <w:pPr>
              <w:spacing w:after="200" w:line="276" w:lineRule="auto"/>
            </w:pPr>
            <w:r w:rsidRPr="00A40605">
              <w:t>MU</w:t>
            </w:r>
          </w:p>
        </w:tc>
        <w:tc>
          <w:tcPr>
            <w:tcW w:w="1530" w:type="dxa"/>
          </w:tcPr>
          <w:p w:rsidR="00A40605" w:rsidRPr="00A40605" w:rsidRDefault="00A40605" w:rsidP="00C33310">
            <w:r w:rsidRPr="00A40605">
              <w:t>S</w:t>
            </w:r>
          </w:p>
        </w:tc>
        <w:tc>
          <w:tcPr>
            <w:tcW w:w="1372" w:type="dxa"/>
          </w:tcPr>
          <w:p w:rsidR="00A40605" w:rsidRPr="00A40605" w:rsidRDefault="00A40605" w:rsidP="00C33310">
            <w:r w:rsidRPr="00A40605">
              <w:t>S</w:t>
            </w:r>
          </w:p>
        </w:tc>
        <w:tc>
          <w:tcPr>
            <w:tcW w:w="1508" w:type="dxa"/>
          </w:tcPr>
          <w:p w:rsidR="00A40605" w:rsidRPr="00A40605" w:rsidRDefault="00A40605" w:rsidP="00C33310">
            <w:r w:rsidRPr="00A40605">
              <w:t>S</w:t>
            </w:r>
          </w:p>
        </w:tc>
        <w:tc>
          <w:tcPr>
            <w:tcW w:w="918" w:type="dxa"/>
          </w:tcPr>
          <w:p w:rsidR="00A40605" w:rsidRPr="00A40605" w:rsidRDefault="00A40605" w:rsidP="00C33310">
            <w:r w:rsidRPr="00A40605">
              <w:t>S</w:t>
            </w:r>
          </w:p>
        </w:tc>
      </w:tr>
      <w:tr w:rsidR="00A40605" w:rsidRPr="00A40605" w:rsidTr="00E84A6C">
        <w:tc>
          <w:tcPr>
            <w:tcW w:w="1188" w:type="dxa"/>
          </w:tcPr>
          <w:p w:rsidR="00A40605" w:rsidRPr="00A40605" w:rsidRDefault="00A40605" w:rsidP="00C33310">
            <w:pPr>
              <w:spacing w:after="200" w:line="276" w:lineRule="auto"/>
            </w:pPr>
            <w:r w:rsidRPr="00A40605">
              <w:t>09-22-10</w:t>
            </w:r>
          </w:p>
        </w:tc>
        <w:tc>
          <w:tcPr>
            <w:tcW w:w="810" w:type="dxa"/>
          </w:tcPr>
          <w:p w:rsidR="00A40605" w:rsidRPr="00A40605" w:rsidRDefault="00A40605" w:rsidP="00C33310">
            <w:r w:rsidRPr="00A40605">
              <w:t>S</w:t>
            </w:r>
          </w:p>
        </w:tc>
        <w:tc>
          <w:tcPr>
            <w:tcW w:w="720" w:type="dxa"/>
          </w:tcPr>
          <w:p w:rsidR="00A40605" w:rsidRPr="00A40605" w:rsidRDefault="00A40605" w:rsidP="00C33310">
            <w:pPr>
              <w:spacing w:after="200" w:line="276" w:lineRule="auto"/>
            </w:pPr>
            <w:r w:rsidRPr="00A40605">
              <w:t>S</w:t>
            </w:r>
          </w:p>
        </w:tc>
        <w:tc>
          <w:tcPr>
            <w:tcW w:w="810" w:type="dxa"/>
          </w:tcPr>
          <w:p w:rsidR="00A40605" w:rsidRPr="00A40605" w:rsidRDefault="00A40605" w:rsidP="00C33310">
            <w:pPr>
              <w:spacing w:after="200" w:line="276" w:lineRule="auto"/>
            </w:pPr>
            <w:r w:rsidRPr="00A40605">
              <w:t>MU</w:t>
            </w:r>
          </w:p>
        </w:tc>
        <w:tc>
          <w:tcPr>
            <w:tcW w:w="1530" w:type="dxa"/>
          </w:tcPr>
          <w:p w:rsidR="00A40605" w:rsidRPr="00A40605" w:rsidRDefault="00A40605" w:rsidP="00C33310">
            <w:r w:rsidRPr="00A40605">
              <w:t>S</w:t>
            </w:r>
          </w:p>
        </w:tc>
        <w:tc>
          <w:tcPr>
            <w:tcW w:w="1372" w:type="dxa"/>
          </w:tcPr>
          <w:p w:rsidR="00A40605" w:rsidRPr="00A40605" w:rsidRDefault="00A40605" w:rsidP="00C33310">
            <w:r w:rsidRPr="00A40605">
              <w:t>S</w:t>
            </w:r>
          </w:p>
        </w:tc>
        <w:tc>
          <w:tcPr>
            <w:tcW w:w="1508" w:type="dxa"/>
          </w:tcPr>
          <w:p w:rsidR="00A40605" w:rsidRPr="00A40605" w:rsidRDefault="00A40605" w:rsidP="00C33310">
            <w:r w:rsidRPr="00A40605">
              <w:t>MS</w:t>
            </w:r>
          </w:p>
        </w:tc>
        <w:tc>
          <w:tcPr>
            <w:tcW w:w="918" w:type="dxa"/>
          </w:tcPr>
          <w:p w:rsidR="00A40605" w:rsidRPr="00A40605" w:rsidRDefault="00A40605" w:rsidP="00C33310">
            <w:r w:rsidRPr="00A40605">
              <w:t>S</w:t>
            </w:r>
          </w:p>
        </w:tc>
      </w:tr>
      <w:tr w:rsidR="00A40605" w:rsidRPr="00A40605" w:rsidTr="00E84A6C">
        <w:tc>
          <w:tcPr>
            <w:tcW w:w="1188" w:type="dxa"/>
          </w:tcPr>
          <w:p w:rsidR="00A40605" w:rsidRPr="00A40605" w:rsidRDefault="00A40605" w:rsidP="00C33310">
            <w:pPr>
              <w:spacing w:after="200" w:line="276" w:lineRule="auto"/>
            </w:pPr>
            <w:r w:rsidRPr="00A40605">
              <w:t>01- 21-10</w:t>
            </w:r>
          </w:p>
        </w:tc>
        <w:tc>
          <w:tcPr>
            <w:tcW w:w="810" w:type="dxa"/>
          </w:tcPr>
          <w:p w:rsidR="00A40605" w:rsidRPr="00A40605" w:rsidRDefault="00A40605" w:rsidP="00C33310">
            <w:r w:rsidRPr="00A40605">
              <w:t>S</w:t>
            </w:r>
          </w:p>
        </w:tc>
        <w:tc>
          <w:tcPr>
            <w:tcW w:w="720" w:type="dxa"/>
          </w:tcPr>
          <w:p w:rsidR="00A40605" w:rsidRPr="00A40605" w:rsidRDefault="00A40605" w:rsidP="00C33310">
            <w:pPr>
              <w:spacing w:after="200" w:line="276" w:lineRule="auto"/>
            </w:pPr>
            <w:r w:rsidRPr="00A40605">
              <w:t>S</w:t>
            </w:r>
          </w:p>
        </w:tc>
        <w:tc>
          <w:tcPr>
            <w:tcW w:w="810" w:type="dxa"/>
          </w:tcPr>
          <w:p w:rsidR="00A40605" w:rsidRPr="00A40605" w:rsidRDefault="00A40605" w:rsidP="00C33310">
            <w:pPr>
              <w:spacing w:after="200" w:line="276" w:lineRule="auto"/>
            </w:pPr>
            <w:r w:rsidRPr="00A40605">
              <w:t>MS</w:t>
            </w:r>
          </w:p>
        </w:tc>
        <w:tc>
          <w:tcPr>
            <w:tcW w:w="1530" w:type="dxa"/>
          </w:tcPr>
          <w:p w:rsidR="00A40605" w:rsidRPr="00A40605" w:rsidRDefault="00A40605" w:rsidP="00C33310">
            <w:r w:rsidRPr="00A40605">
              <w:t>S</w:t>
            </w:r>
          </w:p>
        </w:tc>
        <w:tc>
          <w:tcPr>
            <w:tcW w:w="1372" w:type="dxa"/>
          </w:tcPr>
          <w:p w:rsidR="00A40605" w:rsidRPr="00A40605" w:rsidRDefault="00A40605" w:rsidP="00C33310">
            <w:r w:rsidRPr="00A40605">
              <w:t>S</w:t>
            </w:r>
          </w:p>
        </w:tc>
        <w:tc>
          <w:tcPr>
            <w:tcW w:w="1508" w:type="dxa"/>
          </w:tcPr>
          <w:p w:rsidR="00A40605" w:rsidRPr="00A40605" w:rsidRDefault="00A40605" w:rsidP="00C33310">
            <w:r w:rsidRPr="00A40605">
              <w:t>S</w:t>
            </w:r>
          </w:p>
        </w:tc>
        <w:tc>
          <w:tcPr>
            <w:tcW w:w="918" w:type="dxa"/>
          </w:tcPr>
          <w:p w:rsidR="00A40605" w:rsidRPr="00A40605" w:rsidRDefault="00A40605" w:rsidP="00C33310">
            <w:r w:rsidRPr="00A40605">
              <w:t>S</w:t>
            </w:r>
          </w:p>
        </w:tc>
      </w:tr>
    </w:tbl>
    <w:p w:rsidR="00AE66D0" w:rsidRPr="00086F35" w:rsidRDefault="00086F35" w:rsidP="009F448A">
      <w:pPr>
        <w:spacing w:after="240"/>
        <w:jc w:val="both"/>
        <w:rPr>
          <w:sz w:val="20"/>
          <w:szCs w:val="20"/>
        </w:rPr>
      </w:pPr>
      <w:r>
        <w:rPr>
          <w:sz w:val="20"/>
          <w:szCs w:val="20"/>
        </w:rPr>
        <w:t xml:space="preserve">Note: </w:t>
      </w:r>
      <w:r w:rsidRPr="00086F35">
        <w:rPr>
          <w:sz w:val="20"/>
          <w:szCs w:val="20"/>
        </w:rPr>
        <w:t>P</w:t>
      </w:r>
      <w:r>
        <w:rPr>
          <w:sz w:val="20"/>
          <w:szCs w:val="20"/>
        </w:rPr>
        <w:t>DO stands for Project Development Objective (the indicator is measuring p</w:t>
      </w:r>
      <w:r w:rsidRPr="00086F35">
        <w:rPr>
          <w:sz w:val="20"/>
          <w:szCs w:val="20"/>
        </w:rPr>
        <w:t>rogress towards achievement of the PDO</w:t>
      </w:r>
      <w:r>
        <w:rPr>
          <w:sz w:val="20"/>
          <w:szCs w:val="20"/>
        </w:rPr>
        <w:t xml:space="preserve">). IP is the </w:t>
      </w:r>
      <w:r w:rsidRPr="00086F35">
        <w:rPr>
          <w:sz w:val="20"/>
          <w:szCs w:val="20"/>
        </w:rPr>
        <w:t>Overa</w:t>
      </w:r>
      <w:r>
        <w:rPr>
          <w:sz w:val="20"/>
          <w:szCs w:val="20"/>
        </w:rPr>
        <w:t>ll Implementation Progress, FM is financial management, and M&amp;E is monitoring and evaluation. S means Satisfactory, MS Moderately Satisfactory, and MU Moderately Unsatisfactory.</w:t>
      </w:r>
      <w:r w:rsidRPr="00086F35" w:rsidDel="00086F35">
        <w:rPr>
          <w:sz w:val="20"/>
          <w:szCs w:val="20"/>
        </w:rPr>
        <w:t xml:space="preserve"> </w:t>
      </w:r>
    </w:p>
    <w:p w:rsidR="008D7FD0" w:rsidRDefault="001C3BEF" w:rsidP="00A40605">
      <w:pPr>
        <w:spacing w:after="240"/>
        <w:jc w:val="both"/>
      </w:pPr>
      <w:r w:rsidRPr="00B50C56">
        <w:t xml:space="preserve">Financial Management </w:t>
      </w:r>
      <w:r w:rsidR="00562AC1">
        <w:t xml:space="preserve">(FM) </w:t>
      </w:r>
      <w:r w:rsidRPr="00B50C56">
        <w:t xml:space="preserve">for the Project is currently </w:t>
      </w:r>
      <w:r w:rsidR="00572A07">
        <w:t xml:space="preserve">rated </w:t>
      </w:r>
      <w:r w:rsidRPr="00B50C56">
        <w:t xml:space="preserve">Moderately Unsatisfactory, as per the FM supervision of </w:t>
      </w:r>
      <w:r w:rsidR="00C94F1A">
        <w:t>May</w:t>
      </w:r>
      <w:r w:rsidR="00562AC1">
        <w:t xml:space="preserve"> 19, </w:t>
      </w:r>
      <w:r w:rsidRPr="00B50C56">
        <w:t xml:space="preserve">2011, due to identified expenditures exceeding the defined procurement thresholds for Category 2. </w:t>
      </w:r>
      <w:r w:rsidR="00086F35">
        <w:t xml:space="preserve">The Bank </w:t>
      </w:r>
      <w:r w:rsidR="007F20F6">
        <w:t xml:space="preserve">completed </w:t>
      </w:r>
      <w:r w:rsidR="009F448A">
        <w:t>a review of these expenditures</w:t>
      </w:r>
      <w:r w:rsidR="007F20F6">
        <w:t xml:space="preserve"> in November 2011</w:t>
      </w:r>
      <w:r w:rsidR="009F448A">
        <w:t xml:space="preserve">, </w:t>
      </w:r>
      <w:r w:rsidR="007F20F6">
        <w:t xml:space="preserve">and found them to be </w:t>
      </w:r>
      <w:r w:rsidR="009F448A">
        <w:t>eligible for Bank financing</w:t>
      </w:r>
      <w:r w:rsidRPr="00B50C56">
        <w:t xml:space="preserve">. </w:t>
      </w:r>
      <w:r w:rsidR="009F448A">
        <w:t>In addition, i</w:t>
      </w:r>
      <w:r w:rsidRPr="00B50C56">
        <w:t>t is not anticipated that the Government will fully execute loan proceeds associated with Category 2 based on lo</w:t>
      </w:r>
      <w:r w:rsidR="00E379DE">
        <w:t>w disbursement in 2010 (US$0.6 m</w:t>
      </w:r>
      <w:r w:rsidRPr="00B50C56">
        <w:t xml:space="preserve">illion) and in 2011 (US$0.3 </w:t>
      </w:r>
      <w:r w:rsidR="00E379DE">
        <w:t>million</w:t>
      </w:r>
      <w:r w:rsidRPr="00B50C56">
        <w:t xml:space="preserve">). Therefore, the </w:t>
      </w:r>
      <w:r w:rsidR="00523877">
        <w:t>Borrower</w:t>
      </w:r>
      <w:r w:rsidRPr="00B50C56">
        <w:t xml:space="preserve">’s request to allocate all remaining funds from Category 2 to Category 1 is in accordance with disbursement progress. </w:t>
      </w:r>
      <w:r w:rsidR="00AE66D0">
        <w:t>Since the</w:t>
      </w:r>
      <w:r w:rsidR="00AE66D0" w:rsidRPr="00873E5F">
        <w:t xml:space="preserve"> </w:t>
      </w:r>
      <w:r w:rsidR="00AE66D0" w:rsidRPr="00873E5F">
        <w:lastRenderedPageBreak/>
        <w:t xml:space="preserve">reallocation is </w:t>
      </w:r>
      <w:r w:rsidR="00B05C4B">
        <w:t>moving remaining resources from</w:t>
      </w:r>
      <w:r w:rsidR="00B05C4B" w:rsidRPr="00873E5F">
        <w:t xml:space="preserve"> </w:t>
      </w:r>
      <w:r w:rsidR="00AE66D0" w:rsidRPr="00873E5F">
        <w:t xml:space="preserve">the category </w:t>
      </w:r>
      <w:r w:rsidR="00DE7784">
        <w:t xml:space="preserve">that has </w:t>
      </w:r>
      <w:r w:rsidR="00B05C4B">
        <w:t xml:space="preserve">had low disbursement and caused low FM ratings, </w:t>
      </w:r>
      <w:r w:rsidR="00AE66D0">
        <w:t xml:space="preserve">the </w:t>
      </w:r>
      <w:r w:rsidR="002B35D3">
        <w:t xml:space="preserve">Bank </w:t>
      </w:r>
      <w:r w:rsidR="00AE66D0">
        <w:t>team expects</w:t>
      </w:r>
      <w:r w:rsidR="00AE66D0" w:rsidRPr="00873E5F">
        <w:t xml:space="preserve"> that the rating will be upgraded during the next FM mission</w:t>
      </w:r>
      <w:r w:rsidR="00086F35" w:rsidRPr="00086F35">
        <w:t xml:space="preserve"> scheduled for December 6-7, 2011.</w:t>
      </w:r>
      <w:r w:rsidR="00AE66D0" w:rsidRPr="00873E5F">
        <w:t>There are no outstanding Audit Reports.</w:t>
      </w:r>
      <w:r w:rsidR="00873E5F" w:rsidRPr="00873E5F">
        <w:t xml:space="preserve"> </w:t>
      </w:r>
    </w:p>
    <w:p w:rsidR="00090A02" w:rsidRPr="008E3E69" w:rsidRDefault="00090A02" w:rsidP="008E3E69"/>
    <w:p w:rsidR="001121B9" w:rsidRDefault="001121B9" w:rsidP="009B31FA">
      <w:pPr>
        <w:pStyle w:val="Heading1"/>
        <w:ind w:left="360"/>
      </w:pPr>
      <w:bookmarkStart w:id="11" w:name="_Toc257726061"/>
      <w:r w:rsidRPr="009B31FA">
        <w:t>PROPOSED CHANGES</w:t>
      </w:r>
      <w:bookmarkEnd w:id="11"/>
      <w:r w:rsidRPr="009B31FA">
        <w:t xml:space="preserve"> </w:t>
      </w:r>
    </w:p>
    <w:p w:rsidR="00523877" w:rsidRPr="00523877" w:rsidRDefault="00523877" w:rsidP="009F448A">
      <w:pPr>
        <w:spacing w:after="240"/>
        <w:jc w:val="both"/>
      </w:pPr>
      <w:r w:rsidRPr="00523877">
        <w:t xml:space="preserve">The proposed restructuring </w:t>
      </w:r>
      <w:r w:rsidR="001F349C">
        <w:t xml:space="preserve">does </w:t>
      </w:r>
      <w:r w:rsidR="001F349C" w:rsidRPr="001F349C">
        <w:rPr>
          <w:iCs/>
        </w:rPr>
        <w:t>no</w:t>
      </w:r>
      <w:r w:rsidR="001F349C">
        <w:rPr>
          <w:iCs/>
        </w:rPr>
        <w:t xml:space="preserve">t change </w:t>
      </w:r>
      <w:r w:rsidR="001F349C" w:rsidRPr="001F349C">
        <w:rPr>
          <w:iCs/>
        </w:rPr>
        <w:t>the Project Development Objective (PDO)</w:t>
      </w:r>
      <w:r w:rsidR="001F349C">
        <w:rPr>
          <w:iCs/>
        </w:rPr>
        <w:t xml:space="preserve">, and the PDO </w:t>
      </w:r>
      <w:r w:rsidR="00B81D38" w:rsidRPr="00B81D38">
        <w:t>continue</w:t>
      </w:r>
      <w:r w:rsidR="001F349C">
        <w:t>s</w:t>
      </w:r>
      <w:r w:rsidR="00B81D38" w:rsidRPr="00B81D38">
        <w:t xml:space="preserve"> to be achievable.</w:t>
      </w:r>
      <w:r w:rsidR="001F349C">
        <w:t xml:space="preserve"> The proposed changes are the following:</w:t>
      </w:r>
    </w:p>
    <w:bookmarkEnd w:id="9"/>
    <w:p w:rsidR="009F448A" w:rsidRPr="00BE6937" w:rsidRDefault="009F448A" w:rsidP="009F448A">
      <w:pPr>
        <w:pStyle w:val="ListParagraph"/>
        <w:numPr>
          <w:ilvl w:val="0"/>
          <w:numId w:val="2"/>
        </w:numPr>
        <w:rPr>
          <w:b/>
        </w:rPr>
      </w:pPr>
      <w:r w:rsidRPr="00BE6937">
        <w:rPr>
          <w:b/>
        </w:rPr>
        <w:t xml:space="preserve">Closing date  </w:t>
      </w:r>
    </w:p>
    <w:p w:rsidR="002B35D3" w:rsidRPr="002B35D3" w:rsidRDefault="009F448A" w:rsidP="002B35D3">
      <w:pPr>
        <w:pStyle w:val="ListParagraph"/>
        <w:spacing w:after="240"/>
        <w:jc w:val="both"/>
        <w:rPr>
          <w:bCs/>
        </w:rPr>
      </w:pPr>
      <w:r w:rsidRPr="004546D1">
        <w:rPr>
          <w:bCs/>
        </w:rPr>
        <w:t xml:space="preserve">The Borrower has requested an extension of the closing date for the Project from December 31, 2011 to November 30, 2013. The proposed extension is necessary to fulfill </w:t>
      </w:r>
      <w:r w:rsidR="002B35D3">
        <w:rPr>
          <w:bCs/>
        </w:rPr>
        <w:t>the</w:t>
      </w:r>
      <w:r w:rsidRPr="004546D1">
        <w:rPr>
          <w:bCs/>
        </w:rPr>
        <w:t xml:space="preserve"> goals </w:t>
      </w:r>
      <w:r w:rsidR="002B35D3">
        <w:rPr>
          <w:bCs/>
        </w:rPr>
        <w:t>specified in the</w:t>
      </w:r>
      <w:r w:rsidRPr="004546D1">
        <w:rPr>
          <w:bCs/>
        </w:rPr>
        <w:t xml:space="preserve"> Project Appraisal Document. </w:t>
      </w:r>
      <w:r w:rsidR="0014707B" w:rsidRPr="0014707B">
        <w:rPr>
          <w:bCs/>
        </w:rPr>
        <w:t xml:space="preserve">The Bank team believes that the Project could be completed in a period of 18 months based on </w:t>
      </w:r>
      <w:r w:rsidR="00AD7CFB">
        <w:rPr>
          <w:bCs/>
        </w:rPr>
        <w:t xml:space="preserve">an </w:t>
      </w:r>
      <w:r w:rsidR="0014707B" w:rsidRPr="0014707B">
        <w:rPr>
          <w:bCs/>
        </w:rPr>
        <w:t xml:space="preserve">analysis of the implementation schedule, and to provide for contingencies, is therefore seeking approval of a 20 month extension. </w:t>
      </w:r>
      <w:r w:rsidR="002B35D3">
        <w:rPr>
          <w:bCs/>
        </w:rPr>
        <w:t xml:space="preserve">The </w:t>
      </w:r>
      <w:proofErr w:type="spellStart"/>
      <w:r w:rsidR="002B35D3">
        <w:rPr>
          <w:bCs/>
        </w:rPr>
        <w:t>GoC</w:t>
      </w:r>
      <w:proofErr w:type="spellEnd"/>
      <w:r w:rsidR="002B35D3">
        <w:rPr>
          <w:bCs/>
        </w:rPr>
        <w:t xml:space="preserve"> has been informed of this 20 month extension and has </w:t>
      </w:r>
      <w:r w:rsidR="00646008">
        <w:rPr>
          <w:bCs/>
        </w:rPr>
        <w:t>concurred</w:t>
      </w:r>
      <w:r w:rsidR="002B35D3">
        <w:rPr>
          <w:bCs/>
        </w:rPr>
        <w:t xml:space="preserve">. </w:t>
      </w:r>
      <w:r w:rsidR="00AD7CFB">
        <w:rPr>
          <w:bCs/>
        </w:rPr>
        <w:t>Thus, the</w:t>
      </w:r>
      <w:r w:rsidR="0014707B" w:rsidRPr="0014707B">
        <w:rPr>
          <w:bCs/>
        </w:rPr>
        <w:t xml:space="preserve"> revised closing date would be August 31, 2013. </w:t>
      </w:r>
      <w:r w:rsidRPr="004546D1">
        <w:rPr>
          <w:bCs/>
        </w:rPr>
        <w:t xml:space="preserve">This will be the first extension of </w:t>
      </w:r>
      <w:r w:rsidR="00AD7CFB">
        <w:rPr>
          <w:bCs/>
        </w:rPr>
        <w:t xml:space="preserve">the </w:t>
      </w:r>
      <w:r w:rsidRPr="004546D1">
        <w:rPr>
          <w:bCs/>
        </w:rPr>
        <w:t>project</w:t>
      </w:r>
      <w:r w:rsidR="00AD7CFB">
        <w:rPr>
          <w:bCs/>
        </w:rPr>
        <w:t>’s</w:t>
      </w:r>
      <w:r>
        <w:rPr>
          <w:bCs/>
        </w:rPr>
        <w:t xml:space="preserve"> closing date</w:t>
      </w:r>
      <w:r w:rsidRPr="004546D1">
        <w:rPr>
          <w:bCs/>
        </w:rPr>
        <w:t>.</w:t>
      </w:r>
      <w:r w:rsidR="002B35D3">
        <w:rPr>
          <w:bCs/>
        </w:rPr>
        <w:t xml:space="preserve"> </w:t>
      </w:r>
      <w:r w:rsidR="002B35D3" w:rsidRPr="002B35D3">
        <w:rPr>
          <w:bCs/>
        </w:rPr>
        <w:t xml:space="preserve">The Bank team believes that the extension is warranted, </w:t>
      </w:r>
      <w:r w:rsidR="000536D8">
        <w:rPr>
          <w:bCs/>
        </w:rPr>
        <w:t>as</w:t>
      </w:r>
      <w:r w:rsidR="002B35D3" w:rsidRPr="002B35D3">
        <w:rPr>
          <w:bCs/>
        </w:rPr>
        <w:t xml:space="preserve"> Category 1 </w:t>
      </w:r>
      <w:r w:rsidR="000536D8">
        <w:rPr>
          <w:bCs/>
        </w:rPr>
        <w:t xml:space="preserve">(Investments) </w:t>
      </w:r>
      <w:r w:rsidR="002B35D3" w:rsidRPr="002B35D3">
        <w:rPr>
          <w:bCs/>
        </w:rPr>
        <w:t>activities have a longer implementation time frame than Category 2</w:t>
      </w:r>
      <w:r w:rsidR="000536D8">
        <w:rPr>
          <w:bCs/>
        </w:rPr>
        <w:t xml:space="preserve"> (</w:t>
      </w:r>
      <w:r w:rsidR="000536D8" w:rsidRPr="000536D8">
        <w:rPr>
          <w:bCs/>
        </w:rPr>
        <w:t xml:space="preserve">Recognizing Costs) </w:t>
      </w:r>
      <w:r w:rsidR="002B35D3" w:rsidRPr="002B35D3">
        <w:rPr>
          <w:bCs/>
        </w:rPr>
        <w:t xml:space="preserve">activities, from where funds are being reallocated. </w:t>
      </w:r>
      <w:r w:rsidR="000536D8" w:rsidRPr="000536D8">
        <w:rPr>
          <w:bCs/>
        </w:rPr>
        <w:t>This implies the re</w:t>
      </w:r>
      <w:r w:rsidR="000536D8">
        <w:rPr>
          <w:bCs/>
        </w:rPr>
        <w:t>allocation</w:t>
      </w:r>
      <w:r w:rsidR="000536D8" w:rsidRPr="000536D8">
        <w:rPr>
          <w:bCs/>
        </w:rPr>
        <w:t xml:space="preserve"> of funds from small scale civil works for disaster risk reduction, towards upstream activities including disaster risk identification, municipal risk analysis, institutional development, awareness and preparedness, and risk financing</w:t>
      </w:r>
    </w:p>
    <w:p w:rsidR="002B35D3" w:rsidRPr="004546D1" w:rsidRDefault="002B35D3" w:rsidP="009F448A">
      <w:pPr>
        <w:pStyle w:val="ListParagraph"/>
        <w:spacing w:after="240"/>
        <w:jc w:val="both"/>
        <w:rPr>
          <w:bCs/>
        </w:rPr>
      </w:pPr>
    </w:p>
    <w:p w:rsidR="009F448A" w:rsidRPr="00BE6937" w:rsidRDefault="009F448A" w:rsidP="009F448A">
      <w:pPr>
        <w:pStyle w:val="ListParagraph"/>
        <w:numPr>
          <w:ilvl w:val="0"/>
          <w:numId w:val="2"/>
        </w:numPr>
        <w:rPr>
          <w:b/>
        </w:rPr>
      </w:pPr>
      <w:r w:rsidRPr="00BE6937">
        <w:rPr>
          <w:b/>
        </w:rPr>
        <w:t>Financing</w:t>
      </w:r>
      <w:r w:rsidR="00C95EFA">
        <w:rPr>
          <w:b/>
        </w:rPr>
        <w:t xml:space="preserve"> Reallocation</w:t>
      </w:r>
    </w:p>
    <w:p w:rsidR="009F448A" w:rsidRPr="009B31FA" w:rsidRDefault="009F448A" w:rsidP="006D18FD">
      <w:pPr>
        <w:pStyle w:val="ListParagraph"/>
        <w:spacing w:after="240"/>
        <w:jc w:val="both"/>
      </w:pPr>
      <w:r>
        <w:t xml:space="preserve">The Borrower has requested a reallocation from Category 2 (Recognizing Costs) to Category 1 </w:t>
      </w:r>
      <w:r w:rsidRPr="00827CBC">
        <w:t>(Investments)</w:t>
      </w:r>
      <w:r>
        <w:t>.</w:t>
      </w:r>
      <w:r w:rsidR="00C95EFA">
        <w:t xml:space="preserve"> </w:t>
      </w:r>
      <w:r w:rsidR="00A23D5C">
        <w:t xml:space="preserve">This implies the </w:t>
      </w:r>
      <w:proofErr w:type="spellStart"/>
      <w:r w:rsidR="00A23D5C">
        <w:t>recategorization</w:t>
      </w:r>
      <w:proofErr w:type="spellEnd"/>
      <w:r w:rsidR="00A23D5C">
        <w:t xml:space="preserve"> of funds away from small scale civil works for disaster risk reduction, towards upstream activities including disaster risk identification, municipal risk analysis, institutional development, awareness and preparedness, and risk financing. </w:t>
      </w:r>
      <w:r w:rsidR="006D18FD" w:rsidRPr="006D18FD">
        <w:rPr>
          <w:bCs/>
        </w:rPr>
        <w:t>The proposed reallocation of US$16.13 million from Category 2 to Category 1 will have a positive impact on the Project's development indicators. The Project objectives financed with Category 2 funds have already been achieved. With additional funds under Category 1, the client is able to expand the coverage of the Project and raise the targets for the Project outcome indicators for 2011-2013.  Therefore, the request is likely to have a positive effect on the Project's development impact.</w:t>
      </w: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6D18FD" w:rsidRDefault="006D18FD" w:rsidP="00C95EFA">
      <w:pPr>
        <w:ind w:firstLine="720"/>
      </w:pPr>
    </w:p>
    <w:p w:rsidR="009F448A" w:rsidRDefault="009F448A" w:rsidP="00C95EFA">
      <w:pPr>
        <w:ind w:firstLine="720"/>
      </w:pPr>
      <w:r w:rsidRPr="00165D1B">
        <w:t>Proceeds for the Loan will be reallocated as follows:</w:t>
      </w:r>
    </w:p>
    <w:p w:rsidR="003928B0" w:rsidRDefault="003928B0" w:rsidP="00C95EFA">
      <w:pPr>
        <w:ind w:firstLine="720"/>
      </w:pPr>
    </w:p>
    <w:tbl>
      <w:tblPr>
        <w:tblStyle w:val="TableGrid"/>
        <w:tblW w:w="0" w:type="auto"/>
        <w:tblLook w:val="04A0"/>
      </w:tblPr>
      <w:tblGrid>
        <w:gridCol w:w="2134"/>
        <w:gridCol w:w="1596"/>
        <w:gridCol w:w="1596"/>
        <w:gridCol w:w="1590"/>
        <w:gridCol w:w="977"/>
        <w:gridCol w:w="963"/>
      </w:tblGrid>
      <w:tr w:rsidR="004B110A" w:rsidRPr="004B110A" w:rsidTr="00F80961">
        <w:tc>
          <w:tcPr>
            <w:tcW w:w="2134" w:type="dxa"/>
            <w:shd w:val="clear" w:color="auto" w:fill="808080" w:themeFill="background1" w:themeFillShade="80"/>
          </w:tcPr>
          <w:p w:rsidR="004B110A" w:rsidRPr="004B110A" w:rsidRDefault="004B110A" w:rsidP="004B110A">
            <w:pPr>
              <w:rPr>
                <w:b/>
              </w:rPr>
            </w:pPr>
            <w:r w:rsidRPr="004B110A">
              <w:rPr>
                <w:b/>
              </w:rPr>
              <w:t>Category of Expenditure*</w:t>
            </w:r>
          </w:p>
        </w:tc>
        <w:tc>
          <w:tcPr>
            <w:tcW w:w="3192" w:type="dxa"/>
            <w:gridSpan w:val="2"/>
            <w:shd w:val="clear" w:color="auto" w:fill="808080" w:themeFill="background1" w:themeFillShade="80"/>
          </w:tcPr>
          <w:p w:rsidR="004B110A" w:rsidRPr="004B110A" w:rsidRDefault="004B110A" w:rsidP="004B110A">
            <w:pPr>
              <w:rPr>
                <w:b/>
              </w:rPr>
            </w:pPr>
            <w:r w:rsidRPr="004B110A">
              <w:rPr>
                <w:b/>
              </w:rPr>
              <w:t>Allocation (US$)</w:t>
            </w:r>
          </w:p>
        </w:tc>
        <w:tc>
          <w:tcPr>
            <w:tcW w:w="1590" w:type="dxa"/>
            <w:shd w:val="clear" w:color="auto" w:fill="808080" w:themeFill="background1" w:themeFillShade="80"/>
          </w:tcPr>
          <w:p w:rsidR="004B110A" w:rsidRPr="004B110A" w:rsidRDefault="004B110A" w:rsidP="004B110A">
            <w:pPr>
              <w:rPr>
                <w:b/>
              </w:rPr>
            </w:pPr>
            <w:r w:rsidRPr="004B110A">
              <w:rPr>
                <w:b/>
              </w:rPr>
              <w:t>% of Expenditures to be Financed</w:t>
            </w:r>
          </w:p>
        </w:tc>
        <w:tc>
          <w:tcPr>
            <w:tcW w:w="1940" w:type="dxa"/>
            <w:gridSpan w:val="2"/>
            <w:shd w:val="clear" w:color="auto" w:fill="808080" w:themeFill="background1" w:themeFillShade="80"/>
          </w:tcPr>
          <w:p w:rsidR="004B110A" w:rsidRPr="004B110A" w:rsidRDefault="004B110A" w:rsidP="004B110A">
            <w:pPr>
              <w:rPr>
                <w:b/>
              </w:rPr>
            </w:pPr>
            <w:r w:rsidRPr="004B110A">
              <w:rPr>
                <w:b/>
              </w:rPr>
              <w:t>% of Loan Financing</w:t>
            </w:r>
          </w:p>
        </w:tc>
      </w:tr>
      <w:tr w:rsidR="004B110A" w:rsidRPr="004B110A" w:rsidTr="00F80961">
        <w:tc>
          <w:tcPr>
            <w:tcW w:w="2134" w:type="dxa"/>
            <w:shd w:val="clear" w:color="auto" w:fill="D9D9D9" w:themeFill="background1" w:themeFillShade="D9"/>
          </w:tcPr>
          <w:p w:rsidR="004B110A" w:rsidRPr="004B110A" w:rsidRDefault="004B110A" w:rsidP="004B110A">
            <w:pPr>
              <w:rPr>
                <w:i/>
              </w:rPr>
            </w:pPr>
            <w:r w:rsidRPr="004B110A">
              <w:rPr>
                <w:i/>
              </w:rPr>
              <w:t>Current</w:t>
            </w:r>
          </w:p>
          <w:p w:rsidR="004B110A" w:rsidRPr="004B110A" w:rsidRDefault="004B110A" w:rsidP="004B110A">
            <w:pPr>
              <w:rPr>
                <w:i/>
              </w:rPr>
            </w:pPr>
          </w:p>
        </w:tc>
        <w:tc>
          <w:tcPr>
            <w:tcW w:w="1596" w:type="dxa"/>
            <w:shd w:val="clear" w:color="auto" w:fill="D9D9D9" w:themeFill="background1" w:themeFillShade="D9"/>
          </w:tcPr>
          <w:p w:rsidR="004B110A" w:rsidRPr="004B110A" w:rsidRDefault="004B110A" w:rsidP="004B110A">
            <w:pPr>
              <w:rPr>
                <w:i/>
              </w:rPr>
            </w:pPr>
            <w:r w:rsidRPr="004B110A">
              <w:rPr>
                <w:i/>
              </w:rPr>
              <w:t>Current</w:t>
            </w:r>
          </w:p>
        </w:tc>
        <w:tc>
          <w:tcPr>
            <w:tcW w:w="1596" w:type="dxa"/>
            <w:shd w:val="clear" w:color="auto" w:fill="D9D9D9" w:themeFill="background1" w:themeFillShade="D9"/>
          </w:tcPr>
          <w:p w:rsidR="004B110A" w:rsidRPr="004B110A" w:rsidRDefault="004B110A" w:rsidP="004B110A">
            <w:pPr>
              <w:rPr>
                <w:i/>
              </w:rPr>
            </w:pPr>
            <w:r w:rsidRPr="004B110A">
              <w:rPr>
                <w:i/>
              </w:rPr>
              <w:t>Revised</w:t>
            </w:r>
          </w:p>
        </w:tc>
        <w:tc>
          <w:tcPr>
            <w:tcW w:w="1590" w:type="dxa"/>
            <w:shd w:val="clear" w:color="auto" w:fill="D9D9D9" w:themeFill="background1" w:themeFillShade="D9"/>
          </w:tcPr>
          <w:p w:rsidR="004B110A" w:rsidRPr="004B110A" w:rsidRDefault="004B110A" w:rsidP="004B110A">
            <w:pPr>
              <w:rPr>
                <w:i/>
              </w:rPr>
            </w:pPr>
          </w:p>
        </w:tc>
        <w:tc>
          <w:tcPr>
            <w:tcW w:w="977" w:type="dxa"/>
            <w:shd w:val="clear" w:color="auto" w:fill="D9D9D9" w:themeFill="background1" w:themeFillShade="D9"/>
          </w:tcPr>
          <w:p w:rsidR="004B110A" w:rsidRPr="004B110A" w:rsidRDefault="004B110A" w:rsidP="004B110A">
            <w:pPr>
              <w:rPr>
                <w:i/>
              </w:rPr>
            </w:pPr>
            <w:r w:rsidRPr="004B110A">
              <w:rPr>
                <w:i/>
              </w:rPr>
              <w:t>Current</w:t>
            </w:r>
          </w:p>
        </w:tc>
        <w:tc>
          <w:tcPr>
            <w:tcW w:w="963" w:type="dxa"/>
            <w:shd w:val="clear" w:color="auto" w:fill="D9D9D9" w:themeFill="background1" w:themeFillShade="D9"/>
          </w:tcPr>
          <w:p w:rsidR="004B110A" w:rsidRPr="004B110A" w:rsidRDefault="004B110A" w:rsidP="004B110A">
            <w:pPr>
              <w:rPr>
                <w:i/>
              </w:rPr>
            </w:pPr>
            <w:r w:rsidRPr="004B110A">
              <w:rPr>
                <w:i/>
              </w:rPr>
              <w:t>Revised</w:t>
            </w:r>
          </w:p>
        </w:tc>
      </w:tr>
      <w:tr w:rsidR="004B110A" w:rsidRPr="004B110A" w:rsidTr="00F80961">
        <w:tc>
          <w:tcPr>
            <w:tcW w:w="2134" w:type="dxa"/>
          </w:tcPr>
          <w:p w:rsidR="004B110A" w:rsidRPr="004B110A" w:rsidRDefault="004B110A" w:rsidP="004B110A">
            <w:r w:rsidRPr="004B110A">
              <w:rPr>
                <w:b/>
              </w:rPr>
              <w:t>Category 1:</w:t>
            </w:r>
            <w:r w:rsidRPr="004B110A">
              <w:t xml:space="preserve"> Goods, works, services,</w:t>
            </w:r>
          </w:p>
          <w:p w:rsidR="004B110A" w:rsidRPr="004B110A" w:rsidRDefault="004B110A" w:rsidP="004B110A">
            <w:r w:rsidRPr="004B110A">
              <w:t>training, and Operating</w:t>
            </w:r>
          </w:p>
          <w:p w:rsidR="004B110A" w:rsidRPr="004B110A" w:rsidRDefault="004B110A" w:rsidP="004B110A">
            <w:r w:rsidRPr="004B110A">
              <w:t>costs under Parts A, B.1, B.3, C, D and E.1 of the Project</w:t>
            </w:r>
          </w:p>
        </w:tc>
        <w:tc>
          <w:tcPr>
            <w:tcW w:w="1596" w:type="dxa"/>
          </w:tcPr>
          <w:p w:rsidR="004B110A" w:rsidRPr="004B110A" w:rsidRDefault="004B110A" w:rsidP="004B110A">
            <w:r w:rsidRPr="004B110A">
              <w:t>21,500,000.00</w:t>
            </w:r>
          </w:p>
        </w:tc>
        <w:tc>
          <w:tcPr>
            <w:tcW w:w="1596" w:type="dxa"/>
          </w:tcPr>
          <w:p w:rsidR="004B110A" w:rsidRPr="004B110A" w:rsidRDefault="004B110A" w:rsidP="004B110A">
            <w:r w:rsidRPr="004B110A">
              <w:t>37,634,384.80</w:t>
            </w:r>
          </w:p>
        </w:tc>
        <w:tc>
          <w:tcPr>
            <w:tcW w:w="1590" w:type="dxa"/>
          </w:tcPr>
          <w:p w:rsidR="004B110A" w:rsidRPr="004B110A" w:rsidRDefault="004B110A" w:rsidP="004B110A">
            <w:r w:rsidRPr="004B110A">
              <w:t>100%</w:t>
            </w:r>
          </w:p>
        </w:tc>
        <w:tc>
          <w:tcPr>
            <w:tcW w:w="977" w:type="dxa"/>
          </w:tcPr>
          <w:p w:rsidR="004B110A" w:rsidRPr="004B110A" w:rsidRDefault="004B110A" w:rsidP="004B110A">
            <w:r w:rsidRPr="004B110A">
              <w:t>14%</w:t>
            </w:r>
          </w:p>
        </w:tc>
        <w:tc>
          <w:tcPr>
            <w:tcW w:w="963" w:type="dxa"/>
          </w:tcPr>
          <w:p w:rsidR="004B110A" w:rsidRPr="004B110A" w:rsidRDefault="004B110A" w:rsidP="004B110A">
            <w:r w:rsidRPr="004B110A">
              <w:t>36.13%</w:t>
            </w:r>
          </w:p>
        </w:tc>
      </w:tr>
      <w:tr w:rsidR="004B110A" w:rsidRPr="004B110A" w:rsidTr="00F80961">
        <w:tc>
          <w:tcPr>
            <w:tcW w:w="2134" w:type="dxa"/>
          </w:tcPr>
          <w:p w:rsidR="004B110A" w:rsidRPr="004B110A" w:rsidRDefault="004B110A" w:rsidP="004B110A">
            <w:r w:rsidRPr="004B110A">
              <w:rPr>
                <w:b/>
              </w:rPr>
              <w:t>Category 2:</w:t>
            </w:r>
            <w:r w:rsidRPr="004B110A">
              <w:t xml:space="preserve"> Goods, works, and services with respect to Risk Reduction Investments under Part B.2 of the Project</w:t>
            </w:r>
          </w:p>
        </w:tc>
        <w:tc>
          <w:tcPr>
            <w:tcW w:w="1596" w:type="dxa"/>
          </w:tcPr>
          <w:p w:rsidR="004B110A" w:rsidRPr="004B110A" w:rsidRDefault="004B110A" w:rsidP="004B110A">
            <w:r w:rsidRPr="004B110A">
              <w:t>88,500,000.00</w:t>
            </w:r>
          </w:p>
        </w:tc>
        <w:tc>
          <w:tcPr>
            <w:tcW w:w="1596" w:type="dxa"/>
          </w:tcPr>
          <w:p w:rsidR="004B110A" w:rsidRPr="004B110A" w:rsidRDefault="004B110A" w:rsidP="004B110A">
            <w:r w:rsidRPr="004B110A">
              <w:t>72,365,615.20</w:t>
            </w:r>
          </w:p>
        </w:tc>
        <w:tc>
          <w:tcPr>
            <w:tcW w:w="1590" w:type="dxa"/>
          </w:tcPr>
          <w:p w:rsidR="004B110A" w:rsidRPr="004B110A" w:rsidRDefault="004B110A" w:rsidP="004B110A">
            <w:r w:rsidRPr="004B110A">
              <w:t>100%</w:t>
            </w:r>
          </w:p>
        </w:tc>
        <w:tc>
          <w:tcPr>
            <w:tcW w:w="977" w:type="dxa"/>
          </w:tcPr>
          <w:p w:rsidR="004B110A" w:rsidRPr="004B110A" w:rsidRDefault="004B110A" w:rsidP="004B110A">
            <w:r w:rsidRPr="004B110A">
              <w:t>86%</w:t>
            </w:r>
          </w:p>
        </w:tc>
        <w:tc>
          <w:tcPr>
            <w:tcW w:w="963" w:type="dxa"/>
          </w:tcPr>
          <w:p w:rsidR="004B110A" w:rsidRPr="004B110A" w:rsidRDefault="004B110A" w:rsidP="004B110A">
            <w:r w:rsidRPr="004B110A">
              <w:t>63.87%</w:t>
            </w:r>
          </w:p>
        </w:tc>
      </w:tr>
    </w:tbl>
    <w:p w:rsidR="004B110A" w:rsidRPr="004B110A" w:rsidRDefault="00D756E2" w:rsidP="004B110A">
      <w:pPr>
        <w:rPr>
          <w:sz w:val="20"/>
          <w:szCs w:val="20"/>
        </w:rPr>
      </w:pPr>
      <w:r w:rsidRPr="00D756E2">
        <w:rPr>
          <w:sz w:val="20"/>
          <w:szCs w:val="20"/>
        </w:rPr>
        <w:t xml:space="preserve">* </w:t>
      </w:r>
      <w:r w:rsidR="0014707B">
        <w:rPr>
          <w:sz w:val="20"/>
          <w:szCs w:val="20"/>
        </w:rPr>
        <w:t>N</w:t>
      </w:r>
      <w:r w:rsidRPr="00D756E2">
        <w:rPr>
          <w:sz w:val="20"/>
          <w:szCs w:val="20"/>
        </w:rPr>
        <w:t>ote that Category 3, Critical Imports for disaster emergency assistance under P</w:t>
      </w:r>
      <w:r w:rsidR="00790EE4">
        <w:rPr>
          <w:sz w:val="20"/>
          <w:szCs w:val="20"/>
        </w:rPr>
        <w:t>art E.2 of the Project, for US$</w:t>
      </w:r>
      <w:r w:rsidRPr="00D756E2">
        <w:rPr>
          <w:sz w:val="20"/>
          <w:szCs w:val="20"/>
        </w:rPr>
        <w:t xml:space="preserve">150,000,000.00, 50% of expenditures to be financed, was cancelled as per the Project Restructuring of </w:t>
      </w:r>
      <w:r w:rsidR="001041AA">
        <w:rPr>
          <w:sz w:val="20"/>
          <w:szCs w:val="20"/>
        </w:rPr>
        <w:t>May</w:t>
      </w:r>
      <w:r w:rsidRPr="00D756E2">
        <w:rPr>
          <w:sz w:val="20"/>
          <w:szCs w:val="20"/>
        </w:rPr>
        <w:t>, 2009.</w:t>
      </w:r>
      <w:r w:rsidR="002E4823">
        <w:rPr>
          <w:sz w:val="20"/>
          <w:szCs w:val="20"/>
        </w:rPr>
        <w:t xml:space="preserve"> A DPL with CAT DDO was processed </w:t>
      </w:r>
      <w:r w:rsidR="0014707B">
        <w:rPr>
          <w:sz w:val="20"/>
          <w:szCs w:val="20"/>
        </w:rPr>
        <w:t>in its place</w:t>
      </w:r>
      <w:r w:rsidR="002E4823">
        <w:rPr>
          <w:sz w:val="20"/>
          <w:szCs w:val="20"/>
        </w:rPr>
        <w:t>.</w:t>
      </w:r>
    </w:p>
    <w:p w:rsidR="009F448A" w:rsidRDefault="009F448A" w:rsidP="009F448A">
      <w:pPr>
        <w:pStyle w:val="ListParagraph"/>
        <w:rPr>
          <w:b/>
        </w:rPr>
      </w:pPr>
    </w:p>
    <w:p w:rsidR="009B31FA" w:rsidRPr="00BE6937" w:rsidRDefault="009B31FA" w:rsidP="006845B8">
      <w:pPr>
        <w:pStyle w:val="ListParagraph"/>
        <w:numPr>
          <w:ilvl w:val="0"/>
          <w:numId w:val="2"/>
        </w:numPr>
        <w:rPr>
          <w:b/>
        </w:rPr>
      </w:pPr>
      <w:r w:rsidRPr="00BE6937">
        <w:rPr>
          <w:b/>
        </w:rPr>
        <w:t xml:space="preserve">Results/indicators </w:t>
      </w:r>
    </w:p>
    <w:p w:rsidR="009B31FA" w:rsidRPr="004546D1" w:rsidRDefault="00810690" w:rsidP="009F448A">
      <w:pPr>
        <w:pStyle w:val="ListParagraph"/>
        <w:spacing w:after="240"/>
        <w:jc w:val="both"/>
      </w:pPr>
      <w:r w:rsidRPr="004546D1">
        <w:t xml:space="preserve">The </w:t>
      </w:r>
      <w:r w:rsidR="009F448A">
        <w:t xml:space="preserve">Borrower has </w:t>
      </w:r>
      <w:r w:rsidR="00181874">
        <w:t xml:space="preserve">requested a 23 month extension and </w:t>
      </w:r>
      <w:r w:rsidRPr="004546D1">
        <w:t>proposed changes</w:t>
      </w:r>
      <w:r w:rsidR="00E329FC" w:rsidRPr="004546D1">
        <w:t xml:space="preserve"> in </w:t>
      </w:r>
      <w:r w:rsidR="009F448A">
        <w:t xml:space="preserve">the 2011-2013 </w:t>
      </w:r>
      <w:r w:rsidR="00A23D5C">
        <w:t xml:space="preserve">outcome indicator </w:t>
      </w:r>
      <w:r w:rsidR="00E329FC" w:rsidRPr="004546D1">
        <w:t xml:space="preserve">targets </w:t>
      </w:r>
      <w:r w:rsidR="009F448A">
        <w:t xml:space="preserve">that </w:t>
      </w:r>
      <w:r w:rsidRPr="004546D1">
        <w:t>do not change the scope of activities but expand the reach (number of beneficiary municipalities and number of risk monitoring networks) of the capacity building activities in the original project design.</w:t>
      </w:r>
      <w:r w:rsidR="009A5275">
        <w:t xml:space="preserve"> </w:t>
      </w:r>
      <w:r w:rsidR="009A5275" w:rsidRPr="009A5275">
        <w:t xml:space="preserve">With this restructuring, </w:t>
      </w:r>
      <w:r w:rsidR="009A5275">
        <w:t>including the extension of the closing date</w:t>
      </w:r>
      <w:r w:rsidR="00181874">
        <w:t xml:space="preserve"> by a period of 20 months</w:t>
      </w:r>
      <w:r w:rsidR="009A5275">
        <w:t xml:space="preserve">, </w:t>
      </w:r>
      <w:r w:rsidR="009A5275" w:rsidRPr="009A5275">
        <w:t>the project development objectives continue to be achievable.</w:t>
      </w:r>
    </w:p>
    <w:p w:rsidR="00523877" w:rsidRPr="004546D1" w:rsidRDefault="00523877" w:rsidP="004546D1">
      <w:pPr>
        <w:pStyle w:val="ListParagraph"/>
        <w:spacing w:after="240"/>
      </w:pPr>
    </w:p>
    <w:p w:rsidR="00523877" w:rsidRDefault="00523877" w:rsidP="009F448A">
      <w:pPr>
        <w:pStyle w:val="ListParagraph"/>
        <w:spacing w:after="240"/>
        <w:jc w:val="both"/>
      </w:pPr>
      <w:r w:rsidRPr="004546D1">
        <w:t xml:space="preserve">The </w:t>
      </w:r>
      <w:r w:rsidR="009F448A">
        <w:t>updated</w:t>
      </w:r>
      <w:r w:rsidRPr="004546D1">
        <w:t xml:space="preserve"> target</w:t>
      </w:r>
      <w:r w:rsidR="009F448A">
        <w:t>s</w:t>
      </w:r>
      <w:r w:rsidRPr="004546D1">
        <w:t xml:space="preserve"> </w:t>
      </w:r>
      <w:r w:rsidR="009F448A">
        <w:t xml:space="preserve">include having </w:t>
      </w:r>
      <w:r w:rsidRPr="004546D1">
        <w:t>632 municipalities with action plans for incorporating Risk in Land Use Plans and/or Municipal Risk Management Plans</w:t>
      </w:r>
      <w:r w:rsidR="009F448A">
        <w:t xml:space="preserve"> (Baseline: 472)</w:t>
      </w:r>
      <w:r w:rsidRPr="004546D1">
        <w:t>. In addition, the Borrower proposes to have 1098 municipalities with technical assistance on hazard risk reduction, which corresponds to 100% of the municipalities in the country</w:t>
      </w:r>
      <w:r w:rsidR="009F448A">
        <w:t xml:space="preserve"> (</w:t>
      </w:r>
      <w:r w:rsidR="009F448A" w:rsidRPr="009F448A">
        <w:t xml:space="preserve">Baseline: </w:t>
      </w:r>
      <w:r w:rsidR="009F448A">
        <w:t>714</w:t>
      </w:r>
      <w:r w:rsidR="009F448A" w:rsidRPr="009F448A">
        <w:t>).</w:t>
      </w:r>
      <w:r w:rsidRPr="004546D1">
        <w:t xml:space="preserve"> Note also that this is 154% of the target agreed for 2010. Similarly, the </w:t>
      </w:r>
      <w:r w:rsidR="009F448A">
        <w:t>updated</w:t>
      </w:r>
      <w:r w:rsidRPr="004546D1">
        <w:t xml:space="preserve"> </w:t>
      </w:r>
      <w:r w:rsidR="009F448A">
        <w:t xml:space="preserve">target for the </w:t>
      </w:r>
      <w:r w:rsidR="009F448A" w:rsidRPr="004546D1">
        <w:t xml:space="preserve">environmental </w:t>
      </w:r>
      <w:r w:rsidR="009F448A" w:rsidRPr="004546D1">
        <w:lastRenderedPageBreak/>
        <w:t xml:space="preserve">education for risk management </w:t>
      </w:r>
      <w:r w:rsidR="009F448A">
        <w:t xml:space="preserve">component </w:t>
      </w:r>
      <w:r w:rsidRPr="004546D1">
        <w:t>is to have 112 municipalities covered</w:t>
      </w:r>
      <w:r w:rsidR="009F448A">
        <w:t xml:space="preserve"> (Baseline: 88)</w:t>
      </w:r>
      <w:r w:rsidRPr="004546D1">
        <w:t>.</w:t>
      </w:r>
    </w:p>
    <w:p w:rsidR="00D51C99" w:rsidRPr="004546D1" w:rsidRDefault="00D51C99" w:rsidP="009F448A">
      <w:pPr>
        <w:pStyle w:val="ListParagraph"/>
        <w:spacing w:after="240"/>
        <w:jc w:val="both"/>
      </w:pPr>
    </w:p>
    <w:p w:rsidR="00523877" w:rsidRPr="009B31FA" w:rsidRDefault="00523877" w:rsidP="00523877">
      <w:pPr>
        <w:pStyle w:val="ListParagraph"/>
      </w:pPr>
    </w:p>
    <w:p w:rsidR="00165D1B" w:rsidRPr="00BE6937" w:rsidRDefault="00BE6937" w:rsidP="00165D1B">
      <w:pPr>
        <w:pStyle w:val="ListParagraph"/>
        <w:numPr>
          <w:ilvl w:val="0"/>
          <w:numId w:val="2"/>
        </w:numPr>
        <w:rPr>
          <w:b/>
          <w:bCs/>
        </w:rPr>
      </w:pPr>
      <w:bookmarkStart w:id="12" w:name="_Toc247685214"/>
      <w:r>
        <w:rPr>
          <w:b/>
        </w:rPr>
        <w:t>Special Account</w:t>
      </w:r>
      <w:r w:rsidR="000C4A60">
        <w:rPr>
          <w:b/>
        </w:rPr>
        <w:t xml:space="preserve"> (Increase of threshold)</w:t>
      </w:r>
    </w:p>
    <w:p w:rsidR="00165D1B" w:rsidRDefault="009F448A" w:rsidP="009F448A">
      <w:pPr>
        <w:pStyle w:val="ListParagraph"/>
        <w:spacing w:after="240"/>
        <w:jc w:val="both"/>
        <w:rPr>
          <w:bCs/>
        </w:rPr>
      </w:pPr>
      <w:r>
        <w:rPr>
          <w:bCs/>
        </w:rPr>
        <w:t>T</w:t>
      </w:r>
      <w:r w:rsidR="00165D1B" w:rsidRPr="00165D1B">
        <w:rPr>
          <w:bCs/>
        </w:rPr>
        <w:t xml:space="preserve">he </w:t>
      </w:r>
      <w:proofErr w:type="spellStart"/>
      <w:r w:rsidR="00165D1B" w:rsidRPr="00165D1B">
        <w:rPr>
          <w:bCs/>
        </w:rPr>
        <w:t>GoC</w:t>
      </w:r>
      <w:proofErr w:type="spellEnd"/>
      <w:r w:rsidR="00165D1B" w:rsidRPr="00165D1B">
        <w:rPr>
          <w:bCs/>
        </w:rPr>
        <w:t xml:space="preserve"> has requested an </w:t>
      </w:r>
      <w:r w:rsidR="000C4A60">
        <w:rPr>
          <w:bCs/>
        </w:rPr>
        <w:t>increase</w:t>
      </w:r>
      <w:r w:rsidR="000C4A60" w:rsidRPr="00165D1B">
        <w:rPr>
          <w:bCs/>
        </w:rPr>
        <w:t xml:space="preserve"> </w:t>
      </w:r>
      <w:r w:rsidR="00165D1B" w:rsidRPr="00165D1B">
        <w:rPr>
          <w:bCs/>
        </w:rPr>
        <w:t xml:space="preserve">on the </w:t>
      </w:r>
      <w:r w:rsidR="000C4A60">
        <w:rPr>
          <w:bCs/>
        </w:rPr>
        <w:t>threshold o</w:t>
      </w:r>
      <w:r w:rsidR="00165D1B" w:rsidRPr="00165D1B">
        <w:rPr>
          <w:bCs/>
        </w:rPr>
        <w:t>f the Special Account from US$2 million to US$4.5 million</w:t>
      </w:r>
      <w:r w:rsidR="000C4A60">
        <w:rPr>
          <w:bCs/>
        </w:rPr>
        <w:t xml:space="preserve"> (a 125% of increase)</w:t>
      </w:r>
      <w:r w:rsidR="00165D1B" w:rsidRPr="00165D1B">
        <w:rPr>
          <w:bCs/>
        </w:rPr>
        <w:t xml:space="preserve">. This would help the implementing agencies </w:t>
      </w:r>
      <w:r w:rsidRPr="00165D1B">
        <w:rPr>
          <w:bCs/>
        </w:rPr>
        <w:t xml:space="preserve">to make progress on the </w:t>
      </w:r>
      <w:r>
        <w:rPr>
          <w:bCs/>
        </w:rPr>
        <w:t xml:space="preserve">commitments already established and </w:t>
      </w:r>
      <w:r w:rsidR="00165D1B" w:rsidRPr="00165D1B">
        <w:rPr>
          <w:bCs/>
        </w:rPr>
        <w:t>achieve the investment object</w:t>
      </w:r>
      <w:r>
        <w:rPr>
          <w:bCs/>
        </w:rPr>
        <w:t>ives planned for Category 1 within the proposed period of time under the project extension.</w:t>
      </w:r>
      <w:r w:rsidR="000C4A60">
        <w:rPr>
          <w:bCs/>
        </w:rPr>
        <w:t xml:space="preserve"> The estimated flow of funds for Category 1 is the following:</w:t>
      </w:r>
    </w:p>
    <w:p w:rsidR="00715ABC" w:rsidRDefault="00715ABC" w:rsidP="00715ABC">
      <w:pPr>
        <w:ind w:firstLine="720"/>
      </w:pPr>
    </w:p>
    <w:p w:rsidR="00715ABC" w:rsidRPr="00715ABC" w:rsidRDefault="00715ABC" w:rsidP="00715ABC">
      <w:pPr>
        <w:rPr>
          <w:b/>
        </w:rPr>
      </w:pPr>
      <w:r w:rsidRPr="00715ABC">
        <w:rPr>
          <w:b/>
        </w:rPr>
        <w:t>Category 1</w:t>
      </w:r>
      <w:r w:rsidR="00066542">
        <w:rPr>
          <w:b/>
        </w:rPr>
        <w:t xml:space="preserve">: </w:t>
      </w:r>
      <w:r w:rsidR="00066542" w:rsidRPr="00066542">
        <w:rPr>
          <w:b/>
        </w:rPr>
        <w:t>Estim</w:t>
      </w:r>
      <w:r w:rsidR="00066542">
        <w:rPr>
          <w:b/>
        </w:rPr>
        <w:t>ated Disbursements (US$</w:t>
      </w:r>
      <w:r w:rsidR="00305589">
        <w:rPr>
          <w:b/>
        </w:rPr>
        <w:t xml:space="preserve"> million</w:t>
      </w:r>
      <w:r w:rsidR="00E96395">
        <w:rPr>
          <w:b/>
        </w:rPr>
        <w:t xml:space="preserve"> per Bank Fiscal Year (FY)</w:t>
      </w:r>
      <w:r w:rsidR="00066542" w:rsidRPr="00066542">
        <w:rPr>
          <w:b/>
        </w:rPr>
        <w:t>)</w:t>
      </w:r>
    </w:p>
    <w:tbl>
      <w:tblPr>
        <w:tblStyle w:val="TableGrid"/>
        <w:tblW w:w="0" w:type="auto"/>
        <w:tblLayout w:type="fixed"/>
        <w:tblLook w:val="04A0"/>
      </w:tblPr>
      <w:tblGrid>
        <w:gridCol w:w="1188"/>
        <w:gridCol w:w="630"/>
        <w:gridCol w:w="630"/>
        <w:gridCol w:w="630"/>
        <w:gridCol w:w="630"/>
        <w:gridCol w:w="630"/>
        <w:gridCol w:w="630"/>
        <w:gridCol w:w="720"/>
        <w:gridCol w:w="630"/>
        <w:gridCol w:w="630"/>
        <w:gridCol w:w="1260"/>
      </w:tblGrid>
      <w:tr w:rsidR="009209B4" w:rsidRPr="009209B4" w:rsidTr="00E96395">
        <w:tc>
          <w:tcPr>
            <w:tcW w:w="1188" w:type="dxa"/>
            <w:shd w:val="clear" w:color="auto" w:fill="BFBFBF" w:themeFill="background1" w:themeFillShade="BF"/>
          </w:tcPr>
          <w:p w:rsidR="009209B4" w:rsidRPr="009209B4" w:rsidRDefault="009209B4" w:rsidP="00066542">
            <w:pPr>
              <w:rPr>
                <w:b/>
                <w:sz w:val="20"/>
                <w:szCs w:val="20"/>
              </w:rPr>
            </w:pPr>
            <w:r w:rsidRPr="009209B4">
              <w:rPr>
                <w:b/>
                <w:sz w:val="20"/>
                <w:szCs w:val="20"/>
              </w:rPr>
              <w:t>FY</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2006</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2007</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2008</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2009</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2010</w:t>
            </w:r>
          </w:p>
        </w:tc>
        <w:tc>
          <w:tcPr>
            <w:tcW w:w="630" w:type="dxa"/>
            <w:shd w:val="clear" w:color="auto" w:fill="BFBFBF" w:themeFill="background1" w:themeFillShade="BF"/>
          </w:tcPr>
          <w:p w:rsidR="009209B4" w:rsidRPr="009209B4" w:rsidRDefault="009209B4" w:rsidP="00F80961">
            <w:pPr>
              <w:rPr>
                <w:b/>
                <w:sz w:val="20"/>
                <w:szCs w:val="20"/>
              </w:rPr>
            </w:pPr>
            <w:r w:rsidRPr="009209B4">
              <w:rPr>
                <w:b/>
                <w:sz w:val="20"/>
                <w:szCs w:val="20"/>
              </w:rPr>
              <w:t>2011</w:t>
            </w:r>
          </w:p>
        </w:tc>
        <w:tc>
          <w:tcPr>
            <w:tcW w:w="720" w:type="dxa"/>
            <w:shd w:val="clear" w:color="auto" w:fill="BFBFBF" w:themeFill="background1" w:themeFillShade="BF"/>
          </w:tcPr>
          <w:p w:rsidR="009209B4" w:rsidRPr="009209B4" w:rsidRDefault="009209B4" w:rsidP="00715ABC">
            <w:pPr>
              <w:tabs>
                <w:tab w:val="center" w:pos="4320"/>
                <w:tab w:val="right" w:pos="8640"/>
              </w:tabs>
              <w:rPr>
                <w:b/>
                <w:sz w:val="20"/>
                <w:szCs w:val="20"/>
              </w:rPr>
            </w:pPr>
            <w:r w:rsidRPr="009209B4">
              <w:rPr>
                <w:b/>
                <w:sz w:val="20"/>
                <w:szCs w:val="20"/>
              </w:rPr>
              <w:t xml:space="preserve">2012 </w:t>
            </w:r>
          </w:p>
        </w:tc>
        <w:tc>
          <w:tcPr>
            <w:tcW w:w="630" w:type="dxa"/>
            <w:shd w:val="clear" w:color="auto" w:fill="BFBFBF" w:themeFill="background1" w:themeFillShade="BF"/>
          </w:tcPr>
          <w:p w:rsidR="009209B4" w:rsidRPr="009209B4" w:rsidRDefault="009209B4" w:rsidP="00F80961">
            <w:pPr>
              <w:tabs>
                <w:tab w:val="center" w:pos="4320"/>
                <w:tab w:val="right" w:pos="8640"/>
              </w:tabs>
              <w:rPr>
                <w:b/>
                <w:sz w:val="20"/>
                <w:szCs w:val="20"/>
              </w:rPr>
            </w:pPr>
            <w:r w:rsidRPr="009209B4">
              <w:rPr>
                <w:b/>
                <w:sz w:val="20"/>
                <w:szCs w:val="20"/>
              </w:rPr>
              <w:t>2013</w:t>
            </w:r>
          </w:p>
        </w:tc>
        <w:tc>
          <w:tcPr>
            <w:tcW w:w="630" w:type="dxa"/>
            <w:shd w:val="clear" w:color="auto" w:fill="BFBFBF" w:themeFill="background1" w:themeFillShade="BF"/>
          </w:tcPr>
          <w:p w:rsidR="009209B4" w:rsidRPr="009209B4" w:rsidRDefault="009209B4" w:rsidP="00F80961">
            <w:pPr>
              <w:tabs>
                <w:tab w:val="center" w:pos="4320"/>
                <w:tab w:val="right" w:pos="8640"/>
              </w:tabs>
              <w:rPr>
                <w:b/>
                <w:sz w:val="20"/>
                <w:szCs w:val="20"/>
              </w:rPr>
            </w:pPr>
            <w:r w:rsidRPr="009209B4">
              <w:rPr>
                <w:b/>
                <w:sz w:val="20"/>
                <w:szCs w:val="20"/>
              </w:rPr>
              <w:t>2014</w:t>
            </w:r>
          </w:p>
        </w:tc>
        <w:tc>
          <w:tcPr>
            <w:tcW w:w="1260" w:type="dxa"/>
            <w:shd w:val="clear" w:color="auto" w:fill="BFBFBF" w:themeFill="background1" w:themeFillShade="BF"/>
          </w:tcPr>
          <w:p w:rsidR="009209B4" w:rsidRPr="009209B4" w:rsidRDefault="009209B4" w:rsidP="00F80961">
            <w:pPr>
              <w:tabs>
                <w:tab w:val="center" w:pos="4320"/>
                <w:tab w:val="right" w:pos="8640"/>
              </w:tabs>
              <w:rPr>
                <w:b/>
                <w:sz w:val="20"/>
                <w:szCs w:val="20"/>
              </w:rPr>
            </w:pPr>
            <w:r w:rsidRPr="009209B4">
              <w:rPr>
                <w:b/>
                <w:sz w:val="20"/>
                <w:szCs w:val="20"/>
              </w:rPr>
              <w:t>Total</w:t>
            </w:r>
          </w:p>
        </w:tc>
      </w:tr>
      <w:tr w:rsidR="00E96395" w:rsidRPr="009209B4" w:rsidTr="00E96395">
        <w:tc>
          <w:tcPr>
            <w:tcW w:w="1188" w:type="dxa"/>
          </w:tcPr>
          <w:p w:rsidR="00E96395" w:rsidRPr="009209B4" w:rsidRDefault="00E96395" w:rsidP="00F80961">
            <w:pPr>
              <w:tabs>
                <w:tab w:val="center" w:pos="4320"/>
                <w:tab w:val="right" w:pos="8640"/>
              </w:tabs>
              <w:rPr>
                <w:sz w:val="20"/>
                <w:szCs w:val="20"/>
              </w:rPr>
            </w:pPr>
            <w:r w:rsidRPr="009209B4">
              <w:rPr>
                <w:sz w:val="20"/>
                <w:szCs w:val="20"/>
              </w:rPr>
              <w:t>First semester</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0.05</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0.35</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2.0</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2.0</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1.1</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3.2</w:t>
            </w:r>
          </w:p>
        </w:tc>
        <w:tc>
          <w:tcPr>
            <w:tcW w:w="720" w:type="dxa"/>
          </w:tcPr>
          <w:p w:rsidR="00E96395" w:rsidRPr="00E96395" w:rsidRDefault="00E96395" w:rsidP="00DE7784">
            <w:pPr>
              <w:tabs>
                <w:tab w:val="center" w:pos="4320"/>
                <w:tab w:val="right" w:pos="8640"/>
              </w:tabs>
              <w:rPr>
                <w:sz w:val="20"/>
                <w:szCs w:val="20"/>
              </w:rPr>
            </w:pPr>
            <w:r w:rsidRPr="00E96395">
              <w:rPr>
                <w:sz w:val="20"/>
                <w:szCs w:val="20"/>
              </w:rPr>
              <w:t>3.4</w:t>
            </w:r>
          </w:p>
        </w:tc>
        <w:tc>
          <w:tcPr>
            <w:tcW w:w="630" w:type="dxa"/>
          </w:tcPr>
          <w:p w:rsidR="00E96395" w:rsidRPr="00E96395" w:rsidRDefault="00E96395" w:rsidP="00DE7784">
            <w:pPr>
              <w:tabs>
                <w:tab w:val="center" w:pos="4320"/>
                <w:tab w:val="right" w:pos="8640"/>
              </w:tabs>
              <w:rPr>
                <w:sz w:val="20"/>
                <w:szCs w:val="20"/>
              </w:rPr>
            </w:pPr>
            <w:r w:rsidRPr="00E96395">
              <w:rPr>
                <w:sz w:val="20"/>
                <w:szCs w:val="20"/>
              </w:rPr>
              <w:t>4.0</w:t>
            </w:r>
          </w:p>
        </w:tc>
        <w:tc>
          <w:tcPr>
            <w:tcW w:w="630" w:type="dxa"/>
          </w:tcPr>
          <w:p w:rsidR="00E96395" w:rsidRPr="00E96395" w:rsidRDefault="00E96395" w:rsidP="00DE7784">
            <w:pPr>
              <w:rPr>
                <w:sz w:val="20"/>
                <w:szCs w:val="20"/>
              </w:rPr>
            </w:pPr>
            <w:r w:rsidRPr="00E96395">
              <w:rPr>
                <w:sz w:val="20"/>
                <w:szCs w:val="20"/>
              </w:rPr>
              <w:t>2.0</w:t>
            </w:r>
          </w:p>
        </w:tc>
        <w:tc>
          <w:tcPr>
            <w:tcW w:w="1260" w:type="dxa"/>
          </w:tcPr>
          <w:p w:rsidR="00E96395" w:rsidRPr="00E96395" w:rsidRDefault="00E96395" w:rsidP="00DE7784">
            <w:pPr>
              <w:rPr>
                <w:sz w:val="20"/>
                <w:szCs w:val="20"/>
              </w:rPr>
            </w:pPr>
            <w:r w:rsidRPr="00E96395">
              <w:rPr>
                <w:sz w:val="20"/>
                <w:szCs w:val="20"/>
              </w:rPr>
              <w:t>18.1</w:t>
            </w:r>
          </w:p>
        </w:tc>
      </w:tr>
      <w:tr w:rsidR="00E96395" w:rsidRPr="009209B4" w:rsidTr="00E96395">
        <w:tc>
          <w:tcPr>
            <w:tcW w:w="1188" w:type="dxa"/>
          </w:tcPr>
          <w:p w:rsidR="00E96395" w:rsidRPr="009209B4" w:rsidRDefault="00E96395" w:rsidP="00F80961">
            <w:pPr>
              <w:rPr>
                <w:sz w:val="20"/>
                <w:szCs w:val="20"/>
              </w:rPr>
            </w:pPr>
            <w:r w:rsidRPr="009209B4">
              <w:rPr>
                <w:sz w:val="20"/>
                <w:szCs w:val="20"/>
              </w:rPr>
              <w:t>Second semester</w:t>
            </w:r>
          </w:p>
        </w:tc>
        <w:tc>
          <w:tcPr>
            <w:tcW w:w="630" w:type="dxa"/>
          </w:tcPr>
          <w:p w:rsidR="00E96395" w:rsidRPr="00E96395" w:rsidRDefault="00E96395" w:rsidP="00DE7784">
            <w:pPr>
              <w:rPr>
                <w:sz w:val="20"/>
                <w:szCs w:val="20"/>
              </w:rPr>
            </w:pPr>
            <w:r w:rsidRPr="00E96395">
              <w:rPr>
                <w:sz w:val="20"/>
                <w:szCs w:val="20"/>
              </w:rPr>
              <w:t>0.05</w:t>
            </w:r>
          </w:p>
        </w:tc>
        <w:tc>
          <w:tcPr>
            <w:tcW w:w="630" w:type="dxa"/>
          </w:tcPr>
          <w:p w:rsidR="00E96395" w:rsidRPr="00E96395" w:rsidRDefault="00E96395" w:rsidP="00DE7784">
            <w:pPr>
              <w:rPr>
                <w:sz w:val="20"/>
                <w:szCs w:val="20"/>
              </w:rPr>
            </w:pPr>
            <w:r w:rsidRPr="00E96395">
              <w:rPr>
                <w:sz w:val="20"/>
                <w:szCs w:val="20"/>
              </w:rPr>
              <w:t>0.35</w:t>
            </w:r>
          </w:p>
        </w:tc>
        <w:tc>
          <w:tcPr>
            <w:tcW w:w="630" w:type="dxa"/>
          </w:tcPr>
          <w:p w:rsidR="00E96395" w:rsidRPr="00E96395" w:rsidRDefault="00E96395" w:rsidP="00DE7784">
            <w:pPr>
              <w:rPr>
                <w:sz w:val="20"/>
                <w:szCs w:val="20"/>
              </w:rPr>
            </w:pPr>
            <w:r w:rsidRPr="00E96395">
              <w:rPr>
                <w:sz w:val="20"/>
                <w:szCs w:val="20"/>
              </w:rPr>
              <w:t>2.2</w:t>
            </w:r>
          </w:p>
        </w:tc>
        <w:tc>
          <w:tcPr>
            <w:tcW w:w="630" w:type="dxa"/>
          </w:tcPr>
          <w:p w:rsidR="00E96395" w:rsidRPr="00E96395" w:rsidRDefault="00E96395" w:rsidP="00DE7784">
            <w:pPr>
              <w:rPr>
                <w:sz w:val="20"/>
                <w:szCs w:val="20"/>
              </w:rPr>
            </w:pPr>
            <w:r w:rsidRPr="00E96395">
              <w:rPr>
                <w:sz w:val="20"/>
                <w:szCs w:val="20"/>
              </w:rPr>
              <w:t>2.5</w:t>
            </w:r>
          </w:p>
        </w:tc>
        <w:tc>
          <w:tcPr>
            <w:tcW w:w="630" w:type="dxa"/>
          </w:tcPr>
          <w:p w:rsidR="00E96395" w:rsidRPr="00E96395" w:rsidRDefault="00E96395" w:rsidP="00DE7784">
            <w:pPr>
              <w:rPr>
                <w:sz w:val="20"/>
                <w:szCs w:val="20"/>
              </w:rPr>
            </w:pPr>
            <w:r w:rsidRPr="00E96395">
              <w:rPr>
                <w:sz w:val="20"/>
                <w:szCs w:val="20"/>
              </w:rPr>
              <w:t>2.0</w:t>
            </w:r>
          </w:p>
        </w:tc>
        <w:tc>
          <w:tcPr>
            <w:tcW w:w="630" w:type="dxa"/>
          </w:tcPr>
          <w:p w:rsidR="00E96395" w:rsidRPr="00E96395" w:rsidRDefault="00E96395" w:rsidP="00DE7784">
            <w:pPr>
              <w:rPr>
                <w:sz w:val="20"/>
                <w:szCs w:val="20"/>
              </w:rPr>
            </w:pPr>
            <w:r w:rsidRPr="00E96395">
              <w:rPr>
                <w:sz w:val="20"/>
                <w:szCs w:val="20"/>
              </w:rPr>
              <w:t>3.3</w:t>
            </w:r>
          </w:p>
        </w:tc>
        <w:tc>
          <w:tcPr>
            <w:tcW w:w="720" w:type="dxa"/>
          </w:tcPr>
          <w:p w:rsidR="00E96395" w:rsidRPr="00E96395" w:rsidRDefault="00E96395" w:rsidP="00DE7784">
            <w:pPr>
              <w:rPr>
                <w:sz w:val="20"/>
                <w:szCs w:val="20"/>
              </w:rPr>
            </w:pPr>
            <w:r w:rsidRPr="00E96395">
              <w:rPr>
                <w:sz w:val="20"/>
                <w:szCs w:val="20"/>
              </w:rPr>
              <w:t>4.4</w:t>
            </w:r>
          </w:p>
        </w:tc>
        <w:tc>
          <w:tcPr>
            <w:tcW w:w="630" w:type="dxa"/>
          </w:tcPr>
          <w:p w:rsidR="00E96395" w:rsidRPr="00E96395" w:rsidRDefault="00E96395" w:rsidP="00DE7784">
            <w:pPr>
              <w:rPr>
                <w:sz w:val="20"/>
                <w:szCs w:val="20"/>
              </w:rPr>
            </w:pPr>
            <w:r w:rsidRPr="00E96395">
              <w:rPr>
                <w:sz w:val="20"/>
                <w:szCs w:val="20"/>
              </w:rPr>
              <w:t>4.0</w:t>
            </w:r>
          </w:p>
        </w:tc>
        <w:tc>
          <w:tcPr>
            <w:tcW w:w="630" w:type="dxa"/>
          </w:tcPr>
          <w:p w:rsidR="00E96395" w:rsidRPr="00E96395" w:rsidRDefault="00E96395" w:rsidP="00DE7784">
            <w:pPr>
              <w:rPr>
                <w:sz w:val="20"/>
                <w:szCs w:val="20"/>
              </w:rPr>
            </w:pPr>
            <w:r w:rsidRPr="00E96395">
              <w:rPr>
                <w:sz w:val="20"/>
                <w:szCs w:val="20"/>
              </w:rPr>
              <w:t>0.7</w:t>
            </w:r>
          </w:p>
        </w:tc>
        <w:tc>
          <w:tcPr>
            <w:tcW w:w="1260" w:type="dxa"/>
          </w:tcPr>
          <w:p w:rsidR="00E96395" w:rsidRPr="00E96395" w:rsidRDefault="00E96395" w:rsidP="00DE7784">
            <w:pPr>
              <w:rPr>
                <w:sz w:val="20"/>
                <w:szCs w:val="20"/>
              </w:rPr>
            </w:pPr>
            <w:r w:rsidRPr="00E96395">
              <w:rPr>
                <w:sz w:val="20"/>
                <w:szCs w:val="20"/>
              </w:rPr>
              <w:t>19.5</w:t>
            </w:r>
          </w:p>
        </w:tc>
      </w:tr>
      <w:tr w:rsidR="00E96395" w:rsidRPr="009209B4" w:rsidTr="00E96395">
        <w:tc>
          <w:tcPr>
            <w:tcW w:w="1188" w:type="dxa"/>
          </w:tcPr>
          <w:p w:rsidR="00E96395" w:rsidRPr="009209B4" w:rsidRDefault="00E96395" w:rsidP="00F80961">
            <w:pPr>
              <w:rPr>
                <w:sz w:val="20"/>
                <w:szCs w:val="20"/>
              </w:rPr>
            </w:pPr>
            <w:r w:rsidRPr="009209B4">
              <w:rPr>
                <w:sz w:val="20"/>
                <w:szCs w:val="20"/>
              </w:rPr>
              <w:t>Cumulative</w:t>
            </w:r>
          </w:p>
        </w:tc>
        <w:tc>
          <w:tcPr>
            <w:tcW w:w="630" w:type="dxa"/>
          </w:tcPr>
          <w:p w:rsidR="00E96395" w:rsidRPr="00E96395" w:rsidRDefault="00E96395" w:rsidP="00DE7784">
            <w:pPr>
              <w:rPr>
                <w:sz w:val="20"/>
                <w:szCs w:val="20"/>
              </w:rPr>
            </w:pPr>
            <w:r w:rsidRPr="00E96395">
              <w:rPr>
                <w:sz w:val="20"/>
                <w:szCs w:val="20"/>
              </w:rPr>
              <w:t>0.1</w:t>
            </w:r>
          </w:p>
        </w:tc>
        <w:tc>
          <w:tcPr>
            <w:tcW w:w="630" w:type="dxa"/>
          </w:tcPr>
          <w:p w:rsidR="00E96395" w:rsidRPr="00E96395" w:rsidRDefault="00E96395" w:rsidP="00DE7784">
            <w:pPr>
              <w:rPr>
                <w:sz w:val="20"/>
                <w:szCs w:val="20"/>
              </w:rPr>
            </w:pPr>
            <w:r w:rsidRPr="00E96395">
              <w:rPr>
                <w:sz w:val="20"/>
                <w:szCs w:val="20"/>
              </w:rPr>
              <w:t>0.7</w:t>
            </w:r>
          </w:p>
        </w:tc>
        <w:tc>
          <w:tcPr>
            <w:tcW w:w="630" w:type="dxa"/>
          </w:tcPr>
          <w:p w:rsidR="00E96395" w:rsidRPr="00E96395" w:rsidRDefault="00E96395" w:rsidP="00DE7784">
            <w:pPr>
              <w:rPr>
                <w:sz w:val="20"/>
                <w:szCs w:val="20"/>
              </w:rPr>
            </w:pPr>
            <w:r w:rsidRPr="00E96395">
              <w:rPr>
                <w:sz w:val="20"/>
                <w:szCs w:val="20"/>
              </w:rPr>
              <w:t>4.2</w:t>
            </w:r>
          </w:p>
        </w:tc>
        <w:tc>
          <w:tcPr>
            <w:tcW w:w="630" w:type="dxa"/>
          </w:tcPr>
          <w:p w:rsidR="00E96395" w:rsidRPr="00E96395" w:rsidRDefault="00E96395" w:rsidP="00DE7784">
            <w:pPr>
              <w:rPr>
                <w:sz w:val="20"/>
                <w:szCs w:val="20"/>
              </w:rPr>
            </w:pPr>
            <w:r w:rsidRPr="00E96395">
              <w:rPr>
                <w:sz w:val="20"/>
                <w:szCs w:val="20"/>
              </w:rPr>
              <w:t>4.5</w:t>
            </w:r>
          </w:p>
        </w:tc>
        <w:tc>
          <w:tcPr>
            <w:tcW w:w="630" w:type="dxa"/>
          </w:tcPr>
          <w:p w:rsidR="00E96395" w:rsidRPr="00E96395" w:rsidRDefault="00E96395" w:rsidP="00DE7784">
            <w:pPr>
              <w:rPr>
                <w:sz w:val="20"/>
                <w:szCs w:val="20"/>
              </w:rPr>
            </w:pPr>
            <w:r w:rsidRPr="00E96395">
              <w:rPr>
                <w:sz w:val="20"/>
                <w:szCs w:val="20"/>
              </w:rPr>
              <w:t>3.1</w:t>
            </w:r>
          </w:p>
        </w:tc>
        <w:tc>
          <w:tcPr>
            <w:tcW w:w="630" w:type="dxa"/>
          </w:tcPr>
          <w:p w:rsidR="00E96395" w:rsidRPr="00E96395" w:rsidRDefault="00E96395" w:rsidP="00DE7784">
            <w:pPr>
              <w:rPr>
                <w:sz w:val="20"/>
                <w:szCs w:val="20"/>
              </w:rPr>
            </w:pPr>
            <w:r w:rsidRPr="00E96395">
              <w:rPr>
                <w:sz w:val="20"/>
                <w:szCs w:val="20"/>
              </w:rPr>
              <w:t>6.5</w:t>
            </w:r>
          </w:p>
        </w:tc>
        <w:tc>
          <w:tcPr>
            <w:tcW w:w="720" w:type="dxa"/>
          </w:tcPr>
          <w:p w:rsidR="00E96395" w:rsidRPr="00E96395" w:rsidRDefault="00E96395" w:rsidP="00DE7784">
            <w:pPr>
              <w:rPr>
                <w:sz w:val="20"/>
                <w:szCs w:val="20"/>
              </w:rPr>
            </w:pPr>
            <w:r w:rsidRPr="00E96395">
              <w:rPr>
                <w:sz w:val="20"/>
                <w:szCs w:val="20"/>
              </w:rPr>
              <w:t>7.8</w:t>
            </w:r>
          </w:p>
        </w:tc>
        <w:tc>
          <w:tcPr>
            <w:tcW w:w="630" w:type="dxa"/>
          </w:tcPr>
          <w:p w:rsidR="00E96395" w:rsidRPr="00E96395" w:rsidRDefault="00E96395" w:rsidP="00DE7784">
            <w:pPr>
              <w:rPr>
                <w:sz w:val="20"/>
                <w:szCs w:val="20"/>
              </w:rPr>
            </w:pPr>
            <w:r w:rsidRPr="00E96395">
              <w:rPr>
                <w:sz w:val="20"/>
                <w:szCs w:val="20"/>
              </w:rPr>
              <w:t>8.0</w:t>
            </w:r>
          </w:p>
        </w:tc>
        <w:tc>
          <w:tcPr>
            <w:tcW w:w="630" w:type="dxa"/>
          </w:tcPr>
          <w:p w:rsidR="00E96395" w:rsidRPr="00E96395" w:rsidRDefault="00E96395" w:rsidP="00DE7784">
            <w:pPr>
              <w:rPr>
                <w:sz w:val="20"/>
                <w:szCs w:val="20"/>
              </w:rPr>
            </w:pPr>
            <w:r w:rsidRPr="00E96395">
              <w:rPr>
                <w:sz w:val="20"/>
                <w:szCs w:val="20"/>
              </w:rPr>
              <w:t>2.7</w:t>
            </w:r>
          </w:p>
        </w:tc>
        <w:tc>
          <w:tcPr>
            <w:tcW w:w="1260" w:type="dxa"/>
          </w:tcPr>
          <w:p w:rsidR="00E96395" w:rsidRPr="00E96395" w:rsidRDefault="00E96395" w:rsidP="00DE7784">
            <w:pPr>
              <w:rPr>
                <w:sz w:val="20"/>
                <w:szCs w:val="20"/>
              </w:rPr>
            </w:pPr>
            <w:r w:rsidRPr="00E96395">
              <w:rPr>
                <w:sz w:val="20"/>
                <w:szCs w:val="20"/>
              </w:rPr>
              <w:t>37.6</w:t>
            </w:r>
          </w:p>
        </w:tc>
      </w:tr>
    </w:tbl>
    <w:p w:rsidR="00066542" w:rsidRDefault="00066542" w:rsidP="00066542">
      <w:pPr>
        <w:rPr>
          <w:sz w:val="20"/>
          <w:szCs w:val="20"/>
        </w:rPr>
      </w:pPr>
      <w:r w:rsidRPr="005826DF">
        <w:rPr>
          <w:sz w:val="20"/>
          <w:szCs w:val="20"/>
        </w:rPr>
        <w:t>*</w:t>
      </w:r>
      <w:r w:rsidR="0014707B">
        <w:rPr>
          <w:sz w:val="20"/>
          <w:szCs w:val="20"/>
        </w:rPr>
        <w:t>N</w:t>
      </w:r>
      <w:r w:rsidRPr="005826DF">
        <w:rPr>
          <w:sz w:val="20"/>
          <w:szCs w:val="20"/>
        </w:rPr>
        <w:t>ote</w:t>
      </w:r>
      <w:r w:rsidR="0014707B">
        <w:rPr>
          <w:sz w:val="20"/>
          <w:szCs w:val="20"/>
        </w:rPr>
        <w:t xml:space="preserve"> that</w:t>
      </w:r>
      <w:r w:rsidRPr="005826DF">
        <w:rPr>
          <w:sz w:val="20"/>
          <w:szCs w:val="20"/>
        </w:rPr>
        <w:t xml:space="preserve"> of the US$110</w:t>
      </w:r>
      <w:r w:rsidR="00E96395">
        <w:rPr>
          <w:sz w:val="20"/>
          <w:szCs w:val="20"/>
        </w:rPr>
        <w:t xml:space="preserve"> million</w:t>
      </w:r>
      <w:r w:rsidRPr="005826DF">
        <w:rPr>
          <w:sz w:val="20"/>
          <w:szCs w:val="20"/>
        </w:rPr>
        <w:t xml:space="preserve"> Loan total, </w:t>
      </w:r>
      <w:r>
        <w:rPr>
          <w:sz w:val="20"/>
          <w:szCs w:val="20"/>
        </w:rPr>
        <w:t>US$</w:t>
      </w:r>
      <w:r w:rsidRPr="005826DF">
        <w:rPr>
          <w:sz w:val="20"/>
          <w:szCs w:val="20"/>
        </w:rPr>
        <w:t>88</w:t>
      </w:r>
      <w:r w:rsidR="00E96395">
        <w:rPr>
          <w:sz w:val="20"/>
          <w:szCs w:val="20"/>
        </w:rPr>
        <w:t>.5</w:t>
      </w:r>
      <w:r w:rsidRPr="005826DF">
        <w:rPr>
          <w:sz w:val="20"/>
          <w:szCs w:val="20"/>
        </w:rPr>
        <w:t xml:space="preserve"> </w:t>
      </w:r>
      <w:r w:rsidR="00E96395">
        <w:rPr>
          <w:sz w:val="20"/>
          <w:szCs w:val="20"/>
        </w:rPr>
        <w:t xml:space="preserve">million </w:t>
      </w:r>
      <w:r w:rsidRPr="005826DF">
        <w:rPr>
          <w:sz w:val="20"/>
          <w:szCs w:val="20"/>
        </w:rPr>
        <w:t xml:space="preserve">has been disbursed. A total of </w:t>
      </w:r>
      <w:r>
        <w:rPr>
          <w:sz w:val="20"/>
          <w:szCs w:val="20"/>
        </w:rPr>
        <w:t>US$</w:t>
      </w:r>
      <w:r w:rsidRPr="005826DF">
        <w:rPr>
          <w:sz w:val="20"/>
          <w:szCs w:val="20"/>
        </w:rPr>
        <w:t>21</w:t>
      </w:r>
      <w:r w:rsidR="00E96395">
        <w:rPr>
          <w:sz w:val="20"/>
          <w:szCs w:val="20"/>
        </w:rPr>
        <w:t>.5 million</w:t>
      </w:r>
      <w:r w:rsidRPr="005826DF">
        <w:rPr>
          <w:sz w:val="20"/>
          <w:szCs w:val="20"/>
        </w:rPr>
        <w:t xml:space="preserve"> remains undisbursed, which w</w:t>
      </w:r>
      <w:r w:rsidR="00AD4189">
        <w:rPr>
          <w:sz w:val="20"/>
          <w:szCs w:val="20"/>
        </w:rPr>
        <w:t>ould</w:t>
      </w:r>
      <w:r w:rsidRPr="005826DF">
        <w:rPr>
          <w:sz w:val="20"/>
          <w:szCs w:val="20"/>
        </w:rPr>
        <w:t xml:space="preserve"> all now be </w:t>
      </w:r>
      <w:r>
        <w:rPr>
          <w:sz w:val="20"/>
          <w:szCs w:val="20"/>
        </w:rPr>
        <w:t>under</w:t>
      </w:r>
      <w:r w:rsidRPr="005826DF">
        <w:rPr>
          <w:sz w:val="20"/>
          <w:szCs w:val="20"/>
        </w:rPr>
        <w:t xml:space="preserve"> Category 1. </w:t>
      </w:r>
      <w:r w:rsidR="00E96395">
        <w:rPr>
          <w:sz w:val="20"/>
          <w:szCs w:val="20"/>
        </w:rPr>
        <w:t>At project completion, total disbursement for Category 1 should be US$37.6 million.</w:t>
      </w:r>
    </w:p>
    <w:p w:rsidR="000C4A60" w:rsidRDefault="000C4A60" w:rsidP="009F448A">
      <w:pPr>
        <w:pStyle w:val="ListParagraph"/>
        <w:spacing w:after="240"/>
        <w:jc w:val="both"/>
        <w:rPr>
          <w:bCs/>
        </w:rPr>
      </w:pPr>
    </w:p>
    <w:p w:rsidR="001121B9" w:rsidRPr="009B31FA" w:rsidRDefault="001121B9" w:rsidP="00610624">
      <w:pPr>
        <w:pStyle w:val="Heading1"/>
        <w:ind w:left="450" w:hanging="450"/>
      </w:pPr>
      <w:bookmarkStart w:id="13" w:name="_Toc257726062"/>
      <w:bookmarkEnd w:id="12"/>
      <w:r w:rsidRPr="009B31FA">
        <w:t>APPRAISAL SUMMARY</w:t>
      </w:r>
      <w:bookmarkEnd w:id="13"/>
    </w:p>
    <w:p w:rsidR="001121B9" w:rsidRPr="009B31FA" w:rsidRDefault="001121B9" w:rsidP="009F448A">
      <w:pPr>
        <w:pStyle w:val="TOC1"/>
      </w:pPr>
    </w:p>
    <w:p w:rsidR="001121B9" w:rsidRDefault="00E329FC" w:rsidP="009F448A">
      <w:pPr>
        <w:pStyle w:val="TOC1"/>
      </w:pPr>
      <w:r>
        <w:t xml:space="preserve">The only change in impact from </w:t>
      </w:r>
      <w:r w:rsidR="001F349C">
        <w:t>the</w:t>
      </w:r>
      <w:r w:rsidR="001F349C" w:rsidRPr="001F349C">
        <w:t xml:space="preserve"> original project appraisal summary</w:t>
      </w:r>
      <w:r w:rsidR="001F349C" w:rsidRPr="001F349C" w:rsidDel="001F349C">
        <w:t xml:space="preserve"> </w:t>
      </w:r>
      <w:r>
        <w:t xml:space="preserve">is technical (there is an increase in the targets for the project), as detailed below. </w:t>
      </w:r>
    </w:p>
    <w:p w:rsidR="009F448A" w:rsidRPr="009F448A" w:rsidRDefault="009F448A" w:rsidP="009F448A"/>
    <w:p w:rsidR="001121B9" w:rsidRPr="00BE6937" w:rsidRDefault="001121B9" w:rsidP="006845B8">
      <w:pPr>
        <w:pStyle w:val="ListParagraph"/>
        <w:numPr>
          <w:ilvl w:val="0"/>
          <w:numId w:val="2"/>
        </w:numPr>
        <w:rPr>
          <w:b/>
        </w:rPr>
      </w:pPr>
      <w:r w:rsidRPr="00BE6937">
        <w:rPr>
          <w:b/>
        </w:rPr>
        <w:t>Technical</w:t>
      </w:r>
    </w:p>
    <w:p w:rsidR="00E329FC" w:rsidRPr="004546D1" w:rsidRDefault="00E329FC" w:rsidP="009F448A">
      <w:pPr>
        <w:pStyle w:val="ListParagraph"/>
        <w:spacing w:after="240"/>
        <w:jc w:val="both"/>
        <w:rPr>
          <w:bCs/>
        </w:rPr>
      </w:pPr>
      <w:r w:rsidRPr="004546D1">
        <w:rPr>
          <w:bCs/>
        </w:rPr>
        <w:t>The proposed changes do not change the scope of activities but expand the reach (e.g. number of beneficiary municipalities) of the capacity building activities in the original project design, as detailed in Annex 1.</w:t>
      </w:r>
      <w:r w:rsidR="00B27118">
        <w:rPr>
          <w:bCs/>
        </w:rPr>
        <w:t xml:space="preserve"> </w:t>
      </w:r>
      <w:r w:rsidR="00B27118" w:rsidRPr="00B27118">
        <w:rPr>
          <w:bCs/>
        </w:rPr>
        <w:t>A revised implementation schedule and procurement plan (dated October 19, 2011) has been approved and is on file.</w:t>
      </w:r>
    </w:p>
    <w:p w:rsidR="00E329FC" w:rsidRPr="009B31FA" w:rsidRDefault="00E329FC" w:rsidP="00E329FC">
      <w:pPr>
        <w:pStyle w:val="ListParagraph"/>
      </w:pPr>
    </w:p>
    <w:p w:rsidR="00092B91" w:rsidRPr="004A37DA" w:rsidRDefault="00092B91" w:rsidP="00092B91"/>
    <w:p w:rsidR="00092B91" w:rsidRPr="004A37DA" w:rsidRDefault="00092B91" w:rsidP="00092B91">
      <w:pPr>
        <w:sectPr w:rsidR="00092B91" w:rsidRPr="004A37DA" w:rsidSect="00692882">
          <w:footerReference w:type="first" r:id="rId12"/>
          <w:type w:val="continuous"/>
          <w:pgSz w:w="12240" w:h="15840"/>
          <w:pgMar w:top="1440" w:right="1800" w:bottom="1080" w:left="1800" w:header="720" w:footer="720" w:gutter="0"/>
          <w:pgNumType w:start="1"/>
          <w:cols w:space="720"/>
          <w:titlePg/>
          <w:docGrid w:linePitch="360"/>
        </w:sectPr>
      </w:pPr>
    </w:p>
    <w:p w:rsidR="0090217F" w:rsidRPr="0090217F" w:rsidRDefault="0090217F" w:rsidP="0090217F">
      <w:pPr>
        <w:jc w:val="center"/>
        <w:rPr>
          <w:b/>
          <w:bCs/>
        </w:rPr>
      </w:pPr>
      <w:r w:rsidRPr="0090217F">
        <w:rPr>
          <w:b/>
          <w:bCs/>
        </w:rPr>
        <w:lastRenderedPageBreak/>
        <w:t>ANNEX 1</w:t>
      </w:r>
      <w:proofErr w:type="gramStart"/>
      <w:r w:rsidRPr="0090217F">
        <w:rPr>
          <w:b/>
          <w:bCs/>
        </w:rPr>
        <w:t>:</w:t>
      </w:r>
      <w:proofErr w:type="gramEnd"/>
      <w:r w:rsidRPr="0090217F">
        <w:rPr>
          <w:b/>
          <w:bCs/>
        </w:rPr>
        <w:br/>
        <w:t>Results Framework and Monitoring</w:t>
      </w:r>
    </w:p>
    <w:p w:rsidR="0090217F" w:rsidRPr="00DB73A3" w:rsidRDefault="00DB73A3" w:rsidP="0090217F">
      <w:pPr>
        <w:jc w:val="center"/>
        <w:rPr>
          <w:b/>
        </w:rPr>
      </w:pPr>
      <w:r w:rsidRPr="00DB73A3">
        <w:rPr>
          <w:b/>
          <w:bCs/>
        </w:rPr>
        <w:t>COLOMBIA</w:t>
      </w:r>
      <w:r>
        <w:rPr>
          <w:b/>
          <w:bCs/>
        </w:rPr>
        <w:t xml:space="preserve">: </w:t>
      </w:r>
      <w:r w:rsidRPr="00DB73A3">
        <w:rPr>
          <w:b/>
          <w:bCs/>
        </w:rPr>
        <w:t xml:space="preserve">National </w:t>
      </w:r>
      <w:r w:rsidR="0090217F" w:rsidRPr="00DB73A3">
        <w:rPr>
          <w:b/>
        </w:rPr>
        <w:t>Disaster Vulnerability Reduction</w:t>
      </w:r>
      <w:r w:rsidRPr="00DB73A3">
        <w:rPr>
          <w:b/>
        </w:rPr>
        <w:t xml:space="preserve"> Project</w:t>
      </w:r>
      <w:r>
        <w:rPr>
          <w:b/>
        </w:rPr>
        <w:t xml:space="preserve"> </w:t>
      </w:r>
      <w:r w:rsidR="0090217F" w:rsidRPr="00DB73A3">
        <w:rPr>
          <w:b/>
        </w:rPr>
        <w:t>First Phase APL</w:t>
      </w:r>
    </w:p>
    <w:p w:rsidR="0090217F" w:rsidRDefault="0090217F"/>
    <w:tbl>
      <w:tblPr>
        <w:tblStyle w:val="TableGrid"/>
        <w:tblW w:w="0" w:type="auto"/>
        <w:tblLook w:val="04A0"/>
      </w:tblPr>
      <w:tblGrid>
        <w:gridCol w:w="2196"/>
        <w:gridCol w:w="1549"/>
        <w:gridCol w:w="2843"/>
        <w:gridCol w:w="1620"/>
        <w:gridCol w:w="2772"/>
        <w:gridCol w:w="2196"/>
      </w:tblGrid>
      <w:tr w:rsidR="00150E8D" w:rsidRPr="00A07013" w:rsidTr="005107AA">
        <w:tc>
          <w:tcPr>
            <w:tcW w:w="3745" w:type="dxa"/>
            <w:gridSpan w:val="2"/>
            <w:shd w:val="clear" w:color="auto" w:fill="D9D9D9" w:themeFill="background1" w:themeFillShade="D9"/>
          </w:tcPr>
          <w:p w:rsidR="00150E8D" w:rsidRPr="00A07013" w:rsidRDefault="00150E8D" w:rsidP="009F448A">
            <w:pPr>
              <w:jc w:val="center"/>
              <w:rPr>
                <w:b/>
              </w:rPr>
            </w:pPr>
            <w:r w:rsidRPr="00A07013">
              <w:rPr>
                <w:b/>
              </w:rPr>
              <w:t>PDO</w:t>
            </w:r>
          </w:p>
        </w:tc>
        <w:tc>
          <w:tcPr>
            <w:tcW w:w="4463" w:type="dxa"/>
            <w:gridSpan w:val="2"/>
            <w:shd w:val="clear" w:color="auto" w:fill="D9D9D9" w:themeFill="background1" w:themeFillShade="D9"/>
          </w:tcPr>
          <w:p w:rsidR="00150E8D" w:rsidRPr="00A07013" w:rsidRDefault="00150E8D" w:rsidP="009F448A">
            <w:pPr>
              <w:jc w:val="center"/>
              <w:rPr>
                <w:b/>
              </w:rPr>
            </w:pPr>
            <w:r w:rsidRPr="00A07013">
              <w:rPr>
                <w:b/>
              </w:rPr>
              <w:t>Project Outcome Indicators</w:t>
            </w:r>
          </w:p>
        </w:tc>
        <w:tc>
          <w:tcPr>
            <w:tcW w:w="4968" w:type="dxa"/>
            <w:gridSpan w:val="2"/>
            <w:shd w:val="clear" w:color="auto" w:fill="D9D9D9" w:themeFill="background1" w:themeFillShade="D9"/>
          </w:tcPr>
          <w:p w:rsidR="00150E8D" w:rsidRPr="00A07013" w:rsidRDefault="00150E8D" w:rsidP="002137B8">
            <w:pPr>
              <w:jc w:val="center"/>
              <w:rPr>
                <w:b/>
              </w:rPr>
            </w:pPr>
            <w:r w:rsidRPr="00A07013">
              <w:rPr>
                <w:b/>
              </w:rPr>
              <w:t>Use of Project Outcome Indicators</w:t>
            </w:r>
          </w:p>
        </w:tc>
      </w:tr>
      <w:tr w:rsidR="00150E8D" w:rsidRPr="00A07013" w:rsidTr="005107AA">
        <w:tc>
          <w:tcPr>
            <w:tcW w:w="2196" w:type="dxa"/>
          </w:tcPr>
          <w:p w:rsidR="00150E8D" w:rsidRPr="00A07013" w:rsidRDefault="00150E8D" w:rsidP="009F448A">
            <w:pPr>
              <w:rPr>
                <w:sz w:val="20"/>
                <w:szCs w:val="20"/>
              </w:rPr>
            </w:pPr>
            <w:r w:rsidRPr="00A07013">
              <w:rPr>
                <w:sz w:val="20"/>
                <w:szCs w:val="20"/>
              </w:rPr>
              <w:t>Current</w:t>
            </w:r>
          </w:p>
        </w:tc>
        <w:tc>
          <w:tcPr>
            <w:tcW w:w="1549" w:type="dxa"/>
          </w:tcPr>
          <w:p w:rsidR="00150E8D" w:rsidRPr="00A07013" w:rsidRDefault="00150E8D" w:rsidP="009F448A">
            <w:pPr>
              <w:rPr>
                <w:sz w:val="20"/>
                <w:szCs w:val="20"/>
              </w:rPr>
            </w:pPr>
            <w:r w:rsidRPr="00A07013">
              <w:rPr>
                <w:sz w:val="20"/>
                <w:szCs w:val="20"/>
              </w:rPr>
              <w:t>Proposed</w:t>
            </w:r>
          </w:p>
        </w:tc>
        <w:tc>
          <w:tcPr>
            <w:tcW w:w="2843" w:type="dxa"/>
          </w:tcPr>
          <w:p w:rsidR="00150E8D" w:rsidRPr="00A07013" w:rsidRDefault="00150E8D" w:rsidP="009F448A">
            <w:pPr>
              <w:rPr>
                <w:sz w:val="20"/>
                <w:szCs w:val="20"/>
              </w:rPr>
            </w:pPr>
            <w:r w:rsidRPr="00A07013">
              <w:rPr>
                <w:sz w:val="20"/>
                <w:szCs w:val="20"/>
              </w:rPr>
              <w:t>Current</w:t>
            </w:r>
          </w:p>
        </w:tc>
        <w:tc>
          <w:tcPr>
            <w:tcW w:w="1620" w:type="dxa"/>
          </w:tcPr>
          <w:p w:rsidR="00150E8D" w:rsidRPr="00A07013" w:rsidRDefault="00150E8D" w:rsidP="009F448A">
            <w:pPr>
              <w:rPr>
                <w:sz w:val="20"/>
                <w:szCs w:val="20"/>
              </w:rPr>
            </w:pPr>
            <w:r w:rsidRPr="00A07013">
              <w:rPr>
                <w:sz w:val="20"/>
                <w:szCs w:val="20"/>
              </w:rPr>
              <w:t>Proposed</w:t>
            </w:r>
          </w:p>
        </w:tc>
        <w:tc>
          <w:tcPr>
            <w:tcW w:w="2772" w:type="dxa"/>
          </w:tcPr>
          <w:p w:rsidR="00150E8D" w:rsidRPr="00A07013" w:rsidRDefault="00150E8D" w:rsidP="009F448A">
            <w:pPr>
              <w:rPr>
                <w:sz w:val="20"/>
                <w:szCs w:val="20"/>
              </w:rPr>
            </w:pPr>
            <w:r w:rsidRPr="00A07013">
              <w:rPr>
                <w:sz w:val="20"/>
                <w:szCs w:val="20"/>
              </w:rPr>
              <w:t>Current</w:t>
            </w:r>
          </w:p>
        </w:tc>
        <w:tc>
          <w:tcPr>
            <w:tcW w:w="2196" w:type="dxa"/>
          </w:tcPr>
          <w:p w:rsidR="00150E8D" w:rsidRPr="00A07013" w:rsidRDefault="00150E8D" w:rsidP="009F448A">
            <w:pPr>
              <w:rPr>
                <w:sz w:val="20"/>
                <w:szCs w:val="20"/>
              </w:rPr>
            </w:pPr>
            <w:r w:rsidRPr="00A07013">
              <w:rPr>
                <w:sz w:val="20"/>
                <w:szCs w:val="20"/>
              </w:rPr>
              <w:t>Proposed</w:t>
            </w:r>
          </w:p>
        </w:tc>
      </w:tr>
      <w:tr w:rsidR="00150E8D" w:rsidRPr="00A07013" w:rsidTr="005107AA">
        <w:tc>
          <w:tcPr>
            <w:tcW w:w="2196" w:type="dxa"/>
          </w:tcPr>
          <w:p w:rsidR="00150E8D" w:rsidRPr="002B741E" w:rsidRDefault="00150E8D" w:rsidP="009F448A">
            <w:pPr>
              <w:rPr>
                <w:sz w:val="20"/>
                <w:szCs w:val="20"/>
              </w:rPr>
            </w:pPr>
            <w:r w:rsidRPr="002B741E">
              <w:rPr>
                <w:sz w:val="20"/>
                <w:szCs w:val="20"/>
              </w:rPr>
              <w:t>PDO is to strengthen national and local disaster risk management capacity</w:t>
            </w:r>
          </w:p>
        </w:tc>
        <w:tc>
          <w:tcPr>
            <w:tcW w:w="1549" w:type="dxa"/>
          </w:tcPr>
          <w:p w:rsidR="00DB73A3" w:rsidRPr="00DB73A3" w:rsidRDefault="00DB73A3" w:rsidP="00DB73A3">
            <w:pPr>
              <w:rPr>
                <w:sz w:val="20"/>
                <w:szCs w:val="20"/>
              </w:rPr>
            </w:pPr>
            <w:r w:rsidRPr="00DB73A3">
              <w:rPr>
                <w:sz w:val="20"/>
                <w:szCs w:val="20"/>
              </w:rPr>
              <w:t>Same</w:t>
            </w:r>
          </w:p>
          <w:p w:rsidR="00150E8D" w:rsidRPr="002B741E" w:rsidRDefault="00150E8D" w:rsidP="009F448A">
            <w:pPr>
              <w:rPr>
                <w:sz w:val="20"/>
                <w:szCs w:val="20"/>
              </w:rPr>
            </w:pPr>
          </w:p>
        </w:tc>
        <w:tc>
          <w:tcPr>
            <w:tcW w:w="2843" w:type="dxa"/>
          </w:tcPr>
          <w:p w:rsidR="00150E8D" w:rsidRPr="002B741E" w:rsidRDefault="00150E8D" w:rsidP="009F448A">
            <w:pPr>
              <w:rPr>
                <w:sz w:val="20"/>
                <w:szCs w:val="20"/>
              </w:rPr>
            </w:pPr>
            <w:r w:rsidRPr="002B741E">
              <w:rPr>
                <w:sz w:val="20"/>
                <w:szCs w:val="20"/>
              </w:rPr>
              <w:t>43% (472) of municipalities have hazard risk management program</w:t>
            </w:r>
          </w:p>
        </w:tc>
        <w:tc>
          <w:tcPr>
            <w:tcW w:w="1620" w:type="dxa"/>
          </w:tcPr>
          <w:p w:rsidR="00150E8D" w:rsidRPr="002B741E" w:rsidRDefault="00150E8D" w:rsidP="009F448A">
            <w:pPr>
              <w:rPr>
                <w:sz w:val="20"/>
                <w:szCs w:val="20"/>
              </w:rPr>
            </w:pPr>
            <w:r w:rsidRPr="002B741E">
              <w:rPr>
                <w:sz w:val="20"/>
                <w:szCs w:val="20"/>
              </w:rPr>
              <w:t>58% (632) of municipalities have hazard risk management program</w:t>
            </w:r>
          </w:p>
        </w:tc>
        <w:tc>
          <w:tcPr>
            <w:tcW w:w="2772" w:type="dxa"/>
          </w:tcPr>
          <w:p w:rsidR="00150E8D" w:rsidRPr="002B741E" w:rsidRDefault="00150E8D" w:rsidP="009F448A">
            <w:pPr>
              <w:rPr>
                <w:sz w:val="20"/>
                <w:szCs w:val="20"/>
              </w:rPr>
            </w:pPr>
            <w:r w:rsidRPr="002B741E">
              <w:rPr>
                <w:sz w:val="20"/>
                <w:szCs w:val="20"/>
              </w:rPr>
              <w:t>YR</w:t>
            </w:r>
            <w:r>
              <w:rPr>
                <w:sz w:val="20"/>
                <w:szCs w:val="20"/>
              </w:rPr>
              <w:t xml:space="preserve"> </w:t>
            </w:r>
            <w:r w:rsidRPr="002B741E">
              <w:rPr>
                <w:sz w:val="20"/>
                <w:szCs w:val="20"/>
              </w:rPr>
              <w:t>1: Program Methodology is designed, data collected and baselines are created</w:t>
            </w:r>
          </w:p>
          <w:p w:rsidR="00150E8D" w:rsidRDefault="00150E8D" w:rsidP="009F448A">
            <w:pPr>
              <w:rPr>
                <w:sz w:val="20"/>
                <w:szCs w:val="20"/>
              </w:rPr>
            </w:pPr>
            <w:r>
              <w:rPr>
                <w:sz w:val="20"/>
                <w:szCs w:val="20"/>
              </w:rPr>
              <w:t>YR 2-3: Follow up data collection will allow to monitor objectives</w:t>
            </w:r>
          </w:p>
          <w:p w:rsidR="00150E8D" w:rsidRDefault="00150E8D" w:rsidP="009F448A">
            <w:pPr>
              <w:rPr>
                <w:sz w:val="20"/>
                <w:szCs w:val="20"/>
              </w:rPr>
            </w:pPr>
            <w:r>
              <w:rPr>
                <w:sz w:val="20"/>
                <w:szCs w:val="20"/>
              </w:rPr>
              <w:t>YR 4-7: Adjust the program based on feedback from previous years</w:t>
            </w:r>
          </w:p>
          <w:p w:rsidR="00150E8D" w:rsidRPr="002B741E" w:rsidRDefault="00150E8D" w:rsidP="00DF0063">
            <w:pPr>
              <w:rPr>
                <w:sz w:val="20"/>
                <w:szCs w:val="20"/>
              </w:rPr>
            </w:pPr>
            <w:r>
              <w:rPr>
                <w:sz w:val="20"/>
                <w:szCs w:val="20"/>
              </w:rPr>
              <w:t xml:space="preserve">YR 8: </w:t>
            </w:r>
            <w:r w:rsidR="00DF0063">
              <w:rPr>
                <w:sz w:val="20"/>
                <w:szCs w:val="20"/>
              </w:rPr>
              <w:t>M</w:t>
            </w:r>
            <w:r>
              <w:rPr>
                <w:sz w:val="20"/>
                <w:szCs w:val="20"/>
              </w:rPr>
              <w:t>ainstream</w:t>
            </w:r>
            <w:r w:rsidR="00DF0063">
              <w:rPr>
                <w:sz w:val="20"/>
                <w:szCs w:val="20"/>
              </w:rPr>
              <w:t xml:space="preserve"> strategy and undertake</w:t>
            </w:r>
            <w:r>
              <w:rPr>
                <w:sz w:val="20"/>
                <w:szCs w:val="20"/>
              </w:rPr>
              <w:t xml:space="preserve"> program evaluation</w:t>
            </w:r>
          </w:p>
        </w:tc>
        <w:tc>
          <w:tcPr>
            <w:tcW w:w="2196" w:type="dxa"/>
          </w:tcPr>
          <w:p w:rsidR="00150E8D" w:rsidRPr="002B741E" w:rsidRDefault="00150E8D" w:rsidP="00D056D8">
            <w:pPr>
              <w:rPr>
                <w:sz w:val="20"/>
                <w:szCs w:val="20"/>
              </w:rPr>
            </w:pPr>
            <w:r w:rsidRPr="002B741E">
              <w:rPr>
                <w:sz w:val="20"/>
                <w:szCs w:val="20"/>
              </w:rPr>
              <w:t xml:space="preserve">Based on the positive feedback obtained previously, the </w:t>
            </w:r>
            <w:proofErr w:type="spellStart"/>
            <w:r w:rsidRPr="002B741E">
              <w:rPr>
                <w:sz w:val="20"/>
                <w:szCs w:val="20"/>
              </w:rPr>
              <w:t>GoC</w:t>
            </w:r>
            <w:proofErr w:type="spellEnd"/>
            <w:r w:rsidRPr="002B741E">
              <w:rPr>
                <w:sz w:val="20"/>
                <w:szCs w:val="20"/>
              </w:rPr>
              <w:t xml:space="preserve"> upon discussion with the </w:t>
            </w:r>
            <w:r w:rsidR="00D056D8">
              <w:rPr>
                <w:sz w:val="20"/>
                <w:szCs w:val="20"/>
              </w:rPr>
              <w:t>Bank</w:t>
            </w:r>
            <w:r w:rsidR="002B35D3">
              <w:rPr>
                <w:sz w:val="20"/>
                <w:szCs w:val="20"/>
              </w:rPr>
              <w:t xml:space="preserve"> team</w:t>
            </w:r>
            <w:r w:rsidR="00D056D8">
              <w:rPr>
                <w:sz w:val="20"/>
                <w:szCs w:val="20"/>
              </w:rPr>
              <w:t xml:space="preserve"> </w:t>
            </w:r>
            <w:r w:rsidRPr="002B741E">
              <w:rPr>
                <w:sz w:val="20"/>
                <w:szCs w:val="20"/>
              </w:rPr>
              <w:t>decided to increase the percentage of municipalities with hazard risk management program. Monitoring will continue to ensure that the new target is reached.</w:t>
            </w:r>
          </w:p>
        </w:tc>
      </w:tr>
      <w:tr w:rsidR="00150E8D" w:rsidRPr="00A07013" w:rsidTr="005107AA">
        <w:tc>
          <w:tcPr>
            <w:tcW w:w="3745" w:type="dxa"/>
            <w:gridSpan w:val="2"/>
            <w:shd w:val="clear" w:color="auto" w:fill="D9D9D9" w:themeFill="background1" w:themeFillShade="D9"/>
          </w:tcPr>
          <w:p w:rsidR="00150E8D" w:rsidRPr="00A07013" w:rsidRDefault="00150E8D" w:rsidP="009F448A">
            <w:pPr>
              <w:jc w:val="center"/>
              <w:rPr>
                <w:b/>
              </w:rPr>
            </w:pPr>
            <w:r w:rsidRPr="00A07013">
              <w:rPr>
                <w:b/>
              </w:rPr>
              <w:t>Intermediate Outcomes</w:t>
            </w:r>
          </w:p>
        </w:tc>
        <w:tc>
          <w:tcPr>
            <w:tcW w:w="4463" w:type="dxa"/>
            <w:gridSpan w:val="2"/>
            <w:shd w:val="clear" w:color="auto" w:fill="D9D9D9" w:themeFill="background1" w:themeFillShade="D9"/>
          </w:tcPr>
          <w:p w:rsidR="00150E8D" w:rsidRPr="00A07013" w:rsidRDefault="00150E8D" w:rsidP="009F448A">
            <w:pPr>
              <w:jc w:val="center"/>
              <w:rPr>
                <w:b/>
              </w:rPr>
            </w:pPr>
            <w:r w:rsidRPr="00A07013">
              <w:rPr>
                <w:b/>
              </w:rPr>
              <w:t>Intermediate Outcome Indicators</w:t>
            </w:r>
          </w:p>
        </w:tc>
        <w:tc>
          <w:tcPr>
            <w:tcW w:w="4968" w:type="dxa"/>
            <w:gridSpan w:val="2"/>
            <w:shd w:val="clear" w:color="auto" w:fill="D9D9D9" w:themeFill="background1" w:themeFillShade="D9"/>
          </w:tcPr>
          <w:p w:rsidR="00150E8D" w:rsidRPr="00A07013" w:rsidRDefault="00150E8D" w:rsidP="002137B8">
            <w:pPr>
              <w:jc w:val="center"/>
              <w:rPr>
                <w:b/>
              </w:rPr>
            </w:pPr>
            <w:r w:rsidRPr="00A07013">
              <w:rPr>
                <w:b/>
              </w:rPr>
              <w:t>Use of Intermediate Outcome Monitoring</w:t>
            </w:r>
          </w:p>
        </w:tc>
      </w:tr>
      <w:tr w:rsidR="00150E8D" w:rsidRPr="002B741E" w:rsidTr="005107AA">
        <w:tc>
          <w:tcPr>
            <w:tcW w:w="2196" w:type="dxa"/>
          </w:tcPr>
          <w:p w:rsidR="00150E8D" w:rsidRPr="002B741E" w:rsidRDefault="00150E8D" w:rsidP="009F448A">
            <w:pPr>
              <w:rPr>
                <w:sz w:val="20"/>
                <w:szCs w:val="20"/>
              </w:rPr>
            </w:pPr>
            <w:r w:rsidRPr="002B741E">
              <w:rPr>
                <w:sz w:val="20"/>
                <w:szCs w:val="20"/>
              </w:rPr>
              <w:t>Current</w:t>
            </w:r>
          </w:p>
        </w:tc>
        <w:tc>
          <w:tcPr>
            <w:tcW w:w="1549" w:type="dxa"/>
          </w:tcPr>
          <w:p w:rsidR="00150E8D" w:rsidRPr="002B741E" w:rsidRDefault="00150E8D" w:rsidP="009F448A">
            <w:pPr>
              <w:rPr>
                <w:sz w:val="20"/>
                <w:szCs w:val="20"/>
              </w:rPr>
            </w:pPr>
            <w:r w:rsidRPr="002B741E">
              <w:rPr>
                <w:sz w:val="20"/>
                <w:szCs w:val="20"/>
              </w:rPr>
              <w:t>Proposed</w:t>
            </w:r>
          </w:p>
        </w:tc>
        <w:tc>
          <w:tcPr>
            <w:tcW w:w="2843" w:type="dxa"/>
          </w:tcPr>
          <w:p w:rsidR="00150E8D" w:rsidRPr="002B741E" w:rsidRDefault="00150E8D" w:rsidP="009F448A">
            <w:pPr>
              <w:rPr>
                <w:sz w:val="20"/>
                <w:szCs w:val="20"/>
              </w:rPr>
            </w:pPr>
            <w:r w:rsidRPr="002B741E">
              <w:rPr>
                <w:sz w:val="20"/>
                <w:szCs w:val="20"/>
              </w:rPr>
              <w:t>Current</w:t>
            </w:r>
          </w:p>
        </w:tc>
        <w:tc>
          <w:tcPr>
            <w:tcW w:w="1620" w:type="dxa"/>
          </w:tcPr>
          <w:p w:rsidR="00150E8D" w:rsidRPr="002B741E" w:rsidRDefault="00150E8D" w:rsidP="009F448A">
            <w:pPr>
              <w:rPr>
                <w:sz w:val="20"/>
                <w:szCs w:val="20"/>
              </w:rPr>
            </w:pPr>
            <w:r w:rsidRPr="002B741E">
              <w:rPr>
                <w:sz w:val="20"/>
                <w:szCs w:val="20"/>
              </w:rPr>
              <w:t>Proposed</w:t>
            </w:r>
          </w:p>
        </w:tc>
        <w:tc>
          <w:tcPr>
            <w:tcW w:w="2772" w:type="dxa"/>
          </w:tcPr>
          <w:p w:rsidR="00150E8D" w:rsidRPr="002B741E" w:rsidRDefault="00150E8D" w:rsidP="009F448A">
            <w:pPr>
              <w:rPr>
                <w:sz w:val="20"/>
                <w:szCs w:val="20"/>
              </w:rPr>
            </w:pPr>
            <w:r w:rsidRPr="002B741E">
              <w:rPr>
                <w:sz w:val="20"/>
                <w:szCs w:val="20"/>
              </w:rPr>
              <w:t>Current</w:t>
            </w:r>
          </w:p>
        </w:tc>
        <w:tc>
          <w:tcPr>
            <w:tcW w:w="2196" w:type="dxa"/>
          </w:tcPr>
          <w:p w:rsidR="00150E8D" w:rsidRPr="002B741E" w:rsidRDefault="00150E8D" w:rsidP="009F448A">
            <w:pPr>
              <w:rPr>
                <w:sz w:val="20"/>
                <w:szCs w:val="20"/>
              </w:rPr>
            </w:pPr>
            <w:r w:rsidRPr="002B741E">
              <w:rPr>
                <w:sz w:val="20"/>
                <w:szCs w:val="20"/>
              </w:rPr>
              <w:t>Proposed</w:t>
            </w:r>
          </w:p>
        </w:tc>
      </w:tr>
      <w:tr w:rsidR="00150E8D" w:rsidRPr="00A07013" w:rsidTr="005107AA">
        <w:tc>
          <w:tcPr>
            <w:tcW w:w="2196" w:type="dxa"/>
          </w:tcPr>
          <w:p w:rsidR="00150E8D" w:rsidRPr="007976DE" w:rsidRDefault="00150E8D" w:rsidP="009F448A">
            <w:pPr>
              <w:rPr>
                <w:sz w:val="20"/>
                <w:szCs w:val="20"/>
              </w:rPr>
            </w:pPr>
            <w:r w:rsidRPr="007976DE">
              <w:rPr>
                <w:sz w:val="20"/>
                <w:szCs w:val="20"/>
              </w:rPr>
              <w:t>COMPONENT A:</w:t>
            </w:r>
          </w:p>
          <w:p w:rsidR="00150E8D" w:rsidRPr="007976DE" w:rsidRDefault="00150E8D" w:rsidP="009F448A">
            <w:pPr>
              <w:rPr>
                <w:sz w:val="20"/>
                <w:szCs w:val="20"/>
              </w:rPr>
            </w:pPr>
          </w:p>
          <w:p w:rsidR="00150E8D" w:rsidRPr="007976DE" w:rsidRDefault="00150E8D" w:rsidP="009F448A">
            <w:pPr>
              <w:rPr>
                <w:sz w:val="20"/>
                <w:szCs w:val="20"/>
              </w:rPr>
            </w:pPr>
            <w:r w:rsidRPr="007976DE">
              <w:rPr>
                <w:sz w:val="20"/>
                <w:szCs w:val="20"/>
              </w:rPr>
              <w:t>Increased capacity for identifying and monitoring risk</w:t>
            </w:r>
          </w:p>
        </w:tc>
        <w:tc>
          <w:tcPr>
            <w:tcW w:w="1549" w:type="dxa"/>
          </w:tcPr>
          <w:p w:rsidR="00DB73A3" w:rsidRPr="00DB73A3" w:rsidRDefault="00DB73A3" w:rsidP="00DB73A3">
            <w:pPr>
              <w:rPr>
                <w:sz w:val="20"/>
                <w:szCs w:val="20"/>
              </w:rPr>
            </w:pPr>
            <w:r w:rsidRPr="00DB73A3">
              <w:rPr>
                <w:sz w:val="20"/>
                <w:szCs w:val="20"/>
              </w:rPr>
              <w:t>Same</w:t>
            </w:r>
          </w:p>
          <w:p w:rsidR="00150E8D" w:rsidRPr="007976DE" w:rsidRDefault="00150E8D" w:rsidP="009F448A">
            <w:pPr>
              <w:rPr>
                <w:sz w:val="20"/>
                <w:szCs w:val="20"/>
              </w:rPr>
            </w:pPr>
          </w:p>
        </w:tc>
        <w:tc>
          <w:tcPr>
            <w:tcW w:w="2843" w:type="dxa"/>
          </w:tcPr>
          <w:p w:rsidR="00150E8D" w:rsidRDefault="00150E8D" w:rsidP="00DF0063">
            <w:pPr>
              <w:rPr>
                <w:sz w:val="20"/>
                <w:szCs w:val="20"/>
              </w:rPr>
            </w:pPr>
            <w:r w:rsidRPr="007976DE">
              <w:rPr>
                <w:sz w:val="20"/>
                <w:szCs w:val="20"/>
              </w:rPr>
              <w:t xml:space="preserve">100% of the SNPAD integrated to DRIS. 100% = 7 information </w:t>
            </w:r>
            <w:r w:rsidR="00DF0063">
              <w:rPr>
                <w:sz w:val="20"/>
                <w:szCs w:val="20"/>
              </w:rPr>
              <w:t>sharing agreements</w:t>
            </w:r>
            <w:r w:rsidRPr="007976DE">
              <w:rPr>
                <w:sz w:val="20"/>
                <w:szCs w:val="20"/>
              </w:rPr>
              <w:t xml:space="preserve"> with SNPAD entities legalized (IDEAM, INGEOMINAS and IGAC)/7 convention scheduled</w:t>
            </w:r>
          </w:p>
          <w:p w:rsidR="008C3430" w:rsidRPr="007976DE" w:rsidRDefault="008C3430" w:rsidP="00DF0063">
            <w:pPr>
              <w:rPr>
                <w:sz w:val="20"/>
                <w:szCs w:val="20"/>
              </w:rPr>
            </w:pPr>
          </w:p>
        </w:tc>
        <w:tc>
          <w:tcPr>
            <w:tcW w:w="1620" w:type="dxa"/>
          </w:tcPr>
          <w:p w:rsidR="00150E8D" w:rsidRPr="007976DE" w:rsidRDefault="00DB73A3" w:rsidP="009F448A">
            <w:pPr>
              <w:rPr>
                <w:sz w:val="20"/>
                <w:szCs w:val="20"/>
              </w:rPr>
            </w:pPr>
            <w:r>
              <w:rPr>
                <w:sz w:val="20"/>
                <w:szCs w:val="20"/>
              </w:rPr>
              <w:t>S</w:t>
            </w:r>
            <w:r w:rsidR="00150E8D" w:rsidRPr="007976DE">
              <w:rPr>
                <w:sz w:val="20"/>
                <w:szCs w:val="20"/>
              </w:rPr>
              <w:t>ame</w:t>
            </w:r>
          </w:p>
        </w:tc>
        <w:tc>
          <w:tcPr>
            <w:tcW w:w="2772" w:type="dxa"/>
          </w:tcPr>
          <w:p w:rsidR="002137B8" w:rsidRDefault="00150E8D" w:rsidP="009F448A">
            <w:pPr>
              <w:rPr>
                <w:sz w:val="20"/>
                <w:szCs w:val="20"/>
              </w:rPr>
            </w:pPr>
            <w:r w:rsidRPr="007976DE">
              <w:rPr>
                <w:sz w:val="20"/>
                <w:szCs w:val="20"/>
              </w:rPr>
              <w:t>Information obtained thus far through various supervision missions</w:t>
            </w:r>
            <w:r w:rsidR="002E5090">
              <w:rPr>
                <w:sz w:val="20"/>
                <w:szCs w:val="20"/>
              </w:rPr>
              <w:t xml:space="preserve"> </w:t>
            </w:r>
            <w:r w:rsidR="00646008">
              <w:rPr>
                <w:sz w:val="20"/>
                <w:szCs w:val="20"/>
              </w:rPr>
              <w:t>has</w:t>
            </w:r>
            <w:r w:rsidRPr="007976DE">
              <w:rPr>
                <w:sz w:val="20"/>
                <w:szCs w:val="20"/>
              </w:rPr>
              <w:t xml:space="preserve"> confirmed the need to maintain the initial target of 100%.</w:t>
            </w:r>
          </w:p>
          <w:p w:rsidR="00150E8D" w:rsidRPr="007976DE" w:rsidRDefault="002137B8" w:rsidP="002137B8">
            <w:pPr>
              <w:rPr>
                <w:sz w:val="20"/>
                <w:szCs w:val="20"/>
              </w:rPr>
            </w:pPr>
            <w:r>
              <w:rPr>
                <w:sz w:val="20"/>
                <w:szCs w:val="20"/>
              </w:rPr>
              <w:t>I</w:t>
            </w:r>
            <w:r w:rsidRPr="002137B8">
              <w:rPr>
                <w:sz w:val="20"/>
                <w:szCs w:val="20"/>
              </w:rPr>
              <w:t xml:space="preserve">nformation sharing agreements including 3 entities </w:t>
            </w:r>
            <w:r>
              <w:rPr>
                <w:sz w:val="20"/>
                <w:szCs w:val="20"/>
              </w:rPr>
              <w:t>have already been</w:t>
            </w:r>
            <w:r w:rsidRPr="002137B8">
              <w:rPr>
                <w:sz w:val="20"/>
                <w:szCs w:val="20"/>
              </w:rPr>
              <w:t xml:space="preserve"> completed</w:t>
            </w:r>
            <w:r>
              <w:rPr>
                <w:sz w:val="20"/>
                <w:szCs w:val="20"/>
              </w:rPr>
              <w:t xml:space="preserve"> (June 2011 ISR)</w:t>
            </w:r>
            <w:r w:rsidR="00150E8D" w:rsidRPr="007976DE">
              <w:rPr>
                <w:sz w:val="20"/>
                <w:szCs w:val="20"/>
              </w:rPr>
              <w:t xml:space="preserve"> </w:t>
            </w:r>
          </w:p>
        </w:tc>
        <w:tc>
          <w:tcPr>
            <w:tcW w:w="2196"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Pr="007976DE" w:rsidRDefault="00150E8D" w:rsidP="009F448A">
            <w:pPr>
              <w:rPr>
                <w:sz w:val="20"/>
                <w:szCs w:val="20"/>
              </w:rPr>
            </w:pPr>
            <w:r w:rsidRPr="001F6237">
              <w:rPr>
                <w:sz w:val="20"/>
                <w:szCs w:val="20"/>
              </w:rPr>
              <w:t>Monitoring will continue to ensure that the target is reached.</w:t>
            </w:r>
          </w:p>
        </w:tc>
      </w:tr>
      <w:tr w:rsidR="00150E8D" w:rsidRPr="00A07013" w:rsidTr="005107AA">
        <w:tc>
          <w:tcPr>
            <w:tcW w:w="2196" w:type="dxa"/>
          </w:tcPr>
          <w:p w:rsidR="00150E8D" w:rsidRPr="007976DE" w:rsidRDefault="00150E8D" w:rsidP="009F448A">
            <w:pPr>
              <w:rPr>
                <w:sz w:val="20"/>
                <w:szCs w:val="20"/>
              </w:rPr>
            </w:pPr>
            <w:r w:rsidRPr="007976DE">
              <w:rPr>
                <w:sz w:val="20"/>
                <w:szCs w:val="20"/>
              </w:rPr>
              <w:t>COMPONENT B:</w:t>
            </w:r>
          </w:p>
          <w:p w:rsidR="00150E8D" w:rsidRPr="007976DE" w:rsidRDefault="00150E8D" w:rsidP="009F448A">
            <w:pPr>
              <w:rPr>
                <w:sz w:val="20"/>
                <w:szCs w:val="20"/>
              </w:rPr>
            </w:pPr>
          </w:p>
          <w:p w:rsidR="00150E8D" w:rsidRPr="007976DE" w:rsidRDefault="00150E8D" w:rsidP="009F448A">
            <w:pPr>
              <w:rPr>
                <w:sz w:val="20"/>
                <w:szCs w:val="20"/>
              </w:rPr>
            </w:pPr>
            <w:r w:rsidRPr="007976DE">
              <w:rPr>
                <w:sz w:val="20"/>
                <w:szCs w:val="20"/>
              </w:rPr>
              <w:t>Local and sector capacity for risk reduction improved</w:t>
            </w:r>
          </w:p>
        </w:tc>
        <w:tc>
          <w:tcPr>
            <w:tcW w:w="1549" w:type="dxa"/>
          </w:tcPr>
          <w:p w:rsidR="00DB73A3" w:rsidRPr="00DB73A3" w:rsidRDefault="00DB73A3" w:rsidP="00DB73A3">
            <w:pPr>
              <w:rPr>
                <w:sz w:val="20"/>
                <w:szCs w:val="20"/>
              </w:rPr>
            </w:pPr>
            <w:r w:rsidRPr="00DB73A3">
              <w:rPr>
                <w:sz w:val="20"/>
                <w:szCs w:val="20"/>
              </w:rPr>
              <w:t>Same</w:t>
            </w:r>
          </w:p>
          <w:p w:rsidR="00150E8D" w:rsidRPr="007976DE" w:rsidRDefault="00150E8D" w:rsidP="009F448A">
            <w:pPr>
              <w:rPr>
                <w:sz w:val="20"/>
                <w:szCs w:val="20"/>
              </w:rPr>
            </w:pPr>
          </w:p>
        </w:tc>
        <w:tc>
          <w:tcPr>
            <w:tcW w:w="2843" w:type="dxa"/>
          </w:tcPr>
          <w:p w:rsidR="00150E8D" w:rsidRPr="007976DE" w:rsidRDefault="00150E8D" w:rsidP="009F448A">
            <w:pPr>
              <w:rPr>
                <w:sz w:val="20"/>
                <w:szCs w:val="20"/>
              </w:rPr>
            </w:pPr>
            <w:r w:rsidRPr="007976DE">
              <w:rPr>
                <w:sz w:val="20"/>
                <w:szCs w:val="20"/>
              </w:rPr>
              <w:t xml:space="preserve">At least 65% </w:t>
            </w:r>
            <w:r>
              <w:rPr>
                <w:sz w:val="20"/>
                <w:szCs w:val="20"/>
              </w:rPr>
              <w:t xml:space="preserve">(714) </w:t>
            </w:r>
            <w:r w:rsidRPr="007976DE">
              <w:rPr>
                <w:sz w:val="20"/>
                <w:szCs w:val="20"/>
              </w:rPr>
              <w:t xml:space="preserve">of municipalities </w:t>
            </w:r>
            <w:r w:rsidRPr="001F6237">
              <w:rPr>
                <w:sz w:val="20"/>
                <w:szCs w:val="20"/>
              </w:rPr>
              <w:t>are educated, trained and aware of hazard risk reduction</w:t>
            </w:r>
          </w:p>
        </w:tc>
        <w:tc>
          <w:tcPr>
            <w:tcW w:w="1620" w:type="dxa"/>
          </w:tcPr>
          <w:p w:rsidR="00150E8D" w:rsidRPr="007976DE" w:rsidRDefault="00150E8D" w:rsidP="009F448A">
            <w:pPr>
              <w:rPr>
                <w:sz w:val="20"/>
                <w:szCs w:val="20"/>
              </w:rPr>
            </w:pPr>
            <w:r>
              <w:rPr>
                <w:sz w:val="20"/>
                <w:szCs w:val="20"/>
              </w:rPr>
              <w:t>At least 100</w:t>
            </w:r>
            <w:r w:rsidRPr="007976DE">
              <w:rPr>
                <w:sz w:val="20"/>
                <w:szCs w:val="20"/>
              </w:rPr>
              <w:t>%</w:t>
            </w:r>
            <w:r>
              <w:rPr>
                <w:sz w:val="20"/>
                <w:szCs w:val="20"/>
              </w:rPr>
              <w:t xml:space="preserve"> (1098)</w:t>
            </w:r>
            <w:r w:rsidRPr="007976DE">
              <w:rPr>
                <w:sz w:val="20"/>
                <w:szCs w:val="20"/>
              </w:rPr>
              <w:t xml:space="preserve"> of municipalities </w:t>
            </w:r>
            <w:r>
              <w:rPr>
                <w:sz w:val="20"/>
                <w:szCs w:val="20"/>
              </w:rPr>
              <w:t>are educated, trained and aware of hazard risk reduction</w:t>
            </w:r>
          </w:p>
        </w:tc>
        <w:tc>
          <w:tcPr>
            <w:tcW w:w="2772" w:type="dxa"/>
          </w:tcPr>
          <w:p w:rsidR="00150E8D" w:rsidRDefault="00150E8D" w:rsidP="009F448A">
            <w:pPr>
              <w:rPr>
                <w:sz w:val="20"/>
                <w:szCs w:val="20"/>
              </w:rPr>
            </w:pPr>
            <w:r>
              <w:rPr>
                <w:sz w:val="20"/>
                <w:szCs w:val="20"/>
              </w:rPr>
              <w:t xml:space="preserve">The high level of satisfactory evaluations resulting from close and intense monitoring from </w:t>
            </w:r>
            <w:proofErr w:type="spellStart"/>
            <w:r>
              <w:rPr>
                <w:sz w:val="20"/>
                <w:szCs w:val="20"/>
              </w:rPr>
              <w:t>GoC</w:t>
            </w:r>
            <w:proofErr w:type="spellEnd"/>
            <w:r>
              <w:rPr>
                <w:sz w:val="20"/>
                <w:szCs w:val="20"/>
              </w:rPr>
              <w:t xml:space="preserve"> motivated the Government to increase the number of municipalities receiving guidelines and/or workshop for risk reduction. </w:t>
            </w:r>
          </w:p>
          <w:p w:rsidR="002137B8" w:rsidRPr="007976DE" w:rsidRDefault="002137B8" w:rsidP="00C752E6">
            <w:pPr>
              <w:rPr>
                <w:sz w:val="20"/>
                <w:szCs w:val="20"/>
              </w:rPr>
            </w:pPr>
            <w:r>
              <w:rPr>
                <w:sz w:val="20"/>
                <w:szCs w:val="20"/>
              </w:rPr>
              <w:t>Already,</w:t>
            </w:r>
            <w:r w:rsidRPr="002137B8">
              <w:rPr>
                <w:sz w:val="20"/>
                <w:szCs w:val="20"/>
              </w:rPr>
              <w:t xml:space="preserve"> these activities </w:t>
            </w:r>
            <w:r>
              <w:rPr>
                <w:sz w:val="20"/>
                <w:szCs w:val="20"/>
              </w:rPr>
              <w:t xml:space="preserve">have </w:t>
            </w:r>
            <w:r>
              <w:rPr>
                <w:sz w:val="20"/>
                <w:szCs w:val="20"/>
              </w:rPr>
              <w:lastRenderedPageBreak/>
              <w:t xml:space="preserve">been completed </w:t>
            </w:r>
            <w:r w:rsidR="00C752E6">
              <w:rPr>
                <w:sz w:val="20"/>
                <w:szCs w:val="20"/>
              </w:rPr>
              <w:t xml:space="preserve">111% (795 </w:t>
            </w:r>
            <w:r w:rsidRPr="002137B8">
              <w:rPr>
                <w:sz w:val="20"/>
                <w:szCs w:val="20"/>
              </w:rPr>
              <w:t>municipalities</w:t>
            </w:r>
            <w:r w:rsidR="00C752E6">
              <w:rPr>
                <w:sz w:val="20"/>
                <w:szCs w:val="20"/>
              </w:rPr>
              <w:t xml:space="preserve">, </w:t>
            </w:r>
            <w:r>
              <w:rPr>
                <w:sz w:val="20"/>
                <w:szCs w:val="20"/>
              </w:rPr>
              <w:t>June 2011 ISR)</w:t>
            </w:r>
            <w:r w:rsidRPr="002137B8">
              <w:rPr>
                <w:sz w:val="20"/>
                <w:szCs w:val="20"/>
              </w:rPr>
              <w:t>.</w:t>
            </w:r>
          </w:p>
        </w:tc>
        <w:tc>
          <w:tcPr>
            <w:tcW w:w="2196" w:type="dxa"/>
          </w:tcPr>
          <w:p w:rsidR="00DB73A3" w:rsidRPr="00DB73A3" w:rsidRDefault="00DB73A3" w:rsidP="00DB73A3">
            <w:pPr>
              <w:rPr>
                <w:sz w:val="20"/>
                <w:szCs w:val="20"/>
              </w:rPr>
            </w:pPr>
            <w:r w:rsidRPr="00DB73A3">
              <w:rPr>
                <w:sz w:val="20"/>
                <w:szCs w:val="20"/>
              </w:rPr>
              <w:lastRenderedPageBreak/>
              <w:t>Same</w:t>
            </w:r>
          </w:p>
          <w:p w:rsidR="00150E8D" w:rsidRDefault="00150E8D" w:rsidP="009F448A">
            <w:pPr>
              <w:rPr>
                <w:sz w:val="20"/>
                <w:szCs w:val="20"/>
              </w:rPr>
            </w:pPr>
          </w:p>
          <w:p w:rsidR="00150E8D" w:rsidRPr="007976DE" w:rsidRDefault="00150E8D" w:rsidP="009F448A">
            <w:pPr>
              <w:rPr>
                <w:sz w:val="20"/>
                <w:szCs w:val="20"/>
              </w:rPr>
            </w:pPr>
            <w:r w:rsidRPr="001F6237">
              <w:rPr>
                <w:sz w:val="20"/>
                <w:szCs w:val="20"/>
              </w:rPr>
              <w:t>Close follow up is planned to guarantee achievement of the new target.</w:t>
            </w:r>
          </w:p>
        </w:tc>
      </w:tr>
      <w:tr w:rsidR="00150E8D" w:rsidRPr="00A07013" w:rsidTr="005107AA">
        <w:tc>
          <w:tcPr>
            <w:tcW w:w="2196" w:type="dxa"/>
          </w:tcPr>
          <w:p w:rsidR="00150E8D" w:rsidRDefault="00150E8D" w:rsidP="009F448A">
            <w:pPr>
              <w:rPr>
                <w:sz w:val="20"/>
                <w:szCs w:val="20"/>
              </w:rPr>
            </w:pPr>
            <w:r w:rsidRPr="007976DE">
              <w:rPr>
                <w:sz w:val="20"/>
                <w:szCs w:val="20"/>
              </w:rPr>
              <w:lastRenderedPageBreak/>
              <w:t>COMPONENT C</w:t>
            </w:r>
            <w:r>
              <w:rPr>
                <w:sz w:val="20"/>
                <w:szCs w:val="20"/>
              </w:rPr>
              <w:t>:</w:t>
            </w:r>
          </w:p>
          <w:p w:rsidR="00150E8D" w:rsidRDefault="00150E8D" w:rsidP="009F448A">
            <w:pPr>
              <w:rPr>
                <w:sz w:val="20"/>
                <w:szCs w:val="20"/>
              </w:rPr>
            </w:pPr>
          </w:p>
          <w:p w:rsidR="00150E8D" w:rsidRDefault="00150E8D" w:rsidP="009F448A">
            <w:pPr>
              <w:rPr>
                <w:sz w:val="20"/>
                <w:szCs w:val="20"/>
              </w:rPr>
            </w:pPr>
            <w:r>
              <w:rPr>
                <w:sz w:val="20"/>
                <w:szCs w:val="20"/>
              </w:rPr>
              <w:t>Institutional capacity for disaster risk management strengthened</w:t>
            </w:r>
          </w:p>
          <w:p w:rsidR="00150E8D" w:rsidRPr="007976DE" w:rsidRDefault="00150E8D" w:rsidP="009F448A">
            <w:pPr>
              <w:rPr>
                <w:sz w:val="20"/>
                <w:szCs w:val="20"/>
              </w:rPr>
            </w:pPr>
          </w:p>
        </w:tc>
        <w:tc>
          <w:tcPr>
            <w:tcW w:w="1549"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Pr="007976DE" w:rsidRDefault="00150E8D" w:rsidP="009F448A">
            <w:pPr>
              <w:rPr>
                <w:sz w:val="20"/>
                <w:szCs w:val="20"/>
              </w:rPr>
            </w:pPr>
          </w:p>
        </w:tc>
        <w:tc>
          <w:tcPr>
            <w:tcW w:w="2843" w:type="dxa"/>
          </w:tcPr>
          <w:p w:rsidR="00150E8D" w:rsidRDefault="00150E8D" w:rsidP="009F448A">
            <w:pPr>
              <w:rPr>
                <w:sz w:val="20"/>
                <w:szCs w:val="20"/>
              </w:rPr>
            </w:pPr>
            <w:r>
              <w:rPr>
                <w:sz w:val="20"/>
                <w:szCs w:val="20"/>
              </w:rPr>
              <w:t>National policy defining government responsibility in disaster management and reconstruction</w:t>
            </w:r>
          </w:p>
          <w:p w:rsidR="00150E8D" w:rsidRDefault="00150E8D" w:rsidP="009F448A">
            <w:pPr>
              <w:rPr>
                <w:sz w:val="20"/>
                <w:szCs w:val="20"/>
              </w:rPr>
            </w:pPr>
          </w:p>
          <w:p w:rsidR="00150E8D" w:rsidRDefault="00150E8D" w:rsidP="009F448A">
            <w:pPr>
              <w:rPr>
                <w:sz w:val="20"/>
                <w:szCs w:val="20"/>
              </w:rPr>
            </w:pPr>
            <w:r>
              <w:rPr>
                <w:sz w:val="20"/>
                <w:szCs w:val="20"/>
              </w:rPr>
              <w:t>“Resettlement Policy Guidelines for Settlements in High Risk Zones” will be issued</w:t>
            </w:r>
          </w:p>
          <w:p w:rsidR="00150E8D" w:rsidRDefault="00150E8D" w:rsidP="009F448A">
            <w:pPr>
              <w:rPr>
                <w:sz w:val="20"/>
                <w:szCs w:val="20"/>
              </w:rPr>
            </w:pPr>
          </w:p>
          <w:p w:rsidR="00150E8D" w:rsidRPr="007976DE" w:rsidRDefault="00150E8D" w:rsidP="009F448A">
            <w:pPr>
              <w:rPr>
                <w:sz w:val="20"/>
                <w:szCs w:val="20"/>
              </w:rPr>
            </w:pPr>
            <w:r w:rsidRPr="00374BE5">
              <w:rPr>
                <w:sz w:val="20"/>
                <w:szCs w:val="20"/>
              </w:rPr>
              <w:t>Preparation of two policy proposals by DGR, to update Law 46 of 1988 and Decree Law 919 of 1989.</w:t>
            </w:r>
          </w:p>
        </w:tc>
        <w:tc>
          <w:tcPr>
            <w:tcW w:w="1620"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Pr="007976DE" w:rsidRDefault="00150E8D" w:rsidP="009F448A">
            <w:pPr>
              <w:rPr>
                <w:sz w:val="20"/>
                <w:szCs w:val="20"/>
              </w:rPr>
            </w:pPr>
          </w:p>
        </w:tc>
        <w:tc>
          <w:tcPr>
            <w:tcW w:w="2772" w:type="dxa"/>
          </w:tcPr>
          <w:p w:rsidR="002137B8" w:rsidRPr="002137B8" w:rsidRDefault="00150E8D" w:rsidP="002137B8">
            <w:pPr>
              <w:rPr>
                <w:sz w:val="20"/>
                <w:szCs w:val="20"/>
              </w:rPr>
            </w:pPr>
            <w:r>
              <w:rPr>
                <w:sz w:val="20"/>
                <w:szCs w:val="20"/>
              </w:rPr>
              <w:t xml:space="preserve">Progress is satisfactory thus far with more than 80% of the </w:t>
            </w:r>
            <w:r w:rsidR="002137B8" w:rsidRPr="002137B8">
              <w:rPr>
                <w:sz w:val="20"/>
                <w:szCs w:val="20"/>
              </w:rPr>
              <w:t>"Policy</w:t>
            </w:r>
          </w:p>
          <w:p w:rsidR="00150E8D" w:rsidRPr="007976DE" w:rsidRDefault="002137B8" w:rsidP="002137B8">
            <w:pPr>
              <w:rPr>
                <w:sz w:val="20"/>
                <w:szCs w:val="20"/>
              </w:rPr>
            </w:pPr>
            <w:r w:rsidRPr="002137B8">
              <w:rPr>
                <w:sz w:val="20"/>
                <w:szCs w:val="20"/>
              </w:rPr>
              <w:t xml:space="preserve">Guidelines for </w:t>
            </w:r>
            <w:r>
              <w:rPr>
                <w:sz w:val="20"/>
                <w:szCs w:val="20"/>
              </w:rPr>
              <w:t>Settlements in High Risk Zones"</w:t>
            </w:r>
            <w:r w:rsidRPr="002137B8">
              <w:rPr>
                <w:sz w:val="20"/>
                <w:szCs w:val="20"/>
              </w:rPr>
              <w:t xml:space="preserve"> </w:t>
            </w:r>
            <w:r w:rsidR="00150E8D">
              <w:rPr>
                <w:sz w:val="20"/>
                <w:szCs w:val="20"/>
              </w:rPr>
              <w:t>already completed</w:t>
            </w:r>
            <w:r>
              <w:rPr>
                <w:sz w:val="20"/>
                <w:szCs w:val="20"/>
              </w:rPr>
              <w:t xml:space="preserve"> (June 2011 ISR)</w:t>
            </w:r>
            <w:r w:rsidR="00150E8D">
              <w:rPr>
                <w:sz w:val="20"/>
                <w:szCs w:val="20"/>
              </w:rPr>
              <w:t xml:space="preserve">. </w:t>
            </w:r>
          </w:p>
        </w:tc>
        <w:tc>
          <w:tcPr>
            <w:tcW w:w="2196"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Default="00150E8D" w:rsidP="009F448A">
            <w:pPr>
              <w:rPr>
                <w:sz w:val="20"/>
                <w:szCs w:val="20"/>
              </w:rPr>
            </w:pPr>
            <w:r w:rsidRPr="001F6237">
              <w:rPr>
                <w:sz w:val="20"/>
                <w:szCs w:val="20"/>
              </w:rPr>
              <w:t>The team will continue to monitor progress.</w:t>
            </w:r>
          </w:p>
          <w:p w:rsidR="00150E8D" w:rsidRPr="007976DE" w:rsidRDefault="00150E8D" w:rsidP="009F448A">
            <w:pPr>
              <w:rPr>
                <w:sz w:val="20"/>
                <w:szCs w:val="20"/>
              </w:rPr>
            </w:pPr>
          </w:p>
        </w:tc>
      </w:tr>
      <w:tr w:rsidR="00150E8D" w:rsidRPr="00A07013" w:rsidTr="005107AA">
        <w:tc>
          <w:tcPr>
            <w:tcW w:w="2196" w:type="dxa"/>
          </w:tcPr>
          <w:p w:rsidR="00150E8D" w:rsidRDefault="00150E8D" w:rsidP="009F448A">
            <w:pPr>
              <w:rPr>
                <w:sz w:val="20"/>
                <w:szCs w:val="20"/>
              </w:rPr>
            </w:pPr>
            <w:r w:rsidRPr="007976DE">
              <w:rPr>
                <w:sz w:val="20"/>
                <w:szCs w:val="20"/>
              </w:rPr>
              <w:t>COMPONENT D:</w:t>
            </w:r>
          </w:p>
          <w:p w:rsidR="00150E8D" w:rsidRDefault="00150E8D" w:rsidP="009F448A">
            <w:pPr>
              <w:rPr>
                <w:sz w:val="20"/>
                <w:szCs w:val="20"/>
              </w:rPr>
            </w:pPr>
          </w:p>
          <w:p w:rsidR="00150E8D" w:rsidRDefault="00150E8D" w:rsidP="009F448A">
            <w:pPr>
              <w:rPr>
                <w:sz w:val="20"/>
                <w:szCs w:val="20"/>
              </w:rPr>
            </w:pPr>
            <w:r>
              <w:rPr>
                <w:sz w:val="20"/>
                <w:szCs w:val="20"/>
              </w:rPr>
              <w:t xml:space="preserve">Enhanced capacity to promote risk awareness and emergency preparedness </w:t>
            </w:r>
          </w:p>
          <w:p w:rsidR="00150E8D" w:rsidRPr="007976DE" w:rsidRDefault="00150E8D" w:rsidP="009F448A">
            <w:pPr>
              <w:rPr>
                <w:sz w:val="20"/>
                <w:szCs w:val="20"/>
              </w:rPr>
            </w:pPr>
          </w:p>
        </w:tc>
        <w:tc>
          <w:tcPr>
            <w:tcW w:w="1549"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Default="00150E8D" w:rsidP="009F448A">
            <w:pPr>
              <w:rPr>
                <w:sz w:val="20"/>
                <w:szCs w:val="20"/>
              </w:rPr>
            </w:pPr>
          </w:p>
          <w:p w:rsidR="00150E8D" w:rsidRPr="007976DE" w:rsidRDefault="00150E8D" w:rsidP="009F448A">
            <w:pPr>
              <w:rPr>
                <w:sz w:val="20"/>
                <w:szCs w:val="20"/>
              </w:rPr>
            </w:pPr>
          </w:p>
        </w:tc>
        <w:tc>
          <w:tcPr>
            <w:tcW w:w="2843" w:type="dxa"/>
          </w:tcPr>
          <w:p w:rsidR="00150E8D" w:rsidRPr="007976DE" w:rsidRDefault="00150E8D" w:rsidP="009F448A">
            <w:pPr>
              <w:rPr>
                <w:sz w:val="20"/>
                <w:szCs w:val="20"/>
              </w:rPr>
            </w:pPr>
            <w:r>
              <w:rPr>
                <w:sz w:val="20"/>
                <w:szCs w:val="20"/>
              </w:rPr>
              <w:t xml:space="preserve">88 municipalities have received in depth environmental education for risk awareness </w:t>
            </w:r>
          </w:p>
        </w:tc>
        <w:tc>
          <w:tcPr>
            <w:tcW w:w="1620" w:type="dxa"/>
          </w:tcPr>
          <w:p w:rsidR="00150E8D" w:rsidRPr="008627E8" w:rsidRDefault="00150E8D" w:rsidP="009F448A">
            <w:pPr>
              <w:rPr>
                <w:sz w:val="20"/>
                <w:szCs w:val="20"/>
              </w:rPr>
            </w:pPr>
            <w:r>
              <w:rPr>
                <w:sz w:val="20"/>
                <w:szCs w:val="20"/>
              </w:rPr>
              <w:t>112</w:t>
            </w:r>
            <w:r w:rsidRPr="008627E8">
              <w:rPr>
                <w:sz w:val="20"/>
                <w:szCs w:val="20"/>
              </w:rPr>
              <w:t xml:space="preserve"> municipalities have received in depth environmental education for risk awareness</w:t>
            </w:r>
          </w:p>
        </w:tc>
        <w:tc>
          <w:tcPr>
            <w:tcW w:w="2772" w:type="dxa"/>
          </w:tcPr>
          <w:p w:rsidR="00150E8D" w:rsidRPr="007976DE" w:rsidRDefault="00150E8D" w:rsidP="00D056D8">
            <w:pPr>
              <w:rPr>
                <w:sz w:val="20"/>
                <w:szCs w:val="20"/>
              </w:rPr>
            </w:pPr>
            <w:r>
              <w:rPr>
                <w:sz w:val="20"/>
                <w:szCs w:val="20"/>
              </w:rPr>
              <w:t xml:space="preserve">The indicator was revised as the program of work associated with Component D was defined in 2009 with a more in-depth training than originally envisioned. Implementation began in 2010 and the associated targets were reduced </w:t>
            </w:r>
            <w:r w:rsidR="002137B8">
              <w:rPr>
                <w:sz w:val="20"/>
                <w:szCs w:val="20"/>
              </w:rPr>
              <w:t xml:space="preserve">then </w:t>
            </w:r>
            <w:r>
              <w:rPr>
                <w:sz w:val="20"/>
                <w:szCs w:val="20"/>
              </w:rPr>
              <w:t>to reflect a more comprehensive program.</w:t>
            </w:r>
            <w:r w:rsidR="002137B8">
              <w:rPr>
                <w:sz w:val="20"/>
                <w:szCs w:val="20"/>
              </w:rPr>
              <w:t xml:space="preserve"> </w:t>
            </w:r>
            <w:r w:rsidR="002137B8" w:rsidRPr="002137B8">
              <w:rPr>
                <w:sz w:val="20"/>
                <w:szCs w:val="20"/>
              </w:rPr>
              <w:t xml:space="preserve">According to the </w:t>
            </w:r>
            <w:r w:rsidR="00D056D8">
              <w:rPr>
                <w:sz w:val="20"/>
                <w:szCs w:val="20"/>
              </w:rPr>
              <w:t xml:space="preserve">June 2011 </w:t>
            </w:r>
            <w:r w:rsidR="002137B8" w:rsidRPr="002137B8">
              <w:rPr>
                <w:sz w:val="20"/>
                <w:szCs w:val="20"/>
              </w:rPr>
              <w:t>ISR, this activity has been completed in 46 municipalities.</w:t>
            </w:r>
          </w:p>
        </w:tc>
        <w:tc>
          <w:tcPr>
            <w:tcW w:w="2196" w:type="dxa"/>
          </w:tcPr>
          <w:p w:rsidR="00DB73A3" w:rsidRPr="00DB73A3" w:rsidRDefault="00DB73A3" w:rsidP="00DB73A3">
            <w:pPr>
              <w:rPr>
                <w:sz w:val="20"/>
                <w:szCs w:val="20"/>
              </w:rPr>
            </w:pPr>
            <w:r w:rsidRPr="00DB73A3">
              <w:rPr>
                <w:sz w:val="20"/>
                <w:szCs w:val="20"/>
              </w:rPr>
              <w:t>Same</w:t>
            </w:r>
          </w:p>
          <w:p w:rsidR="00150E8D" w:rsidRPr="001F6237" w:rsidRDefault="00150E8D" w:rsidP="009F448A">
            <w:pPr>
              <w:rPr>
                <w:sz w:val="20"/>
                <w:szCs w:val="20"/>
              </w:rPr>
            </w:pPr>
          </w:p>
          <w:p w:rsidR="00150E8D" w:rsidRDefault="00150E8D" w:rsidP="009F448A">
            <w:pPr>
              <w:rPr>
                <w:sz w:val="20"/>
                <w:szCs w:val="20"/>
              </w:rPr>
            </w:pPr>
            <w:r w:rsidRPr="001F6237">
              <w:rPr>
                <w:sz w:val="20"/>
                <w:szCs w:val="20"/>
              </w:rPr>
              <w:t xml:space="preserve">The </w:t>
            </w:r>
            <w:r w:rsidR="002B35D3">
              <w:rPr>
                <w:sz w:val="20"/>
                <w:szCs w:val="20"/>
              </w:rPr>
              <w:t>Bank team</w:t>
            </w:r>
            <w:r w:rsidRPr="001F6237">
              <w:rPr>
                <w:sz w:val="20"/>
                <w:szCs w:val="20"/>
              </w:rPr>
              <w:t xml:space="preserve"> will continue to monitor progress.</w:t>
            </w:r>
          </w:p>
          <w:p w:rsidR="00D056D8" w:rsidRPr="001F6237" w:rsidRDefault="00D056D8" w:rsidP="009F448A">
            <w:pPr>
              <w:rPr>
                <w:sz w:val="20"/>
                <w:szCs w:val="20"/>
              </w:rPr>
            </w:pPr>
            <w:r w:rsidRPr="00D056D8">
              <w:rPr>
                <w:sz w:val="20"/>
                <w:szCs w:val="20"/>
              </w:rPr>
              <w:t>Monitoring will continue to ensure that the target is reached.</w:t>
            </w:r>
          </w:p>
          <w:p w:rsidR="00150E8D" w:rsidRPr="007976DE" w:rsidRDefault="00150E8D" w:rsidP="009F448A">
            <w:pPr>
              <w:rPr>
                <w:sz w:val="20"/>
                <w:szCs w:val="20"/>
              </w:rPr>
            </w:pPr>
          </w:p>
        </w:tc>
      </w:tr>
      <w:tr w:rsidR="00150E8D" w:rsidRPr="00A07013" w:rsidTr="005107AA">
        <w:tc>
          <w:tcPr>
            <w:tcW w:w="2196" w:type="dxa"/>
          </w:tcPr>
          <w:p w:rsidR="00150E8D" w:rsidRDefault="00150E8D" w:rsidP="009F448A">
            <w:pPr>
              <w:rPr>
                <w:sz w:val="20"/>
                <w:szCs w:val="20"/>
              </w:rPr>
            </w:pPr>
            <w:r w:rsidRPr="007976DE">
              <w:rPr>
                <w:sz w:val="20"/>
                <w:szCs w:val="20"/>
              </w:rPr>
              <w:t>COMPONENT E:</w:t>
            </w:r>
          </w:p>
          <w:p w:rsidR="00150E8D" w:rsidRDefault="00150E8D" w:rsidP="009F448A">
            <w:pPr>
              <w:rPr>
                <w:sz w:val="20"/>
                <w:szCs w:val="20"/>
              </w:rPr>
            </w:pPr>
          </w:p>
          <w:p w:rsidR="00150E8D" w:rsidRPr="007976DE" w:rsidRDefault="00150E8D" w:rsidP="009F448A">
            <w:pPr>
              <w:rPr>
                <w:sz w:val="20"/>
                <w:szCs w:val="20"/>
              </w:rPr>
            </w:pPr>
            <w:r>
              <w:rPr>
                <w:sz w:val="20"/>
                <w:szCs w:val="20"/>
              </w:rPr>
              <w:t>Strategy developed to cover the “residual risk” of the State</w:t>
            </w:r>
          </w:p>
        </w:tc>
        <w:tc>
          <w:tcPr>
            <w:tcW w:w="1549" w:type="dxa"/>
          </w:tcPr>
          <w:p w:rsidR="00150E8D" w:rsidRDefault="00DB73A3" w:rsidP="009F448A">
            <w:pPr>
              <w:rPr>
                <w:sz w:val="20"/>
                <w:szCs w:val="20"/>
              </w:rPr>
            </w:pPr>
            <w:r>
              <w:rPr>
                <w:sz w:val="20"/>
                <w:szCs w:val="20"/>
              </w:rPr>
              <w:t>S</w:t>
            </w:r>
            <w:r w:rsidR="00150E8D">
              <w:rPr>
                <w:sz w:val="20"/>
                <w:szCs w:val="20"/>
              </w:rPr>
              <w:t>ame</w:t>
            </w:r>
          </w:p>
          <w:p w:rsidR="00150E8D" w:rsidRDefault="00150E8D" w:rsidP="009F448A">
            <w:pPr>
              <w:rPr>
                <w:sz w:val="20"/>
                <w:szCs w:val="20"/>
              </w:rPr>
            </w:pPr>
          </w:p>
          <w:p w:rsidR="00150E8D" w:rsidRDefault="00150E8D" w:rsidP="009F448A">
            <w:pPr>
              <w:rPr>
                <w:sz w:val="20"/>
                <w:szCs w:val="20"/>
              </w:rPr>
            </w:pPr>
          </w:p>
          <w:p w:rsidR="00150E8D" w:rsidRDefault="00150E8D" w:rsidP="009F448A">
            <w:pPr>
              <w:rPr>
                <w:sz w:val="20"/>
                <w:szCs w:val="20"/>
              </w:rPr>
            </w:pPr>
          </w:p>
          <w:p w:rsidR="00150E8D" w:rsidRPr="007976DE" w:rsidRDefault="00150E8D" w:rsidP="009F448A">
            <w:pPr>
              <w:rPr>
                <w:sz w:val="20"/>
                <w:szCs w:val="20"/>
              </w:rPr>
            </w:pPr>
          </w:p>
        </w:tc>
        <w:tc>
          <w:tcPr>
            <w:tcW w:w="2843" w:type="dxa"/>
          </w:tcPr>
          <w:p w:rsidR="00150E8D" w:rsidRDefault="00150E8D" w:rsidP="009F448A">
            <w:pPr>
              <w:rPr>
                <w:sz w:val="20"/>
                <w:szCs w:val="20"/>
              </w:rPr>
            </w:pPr>
            <w:r>
              <w:rPr>
                <w:sz w:val="20"/>
                <w:szCs w:val="20"/>
              </w:rPr>
              <w:t>Policy recommendations to reduce government risk exposure development (</w:t>
            </w:r>
            <w:r w:rsidRPr="00374BE5">
              <w:rPr>
                <w:sz w:val="20"/>
                <w:szCs w:val="20"/>
              </w:rPr>
              <w:t xml:space="preserve">“Policy Guidelines for Financial Protection Mechanisms against Disasters” </w:t>
            </w:r>
            <w:r>
              <w:rPr>
                <w:sz w:val="20"/>
                <w:szCs w:val="20"/>
              </w:rPr>
              <w:t xml:space="preserve">) and final action plan adopted by MHCP by the end of the project </w:t>
            </w:r>
          </w:p>
          <w:p w:rsidR="00150E8D" w:rsidRPr="007976DE" w:rsidRDefault="00150E8D" w:rsidP="009F448A">
            <w:pPr>
              <w:rPr>
                <w:sz w:val="20"/>
                <w:szCs w:val="20"/>
              </w:rPr>
            </w:pPr>
          </w:p>
        </w:tc>
        <w:tc>
          <w:tcPr>
            <w:tcW w:w="1620" w:type="dxa"/>
          </w:tcPr>
          <w:p w:rsidR="00DB73A3" w:rsidRPr="00DB73A3" w:rsidRDefault="00DB73A3" w:rsidP="00DB73A3">
            <w:pPr>
              <w:rPr>
                <w:sz w:val="20"/>
                <w:szCs w:val="20"/>
              </w:rPr>
            </w:pPr>
            <w:r w:rsidRPr="00DB73A3">
              <w:rPr>
                <w:sz w:val="20"/>
                <w:szCs w:val="20"/>
              </w:rPr>
              <w:t>Same</w:t>
            </w:r>
          </w:p>
          <w:p w:rsidR="00150E8D" w:rsidRPr="007976DE" w:rsidRDefault="00150E8D" w:rsidP="009F448A">
            <w:pPr>
              <w:rPr>
                <w:sz w:val="20"/>
                <w:szCs w:val="20"/>
              </w:rPr>
            </w:pPr>
          </w:p>
        </w:tc>
        <w:tc>
          <w:tcPr>
            <w:tcW w:w="2772" w:type="dxa"/>
          </w:tcPr>
          <w:p w:rsidR="00150E8D" w:rsidRPr="007976DE" w:rsidRDefault="00150E8D" w:rsidP="00C752E6">
            <w:pPr>
              <w:rPr>
                <w:sz w:val="20"/>
                <w:szCs w:val="20"/>
              </w:rPr>
            </w:pPr>
            <w:r>
              <w:rPr>
                <w:sz w:val="20"/>
                <w:szCs w:val="20"/>
              </w:rPr>
              <w:t>Serious consultations between implementing agencies (MHCP-DNP) on the strategy to cover the “residual risk” of the state are taking place. Progress is satisfactory thus far with more than 60% of the proposed document already completed</w:t>
            </w:r>
            <w:r w:rsidR="002137B8">
              <w:rPr>
                <w:sz w:val="20"/>
                <w:szCs w:val="20"/>
              </w:rPr>
              <w:t xml:space="preserve"> (</w:t>
            </w:r>
            <w:r w:rsidR="00C752E6">
              <w:rPr>
                <w:sz w:val="20"/>
                <w:szCs w:val="20"/>
              </w:rPr>
              <w:t xml:space="preserve">June </w:t>
            </w:r>
            <w:r w:rsidR="002137B8">
              <w:rPr>
                <w:sz w:val="20"/>
                <w:szCs w:val="20"/>
              </w:rPr>
              <w:t>ISR)</w:t>
            </w:r>
            <w:r>
              <w:rPr>
                <w:sz w:val="20"/>
                <w:szCs w:val="20"/>
              </w:rPr>
              <w:t xml:space="preserve">. </w:t>
            </w:r>
          </w:p>
        </w:tc>
        <w:tc>
          <w:tcPr>
            <w:tcW w:w="2196" w:type="dxa"/>
          </w:tcPr>
          <w:p w:rsidR="00DB73A3" w:rsidRPr="00DB73A3" w:rsidRDefault="00DB73A3" w:rsidP="00DB73A3">
            <w:pPr>
              <w:rPr>
                <w:sz w:val="20"/>
                <w:szCs w:val="20"/>
              </w:rPr>
            </w:pPr>
            <w:r w:rsidRPr="00DB73A3">
              <w:rPr>
                <w:sz w:val="20"/>
                <w:szCs w:val="20"/>
              </w:rPr>
              <w:t>Same</w:t>
            </w:r>
          </w:p>
          <w:p w:rsidR="00150E8D" w:rsidRDefault="00150E8D" w:rsidP="009F448A">
            <w:pPr>
              <w:rPr>
                <w:sz w:val="20"/>
                <w:szCs w:val="20"/>
              </w:rPr>
            </w:pPr>
          </w:p>
          <w:p w:rsidR="00150E8D" w:rsidRPr="007976DE" w:rsidRDefault="00150E8D" w:rsidP="009F448A">
            <w:pPr>
              <w:rPr>
                <w:sz w:val="20"/>
                <w:szCs w:val="20"/>
              </w:rPr>
            </w:pPr>
            <w:r w:rsidRPr="00374BE5">
              <w:rPr>
                <w:sz w:val="20"/>
                <w:szCs w:val="20"/>
              </w:rPr>
              <w:t>Monitoring will continue to guarantee the successful implementation of this component</w:t>
            </w:r>
            <w:r>
              <w:rPr>
                <w:sz w:val="20"/>
                <w:szCs w:val="20"/>
              </w:rPr>
              <w:t xml:space="preserve"> </w:t>
            </w:r>
          </w:p>
        </w:tc>
      </w:tr>
    </w:tbl>
    <w:p w:rsidR="0090217F" w:rsidRDefault="0090217F"/>
    <w:p w:rsidR="00092B91" w:rsidRDefault="00092B91" w:rsidP="00092B91">
      <w:pPr>
        <w:jc w:val="center"/>
      </w:pPr>
    </w:p>
    <w:p w:rsidR="0090217F" w:rsidRPr="004A37DA" w:rsidRDefault="0090217F" w:rsidP="00092B91">
      <w:pPr>
        <w:jc w:val="center"/>
        <w:sectPr w:rsidR="0090217F" w:rsidRPr="004A37DA" w:rsidSect="00DB73A3">
          <w:pgSz w:w="15840" w:h="12240" w:orient="landscape"/>
          <w:pgMar w:top="1080" w:right="1440" w:bottom="1800" w:left="1080" w:header="720" w:footer="720" w:gutter="0"/>
          <w:cols w:space="720"/>
          <w:titlePg/>
          <w:docGrid w:linePitch="360"/>
        </w:sectPr>
      </w:pPr>
    </w:p>
    <w:p w:rsidR="003E75DA" w:rsidRPr="003E75DA" w:rsidRDefault="003E75DA" w:rsidP="003E75DA">
      <w:pPr>
        <w:pStyle w:val="Heading8"/>
        <w:rPr>
          <w:b/>
          <w:bCs/>
          <w:u w:val="none"/>
        </w:rPr>
      </w:pPr>
      <w:r w:rsidRPr="003E75DA">
        <w:rPr>
          <w:b/>
          <w:bCs/>
          <w:u w:val="none"/>
        </w:rPr>
        <w:lastRenderedPageBreak/>
        <w:t>ANNEX 2</w:t>
      </w:r>
      <w:proofErr w:type="gramStart"/>
      <w:r w:rsidRPr="003E75DA">
        <w:rPr>
          <w:b/>
          <w:bCs/>
          <w:u w:val="none"/>
        </w:rPr>
        <w:t>:</w:t>
      </w:r>
      <w:proofErr w:type="gramEnd"/>
      <w:r w:rsidRPr="003E75DA">
        <w:rPr>
          <w:b/>
          <w:bCs/>
          <w:u w:val="none"/>
        </w:rPr>
        <w:br/>
        <w:t>Reallocation of Proceeds</w:t>
      </w:r>
    </w:p>
    <w:bookmarkEnd w:id="7"/>
    <w:p w:rsidR="00DB73A3" w:rsidRDefault="00DB73A3" w:rsidP="00DB73A3">
      <w:pPr>
        <w:tabs>
          <w:tab w:val="left" w:pos="3618"/>
        </w:tabs>
        <w:autoSpaceDE w:val="0"/>
        <w:autoSpaceDN w:val="0"/>
        <w:adjustRightInd w:val="0"/>
        <w:spacing w:line="240" w:lineRule="atLeast"/>
        <w:jc w:val="center"/>
        <w:rPr>
          <w:b/>
          <w:bCs/>
        </w:rPr>
      </w:pPr>
      <w:r w:rsidRPr="00DB73A3">
        <w:rPr>
          <w:b/>
          <w:bCs/>
        </w:rPr>
        <w:t>COLOMBIA</w:t>
      </w:r>
      <w:r w:rsidR="00A97646">
        <w:rPr>
          <w:b/>
          <w:bCs/>
        </w:rPr>
        <w:t xml:space="preserve"> –</w:t>
      </w:r>
      <w:r w:rsidRPr="00DB73A3">
        <w:rPr>
          <w:b/>
          <w:bCs/>
          <w:i/>
        </w:rPr>
        <w:t xml:space="preserve"> </w:t>
      </w:r>
      <w:r w:rsidRPr="00DB73A3">
        <w:rPr>
          <w:b/>
          <w:bCs/>
        </w:rPr>
        <w:t>National Disaster Vulnerability Reduction Project First Phase APL</w:t>
      </w:r>
    </w:p>
    <w:p w:rsidR="00C11FE7" w:rsidRDefault="00C11FE7" w:rsidP="00DB73A3">
      <w:pPr>
        <w:tabs>
          <w:tab w:val="left" w:pos="3618"/>
        </w:tabs>
        <w:autoSpaceDE w:val="0"/>
        <w:autoSpaceDN w:val="0"/>
        <w:adjustRightInd w:val="0"/>
        <w:spacing w:line="240" w:lineRule="atLeast"/>
        <w:jc w:val="center"/>
        <w:rPr>
          <w:b/>
          <w:bCs/>
        </w:rPr>
      </w:pPr>
      <w:r>
        <w:rPr>
          <w:b/>
          <w:bCs/>
        </w:rPr>
        <w:t>P082429</w:t>
      </w:r>
    </w:p>
    <w:p w:rsidR="00C11FE7" w:rsidRDefault="00C11FE7" w:rsidP="00DB73A3">
      <w:pPr>
        <w:tabs>
          <w:tab w:val="left" w:pos="3618"/>
        </w:tabs>
        <w:autoSpaceDE w:val="0"/>
        <w:autoSpaceDN w:val="0"/>
        <w:adjustRightInd w:val="0"/>
        <w:spacing w:line="240" w:lineRule="atLeast"/>
        <w:jc w:val="center"/>
        <w:rPr>
          <w:b/>
          <w:bCs/>
        </w:rPr>
      </w:pPr>
      <w:r>
        <w:rPr>
          <w:b/>
          <w:bCs/>
        </w:rPr>
        <w:t>Loan No. 7293-CO</w:t>
      </w:r>
    </w:p>
    <w:p w:rsidR="004B5148" w:rsidRDefault="004B5148" w:rsidP="00DB73A3">
      <w:pPr>
        <w:tabs>
          <w:tab w:val="left" w:pos="3618"/>
        </w:tabs>
        <w:autoSpaceDE w:val="0"/>
        <w:autoSpaceDN w:val="0"/>
        <w:adjustRightInd w:val="0"/>
        <w:spacing w:line="240" w:lineRule="atLeast"/>
        <w:jc w:val="center"/>
        <w:rPr>
          <w:b/>
          <w:bCs/>
        </w:rPr>
      </w:pPr>
    </w:p>
    <w:p w:rsidR="004B5148" w:rsidRPr="00DB73A3" w:rsidRDefault="004B5148" w:rsidP="00DB73A3">
      <w:pPr>
        <w:tabs>
          <w:tab w:val="left" w:pos="3618"/>
        </w:tabs>
        <w:autoSpaceDE w:val="0"/>
        <w:autoSpaceDN w:val="0"/>
        <w:adjustRightInd w:val="0"/>
        <w:spacing w:line="240" w:lineRule="atLeast"/>
        <w:jc w:val="center"/>
        <w:rPr>
          <w:b/>
          <w:bCs/>
          <w:i/>
        </w:rPr>
      </w:pPr>
      <w:r>
        <w:rPr>
          <w:b/>
          <w:bCs/>
        </w:rPr>
        <w:t>Restructuring Paper</w:t>
      </w:r>
    </w:p>
    <w:p w:rsidR="00E52089" w:rsidRPr="004A37DA" w:rsidRDefault="00E52089" w:rsidP="00E52089"/>
    <w:p w:rsidR="00A2552D" w:rsidRPr="004A37DA" w:rsidRDefault="00D300CF" w:rsidP="00AF3A57">
      <w:pPr>
        <w:pStyle w:val="BankNormal"/>
        <w:numPr>
          <w:ilvl w:val="0"/>
          <w:numId w:val="1"/>
        </w:numPr>
        <w:jc w:val="both"/>
      </w:pPr>
      <w:r w:rsidRPr="004A37DA">
        <w:t xml:space="preserve">Proceeds </w:t>
      </w:r>
      <w:r w:rsidR="00A2552D" w:rsidRPr="004A37DA">
        <w:t xml:space="preserve">for </w:t>
      </w:r>
      <w:r w:rsidR="001B7604">
        <w:t xml:space="preserve">the </w:t>
      </w:r>
      <w:r w:rsidR="00C11FE7">
        <w:t xml:space="preserve">Colombia, National Disaster Vulnerability Reduction Project First Phase APL, </w:t>
      </w:r>
      <w:r w:rsidR="001B7604">
        <w:t xml:space="preserve">Loan </w:t>
      </w:r>
      <w:r w:rsidR="00C11FE7">
        <w:t xml:space="preserve">No. 7293-CO, P082429 </w:t>
      </w:r>
      <w:r w:rsidR="001B7604">
        <w:t xml:space="preserve">will </w:t>
      </w:r>
      <w:r w:rsidRPr="004A37DA">
        <w:t>be reallocated as follow</w:t>
      </w:r>
      <w:r w:rsidR="002A5CA4">
        <w:t>s</w:t>
      </w:r>
      <w:r w:rsidR="00ED1DDC" w:rsidRPr="004A37DA">
        <w:t>:</w:t>
      </w:r>
    </w:p>
    <w:tbl>
      <w:tblPr>
        <w:tblStyle w:val="TableGrid"/>
        <w:tblW w:w="0" w:type="auto"/>
        <w:tblLook w:val="04A0"/>
      </w:tblPr>
      <w:tblGrid>
        <w:gridCol w:w="2134"/>
        <w:gridCol w:w="1596"/>
        <w:gridCol w:w="1596"/>
        <w:gridCol w:w="1590"/>
        <w:gridCol w:w="977"/>
        <w:gridCol w:w="963"/>
      </w:tblGrid>
      <w:tr w:rsidR="00BD3EDB" w:rsidRPr="004A37DA" w:rsidTr="00BD3EDB">
        <w:tc>
          <w:tcPr>
            <w:tcW w:w="2134" w:type="dxa"/>
            <w:shd w:val="clear" w:color="auto" w:fill="808080" w:themeFill="background1" w:themeFillShade="80"/>
          </w:tcPr>
          <w:p w:rsidR="00BD3EDB" w:rsidRPr="004A37DA" w:rsidRDefault="00BD3EDB" w:rsidP="00ED1DDC">
            <w:pPr>
              <w:jc w:val="center"/>
              <w:rPr>
                <w:b/>
              </w:rPr>
            </w:pPr>
            <w:r w:rsidRPr="004A37DA">
              <w:rPr>
                <w:b/>
              </w:rPr>
              <w:t>Category of Expenditure</w:t>
            </w:r>
            <w:r>
              <w:rPr>
                <w:b/>
              </w:rPr>
              <w:t>*</w:t>
            </w:r>
          </w:p>
        </w:tc>
        <w:tc>
          <w:tcPr>
            <w:tcW w:w="3192" w:type="dxa"/>
            <w:gridSpan w:val="2"/>
            <w:shd w:val="clear" w:color="auto" w:fill="808080" w:themeFill="background1" w:themeFillShade="80"/>
          </w:tcPr>
          <w:p w:rsidR="00BD3EDB" w:rsidRPr="004A37DA" w:rsidRDefault="00BD3EDB" w:rsidP="00ED1DDC">
            <w:pPr>
              <w:jc w:val="center"/>
              <w:rPr>
                <w:b/>
              </w:rPr>
            </w:pPr>
            <w:r w:rsidRPr="004A37DA">
              <w:rPr>
                <w:b/>
              </w:rPr>
              <w:t>Allocation</w:t>
            </w:r>
            <w:r>
              <w:rPr>
                <w:b/>
              </w:rPr>
              <w:t xml:space="preserve"> (US$)</w:t>
            </w:r>
          </w:p>
        </w:tc>
        <w:tc>
          <w:tcPr>
            <w:tcW w:w="1590" w:type="dxa"/>
            <w:shd w:val="clear" w:color="auto" w:fill="808080" w:themeFill="background1" w:themeFillShade="80"/>
          </w:tcPr>
          <w:p w:rsidR="00BD3EDB" w:rsidRPr="004A37DA" w:rsidRDefault="00BD3EDB" w:rsidP="00BD3EDB">
            <w:pPr>
              <w:jc w:val="center"/>
              <w:rPr>
                <w:b/>
              </w:rPr>
            </w:pPr>
            <w:r>
              <w:rPr>
                <w:b/>
              </w:rPr>
              <w:t>% of Expenditures to be Financed</w:t>
            </w:r>
          </w:p>
        </w:tc>
        <w:tc>
          <w:tcPr>
            <w:tcW w:w="1940" w:type="dxa"/>
            <w:gridSpan w:val="2"/>
            <w:shd w:val="clear" w:color="auto" w:fill="808080" w:themeFill="background1" w:themeFillShade="80"/>
          </w:tcPr>
          <w:p w:rsidR="00BD3EDB" w:rsidRPr="004A37DA" w:rsidRDefault="00BD3EDB" w:rsidP="00ED1DDC">
            <w:pPr>
              <w:jc w:val="center"/>
              <w:rPr>
                <w:b/>
              </w:rPr>
            </w:pPr>
            <w:r w:rsidRPr="004A37DA">
              <w:rPr>
                <w:b/>
              </w:rPr>
              <w:t xml:space="preserve">% of </w:t>
            </w:r>
            <w:r>
              <w:rPr>
                <w:b/>
              </w:rPr>
              <w:t xml:space="preserve">Loan </w:t>
            </w:r>
            <w:r w:rsidRPr="004A37DA">
              <w:rPr>
                <w:b/>
              </w:rPr>
              <w:t>Financing</w:t>
            </w:r>
          </w:p>
        </w:tc>
      </w:tr>
      <w:tr w:rsidR="00BD3EDB" w:rsidRPr="004A37DA" w:rsidTr="00BD3EDB">
        <w:tc>
          <w:tcPr>
            <w:tcW w:w="2134" w:type="dxa"/>
            <w:shd w:val="clear" w:color="auto" w:fill="D9D9D9" w:themeFill="background1" w:themeFillShade="D9"/>
          </w:tcPr>
          <w:p w:rsidR="00BD3EDB" w:rsidRPr="002A5CA4" w:rsidRDefault="00BD3EDB" w:rsidP="00ED1DDC">
            <w:pPr>
              <w:jc w:val="center"/>
              <w:rPr>
                <w:i/>
              </w:rPr>
            </w:pPr>
            <w:r w:rsidRPr="002A5CA4">
              <w:rPr>
                <w:i/>
              </w:rPr>
              <w:t>Current</w:t>
            </w:r>
          </w:p>
          <w:p w:rsidR="00BD3EDB" w:rsidRPr="002A5CA4" w:rsidRDefault="00BD3EDB" w:rsidP="00ED1DDC">
            <w:pPr>
              <w:jc w:val="center"/>
              <w:rPr>
                <w:i/>
              </w:rPr>
            </w:pPr>
          </w:p>
        </w:tc>
        <w:tc>
          <w:tcPr>
            <w:tcW w:w="1596" w:type="dxa"/>
            <w:shd w:val="clear" w:color="auto" w:fill="D9D9D9" w:themeFill="background1" w:themeFillShade="D9"/>
          </w:tcPr>
          <w:p w:rsidR="00BD3EDB" w:rsidRPr="002A5CA4" w:rsidRDefault="00BD3EDB" w:rsidP="00ED1DDC">
            <w:pPr>
              <w:jc w:val="center"/>
              <w:rPr>
                <w:i/>
              </w:rPr>
            </w:pPr>
            <w:r w:rsidRPr="002A5CA4">
              <w:rPr>
                <w:i/>
              </w:rPr>
              <w:t>Current</w:t>
            </w:r>
          </w:p>
        </w:tc>
        <w:tc>
          <w:tcPr>
            <w:tcW w:w="1596" w:type="dxa"/>
            <w:shd w:val="clear" w:color="auto" w:fill="D9D9D9" w:themeFill="background1" w:themeFillShade="D9"/>
          </w:tcPr>
          <w:p w:rsidR="00BD3EDB" w:rsidRPr="002A5CA4" w:rsidRDefault="00BD3EDB" w:rsidP="00ED1DDC">
            <w:pPr>
              <w:jc w:val="center"/>
              <w:rPr>
                <w:i/>
              </w:rPr>
            </w:pPr>
            <w:r w:rsidRPr="002A5CA4">
              <w:rPr>
                <w:i/>
              </w:rPr>
              <w:t>Revised</w:t>
            </w:r>
          </w:p>
        </w:tc>
        <w:tc>
          <w:tcPr>
            <w:tcW w:w="1590" w:type="dxa"/>
            <w:shd w:val="clear" w:color="auto" w:fill="D9D9D9" w:themeFill="background1" w:themeFillShade="D9"/>
          </w:tcPr>
          <w:p w:rsidR="00BD3EDB" w:rsidRPr="002A5CA4" w:rsidRDefault="00BD3EDB" w:rsidP="00ED1DDC">
            <w:pPr>
              <w:jc w:val="center"/>
              <w:rPr>
                <w:i/>
              </w:rPr>
            </w:pPr>
          </w:p>
        </w:tc>
        <w:tc>
          <w:tcPr>
            <w:tcW w:w="977" w:type="dxa"/>
            <w:shd w:val="clear" w:color="auto" w:fill="D9D9D9" w:themeFill="background1" w:themeFillShade="D9"/>
          </w:tcPr>
          <w:p w:rsidR="00BD3EDB" w:rsidRPr="002A5CA4" w:rsidRDefault="00BD3EDB" w:rsidP="00ED1DDC">
            <w:pPr>
              <w:jc w:val="center"/>
              <w:rPr>
                <w:i/>
              </w:rPr>
            </w:pPr>
            <w:r w:rsidRPr="002A5CA4">
              <w:rPr>
                <w:i/>
              </w:rPr>
              <w:t>Current</w:t>
            </w:r>
          </w:p>
        </w:tc>
        <w:tc>
          <w:tcPr>
            <w:tcW w:w="963" w:type="dxa"/>
            <w:shd w:val="clear" w:color="auto" w:fill="D9D9D9" w:themeFill="background1" w:themeFillShade="D9"/>
          </w:tcPr>
          <w:p w:rsidR="00BD3EDB" w:rsidRPr="002A5CA4" w:rsidRDefault="00BD3EDB" w:rsidP="00ED1DDC">
            <w:pPr>
              <w:jc w:val="center"/>
              <w:rPr>
                <w:i/>
              </w:rPr>
            </w:pPr>
            <w:r w:rsidRPr="002A5CA4">
              <w:rPr>
                <w:i/>
              </w:rPr>
              <w:t>Revised</w:t>
            </w:r>
          </w:p>
        </w:tc>
      </w:tr>
      <w:tr w:rsidR="00BD3EDB" w:rsidRPr="004A37DA" w:rsidTr="00BD3EDB">
        <w:tc>
          <w:tcPr>
            <w:tcW w:w="2134" w:type="dxa"/>
          </w:tcPr>
          <w:p w:rsidR="0000553A" w:rsidRDefault="00D756E2">
            <w:r w:rsidRPr="00D756E2">
              <w:rPr>
                <w:b/>
              </w:rPr>
              <w:t>Category 1:</w:t>
            </w:r>
            <w:r w:rsidR="00BD3EDB">
              <w:t xml:space="preserve"> Goods, works, services,</w:t>
            </w:r>
          </w:p>
          <w:p w:rsidR="0000553A" w:rsidRDefault="00BD3EDB">
            <w:r>
              <w:t>training, and Operating</w:t>
            </w:r>
          </w:p>
          <w:p w:rsidR="0000553A" w:rsidRDefault="00BD3EDB">
            <w:r>
              <w:t>costs under Parts A, B.1,</w:t>
            </w:r>
            <w:r w:rsidR="004B110A">
              <w:t xml:space="preserve"> </w:t>
            </w:r>
            <w:r>
              <w:t>B.3, C, D and E.1</w:t>
            </w:r>
            <w:r w:rsidR="004B110A">
              <w:t xml:space="preserve"> </w:t>
            </w:r>
            <w:r>
              <w:t>of the Project</w:t>
            </w:r>
          </w:p>
        </w:tc>
        <w:tc>
          <w:tcPr>
            <w:tcW w:w="1596" w:type="dxa"/>
          </w:tcPr>
          <w:p w:rsidR="00BD3EDB" w:rsidRPr="00A62851" w:rsidRDefault="00BD3EDB" w:rsidP="00ED1DDC">
            <w:pPr>
              <w:jc w:val="center"/>
            </w:pPr>
            <w:r w:rsidRPr="00AF5BB9">
              <w:t>21,500,000.00</w:t>
            </w:r>
          </w:p>
        </w:tc>
        <w:tc>
          <w:tcPr>
            <w:tcW w:w="1596" w:type="dxa"/>
          </w:tcPr>
          <w:p w:rsidR="00BD3EDB" w:rsidRPr="00B672EA" w:rsidRDefault="00BD3EDB" w:rsidP="00ED1DDC">
            <w:pPr>
              <w:jc w:val="center"/>
            </w:pPr>
            <w:r w:rsidRPr="00AF5BB9">
              <w:t>37,634,384.80</w:t>
            </w:r>
          </w:p>
        </w:tc>
        <w:tc>
          <w:tcPr>
            <w:tcW w:w="1590" w:type="dxa"/>
          </w:tcPr>
          <w:p w:rsidR="00BD3EDB" w:rsidRPr="00AF5BB9" w:rsidRDefault="004B110A" w:rsidP="00ED1DDC">
            <w:pPr>
              <w:jc w:val="center"/>
            </w:pPr>
            <w:r>
              <w:t>100%</w:t>
            </w:r>
          </w:p>
        </w:tc>
        <w:tc>
          <w:tcPr>
            <w:tcW w:w="977" w:type="dxa"/>
          </w:tcPr>
          <w:p w:rsidR="00BD3EDB" w:rsidRDefault="00BD3EDB" w:rsidP="00ED1DDC">
            <w:pPr>
              <w:jc w:val="center"/>
            </w:pPr>
            <w:r w:rsidRPr="00AF5BB9">
              <w:t>14%</w:t>
            </w:r>
          </w:p>
        </w:tc>
        <w:tc>
          <w:tcPr>
            <w:tcW w:w="963" w:type="dxa"/>
          </w:tcPr>
          <w:p w:rsidR="00BD3EDB" w:rsidRPr="00F04BFA" w:rsidRDefault="00BD3EDB" w:rsidP="007C12C8">
            <w:pPr>
              <w:jc w:val="center"/>
            </w:pPr>
            <w:r w:rsidRPr="00AF5BB9">
              <w:t>36.13%</w:t>
            </w:r>
          </w:p>
        </w:tc>
      </w:tr>
      <w:tr w:rsidR="00BD3EDB" w:rsidRPr="004A37DA" w:rsidTr="00BD3EDB">
        <w:tc>
          <w:tcPr>
            <w:tcW w:w="2134" w:type="dxa"/>
          </w:tcPr>
          <w:p w:rsidR="0000553A" w:rsidRDefault="00D756E2">
            <w:r w:rsidRPr="00D756E2">
              <w:rPr>
                <w:b/>
              </w:rPr>
              <w:t>Category 2:</w:t>
            </w:r>
            <w:r w:rsidR="00BD3EDB">
              <w:t xml:space="preserve"> Goods, works, and services</w:t>
            </w:r>
            <w:r w:rsidR="004B110A">
              <w:t xml:space="preserve"> </w:t>
            </w:r>
            <w:r w:rsidR="00BD3EDB">
              <w:t>with respect to Risk Reduction</w:t>
            </w:r>
            <w:r w:rsidR="004B110A">
              <w:t xml:space="preserve"> </w:t>
            </w:r>
            <w:r w:rsidR="00BD3EDB">
              <w:t>Investments under Part B.2</w:t>
            </w:r>
            <w:r w:rsidR="004B110A">
              <w:t xml:space="preserve"> </w:t>
            </w:r>
            <w:r w:rsidR="00BD3EDB">
              <w:t>of the Project</w:t>
            </w:r>
          </w:p>
        </w:tc>
        <w:tc>
          <w:tcPr>
            <w:tcW w:w="1596" w:type="dxa"/>
          </w:tcPr>
          <w:p w:rsidR="00BD3EDB" w:rsidRPr="004A37DA" w:rsidRDefault="00BD3EDB" w:rsidP="00ED1DDC">
            <w:pPr>
              <w:jc w:val="center"/>
            </w:pPr>
            <w:r w:rsidRPr="00A62851">
              <w:t>88,500,000.00</w:t>
            </w:r>
          </w:p>
        </w:tc>
        <w:tc>
          <w:tcPr>
            <w:tcW w:w="1596" w:type="dxa"/>
          </w:tcPr>
          <w:p w:rsidR="00BD3EDB" w:rsidRPr="004A37DA" w:rsidRDefault="00BD3EDB" w:rsidP="00ED1DDC">
            <w:pPr>
              <w:jc w:val="center"/>
            </w:pPr>
            <w:r w:rsidRPr="00B672EA">
              <w:t>72,365,615.20</w:t>
            </w:r>
          </w:p>
        </w:tc>
        <w:tc>
          <w:tcPr>
            <w:tcW w:w="1590" w:type="dxa"/>
          </w:tcPr>
          <w:p w:rsidR="00BD3EDB" w:rsidRDefault="004B110A" w:rsidP="00ED1DDC">
            <w:pPr>
              <w:jc w:val="center"/>
            </w:pPr>
            <w:r>
              <w:t>100%</w:t>
            </w:r>
          </w:p>
        </w:tc>
        <w:tc>
          <w:tcPr>
            <w:tcW w:w="977" w:type="dxa"/>
          </w:tcPr>
          <w:p w:rsidR="00BD3EDB" w:rsidRPr="004A37DA" w:rsidRDefault="00BD3EDB" w:rsidP="00ED1DDC">
            <w:pPr>
              <w:jc w:val="center"/>
            </w:pPr>
            <w:r>
              <w:t>86%</w:t>
            </w:r>
          </w:p>
        </w:tc>
        <w:tc>
          <w:tcPr>
            <w:tcW w:w="963" w:type="dxa"/>
          </w:tcPr>
          <w:p w:rsidR="00BD3EDB" w:rsidRPr="004A37DA" w:rsidRDefault="00BD3EDB" w:rsidP="007C12C8">
            <w:pPr>
              <w:jc w:val="center"/>
            </w:pPr>
            <w:r w:rsidRPr="00F04BFA">
              <w:t>63.87%</w:t>
            </w:r>
          </w:p>
        </w:tc>
      </w:tr>
    </w:tbl>
    <w:p w:rsidR="0000553A" w:rsidRDefault="00D756E2">
      <w:pPr>
        <w:pStyle w:val="BankNormal"/>
        <w:ind w:left="360"/>
        <w:rPr>
          <w:sz w:val="20"/>
        </w:rPr>
      </w:pPr>
      <w:r w:rsidRPr="00D756E2">
        <w:rPr>
          <w:sz w:val="20"/>
        </w:rPr>
        <w:t>* note that Category 3, Critical Imports for disaster emergency assistance under Part E.2 of the Project</w:t>
      </w:r>
      <w:r w:rsidR="00790EE4">
        <w:rPr>
          <w:sz w:val="20"/>
        </w:rPr>
        <w:t>, for US$</w:t>
      </w:r>
      <w:r w:rsidR="00BD3EDB" w:rsidRPr="00BD3EDB">
        <w:rPr>
          <w:sz w:val="20"/>
        </w:rPr>
        <w:t>150,000,000</w:t>
      </w:r>
      <w:r w:rsidR="004B110A">
        <w:rPr>
          <w:sz w:val="20"/>
        </w:rPr>
        <w:t xml:space="preserve">.00, 50% of expenditures to be financed, was cancelled as per the Project Restructuring of </w:t>
      </w:r>
      <w:r w:rsidR="001041AA">
        <w:rPr>
          <w:sz w:val="20"/>
        </w:rPr>
        <w:t>May</w:t>
      </w:r>
      <w:r w:rsidR="004B110A">
        <w:rPr>
          <w:sz w:val="20"/>
        </w:rPr>
        <w:t>, 2009.</w:t>
      </w:r>
      <w:r w:rsidR="002E4823">
        <w:rPr>
          <w:sz w:val="20"/>
        </w:rPr>
        <w:t xml:space="preserve"> </w:t>
      </w:r>
      <w:r w:rsidR="002E4823" w:rsidRPr="002E4823">
        <w:rPr>
          <w:sz w:val="20"/>
        </w:rPr>
        <w:t>A DPL with CAT DDO was processed instead.</w:t>
      </w:r>
    </w:p>
    <w:p w:rsidR="00BE6937" w:rsidRDefault="00282E8F" w:rsidP="00AD113E">
      <w:pPr>
        <w:pStyle w:val="BankNormal"/>
        <w:numPr>
          <w:ilvl w:val="0"/>
          <w:numId w:val="1"/>
        </w:numPr>
        <w:jc w:val="both"/>
      </w:pPr>
      <w:r w:rsidRPr="00282E8F">
        <w:t>The project has made significant progress towards achie</w:t>
      </w:r>
      <w:r w:rsidR="00523877">
        <w:t>ving its development objectives, as explained in the Project Status section</w:t>
      </w:r>
      <w:r w:rsidR="00BA3288">
        <w:t xml:space="preserve"> of the Restructuring Paper</w:t>
      </w:r>
      <w:r w:rsidR="00523877">
        <w:t xml:space="preserve">. </w:t>
      </w:r>
      <w:r>
        <w:t>P</w:t>
      </w:r>
      <w:r w:rsidR="002A5CA4" w:rsidRPr="002A5CA4">
        <w:t xml:space="preserve">rogress </w:t>
      </w:r>
      <w:r w:rsidR="00E02BA3">
        <w:t>in project implementation</w:t>
      </w:r>
      <w:r w:rsidR="00081984">
        <w:t xml:space="preserve"> is Satisfactory</w:t>
      </w:r>
      <w:r w:rsidR="00BE6937">
        <w:t>.</w:t>
      </w:r>
      <w:r w:rsidR="009A5275">
        <w:t xml:space="preserve"> </w:t>
      </w:r>
      <w:r w:rsidR="009A5275" w:rsidRPr="009A5275">
        <w:t>With this restructuring, the project development objectives continue to be achievable.</w:t>
      </w:r>
      <w:r w:rsidR="00B27118">
        <w:t xml:space="preserve"> </w:t>
      </w:r>
      <w:r w:rsidR="00B27118" w:rsidRPr="00B27118">
        <w:t>A revised implementation schedule and procurement plan (dated October 19, 2011) has been approved and is on file.</w:t>
      </w:r>
    </w:p>
    <w:p w:rsidR="00BA3288" w:rsidRDefault="00A2552D" w:rsidP="00BA3288">
      <w:pPr>
        <w:pStyle w:val="BankNormal"/>
        <w:numPr>
          <w:ilvl w:val="0"/>
          <w:numId w:val="1"/>
        </w:numPr>
        <w:jc w:val="both"/>
      </w:pPr>
      <w:r w:rsidRPr="004A37DA">
        <w:t xml:space="preserve">The proposed reallocation is necessary to </w:t>
      </w:r>
      <w:r w:rsidR="00282E8F" w:rsidRPr="00546CB8">
        <w:t xml:space="preserve">fulfill </w:t>
      </w:r>
      <w:r w:rsidR="00C752E6">
        <w:t>the</w:t>
      </w:r>
      <w:r w:rsidR="00282E8F" w:rsidRPr="00546CB8">
        <w:t xml:space="preserve"> goals of </w:t>
      </w:r>
      <w:r w:rsidR="007C12C8" w:rsidRPr="00546CB8">
        <w:t xml:space="preserve">the Project. </w:t>
      </w:r>
      <w:r w:rsidR="00081984">
        <w:t xml:space="preserve">Category 1 has </w:t>
      </w:r>
      <w:r w:rsidR="00D55F6D">
        <w:t>disbursed to date a total of</w:t>
      </w:r>
      <w:r w:rsidR="00081984">
        <w:t xml:space="preserve"> US$15.2 </w:t>
      </w:r>
      <w:r w:rsidR="00E379DE">
        <w:t>million</w:t>
      </w:r>
      <w:r w:rsidR="00D55F6D">
        <w:t xml:space="preserve">, leaving only US$0.3 </w:t>
      </w:r>
      <w:r w:rsidR="00E379DE">
        <w:t>million</w:t>
      </w:r>
      <w:r w:rsidR="00D55F6D">
        <w:t xml:space="preserve"> from the </w:t>
      </w:r>
      <w:r w:rsidR="001B765F">
        <w:t>first</w:t>
      </w:r>
      <w:r w:rsidR="00D55F6D">
        <w:t xml:space="preserve"> reallocation</w:t>
      </w:r>
      <w:r w:rsidR="00081984">
        <w:t xml:space="preserve"> as of </w:t>
      </w:r>
      <w:r w:rsidR="001B765F">
        <w:t xml:space="preserve">June </w:t>
      </w:r>
      <w:r w:rsidR="00081984">
        <w:t>30, 2011</w:t>
      </w:r>
      <w:r w:rsidR="00D55F6D">
        <w:t xml:space="preserve">, and disbursement projections for 2011 and </w:t>
      </w:r>
      <w:r w:rsidR="00D55F6D">
        <w:lastRenderedPageBreak/>
        <w:t xml:space="preserve">2012 equal the total budget for this category as of the second reallocation, or US$21.5 </w:t>
      </w:r>
      <w:r w:rsidR="00E379DE">
        <w:t>million</w:t>
      </w:r>
      <w:r w:rsidR="00D55F6D">
        <w:t xml:space="preserve">. </w:t>
      </w:r>
      <w:r w:rsidR="00BA3288">
        <w:t xml:space="preserve">It </w:t>
      </w:r>
      <w:r w:rsidR="00BA3288" w:rsidRPr="00CD4A3C">
        <w:t xml:space="preserve">is not anticipated that the Government will fully execute loan proceeds associated with Category 2 based on low disbursement in 2010 (US$0.6 </w:t>
      </w:r>
      <w:r w:rsidR="00E379DE">
        <w:t>million</w:t>
      </w:r>
      <w:r w:rsidR="00BA3288" w:rsidRPr="00CD4A3C">
        <w:t xml:space="preserve">) and </w:t>
      </w:r>
      <w:r w:rsidR="00BA3288">
        <w:t xml:space="preserve">in </w:t>
      </w:r>
      <w:r w:rsidR="00BA3288" w:rsidRPr="00CD4A3C">
        <w:t xml:space="preserve">2011 (US$0.3 </w:t>
      </w:r>
      <w:r w:rsidR="00E379DE">
        <w:t>million</w:t>
      </w:r>
      <w:r w:rsidR="00BA3288" w:rsidRPr="00CD4A3C">
        <w:t>)</w:t>
      </w:r>
      <w:r w:rsidR="00BA3288">
        <w:t>. Therefore, the Borrower’s</w:t>
      </w:r>
      <w:r w:rsidR="00BA3288" w:rsidRPr="00AF3A57">
        <w:t xml:space="preserve"> request to allocate all remaining funds from Category 2 to Category 1 </w:t>
      </w:r>
      <w:r w:rsidR="00BA3288">
        <w:t>is in accordance with disbursement progress</w:t>
      </w:r>
      <w:r w:rsidR="00BA3288" w:rsidRPr="00AF3A57">
        <w:t>.</w:t>
      </w:r>
      <w:r w:rsidR="00BA3288" w:rsidRPr="00CD4A3C">
        <w:t xml:space="preserve"> </w:t>
      </w:r>
    </w:p>
    <w:p w:rsidR="00026BDA" w:rsidRDefault="00BA3288" w:rsidP="0014707B">
      <w:pPr>
        <w:pStyle w:val="ListParagraph"/>
        <w:numPr>
          <w:ilvl w:val="0"/>
          <w:numId w:val="1"/>
        </w:numPr>
        <w:jc w:val="both"/>
      </w:pPr>
      <w:r>
        <w:t xml:space="preserve">In addition, the </w:t>
      </w:r>
      <w:proofErr w:type="spellStart"/>
      <w:r>
        <w:t>GoC</w:t>
      </w:r>
      <w:proofErr w:type="spellEnd"/>
      <w:r>
        <w:t xml:space="preserve"> has requested approval to </w:t>
      </w:r>
      <w:r w:rsidR="000C4A60">
        <w:t xml:space="preserve">increase </w:t>
      </w:r>
      <w:r>
        <w:t xml:space="preserve">the </w:t>
      </w:r>
      <w:r w:rsidR="000C4A60">
        <w:t>threshold o</w:t>
      </w:r>
      <w:r>
        <w:t xml:space="preserve">f the Special Account </w:t>
      </w:r>
      <w:r w:rsidR="000C4A60">
        <w:t xml:space="preserve">(used </w:t>
      </w:r>
      <w:r>
        <w:t>for Category 1</w:t>
      </w:r>
      <w:r w:rsidR="000C4A60">
        <w:t>)</w:t>
      </w:r>
      <w:r>
        <w:t xml:space="preserve"> from US$2 </w:t>
      </w:r>
      <w:r w:rsidR="00E379DE">
        <w:t>million</w:t>
      </w:r>
      <w:r>
        <w:t xml:space="preserve"> to US$4.5 </w:t>
      </w:r>
      <w:r w:rsidR="00E379DE">
        <w:t>million</w:t>
      </w:r>
      <w:r w:rsidR="000C4A60">
        <w:t xml:space="preserve"> (a 125% increase)</w:t>
      </w:r>
      <w:r>
        <w:t xml:space="preserve">. </w:t>
      </w:r>
      <w:r w:rsidR="00C0675B" w:rsidRPr="00C0675B">
        <w:t xml:space="preserve">The GOC is making this request to allow the implementing agency to </w:t>
      </w:r>
      <w:r>
        <w:t>achieve the investment objectives planned for this category</w:t>
      </w:r>
      <w:r w:rsidR="00C0675B">
        <w:t xml:space="preserve"> by the new closing date</w:t>
      </w:r>
      <w:r>
        <w:t xml:space="preserve">, including </w:t>
      </w:r>
      <w:r w:rsidR="00C0675B">
        <w:t>making</w:t>
      </w:r>
      <w:r>
        <w:t xml:space="preserve"> progress on the commitments already established.</w:t>
      </w:r>
      <w:r w:rsidR="00823104" w:rsidRPr="00823104">
        <w:t xml:space="preserve"> </w:t>
      </w:r>
      <w:r w:rsidR="002F4755" w:rsidRPr="002F4755">
        <w:t>As can be seen by the disbursements</w:t>
      </w:r>
      <w:r w:rsidR="002F4755">
        <w:t xml:space="preserve"> to date</w:t>
      </w:r>
      <w:r w:rsidR="002F4755" w:rsidRPr="002F4755">
        <w:t>, the average amount of each Withdrawal Application is approximately US$</w:t>
      </w:r>
      <w:r w:rsidR="00F33B50">
        <w:t>0.8 million</w:t>
      </w:r>
      <w:r w:rsidR="002F4755">
        <w:t xml:space="preserve">.  For this reason, a ceiling of US$2 million could affect project implementation, which now falls entirely under Category 1. </w:t>
      </w:r>
      <w:r w:rsidR="00C0675B" w:rsidRPr="00823104">
        <w:t xml:space="preserve">As per the arrangements for the Flow of Funds currently in place, component implementation </w:t>
      </w:r>
      <w:r w:rsidR="002F4755">
        <w:t xml:space="preserve">for Category 1 </w:t>
      </w:r>
      <w:r w:rsidR="00C0675B" w:rsidRPr="00823104">
        <w:t>requires an advance from the loan into a Special Account (SA)</w:t>
      </w:r>
      <w:r w:rsidR="002F4755">
        <w:t xml:space="preserve">, which </w:t>
      </w:r>
      <w:r w:rsidR="00C0675B" w:rsidRPr="00823104">
        <w:t xml:space="preserve">is used to finance expenditures carried out by </w:t>
      </w:r>
      <w:r w:rsidR="002F4755">
        <w:t>the implementing agency</w:t>
      </w:r>
      <w:r w:rsidR="00C0675B" w:rsidRPr="00823104">
        <w:t xml:space="preserve"> directly or by other agencies as per subsidiary agreements.</w:t>
      </w:r>
      <w:r w:rsidR="002F4755">
        <w:t xml:space="preserve"> </w:t>
      </w:r>
      <w:r w:rsidR="00C0675B">
        <w:t xml:space="preserve">The </w:t>
      </w:r>
      <w:r w:rsidR="002B35D3">
        <w:t xml:space="preserve">Bank </w:t>
      </w:r>
      <w:r w:rsidR="00C0675B">
        <w:t xml:space="preserve">team finds this request well grounded, since Category 1 will now total US$38 million, and </w:t>
      </w:r>
      <w:proofErr w:type="spellStart"/>
      <w:r w:rsidR="00C0675B">
        <w:t>S</w:t>
      </w:r>
      <w:r w:rsidR="00A97646">
        <w:t>a</w:t>
      </w:r>
      <w:r w:rsidR="00C0675B">
        <w:t>s</w:t>
      </w:r>
      <w:proofErr w:type="spellEnd"/>
      <w:r w:rsidR="00C0675B">
        <w:t xml:space="preserve"> usually amount to roughly 10% of the amount. </w:t>
      </w:r>
    </w:p>
    <w:p w:rsidR="00026BDA" w:rsidRDefault="00026BDA" w:rsidP="00066542">
      <w:pPr>
        <w:pStyle w:val="ListParagraph"/>
        <w:ind w:left="360"/>
      </w:pPr>
    </w:p>
    <w:p w:rsidR="00066542" w:rsidRPr="00066542" w:rsidRDefault="00066542" w:rsidP="00066542">
      <w:pPr>
        <w:pStyle w:val="ListParagraph"/>
        <w:ind w:left="360"/>
        <w:rPr>
          <w:b/>
        </w:rPr>
      </w:pPr>
      <w:r w:rsidRPr="00C0675B">
        <w:rPr>
          <w:b/>
        </w:rPr>
        <w:t>Category 1: Estimated Disbursements (US$</w:t>
      </w:r>
      <w:r w:rsidR="00E96395">
        <w:rPr>
          <w:b/>
        </w:rPr>
        <w:t xml:space="preserve"> million </w:t>
      </w:r>
      <w:r w:rsidR="00E96395" w:rsidRPr="00E96395">
        <w:rPr>
          <w:b/>
        </w:rPr>
        <w:t>per Bank Fiscal Year (FY)</w:t>
      </w:r>
      <w:r w:rsidRPr="00C0675B">
        <w:rPr>
          <w:b/>
        </w:rPr>
        <w:t>)</w:t>
      </w:r>
    </w:p>
    <w:tbl>
      <w:tblPr>
        <w:tblStyle w:val="TableGrid"/>
        <w:tblW w:w="0" w:type="auto"/>
        <w:tblLayout w:type="fixed"/>
        <w:tblLook w:val="04A0"/>
      </w:tblPr>
      <w:tblGrid>
        <w:gridCol w:w="1188"/>
        <w:gridCol w:w="630"/>
        <w:gridCol w:w="630"/>
        <w:gridCol w:w="630"/>
        <w:gridCol w:w="630"/>
        <w:gridCol w:w="630"/>
        <w:gridCol w:w="630"/>
        <w:gridCol w:w="720"/>
        <w:gridCol w:w="630"/>
        <w:gridCol w:w="630"/>
        <w:gridCol w:w="1620"/>
      </w:tblGrid>
      <w:tr w:rsidR="00E96395" w:rsidRPr="00E96395" w:rsidTr="00E96395">
        <w:tc>
          <w:tcPr>
            <w:tcW w:w="1188"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FY</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2006</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2007</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2008</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2009</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2010</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2011</w:t>
            </w:r>
          </w:p>
        </w:tc>
        <w:tc>
          <w:tcPr>
            <w:tcW w:w="72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 xml:space="preserve">2012 </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2013</w:t>
            </w:r>
          </w:p>
        </w:tc>
        <w:tc>
          <w:tcPr>
            <w:tcW w:w="63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2014</w:t>
            </w:r>
          </w:p>
        </w:tc>
        <w:tc>
          <w:tcPr>
            <w:tcW w:w="1620" w:type="dxa"/>
            <w:shd w:val="clear" w:color="auto" w:fill="BFBFBF" w:themeFill="background1" w:themeFillShade="BF"/>
          </w:tcPr>
          <w:p w:rsidR="00E96395" w:rsidRPr="00E96395" w:rsidRDefault="00E96395" w:rsidP="002B35D3">
            <w:pPr>
              <w:pStyle w:val="BankNormal"/>
              <w:spacing w:after="0"/>
              <w:jc w:val="both"/>
              <w:rPr>
                <w:b/>
                <w:sz w:val="20"/>
              </w:rPr>
            </w:pPr>
            <w:r w:rsidRPr="00E96395">
              <w:rPr>
                <w:b/>
                <w:sz w:val="20"/>
              </w:rPr>
              <w:t>Total</w:t>
            </w:r>
          </w:p>
        </w:tc>
      </w:tr>
      <w:tr w:rsidR="00E96395" w:rsidRPr="00E96395" w:rsidTr="002B35D3">
        <w:trPr>
          <w:trHeight w:val="485"/>
        </w:trPr>
        <w:tc>
          <w:tcPr>
            <w:tcW w:w="1188" w:type="dxa"/>
          </w:tcPr>
          <w:p w:rsidR="00E96395" w:rsidRPr="00E96395" w:rsidRDefault="00E96395" w:rsidP="002B35D3">
            <w:pPr>
              <w:pStyle w:val="BankNormal"/>
              <w:spacing w:after="0"/>
              <w:jc w:val="both"/>
              <w:rPr>
                <w:sz w:val="20"/>
              </w:rPr>
            </w:pPr>
            <w:r w:rsidRPr="00E96395">
              <w:rPr>
                <w:sz w:val="20"/>
              </w:rPr>
              <w:t>First semester</w:t>
            </w:r>
          </w:p>
        </w:tc>
        <w:tc>
          <w:tcPr>
            <w:tcW w:w="630" w:type="dxa"/>
          </w:tcPr>
          <w:p w:rsidR="00E96395" w:rsidRPr="00E96395" w:rsidRDefault="00E96395" w:rsidP="002B35D3">
            <w:pPr>
              <w:pStyle w:val="BankNormal"/>
              <w:spacing w:after="0"/>
              <w:jc w:val="both"/>
              <w:rPr>
                <w:sz w:val="20"/>
              </w:rPr>
            </w:pPr>
            <w:r w:rsidRPr="00E96395">
              <w:rPr>
                <w:sz w:val="20"/>
              </w:rPr>
              <w:t>0.05</w:t>
            </w:r>
          </w:p>
        </w:tc>
        <w:tc>
          <w:tcPr>
            <w:tcW w:w="630" w:type="dxa"/>
          </w:tcPr>
          <w:p w:rsidR="00E96395" w:rsidRPr="00E96395" w:rsidRDefault="00E96395" w:rsidP="002B35D3">
            <w:pPr>
              <w:pStyle w:val="BankNormal"/>
              <w:spacing w:after="0"/>
              <w:jc w:val="both"/>
              <w:rPr>
                <w:sz w:val="20"/>
              </w:rPr>
            </w:pPr>
            <w:r w:rsidRPr="00E96395">
              <w:rPr>
                <w:sz w:val="20"/>
              </w:rPr>
              <w:t>0.35</w:t>
            </w:r>
          </w:p>
        </w:tc>
        <w:tc>
          <w:tcPr>
            <w:tcW w:w="630" w:type="dxa"/>
          </w:tcPr>
          <w:p w:rsidR="00E96395" w:rsidRPr="00E96395" w:rsidRDefault="00E96395" w:rsidP="002B35D3">
            <w:pPr>
              <w:pStyle w:val="BankNormal"/>
              <w:spacing w:after="0"/>
              <w:jc w:val="both"/>
              <w:rPr>
                <w:sz w:val="20"/>
              </w:rPr>
            </w:pPr>
            <w:r w:rsidRPr="00E96395">
              <w:rPr>
                <w:sz w:val="20"/>
              </w:rPr>
              <w:t>2.0</w:t>
            </w:r>
          </w:p>
        </w:tc>
        <w:tc>
          <w:tcPr>
            <w:tcW w:w="630" w:type="dxa"/>
          </w:tcPr>
          <w:p w:rsidR="00E96395" w:rsidRPr="00E96395" w:rsidRDefault="00E96395" w:rsidP="002B35D3">
            <w:pPr>
              <w:pStyle w:val="BankNormal"/>
              <w:spacing w:after="0"/>
              <w:jc w:val="both"/>
              <w:rPr>
                <w:sz w:val="20"/>
              </w:rPr>
            </w:pPr>
            <w:r w:rsidRPr="00E96395">
              <w:rPr>
                <w:sz w:val="20"/>
              </w:rPr>
              <w:t>2.0</w:t>
            </w:r>
          </w:p>
        </w:tc>
        <w:tc>
          <w:tcPr>
            <w:tcW w:w="630" w:type="dxa"/>
          </w:tcPr>
          <w:p w:rsidR="00E96395" w:rsidRPr="00E96395" w:rsidRDefault="00E96395" w:rsidP="002B35D3">
            <w:pPr>
              <w:pStyle w:val="BankNormal"/>
              <w:spacing w:after="0"/>
              <w:jc w:val="both"/>
              <w:rPr>
                <w:sz w:val="20"/>
              </w:rPr>
            </w:pPr>
            <w:r w:rsidRPr="00E96395">
              <w:rPr>
                <w:sz w:val="20"/>
              </w:rPr>
              <w:t>1.1</w:t>
            </w:r>
          </w:p>
        </w:tc>
        <w:tc>
          <w:tcPr>
            <w:tcW w:w="630" w:type="dxa"/>
          </w:tcPr>
          <w:p w:rsidR="00E96395" w:rsidRPr="00E96395" w:rsidRDefault="00E96395" w:rsidP="002B35D3">
            <w:pPr>
              <w:pStyle w:val="BankNormal"/>
              <w:spacing w:after="0"/>
              <w:jc w:val="both"/>
              <w:rPr>
                <w:sz w:val="20"/>
              </w:rPr>
            </w:pPr>
            <w:r w:rsidRPr="00E96395">
              <w:rPr>
                <w:sz w:val="20"/>
              </w:rPr>
              <w:t>3.2</w:t>
            </w:r>
          </w:p>
        </w:tc>
        <w:tc>
          <w:tcPr>
            <w:tcW w:w="720" w:type="dxa"/>
          </w:tcPr>
          <w:p w:rsidR="00E96395" w:rsidRPr="00E96395" w:rsidRDefault="00E96395" w:rsidP="002B35D3">
            <w:pPr>
              <w:pStyle w:val="BankNormal"/>
              <w:spacing w:after="0"/>
              <w:jc w:val="both"/>
              <w:rPr>
                <w:sz w:val="20"/>
              </w:rPr>
            </w:pPr>
            <w:r w:rsidRPr="00E96395">
              <w:rPr>
                <w:sz w:val="20"/>
              </w:rPr>
              <w:t>3.4</w:t>
            </w:r>
          </w:p>
        </w:tc>
        <w:tc>
          <w:tcPr>
            <w:tcW w:w="630" w:type="dxa"/>
          </w:tcPr>
          <w:p w:rsidR="00E96395" w:rsidRPr="00E96395" w:rsidRDefault="00E96395" w:rsidP="002B35D3">
            <w:pPr>
              <w:pStyle w:val="BankNormal"/>
              <w:spacing w:after="0"/>
              <w:jc w:val="both"/>
              <w:rPr>
                <w:sz w:val="20"/>
              </w:rPr>
            </w:pPr>
            <w:r w:rsidRPr="00E96395">
              <w:rPr>
                <w:sz w:val="20"/>
              </w:rPr>
              <w:t>4.0</w:t>
            </w:r>
          </w:p>
        </w:tc>
        <w:tc>
          <w:tcPr>
            <w:tcW w:w="630" w:type="dxa"/>
          </w:tcPr>
          <w:p w:rsidR="00E96395" w:rsidRPr="00E96395" w:rsidRDefault="00E96395" w:rsidP="002B35D3">
            <w:pPr>
              <w:pStyle w:val="BankNormal"/>
              <w:spacing w:after="0"/>
              <w:jc w:val="both"/>
              <w:rPr>
                <w:sz w:val="20"/>
              </w:rPr>
            </w:pPr>
            <w:r w:rsidRPr="00E96395">
              <w:rPr>
                <w:sz w:val="20"/>
              </w:rPr>
              <w:t>2.0</w:t>
            </w:r>
          </w:p>
        </w:tc>
        <w:tc>
          <w:tcPr>
            <w:tcW w:w="1620" w:type="dxa"/>
          </w:tcPr>
          <w:p w:rsidR="00E96395" w:rsidRPr="00E96395" w:rsidRDefault="00E96395" w:rsidP="002B35D3">
            <w:pPr>
              <w:pStyle w:val="BankNormal"/>
              <w:spacing w:after="0"/>
              <w:jc w:val="both"/>
              <w:rPr>
                <w:sz w:val="20"/>
              </w:rPr>
            </w:pPr>
            <w:r w:rsidRPr="00E96395">
              <w:rPr>
                <w:sz w:val="20"/>
              </w:rPr>
              <w:t>18.1</w:t>
            </w:r>
          </w:p>
        </w:tc>
      </w:tr>
      <w:tr w:rsidR="00E96395" w:rsidRPr="00E96395" w:rsidTr="00E96395">
        <w:tc>
          <w:tcPr>
            <w:tcW w:w="1188" w:type="dxa"/>
          </w:tcPr>
          <w:p w:rsidR="00E96395" w:rsidRPr="00E96395" w:rsidRDefault="00E96395" w:rsidP="002B35D3">
            <w:pPr>
              <w:pStyle w:val="BankNormal"/>
              <w:spacing w:after="0"/>
              <w:jc w:val="both"/>
              <w:rPr>
                <w:sz w:val="20"/>
              </w:rPr>
            </w:pPr>
            <w:r w:rsidRPr="00E96395">
              <w:rPr>
                <w:sz w:val="20"/>
              </w:rPr>
              <w:t>Second semester</w:t>
            </w:r>
          </w:p>
        </w:tc>
        <w:tc>
          <w:tcPr>
            <w:tcW w:w="630" w:type="dxa"/>
          </w:tcPr>
          <w:p w:rsidR="00E96395" w:rsidRPr="00E96395" w:rsidRDefault="00E96395" w:rsidP="002B35D3">
            <w:pPr>
              <w:pStyle w:val="BankNormal"/>
              <w:spacing w:after="0"/>
              <w:jc w:val="both"/>
              <w:rPr>
                <w:sz w:val="20"/>
              </w:rPr>
            </w:pPr>
            <w:r w:rsidRPr="00E96395">
              <w:rPr>
                <w:sz w:val="20"/>
              </w:rPr>
              <w:t>0.05</w:t>
            </w:r>
          </w:p>
        </w:tc>
        <w:tc>
          <w:tcPr>
            <w:tcW w:w="630" w:type="dxa"/>
          </w:tcPr>
          <w:p w:rsidR="00E96395" w:rsidRPr="00E96395" w:rsidRDefault="00E96395" w:rsidP="002B35D3">
            <w:pPr>
              <w:pStyle w:val="BankNormal"/>
              <w:spacing w:after="0"/>
              <w:jc w:val="both"/>
              <w:rPr>
                <w:sz w:val="20"/>
              </w:rPr>
            </w:pPr>
            <w:r w:rsidRPr="00E96395">
              <w:rPr>
                <w:sz w:val="20"/>
              </w:rPr>
              <w:t>0.35</w:t>
            </w:r>
          </w:p>
        </w:tc>
        <w:tc>
          <w:tcPr>
            <w:tcW w:w="630" w:type="dxa"/>
          </w:tcPr>
          <w:p w:rsidR="00E96395" w:rsidRPr="00E96395" w:rsidRDefault="00E96395" w:rsidP="002B35D3">
            <w:pPr>
              <w:pStyle w:val="BankNormal"/>
              <w:spacing w:after="0"/>
              <w:jc w:val="both"/>
              <w:rPr>
                <w:sz w:val="20"/>
              </w:rPr>
            </w:pPr>
            <w:r w:rsidRPr="00E96395">
              <w:rPr>
                <w:sz w:val="20"/>
              </w:rPr>
              <w:t>2.2</w:t>
            </w:r>
          </w:p>
        </w:tc>
        <w:tc>
          <w:tcPr>
            <w:tcW w:w="630" w:type="dxa"/>
          </w:tcPr>
          <w:p w:rsidR="00E96395" w:rsidRPr="00E96395" w:rsidRDefault="00E96395" w:rsidP="002B35D3">
            <w:pPr>
              <w:pStyle w:val="BankNormal"/>
              <w:spacing w:after="0"/>
              <w:jc w:val="both"/>
              <w:rPr>
                <w:sz w:val="20"/>
              </w:rPr>
            </w:pPr>
            <w:r w:rsidRPr="00E96395">
              <w:rPr>
                <w:sz w:val="20"/>
              </w:rPr>
              <w:t>2.5</w:t>
            </w:r>
          </w:p>
        </w:tc>
        <w:tc>
          <w:tcPr>
            <w:tcW w:w="630" w:type="dxa"/>
          </w:tcPr>
          <w:p w:rsidR="00E96395" w:rsidRPr="00E96395" w:rsidRDefault="00E96395" w:rsidP="002B35D3">
            <w:pPr>
              <w:pStyle w:val="BankNormal"/>
              <w:spacing w:after="0"/>
              <w:jc w:val="both"/>
              <w:rPr>
                <w:sz w:val="20"/>
              </w:rPr>
            </w:pPr>
            <w:r w:rsidRPr="00E96395">
              <w:rPr>
                <w:sz w:val="20"/>
              </w:rPr>
              <w:t>2.0</w:t>
            </w:r>
          </w:p>
        </w:tc>
        <w:tc>
          <w:tcPr>
            <w:tcW w:w="630" w:type="dxa"/>
          </w:tcPr>
          <w:p w:rsidR="00E96395" w:rsidRPr="00E96395" w:rsidRDefault="00E96395" w:rsidP="002B35D3">
            <w:pPr>
              <w:pStyle w:val="BankNormal"/>
              <w:spacing w:after="0"/>
              <w:jc w:val="both"/>
              <w:rPr>
                <w:sz w:val="20"/>
              </w:rPr>
            </w:pPr>
            <w:r w:rsidRPr="00E96395">
              <w:rPr>
                <w:sz w:val="20"/>
              </w:rPr>
              <w:t>3.3</w:t>
            </w:r>
          </w:p>
        </w:tc>
        <w:tc>
          <w:tcPr>
            <w:tcW w:w="720" w:type="dxa"/>
          </w:tcPr>
          <w:p w:rsidR="00E96395" w:rsidRPr="00E96395" w:rsidRDefault="00E96395" w:rsidP="002B35D3">
            <w:pPr>
              <w:pStyle w:val="BankNormal"/>
              <w:spacing w:after="0"/>
              <w:jc w:val="both"/>
              <w:rPr>
                <w:sz w:val="20"/>
              </w:rPr>
            </w:pPr>
            <w:r w:rsidRPr="00E96395">
              <w:rPr>
                <w:sz w:val="20"/>
              </w:rPr>
              <w:t>4.4</w:t>
            </w:r>
          </w:p>
        </w:tc>
        <w:tc>
          <w:tcPr>
            <w:tcW w:w="630" w:type="dxa"/>
          </w:tcPr>
          <w:p w:rsidR="00E96395" w:rsidRPr="00E96395" w:rsidRDefault="00E96395" w:rsidP="002B35D3">
            <w:pPr>
              <w:pStyle w:val="BankNormal"/>
              <w:spacing w:after="0"/>
              <w:jc w:val="both"/>
              <w:rPr>
                <w:sz w:val="20"/>
              </w:rPr>
            </w:pPr>
            <w:r w:rsidRPr="00E96395">
              <w:rPr>
                <w:sz w:val="20"/>
              </w:rPr>
              <w:t>4.0</w:t>
            </w:r>
          </w:p>
        </w:tc>
        <w:tc>
          <w:tcPr>
            <w:tcW w:w="630" w:type="dxa"/>
          </w:tcPr>
          <w:p w:rsidR="00E96395" w:rsidRPr="00E96395" w:rsidRDefault="00E96395" w:rsidP="002B35D3">
            <w:pPr>
              <w:pStyle w:val="BankNormal"/>
              <w:spacing w:after="0"/>
              <w:jc w:val="both"/>
              <w:rPr>
                <w:sz w:val="20"/>
              </w:rPr>
            </w:pPr>
            <w:r w:rsidRPr="00E96395">
              <w:rPr>
                <w:sz w:val="20"/>
              </w:rPr>
              <w:t>0.7</w:t>
            </w:r>
          </w:p>
        </w:tc>
        <w:tc>
          <w:tcPr>
            <w:tcW w:w="1620" w:type="dxa"/>
          </w:tcPr>
          <w:p w:rsidR="00E96395" w:rsidRPr="00E96395" w:rsidRDefault="00E96395" w:rsidP="002B35D3">
            <w:pPr>
              <w:pStyle w:val="BankNormal"/>
              <w:spacing w:after="0"/>
              <w:jc w:val="both"/>
              <w:rPr>
                <w:sz w:val="20"/>
              </w:rPr>
            </w:pPr>
            <w:r w:rsidRPr="00E96395">
              <w:rPr>
                <w:sz w:val="20"/>
              </w:rPr>
              <w:t>19.5</w:t>
            </w:r>
          </w:p>
        </w:tc>
      </w:tr>
      <w:tr w:rsidR="00E96395" w:rsidRPr="00E96395" w:rsidTr="002B35D3">
        <w:trPr>
          <w:trHeight w:val="332"/>
        </w:trPr>
        <w:tc>
          <w:tcPr>
            <w:tcW w:w="1188" w:type="dxa"/>
          </w:tcPr>
          <w:p w:rsidR="00E96395" w:rsidRPr="00E96395" w:rsidRDefault="00E96395" w:rsidP="002B35D3">
            <w:pPr>
              <w:pStyle w:val="BankNormal"/>
              <w:spacing w:after="0"/>
              <w:jc w:val="both"/>
              <w:rPr>
                <w:sz w:val="20"/>
              </w:rPr>
            </w:pPr>
            <w:r w:rsidRPr="00E96395">
              <w:rPr>
                <w:sz w:val="20"/>
              </w:rPr>
              <w:t>Cumulative</w:t>
            </w:r>
          </w:p>
        </w:tc>
        <w:tc>
          <w:tcPr>
            <w:tcW w:w="630" w:type="dxa"/>
          </w:tcPr>
          <w:p w:rsidR="00E96395" w:rsidRPr="00E96395" w:rsidRDefault="00E96395" w:rsidP="002B35D3">
            <w:pPr>
              <w:pStyle w:val="BankNormal"/>
              <w:spacing w:after="0"/>
              <w:jc w:val="both"/>
              <w:rPr>
                <w:sz w:val="20"/>
              </w:rPr>
            </w:pPr>
            <w:r w:rsidRPr="00E96395">
              <w:rPr>
                <w:sz w:val="20"/>
              </w:rPr>
              <w:t>0.1</w:t>
            </w:r>
          </w:p>
        </w:tc>
        <w:tc>
          <w:tcPr>
            <w:tcW w:w="630" w:type="dxa"/>
          </w:tcPr>
          <w:p w:rsidR="00E96395" w:rsidRPr="00E96395" w:rsidRDefault="00E96395" w:rsidP="002B35D3">
            <w:pPr>
              <w:pStyle w:val="BankNormal"/>
              <w:spacing w:after="0"/>
              <w:jc w:val="both"/>
              <w:rPr>
                <w:sz w:val="20"/>
              </w:rPr>
            </w:pPr>
            <w:r w:rsidRPr="00E96395">
              <w:rPr>
                <w:sz w:val="20"/>
              </w:rPr>
              <w:t>0.7</w:t>
            </w:r>
          </w:p>
        </w:tc>
        <w:tc>
          <w:tcPr>
            <w:tcW w:w="630" w:type="dxa"/>
          </w:tcPr>
          <w:p w:rsidR="00E96395" w:rsidRPr="00E96395" w:rsidRDefault="00E96395" w:rsidP="002B35D3">
            <w:pPr>
              <w:pStyle w:val="BankNormal"/>
              <w:spacing w:after="0"/>
              <w:jc w:val="both"/>
              <w:rPr>
                <w:sz w:val="20"/>
              </w:rPr>
            </w:pPr>
            <w:r w:rsidRPr="00E96395">
              <w:rPr>
                <w:sz w:val="20"/>
              </w:rPr>
              <w:t>4.2</w:t>
            </w:r>
          </w:p>
        </w:tc>
        <w:tc>
          <w:tcPr>
            <w:tcW w:w="630" w:type="dxa"/>
          </w:tcPr>
          <w:p w:rsidR="00E96395" w:rsidRPr="00E96395" w:rsidRDefault="00E96395" w:rsidP="002B35D3">
            <w:pPr>
              <w:pStyle w:val="BankNormal"/>
              <w:spacing w:after="0"/>
              <w:jc w:val="both"/>
              <w:rPr>
                <w:sz w:val="20"/>
              </w:rPr>
            </w:pPr>
            <w:r w:rsidRPr="00E96395">
              <w:rPr>
                <w:sz w:val="20"/>
              </w:rPr>
              <w:t>4.5</w:t>
            </w:r>
          </w:p>
        </w:tc>
        <w:tc>
          <w:tcPr>
            <w:tcW w:w="630" w:type="dxa"/>
          </w:tcPr>
          <w:p w:rsidR="00E96395" w:rsidRPr="00E96395" w:rsidRDefault="00E96395" w:rsidP="002B35D3">
            <w:pPr>
              <w:pStyle w:val="BankNormal"/>
              <w:spacing w:after="0"/>
              <w:jc w:val="both"/>
              <w:rPr>
                <w:sz w:val="20"/>
              </w:rPr>
            </w:pPr>
            <w:r w:rsidRPr="00E96395">
              <w:rPr>
                <w:sz w:val="20"/>
              </w:rPr>
              <w:t>3.1</w:t>
            </w:r>
          </w:p>
        </w:tc>
        <w:tc>
          <w:tcPr>
            <w:tcW w:w="630" w:type="dxa"/>
          </w:tcPr>
          <w:p w:rsidR="00E96395" w:rsidRPr="00E96395" w:rsidRDefault="00E96395" w:rsidP="002B35D3">
            <w:pPr>
              <w:pStyle w:val="BankNormal"/>
              <w:spacing w:after="0"/>
              <w:jc w:val="both"/>
              <w:rPr>
                <w:sz w:val="20"/>
              </w:rPr>
            </w:pPr>
            <w:r w:rsidRPr="00E96395">
              <w:rPr>
                <w:sz w:val="20"/>
              </w:rPr>
              <w:t>6.5</w:t>
            </w:r>
          </w:p>
        </w:tc>
        <w:tc>
          <w:tcPr>
            <w:tcW w:w="720" w:type="dxa"/>
          </w:tcPr>
          <w:p w:rsidR="00E96395" w:rsidRPr="00E96395" w:rsidRDefault="00E96395" w:rsidP="002B35D3">
            <w:pPr>
              <w:pStyle w:val="BankNormal"/>
              <w:spacing w:after="0"/>
              <w:jc w:val="both"/>
              <w:rPr>
                <w:sz w:val="20"/>
              </w:rPr>
            </w:pPr>
            <w:r w:rsidRPr="00E96395">
              <w:rPr>
                <w:sz w:val="20"/>
              </w:rPr>
              <w:t>7.8</w:t>
            </w:r>
          </w:p>
        </w:tc>
        <w:tc>
          <w:tcPr>
            <w:tcW w:w="630" w:type="dxa"/>
          </w:tcPr>
          <w:p w:rsidR="00E96395" w:rsidRPr="00E96395" w:rsidRDefault="00E96395" w:rsidP="002B35D3">
            <w:pPr>
              <w:pStyle w:val="BankNormal"/>
              <w:spacing w:after="0"/>
              <w:jc w:val="both"/>
              <w:rPr>
                <w:sz w:val="20"/>
              </w:rPr>
            </w:pPr>
            <w:r w:rsidRPr="00E96395">
              <w:rPr>
                <w:sz w:val="20"/>
              </w:rPr>
              <w:t>8.0</w:t>
            </w:r>
          </w:p>
        </w:tc>
        <w:tc>
          <w:tcPr>
            <w:tcW w:w="630" w:type="dxa"/>
          </w:tcPr>
          <w:p w:rsidR="00E96395" w:rsidRPr="00E96395" w:rsidRDefault="00E96395" w:rsidP="002B35D3">
            <w:pPr>
              <w:pStyle w:val="BankNormal"/>
              <w:spacing w:after="0"/>
              <w:jc w:val="both"/>
              <w:rPr>
                <w:sz w:val="20"/>
              </w:rPr>
            </w:pPr>
            <w:r w:rsidRPr="00E96395">
              <w:rPr>
                <w:sz w:val="20"/>
              </w:rPr>
              <w:t>2.7</w:t>
            </w:r>
          </w:p>
        </w:tc>
        <w:tc>
          <w:tcPr>
            <w:tcW w:w="1620" w:type="dxa"/>
          </w:tcPr>
          <w:p w:rsidR="00E96395" w:rsidRPr="00E96395" w:rsidRDefault="00E96395" w:rsidP="002B35D3">
            <w:pPr>
              <w:pStyle w:val="BankNormal"/>
              <w:spacing w:after="0"/>
              <w:jc w:val="both"/>
              <w:rPr>
                <w:sz w:val="20"/>
              </w:rPr>
            </w:pPr>
            <w:r w:rsidRPr="00E96395">
              <w:rPr>
                <w:sz w:val="20"/>
              </w:rPr>
              <w:t>37.6</w:t>
            </w:r>
          </w:p>
        </w:tc>
      </w:tr>
    </w:tbl>
    <w:p w:rsidR="00E96395" w:rsidRPr="00E96395" w:rsidRDefault="00E96395" w:rsidP="00E96395">
      <w:pPr>
        <w:pStyle w:val="BankNormal"/>
        <w:jc w:val="both"/>
        <w:rPr>
          <w:sz w:val="20"/>
        </w:rPr>
      </w:pPr>
      <w:r w:rsidRPr="00E96395">
        <w:rPr>
          <w:sz w:val="20"/>
        </w:rPr>
        <w:t>*Note that of the US$110 million Loan total, US$88.5 million has been disbursed. A total of US$21.5 million remains undisbursed, which would all now be under Category 1. At project completion, total disbursement for Category 1 should be US$37.6 million.</w:t>
      </w:r>
    </w:p>
    <w:p w:rsidR="00E96395" w:rsidRPr="00E96395" w:rsidRDefault="00E96395" w:rsidP="00E96395">
      <w:pPr>
        <w:pStyle w:val="BankNormal"/>
        <w:jc w:val="both"/>
        <w:rPr>
          <w:sz w:val="20"/>
        </w:rPr>
      </w:pPr>
    </w:p>
    <w:p w:rsidR="00546CB8" w:rsidRPr="00546CB8" w:rsidRDefault="00A800CD" w:rsidP="007824D2">
      <w:pPr>
        <w:pStyle w:val="BankNormal"/>
        <w:numPr>
          <w:ilvl w:val="0"/>
          <w:numId w:val="1"/>
        </w:numPr>
        <w:jc w:val="both"/>
      </w:pPr>
      <w:r>
        <w:t>Reallocated loan proceeds</w:t>
      </w:r>
      <w:r w:rsidR="007C12C8" w:rsidRPr="00546CB8">
        <w:t xml:space="preserve"> will be allocated on goods, works, services and trainin</w:t>
      </w:r>
      <w:r w:rsidR="003C7C59">
        <w:t>g and operating costs under C</w:t>
      </w:r>
      <w:r w:rsidR="007C12C8" w:rsidRPr="00546CB8">
        <w:t>omponents A</w:t>
      </w:r>
      <w:r w:rsidR="008C09C4">
        <w:t xml:space="preserve"> (Disaster Risk Identification)</w:t>
      </w:r>
      <w:r w:rsidR="007C12C8" w:rsidRPr="00546CB8">
        <w:t>, B1</w:t>
      </w:r>
      <w:r w:rsidR="008C09C4">
        <w:t xml:space="preserve"> (Risk Analysis for Regional and Municipal Development Plans)</w:t>
      </w:r>
      <w:r w:rsidR="007C12C8" w:rsidRPr="00546CB8">
        <w:t>, B3</w:t>
      </w:r>
      <w:r w:rsidR="008C09C4">
        <w:t xml:space="preserve"> (Improving Effectiveness of Local Risk Reduction Measures)</w:t>
      </w:r>
      <w:r w:rsidR="007C12C8" w:rsidRPr="00546CB8">
        <w:t>, C</w:t>
      </w:r>
      <w:r w:rsidR="008C09C4">
        <w:t xml:space="preserve"> (Institutional Development)</w:t>
      </w:r>
      <w:r w:rsidR="007C12C8" w:rsidRPr="00546CB8">
        <w:t>, D</w:t>
      </w:r>
      <w:r w:rsidR="008C09C4">
        <w:t xml:space="preserve"> (Awareness and Preparedness)</w:t>
      </w:r>
      <w:r w:rsidR="0015054D">
        <w:t>,</w:t>
      </w:r>
      <w:r w:rsidR="007C12C8" w:rsidRPr="00546CB8">
        <w:t xml:space="preserve"> and E1</w:t>
      </w:r>
      <w:r w:rsidR="008C09C4">
        <w:t xml:space="preserve"> (Development of a Risk Financing Strategy)</w:t>
      </w:r>
      <w:r w:rsidR="007C12C8" w:rsidRPr="00546CB8">
        <w:t xml:space="preserve"> of the program</w:t>
      </w:r>
      <w:r w:rsidR="00546CB8">
        <w:t xml:space="preserve"> which will include</w:t>
      </w:r>
      <w:r w:rsidR="008124F3">
        <w:t xml:space="preserve"> (Table 1)</w:t>
      </w:r>
      <w:r w:rsidR="00546CB8">
        <w:t>:</w:t>
      </w:r>
    </w:p>
    <w:p w:rsidR="00546CB8" w:rsidRDefault="009E6615" w:rsidP="009E6615">
      <w:pPr>
        <w:pStyle w:val="BankNormal"/>
        <w:numPr>
          <w:ilvl w:val="0"/>
          <w:numId w:val="5"/>
        </w:numPr>
        <w:jc w:val="both"/>
      </w:pPr>
      <w:r>
        <w:t>Further d</w:t>
      </w:r>
      <w:r w:rsidR="00546CB8">
        <w:t xml:space="preserve">evelopment </w:t>
      </w:r>
      <w:r w:rsidR="00185A0F">
        <w:t xml:space="preserve">and refinement </w:t>
      </w:r>
      <w:r w:rsidR="00546CB8">
        <w:t xml:space="preserve">of </w:t>
      </w:r>
      <w:r w:rsidR="004217D9">
        <w:t>the</w:t>
      </w:r>
      <w:r w:rsidR="00546CB8">
        <w:t xml:space="preserve"> integrated ris</w:t>
      </w:r>
      <w:r w:rsidR="00446E62">
        <w:t>k management information system</w:t>
      </w:r>
      <w:r w:rsidR="004217D9">
        <w:t xml:space="preserve"> to consolidate proper measurement and monitoring of local risk management activities, and to strengthen articulation with existing </w:t>
      </w:r>
      <w:proofErr w:type="spellStart"/>
      <w:r w:rsidR="004217D9">
        <w:t>sectoral</w:t>
      </w:r>
      <w:proofErr w:type="spellEnd"/>
      <w:r w:rsidR="004217D9">
        <w:t xml:space="preserve"> information systems </w:t>
      </w:r>
      <w:r w:rsidR="004217D9" w:rsidRPr="002A17F5">
        <w:rPr>
          <w:i/>
        </w:rPr>
        <w:t>(Component A1)</w:t>
      </w:r>
      <w:r w:rsidR="0015054D">
        <w:t>.</w:t>
      </w:r>
    </w:p>
    <w:p w:rsidR="00546CB8" w:rsidRPr="00546CB8" w:rsidRDefault="00546CB8" w:rsidP="009E6615">
      <w:pPr>
        <w:pStyle w:val="BankNormal"/>
        <w:numPr>
          <w:ilvl w:val="0"/>
          <w:numId w:val="5"/>
        </w:numPr>
        <w:jc w:val="both"/>
      </w:pPr>
      <w:r>
        <w:t>C</w:t>
      </w:r>
      <w:r w:rsidRPr="00546CB8">
        <w:t>ontinu</w:t>
      </w:r>
      <w:r>
        <w:t xml:space="preserve">ation of equipment </w:t>
      </w:r>
      <w:r w:rsidRPr="00546CB8">
        <w:t>upgrad</w:t>
      </w:r>
      <w:r>
        <w:t>ing</w:t>
      </w:r>
      <w:r w:rsidRPr="00546CB8">
        <w:t xml:space="preserve"> </w:t>
      </w:r>
      <w:r>
        <w:t>of national monitoring networks for seismology</w:t>
      </w:r>
      <w:r w:rsidRPr="00546CB8">
        <w:t>, accelerometers</w:t>
      </w:r>
      <w:r>
        <w:t>, and</w:t>
      </w:r>
      <w:r w:rsidRPr="00546CB8">
        <w:t xml:space="preserve"> </w:t>
      </w:r>
      <w:proofErr w:type="spellStart"/>
      <w:r>
        <w:t>volcanology</w:t>
      </w:r>
      <w:proofErr w:type="spellEnd"/>
      <w:r>
        <w:t xml:space="preserve"> as defined in the 2010-2014 National Development </w:t>
      </w:r>
      <w:r w:rsidRPr="002A17F5">
        <w:rPr>
          <w:i/>
        </w:rPr>
        <w:t>Plan</w:t>
      </w:r>
      <w:r w:rsidR="004217D9" w:rsidRPr="002A17F5">
        <w:rPr>
          <w:i/>
        </w:rPr>
        <w:t xml:space="preserve"> (Component A2)</w:t>
      </w:r>
      <w:r w:rsidR="0015054D">
        <w:t>.</w:t>
      </w:r>
    </w:p>
    <w:p w:rsidR="00055EA7" w:rsidRPr="00055EA7" w:rsidRDefault="00185A0F" w:rsidP="009E6615">
      <w:pPr>
        <w:pStyle w:val="BankNormal"/>
        <w:numPr>
          <w:ilvl w:val="0"/>
          <w:numId w:val="5"/>
        </w:numPr>
        <w:jc w:val="both"/>
      </w:pPr>
      <w:r>
        <w:lastRenderedPageBreak/>
        <w:t>Enlarged geographical coverage of t</w:t>
      </w:r>
      <w:r w:rsidR="00546CB8">
        <w:t xml:space="preserve">echnical assistance to </w:t>
      </w:r>
      <w:r>
        <w:t xml:space="preserve">municipalities nationwide (from 65% </w:t>
      </w:r>
      <w:r w:rsidRPr="006E2BDE">
        <w:t xml:space="preserve">to </w:t>
      </w:r>
      <w:r w:rsidR="00696164" w:rsidRPr="006E2BDE">
        <w:t>100</w:t>
      </w:r>
      <w:r>
        <w:t xml:space="preserve">%) which includes </w:t>
      </w:r>
      <w:r w:rsidR="008C09C4">
        <w:t>a</w:t>
      </w:r>
      <w:r>
        <w:t xml:space="preserve">n increase in the number of municipalities that have </w:t>
      </w:r>
      <w:r w:rsidR="00546CB8">
        <w:t>incorporat</w:t>
      </w:r>
      <w:r>
        <w:t>ed</w:t>
      </w:r>
      <w:r w:rsidR="00546CB8">
        <w:t xml:space="preserve"> risk </w:t>
      </w:r>
      <w:r>
        <w:t xml:space="preserve">management </w:t>
      </w:r>
      <w:r w:rsidR="00546CB8">
        <w:t xml:space="preserve">in land use and </w:t>
      </w:r>
      <w:r w:rsidR="00446E62">
        <w:t>territorial planning</w:t>
      </w:r>
      <w:r>
        <w:t xml:space="preserve"> and that have developed Municipal A</w:t>
      </w:r>
      <w:r w:rsidR="004217D9">
        <w:t xml:space="preserve">ction Plans for Risk Management </w:t>
      </w:r>
      <w:r w:rsidR="004217D9" w:rsidRPr="002A17F5">
        <w:rPr>
          <w:i/>
        </w:rPr>
        <w:t>(Component B1 and B3)</w:t>
      </w:r>
      <w:r w:rsidR="0015054D">
        <w:t>.</w:t>
      </w:r>
    </w:p>
    <w:p w:rsidR="009E6615" w:rsidRDefault="009E6615" w:rsidP="009E6615">
      <w:pPr>
        <w:pStyle w:val="BankNormal"/>
        <w:numPr>
          <w:ilvl w:val="0"/>
          <w:numId w:val="5"/>
        </w:numPr>
        <w:jc w:val="both"/>
      </w:pPr>
      <w:r>
        <w:t>Continuation of p</w:t>
      </w:r>
      <w:r w:rsidR="00055EA7" w:rsidRPr="00055EA7">
        <w:t xml:space="preserve">olicy </w:t>
      </w:r>
      <w:r>
        <w:t xml:space="preserve">development through the </w:t>
      </w:r>
      <w:r w:rsidR="00055EA7" w:rsidRPr="00055EA7">
        <w:t xml:space="preserve">establishment of regulatory norms to </w:t>
      </w:r>
      <w:r>
        <w:t xml:space="preserve">support updating of the </w:t>
      </w:r>
      <w:r w:rsidR="00055EA7" w:rsidRPr="00055EA7">
        <w:t xml:space="preserve">regulatory framework </w:t>
      </w:r>
      <w:r>
        <w:t>defined under the</w:t>
      </w:r>
      <w:r w:rsidR="00055EA7" w:rsidRPr="00055EA7">
        <w:t xml:space="preserve"> National Plan for Preven</w:t>
      </w:r>
      <w:r>
        <w:t xml:space="preserve">tion and Attention of Disasters through </w:t>
      </w:r>
      <w:r w:rsidR="00055EA7" w:rsidRPr="00055EA7">
        <w:t>the formulation of a National Pl</w:t>
      </w:r>
      <w:r>
        <w:t xml:space="preserve">an for Disaster Risk Management </w:t>
      </w:r>
      <w:r w:rsidRPr="002A17F5">
        <w:rPr>
          <w:i/>
        </w:rPr>
        <w:t>(Component C1)</w:t>
      </w:r>
      <w:r w:rsidR="0015054D">
        <w:t>.</w:t>
      </w:r>
    </w:p>
    <w:p w:rsidR="009E6615" w:rsidRPr="00D70DEB" w:rsidRDefault="009E6615" w:rsidP="009E6615">
      <w:pPr>
        <w:pStyle w:val="BankNormal"/>
        <w:numPr>
          <w:ilvl w:val="0"/>
          <w:numId w:val="5"/>
        </w:numPr>
        <w:jc w:val="both"/>
      </w:pPr>
      <w:r w:rsidRPr="00D70DEB">
        <w:t>Continuation of the technical and administrative activities that facilitate coordination and articulation of the executing agencies involved with the implementation of the Project, with emphasis on the synergy of strategies for risk management and prevention at the municipal and regional levels (</w:t>
      </w:r>
      <w:r w:rsidR="0015054D" w:rsidRPr="00D70DEB">
        <w:rPr>
          <w:i/>
        </w:rPr>
        <w:t>Component C2</w:t>
      </w:r>
      <w:r w:rsidR="0015054D" w:rsidRPr="00D70DEB">
        <w:t>).</w:t>
      </w:r>
    </w:p>
    <w:p w:rsidR="009E6615" w:rsidRPr="006E2BDE" w:rsidRDefault="009E6615" w:rsidP="009E6615">
      <w:pPr>
        <w:pStyle w:val="BankNormal"/>
        <w:numPr>
          <w:ilvl w:val="0"/>
          <w:numId w:val="5"/>
        </w:numPr>
        <w:jc w:val="both"/>
      </w:pPr>
      <w:r>
        <w:t>Continuation of s</w:t>
      </w:r>
      <w:r w:rsidRPr="009E6615">
        <w:t xml:space="preserve">trengthening capacity to promote risk awareness and emergency preparedness </w:t>
      </w:r>
      <w:r w:rsidR="002A17F5">
        <w:t>covering</w:t>
      </w:r>
      <w:r w:rsidRPr="009E6615">
        <w:t xml:space="preserve"> a</w:t>
      </w:r>
      <w:r w:rsidR="002A17F5">
        <w:t xml:space="preserve"> total of</w:t>
      </w:r>
      <w:r w:rsidRPr="009E6615">
        <w:t xml:space="preserve"> </w:t>
      </w:r>
      <w:r w:rsidR="006E2BDE">
        <w:t>112</w:t>
      </w:r>
      <w:r w:rsidR="006E2BDE" w:rsidRPr="009E6615">
        <w:t xml:space="preserve"> </w:t>
      </w:r>
      <w:r w:rsidRPr="009E6615">
        <w:t>municipalities</w:t>
      </w:r>
      <w:r w:rsidR="002A17F5">
        <w:t xml:space="preserve"> </w:t>
      </w:r>
      <w:r w:rsidR="002A17F5" w:rsidRPr="002A17F5">
        <w:rPr>
          <w:i/>
        </w:rPr>
        <w:t>(Component D)</w:t>
      </w:r>
      <w:r w:rsidR="0015054D">
        <w:t>.</w:t>
      </w:r>
    </w:p>
    <w:p w:rsidR="006E2BDE" w:rsidRPr="008124F3" w:rsidRDefault="006E2BDE" w:rsidP="009E6615">
      <w:pPr>
        <w:pStyle w:val="BankNormal"/>
        <w:numPr>
          <w:ilvl w:val="0"/>
          <w:numId w:val="5"/>
        </w:numPr>
        <w:jc w:val="both"/>
      </w:pPr>
      <w:r>
        <w:t xml:space="preserve">Further development of a national strategy for government disaster risk financial protection. The </w:t>
      </w:r>
      <w:proofErr w:type="spellStart"/>
      <w:r>
        <w:t>GoC</w:t>
      </w:r>
      <w:proofErr w:type="spellEnd"/>
      <w:r>
        <w:t xml:space="preserve"> already has included this commitment in the National Development Plan 2010-2014, under </w:t>
      </w:r>
      <w:r w:rsidR="00F67985">
        <w:t xml:space="preserve">the </w:t>
      </w:r>
      <w:r w:rsidR="00663FB9">
        <w:t>Ministry of Finance and Public Credit (</w:t>
      </w:r>
      <w:r>
        <w:t>MHCP</w:t>
      </w:r>
      <w:r w:rsidR="00663FB9">
        <w:t>)</w:t>
      </w:r>
      <w:r>
        <w:t xml:space="preserve"> (</w:t>
      </w:r>
      <w:r w:rsidR="00D634DC" w:rsidRPr="00D634DC">
        <w:rPr>
          <w:i/>
        </w:rPr>
        <w:t>Component E</w:t>
      </w:r>
      <w:r>
        <w:t>).</w:t>
      </w:r>
    </w:p>
    <w:p w:rsidR="003E75DA" w:rsidRDefault="003E75DA" w:rsidP="008124F3">
      <w:pPr>
        <w:pStyle w:val="BankNormal"/>
        <w:ind w:firstLine="405"/>
        <w:jc w:val="center"/>
        <w:rPr>
          <w:i/>
        </w:rPr>
      </w:pPr>
    </w:p>
    <w:p w:rsidR="001E470C" w:rsidRDefault="001E470C">
      <w:pPr>
        <w:rPr>
          <w:b/>
          <w:szCs w:val="20"/>
        </w:rPr>
      </w:pPr>
      <w:r>
        <w:rPr>
          <w:b/>
        </w:rPr>
        <w:br w:type="page"/>
      </w:r>
    </w:p>
    <w:p w:rsidR="008124F3" w:rsidRPr="008124F3" w:rsidRDefault="008124F3" w:rsidP="008124F3">
      <w:pPr>
        <w:pStyle w:val="BankNormal"/>
        <w:ind w:firstLine="405"/>
        <w:jc w:val="center"/>
        <w:rPr>
          <w:b/>
        </w:rPr>
      </w:pPr>
      <w:r w:rsidRPr="008124F3">
        <w:rPr>
          <w:b/>
        </w:rPr>
        <w:lastRenderedPageBreak/>
        <w:t xml:space="preserve">Table 1: Resource Allocation of </w:t>
      </w:r>
      <w:proofErr w:type="spellStart"/>
      <w:r w:rsidRPr="008124F3">
        <w:rPr>
          <w:b/>
        </w:rPr>
        <w:t>Recategorized</w:t>
      </w:r>
      <w:proofErr w:type="spellEnd"/>
      <w:r w:rsidRPr="008124F3">
        <w:rPr>
          <w:b/>
        </w:rPr>
        <w:t xml:space="preserve"> Resources</w:t>
      </w:r>
    </w:p>
    <w:tbl>
      <w:tblPr>
        <w:tblW w:w="8763" w:type="dxa"/>
        <w:jc w:val="center"/>
        <w:tblInd w:w="93" w:type="dxa"/>
        <w:tblLook w:val="04A0"/>
      </w:tblPr>
      <w:tblGrid>
        <w:gridCol w:w="1417"/>
        <w:gridCol w:w="1264"/>
        <w:gridCol w:w="1241"/>
        <w:gridCol w:w="13"/>
        <w:gridCol w:w="2407"/>
        <w:gridCol w:w="2421"/>
      </w:tblGrid>
      <w:tr w:rsidR="008124F3" w:rsidRPr="007824D2" w:rsidTr="00E50740">
        <w:trPr>
          <w:trHeight w:val="555"/>
          <w:jc w:val="center"/>
        </w:trPr>
        <w:tc>
          <w:tcPr>
            <w:tcW w:w="1417"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8124F3" w:rsidRPr="00E50740" w:rsidRDefault="008124F3" w:rsidP="008124F3">
            <w:pPr>
              <w:jc w:val="center"/>
              <w:rPr>
                <w:b/>
                <w:bCs/>
                <w:color w:val="000000" w:themeColor="text1"/>
                <w:sz w:val="18"/>
                <w:szCs w:val="16"/>
              </w:rPr>
            </w:pPr>
            <w:r w:rsidRPr="00E50740">
              <w:rPr>
                <w:b/>
                <w:bCs/>
                <w:color w:val="000000" w:themeColor="text1"/>
                <w:sz w:val="18"/>
                <w:szCs w:val="16"/>
              </w:rPr>
              <w:t>Implementing Agency</w:t>
            </w:r>
          </w:p>
        </w:tc>
        <w:tc>
          <w:tcPr>
            <w:tcW w:w="2505" w:type="dxa"/>
            <w:gridSpan w:val="2"/>
            <w:vMerge w:val="restart"/>
            <w:tcBorders>
              <w:top w:val="single" w:sz="8" w:space="0" w:color="auto"/>
              <w:left w:val="single" w:sz="8" w:space="0" w:color="auto"/>
              <w:right w:val="single" w:sz="8" w:space="0" w:color="auto"/>
            </w:tcBorders>
            <w:shd w:val="clear" w:color="auto" w:fill="D9D9D9" w:themeFill="background1" w:themeFillShade="D9"/>
          </w:tcPr>
          <w:p w:rsidR="008124F3" w:rsidRPr="00E50740" w:rsidRDefault="008124F3" w:rsidP="008124F3">
            <w:pPr>
              <w:jc w:val="center"/>
              <w:rPr>
                <w:b/>
                <w:bCs/>
                <w:color w:val="000000" w:themeColor="text1"/>
                <w:sz w:val="18"/>
                <w:szCs w:val="16"/>
              </w:rPr>
            </w:pPr>
            <w:r w:rsidRPr="00E50740">
              <w:rPr>
                <w:b/>
                <w:bCs/>
                <w:color w:val="000000" w:themeColor="text1"/>
                <w:sz w:val="18"/>
                <w:szCs w:val="16"/>
              </w:rPr>
              <w:br/>
            </w:r>
            <w:r w:rsidRPr="00E50740">
              <w:rPr>
                <w:b/>
                <w:bCs/>
                <w:color w:val="000000" w:themeColor="text1"/>
                <w:sz w:val="18"/>
                <w:szCs w:val="16"/>
              </w:rPr>
              <w:br/>
              <w:t>Project Component</w:t>
            </w:r>
          </w:p>
        </w:tc>
        <w:tc>
          <w:tcPr>
            <w:tcW w:w="2420" w:type="dxa"/>
            <w:gridSpan w:val="2"/>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124F3" w:rsidRPr="00E50740" w:rsidRDefault="008124F3" w:rsidP="008124F3">
            <w:pPr>
              <w:jc w:val="center"/>
              <w:rPr>
                <w:b/>
                <w:bCs/>
                <w:color w:val="000000" w:themeColor="text1"/>
                <w:sz w:val="18"/>
                <w:szCs w:val="16"/>
              </w:rPr>
            </w:pPr>
            <w:r w:rsidRPr="00E50740">
              <w:rPr>
                <w:b/>
                <w:bCs/>
                <w:color w:val="000000" w:themeColor="text1"/>
                <w:sz w:val="18"/>
                <w:szCs w:val="16"/>
              </w:rPr>
              <w:t>Activity</w:t>
            </w:r>
          </w:p>
        </w:tc>
        <w:tc>
          <w:tcPr>
            <w:tcW w:w="242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8124F3" w:rsidRPr="00E50740" w:rsidRDefault="008124F3" w:rsidP="008124F3">
            <w:pPr>
              <w:jc w:val="center"/>
              <w:rPr>
                <w:b/>
                <w:bCs/>
                <w:color w:val="000000" w:themeColor="text1"/>
                <w:sz w:val="18"/>
                <w:szCs w:val="16"/>
              </w:rPr>
            </w:pPr>
            <w:r w:rsidRPr="00E50740">
              <w:rPr>
                <w:b/>
                <w:bCs/>
                <w:color w:val="000000" w:themeColor="text1"/>
                <w:sz w:val="18"/>
                <w:szCs w:val="16"/>
              </w:rPr>
              <w:t>Total Appropriation 2011</w:t>
            </w:r>
          </w:p>
        </w:tc>
      </w:tr>
      <w:tr w:rsidR="008124F3" w:rsidRPr="007824D2" w:rsidTr="00E50740">
        <w:trPr>
          <w:trHeight w:val="600"/>
          <w:jc w:val="center"/>
        </w:trPr>
        <w:tc>
          <w:tcPr>
            <w:tcW w:w="1417"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8124F3" w:rsidRPr="00E50740" w:rsidRDefault="008124F3" w:rsidP="008124F3">
            <w:pPr>
              <w:rPr>
                <w:b/>
                <w:bCs/>
                <w:color w:val="000000" w:themeColor="text1"/>
                <w:sz w:val="18"/>
                <w:szCs w:val="16"/>
              </w:rPr>
            </w:pPr>
          </w:p>
        </w:tc>
        <w:tc>
          <w:tcPr>
            <w:tcW w:w="2505" w:type="dxa"/>
            <w:gridSpan w:val="2"/>
            <w:vMerge/>
            <w:tcBorders>
              <w:left w:val="single" w:sz="8" w:space="0" w:color="auto"/>
              <w:bottom w:val="single" w:sz="4" w:space="0" w:color="auto"/>
              <w:right w:val="single" w:sz="8" w:space="0" w:color="auto"/>
            </w:tcBorders>
            <w:shd w:val="clear" w:color="auto" w:fill="D9D9D9" w:themeFill="background1" w:themeFillShade="D9"/>
          </w:tcPr>
          <w:p w:rsidR="008124F3" w:rsidRPr="00E50740" w:rsidRDefault="008124F3" w:rsidP="008124F3">
            <w:pPr>
              <w:rPr>
                <w:b/>
                <w:bCs/>
                <w:color w:val="000000" w:themeColor="text1"/>
                <w:sz w:val="18"/>
                <w:szCs w:val="16"/>
              </w:rPr>
            </w:pPr>
          </w:p>
        </w:tc>
        <w:tc>
          <w:tcPr>
            <w:tcW w:w="2420" w:type="dxa"/>
            <w:gridSpan w:val="2"/>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124F3" w:rsidRPr="00E50740" w:rsidRDefault="008124F3" w:rsidP="008124F3">
            <w:pPr>
              <w:rPr>
                <w:b/>
                <w:bCs/>
                <w:color w:val="000000" w:themeColor="text1"/>
                <w:sz w:val="18"/>
                <w:szCs w:val="16"/>
              </w:rPr>
            </w:pPr>
          </w:p>
        </w:tc>
        <w:tc>
          <w:tcPr>
            <w:tcW w:w="2421" w:type="dxa"/>
            <w:tcBorders>
              <w:top w:val="nil"/>
              <w:left w:val="nil"/>
              <w:bottom w:val="single" w:sz="4" w:space="0" w:color="auto"/>
              <w:right w:val="single" w:sz="4" w:space="0" w:color="auto"/>
            </w:tcBorders>
            <w:shd w:val="clear" w:color="auto" w:fill="D9D9D9" w:themeFill="background1" w:themeFillShade="D9"/>
            <w:vAlign w:val="center"/>
            <w:hideMark/>
          </w:tcPr>
          <w:p w:rsidR="008124F3" w:rsidRPr="00E50740" w:rsidRDefault="008124F3" w:rsidP="008124F3">
            <w:pPr>
              <w:jc w:val="center"/>
              <w:rPr>
                <w:b/>
                <w:bCs/>
                <w:color w:val="000000" w:themeColor="text1"/>
                <w:sz w:val="18"/>
                <w:szCs w:val="16"/>
              </w:rPr>
            </w:pPr>
            <w:r w:rsidRPr="00E50740">
              <w:rPr>
                <w:b/>
                <w:bCs/>
                <w:color w:val="000000" w:themeColor="text1"/>
                <w:sz w:val="18"/>
                <w:szCs w:val="16"/>
              </w:rPr>
              <w:t xml:space="preserve"> (US $)*</w:t>
            </w:r>
          </w:p>
        </w:tc>
      </w:tr>
      <w:tr w:rsidR="008124F3" w:rsidRPr="007824D2" w:rsidTr="00AF3A57">
        <w:trPr>
          <w:trHeight w:val="540"/>
          <w:jc w:val="center"/>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8124F3" w:rsidRPr="008124F3" w:rsidRDefault="008124F3" w:rsidP="008124F3">
            <w:pPr>
              <w:jc w:val="center"/>
              <w:rPr>
                <w:b/>
                <w:bCs/>
                <w:color w:val="000000"/>
                <w:sz w:val="18"/>
                <w:szCs w:val="16"/>
              </w:rPr>
            </w:pPr>
            <w:r w:rsidRPr="008124F3">
              <w:rPr>
                <w:b/>
                <w:bCs/>
                <w:color w:val="000000"/>
                <w:sz w:val="18"/>
                <w:szCs w:val="16"/>
              </w:rPr>
              <w:t>INGEOMINAS</w:t>
            </w: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A2</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 xml:space="preserve">Equipment upgrading for national </w:t>
            </w:r>
            <w:r w:rsidRPr="007824D2">
              <w:rPr>
                <w:color w:val="000000"/>
                <w:sz w:val="18"/>
                <w:szCs w:val="16"/>
              </w:rPr>
              <w:t>seismic</w:t>
            </w:r>
            <w:r w:rsidRPr="008124F3">
              <w:rPr>
                <w:color w:val="000000"/>
                <w:sz w:val="18"/>
                <w:szCs w:val="16"/>
              </w:rPr>
              <w:t xml:space="preserve"> monitoring network</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696164" w:rsidP="008124F3">
            <w:pPr>
              <w:jc w:val="right"/>
              <w:rPr>
                <w:color w:val="000000"/>
                <w:sz w:val="18"/>
                <w:szCs w:val="16"/>
              </w:rPr>
            </w:pPr>
            <w:r w:rsidRPr="00696164">
              <w:rPr>
                <w:color w:val="000000"/>
                <w:sz w:val="18"/>
                <w:szCs w:val="16"/>
              </w:rPr>
              <w:t>5,340,464</w:t>
            </w:r>
          </w:p>
        </w:tc>
      </w:tr>
      <w:tr w:rsidR="008124F3" w:rsidRPr="007824D2" w:rsidTr="00AF3A57">
        <w:trPr>
          <w:trHeight w:val="810"/>
          <w:jc w:val="center"/>
        </w:trPr>
        <w:tc>
          <w:tcPr>
            <w:tcW w:w="1417" w:type="dxa"/>
            <w:vMerge w:val="restart"/>
            <w:tcBorders>
              <w:top w:val="nil"/>
              <w:left w:val="single" w:sz="8" w:space="0" w:color="auto"/>
              <w:bottom w:val="single" w:sz="4" w:space="0" w:color="auto"/>
              <w:right w:val="single" w:sz="8" w:space="0" w:color="auto"/>
            </w:tcBorders>
            <w:shd w:val="clear" w:color="auto" w:fill="auto"/>
            <w:vAlign w:val="center"/>
            <w:hideMark/>
          </w:tcPr>
          <w:p w:rsidR="008124F3" w:rsidRPr="008124F3" w:rsidRDefault="008124F3" w:rsidP="008124F3">
            <w:pPr>
              <w:jc w:val="center"/>
              <w:rPr>
                <w:b/>
                <w:bCs/>
                <w:color w:val="000000"/>
                <w:sz w:val="18"/>
                <w:szCs w:val="16"/>
              </w:rPr>
            </w:pPr>
            <w:r w:rsidRPr="008124F3">
              <w:rPr>
                <w:b/>
                <w:bCs/>
                <w:color w:val="000000"/>
                <w:sz w:val="18"/>
                <w:szCs w:val="16"/>
              </w:rPr>
              <w:t>DGR</w:t>
            </w: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A1</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Implementation of integrated information system for the disaster prevention and relief.</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696164" w:rsidP="008124F3">
            <w:pPr>
              <w:jc w:val="right"/>
              <w:rPr>
                <w:color w:val="000000"/>
                <w:sz w:val="18"/>
                <w:szCs w:val="16"/>
              </w:rPr>
            </w:pPr>
            <w:r w:rsidRPr="00696164">
              <w:rPr>
                <w:color w:val="000000"/>
                <w:sz w:val="18"/>
                <w:szCs w:val="16"/>
              </w:rPr>
              <w:t>920,111</w:t>
            </w:r>
          </w:p>
        </w:tc>
      </w:tr>
      <w:tr w:rsidR="008124F3" w:rsidRPr="007824D2" w:rsidTr="00AF3A57">
        <w:trPr>
          <w:trHeight w:val="540"/>
          <w:jc w:val="center"/>
        </w:trPr>
        <w:tc>
          <w:tcPr>
            <w:tcW w:w="1417" w:type="dxa"/>
            <w:vMerge/>
            <w:tcBorders>
              <w:top w:val="nil"/>
              <w:left w:val="single" w:sz="8" w:space="0" w:color="auto"/>
              <w:bottom w:val="single" w:sz="4" w:space="0" w:color="auto"/>
              <w:right w:val="single" w:sz="8" w:space="0" w:color="auto"/>
            </w:tcBorders>
            <w:vAlign w:val="center"/>
            <w:hideMark/>
          </w:tcPr>
          <w:p w:rsidR="008124F3" w:rsidRPr="008124F3" w:rsidRDefault="008124F3" w:rsidP="008124F3">
            <w:pPr>
              <w:rPr>
                <w:b/>
                <w:bCs/>
                <w:color w:val="000000"/>
                <w:sz w:val="18"/>
                <w:szCs w:val="16"/>
              </w:rPr>
            </w:pP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B1/B3</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Technical assistance in local risk management at the municipal and departmental levels</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3,198,518</w:t>
            </w:r>
          </w:p>
        </w:tc>
      </w:tr>
      <w:tr w:rsidR="008124F3" w:rsidRPr="007824D2" w:rsidTr="00AF3A57">
        <w:trPr>
          <w:trHeight w:val="810"/>
          <w:jc w:val="center"/>
        </w:trPr>
        <w:tc>
          <w:tcPr>
            <w:tcW w:w="1417" w:type="dxa"/>
            <w:vMerge/>
            <w:tcBorders>
              <w:top w:val="nil"/>
              <w:left w:val="single" w:sz="8" w:space="0" w:color="auto"/>
              <w:bottom w:val="single" w:sz="4" w:space="0" w:color="auto"/>
              <w:right w:val="single" w:sz="8" w:space="0" w:color="auto"/>
            </w:tcBorders>
            <w:vAlign w:val="center"/>
            <w:hideMark/>
          </w:tcPr>
          <w:p w:rsidR="008124F3" w:rsidRPr="008124F3" w:rsidRDefault="008124F3" w:rsidP="008124F3">
            <w:pPr>
              <w:rPr>
                <w:b/>
                <w:bCs/>
                <w:color w:val="000000"/>
                <w:sz w:val="18"/>
                <w:szCs w:val="16"/>
              </w:rPr>
            </w:pP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C1</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 xml:space="preserve">Support for strengthening policies and financial instruments of Colombia National Plan for Prevention and Attention of Disasters </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1,621,604</w:t>
            </w:r>
          </w:p>
        </w:tc>
      </w:tr>
      <w:tr w:rsidR="008124F3" w:rsidRPr="007824D2" w:rsidTr="00AF3A57">
        <w:trPr>
          <w:trHeight w:val="1080"/>
          <w:jc w:val="center"/>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8124F3" w:rsidRPr="008124F3" w:rsidRDefault="008124F3" w:rsidP="008124F3">
            <w:pPr>
              <w:jc w:val="center"/>
              <w:rPr>
                <w:b/>
                <w:bCs/>
                <w:color w:val="000000"/>
                <w:sz w:val="18"/>
                <w:szCs w:val="16"/>
              </w:rPr>
            </w:pPr>
            <w:r w:rsidRPr="008124F3">
              <w:rPr>
                <w:b/>
                <w:bCs/>
                <w:color w:val="000000"/>
                <w:sz w:val="18"/>
                <w:szCs w:val="16"/>
              </w:rPr>
              <w:t>IDEAM</w:t>
            </w: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A2</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 xml:space="preserve">Improving the identification, tracing and monitoring for early warning of hydro-meteorological  hazards  </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2,129,164</w:t>
            </w:r>
          </w:p>
        </w:tc>
      </w:tr>
      <w:tr w:rsidR="008124F3" w:rsidRPr="007824D2" w:rsidTr="00AF3A57">
        <w:trPr>
          <w:trHeight w:val="1080"/>
          <w:jc w:val="center"/>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8124F3" w:rsidRPr="008124F3" w:rsidRDefault="008124F3" w:rsidP="008124F3">
            <w:pPr>
              <w:jc w:val="center"/>
              <w:rPr>
                <w:b/>
                <w:bCs/>
                <w:color w:val="000000"/>
                <w:sz w:val="18"/>
                <w:szCs w:val="16"/>
              </w:rPr>
            </w:pPr>
            <w:r w:rsidRPr="008124F3">
              <w:rPr>
                <w:b/>
                <w:bCs/>
                <w:color w:val="000000"/>
                <w:sz w:val="18"/>
                <w:szCs w:val="16"/>
              </w:rPr>
              <w:t xml:space="preserve">INVIAS </w:t>
            </w: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A1</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Implementation of a comprehensive risk management system of transport networks for roads, rivers, railways and ports</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927,580</w:t>
            </w:r>
          </w:p>
        </w:tc>
      </w:tr>
      <w:tr w:rsidR="008124F3" w:rsidRPr="007824D2" w:rsidTr="00AF3A57">
        <w:trPr>
          <w:trHeight w:val="300"/>
          <w:jc w:val="center"/>
        </w:trPr>
        <w:tc>
          <w:tcPr>
            <w:tcW w:w="1417" w:type="dxa"/>
            <w:vMerge w:val="restart"/>
            <w:tcBorders>
              <w:top w:val="nil"/>
              <w:left w:val="single" w:sz="8" w:space="0" w:color="auto"/>
              <w:bottom w:val="nil"/>
              <w:right w:val="single" w:sz="8" w:space="0" w:color="auto"/>
            </w:tcBorders>
            <w:shd w:val="clear" w:color="auto" w:fill="auto"/>
            <w:vAlign w:val="center"/>
            <w:hideMark/>
          </w:tcPr>
          <w:p w:rsidR="008124F3" w:rsidRPr="008124F3" w:rsidRDefault="008124F3" w:rsidP="008124F3">
            <w:pPr>
              <w:jc w:val="center"/>
              <w:rPr>
                <w:b/>
                <w:bCs/>
                <w:color w:val="000000"/>
                <w:sz w:val="18"/>
                <w:szCs w:val="16"/>
              </w:rPr>
            </w:pPr>
            <w:r w:rsidRPr="008124F3">
              <w:rPr>
                <w:b/>
                <w:bCs/>
                <w:color w:val="000000"/>
                <w:sz w:val="18"/>
                <w:szCs w:val="16"/>
              </w:rPr>
              <w:t>M</w:t>
            </w:r>
            <w:r w:rsidR="00655494">
              <w:rPr>
                <w:b/>
                <w:bCs/>
                <w:color w:val="000000"/>
                <w:sz w:val="18"/>
                <w:szCs w:val="16"/>
              </w:rPr>
              <w:t>A</w:t>
            </w:r>
            <w:r w:rsidRPr="008124F3">
              <w:rPr>
                <w:b/>
                <w:bCs/>
                <w:color w:val="000000"/>
                <w:sz w:val="18"/>
                <w:szCs w:val="16"/>
              </w:rPr>
              <w:t>VDT</w:t>
            </w: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D</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National environmental risk management training</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319,213</w:t>
            </w:r>
          </w:p>
        </w:tc>
      </w:tr>
      <w:tr w:rsidR="008124F3" w:rsidRPr="007824D2" w:rsidTr="00AF3A57">
        <w:trPr>
          <w:trHeight w:val="810"/>
          <w:jc w:val="center"/>
        </w:trPr>
        <w:tc>
          <w:tcPr>
            <w:tcW w:w="1417" w:type="dxa"/>
            <w:vMerge/>
            <w:tcBorders>
              <w:top w:val="nil"/>
              <w:left w:val="single" w:sz="8" w:space="0" w:color="auto"/>
              <w:bottom w:val="nil"/>
              <w:right w:val="single" w:sz="8" w:space="0" w:color="auto"/>
            </w:tcBorders>
            <w:vAlign w:val="center"/>
            <w:hideMark/>
          </w:tcPr>
          <w:p w:rsidR="008124F3" w:rsidRPr="008124F3" w:rsidRDefault="008124F3" w:rsidP="008124F3">
            <w:pPr>
              <w:rPr>
                <w:b/>
                <w:bCs/>
                <w:color w:val="000000"/>
                <w:sz w:val="18"/>
                <w:szCs w:val="16"/>
              </w:rPr>
            </w:pP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B1/B3</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Prevention and mitigation of risks in land use plans in territorial planning</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744,831</w:t>
            </w:r>
          </w:p>
        </w:tc>
      </w:tr>
      <w:tr w:rsidR="008124F3" w:rsidRPr="007824D2" w:rsidTr="00AF3A57">
        <w:trPr>
          <w:trHeight w:val="1080"/>
          <w:jc w:val="center"/>
        </w:trPr>
        <w:tc>
          <w:tcPr>
            <w:tcW w:w="1417" w:type="dxa"/>
            <w:vMerge/>
            <w:tcBorders>
              <w:top w:val="nil"/>
              <w:left w:val="single" w:sz="8" w:space="0" w:color="auto"/>
              <w:bottom w:val="nil"/>
              <w:right w:val="single" w:sz="8" w:space="0" w:color="auto"/>
            </w:tcBorders>
            <w:vAlign w:val="center"/>
            <w:hideMark/>
          </w:tcPr>
          <w:p w:rsidR="008124F3" w:rsidRPr="008124F3" w:rsidRDefault="008124F3" w:rsidP="008124F3">
            <w:pPr>
              <w:rPr>
                <w:b/>
                <w:bCs/>
                <w:color w:val="000000"/>
                <w:sz w:val="18"/>
                <w:szCs w:val="16"/>
              </w:rPr>
            </w:pPr>
          </w:p>
        </w:tc>
        <w:tc>
          <w:tcPr>
            <w:tcW w:w="2505" w:type="dxa"/>
            <w:gridSpan w:val="2"/>
            <w:tcBorders>
              <w:top w:val="nil"/>
              <w:left w:val="single" w:sz="8" w:space="0" w:color="auto"/>
              <w:bottom w:val="single" w:sz="4" w:space="0" w:color="auto"/>
              <w:right w:val="single" w:sz="8" w:space="0" w:color="auto"/>
            </w:tcBorders>
          </w:tcPr>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p>
          <w:p w:rsidR="008124F3" w:rsidRPr="007824D2" w:rsidRDefault="008124F3" w:rsidP="008124F3">
            <w:pPr>
              <w:jc w:val="center"/>
              <w:rPr>
                <w:color w:val="000000"/>
                <w:sz w:val="18"/>
                <w:szCs w:val="16"/>
              </w:rPr>
            </w:pPr>
            <w:r w:rsidRPr="007824D2">
              <w:rPr>
                <w:color w:val="000000"/>
                <w:sz w:val="18"/>
                <w:szCs w:val="16"/>
              </w:rPr>
              <w:t>C2</w:t>
            </w:r>
          </w:p>
        </w:tc>
        <w:tc>
          <w:tcPr>
            <w:tcW w:w="2420" w:type="dxa"/>
            <w:gridSpan w:val="2"/>
            <w:tcBorders>
              <w:top w:val="nil"/>
              <w:left w:val="single" w:sz="8" w:space="0" w:color="auto"/>
              <w:bottom w:val="single" w:sz="4" w:space="0" w:color="auto"/>
              <w:right w:val="single" w:sz="4" w:space="0" w:color="auto"/>
            </w:tcBorders>
            <w:shd w:val="clear" w:color="auto" w:fill="auto"/>
            <w:vAlign w:val="center"/>
            <w:hideMark/>
          </w:tcPr>
          <w:p w:rsidR="008124F3" w:rsidRPr="008124F3" w:rsidRDefault="008124F3" w:rsidP="008124F3">
            <w:pPr>
              <w:rPr>
                <w:color w:val="000000"/>
                <w:sz w:val="18"/>
                <w:szCs w:val="16"/>
              </w:rPr>
            </w:pPr>
            <w:r w:rsidRPr="008124F3">
              <w:rPr>
                <w:color w:val="000000"/>
                <w:sz w:val="18"/>
                <w:szCs w:val="16"/>
              </w:rPr>
              <w:t>Implementation of a technical coordination unit for t</w:t>
            </w:r>
            <w:r w:rsidRPr="008124F3">
              <w:rPr>
                <w:b/>
                <w:bCs/>
                <w:color w:val="000000"/>
                <w:sz w:val="18"/>
                <w:szCs w:val="16"/>
              </w:rPr>
              <w:t xml:space="preserve">he </w:t>
            </w:r>
            <w:r w:rsidRPr="008124F3">
              <w:rPr>
                <w:color w:val="000000"/>
                <w:sz w:val="18"/>
                <w:szCs w:val="16"/>
              </w:rPr>
              <w:t>reduction of fiscal vulnerability to national disasters</w:t>
            </w:r>
          </w:p>
        </w:tc>
        <w:tc>
          <w:tcPr>
            <w:tcW w:w="2421" w:type="dxa"/>
            <w:tcBorders>
              <w:top w:val="nil"/>
              <w:left w:val="nil"/>
              <w:bottom w:val="single" w:sz="4" w:space="0" w:color="auto"/>
              <w:right w:val="single" w:sz="4" w:space="0" w:color="auto"/>
            </w:tcBorders>
            <w:shd w:val="clear" w:color="auto" w:fill="auto"/>
            <w:noWrap/>
            <w:vAlign w:val="center"/>
            <w:hideMark/>
          </w:tcPr>
          <w:p w:rsidR="008124F3" w:rsidRPr="008124F3" w:rsidRDefault="00D97942" w:rsidP="008124F3">
            <w:pPr>
              <w:jc w:val="right"/>
              <w:rPr>
                <w:color w:val="000000"/>
                <w:sz w:val="18"/>
                <w:szCs w:val="16"/>
              </w:rPr>
            </w:pPr>
            <w:r w:rsidRPr="00D97942">
              <w:rPr>
                <w:color w:val="000000"/>
                <w:sz w:val="18"/>
                <w:szCs w:val="16"/>
              </w:rPr>
              <w:t>638,427</w:t>
            </w:r>
          </w:p>
        </w:tc>
      </w:tr>
      <w:tr w:rsidR="00D97942" w:rsidRPr="00BE4B06" w:rsidTr="00AF3A57">
        <w:trPr>
          <w:trHeight w:val="330"/>
          <w:jc w:val="center"/>
        </w:trPr>
        <w:tc>
          <w:tcPr>
            <w:tcW w:w="1417" w:type="dxa"/>
            <w:tcBorders>
              <w:top w:val="single" w:sz="4" w:space="0" w:color="auto"/>
              <w:left w:val="single" w:sz="8" w:space="0" w:color="auto"/>
              <w:bottom w:val="single" w:sz="8" w:space="0" w:color="auto"/>
              <w:right w:val="single" w:sz="8" w:space="0" w:color="auto"/>
            </w:tcBorders>
            <w:shd w:val="clear" w:color="auto" w:fill="FFFFFF" w:themeFill="background1"/>
            <w:noWrap/>
            <w:vAlign w:val="bottom"/>
            <w:hideMark/>
          </w:tcPr>
          <w:p w:rsidR="004A1E7C" w:rsidRDefault="004A1E7C" w:rsidP="004A1E7C">
            <w:pPr>
              <w:jc w:val="center"/>
              <w:rPr>
                <w:color w:val="000000"/>
                <w:sz w:val="18"/>
                <w:szCs w:val="16"/>
              </w:rPr>
            </w:pPr>
            <w:r w:rsidRPr="004A1E7C">
              <w:rPr>
                <w:b/>
                <w:bCs/>
                <w:color w:val="000000"/>
                <w:sz w:val="18"/>
                <w:szCs w:val="16"/>
              </w:rPr>
              <w:t>MHCP</w:t>
            </w:r>
          </w:p>
        </w:tc>
        <w:tc>
          <w:tcPr>
            <w:tcW w:w="2505" w:type="dxa"/>
            <w:gridSpan w:val="2"/>
            <w:tcBorders>
              <w:top w:val="nil"/>
              <w:left w:val="single" w:sz="8" w:space="0" w:color="auto"/>
              <w:bottom w:val="single" w:sz="8" w:space="0" w:color="auto"/>
              <w:right w:val="single" w:sz="8" w:space="0" w:color="auto"/>
            </w:tcBorders>
            <w:shd w:val="clear" w:color="auto" w:fill="FFFFFF" w:themeFill="background1"/>
          </w:tcPr>
          <w:p w:rsidR="00BE4B06" w:rsidRDefault="00BE4B06" w:rsidP="008124F3">
            <w:pPr>
              <w:jc w:val="center"/>
              <w:rPr>
                <w:color w:val="000000"/>
                <w:sz w:val="18"/>
                <w:szCs w:val="16"/>
              </w:rPr>
            </w:pPr>
          </w:p>
          <w:p w:rsidR="00BE4B06" w:rsidRDefault="00BE4B06" w:rsidP="008124F3">
            <w:pPr>
              <w:jc w:val="center"/>
              <w:rPr>
                <w:color w:val="000000"/>
                <w:sz w:val="18"/>
                <w:szCs w:val="16"/>
              </w:rPr>
            </w:pPr>
          </w:p>
          <w:p w:rsidR="00D97942" w:rsidRPr="00D97942" w:rsidRDefault="004A1E7C" w:rsidP="008124F3">
            <w:pPr>
              <w:jc w:val="center"/>
              <w:rPr>
                <w:color w:val="000000"/>
                <w:sz w:val="18"/>
                <w:szCs w:val="16"/>
              </w:rPr>
            </w:pPr>
            <w:r w:rsidRPr="004A1E7C">
              <w:rPr>
                <w:color w:val="000000"/>
                <w:sz w:val="18"/>
                <w:szCs w:val="16"/>
              </w:rPr>
              <w:t>E1</w:t>
            </w:r>
          </w:p>
        </w:tc>
        <w:tc>
          <w:tcPr>
            <w:tcW w:w="2420" w:type="dxa"/>
            <w:gridSpan w:val="2"/>
            <w:tcBorders>
              <w:top w:val="nil"/>
              <w:left w:val="single" w:sz="8" w:space="0" w:color="auto"/>
              <w:bottom w:val="single" w:sz="8" w:space="0" w:color="auto"/>
              <w:right w:val="single" w:sz="4" w:space="0" w:color="auto"/>
            </w:tcBorders>
            <w:shd w:val="clear" w:color="auto" w:fill="FFFFFF" w:themeFill="background1"/>
            <w:hideMark/>
          </w:tcPr>
          <w:p w:rsidR="004A1E7C" w:rsidRPr="004A1E7C" w:rsidRDefault="004A1E7C" w:rsidP="004A1E7C">
            <w:pPr>
              <w:rPr>
                <w:color w:val="000000"/>
                <w:sz w:val="18"/>
                <w:szCs w:val="16"/>
              </w:rPr>
            </w:pPr>
            <w:r w:rsidRPr="004A1E7C">
              <w:rPr>
                <w:color w:val="000000"/>
                <w:sz w:val="18"/>
                <w:szCs w:val="16"/>
              </w:rPr>
              <w:t>Design, training and dissemination of the tools for the management and transfer of natural disaster risk at the national level</w:t>
            </w:r>
          </w:p>
        </w:tc>
        <w:tc>
          <w:tcPr>
            <w:tcW w:w="2421" w:type="dxa"/>
            <w:tcBorders>
              <w:top w:val="nil"/>
              <w:left w:val="nil"/>
              <w:bottom w:val="single" w:sz="8" w:space="0" w:color="auto"/>
              <w:right w:val="single" w:sz="4" w:space="0" w:color="auto"/>
            </w:tcBorders>
            <w:shd w:val="clear" w:color="auto" w:fill="FFFFFF" w:themeFill="background1"/>
            <w:hideMark/>
          </w:tcPr>
          <w:p w:rsidR="00D97942" w:rsidRPr="00BE4B06" w:rsidRDefault="004A1E7C" w:rsidP="008124F3">
            <w:pPr>
              <w:jc w:val="right"/>
              <w:rPr>
                <w:bCs/>
                <w:sz w:val="18"/>
                <w:szCs w:val="16"/>
              </w:rPr>
            </w:pPr>
            <w:r w:rsidRPr="004A1E7C">
              <w:rPr>
                <w:bCs/>
                <w:sz w:val="18"/>
                <w:szCs w:val="16"/>
              </w:rPr>
              <w:t>274,524</w:t>
            </w:r>
          </w:p>
        </w:tc>
      </w:tr>
      <w:tr w:rsidR="008124F3" w:rsidRPr="007824D2" w:rsidTr="008C3430">
        <w:trPr>
          <w:trHeight w:val="330"/>
          <w:jc w:val="center"/>
        </w:trPr>
        <w:tc>
          <w:tcPr>
            <w:tcW w:w="1417"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8124F3" w:rsidRPr="008C3430" w:rsidRDefault="008124F3" w:rsidP="008124F3">
            <w:pPr>
              <w:rPr>
                <w:sz w:val="18"/>
                <w:szCs w:val="16"/>
              </w:rPr>
            </w:pPr>
            <w:r w:rsidRPr="008C3430">
              <w:rPr>
                <w:sz w:val="18"/>
                <w:szCs w:val="16"/>
              </w:rPr>
              <w:t> </w:t>
            </w:r>
          </w:p>
        </w:tc>
        <w:tc>
          <w:tcPr>
            <w:tcW w:w="2505" w:type="dxa"/>
            <w:gridSpan w:val="2"/>
            <w:tcBorders>
              <w:top w:val="nil"/>
              <w:left w:val="single" w:sz="8" w:space="0" w:color="auto"/>
              <w:bottom w:val="single" w:sz="8" w:space="0" w:color="auto"/>
              <w:right w:val="single" w:sz="8" w:space="0" w:color="auto"/>
            </w:tcBorders>
            <w:shd w:val="clear" w:color="auto" w:fill="BFBFBF" w:themeFill="background1" w:themeFillShade="BF"/>
          </w:tcPr>
          <w:p w:rsidR="008124F3" w:rsidRPr="008C3430" w:rsidRDefault="008124F3" w:rsidP="008124F3">
            <w:pPr>
              <w:jc w:val="center"/>
              <w:rPr>
                <w:b/>
                <w:bCs/>
                <w:sz w:val="18"/>
                <w:szCs w:val="16"/>
              </w:rPr>
            </w:pPr>
          </w:p>
        </w:tc>
        <w:tc>
          <w:tcPr>
            <w:tcW w:w="2420" w:type="dxa"/>
            <w:gridSpan w:val="2"/>
            <w:tcBorders>
              <w:top w:val="nil"/>
              <w:left w:val="single" w:sz="8" w:space="0" w:color="auto"/>
              <w:bottom w:val="single" w:sz="8" w:space="0" w:color="auto"/>
              <w:right w:val="single" w:sz="4" w:space="0" w:color="auto"/>
            </w:tcBorders>
            <w:shd w:val="clear" w:color="auto" w:fill="BFBFBF" w:themeFill="background1" w:themeFillShade="BF"/>
            <w:hideMark/>
          </w:tcPr>
          <w:p w:rsidR="008124F3" w:rsidRPr="008C3430" w:rsidRDefault="008124F3" w:rsidP="008124F3">
            <w:pPr>
              <w:jc w:val="right"/>
              <w:rPr>
                <w:b/>
                <w:bCs/>
                <w:sz w:val="18"/>
                <w:szCs w:val="16"/>
              </w:rPr>
            </w:pPr>
            <w:r w:rsidRPr="008C3430">
              <w:rPr>
                <w:b/>
                <w:bCs/>
                <w:sz w:val="18"/>
                <w:szCs w:val="16"/>
              </w:rPr>
              <w:t xml:space="preserve">TOTAL </w:t>
            </w:r>
          </w:p>
        </w:tc>
        <w:tc>
          <w:tcPr>
            <w:tcW w:w="2421" w:type="dxa"/>
            <w:tcBorders>
              <w:top w:val="nil"/>
              <w:left w:val="nil"/>
              <w:bottom w:val="single" w:sz="8" w:space="0" w:color="auto"/>
              <w:right w:val="single" w:sz="4" w:space="0" w:color="auto"/>
            </w:tcBorders>
            <w:shd w:val="clear" w:color="auto" w:fill="BFBFBF" w:themeFill="background1" w:themeFillShade="BF"/>
            <w:hideMark/>
          </w:tcPr>
          <w:p w:rsidR="008124F3" w:rsidRPr="008C3430" w:rsidRDefault="00696164" w:rsidP="008124F3">
            <w:pPr>
              <w:jc w:val="right"/>
              <w:rPr>
                <w:b/>
                <w:bCs/>
                <w:sz w:val="18"/>
                <w:szCs w:val="16"/>
              </w:rPr>
            </w:pPr>
            <w:r w:rsidRPr="008C3430">
              <w:rPr>
                <w:b/>
                <w:bCs/>
                <w:sz w:val="18"/>
                <w:szCs w:val="16"/>
              </w:rPr>
              <w:t xml:space="preserve">USD $ 16,134,384.80 </w:t>
            </w:r>
          </w:p>
        </w:tc>
      </w:tr>
      <w:tr w:rsidR="008124F3" w:rsidRPr="007824D2" w:rsidTr="00AF3A57">
        <w:trPr>
          <w:gridAfter w:val="2"/>
          <w:wAfter w:w="4828" w:type="dxa"/>
          <w:trHeight w:val="300"/>
          <w:jc w:val="center"/>
        </w:trPr>
        <w:tc>
          <w:tcPr>
            <w:tcW w:w="2681" w:type="dxa"/>
            <w:gridSpan w:val="2"/>
            <w:tcBorders>
              <w:top w:val="nil"/>
              <w:left w:val="nil"/>
              <w:bottom w:val="nil"/>
              <w:right w:val="nil"/>
            </w:tcBorders>
          </w:tcPr>
          <w:p w:rsidR="008124F3" w:rsidRPr="007824D2" w:rsidRDefault="008124F3" w:rsidP="00AF3A57">
            <w:pPr>
              <w:rPr>
                <w:color w:val="000000"/>
                <w:sz w:val="18"/>
                <w:szCs w:val="16"/>
              </w:rPr>
            </w:pPr>
          </w:p>
        </w:tc>
        <w:tc>
          <w:tcPr>
            <w:tcW w:w="1254" w:type="dxa"/>
            <w:gridSpan w:val="2"/>
            <w:tcBorders>
              <w:top w:val="nil"/>
              <w:left w:val="nil"/>
              <w:bottom w:val="nil"/>
              <w:right w:val="nil"/>
            </w:tcBorders>
            <w:shd w:val="clear" w:color="auto" w:fill="auto"/>
            <w:noWrap/>
            <w:vAlign w:val="bottom"/>
            <w:hideMark/>
          </w:tcPr>
          <w:p w:rsidR="008124F3" w:rsidRPr="008124F3" w:rsidRDefault="008124F3" w:rsidP="008124F3">
            <w:pPr>
              <w:rPr>
                <w:color w:val="000000"/>
                <w:sz w:val="18"/>
                <w:szCs w:val="16"/>
              </w:rPr>
            </w:pPr>
          </w:p>
        </w:tc>
      </w:tr>
    </w:tbl>
    <w:p w:rsidR="009E6615" w:rsidRPr="00AF3A57" w:rsidRDefault="00AF3A57" w:rsidP="00AF3A57">
      <w:pPr>
        <w:pStyle w:val="BankNormal"/>
        <w:rPr>
          <w:sz w:val="20"/>
        </w:rPr>
      </w:pPr>
      <w:r w:rsidRPr="00AF3A57">
        <w:rPr>
          <w:sz w:val="20"/>
        </w:rPr>
        <w:t xml:space="preserve">* Note: </w:t>
      </w:r>
      <w:r>
        <w:rPr>
          <w:sz w:val="20"/>
        </w:rPr>
        <w:t>The total for these activities is US$16,114,436, the difference being due to the exchange rate</w:t>
      </w:r>
      <w:r w:rsidR="003C7C59">
        <w:rPr>
          <w:sz w:val="20"/>
        </w:rPr>
        <w:t xml:space="preserve"> projections for 2012-2013</w:t>
      </w:r>
      <w:r>
        <w:rPr>
          <w:sz w:val="20"/>
        </w:rPr>
        <w:t>.</w:t>
      </w:r>
      <w:r w:rsidRPr="00AF3A57">
        <w:rPr>
          <w:sz w:val="20"/>
        </w:rPr>
        <w:t xml:space="preserve"> </w:t>
      </w:r>
    </w:p>
    <w:p w:rsidR="00BA3288" w:rsidRDefault="00BA3288">
      <w:pPr>
        <w:rPr>
          <w:b/>
          <w:bCs/>
        </w:rPr>
      </w:pPr>
      <w:r>
        <w:rPr>
          <w:b/>
          <w:bCs/>
        </w:rPr>
        <w:br w:type="page"/>
      </w:r>
    </w:p>
    <w:p w:rsidR="003E75DA" w:rsidRPr="003E75DA" w:rsidRDefault="003E75DA" w:rsidP="003E75DA">
      <w:pPr>
        <w:jc w:val="center"/>
        <w:rPr>
          <w:b/>
          <w:bCs/>
        </w:rPr>
      </w:pPr>
      <w:r w:rsidRPr="003E75DA">
        <w:rPr>
          <w:b/>
          <w:bCs/>
        </w:rPr>
        <w:lastRenderedPageBreak/>
        <w:t>ANNEX 3</w:t>
      </w:r>
      <w:proofErr w:type="gramStart"/>
      <w:r w:rsidRPr="003E75DA">
        <w:rPr>
          <w:b/>
          <w:bCs/>
        </w:rPr>
        <w:t>:</w:t>
      </w:r>
      <w:proofErr w:type="gramEnd"/>
      <w:r w:rsidRPr="003E75DA">
        <w:rPr>
          <w:b/>
          <w:bCs/>
        </w:rPr>
        <w:br/>
        <w:t>Extension of Closing Date</w:t>
      </w:r>
    </w:p>
    <w:p w:rsidR="00A97646" w:rsidRPr="00A97646" w:rsidRDefault="00A97646" w:rsidP="00A97646">
      <w:pPr>
        <w:jc w:val="center"/>
        <w:rPr>
          <w:b/>
          <w:bCs/>
        </w:rPr>
      </w:pPr>
      <w:r w:rsidRPr="00A97646">
        <w:rPr>
          <w:b/>
          <w:bCs/>
        </w:rPr>
        <w:t>COLOMBIA</w:t>
      </w:r>
      <w:r>
        <w:rPr>
          <w:b/>
          <w:bCs/>
        </w:rPr>
        <w:t xml:space="preserve"> –</w:t>
      </w:r>
      <w:r w:rsidRPr="00A97646">
        <w:rPr>
          <w:b/>
          <w:bCs/>
          <w:i/>
        </w:rPr>
        <w:t xml:space="preserve"> </w:t>
      </w:r>
      <w:r w:rsidRPr="00A97646">
        <w:rPr>
          <w:b/>
          <w:bCs/>
        </w:rPr>
        <w:t>National Disaster Vulnerability Reduction Project First Phase APL</w:t>
      </w:r>
    </w:p>
    <w:p w:rsidR="00A97646" w:rsidRPr="00A97646" w:rsidRDefault="00A97646" w:rsidP="00A97646">
      <w:pPr>
        <w:jc w:val="center"/>
        <w:rPr>
          <w:b/>
          <w:bCs/>
        </w:rPr>
      </w:pPr>
      <w:r w:rsidRPr="00A97646">
        <w:rPr>
          <w:b/>
          <w:bCs/>
        </w:rPr>
        <w:t>P082429</w:t>
      </w:r>
    </w:p>
    <w:p w:rsidR="00A97646" w:rsidRPr="00A97646" w:rsidRDefault="00A97646" w:rsidP="00A97646">
      <w:pPr>
        <w:jc w:val="center"/>
        <w:rPr>
          <w:b/>
          <w:bCs/>
          <w:i/>
        </w:rPr>
      </w:pPr>
      <w:r w:rsidRPr="00A97646">
        <w:rPr>
          <w:b/>
          <w:bCs/>
        </w:rPr>
        <w:t>Loan No. 7293-CO</w:t>
      </w:r>
    </w:p>
    <w:p w:rsidR="00A97646" w:rsidRDefault="00A97646" w:rsidP="00A97646">
      <w:pPr>
        <w:jc w:val="center"/>
      </w:pPr>
    </w:p>
    <w:p w:rsidR="003E75DA" w:rsidRPr="00A97646" w:rsidRDefault="00A97646" w:rsidP="00A97646">
      <w:pPr>
        <w:jc w:val="center"/>
        <w:rPr>
          <w:b/>
        </w:rPr>
      </w:pPr>
      <w:r w:rsidRPr="00A97646">
        <w:rPr>
          <w:b/>
        </w:rPr>
        <w:t>Restructuring Paper</w:t>
      </w:r>
    </w:p>
    <w:p w:rsidR="003E75DA" w:rsidRPr="003E75DA" w:rsidRDefault="003E75DA" w:rsidP="003E75DA"/>
    <w:p w:rsidR="003E75DA" w:rsidRDefault="003E75DA" w:rsidP="0014707B">
      <w:pPr>
        <w:numPr>
          <w:ilvl w:val="0"/>
          <w:numId w:val="4"/>
        </w:numPr>
        <w:jc w:val="both"/>
      </w:pPr>
      <w:r w:rsidRPr="003E75DA">
        <w:t xml:space="preserve">The closing date for </w:t>
      </w:r>
      <w:r w:rsidR="00660B43">
        <w:t xml:space="preserve">the </w:t>
      </w:r>
      <w:r w:rsidR="00374BC1" w:rsidRPr="00374BC1">
        <w:t xml:space="preserve">Colombia, National Disaster Vulnerability Reduction Project First Phase APL, Loan No. 7293-CO, P082429 </w:t>
      </w:r>
      <w:r w:rsidRPr="003E75DA">
        <w:rPr>
          <w:iCs/>
        </w:rPr>
        <w:t>will be extended</w:t>
      </w:r>
      <w:r w:rsidRPr="003E75DA">
        <w:rPr>
          <w:i/>
          <w:iCs/>
        </w:rPr>
        <w:t xml:space="preserve"> </w:t>
      </w:r>
      <w:r w:rsidRPr="003E75DA">
        <w:t>from</w:t>
      </w:r>
      <w:r>
        <w:t xml:space="preserve"> </w:t>
      </w:r>
      <w:r w:rsidR="00660B43">
        <w:t>December 31, 2011</w:t>
      </w:r>
      <w:r w:rsidRPr="003E75DA">
        <w:t xml:space="preserve"> until </w:t>
      </w:r>
      <w:r w:rsidR="00660B43">
        <w:t xml:space="preserve">August </w:t>
      </w:r>
      <w:r w:rsidR="001A74EB">
        <w:t>31</w:t>
      </w:r>
      <w:r w:rsidR="00660B43">
        <w:t xml:space="preserve">, </w:t>
      </w:r>
      <w:r>
        <w:t>2013</w:t>
      </w:r>
      <w:r w:rsidRPr="003E75DA">
        <w:t xml:space="preserve">.  </w:t>
      </w:r>
    </w:p>
    <w:p w:rsidR="003E75DA" w:rsidRDefault="003E75DA" w:rsidP="003E75DA">
      <w:pPr>
        <w:ind w:left="360"/>
      </w:pPr>
    </w:p>
    <w:p w:rsidR="003E75DA" w:rsidRPr="006945D9" w:rsidRDefault="00562AC1" w:rsidP="0014707B">
      <w:pPr>
        <w:numPr>
          <w:ilvl w:val="0"/>
          <w:numId w:val="4"/>
        </w:numPr>
        <w:jc w:val="both"/>
      </w:pPr>
      <w:r>
        <w:t xml:space="preserve">As discussed in the </w:t>
      </w:r>
      <w:r w:rsidRPr="00562AC1">
        <w:t>Project Status section of the Restructuring Paper</w:t>
      </w:r>
      <w:r w:rsidR="006945D9" w:rsidRPr="006945D9">
        <w:t>, p</w:t>
      </w:r>
      <w:r w:rsidR="00EE4BC9" w:rsidRPr="006945D9">
        <w:t>rogress in project implementation is Satisfactory</w:t>
      </w:r>
      <w:r w:rsidR="006945D9">
        <w:t xml:space="preserve">, and the </w:t>
      </w:r>
      <w:r w:rsidR="006945D9" w:rsidRPr="006945D9">
        <w:t>project objectives continue to be achievable</w:t>
      </w:r>
      <w:r w:rsidR="006945D9">
        <w:t>.</w:t>
      </w:r>
      <w:r w:rsidR="009A5275">
        <w:t xml:space="preserve"> </w:t>
      </w:r>
    </w:p>
    <w:p w:rsidR="003E75DA" w:rsidRDefault="003E75DA" w:rsidP="003E75DA">
      <w:pPr>
        <w:ind w:left="360"/>
      </w:pPr>
    </w:p>
    <w:p w:rsidR="00DD13A9" w:rsidRDefault="003E75DA" w:rsidP="0014707B">
      <w:pPr>
        <w:numPr>
          <w:ilvl w:val="0"/>
          <w:numId w:val="4"/>
        </w:numPr>
        <w:jc w:val="both"/>
      </w:pPr>
      <w:r w:rsidRPr="003E75DA">
        <w:t xml:space="preserve">The proposed extension is necessary to </w:t>
      </w:r>
      <w:r w:rsidR="006945D9" w:rsidRPr="006945D9">
        <w:t xml:space="preserve">fulfill </w:t>
      </w:r>
      <w:r w:rsidR="00C752E6">
        <w:t>the</w:t>
      </w:r>
      <w:r w:rsidR="006945D9" w:rsidRPr="006945D9">
        <w:t xml:space="preserve"> goals </w:t>
      </w:r>
      <w:r w:rsidR="00C752E6">
        <w:t>specified in</w:t>
      </w:r>
      <w:r w:rsidR="006945D9" w:rsidRPr="006945D9">
        <w:t xml:space="preserve"> the Project Appraisal Document</w:t>
      </w:r>
      <w:r w:rsidR="006945D9">
        <w:t>. Furthermore, the</w:t>
      </w:r>
      <w:r w:rsidR="00DD13A9">
        <w:t xml:space="preserve"> </w:t>
      </w:r>
      <w:r w:rsidR="00523877">
        <w:t>Borrower</w:t>
      </w:r>
      <w:r w:rsidR="00DD13A9">
        <w:t xml:space="preserve"> is increasing the targets for 2011-2013</w:t>
      </w:r>
      <w:r w:rsidR="00BA3288">
        <w:t xml:space="preserve">, as noted in the Proposed Changes section of the </w:t>
      </w:r>
      <w:r w:rsidR="00C53B01">
        <w:t>Restructuring</w:t>
      </w:r>
      <w:r w:rsidR="00BA3288">
        <w:t xml:space="preserve"> Paper</w:t>
      </w:r>
      <w:r w:rsidR="00DD13A9">
        <w:t xml:space="preserve">. As per the documents requesting restructuring and extension of the closing date, the new target is to have </w:t>
      </w:r>
      <w:r w:rsidR="00BA3288">
        <w:t>58% o</w:t>
      </w:r>
      <w:r w:rsidR="003C7C59">
        <w:t>f</w:t>
      </w:r>
      <w:r w:rsidR="00DD13A9">
        <w:t xml:space="preserve"> municipalities with action plans for incorporating Risk in Land Use Plans and/or Municipal Risk Management Plans</w:t>
      </w:r>
      <w:r w:rsidR="00BA3288">
        <w:t xml:space="preserve">; 100% of </w:t>
      </w:r>
      <w:r w:rsidR="00DD13A9" w:rsidRPr="00E02BA3">
        <w:t xml:space="preserve">municipalities </w:t>
      </w:r>
      <w:r w:rsidR="00DD13A9">
        <w:t>with technical assistance on hazard risk reduction</w:t>
      </w:r>
      <w:r w:rsidR="00BA3288">
        <w:t xml:space="preserve">; and </w:t>
      </w:r>
      <w:r w:rsidR="00562AC1" w:rsidRPr="00562AC1">
        <w:t>112</w:t>
      </w:r>
      <w:r w:rsidR="00BA3288" w:rsidRPr="00562AC1">
        <w:t xml:space="preserve"> </w:t>
      </w:r>
      <w:r w:rsidR="00DD13A9" w:rsidRPr="00E02BA3">
        <w:t>municipalities covered by the environmental education for risk management</w:t>
      </w:r>
      <w:r w:rsidR="00DD13A9">
        <w:t xml:space="preserve"> component administered by</w:t>
      </w:r>
      <w:r w:rsidR="00DD13A9" w:rsidRPr="00E02BA3">
        <w:t xml:space="preserve"> MV</w:t>
      </w:r>
      <w:r w:rsidR="00DD262B">
        <w:t>C</w:t>
      </w:r>
      <w:r w:rsidR="00DD13A9" w:rsidRPr="00E02BA3">
        <w:t>DT</w:t>
      </w:r>
      <w:r w:rsidR="00DD13A9">
        <w:t>.</w:t>
      </w:r>
      <w:r w:rsidR="006945D9">
        <w:t xml:space="preserve"> </w:t>
      </w:r>
      <w:r w:rsidR="006945D9" w:rsidRPr="006945D9">
        <w:t xml:space="preserve">The </w:t>
      </w:r>
      <w:r w:rsidR="002B35D3">
        <w:t>Bank</w:t>
      </w:r>
      <w:r w:rsidR="002B35D3" w:rsidRPr="006945D9">
        <w:t xml:space="preserve"> </w:t>
      </w:r>
      <w:r w:rsidR="006945D9" w:rsidRPr="006945D9">
        <w:t xml:space="preserve">team </w:t>
      </w:r>
      <w:r w:rsidR="00867EB0">
        <w:t>considers</w:t>
      </w:r>
      <w:r w:rsidR="006945D9" w:rsidRPr="006945D9">
        <w:t xml:space="preserve"> that the </w:t>
      </w:r>
      <w:proofErr w:type="spellStart"/>
      <w:r w:rsidR="006945D9" w:rsidRPr="006945D9">
        <w:t>GoC’s</w:t>
      </w:r>
      <w:proofErr w:type="spellEnd"/>
      <w:r w:rsidR="006945D9" w:rsidRPr="006945D9">
        <w:t xml:space="preserve"> request</w:t>
      </w:r>
      <w:r w:rsidR="006945D9">
        <w:t xml:space="preserve"> </w:t>
      </w:r>
      <w:r w:rsidR="006945D9" w:rsidRPr="006945D9">
        <w:t xml:space="preserve">for extending the project closing date </w:t>
      </w:r>
      <w:r w:rsidR="006945D9">
        <w:t xml:space="preserve">and the increase in targets for Category 1 </w:t>
      </w:r>
      <w:r w:rsidR="006945D9" w:rsidRPr="006945D9">
        <w:t xml:space="preserve">is evidence of the </w:t>
      </w:r>
      <w:proofErr w:type="spellStart"/>
      <w:r w:rsidR="006945D9" w:rsidRPr="006945D9">
        <w:t>GoC’s</w:t>
      </w:r>
      <w:proofErr w:type="spellEnd"/>
      <w:r w:rsidR="006945D9" w:rsidRPr="006945D9">
        <w:t xml:space="preserve"> engagement on the project. </w:t>
      </w:r>
    </w:p>
    <w:p w:rsidR="006945D9" w:rsidRDefault="006945D9" w:rsidP="006945D9">
      <w:pPr>
        <w:ind w:left="360"/>
      </w:pPr>
    </w:p>
    <w:p w:rsidR="00DD13A9" w:rsidRDefault="00DD13A9" w:rsidP="0014707B">
      <w:pPr>
        <w:numPr>
          <w:ilvl w:val="0"/>
          <w:numId w:val="4"/>
        </w:numPr>
        <w:jc w:val="both"/>
      </w:pPr>
      <w:r>
        <w:t xml:space="preserve">The Borrower has in place an action plan to complete the </w:t>
      </w:r>
      <w:r w:rsidR="00867EB0">
        <w:t>project by the new closing date. This plan reflects the new targets for Category 1.</w:t>
      </w:r>
      <w:r w:rsidR="00B27118">
        <w:t xml:space="preserve"> </w:t>
      </w:r>
      <w:r w:rsidR="00B27118" w:rsidRPr="00B27118">
        <w:t>A revised procurement plan (dated October 19, 2011) has been approved and is on file.</w:t>
      </w:r>
    </w:p>
    <w:p w:rsidR="003E75DA" w:rsidRPr="003E75DA" w:rsidRDefault="003E75DA" w:rsidP="003E75DA">
      <w:pPr>
        <w:ind w:left="360"/>
      </w:pPr>
    </w:p>
    <w:p w:rsidR="003E75DA" w:rsidRPr="003E75DA" w:rsidRDefault="003E75DA" w:rsidP="003E75DA">
      <w:pPr>
        <w:numPr>
          <w:ilvl w:val="0"/>
          <w:numId w:val="4"/>
        </w:numPr>
      </w:pPr>
      <w:r w:rsidRPr="003E75DA">
        <w:t>This will be the</w:t>
      </w:r>
      <w:r w:rsidR="00870209">
        <w:t xml:space="preserve"> first </w:t>
      </w:r>
      <w:r w:rsidRPr="003E75DA">
        <w:t>extension of the project</w:t>
      </w:r>
      <w:r w:rsidR="003C7C59">
        <w:t xml:space="preserve"> closing date</w:t>
      </w:r>
      <w:r w:rsidR="00870209">
        <w:t>.</w:t>
      </w:r>
    </w:p>
    <w:p w:rsidR="003E75DA" w:rsidRPr="003E75DA" w:rsidRDefault="003E75DA" w:rsidP="003E75DA"/>
    <w:p w:rsidR="003E75DA" w:rsidRPr="003E75DA" w:rsidRDefault="003E75DA" w:rsidP="003E75DA"/>
    <w:p w:rsidR="003E75DA" w:rsidRPr="003E75DA" w:rsidRDefault="003E75DA" w:rsidP="003E75DA"/>
    <w:sectPr w:rsidR="003E75DA" w:rsidRPr="003E75DA" w:rsidSect="002F405D">
      <w:headerReference w:type="even" r:id="rId13"/>
      <w:headerReference w:type="default" r:id="rId14"/>
      <w:footerReference w:type="default" r:id="rId15"/>
      <w:pgSz w:w="12240" w:h="15840"/>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58" w:rsidRDefault="00CF6458">
      <w:r>
        <w:separator/>
      </w:r>
    </w:p>
  </w:endnote>
  <w:endnote w:type="continuationSeparator" w:id="0">
    <w:p w:rsidR="00CF6458" w:rsidRDefault="00CF6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6558"/>
      <w:docPartObj>
        <w:docPartGallery w:val="Page Numbers (Bottom of Page)"/>
        <w:docPartUnique/>
      </w:docPartObj>
    </w:sdtPr>
    <w:sdtContent>
      <w:p w:rsidR="00B641E3" w:rsidRDefault="00DA0339">
        <w:pPr>
          <w:pStyle w:val="Footer"/>
          <w:jc w:val="center"/>
        </w:pPr>
        <w:fldSimple w:instr=" PAGE   \* MERGEFORMAT ">
          <w:r w:rsidR="00347646">
            <w:rPr>
              <w:noProof/>
            </w:rPr>
            <w:t>7</w:t>
          </w:r>
        </w:fldSimple>
      </w:p>
    </w:sdtContent>
  </w:sdt>
  <w:p w:rsidR="00B641E3" w:rsidRDefault="00B641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6555"/>
      <w:docPartObj>
        <w:docPartGallery w:val="Page Numbers (Bottom of Page)"/>
        <w:docPartUnique/>
      </w:docPartObj>
    </w:sdtPr>
    <w:sdtContent>
      <w:p w:rsidR="00B641E3" w:rsidRDefault="00DA0339">
        <w:pPr>
          <w:pStyle w:val="Footer"/>
          <w:jc w:val="center"/>
        </w:pPr>
        <w:fldSimple w:instr=" PAGE   \* MERGEFORMAT ">
          <w:r w:rsidR="00347646">
            <w:rPr>
              <w:noProof/>
            </w:rPr>
            <w:t>1</w:t>
          </w:r>
        </w:fldSimple>
      </w:p>
    </w:sdtContent>
  </w:sdt>
  <w:p w:rsidR="00B641E3" w:rsidRDefault="00B641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6556"/>
      <w:docPartObj>
        <w:docPartGallery w:val="Page Numbers (Bottom of Page)"/>
        <w:docPartUnique/>
      </w:docPartObj>
    </w:sdtPr>
    <w:sdtContent>
      <w:p w:rsidR="00B641E3" w:rsidRDefault="00DA0339">
        <w:pPr>
          <w:pStyle w:val="Footer"/>
          <w:jc w:val="center"/>
        </w:pPr>
        <w:fldSimple w:instr=" PAGE   \* MERGEFORMAT ">
          <w:r w:rsidR="00347646">
            <w:rPr>
              <w:noProof/>
            </w:rPr>
            <w:t>8</w:t>
          </w:r>
        </w:fldSimple>
      </w:p>
    </w:sdtContent>
  </w:sdt>
  <w:p w:rsidR="00B641E3" w:rsidRDefault="00B641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E3" w:rsidRDefault="00DA0339">
    <w:pPr>
      <w:pStyle w:val="Footer"/>
      <w:jc w:val="center"/>
      <w:rPr>
        <w:sz w:val="22"/>
      </w:rPr>
    </w:pPr>
    <w:r>
      <w:rPr>
        <w:rStyle w:val="PageNumber"/>
        <w:sz w:val="22"/>
      </w:rPr>
      <w:fldChar w:fldCharType="begin"/>
    </w:r>
    <w:r w:rsidR="00B641E3">
      <w:rPr>
        <w:rStyle w:val="PageNumber"/>
        <w:sz w:val="22"/>
      </w:rPr>
      <w:instrText xml:space="preserve"> PAGE </w:instrText>
    </w:r>
    <w:r>
      <w:rPr>
        <w:rStyle w:val="PageNumber"/>
        <w:sz w:val="22"/>
      </w:rPr>
      <w:fldChar w:fldCharType="separate"/>
    </w:r>
    <w:r w:rsidR="00347646">
      <w:rPr>
        <w:rStyle w:val="PageNumber"/>
        <w:noProof/>
        <w:sz w:val="22"/>
      </w:rPr>
      <w:t>12</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58" w:rsidRDefault="00CF6458">
      <w:r>
        <w:separator/>
      </w:r>
    </w:p>
  </w:footnote>
  <w:footnote w:type="continuationSeparator" w:id="0">
    <w:p w:rsidR="00CF6458" w:rsidRDefault="00CF6458">
      <w:r>
        <w:continuationSeparator/>
      </w:r>
    </w:p>
  </w:footnote>
  <w:footnote w:id="1">
    <w:p w:rsidR="00B641E3" w:rsidRDefault="00B641E3">
      <w:pPr>
        <w:pStyle w:val="FootnoteText"/>
      </w:pPr>
      <w:r>
        <w:rPr>
          <w:rStyle w:val="FootnoteReference"/>
        </w:rPr>
        <w:footnoteRef/>
      </w:r>
      <w:r>
        <w:t xml:space="preserve"> The Ministry of Housing, Cities and Territories retains the technical and administrative functions of its predecessor, the former Ministry of Environment, Housing and Territorial Development (MAVDT).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E3" w:rsidRDefault="00DA0339">
    <w:pPr>
      <w:pStyle w:val="Header"/>
      <w:framePr w:wrap="around" w:vAnchor="text" w:hAnchor="margin" w:xAlign="right" w:y="1"/>
      <w:rPr>
        <w:rStyle w:val="PageNumber"/>
      </w:rPr>
    </w:pPr>
    <w:r>
      <w:rPr>
        <w:rStyle w:val="PageNumber"/>
      </w:rPr>
      <w:fldChar w:fldCharType="begin"/>
    </w:r>
    <w:r w:rsidR="00B641E3">
      <w:rPr>
        <w:rStyle w:val="PageNumber"/>
      </w:rPr>
      <w:instrText xml:space="preserve">PAGE  </w:instrText>
    </w:r>
    <w:r>
      <w:rPr>
        <w:rStyle w:val="PageNumber"/>
      </w:rPr>
      <w:fldChar w:fldCharType="end"/>
    </w:r>
  </w:p>
  <w:p w:rsidR="00B641E3" w:rsidRDefault="00B641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E3" w:rsidRDefault="00B641E3">
    <w:pPr>
      <w:pStyle w:val="Header"/>
      <w:jc w:val="center"/>
    </w:pPr>
  </w:p>
  <w:p w:rsidR="00B641E3" w:rsidRDefault="00B641E3">
    <w:pPr>
      <w:pStyle w:val="Header"/>
      <w:ind w:right="360"/>
      <w:rPr>
        <w:i/>
        <w:iCs/>
        <w:sz w:val="2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E3" w:rsidRDefault="00DA0339">
    <w:pPr>
      <w:pStyle w:val="Header"/>
      <w:framePr w:wrap="around" w:vAnchor="text" w:hAnchor="margin" w:xAlign="right" w:y="1"/>
      <w:rPr>
        <w:rStyle w:val="PageNumber"/>
      </w:rPr>
    </w:pPr>
    <w:r>
      <w:rPr>
        <w:rStyle w:val="PageNumber"/>
      </w:rPr>
      <w:fldChar w:fldCharType="begin"/>
    </w:r>
    <w:r w:rsidR="00B641E3">
      <w:rPr>
        <w:rStyle w:val="PageNumber"/>
      </w:rPr>
      <w:instrText xml:space="preserve">PAGE  </w:instrText>
    </w:r>
    <w:r>
      <w:rPr>
        <w:rStyle w:val="PageNumber"/>
      </w:rPr>
      <w:fldChar w:fldCharType="end"/>
    </w:r>
  </w:p>
  <w:p w:rsidR="00B641E3" w:rsidRDefault="00B641E3">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E3" w:rsidRDefault="00B641E3">
    <w:pPr>
      <w:pStyle w:val="Header"/>
      <w:framePr w:wrap="around" w:vAnchor="text" w:hAnchor="margin" w:xAlign="right" w:y="1"/>
      <w:rPr>
        <w:rStyle w:val="PageNumber"/>
      </w:rPr>
    </w:pPr>
  </w:p>
  <w:p w:rsidR="00B641E3" w:rsidRDefault="00B641E3">
    <w:pPr>
      <w:pStyle w:val="Header"/>
      <w:ind w:right="360"/>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622A1"/>
    <w:multiLevelType w:val="hybridMultilevel"/>
    <w:tmpl w:val="5E122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EF218A"/>
    <w:multiLevelType w:val="hybridMultilevel"/>
    <w:tmpl w:val="C0E6B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C965C8"/>
    <w:multiLevelType w:val="hybridMultilevel"/>
    <w:tmpl w:val="D5A0D27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0"/>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43456"/>
    <w:rsid w:val="00001195"/>
    <w:rsid w:val="000041DE"/>
    <w:rsid w:val="0000553A"/>
    <w:rsid w:val="0000736E"/>
    <w:rsid w:val="0001209F"/>
    <w:rsid w:val="0001293E"/>
    <w:rsid w:val="00026BDA"/>
    <w:rsid w:val="00030D2A"/>
    <w:rsid w:val="000313F1"/>
    <w:rsid w:val="00035D9E"/>
    <w:rsid w:val="00036964"/>
    <w:rsid w:val="00045002"/>
    <w:rsid w:val="00047AE4"/>
    <w:rsid w:val="000536D8"/>
    <w:rsid w:val="00055EA7"/>
    <w:rsid w:val="0006371C"/>
    <w:rsid w:val="00066542"/>
    <w:rsid w:val="000704AC"/>
    <w:rsid w:val="00081984"/>
    <w:rsid w:val="00086F35"/>
    <w:rsid w:val="00090A02"/>
    <w:rsid w:val="00092B91"/>
    <w:rsid w:val="00094C54"/>
    <w:rsid w:val="000B5037"/>
    <w:rsid w:val="000C29C0"/>
    <w:rsid w:val="000C4A60"/>
    <w:rsid w:val="000D0F9A"/>
    <w:rsid w:val="000E22B2"/>
    <w:rsid w:val="000F1F2D"/>
    <w:rsid w:val="00101E9E"/>
    <w:rsid w:val="001041AA"/>
    <w:rsid w:val="001069C4"/>
    <w:rsid w:val="0010763E"/>
    <w:rsid w:val="001121B9"/>
    <w:rsid w:val="00117873"/>
    <w:rsid w:val="001206BD"/>
    <w:rsid w:val="00123B5C"/>
    <w:rsid w:val="00134175"/>
    <w:rsid w:val="00142858"/>
    <w:rsid w:val="00143C71"/>
    <w:rsid w:val="0014707B"/>
    <w:rsid w:val="0015054D"/>
    <w:rsid w:val="00150E8D"/>
    <w:rsid w:val="001533CE"/>
    <w:rsid w:val="001622BD"/>
    <w:rsid w:val="00165D1B"/>
    <w:rsid w:val="001810CF"/>
    <w:rsid w:val="00181874"/>
    <w:rsid w:val="00182035"/>
    <w:rsid w:val="00185A0F"/>
    <w:rsid w:val="00185F9B"/>
    <w:rsid w:val="0018648C"/>
    <w:rsid w:val="00191CC2"/>
    <w:rsid w:val="001A74EB"/>
    <w:rsid w:val="001B6E68"/>
    <w:rsid w:val="001B7604"/>
    <w:rsid w:val="001B765F"/>
    <w:rsid w:val="001B7AE0"/>
    <w:rsid w:val="001C0C48"/>
    <w:rsid w:val="001C390B"/>
    <w:rsid w:val="001C3B3C"/>
    <w:rsid w:val="001C3BEF"/>
    <w:rsid w:val="001C64DF"/>
    <w:rsid w:val="001C7998"/>
    <w:rsid w:val="001E06AB"/>
    <w:rsid w:val="001E2FD2"/>
    <w:rsid w:val="001E411D"/>
    <w:rsid w:val="001E470C"/>
    <w:rsid w:val="001F1A21"/>
    <w:rsid w:val="001F349C"/>
    <w:rsid w:val="00203D9B"/>
    <w:rsid w:val="002115C7"/>
    <w:rsid w:val="002137B8"/>
    <w:rsid w:val="00213C33"/>
    <w:rsid w:val="00224A20"/>
    <w:rsid w:val="00236225"/>
    <w:rsid w:val="00241995"/>
    <w:rsid w:val="00247C4C"/>
    <w:rsid w:val="00257A2B"/>
    <w:rsid w:val="00273E2E"/>
    <w:rsid w:val="00274997"/>
    <w:rsid w:val="0027694F"/>
    <w:rsid w:val="00281AFC"/>
    <w:rsid w:val="00282E8F"/>
    <w:rsid w:val="002838F9"/>
    <w:rsid w:val="00291F42"/>
    <w:rsid w:val="002A0CC8"/>
    <w:rsid w:val="002A17F5"/>
    <w:rsid w:val="002A5CA4"/>
    <w:rsid w:val="002B35D3"/>
    <w:rsid w:val="002D03B0"/>
    <w:rsid w:val="002D6222"/>
    <w:rsid w:val="002E263A"/>
    <w:rsid w:val="002E4823"/>
    <w:rsid w:val="002E5090"/>
    <w:rsid w:val="002E5FE7"/>
    <w:rsid w:val="002F405D"/>
    <w:rsid w:val="002F4755"/>
    <w:rsid w:val="002F4C64"/>
    <w:rsid w:val="00303296"/>
    <w:rsid w:val="00305589"/>
    <w:rsid w:val="0031107E"/>
    <w:rsid w:val="00314AF6"/>
    <w:rsid w:val="00321962"/>
    <w:rsid w:val="00330499"/>
    <w:rsid w:val="00330AF6"/>
    <w:rsid w:val="00334403"/>
    <w:rsid w:val="00335FE6"/>
    <w:rsid w:val="00341BFB"/>
    <w:rsid w:val="00343EB7"/>
    <w:rsid w:val="00346412"/>
    <w:rsid w:val="00346B32"/>
    <w:rsid w:val="00347646"/>
    <w:rsid w:val="003537D1"/>
    <w:rsid w:val="0035510C"/>
    <w:rsid w:val="0036036E"/>
    <w:rsid w:val="00374BC1"/>
    <w:rsid w:val="00375422"/>
    <w:rsid w:val="0037571E"/>
    <w:rsid w:val="0038000C"/>
    <w:rsid w:val="00387E01"/>
    <w:rsid w:val="003928B0"/>
    <w:rsid w:val="00392EE8"/>
    <w:rsid w:val="003952F9"/>
    <w:rsid w:val="003B135C"/>
    <w:rsid w:val="003B2787"/>
    <w:rsid w:val="003B2BFB"/>
    <w:rsid w:val="003C7C59"/>
    <w:rsid w:val="003D0761"/>
    <w:rsid w:val="003E02DA"/>
    <w:rsid w:val="003E2899"/>
    <w:rsid w:val="003E75DA"/>
    <w:rsid w:val="003F1BDB"/>
    <w:rsid w:val="003F6674"/>
    <w:rsid w:val="00407E00"/>
    <w:rsid w:val="0041129F"/>
    <w:rsid w:val="004115A0"/>
    <w:rsid w:val="004135DE"/>
    <w:rsid w:val="00414F85"/>
    <w:rsid w:val="004170D1"/>
    <w:rsid w:val="004217D9"/>
    <w:rsid w:val="00437B7D"/>
    <w:rsid w:val="00446E62"/>
    <w:rsid w:val="00447407"/>
    <w:rsid w:val="0045079B"/>
    <w:rsid w:val="004546D1"/>
    <w:rsid w:val="004565EF"/>
    <w:rsid w:val="00463C19"/>
    <w:rsid w:val="00463D8A"/>
    <w:rsid w:val="00470182"/>
    <w:rsid w:val="00473548"/>
    <w:rsid w:val="0047415E"/>
    <w:rsid w:val="00475BB8"/>
    <w:rsid w:val="004765CD"/>
    <w:rsid w:val="00480D7C"/>
    <w:rsid w:val="00480E84"/>
    <w:rsid w:val="00483AF9"/>
    <w:rsid w:val="004A1AC5"/>
    <w:rsid w:val="004A1E7C"/>
    <w:rsid w:val="004A22B4"/>
    <w:rsid w:val="004A37DA"/>
    <w:rsid w:val="004A7AB6"/>
    <w:rsid w:val="004B110A"/>
    <w:rsid w:val="004B5148"/>
    <w:rsid w:val="004C63F7"/>
    <w:rsid w:val="004D770B"/>
    <w:rsid w:val="004E1D21"/>
    <w:rsid w:val="004E5E54"/>
    <w:rsid w:val="004E7B87"/>
    <w:rsid w:val="005075BC"/>
    <w:rsid w:val="005107AA"/>
    <w:rsid w:val="005169BF"/>
    <w:rsid w:val="00517EC7"/>
    <w:rsid w:val="00523877"/>
    <w:rsid w:val="00524445"/>
    <w:rsid w:val="00524D02"/>
    <w:rsid w:val="005400D8"/>
    <w:rsid w:val="00542320"/>
    <w:rsid w:val="00544DE9"/>
    <w:rsid w:val="00546CB8"/>
    <w:rsid w:val="0054701C"/>
    <w:rsid w:val="0055456D"/>
    <w:rsid w:val="00555EA2"/>
    <w:rsid w:val="00561D37"/>
    <w:rsid w:val="00562AC1"/>
    <w:rsid w:val="00563BD3"/>
    <w:rsid w:val="00572A07"/>
    <w:rsid w:val="00574155"/>
    <w:rsid w:val="0058124A"/>
    <w:rsid w:val="00582E5B"/>
    <w:rsid w:val="00585BAC"/>
    <w:rsid w:val="005878C1"/>
    <w:rsid w:val="005B0751"/>
    <w:rsid w:val="005B5FE6"/>
    <w:rsid w:val="005C3DFA"/>
    <w:rsid w:val="005C5057"/>
    <w:rsid w:val="005E445A"/>
    <w:rsid w:val="005E6F5B"/>
    <w:rsid w:val="005F0523"/>
    <w:rsid w:val="00604B25"/>
    <w:rsid w:val="0061051B"/>
    <w:rsid w:val="00610624"/>
    <w:rsid w:val="00614EC0"/>
    <w:rsid w:val="00622A77"/>
    <w:rsid w:val="00623EBC"/>
    <w:rsid w:val="00624E55"/>
    <w:rsid w:val="006259D4"/>
    <w:rsid w:val="00630D04"/>
    <w:rsid w:val="00631E4D"/>
    <w:rsid w:val="00637E5D"/>
    <w:rsid w:val="006431DE"/>
    <w:rsid w:val="006433CE"/>
    <w:rsid w:val="00646008"/>
    <w:rsid w:val="00650290"/>
    <w:rsid w:val="006505EA"/>
    <w:rsid w:val="00655494"/>
    <w:rsid w:val="00660B43"/>
    <w:rsid w:val="0066174D"/>
    <w:rsid w:val="00661E5E"/>
    <w:rsid w:val="00663FB9"/>
    <w:rsid w:val="006718EE"/>
    <w:rsid w:val="00673494"/>
    <w:rsid w:val="00675BDA"/>
    <w:rsid w:val="0067724E"/>
    <w:rsid w:val="00682F3F"/>
    <w:rsid w:val="006845B8"/>
    <w:rsid w:val="00690097"/>
    <w:rsid w:val="00692557"/>
    <w:rsid w:val="00692882"/>
    <w:rsid w:val="006945D9"/>
    <w:rsid w:val="00696164"/>
    <w:rsid w:val="00697C6B"/>
    <w:rsid w:val="006A2B03"/>
    <w:rsid w:val="006A39B4"/>
    <w:rsid w:val="006A7C88"/>
    <w:rsid w:val="006B0C5E"/>
    <w:rsid w:val="006C64BD"/>
    <w:rsid w:val="006C69D8"/>
    <w:rsid w:val="006D18FD"/>
    <w:rsid w:val="006E1EDD"/>
    <w:rsid w:val="006E2BDE"/>
    <w:rsid w:val="006E39D2"/>
    <w:rsid w:val="006E44D7"/>
    <w:rsid w:val="006F5A49"/>
    <w:rsid w:val="00702194"/>
    <w:rsid w:val="007022AA"/>
    <w:rsid w:val="00705613"/>
    <w:rsid w:val="007067E7"/>
    <w:rsid w:val="00713153"/>
    <w:rsid w:val="00715ABC"/>
    <w:rsid w:val="00721AB3"/>
    <w:rsid w:val="00723F06"/>
    <w:rsid w:val="00733E2E"/>
    <w:rsid w:val="0073777E"/>
    <w:rsid w:val="00737D67"/>
    <w:rsid w:val="00743456"/>
    <w:rsid w:val="0074734D"/>
    <w:rsid w:val="0075238C"/>
    <w:rsid w:val="00766BC7"/>
    <w:rsid w:val="007719EE"/>
    <w:rsid w:val="007776F2"/>
    <w:rsid w:val="0077775C"/>
    <w:rsid w:val="00780091"/>
    <w:rsid w:val="0078074E"/>
    <w:rsid w:val="007824D2"/>
    <w:rsid w:val="00784995"/>
    <w:rsid w:val="00786A30"/>
    <w:rsid w:val="00786C3F"/>
    <w:rsid w:val="00787453"/>
    <w:rsid w:val="00790EE4"/>
    <w:rsid w:val="00794075"/>
    <w:rsid w:val="00795CDE"/>
    <w:rsid w:val="007A3221"/>
    <w:rsid w:val="007A4B64"/>
    <w:rsid w:val="007A6341"/>
    <w:rsid w:val="007B496B"/>
    <w:rsid w:val="007C10C2"/>
    <w:rsid w:val="007C12C8"/>
    <w:rsid w:val="007D7CFC"/>
    <w:rsid w:val="007D7E71"/>
    <w:rsid w:val="007E0FAD"/>
    <w:rsid w:val="007E296A"/>
    <w:rsid w:val="007F20F6"/>
    <w:rsid w:val="007F36CA"/>
    <w:rsid w:val="0080060E"/>
    <w:rsid w:val="008042A7"/>
    <w:rsid w:val="00810690"/>
    <w:rsid w:val="008124F3"/>
    <w:rsid w:val="0081287F"/>
    <w:rsid w:val="00814B67"/>
    <w:rsid w:val="00816C7C"/>
    <w:rsid w:val="00822311"/>
    <w:rsid w:val="008224D0"/>
    <w:rsid w:val="00823104"/>
    <w:rsid w:val="00825972"/>
    <w:rsid w:val="00827CBC"/>
    <w:rsid w:val="008311D9"/>
    <w:rsid w:val="008317AB"/>
    <w:rsid w:val="00845AF6"/>
    <w:rsid w:val="00853D8E"/>
    <w:rsid w:val="00860665"/>
    <w:rsid w:val="008611DD"/>
    <w:rsid w:val="00867EB0"/>
    <w:rsid w:val="00870209"/>
    <w:rsid w:val="00871558"/>
    <w:rsid w:val="00872071"/>
    <w:rsid w:val="00873E5F"/>
    <w:rsid w:val="00874CC7"/>
    <w:rsid w:val="00881E0C"/>
    <w:rsid w:val="008A10E3"/>
    <w:rsid w:val="008A1B13"/>
    <w:rsid w:val="008A6239"/>
    <w:rsid w:val="008A7312"/>
    <w:rsid w:val="008B3054"/>
    <w:rsid w:val="008B5A99"/>
    <w:rsid w:val="008C09C4"/>
    <w:rsid w:val="008C3430"/>
    <w:rsid w:val="008C4501"/>
    <w:rsid w:val="008C705D"/>
    <w:rsid w:val="008D0816"/>
    <w:rsid w:val="008D1F79"/>
    <w:rsid w:val="008D4CE4"/>
    <w:rsid w:val="008D5873"/>
    <w:rsid w:val="008D7FD0"/>
    <w:rsid w:val="008E3E69"/>
    <w:rsid w:val="0090217F"/>
    <w:rsid w:val="0090293C"/>
    <w:rsid w:val="009051D8"/>
    <w:rsid w:val="009133F3"/>
    <w:rsid w:val="0091434A"/>
    <w:rsid w:val="0091734D"/>
    <w:rsid w:val="009209B4"/>
    <w:rsid w:val="00930FBC"/>
    <w:rsid w:val="0093332E"/>
    <w:rsid w:val="0093472E"/>
    <w:rsid w:val="00934AF3"/>
    <w:rsid w:val="00934DCA"/>
    <w:rsid w:val="0093732E"/>
    <w:rsid w:val="009425AB"/>
    <w:rsid w:val="00942D7E"/>
    <w:rsid w:val="0095676C"/>
    <w:rsid w:val="00962537"/>
    <w:rsid w:val="009634A2"/>
    <w:rsid w:val="00963649"/>
    <w:rsid w:val="009638C9"/>
    <w:rsid w:val="00974D21"/>
    <w:rsid w:val="00985ED0"/>
    <w:rsid w:val="00995B35"/>
    <w:rsid w:val="00997805"/>
    <w:rsid w:val="009A37A9"/>
    <w:rsid w:val="009A5275"/>
    <w:rsid w:val="009A635A"/>
    <w:rsid w:val="009B31FA"/>
    <w:rsid w:val="009B49E1"/>
    <w:rsid w:val="009B5C73"/>
    <w:rsid w:val="009C188C"/>
    <w:rsid w:val="009C56A6"/>
    <w:rsid w:val="009E2930"/>
    <w:rsid w:val="009E317C"/>
    <w:rsid w:val="009E6615"/>
    <w:rsid w:val="009F448A"/>
    <w:rsid w:val="00A046FA"/>
    <w:rsid w:val="00A12271"/>
    <w:rsid w:val="00A21CC6"/>
    <w:rsid w:val="00A23D5C"/>
    <w:rsid w:val="00A247D5"/>
    <w:rsid w:val="00A2552D"/>
    <w:rsid w:val="00A40605"/>
    <w:rsid w:val="00A605F6"/>
    <w:rsid w:val="00A62164"/>
    <w:rsid w:val="00A62843"/>
    <w:rsid w:val="00A62851"/>
    <w:rsid w:val="00A65487"/>
    <w:rsid w:val="00A6588E"/>
    <w:rsid w:val="00A670B6"/>
    <w:rsid w:val="00A7104A"/>
    <w:rsid w:val="00A77EC7"/>
    <w:rsid w:val="00A800CD"/>
    <w:rsid w:val="00A84A94"/>
    <w:rsid w:val="00A87586"/>
    <w:rsid w:val="00A91B0D"/>
    <w:rsid w:val="00A931F4"/>
    <w:rsid w:val="00A934C7"/>
    <w:rsid w:val="00A97646"/>
    <w:rsid w:val="00AA7918"/>
    <w:rsid w:val="00AB142F"/>
    <w:rsid w:val="00AB54EC"/>
    <w:rsid w:val="00AB5F96"/>
    <w:rsid w:val="00AC0D05"/>
    <w:rsid w:val="00AC3A9D"/>
    <w:rsid w:val="00AD113E"/>
    <w:rsid w:val="00AD3CE4"/>
    <w:rsid w:val="00AD4189"/>
    <w:rsid w:val="00AD7CFB"/>
    <w:rsid w:val="00AE037D"/>
    <w:rsid w:val="00AE65CF"/>
    <w:rsid w:val="00AE66D0"/>
    <w:rsid w:val="00AF3A57"/>
    <w:rsid w:val="00AF5BB9"/>
    <w:rsid w:val="00B027D2"/>
    <w:rsid w:val="00B05C4B"/>
    <w:rsid w:val="00B162B6"/>
    <w:rsid w:val="00B238F7"/>
    <w:rsid w:val="00B23E21"/>
    <w:rsid w:val="00B23E5E"/>
    <w:rsid w:val="00B25CB2"/>
    <w:rsid w:val="00B27118"/>
    <w:rsid w:val="00B35638"/>
    <w:rsid w:val="00B36D0E"/>
    <w:rsid w:val="00B36EBD"/>
    <w:rsid w:val="00B46BC2"/>
    <w:rsid w:val="00B60878"/>
    <w:rsid w:val="00B61BB5"/>
    <w:rsid w:val="00B641E3"/>
    <w:rsid w:val="00B6450A"/>
    <w:rsid w:val="00B6725D"/>
    <w:rsid w:val="00B672EA"/>
    <w:rsid w:val="00B67CC7"/>
    <w:rsid w:val="00B766FC"/>
    <w:rsid w:val="00B81D38"/>
    <w:rsid w:val="00B8394D"/>
    <w:rsid w:val="00B946D2"/>
    <w:rsid w:val="00B94978"/>
    <w:rsid w:val="00BA3288"/>
    <w:rsid w:val="00BA5092"/>
    <w:rsid w:val="00BB53F9"/>
    <w:rsid w:val="00BC0063"/>
    <w:rsid w:val="00BC4C6E"/>
    <w:rsid w:val="00BC6328"/>
    <w:rsid w:val="00BD3EDB"/>
    <w:rsid w:val="00BE4B06"/>
    <w:rsid w:val="00BE6937"/>
    <w:rsid w:val="00BF1168"/>
    <w:rsid w:val="00C02A35"/>
    <w:rsid w:val="00C0675B"/>
    <w:rsid w:val="00C07508"/>
    <w:rsid w:val="00C11FE7"/>
    <w:rsid w:val="00C33310"/>
    <w:rsid w:val="00C33D64"/>
    <w:rsid w:val="00C3774A"/>
    <w:rsid w:val="00C501B0"/>
    <w:rsid w:val="00C53B01"/>
    <w:rsid w:val="00C5495A"/>
    <w:rsid w:val="00C54C63"/>
    <w:rsid w:val="00C55912"/>
    <w:rsid w:val="00C559E1"/>
    <w:rsid w:val="00C55AD0"/>
    <w:rsid w:val="00C57C69"/>
    <w:rsid w:val="00C647C7"/>
    <w:rsid w:val="00C71E5F"/>
    <w:rsid w:val="00C72963"/>
    <w:rsid w:val="00C73039"/>
    <w:rsid w:val="00C736E4"/>
    <w:rsid w:val="00C752E6"/>
    <w:rsid w:val="00C94F1A"/>
    <w:rsid w:val="00C95EFA"/>
    <w:rsid w:val="00C960B9"/>
    <w:rsid w:val="00CA3A44"/>
    <w:rsid w:val="00CA3F66"/>
    <w:rsid w:val="00CB0848"/>
    <w:rsid w:val="00CB2621"/>
    <w:rsid w:val="00CD20A4"/>
    <w:rsid w:val="00CD4A3C"/>
    <w:rsid w:val="00CD51ED"/>
    <w:rsid w:val="00CE5031"/>
    <w:rsid w:val="00CE5389"/>
    <w:rsid w:val="00CE6840"/>
    <w:rsid w:val="00CF0676"/>
    <w:rsid w:val="00CF2917"/>
    <w:rsid w:val="00CF6458"/>
    <w:rsid w:val="00D0255D"/>
    <w:rsid w:val="00D056D8"/>
    <w:rsid w:val="00D100AC"/>
    <w:rsid w:val="00D150E5"/>
    <w:rsid w:val="00D27ECF"/>
    <w:rsid w:val="00D300CF"/>
    <w:rsid w:val="00D304DA"/>
    <w:rsid w:val="00D44D9D"/>
    <w:rsid w:val="00D4701A"/>
    <w:rsid w:val="00D50E03"/>
    <w:rsid w:val="00D51C99"/>
    <w:rsid w:val="00D55F6D"/>
    <w:rsid w:val="00D634DC"/>
    <w:rsid w:val="00D64EC4"/>
    <w:rsid w:val="00D70DEB"/>
    <w:rsid w:val="00D745AD"/>
    <w:rsid w:val="00D756E2"/>
    <w:rsid w:val="00D76132"/>
    <w:rsid w:val="00D93EA9"/>
    <w:rsid w:val="00D95EDE"/>
    <w:rsid w:val="00D97942"/>
    <w:rsid w:val="00DA0339"/>
    <w:rsid w:val="00DA5615"/>
    <w:rsid w:val="00DB73A3"/>
    <w:rsid w:val="00DC1D9B"/>
    <w:rsid w:val="00DC5AC4"/>
    <w:rsid w:val="00DD13A9"/>
    <w:rsid w:val="00DD262B"/>
    <w:rsid w:val="00DD4FF3"/>
    <w:rsid w:val="00DE4A41"/>
    <w:rsid w:val="00DE7784"/>
    <w:rsid w:val="00DE7B7D"/>
    <w:rsid w:val="00DF0063"/>
    <w:rsid w:val="00DF0457"/>
    <w:rsid w:val="00DF117C"/>
    <w:rsid w:val="00DF2781"/>
    <w:rsid w:val="00DF2BD7"/>
    <w:rsid w:val="00DF6CE8"/>
    <w:rsid w:val="00E02BA3"/>
    <w:rsid w:val="00E0752C"/>
    <w:rsid w:val="00E11ACD"/>
    <w:rsid w:val="00E125A2"/>
    <w:rsid w:val="00E13E84"/>
    <w:rsid w:val="00E1457B"/>
    <w:rsid w:val="00E329FC"/>
    <w:rsid w:val="00E3305B"/>
    <w:rsid w:val="00E357D2"/>
    <w:rsid w:val="00E36934"/>
    <w:rsid w:val="00E379DE"/>
    <w:rsid w:val="00E4046D"/>
    <w:rsid w:val="00E41C00"/>
    <w:rsid w:val="00E42197"/>
    <w:rsid w:val="00E4235A"/>
    <w:rsid w:val="00E45711"/>
    <w:rsid w:val="00E45757"/>
    <w:rsid w:val="00E50740"/>
    <w:rsid w:val="00E52089"/>
    <w:rsid w:val="00E53656"/>
    <w:rsid w:val="00E53F28"/>
    <w:rsid w:val="00E5462B"/>
    <w:rsid w:val="00E555C9"/>
    <w:rsid w:val="00E602D4"/>
    <w:rsid w:val="00E640B2"/>
    <w:rsid w:val="00E7252A"/>
    <w:rsid w:val="00E73CD9"/>
    <w:rsid w:val="00E755EE"/>
    <w:rsid w:val="00E8094C"/>
    <w:rsid w:val="00E82AEA"/>
    <w:rsid w:val="00E84A6C"/>
    <w:rsid w:val="00E85EC4"/>
    <w:rsid w:val="00E93214"/>
    <w:rsid w:val="00E96395"/>
    <w:rsid w:val="00EA2051"/>
    <w:rsid w:val="00EA54F9"/>
    <w:rsid w:val="00EA76CE"/>
    <w:rsid w:val="00EA7949"/>
    <w:rsid w:val="00EB3256"/>
    <w:rsid w:val="00EB4B35"/>
    <w:rsid w:val="00EC6D5A"/>
    <w:rsid w:val="00ED1DDC"/>
    <w:rsid w:val="00ED2A12"/>
    <w:rsid w:val="00ED2DC7"/>
    <w:rsid w:val="00EE4BC9"/>
    <w:rsid w:val="00EE6CC4"/>
    <w:rsid w:val="00EE791F"/>
    <w:rsid w:val="00EF5780"/>
    <w:rsid w:val="00F20930"/>
    <w:rsid w:val="00F23C9C"/>
    <w:rsid w:val="00F24480"/>
    <w:rsid w:val="00F24B21"/>
    <w:rsid w:val="00F33B50"/>
    <w:rsid w:val="00F34FA1"/>
    <w:rsid w:val="00F35C1F"/>
    <w:rsid w:val="00F4781C"/>
    <w:rsid w:val="00F57A80"/>
    <w:rsid w:val="00F63714"/>
    <w:rsid w:val="00F67985"/>
    <w:rsid w:val="00F80961"/>
    <w:rsid w:val="00FA1B29"/>
    <w:rsid w:val="00FA3CF2"/>
    <w:rsid w:val="00FA518C"/>
    <w:rsid w:val="00FA53D7"/>
    <w:rsid w:val="00FB3203"/>
    <w:rsid w:val="00FB39D3"/>
    <w:rsid w:val="00FC0AE9"/>
    <w:rsid w:val="00FC136B"/>
    <w:rsid w:val="00FC3A83"/>
    <w:rsid w:val="00FD1126"/>
    <w:rsid w:val="00FD2177"/>
    <w:rsid w:val="00FD2664"/>
    <w:rsid w:val="00FD50B7"/>
    <w:rsid w:val="00FD7E96"/>
    <w:rsid w:val="00FF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link w:val="HeaderChar"/>
    <w:uiPriority w:val="99"/>
    <w:rsid w:val="002A0CC8"/>
    <w:pPr>
      <w:tabs>
        <w:tab w:val="center" w:pos="4320"/>
        <w:tab w:val="right" w:pos="8640"/>
      </w:tabs>
    </w:pPr>
  </w:style>
  <w:style w:type="paragraph" w:styleId="Footer">
    <w:name w:val="footer"/>
    <w:basedOn w:val="Normal"/>
    <w:link w:val="FooterChar"/>
    <w:uiPriority w:val="99"/>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9F448A"/>
    <w:pPr>
      <w:tabs>
        <w:tab w:val="left" w:pos="480"/>
        <w:tab w:val="right" w:leader="dot" w:pos="8630"/>
      </w:tabs>
      <w:jc w:val="both"/>
    </w:pPr>
    <w:rPr>
      <w:bC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character" w:customStyle="1" w:styleId="hps">
    <w:name w:val="hps"/>
    <w:basedOn w:val="DefaultParagraphFont"/>
    <w:rsid w:val="00055EA7"/>
  </w:style>
  <w:style w:type="character" w:customStyle="1" w:styleId="atn">
    <w:name w:val="atn"/>
    <w:basedOn w:val="DefaultParagraphFont"/>
    <w:rsid w:val="00055EA7"/>
  </w:style>
  <w:style w:type="table" w:styleId="TableProfessional">
    <w:name w:val="Table Professional"/>
    <w:basedOn w:val="TableNormal"/>
    <w:rsid w:val="00A406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erChar">
    <w:name w:val="Footer Char"/>
    <w:basedOn w:val="DefaultParagraphFont"/>
    <w:link w:val="Footer"/>
    <w:uiPriority w:val="99"/>
    <w:rsid w:val="00692882"/>
    <w:rPr>
      <w:sz w:val="24"/>
      <w:szCs w:val="24"/>
    </w:rPr>
  </w:style>
  <w:style w:type="character" w:customStyle="1" w:styleId="HeaderChar">
    <w:name w:val="Header Char"/>
    <w:basedOn w:val="DefaultParagraphFont"/>
    <w:link w:val="Header"/>
    <w:uiPriority w:val="99"/>
    <w:rsid w:val="00B641E3"/>
    <w:rPr>
      <w:sz w:val="24"/>
      <w:szCs w:val="24"/>
    </w:rPr>
  </w:style>
</w:styles>
</file>

<file path=word/webSettings.xml><?xml version="1.0" encoding="utf-8"?>
<w:webSettings xmlns:r="http://schemas.openxmlformats.org/officeDocument/2006/relationships" xmlns:w="http://schemas.openxmlformats.org/wordprocessingml/2006/main">
  <w:divs>
    <w:div w:id="3284830">
      <w:bodyDiv w:val="1"/>
      <w:marLeft w:val="0"/>
      <w:marRight w:val="0"/>
      <w:marTop w:val="0"/>
      <w:marBottom w:val="0"/>
      <w:divBdr>
        <w:top w:val="none" w:sz="0" w:space="0" w:color="auto"/>
        <w:left w:val="none" w:sz="0" w:space="0" w:color="auto"/>
        <w:bottom w:val="none" w:sz="0" w:space="0" w:color="auto"/>
        <w:right w:val="none" w:sz="0" w:space="0" w:color="auto"/>
      </w:divBdr>
      <w:divsChild>
        <w:div w:id="1545174809">
          <w:marLeft w:val="0"/>
          <w:marRight w:val="0"/>
          <w:marTop w:val="0"/>
          <w:marBottom w:val="0"/>
          <w:divBdr>
            <w:top w:val="none" w:sz="0" w:space="0" w:color="auto"/>
            <w:left w:val="none" w:sz="0" w:space="0" w:color="auto"/>
            <w:bottom w:val="none" w:sz="0" w:space="0" w:color="auto"/>
            <w:right w:val="none" w:sz="0" w:space="0" w:color="auto"/>
          </w:divBdr>
          <w:divsChild>
            <w:div w:id="437797014">
              <w:marLeft w:val="0"/>
              <w:marRight w:val="0"/>
              <w:marTop w:val="0"/>
              <w:marBottom w:val="0"/>
              <w:divBdr>
                <w:top w:val="none" w:sz="0" w:space="0" w:color="auto"/>
                <w:left w:val="none" w:sz="0" w:space="0" w:color="auto"/>
                <w:bottom w:val="none" w:sz="0" w:space="0" w:color="auto"/>
                <w:right w:val="none" w:sz="0" w:space="0" w:color="auto"/>
              </w:divBdr>
              <w:divsChild>
                <w:div w:id="1720662801">
                  <w:marLeft w:val="0"/>
                  <w:marRight w:val="0"/>
                  <w:marTop w:val="0"/>
                  <w:marBottom w:val="0"/>
                  <w:divBdr>
                    <w:top w:val="none" w:sz="0" w:space="0" w:color="auto"/>
                    <w:left w:val="none" w:sz="0" w:space="0" w:color="auto"/>
                    <w:bottom w:val="none" w:sz="0" w:space="0" w:color="auto"/>
                    <w:right w:val="none" w:sz="0" w:space="0" w:color="auto"/>
                  </w:divBdr>
                  <w:divsChild>
                    <w:div w:id="1977829364">
                      <w:marLeft w:val="0"/>
                      <w:marRight w:val="0"/>
                      <w:marTop w:val="0"/>
                      <w:marBottom w:val="0"/>
                      <w:divBdr>
                        <w:top w:val="none" w:sz="0" w:space="0" w:color="auto"/>
                        <w:left w:val="none" w:sz="0" w:space="0" w:color="auto"/>
                        <w:bottom w:val="none" w:sz="0" w:space="0" w:color="auto"/>
                        <w:right w:val="none" w:sz="0" w:space="0" w:color="auto"/>
                      </w:divBdr>
                      <w:divsChild>
                        <w:div w:id="916985664">
                          <w:marLeft w:val="0"/>
                          <w:marRight w:val="0"/>
                          <w:marTop w:val="0"/>
                          <w:marBottom w:val="0"/>
                          <w:divBdr>
                            <w:top w:val="none" w:sz="0" w:space="0" w:color="auto"/>
                            <w:left w:val="none" w:sz="0" w:space="0" w:color="auto"/>
                            <w:bottom w:val="none" w:sz="0" w:space="0" w:color="auto"/>
                            <w:right w:val="none" w:sz="0" w:space="0" w:color="auto"/>
                          </w:divBdr>
                          <w:divsChild>
                            <w:div w:id="215286302">
                              <w:marLeft w:val="0"/>
                              <w:marRight w:val="0"/>
                              <w:marTop w:val="0"/>
                              <w:marBottom w:val="0"/>
                              <w:divBdr>
                                <w:top w:val="none" w:sz="0" w:space="0" w:color="auto"/>
                                <w:left w:val="none" w:sz="0" w:space="0" w:color="auto"/>
                                <w:bottom w:val="none" w:sz="0" w:space="0" w:color="auto"/>
                                <w:right w:val="none" w:sz="0" w:space="0" w:color="auto"/>
                              </w:divBdr>
                              <w:divsChild>
                                <w:div w:id="273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9770">
      <w:bodyDiv w:val="1"/>
      <w:marLeft w:val="0"/>
      <w:marRight w:val="0"/>
      <w:marTop w:val="0"/>
      <w:marBottom w:val="0"/>
      <w:divBdr>
        <w:top w:val="none" w:sz="0" w:space="0" w:color="auto"/>
        <w:left w:val="none" w:sz="0" w:space="0" w:color="auto"/>
        <w:bottom w:val="none" w:sz="0" w:space="0" w:color="auto"/>
        <w:right w:val="none" w:sz="0" w:space="0" w:color="auto"/>
      </w:divBdr>
      <w:divsChild>
        <w:div w:id="1279992027">
          <w:marLeft w:val="0"/>
          <w:marRight w:val="0"/>
          <w:marTop w:val="0"/>
          <w:marBottom w:val="0"/>
          <w:divBdr>
            <w:top w:val="none" w:sz="0" w:space="0" w:color="auto"/>
            <w:left w:val="none" w:sz="0" w:space="0" w:color="auto"/>
            <w:bottom w:val="none" w:sz="0" w:space="0" w:color="auto"/>
            <w:right w:val="none" w:sz="0" w:space="0" w:color="auto"/>
          </w:divBdr>
          <w:divsChild>
            <w:div w:id="1164469761">
              <w:marLeft w:val="0"/>
              <w:marRight w:val="0"/>
              <w:marTop w:val="0"/>
              <w:marBottom w:val="0"/>
              <w:divBdr>
                <w:top w:val="none" w:sz="0" w:space="0" w:color="auto"/>
                <w:left w:val="none" w:sz="0" w:space="0" w:color="auto"/>
                <w:bottom w:val="none" w:sz="0" w:space="0" w:color="auto"/>
                <w:right w:val="none" w:sz="0" w:space="0" w:color="auto"/>
              </w:divBdr>
              <w:divsChild>
                <w:div w:id="1975059445">
                  <w:marLeft w:val="0"/>
                  <w:marRight w:val="0"/>
                  <w:marTop w:val="0"/>
                  <w:marBottom w:val="0"/>
                  <w:divBdr>
                    <w:top w:val="none" w:sz="0" w:space="0" w:color="auto"/>
                    <w:left w:val="none" w:sz="0" w:space="0" w:color="auto"/>
                    <w:bottom w:val="none" w:sz="0" w:space="0" w:color="auto"/>
                    <w:right w:val="none" w:sz="0" w:space="0" w:color="auto"/>
                  </w:divBdr>
                  <w:divsChild>
                    <w:div w:id="348413578">
                      <w:marLeft w:val="0"/>
                      <w:marRight w:val="0"/>
                      <w:marTop w:val="0"/>
                      <w:marBottom w:val="0"/>
                      <w:divBdr>
                        <w:top w:val="none" w:sz="0" w:space="0" w:color="auto"/>
                        <w:left w:val="none" w:sz="0" w:space="0" w:color="auto"/>
                        <w:bottom w:val="none" w:sz="0" w:space="0" w:color="auto"/>
                        <w:right w:val="none" w:sz="0" w:space="0" w:color="auto"/>
                      </w:divBdr>
                      <w:divsChild>
                        <w:div w:id="383530285">
                          <w:marLeft w:val="0"/>
                          <w:marRight w:val="0"/>
                          <w:marTop w:val="0"/>
                          <w:marBottom w:val="0"/>
                          <w:divBdr>
                            <w:top w:val="none" w:sz="0" w:space="0" w:color="auto"/>
                            <w:left w:val="none" w:sz="0" w:space="0" w:color="auto"/>
                            <w:bottom w:val="none" w:sz="0" w:space="0" w:color="auto"/>
                            <w:right w:val="none" w:sz="0" w:space="0" w:color="auto"/>
                          </w:divBdr>
                          <w:divsChild>
                            <w:div w:id="785007695">
                              <w:marLeft w:val="0"/>
                              <w:marRight w:val="0"/>
                              <w:marTop w:val="0"/>
                              <w:marBottom w:val="0"/>
                              <w:divBdr>
                                <w:top w:val="none" w:sz="0" w:space="0" w:color="auto"/>
                                <w:left w:val="none" w:sz="0" w:space="0" w:color="auto"/>
                                <w:bottom w:val="none" w:sz="0" w:space="0" w:color="auto"/>
                                <w:right w:val="none" w:sz="0" w:space="0" w:color="auto"/>
                              </w:divBdr>
                              <w:divsChild>
                                <w:div w:id="570970706">
                                  <w:marLeft w:val="0"/>
                                  <w:marRight w:val="0"/>
                                  <w:marTop w:val="0"/>
                                  <w:marBottom w:val="0"/>
                                  <w:divBdr>
                                    <w:top w:val="none" w:sz="0" w:space="0" w:color="auto"/>
                                    <w:left w:val="none" w:sz="0" w:space="0" w:color="auto"/>
                                    <w:bottom w:val="none" w:sz="0" w:space="0" w:color="auto"/>
                                    <w:right w:val="none" w:sz="0" w:space="0" w:color="auto"/>
                                  </w:divBdr>
                                  <w:divsChild>
                                    <w:div w:id="18475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008740">
      <w:bodyDiv w:val="1"/>
      <w:marLeft w:val="0"/>
      <w:marRight w:val="0"/>
      <w:marTop w:val="0"/>
      <w:marBottom w:val="0"/>
      <w:divBdr>
        <w:top w:val="none" w:sz="0" w:space="0" w:color="auto"/>
        <w:left w:val="none" w:sz="0" w:space="0" w:color="auto"/>
        <w:bottom w:val="none" w:sz="0" w:space="0" w:color="auto"/>
        <w:right w:val="none" w:sz="0" w:space="0" w:color="auto"/>
      </w:divBdr>
      <w:divsChild>
        <w:div w:id="996423314">
          <w:marLeft w:val="0"/>
          <w:marRight w:val="0"/>
          <w:marTop w:val="0"/>
          <w:marBottom w:val="0"/>
          <w:divBdr>
            <w:top w:val="none" w:sz="0" w:space="0" w:color="auto"/>
            <w:left w:val="none" w:sz="0" w:space="0" w:color="auto"/>
            <w:bottom w:val="none" w:sz="0" w:space="0" w:color="auto"/>
            <w:right w:val="none" w:sz="0" w:space="0" w:color="auto"/>
          </w:divBdr>
          <w:divsChild>
            <w:div w:id="431629643">
              <w:marLeft w:val="0"/>
              <w:marRight w:val="0"/>
              <w:marTop w:val="0"/>
              <w:marBottom w:val="0"/>
              <w:divBdr>
                <w:top w:val="none" w:sz="0" w:space="0" w:color="auto"/>
                <w:left w:val="none" w:sz="0" w:space="0" w:color="auto"/>
                <w:bottom w:val="none" w:sz="0" w:space="0" w:color="auto"/>
                <w:right w:val="none" w:sz="0" w:space="0" w:color="auto"/>
              </w:divBdr>
              <w:divsChild>
                <w:div w:id="1557856794">
                  <w:marLeft w:val="0"/>
                  <w:marRight w:val="0"/>
                  <w:marTop w:val="0"/>
                  <w:marBottom w:val="0"/>
                  <w:divBdr>
                    <w:top w:val="none" w:sz="0" w:space="0" w:color="auto"/>
                    <w:left w:val="none" w:sz="0" w:space="0" w:color="auto"/>
                    <w:bottom w:val="none" w:sz="0" w:space="0" w:color="auto"/>
                    <w:right w:val="none" w:sz="0" w:space="0" w:color="auto"/>
                  </w:divBdr>
                  <w:divsChild>
                    <w:div w:id="212691611">
                      <w:marLeft w:val="0"/>
                      <w:marRight w:val="0"/>
                      <w:marTop w:val="0"/>
                      <w:marBottom w:val="0"/>
                      <w:divBdr>
                        <w:top w:val="none" w:sz="0" w:space="0" w:color="auto"/>
                        <w:left w:val="none" w:sz="0" w:space="0" w:color="auto"/>
                        <w:bottom w:val="none" w:sz="0" w:space="0" w:color="auto"/>
                        <w:right w:val="none" w:sz="0" w:space="0" w:color="auto"/>
                      </w:divBdr>
                      <w:divsChild>
                        <w:div w:id="410084983">
                          <w:marLeft w:val="0"/>
                          <w:marRight w:val="0"/>
                          <w:marTop w:val="0"/>
                          <w:marBottom w:val="0"/>
                          <w:divBdr>
                            <w:top w:val="none" w:sz="0" w:space="0" w:color="auto"/>
                            <w:left w:val="none" w:sz="0" w:space="0" w:color="auto"/>
                            <w:bottom w:val="none" w:sz="0" w:space="0" w:color="auto"/>
                            <w:right w:val="none" w:sz="0" w:space="0" w:color="auto"/>
                          </w:divBdr>
                          <w:divsChild>
                            <w:div w:id="166210267">
                              <w:marLeft w:val="0"/>
                              <w:marRight w:val="0"/>
                              <w:marTop w:val="0"/>
                              <w:marBottom w:val="0"/>
                              <w:divBdr>
                                <w:top w:val="none" w:sz="0" w:space="0" w:color="auto"/>
                                <w:left w:val="none" w:sz="0" w:space="0" w:color="auto"/>
                                <w:bottom w:val="none" w:sz="0" w:space="0" w:color="auto"/>
                                <w:right w:val="none" w:sz="0" w:space="0" w:color="auto"/>
                              </w:divBdr>
                              <w:divsChild>
                                <w:div w:id="654145091">
                                  <w:marLeft w:val="0"/>
                                  <w:marRight w:val="0"/>
                                  <w:marTop w:val="0"/>
                                  <w:marBottom w:val="0"/>
                                  <w:divBdr>
                                    <w:top w:val="none" w:sz="0" w:space="0" w:color="auto"/>
                                    <w:left w:val="none" w:sz="0" w:space="0" w:color="auto"/>
                                    <w:bottom w:val="none" w:sz="0" w:space="0" w:color="auto"/>
                                    <w:right w:val="none" w:sz="0" w:space="0" w:color="auto"/>
                                  </w:divBdr>
                                  <w:divsChild>
                                    <w:div w:id="597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6113">
      <w:bodyDiv w:val="1"/>
      <w:marLeft w:val="0"/>
      <w:marRight w:val="0"/>
      <w:marTop w:val="0"/>
      <w:marBottom w:val="0"/>
      <w:divBdr>
        <w:top w:val="none" w:sz="0" w:space="0" w:color="auto"/>
        <w:left w:val="none" w:sz="0" w:space="0" w:color="auto"/>
        <w:bottom w:val="none" w:sz="0" w:space="0" w:color="auto"/>
        <w:right w:val="none" w:sz="0" w:space="0" w:color="auto"/>
      </w:divBdr>
      <w:divsChild>
        <w:div w:id="977220232">
          <w:marLeft w:val="0"/>
          <w:marRight w:val="0"/>
          <w:marTop w:val="0"/>
          <w:marBottom w:val="0"/>
          <w:divBdr>
            <w:top w:val="none" w:sz="0" w:space="0" w:color="auto"/>
            <w:left w:val="none" w:sz="0" w:space="0" w:color="auto"/>
            <w:bottom w:val="none" w:sz="0" w:space="0" w:color="auto"/>
            <w:right w:val="none" w:sz="0" w:space="0" w:color="auto"/>
          </w:divBdr>
          <w:divsChild>
            <w:div w:id="165823467">
              <w:marLeft w:val="0"/>
              <w:marRight w:val="0"/>
              <w:marTop w:val="0"/>
              <w:marBottom w:val="0"/>
              <w:divBdr>
                <w:top w:val="none" w:sz="0" w:space="0" w:color="auto"/>
                <w:left w:val="none" w:sz="0" w:space="0" w:color="auto"/>
                <w:bottom w:val="none" w:sz="0" w:space="0" w:color="auto"/>
                <w:right w:val="none" w:sz="0" w:space="0" w:color="auto"/>
              </w:divBdr>
              <w:divsChild>
                <w:div w:id="552354961">
                  <w:marLeft w:val="0"/>
                  <w:marRight w:val="0"/>
                  <w:marTop w:val="0"/>
                  <w:marBottom w:val="0"/>
                  <w:divBdr>
                    <w:top w:val="none" w:sz="0" w:space="0" w:color="auto"/>
                    <w:left w:val="none" w:sz="0" w:space="0" w:color="auto"/>
                    <w:bottom w:val="none" w:sz="0" w:space="0" w:color="auto"/>
                    <w:right w:val="none" w:sz="0" w:space="0" w:color="auto"/>
                  </w:divBdr>
                  <w:divsChild>
                    <w:div w:id="251672083">
                      <w:marLeft w:val="0"/>
                      <w:marRight w:val="0"/>
                      <w:marTop w:val="0"/>
                      <w:marBottom w:val="0"/>
                      <w:divBdr>
                        <w:top w:val="none" w:sz="0" w:space="0" w:color="auto"/>
                        <w:left w:val="none" w:sz="0" w:space="0" w:color="auto"/>
                        <w:bottom w:val="none" w:sz="0" w:space="0" w:color="auto"/>
                        <w:right w:val="none" w:sz="0" w:space="0" w:color="auto"/>
                      </w:divBdr>
                      <w:divsChild>
                        <w:div w:id="1368530276">
                          <w:marLeft w:val="0"/>
                          <w:marRight w:val="0"/>
                          <w:marTop w:val="0"/>
                          <w:marBottom w:val="0"/>
                          <w:divBdr>
                            <w:top w:val="none" w:sz="0" w:space="0" w:color="auto"/>
                            <w:left w:val="none" w:sz="0" w:space="0" w:color="auto"/>
                            <w:bottom w:val="none" w:sz="0" w:space="0" w:color="auto"/>
                            <w:right w:val="none" w:sz="0" w:space="0" w:color="auto"/>
                          </w:divBdr>
                          <w:divsChild>
                            <w:div w:id="912004877">
                              <w:marLeft w:val="0"/>
                              <w:marRight w:val="0"/>
                              <w:marTop w:val="0"/>
                              <w:marBottom w:val="0"/>
                              <w:divBdr>
                                <w:top w:val="none" w:sz="0" w:space="0" w:color="auto"/>
                                <w:left w:val="none" w:sz="0" w:space="0" w:color="auto"/>
                                <w:bottom w:val="none" w:sz="0" w:space="0" w:color="auto"/>
                                <w:right w:val="none" w:sz="0" w:space="0" w:color="auto"/>
                              </w:divBdr>
                              <w:divsChild>
                                <w:div w:id="1348366896">
                                  <w:marLeft w:val="0"/>
                                  <w:marRight w:val="0"/>
                                  <w:marTop w:val="0"/>
                                  <w:marBottom w:val="0"/>
                                  <w:divBdr>
                                    <w:top w:val="none" w:sz="0" w:space="0" w:color="auto"/>
                                    <w:left w:val="none" w:sz="0" w:space="0" w:color="auto"/>
                                    <w:bottom w:val="none" w:sz="0" w:space="0" w:color="auto"/>
                                    <w:right w:val="none" w:sz="0" w:space="0" w:color="auto"/>
                                  </w:divBdr>
                                  <w:divsChild>
                                    <w:div w:id="1854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75028">
      <w:bodyDiv w:val="1"/>
      <w:marLeft w:val="0"/>
      <w:marRight w:val="0"/>
      <w:marTop w:val="0"/>
      <w:marBottom w:val="0"/>
      <w:divBdr>
        <w:top w:val="none" w:sz="0" w:space="0" w:color="auto"/>
        <w:left w:val="none" w:sz="0" w:space="0" w:color="auto"/>
        <w:bottom w:val="none" w:sz="0" w:space="0" w:color="auto"/>
        <w:right w:val="none" w:sz="0" w:space="0" w:color="auto"/>
      </w:divBdr>
      <w:divsChild>
        <w:div w:id="435098029">
          <w:marLeft w:val="0"/>
          <w:marRight w:val="0"/>
          <w:marTop w:val="0"/>
          <w:marBottom w:val="0"/>
          <w:divBdr>
            <w:top w:val="none" w:sz="0" w:space="0" w:color="auto"/>
            <w:left w:val="none" w:sz="0" w:space="0" w:color="auto"/>
            <w:bottom w:val="none" w:sz="0" w:space="0" w:color="auto"/>
            <w:right w:val="none" w:sz="0" w:space="0" w:color="auto"/>
          </w:divBdr>
          <w:divsChild>
            <w:div w:id="2133746225">
              <w:marLeft w:val="0"/>
              <w:marRight w:val="0"/>
              <w:marTop w:val="0"/>
              <w:marBottom w:val="0"/>
              <w:divBdr>
                <w:top w:val="none" w:sz="0" w:space="0" w:color="auto"/>
                <w:left w:val="none" w:sz="0" w:space="0" w:color="auto"/>
                <w:bottom w:val="none" w:sz="0" w:space="0" w:color="auto"/>
                <w:right w:val="none" w:sz="0" w:space="0" w:color="auto"/>
              </w:divBdr>
              <w:divsChild>
                <w:div w:id="1718045701">
                  <w:marLeft w:val="0"/>
                  <w:marRight w:val="0"/>
                  <w:marTop w:val="0"/>
                  <w:marBottom w:val="0"/>
                  <w:divBdr>
                    <w:top w:val="none" w:sz="0" w:space="0" w:color="auto"/>
                    <w:left w:val="none" w:sz="0" w:space="0" w:color="auto"/>
                    <w:bottom w:val="none" w:sz="0" w:space="0" w:color="auto"/>
                    <w:right w:val="none" w:sz="0" w:space="0" w:color="auto"/>
                  </w:divBdr>
                  <w:divsChild>
                    <w:div w:id="576136624">
                      <w:marLeft w:val="0"/>
                      <w:marRight w:val="0"/>
                      <w:marTop w:val="0"/>
                      <w:marBottom w:val="0"/>
                      <w:divBdr>
                        <w:top w:val="none" w:sz="0" w:space="0" w:color="auto"/>
                        <w:left w:val="none" w:sz="0" w:space="0" w:color="auto"/>
                        <w:bottom w:val="none" w:sz="0" w:space="0" w:color="auto"/>
                        <w:right w:val="none" w:sz="0" w:space="0" w:color="auto"/>
                      </w:divBdr>
                      <w:divsChild>
                        <w:div w:id="1902518559">
                          <w:marLeft w:val="0"/>
                          <w:marRight w:val="0"/>
                          <w:marTop w:val="0"/>
                          <w:marBottom w:val="0"/>
                          <w:divBdr>
                            <w:top w:val="none" w:sz="0" w:space="0" w:color="auto"/>
                            <w:left w:val="none" w:sz="0" w:space="0" w:color="auto"/>
                            <w:bottom w:val="none" w:sz="0" w:space="0" w:color="auto"/>
                            <w:right w:val="none" w:sz="0" w:space="0" w:color="auto"/>
                          </w:divBdr>
                          <w:divsChild>
                            <w:div w:id="1629242272">
                              <w:marLeft w:val="0"/>
                              <w:marRight w:val="0"/>
                              <w:marTop w:val="0"/>
                              <w:marBottom w:val="0"/>
                              <w:divBdr>
                                <w:top w:val="none" w:sz="0" w:space="0" w:color="auto"/>
                                <w:left w:val="none" w:sz="0" w:space="0" w:color="auto"/>
                                <w:bottom w:val="none" w:sz="0" w:space="0" w:color="auto"/>
                                <w:right w:val="none" w:sz="0" w:space="0" w:color="auto"/>
                              </w:divBdr>
                              <w:divsChild>
                                <w:div w:id="7878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43674">
      <w:bodyDiv w:val="1"/>
      <w:marLeft w:val="0"/>
      <w:marRight w:val="0"/>
      <w:marTop w:val="0"/>
      <w:marBottom w:val="0"/>
      <w:divBdr>
        <w:top w:val="none" w:sz="0" w:space="0" w:color="auto"/>
        <w:left w:val="none" w:sz="0" w:space="0" w:color="auto"/>
        <w:bottom w:val="none" w:sz="0" w:space="0" w:color="auto"/>
        <w:right w:val="none" w:sz="0" w:space="0" w:color="auto"/>
      </w:divBdr>
      <w:divsChild>
        <w:div w:id="1981764345">
          <w:marLeft w:val="0"/>
          <w:marRight w:val="0"/>
          <w:marTop w:val="0"/>
          <w:marBottom w:val="0"/>
          <w:divBdr>
            <w:top w:val="none" w:sz="0" w:space="0" w:color="auto"/>
            <w:left w:val="none" w:sz="0" w:space="0" w:color="auto"/>
            <w:bottom w:val="none" w:sz="0" w:space="0" w:color="auto"/>
            <w:right w:val="none" w:sz="0" w:space="0" w:color="auto"/>
          </w:divBdr>
          <w:divsChild>
            <w:div w:id="1839080407">
              <w:marLeft w:val="0"/>
              <w:marRight w:val="0"/>
              <w:marTop w:val="0"/>
              <w:marBottom w:val="0"/>
              <w:divBdr>
                <w:top w:val="none" w:sz="0" w:space="0" w:color="auto"/>
                <w:left w:val="none" w:sz="0" w:space="0" w:color="auto"/>
                <w:bottom w:val="none" w:sz="0" w:space="0" w:color="auto"/>
                <w:right w:val="none" w:sz="0" w:space="0" w:color="auto"/>
              </w:divBdr>
              <w:divsChild>
                <w:div w:id="307520245">
                  <w:marLeft w:val="0"/>
                  <w:marRight w:val="0"/>
                  <w:marTop w:val="0"/>
                  <w:marBottom w:val="0"/>
                  <w:divBdr>
                    <w:top w:val="none" w:sz="0" w:space="0" w:color="auto"/>
                    <w:left w:val="none" w:sz="0" w:space="0" w:color="auto"/>
                    <w:bottom w:val="none" w:sz="0" w:space="0" w:color="auto"/>
                    <w:right w:val="none" w:sz="0" w:space="0" w:color="auto"/>
                  </w:divBdr>
                  <w:divsChild>
                    <w:div w:id="883442847">
                      <w:marLeft w:val="0"/>
                      <w:marRight w:val="0"/>
                      <w:marTop w:val="0"/>
                      <w:marBottom w:val="0"/>
                      <w:divBdr>
                        <w:top w:val="none" w:sz="0" w:space="0" w:color="auto"/>
                        <w:left w:val="none" w:sz="0" w:space="0" w:color="auto"/>
                        <w:bottom w:val="none" w:sz="0" w:space="0" w:color="auto"/>
                        <w:right w:val="none" w:sz="0" w:space="0" w:color="auto"/>
                      </w:divBdr>
                      <w:divsChild>
                        <w:div w:id="1653099043">
                          <w:marLeft w:val="0"/>
                          <w:marRight w:val="0"/>
                          <w:marTop w:val="0"/>
                          <w:marBottom w:val="0"/>
                          <w:divBdr>
                            <w:top w:val="none" w:sz="0" w:space="0" w:color="auto"/>
                            <w:left w:val="none" w:sz="0" w:space="0" w:color="auto"/>
                            <w:bottom w:val="none" w:sz="0" w:space="0" w:color="auto"/>
                            <w:right w:val="none" w:sz="0" w:space="0" w:color="auto"/>
                          </w:divBdr>
                          <w:divsChild>
                            <w:div w:id="1919753974">
                              <w:marLeft w:val="0"/>
                              <w:marRight w:val="0"/>
                              <w:marTop w:val="0"/>
                              <w:marBottom w:val="0"/>
                              <w:divBdr>
                                <w:top w:val="none" w:sz="0" w:space="0" w:color="auto"/>
                                <w:left w:val="none" w:sz="0" w:space="0" w:color="auto"/>
                                <w:bottom w:val="none" w:sz="0" w:space="0" w:color="auto"/>
                                <w:right w:val="none" w:sz="0" w:space="0" w:color="auto"/>
                              </w:divBdr>
                              <w:divsChild>
                                <w:div w:id="255598507">
                                  <w:marLeft w:val="0"/>
                                  <w:marRight w:val="0"/>
                                  <w:marTop w:val="0"/>
                                  <w:marBottom w:val="0"/>
                                  <w:divBdr>
                                    <w:top w:val="none" w:sz="0" w:space="0" w:color="auto"/>
                                    <w:left w:val="none" w:sz="0" w:space="0" w:color="auto"/>
                                    <w:bottom w:val="none" w:sz="0" w:space="0" w:color="auto"/>
                                    <w:right w:val="none" w:sz="0" w:space="0" w:color="auto"/>
                                  </w:divBdr>
                                  <w:divsChild>
                                    <w:div w:id="15375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790079">
      <w:bodyDiv w:val="1"/>
      <w:marLeft w:val="0"/>
      <w:marRight w:val="0"/>
      <w:marTop w:val="0"/>
      <w:marBottom w:val="0"/>
      <w:divBdr>
        <w:top w:val="none" w:sz="0" w:space="0" w:color="auto"/>
        <w:left w:val="none" w:sz="0" w:space="0" w:color="auto"/>
        <w:bottom w:val="none" w:sz="0" w:space="0" w:color="auto"/>
        <w:right w:val="none" w:sz="0" w:space="0" w:color="auto"/>
      </w:divBdr>
      <w:divsChild>
        <w:div w:id="647630010">
          <w:marLeft w:val="0"/>
          <w:marRight w:val="0"/>
          <w:marTop w:val="0"/>
          <w:marBottom w:val="0"/>
          <w:divBdr>
            <w:top w:val="none" w:sz="0" w:space="0" w:color="auto"/>
            <w:left w:val="none" w:sz="0" w:space="0" w:color="auto"/>
            <w:bottom w:val="none" w:sz="0" w:space="0" w:color="auto"/>
            <w:right w:val="none" w:sz="0" w:space="0" w:color="auto"/>
          </w:divBdr>
          <w:divsChild>
            <w:div w:id="1305507752">
              <w:marLeft w:val="0"/>
              <w:marRight w:val="0"/>
              <w:marTop w:val="0"/>
              <w:marBottom w:val="0"/>
              <w:divBdr>
                <w:top w:val="none" w:sz="0" w:space="0" w:color="auto"/>
                <w:left w:val="none" w:sz="0" w:space="0" w:color="auto"/>
                <w:bottom w:val="none" w:sz="0" w:space="0" w:color="auto"/>
                <w:right w:val="none" w:sz="0" w:space="0" w:color="auto"/>
              </w:divBdr>
              <w:divsChild>
                <w:div w:id="1393842991">
                  <w:marLeft w:val="0"/>
                  <w:marRight w:val="0"/>
                  <w:marTop w:val="0"/>
                  <w:marBottom w:val="0"/>
                  <w:divBdr>
                    <w:top w:val="none" w:sz="0" w:space="0" w:color="auto"/>
                    <w:left w:val="none" w:sz="0" w:space="0" w:color="auto"/>
                    <w:bottom w:val="none" w:sz="0" w:space="0" w:color="auto"/>
                    <w:right w:val="none" w:sz="0" w:space="0" w:color="auto"/>
                  </w:divBdr>
                  <w:divsChild>
                    <w:div w:id="1720665198">
                      <w:marLeft w:val="0"/>
                      <w:marRight w:val="0"/>
                      <w:marTop w:val="0"/>
                      <w:marBottom w:val="0"/>
                      <w:divBdr>
                        <w:top w:val="none" w:sz="0" w:space="0" w:color="auto"/>
                        <w:left w:val="none" w:sz="0" w:space="0" w:color="auto"/>
                        <w:bottom w:val="none" w:sz="0" w:space="0" w:color="auto"/>
                        <w:right w:val="none" w:sz="0" w:space="0" w:color="auto"/>
                      </w:divBdr>
                      <w:divsChild>
                        <w:div w:id="1282106941">
                          <w:marLeft w:val="0"/>
                          <w:marRight w:val="0"/>
                          <w:marTop w:val="0"/>
                          <w:marBottom w:val="0"/>
                          <w:divBdr>
                            <w:top w:val="none" w:sz="0" w:space="0" w:color="auto"/>
                            <w:left w:val="none" w:sz="0" w:space="0" w:color="auto"/>
                            <w:bottom w:val="none" w:sz="0" w:space="0" w:color="auto"/>
                            <w:right w:val="none" w:sz="0" w:space="0" w:color="auto"/>
                          </w:divBdr>
                          <w:divsChild>
                            <w:div w:id="766390848">
                              <w:marLeft w:val="0"/>
                              <w:marRight w:val="0"/>
                              <w:marTop w:val="0"/>
                              <w:marBottom w:val="0"/>
                              <w:divBdr>
                                <w:top w:val="none" w:sz="0" w:space="0" w:color="auto"/>
                                <w:left w:val="none" w:sz="0" w:space="0" w:color="auto"/>
                                <w:bottom w:val="none" w:sz="0" w:space="0" w:color="auto"/>
                                <w:right w:val="none" w:sz="0" w:space="0" w:color="auto"/>
                              </w:divBdr>
                              <w:divsChild>
                                <w:div w:id="566451304">
                                  <w:marLeft w:val="0"/>
                                  <w:marRight w:val="0"/>
                                  <w:marTop w:val="0"/>
                                  <w:marBottom w:val="0"/>
                                  <w:divBdr>
                                    <w:top w:val="none" w:sz="0" w:space="0" w:color="auto"/>
                                    <w:left w:val="none" w:sz="0" w:space="0" w:color="auto"/>
                                    <w:bottom w:val="none" w:sz="0" w:space="0" w:color="auto"/>
                                    <w:right w:val="none" w:sz="0" w:space="0" w:color="auto"/>
                                  </w:divBdr>
                                  <w:divsChild>
                                    <w:div w:id="3137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96267">
      <w:bodyDiv w:val="1"/>
      <w:marLeft w:val="0"/>
      <w:marRight w:val="0"/>
      <w:marTop w:val="0"/>
      <w:marBottom w:val="0"/>
      <w:divBdr>
        <w:top w:val="none" w:sz="0" w:space="0" w:color="auto"/>
        <w:left w:val="none" w:sz="0" w:space="0" w:color="auto"/>
        <w:bottom w:val="none" w:sz="0" w:space="0" w:color="auto"/>
        <w:right w:val="none" w:sz="0" w:space="0" w:color="auto"/>
      </w:divBdr>
      <w:divsChild>
        <w:div w:id="1942953104">
          <w:marLeft w:val="0"/>
          <w:marRight w:val="0"/>
          <w:marTop w:val="0"/>
          <w:marBottom w:val="0"/>
          <w:divBdr>
            <w:top w:val="none" w:sz="0" w:space="0" w:color="auto"/>
            <w:left w:val="none" w:sz="0" w:space="0" w:color="auto"/>
            <w:bottom w:val="none" w:sz="0" w:space="0" w:color="auto"/>
            <w:right w:val="none" w:sz="0" w:space="0" w:color="auto"/>
          </w:divBdr>
          <w:divsChild>
            <w:div w:id="331639465">
              <w:marLeft w:val="0"/>
              <w:marRight w:val="0"/>
              <w:marTop w:val="0"/>
              <w:marBottom w:val="0"/>
              <w:divBdr>
                <w:top w:val="none" w:sz="0" w:space="0" w:color="auto"/>
                <w:left w:val="none" w:sz="0" w:space="0" w:color="auto"/>
                <w:bottom w:val="none" w:sz="0" w:space="0" w:color="auto"/>
                <w:right w:val="none" w:sz="0" w:space="0" w:color="auto"/>
              </w:divBdr>
              <w:divsChild>
                <w:div w:id="873806739">
                  <w:marLeft w:val="0"/>
                  <w:marRight w:val="0"/>
                  <w:marTop w:val="0"/>
                  <w:marBottom w:val="0"/>
                  <w:divBdr>
                    <w:top w:val="none" w:sz="0" w:space="0" w:color="auto"/>
                    <w:left w:val="none" w:sz="0" w:space="0" w:color="auto"/>
                    <w:bottom w:val="none" w:sz="0" w:space="0" w:color="auto"/>
                    <w:right w:val="none" w:sz="0" w:space="0" w:color="auto"/>
                  </w:divBdr>
                  <w:divsChild>
                    <w:div w:id="523829426">
                      <w:marLeft w:val="0"/>
                      <w:marRight w:val="0"/>
                      <w:marTop w:val="0"/>
                      <w:marBottom w:val="0"/>
                      <w:divBdr>
                        <w:top w:val="none" w:sz="0" w:space="0" w:color="auto"/>
                        <w:left w:val="none" w:sz="0" w:space="0" w:color="auto"/>
                        <w:bottom w:val="none" w:sz="0" w:space="0" w:color="auto"/>
                        <w:right w:val="none" w:sz="0" w:space="0" w:color="auto"/>
                      </w:divBdr>
                      <w:divsChild>
                        <w:div w:id="350648072">
                          <w:marLeft w:val="0"/>
                          <w:marRight w:val="0"/>
                          <w:marTop w:val="0"/>
                          <w:marBottom w:val="0"/>
                          <w:divBdr>
                            <w:top w:val="none" w:sz="0" w:space="0" w:color="auto"/>
                            <w:left w:val="none" w:sz="0" w:space="0" w:color="auto"/>
                            <w:bottom w:val="none" w:sz="0" w:space="0" w:color="auto"/>
                            <w:right w:val="none" w:sz="0" w:space="0" w:color="auto"/>
                          </w:divBdr>
                          <w:divsChild>
                            <w:div w:id="1182553641">
                              <w:marLeft w:val="0"/>
                              <w:marRight w:val="0"/>
                              <w:marTop w:val="0"/>
                              <w:marBottom w:val="0"/>
                              <w:divBdr>
                                <w:top w:val="none" w:sz="0" w:space="0" w:color="auto"/>
                                <w:left w:val="none" w:sz="0" w:space="0" w:color="auto"/>
                                <w:bottom w:val="none" w:sz="0" w:space="0" w:color="auto"/>
                                <w:right w:val="none" w:sz="0" w:space="0" w:color="auto"/>
                              </w:divBdr>
                              <w:divsChild>
                                <w:div w:id="872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7302">
      <w:bodyDiv w:val="1"/>
      <w:marLeft w:val="0"/>
      <w:marRight w:val="0"/>
      <w:marTop w:val="0"/>
      <w:marBottom w:val="0"/>
      <w:divBdr>
        <w:top w:val="none" w:sz="0" w:space="0" w:color="auto"/>
        <w:left w:val="none" w:sz="0" w:space="0" w:color="auto"/>
        <w:bottom w:val="none" w:sz="0" w:space="0" w:color="auto"/>
        <w:right w:val="none" w:sz="0" w:space="0" w:color="auto"/>
      </w:divBdr>
      <w:divsChild>
        <w:div w:id="700515343">
          <w:marLeft w:val="0"/>
          <w:marRight w:val="0"/>
          <w:marTop w:val="0"/>
          <w:marBottom w:val="0"/>
          <w:divBdr>
            <w:top w:val="none" w:sz="0" w:space="0" w:color="auto"/>
            <w:left w:val="none" w:sz="0" w:space="0" w:color="auto"/>
            <w:bottom w:val="none" w:sz="0" w:space="0" w:color="auto"/>
            <w:right w:val="none" w:sz="0" w:space="0" w:color="auto"/>
          </w:divBdr>
          <w:divsChild>
            <w:div w:id="418334199">
              <w:marLeft w:val="0"/>
              <w:marRight w:val="0"/>
              <w:marTop w:val="0"/>
              <w:marBottom w:val="0"/>
              <w:divBdr>
                <w:top w:val="none" w:sz="0" w:space="0" w:color="auto"/>
                <w:left w:val="none" w:sz="0" w:space="0" w:color="auto"/>
                <w:bottom w:val="none" w:sz="0" w:space="0" w:color="auto"/>
                <w:right w:val="none" w:sz="0" w:space="0" w:color="auto"/>
              </w:divBdr>
              <w:divsChild>
                <w:div w:id="1455757488">
                  <w:marLeft w:val="0"/>
                  <w:marRight w:val="0"/>
                  <w:marTop w:val="0"/>
                  <w:marBottom w:val="0"/>
                  <w:divBdr>
                    <w:top w:val="none" w:sz="0" w:space="0" w:color="auto"/>
                    <w:left w:val="none" w:sz="0" w:space="0" w:color="auto"/>
                    <w:bottom w:val="none" w:sz="0" w:space="0" w:color="auto"/>
                    <w:right w:val="none" w:sz="0" w:space="0" w:color="auto"/>
                  </w:divBdr>
                  <w:divsChild>
                    <w:div w:id="297031371">
                      <w:marLeft w:val="0"/>
                      <w:marRight w:val="0"/>
                      <w:marTop w:val="0"/>
                      <w:marBottom w:val="0"/>
                      <w:divBdr>
                        <w:top w:val="none" w:sz="0" w:space="0" w:color="auto"/>
                        <w:left w:val="none" w:sz="0" w:space="0" w:color="auto"/>
                        <w:bottom w:val="none" w:sz="0" w:space="0" w:color="auto"/>
                        <w:right w:val="none" w:sz="0" w:space="0" w:color="auto"/>
                      </w:divBdr>
                      <w:divsChild>
                        <w:div w:id="1439370745">
                          <w:marLeft w:val="0"/>
                          <w:marRight w:val="0"/>
                          <w:marTop w:val="0"/>
                          <w:marBottom w:val="0"/>
                          <w:divBdr>
                            <w:top w:val="none" w:sz="0" w:space="0" w:color="auto"/>
                            <w:left w:val="none" w:sz="0" w:space="0" w:color="auto"/>
                            <w:bottom w:val="none" w:sz="0" w:space="0" w:color="auto"/>
                            <w:right w:val="none" w:sz="0" w:space="0" w:color="auto"/>
                          </w:divBdr>
                          <w:divsChild>
                            <w:div w:id="467474906">
                              <w:marLeft w:val="0"/>
                              <w:marRight w:val="0"/>
                              <w:marTop w:val="0"/>
                              <w:marBottom w:val="0"/>
                              <w:divBdr>
                                <w:top w:val="none" w:sz="0" w:space="0" w:color="auto"/>
                                <w:left w:val="none" w:sz="0" w:space="0" w:color="auto"/>
                                <w:bottom w:val="none" w:sz="0" w:space="0" w:color="auto"/>
                                <w:right w:val="none" w:sz="0" w:space="0" w:color="auto"/>
                              </w:divBdr>
                              <w:divsChild>
                                <w:div w:id="1359159132">
                                  <w:marLeft w:val="0"/>
                                  <w:marRight w:val="0"/>
                                  <w:marTop w:val="0"/>
                                  <w:marBottom w:val="0"/>
                                  <w:divBdr>
                                    <w:top w:val="none" w:sz="0" w:space="0" w:color="auto"/>
                                    <w:left w:val="none" w:sz="0" w:space="0" w:color="auto"/>
                                    <w:bottom w:val="none" w:sz="0" w:space="0" w:color="auto"/>
                                    <w:right w:val="none" w:sz="0" w:space="0" w:color="auto"/>
                                  </w:divBdr>
                                  <w:divsChild>
                                    <w:div w:id="1656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5249">
      <w:bodyDiv w:val="1"/>
      <w:marLeft w:val="0"/>
      <w:marRight w:val="0"/>
      <w:marTop w:val="0"/>
      <w:marBottom w:val="0"/>
      <w:divBdr>
        <w:top w:val="none" w:sz="0" w:space="0" w:color="auto"/>
        <w:left w:val="none" w:sz="0" w:space="0" w:color="auto"/>
        <w:bottom w:val="none" w:sz="0" w:space="0" w:color="auto"/>
        <w:right w:val="none" w:sz="0" w:space="0" w:color="auto"/>
      </w:divBdr>
      <w:divsChild>
        <w:div w:id="1327973016">
          <w:marLeft w:val="0"/>
          <w:marRight w:val="0"/>
          <w:marTop w:val="0"/>
          <w:marBottom w:val="0"/>
          <w:divBdr>
            <w:top w:val="none" w:sz="0" w:space="0" w:color="auto"/>
            <w:left w:val="none" w:sz="0" w:space="0" w:color="auto"/>
            <w:bottom w:val="none" w:sz="0" w:space="0" w:color="auto"/>
            <w:right w:val="none" w:sz="0" w:space="0" w:color="auto"/>
          </w:divBdr>
          <w:divsChild>
            <w:div w:id="1089042429">
              <w:marLeft w:val="0"/>
              <w:marRight w:val="0"/>
              <w:marTop w:val="0"/>
              <w:marBottom w:val="0"/>
              <w:divBdr>
                <w:top w:val="none" w:sz="0" w:space="0" w:color="auto"/>
                <w:left w:val="none" w:sz="0" w:space="0" w:color="auto"/>
                <w:bottom w:val="none" w:sz="0" w:space="0" w:color="auto"/>
                <w:right w:val="none" w:sz="0" w:space="0" w:color="auto"/>
              </w:divBdr>
              <w:divsChild>
                <w:div w:id="1247808448">
                  <w:marLeft w:val="0"/>
                  <w:marRight w:val="0"/>
                  <w:marTop w:val="0"/>
                  <w:marBottom w:val="0"/>
                  <w:divBdr>
                    <w:top w:val="none" w:sz="0" w:space="0" w:color="auto"/>
                    <w:left w:val="none" w:sz="0" w:space="0" w:color="auto"/>
                    <w:bottom w:val="none" w:sz="0" w:space="0" w:color="auto"/>
                    <w:right w:val="none" w:sz="0" w:space="0" w:color="auto"/>
                  </w:divBdr>
                  <w:divsChild>
                    <w:div w:id="717362283">
                      <w:marLeft w:val="0"/>
                      <w:marRight w:val="0"/>
                      <w:marTop w:val="0"/>
                      <w:marBottom w:val="0"/>
                      <w:divBdr>
                        <w:top w:val="none" w:sz="0" w:space="0" w:color="auto"/>
                        <w:left w:val="none" w:sz="0" w:space="0" w:color="auto"/>
                        <w:bottom w:val="none" w:sz="0" w:space="0" w:color="auto"/>
                        <w:right w:val="none" w:sz="0" w:space="0" w:color="auto"/>
                      </w:divBdr>
                      <w:divsChild>
                        <w:div w:id="2051373426">
                          <w:marLeft w:val="0"/>
                          <w:marRight w:val="0"/>
                          <w:marTop w:val="0"/>
                          <w:marBottom w:val="0"/>
                          <w:divBdr>
                            <w:top w:val="none" w:sz="0" w:space="0" w:color="auto"/>
                            <w:left w:val="none" w:sz="0" w:space="0" w:color="auto"/>
                            <w:bottom w:val="none" w:sz="0" w:space="0" w:color="auto"/>
                            <w:right w:val="none" w:sz="0" w:space="0" w:color="auto"/>
                          </w:divBdr>
                          <w:divsChild>
                            <w:div w:id="1476609419">
                              <w:marLeft w:val="0"/>
                              <w:marRight w:val="0"/>
                              <w:marTop w:val="0"/>
                              <w:marBottom w:val="0"/>
                              <w:divBdr>
                                <w:top w:val="none" w:sz="0" w:space="0" w:color="auto"/>
                                <w:left w:val="none" w:sz="0" w:space="0" w:color="auto"/>
                                <w:bottom w:val="none" w:sz="0" w:space="0" w:color="auto"/>
                                <w:right w:val="none" w:sz="0" w:space="0" w:color="auto"/>
                              </w:divBdr>
                              <w:divsChild>
                                <w:div w:id="205803571">
                                  <w:marLeft w:val="0"/>
                                  <w:marRight w:val="0"/>
                                  <w:marTop w:val="0"/>
                                  <w:marBottom w:val="0"/>
                                  <w:divBdr>
                                    <w:top w:val="none" w:sz="0" w:space="0" w:color="auto"/>
                                    <w:left w:val="none" w:sz="0" w:space="0" w:color="auto"/>
                                    <w:bottom w:val="none" w:sz="0" w:space="0" w:color="auto"/>
                                    <w:right w:val="none" w:sz="0" w:space="0" w:color="auto"/>
                                  </w:divBdr>
                                  <w:divsChild>
                                    <w:div w:id="1633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87180">
      <w:bodyDiv w:val="1"/>
      <w:marLeft w:val="0"/>
      <w:marRight w:val="0"/>
      <w:marTop w:val="0"/>
      <w:marBottom w:val="0"/>
      <w:divBdr>
        <w:top w:val="none" w:sz="0" w:space="0" w:color="auto"/>
        <w:left w:val="none" w:sz="0" w:space="0" w:color="auto"/>
        <w:bottom w:val="none" w:sz="0" w:space="0" w:color="auto"/>
        <w:right w:val="none" w:sz="0" w:space="0" w:color="auto"/>
      </w:divBdr>
      <w:divsChild>
        <w:div w:id="1516381259">
          <w:marLeft w:val="0"/>
          <w:marRight w:val="0"/>
          <w:marTop w:val="0"/>
          <w:marBottom w:val="0"/>
          <w:divBdr>
            <w:top w:val="none" w:sz="0" w:space="0" w:color="auto"/>
            <w:left w:val="none" w:sz="0" w:space="0" w:color="auto"/>
            <w:bottom w:val="none" w:sz="0" w:space="0" w:color="auto"/>
            <w:right w:val="none" w:sz="0" w:space="0" w:color="auto"/>
          </w:divBdr>
          <w:divsChild>
            <w:div w:id="1699744778">
              <w:marLeft w:val="0"/>
              <w:marRight w:val="0"/>
              <w:marTop w:val="0"/>
              <w:marBottom w:val="0"/>
              <w:divBdr>
                <w:top w:val="none" w:sz="0" w:space="0" w:color="auto"/>
                <w:left w:val="none" w:sz="0" w:space="0" w:color="auto"/>
                <w:bottom w:val="none" w:sz="0" w:space="0" w:color="auto"/>
                <w:right w:val="none" w:sz="0" w:space="0" w:color="auto"/>
              </w:divBdr>
              <w:divsChild>
                <w:div w:id="1936592259">
                  <w:marLeft w:val="0"/>
                  <w:marRight w:val="0"/>
                  <w:marTop w:val="0"/>
                  <w:marBottom w:val="0"/>
                  <w:divBdr>
                    <w:top w:val="none" w:sz="0" w:space="0" w:color="auto"/>
                    <w:left w:val="none" w:sz="0" w:space="0" w:color="auto"/>
                    <w:bottom w:val="none" w:sz="0" w:space="0" w:color="auto"/>
                    <w:right w:val="none" w:sz="0" w:space="0" w:color="auto"/>
                  </w:divBdr>
                  <w:divsChild>
                    <w:div w:id="191187089">
                      <w:marLeft w:val="0"/>
                      <w:marRight w:val="0"/>
                      <w:marTop w:val="0"/>
                      <w:marBottom w:val="0"/>
                      <w:divBdr>
                        <w:top w:val="none" w:sz="0" w:space="0" w:color="auto"/>
                        <w:left w:val="none" w:sz="0" w:space="0" w:color="auto"/>
                        <w:bottom w:val="none" w:sz="0" w:space="0" w:color="auto"/>
                        <w:right w:val="none" w:sz="0" w:space="0" w:color="auto"/>
                      </w:divBdr>
                      <w:divsChild>
                        <w:div w:id="1050420053">
                          <w:marLeft w:val="0"/>
                          <w:marRight w:val="0"/>
                          <w:marTop w:val="0"/>
                          <w:marBottom w:val="0"/>
                          <w:divBdr>
                            <w:top w:val="none" w:sz="0" w:space="0" w:color="auto"/>
                            <w:left w:val="none" w:sz="0" w:space="0" w:color="auto"/>
                            <w:bottom w:val="none" w:sz="0" w:space="0" w:color="auto"/>
                            <w:right w:val="none" w:sz="0" w:space="0" w:color="auto"/>
                          </w:divBdr>
                          <w:divsChild>
                            <w:div w:id="552236062">
                              <w:marLeft w:val="0"/>
                              <w:marRight w:val="0"/>
                              <w:marTop w:val="0"/>
                              <w:marBottom w:val="0"/>
                              <w:divBdr>
                                <w:top w:val="none" w:sz="0" w:space="0" w:color="auto"/>
                                <w:left w:val="none" w:sz="0" w:space="0" w:color="auto"/>
                                <w:bottom w:val="none" w:sz="0" w:space="0" w:color="auto"/>
                                <w:right w:val="none" w:sz="0" w:space="0" w:color="auto"/>
                              </w:divBdr>
                              <w:divsChild>
                                <w:div w:id="2572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638408">
      <w:bodyDiv w:val="1"/>
      <w:marLeft w:val="0"/>
      <w:marRight w:val="0"/>
      <w:marTop w:val="0"/>
      <w:marBottom w:val="0"/>
      <w:divBdr>
        <w:top w:val="none" w:sz="0" w:space="0" w:color="auto"/>
        <w:left w:val="none" w:sz="0" w:space="0" w:color="auto"/>
        <w:bottom w:val="none" w:sz="0" w:space="0" w:color="auto"/>
        <w:right w:val="none" w:sz="0" w:space="0" w:color="auto"/>
      </w:divBdr>
    </w:div>
    <w:div w:id="1893269897">
      <w:bodyDiv w:val="1"/>
      <w:marLeft w:val="0"/>
      <w:marRight w:val="0"/>
      <w:marTop w:val="0"/>
      <w:marBottom w:val="0"/>
      <w:divBdr>
        <w:top w:val="none" w:sz="0" w:space="0" w:color="auto"/>
        <w:left w:val="none" w:sz="0" w:space="0" w:color="auto"/>
        <w:bottom w:val="none" w:sz="0" w:space="0" w:color="auto"/>
        <w:right w:val="none" w:sz="0" w:space="0" w:color="auto"/>
      </w:divBdr>
    </w:div>
    <w:div w:id="2038656142">
      <w:bodyDiv w:val="1"/>
      <w:marLeft w:val="0"/>
      <w:marRight w:val="0"/>
      <w:marTop w:val="0"/>
      <w:marBottom w:val="0"/>
      <w:divBdr>
        <w:top w:val="none" w:sz="0" w:space="0" w:color="auto"/>
        <w:left w:val="none" w:sz="0" w:space="0" w:color="auto"/>
        <w:bottom w:val="none" w:sz="0" w:space="0" w:color="auto"/>
        <w:right w:val="none" w:sz="0" w:space="0" w:color="auto"/>
      </w:divBdr>
      <w:divsChild>
        <w:div w:id="1550385669">
          <w:marLeft w:val="0"/>
          <w:marRight w:val="0"/>
          <w:marTop w:val="0"/>
          <w:marBottom w:val="0"/>
          <w:divBdr>
            <w:top w:val="none" w:sz="0" w:space="0" w:color="auto"/>
            <w:left w:val="none" w:sz="0" w:space="0" w:color="auto"/>
            <w:bottom w:val="none" w:sz="0" w:space="0" w:color="auto"/>
            <w:right w:val="none" w:sz="0" w:space="0" w:color="auto"/>
          </w:divBdr>
          <w:divsChild>
            <w:div w:id="1611160371">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sChild>
                    <w:div w:id="1105618690">
                      <w:marLeft w:val="0"/>
                      <w:marRight w:val="0"/>
                      <w:marTop w:val="0"/>
                      <w:marBottom w:val="0"/>
                      <w:divBdr>
                        <w:top w:val="none" w:sz="0" w:space="0" w:color="auto"/>
                        <w:left w:val="none" w:sz="0" w:space="0" w:color="auto"/>
                        <w:bottom w:val="none" w:sz="0" w:space="0" w:color="auto"/>
                        <w:right w:val="none" w:sz="0" w:space="0" w:color="auto"/>
                      </w:divBdr>
                      <w:divsChild>
                        <w:div w:id="129520657">
                          <w:marLeft w:val="0"/>
                          <w:marRight w:val="0"/>
                          <w:marTop w:val="0"/>
                          <w:marBottom w:val="0"/>
                          <w:divBdr>
                            <w:top w:val="none" w:sz="0" w:space="0" w:color="auto"/>
                            <w:left w:val="none" w:sz="0" w:space="0" w:color="auto"/>
                            <w:bottom w:val="none" w:sz="0" w:space="0" w:color="auto"/>
                            <w:right w:val="none" w:sz="0" w:space="0" w:color="auto"/>
                          </w:divBdr>
                          <w:divsChild>
                            <w:div w:id="2085107623">
                              <w:marLeft w:val="0"/>
                              <w:marRight w:val="0"/>
                              <w:marTop w:val="0"/>
                              <w:marBottom w:val="0"/>
                              <w:divBdr>
                                <w:top w:val="none" w:sz="0" w:space="0" w:color="auto"/>
                                <w:left w:val="none" w:sz="0" w:space="0" w:color="auto"/>
                                <w:bottom w:val="none" w:sz="0" w:space="0" w:color="auto"/>
                                <w:right w:val="none" w:sz="0" w:space="0" w:color="auto"/>
                              </w:divBdr>
                              <w:divsChild>
                                <w:div w:id="223376492">
                                  <w:marLeft w:val="0"/>
                                  <w:marRight w:val="0"/>
                                  <w:marTop w:val="0"/>
                                  <w:marBottom w:val="0"/>
                                  <w:divBdr>
                                    <w:top w:val="none" w:sz="0" w:space="0" w:color="auto"/>
                                    <w:left w:val="none" w:sz="0" w:space="0" w:color="auto"/>
                                    <w:bottom w:val="none" w:sz="0" w:space="0" w:color="auto"/>
                                    <w:right w:val="none" w:sz="0" w:space="0" w:color="auto"/>
                                  </w:divBdr>
                                  <w:divsChild>
                                    <w:div w:id="1576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2AB0-5C20-4594-AB55-69E69AB5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4079</Words>
  <Characters>23316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TEMPLATE FOR PROJECT CONCEPT NOTE (PCN)</vt:lpstr>
    </vt:vector>
  </TitlesOfParts>
  <Company>World Bank Group</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CONCEPT NOTE (PCN)</dc:title>
  <dc:creator>SYSTEM</dc:creator>
  <cp:lastModifiedBy>wb406484</cp:lastModifiedBy>
  <cp:revision>2</cp:revision>
  <cp:lastPrinted>2011-11-17T15:23:00Z</cp:lastPrinted>
  <dcterms:created xsi:type="dcterms:W3CDTF">2012-03-29T18:11:00Z</dcterms:created>
  <dcterms:modified xsi:type="dcterms:W3CDTF">2012-03-29T18:11:00Z</dcterms:modified>
</cp:coreProperties>
</file>