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ABE52" w14:textId="5AA72F08" w:rsidR="00347941" w:rsidRPr="001A6D31" w:rsidRDefault="00202E87" w:rsidP="004403DA">
      <w:pPr>
        <w:pStyle w:val="Heading41"/>
        <w:ind w:left="0" w:firstLine="0"/>
        <w:jc w:val="center"/>
      </w:pPr>
      <w:r>
        <w:rPr>
          <w:noProof/>
          <w:lang w:val="en-US"/>
        </w:rPr>
        <mc:AlternateContent>
          <mc:Choice Requires="wps">
            <w:drawing>
              <wp:anchor distT="0" distB="0" distL="114300" distR="114300" simplePos="0" relativeHeight="251659264" behindDoc="0" locked="0" layoutInCell="1" allowOverlap="1" wp14:anchorId="5AC439F8" wp14:editId="4B0B50A6">
                <wp:simplePos x="0" y="0"/>
                <wp:positionH relativeFrom="column">
                  <wp:posOffset>4903470</wp:posOffset>
                </wp:positionH>
                <wp:positionV relativeFrom="paragraph">
                  <wp:posOffset>-795655</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B61E7E7" w14:textId="10016518" w:rsidR="00202E87" w:rsidRPr="00202E87" w:rsidRDefault="00202E87">
                            <w:pPr>
                              <w:rPr>
                                <w:rFonts w:asciiTheme="minorHAnsi" w:hAnsiTheme="minorHAnsi" w:cstheme="minorHAnsi"/>
                                <w:sz w:val="44"/>
                                <w:szCs w:val="44"/>
                              </w:rPr>
                            </w:pPr>
                            <w:r w:rsidRPr="00202E87">
                              <w:rPr>
                                <w:rFonts w:asciiTheme="minorHAnsi" w:hAnsiTheme="minorHAnsi" w:cstheme="minorHAnsi"/>
                                <w:sz w:val="44"/>
                                <w:szCs w:val="44"/>
                              </w:rPr>
                              <w:t>SFG3703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C439F8" id="_x0000_t202" coordsize="21600,21600" o:spt="202" path="m,l,21600r21600,l21600,xe">
                <v:stroke joinstyle="miter"/>
                <v:path gradientshapeok="t" o:connecttype="rect"/>
              </v:shapetype>
              <v:shape id="Text Box 1" o:spid="_x0000_s1026" type="#_x0000_t202" style="position:absolute;left:0;text-align:left;margin-left:386.1pt;margin-top:-62.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kIwIAAE4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" filled="f" stroked="f" strokeweight=".5pt">
                <v:textbox>
                  <w:txbxContent>
                    <w:p w14:paraId="5B61E7E7" w14:textId="10016518" w:rsidR="00202E87" w:rsidRPr="00202E87" w:rsidRDefault="00202E87">
                      <w:pPr>
                        <w:rPr>
                          <w:rFonts w:asciiTheme="minorHAnsi" w:hAnsiTheme="minorHAnsi" w:cstheme="minorHAnsi"/>
                          <w:sz w:val="44"/>
                          <w:szCs w:val="44"/>
                        </w:rPr>
                      </w:pPr>
                      <w:r w:rsidRPr="00202E87">
                        <w:rPr>
                          <w:rFonts w:asciiTheme="minorHAnsi" w:hAnsiTheme="minorHAnsi" w:cstheme="minorHAnsi"/>
                          <w:sz w:val="44"/>
                          <w:szCs w:val="44"/>
                        </w:rPr>
                        <w:t>SFG3703</w:t>
                      </w:r>
                    </w:p>
                  </w:txbxContent>
                </v:textbox>
              </v:shape>
            </w:pict>
          </mc:Fallback>
        </mc:AlternateContent>
      </w:r>
      <w:r w:rsidR="0004604F" w:rsidRPr="001A6D31">
        <w:t>TÉRMINOS DE REFERENCIA (TORS) PARA EL DESARROLLO DEL MARCO DE GESTIÓN AMBIENTAL Y SOCIAL (</w:t>
      </w:r>
      <w:r w:rsidR="00B70AB4">
        <w:t>MGAS</w:t>
      </w:r>
      <w:r w:rsidR="0004604F" w:rsidRPr="001A6D31">
        <w:t>)</w:t>
      </w:r>
      <w:r w:rsidR="005529A3" w:rsidRPr="001A6D31">
        <w:t xml:space="preserve"> </w:t>
      </w:r>
      <w:r w:rsidR="00644CD8" w:rsidRPr="00A61676">
        <w:t xml:space="preserve">PARA EL </w:t>
      </w:r>
      <w:r w:rsidR="00A61676" w:rsidRPr="00A61676">
        <w:t xml:space="preserve">PROGRAMA DE </w:t>
      </w:r>
      <w:bookmarkStart w:id="0" w:name="_GoBack"/>
      <w:bookmarkEnd w:id="0"/>
      <w:r w:rsidR="00A61676" w:rsidRPr="00A61676">
        <w:t>REDUCCIÓN DE EMISIONES</w:t>
      </w:r>
      <w:r w:rsidR="00D64745" w:rsidRPr="00D64745">
        <w:t xml:space="preserve"> </w:t>
      </w:r>
      <w:r w:rsidR="00D64745" w:rsidRPr="001A6D31">
        <w:t>EN LA REGION ORINOQUIA</w:t>
      </w:r>
      <w:r w:rsidR="005529A3" w:rsidRPr="001A6D31">
        <w:t>.</w:t>
      </w:r>
    </w:p>
    <w:p w14:paraId="38942030" w14:textId="77777777" w:rsidR="00F915ED" w:rsidRPr="001A6D31" w:rsidRDefault="00F915ED" w:rsidP="00F915ED"/>
    <w:p w14:paraId="25A3A775" w14:textId="77777777" w:rsidR="001253E5" w:rsidRPr="001A6D31" w:rsidRDefault="00384BAA" w:rsidP="00384BAA">
      <w:pPr>
        <w:pStyle w:val="Heading1"/>
        <w:pageBreakBefore w:val="0"/>
      </w:pPr>
      <w:r w:rsidRPr="001A6D31">
        <w:t>ANTECEDENTES</w:t>
      </w:r>
    </w:p>
    <w:p w14:paraId="125BFB10" w14:textId="77777777" w:rsidR="0016430A" w:rsidRPr="001A6D31" w:rsidRDefault="0016430A" w:rsidP="0016430A">
      <w:r w:rsidRPr="001A6D31">
        <w:t>El Gobierno de Colombia, con miras a desarrollar actividades de Reducción de Emisiones por Deforestación y Degradación de Bosques (REDD+), está formulando la estrategia nacional REDD+ (ENREDD+) que se enmarca dentro de la Política Nacional frente al Cambio Climático y el Plan Nacional de Desarrollo Forestal. Se espera que la implementación de la ENREDD+ logre reducir la deforestación y degradación forestal en el país e impacte positivamente sobre los medios de vida y el bienestar humano de los pueblos indígenas, comunidades afrocolombianas y comunidades locales y campesinas dependientes de los bosques o que se relacionan con ellos, conforme a sus capacidades y facilitado por el apoyo internacional en el marco de la CMNUCC.</w:t>
      </w:r>
    </w:p>
    <w:p w14:paraId="6DBB5A32" w14:textId="77777777" w:rsidR="0016430A" w:rsidRPr="001A6D31" w:rsidRDefault="0016430A" w:rsidP="0016430A"/>
    <w:p w14:paraId="478011A5" w14:textId="77777777" w:rsidR="0016430A" w:rsidRPr="001A6D31" w:rsidRDefault="0016430A" w:rsidP="0016430A">
      <w:r w:rsidRPr="001A6D31">
        <w:t xml:space="preserve">En virtud de la designación hecha por el Ministerio de Ambiente y Desarrollo Sostenible, el 5 de octubre de 2010 el Banco Internacional para la Reconstrucción y el Fomento (BIRF o Banco Mundial) y el Fondo Acción suscribieron un acuerdo de donación para la formulación de la propuesta de preparación para la Estrategia Nacional para la reducción de emisiones por deforestación y degradación forestal (R-PP REDD+ por sus iniciales en inglés). Dicho acuerdo fue ejecutado con éxito. </w:t>
      </w:r>
    </w:p>
    <w:p w14:paraId="1731CCEC" w14:textId="77777777" w:rsidR="0016430A" w:rsidRPr="001A6D31" w:rsidRDefault="0016430A" w:rsidP="0016430A"/>
    <w:p w14:paraId="6C8F3560" w14:textId="0DC028F0" w:rsidR="0016430A" w:rsidRPr="001A6D31" w:rsidRDefault="0016430A" w:rsidP="0016430A">
      <w:r w:rsidRPr="001A6D31">
        <w:t>A partir de lo anterior, el Gobierno de Colombia presentó en octubre de 2011 el documento R-PP al Comité de Participantes del Fondo Cooperativo para el Carbono de los Bosques (FCPF por sus iniciales en inglés), y se decidió otorgar una nueva donación a la República de Colombia, a través del Banco Mundial, con el fin de desarrollar un proceso</w:t>
      </w:r>
      <w:r w:rsidR="005529A3" w:rsidRPr="001A6D31">
        <w:t xml:space="preserve"> </w:t>
      </w:r>
      <w:r w:rsidR="00D76B5A" w:rsidRPr="001A6D31">
        <w:t>analítico-</w:t>
      </w:r>
      <w:r w:rsidRPr="001A6D31">
        <w:t>participativo e incluyente con los principales actores involucrados para la preparación de la estrategia nacional REDD+ de Colombia (en adelante, “el Proyecto”)</w:t>
      </w:r>
      <w:r w:rsidR="005529A3" w:rsidRPr="001A6D31">
        <w:t>, este proceso se decidió hacerlo de manera independiente para cada una de las cinco regiones definidas dentro de Colombia, en virtud de sus características muy distintas entre ellas.</w:t>
      </w:r>
      <w:r w:rsidRPr="001A6D31">
        <w:t xml:space="preserve"> En este contexto, se espera:</w:t>
      </w:r>
    </w:p>
    <w:p w14:paraId="4CFF9431" w14:textId="77777777" w:rsidR="0016430A" w:rsidRPr="001A6D31" w:rsidRDefault="0016430A" w:rsidP="0016430A"/>
    <w:p w14:paraId="03E5006F" w14:textId="3862FF51" w:rsidR="0016430A" w:rsidRPr="001A6D31" w:rsidRDefault="0016430A" w:rsidP="000D3FA1">
      <w:pPr>
        <w:pStyle w:val="ListParagraph"/>
        <w:numPr>
          <w:ilvl w:val="0"/>
          <w:numId w:val="2"/>
        </w:numPr>
        <w:rPr>
          <w:lang w:val="es-CO"/>
        </w:rPr>
      </w:pPr>
      <w:r w:rsidRPr="001A6D31">
        <w:rPr>
          <w:lang w:val="es-CO"/>
        </w:rPr>
        <w:t xml:space="preserve">Fortalecer la capacidad institucional de MADS para llevar a cabo </w:t>
      </w:r>
      <w:r w:rsidR="005529A3" w:rsidRPr="001A6D31">
        <w:rPr>
          <w:lang w:val="es-CO"/>
        </w:rPr>
        <w:t xml:space="preserve">los </w:t>
      </w:r>
      <w:r w:rsidRPr="001A6D31">
        <w:rPr>
          <w:lang w:val="es-CO"/>
        </w:rPr>
        <w:t>proceso</w:t>
      </w:r>
      <w:r w:rsidR="001A6D31" w:rsidRPr="001A6D31">
        <w:rPr>
          <w:lang w:val="es-CO"/>
        </w:rPr>
        <w:t>s</w:t>
      </w:r>
      <w:r w:rsidRPr="001A6D31">
        <w:rPr>
          <w:lang w:val="es-CO"/>
        </w:rPr>
        <w:t xml:space="preserve"> </w:t>
      </w:r>
      <w:r w:rsidR="00D76B5A" w:rsidRPr="001A6D31">
        <w:rPr>
          <w:lang w:val="es-CO"/>
        </w:rPr>
        <w:t>analítico-</w:t>
      </w:r>
      <w:r w:rsidRPr="001A6D31">
        <w:rPr>
          <w:lang w:val="es-CO"/>
        </w:rPr>
        <w:t>participativo e inclusivo para la preparación de la estrategia nacional REDD+,</w:t>
      </w:r>
    </w:p>
    <w:p w14:paraId="034E53A2" w14:textId="77777777" w:rsidR="0016430A" w:rsidRPr="001A6D31" w:rsidRDefault="0016430A" w:rsidP="000D3FA1">
      <w:pPr>
        <w:pStyle w:val="ListParagraph"/>
        <w:numPr>
          <w:ilvl w:val="0"/>
          <w:numId w:val="2"/>
        </w:numPr>
        <w:rPr>
          <w:lang w:val="es-CO"/>
        </w:rPr>
      </w:pPr>
      <w:r w:rsidRPr="001A6D31">
        <w:rPr>
          <w:lang w:val="es-CO"/>
        </w:rPr>
        <w:t>Apoyar plataformas de participación de los actores involucrados en REDD+ establecidas a nivel regional y nacional, con actores relevantes tales como pueblos indígenas, campesinos, comunidades afrocolombianas y mujeres,</w:t>
      </w:r>
    </w:p>
    <w:p w14:paraId="6EEB0EE4" w14:textId="77777777" w:rsidR="0016430A" w:rsidRPr="001A6D31" w:rsidRDefault="0016430A" w:rsidP="000D3FA1">
      <w:pPr>
        <w:pStyle w:val="ListParagraph"/>
        <w:numPr>
          <w:ilvl w:val="0"/>
          <w:numId w:val="2"/>
        </w:numPr>
        <w:rPr>
          <w:lang w:val="es-CO"/>
        </w:rPr>
      </w:pPr>
      <w:r w:rsidRPr="001A6D31">
        <w:rPr>
          <w:lang w:val="es-CO"/>
        </w:rPr>
        <w:t xml:space="preserve">Contar con un Marco de Gestión Ambiental y Social </w:t>
      </w:r>
      <w:r w:rsidR="005529A3" w:rsidRPr="001A6D31">
        <w:rPr>
          <w:lang w:val="es-CO"/>
        </w:rPr>
        <w:t xml:space="preserve">para cada región </w:t>
      </w:r>
      <w:r w:rsidRPr="001A6D31">
        <w:rPr>
          <w:lang w:val="es-CO"/>
        </w:rPr>
        <w:t xml:space="preserve">elaborado, </w:t>
      </w:r>
      <w:r w:rsidRPr="001A6D31">
        <w:rPr>
          <w:lang w:val="es-CO"/>
        </w:rPr>
        <w:lastRenderedPageBreak/>
        <w:t>implementar una estrategia de comunicaciones específica para la Estrategia REDD+, y</w:t>
      </w:r>
    </w:p>
    <w:p w14:paraId="4AA74501" w14:textId="77777777" w:rsidR="0016430A" w:rsidRPr="001A6D31" w:rsidRDefault="0016430A" w:rsidP="000D3FA1">
      <w:pPr>
        <w:pStyle w:val="ListParagraph"/>
        <w:numPr>
          <w:ilvl w:val="0"/>
          <w:numId w:val="2"/>
        </w:numPr>
        <w:rPr>
          <w:lang w:val="es-CO"/>
        </w:rPr>
      </w:pPr>
      <w:r w:rsidRPr="001A6D31">
        <w:rPr>
          <w:lang w:val="es-CO"/>
        </w:rPr>
        <w:t>Diseñar un mecanismo de retroalimentación y resolución de quejas para REDD+.</w:t>
      </w:r>
    </w:p>
    <w:p w14:paraId="0E0F11CE" w14:textId="77777777" w:rsidR="0016430A" w:rsidRPr="001A6D31" w:rsidRDefault="0016430A" w:rsidP="0016430A"/>
    <w:p w14:paraId="732AC886" w14:textId="7D44B528" w:rsidR="0016430A" w:rsidRPr="001A6D31" w:rsidRDefault="0016430A" w:rsidP="0016430A">
      <w:r w:rsidRPr="001A6D31">
        <w:t xml:space="preserve">En el marco del nuevo acuerdo de donación, deberá llevarse a cabo un proceso incluyente para la preparación de la Estrategia Nacional REDD+ (ENREDD+), buscando la vinculación del nivel central con las regiones en las que se trabajará la Estrategia dentro del país. En particular, </w:t>
      </w:r>
      <w:proofErr w:type="spellStart"/>
      <w:r w:rsidRPr="001A6D31">
        <w:t>el</w:t>
      </w:r>
      <w:proofErr w:type="spellEnd"/>
      <w:r w:rsidRPr="001A6D31">
        <w:t xml:space="preserve"> </w:t>
      </w:r>
      <w:r w:rsidR="002C5823">
        <w:t>se</w:t>
      </w:r>
      <w:r w:rsidRPr="001A6D31">
        <w:t xml:space="preserve"> deberá apoyar la preparación para REDD+ para:  Identificar, analizar y evaluar los resultados de los talleres, estudios y consultorías para identificar aspectos clave para la Evaluación Estratégica Ambiental y Social (SESA por sus siglas en inglés) y el diseño del marco de gestión ambiental y social, incluyendo entre otros un marco de manejo ambiental, marco de políticas de reasentamiento, un marco de procedimiento, y un marco de planificación de pueblos indígenas.</w:t>
      </w:r>
    </w:p>
    <w:p w14:paraId="32D34EB9" w14:textId="77777777" w:rsidR="001A6D31" w:rsidRPr="001A6D31" w:rsidRDefault="001A6D31" w:rsidP="0016430A"/>
    <w:p w14:paraId="1A27B351" w14:textId="5F7F21D6" w:rsidR="00A70081" w:rsidRPr="001A6D31" w:rsidRDefault="005529A3" w:rsidP="0016430A">
      <w:r w:rsidRPr="001A6D31">
        <w:t>Para la Región Orinoquía</w:t>
      </w:r>
      <w:r w:rsidR="0016430A" w:rsidRPr="001A6D31">
        <w:t xml:space="preserve">, </w:t>
      </w:r>
      <w:r w:rsidR="0016430A" w:rsidRPr="00B947CB">
        <w:t xml:space="preserve">el Programa de Implementación de la ENREDD+ </w:t>
      </w:r>
      <w:r w:rsidRPr="00B947CB">
        <w:t>ha sido</w:t>
      </w:r>
      <w:r w:rsidR="0016430A" w:rsidRPr="00B947CB">
        <w:t xml:space="preserve"> </w:t>
      </w:r>
      <w:r w:rsidR="00D76B5A" w:rsidRPr="00B947CB">
        <w:t xml:space="preserve">financiado por el </w:t>
      </w:r>
      <w:r w:rsidR="0016430A" w:rsidRPr="00B947CB">
        <w:t xml:space="preserve">Fondo </w:t>
      </w:r>
      <w:proofErr w:type="spellStart"/>
      <w:r w:rsidR="0016430A" w:rsidRPr="00B947CB">
        <w:t>BioCarbono</w:t>
      </w:r>
      <w:proofErr w:type="spellEnd"/>
      <w:r w:rsidR="0016430A" w:rsidRPr="00B947CB">
        <w:t xml:space="preserve">, </w:t>
      </w:r>
      <w:r w:rsidRPr="00B947CB">
        <w:t xml:space="preserve">y </w:t>
      </w:r>
      <w:r w:rsidR="00D76B5A" w:rsidRPr="00B947CB">
        <w:t xml:space="preserve">se desarrolla a través </w:t>
      </w:r>
      <w:r w:rsidR="0016430A" w:rsidRPr="00B947CB">
        <w:t>de la Iniciativa de Paisajes Forestales Sostenibles (IFSL por sus siglas en inglés)</w:t>
      </w:r>
      <w:r w:rsidR="003C08A5" w:rsidRPr="00B947CB">
        <w:t>, el cual inicia el desarrollo de la Fase de Asistencia Té</w:t>
      </w:r>
      <w:r w:rsidR="00D76B5A" w:rsidRPr="00B947CB">
        <w:t>c</w:t>
      </w:r>
      <w:r w:rsidR="003C08A5" w:rsidRPr="00B947CB">
        <w:t>nica</w:t>
      </w:r>
      <w:r w:rsidRPr="00B947CB">
        <w:t xml:space="preserve">  </w:t>
      </w:r>
      <w:r w:rsidR="001A6D31" w:rsidRPr="00B947CB">
        <w:t xml:space="preserve">con el fin de </w:t>
      </w:r>
      <w:r w:rsidRPr="00B947CB">
        <w:t>habilitar el entorno biótico-social para establecer el Programa de Reducción de Emisiones</w:t>
      </w:r>
      <w:r w:rsidR="00A70081" w:rsidRPr="00B947CB">
        <w:t xml:space="preserve"> (ERPD), con el cual se firmará un ERPA (</w:t>
      </w:r>
      <w:proofErr w:type="spellStart"/>
      <w:r w:rsidR="00A70081" w:rsidRPr="00B947CB">
        <w:t>Emission</w:t>
      </w:r>
      <w:proofErr w:type="spellEnd"/>
      <w:r w:rsidR="00A70081" w:rsidRPr="00B947CB">
        <w:t xml:space="preserve"> </w:t>
      </w:r>
      <w:proofErr w:type="spellStart"/>
      <w:r w:rsidR="00A70081" w:rsidRPr="00B947CB">
        <w:t>Reducction</w:t>
      </w:r>
      <w:proofErr w:type="spellEnd"/>
      <w:r w:rsidR="00A70081" w:rsidRPr="00B947CB">
        <w:t xml:space="preserve"> </w:t>
      </w:r>
      <w:proofErr w:type="spellStart"/>
      <w:r w:rsidR="00A70081" w:rsidRPr="00B947CB">
        <w:t>Program</w:t>
      </w:r>
      <w:proofErr w:type="spellEnd"/>
      <w:r w:rsidR="00A70081" w:rsidRPr="00B947CB">
        <w:t xml:space="preserve"> </w:t>
      </w:r>
      <w:proofErr w:type="spellStart"/>
      <w:r w:rsidR="00A70081" w:rsidRPr="00B947CB">
        <w:t>Agreement</w:t>
      </w:r>
      <w:proofErr w:type="spellEnd"/>
      <w:r w:rsidR="00A70081" w:rsidRPr="00B947CB">
        <w:t xml:space="preserve">) </w:t>
      </w:r>
      <w:r w:rsidR="001A6D31" w:rsidRPr="00B947CB">
        <w:t xml:space="preserve">que proporciona </w:t>
      </w:r>
      <w:r w:rsidR="00A70081" w:rsidRPr="00B947CB">
        <w:t xml:space="preserve">acceso a un fondo complementario de </w:t>
      </w:r>
      <w:r w:rsidR="00A3770C" w:rsidRPr="00B947CB">
        <w:t>50</w:t>
      </w:r>
      <w:r w:rsidR="00A70081" w:rsidRPr="00B947CB">
        <w:t xml:space="preserve"> Millones</w:t>
      </w:r>
      <w:r w:rsidR="00A3770C" w:rsidRPr="00B947CB">
        <w:t xml:space="preserve"> USD</w:t>
      </w:r>
      <w:r w:rsidR="0016430A" w:rsidRPr="00B947CB">
        <w:t>.</w:t>
      </w:r>
      <w:r w:rsidR="0016430A" w:rsidRPr="001A6D31">
        <w:t xml:space="preserve"> </w:t>
      </w:r>
    </w:p>
    <w:p w14:paraId="1B7398F3" w14:textId="77777777" w:rsidR="001A6D31" w:rsidRPr="001A6D31" w:rsidRDefault="001A6D31" w:rsidP="0016430A"/>
    <w:p w14:paraId="0016E0FA" w14:textId="3CBF632A" w:rsidR="0016430A" w:rsidRPr="001A6D31" w:rsidRDefault="00A70081" w:rsidP="0016430A">
      <w:r w:rsidRPr="001A6D31">
        <w:t xml:space="preserve">Bajo estas premisas, </w:t>
      </w:r>
      <w:r w:rsidR="0016430A" w:rsidRPr="001A6D31">
        <w:t xml:space="preserve"> para la implementación del programa en la Orinoquia </w:t>
      </w:r>
      <w:r w:rsidRPr="001A6D31">
        <w:t xml:space="preserve">se </w:t>
      </w:r>
      <w:r w:rsidR="003C08A5" w:rsidRPr="001A6D31">
        <w:t>adelanta</w:t>
      </w:r>
      <w:r w:rsidR="0016430A" w:rsidRPr="001A6D31">
        <w:t xml:space="preserve"> la correspondiente Evaluación Estratégica Ambiental y Social (SESA por sus siglas en inglés) a partir del cual se </w:t>
      </w:r>
      <w:r w:rsidR="00D76B5A" w:rsidRPr="001A6D31">
        <w:t xml:space="preserve">elaborará </w:t>
      </w:r>
      <w:r w:rsidR="0016430A" w:rsidRPr="001A6D31">
        <w:t xml:space="preserve">el Marco de Gestión Ambiental y Social (MGAS) </w:t>
      </w:r>
      <w:r w:rsidRPr="001A6D31">
        <w:t xml:space="preserve">en donde </w:t>
      </w:r>
      <w:r w:rsidR="0016430A" w:rsidRPr="001A6D31">
        <w:t>que identificará</w:t>
      </w:r>
      <w:r w:rsidRPr="001A6D31">
        <w:t>n</w:t>
      </w:r>
      <w:r w:rsidR="0016430A" w:rsidRPr="001A6D31">
        <w:t xml:space="preserve"> las medidas para mitigar riesgos y maximizar beneficios de la implementación del Programa </w:t>
      </w:r>
      <w:r w:rsidRPr="001A6D31">
        <w:t xml:space="preserve">de Reducción de Emisiones en la Orinoquía </w:t>
      </w:r>
      <w:r w:rsidR="0016430A" w:rsidRPr="001A6D31">
        <w:t xml:space="preserve">del Fondo </w:t>
      </w:r>
      <w:proofErr w:type="spellStart"/>
      <w:r w:rsidR="0016430A" w:rsidRPr="001A6D31">
        <w:t>BioCarbono</w:t>
      </w:r>
      <w:proofErr w:type="spellEnd"/>
      <w:r w:rsidR="0016430A" w:rsidRPr="001A6D31">
        <w:t>.</w:t>
      </w:r>
    </w:p>
    <w:p w14:paraId="08C1934B" w14:textId="77777777" w:rsidR="0016430A" w:rsidRPr="001A6D31" w:rsidRDefault="0016430A" w:rsidP="0016430A"/>
    <w:p w14:paraId="053C47C4" w14:textId="77777777" w:rsidR="0016430A" w:rsidRPr="001A6D31" w:rsidRDefault="0016430A" w:rsidP="0016430A">
      <w:r w:rsidRPr="001A6D31">
        <w:t>Para la formulación y puesta en marcha de la ENREDD+ y la consolidación del MGAS en la región, en el marco del Proyecto se deberá tener en cuenta la diversidad de cooperantes e iniciativas existentes para el desarrollo de proyectos enfocados a la reducción de GEI, así como de conservación, uso y manejo de los recursos naturales en la región, lo cual servirá de insumo para el Marco de Gestión Ambiental y Social (MGAS) que se desarrollará de manera posterior a la SESA en la Orinoquía, asegurando que se incorpore de manera participativa los impactos y aspectos ambientales relevantes de la región.</w:t>
      </w:r>
    </w:p>
    <w:p w14:paraId="7499EF14" w14:textId="77777777" w:rsidR="0049705E" w:rsidRPr="001A6D31" w:rsidRDefault="0049705E" w:rsidP="0016430A"/>
    <w:p w14:paraId="5075C7D9" w14:textId="2B41FCE3" w:rsidR="0049705E" w:rsidRPr="001A6D31" w:rsidRDefault="003C08A5" w:rsidP="0049705E">
      <w:r w:rsidRPr="001A6D31">
        <w:t>Se prevé que las actividades de l</w:t>
      </w:r>
      <w:r w:rsidR="0049705E" w:rsidRPr="001A6D31">
        <w:t>a fase de Asistencia Técnica</w:t>
      </w:r>
      <w:r w:rsidR="001C498B" w:rsidRPr="001A6D31">
        <w:t xml:space="preserve"> no generará impactos ni positivos ni negativos directos debido a que se basa en el desarrollo de políticas, programas y planes, no obstante, </w:t>
      </w:r>
      <w:r w:rsidR="00A70081" w:rsidRPr="001A6D31">
        <w:t xml:space="preserve">se esperan impactos derivados de las actividades durante la implementación que ameritaron la preparación de un Diagnóstico Ambiental y Social para guiar el asesoramiento técnico a los diferentes sectores que sea consistente con la Evaluación Estratégica Ambiental y Social (SESA) </w:t>
      </w:r>
      <w:r w:rsidR="00A70081" w:rsidRPr="001A6D31">
        <w:lastRenderedPageBreak/>
        <w:t xml:space="preserve">para la región y </w:t>
      </w:r>
      <w:r w:rsidR="004B53E1" w:rsidRPr="001A6D31">
        <w:t>que</w:t>
      </w:r>
      <w:r w:rsidR="00A70081" w:rsidRPr="001A6D31">
        <w:t xml:space="preserve"> fue preparado de manera participativa con las consultas apropiadas</w:t>
      </w:r>
      <w:r w:rsidR="001A6D31" w:rsidRPr="001A6D31">
        <w:t>;</w:t>
      </w:r>
      <w:r w:rsidR="00A70081" w:rsidRPr="001A6D31">
        <w:t xml:space="preserve"> </w:t>
      </w:r>
      <w:r w:rsidR="001C498B" w:rsidRPr="001A6D31">
        <w:t xml:space="preserve">durante la fase de preparación de los instrumentos de salvaguardas se </w:t>
      </w:r>
      <w:r w:rsidR="004B53E1" w:rsidRPr="001A6D31">
        <w:t>ha realizado</w:t>
      </w:r>
      <w:r w:rsidR="001C498B" w:rsidRPr="001A6D31">
        <w:t xml:space="preserve"> una identificación inicial de riesgos asociados, sobre el cual se deberá desarrollar el análisis de riesgos a profundidad.</w:t>
      </w:r>
      <w:r w:rsidR="0049705E" w:rsidRPr="001A6D31">
        <w:t xml:space="preserve"> </w:t>
      </w:r>
    </w:p>
    <w:p w14:paraId="5180A1BA" w14:textId="77777777" w:rsidR="001C498B" w:rsidRPr="001A6D31" w:rsidRDefault="001C498B" w:rsidP="0049705E"/>
    <w:p w14:paraId="4EC94ADD" w14:textId="77777777" w:rsidR="001C498B" w:rsidRPr="001A6D31" w:rsidRDefault="001C498B" w:rsidP="0049705E">
      <w:r w:rsidRPr="001A6D31">
        <w:t xml:space="preserve">Así mismo se identificaron las políticas de salvaguardas del Banco Mundial correlacionadas y las salvaguardas de la interpretación Nacional del a ENREDD+ para cada actividad de la fase de asistencia técnica. Las políticas de </w:t>
      </w:r>
      <w:r w:rsidR="00744183" w:rsidRPr="001A6D31">
        <w:t>salvaguardas</w:t>
      </w:r>
      <w:r w:rsidRPr="001A6D31">
        <w:t xml:space="preserve"> del Banco Mundial correlacionadas con el presente proyecto</w:t>
      </w:r>
      <w:r w:rsidR="00283475" w:rsidRPr="001A6D31">
        <w:t xml:space="preserve"> y a tener en cuenta para el desarrollo del MGAS</w:t>
      </w:r>
      <w:r w:rsidRPr="001A6D31">
        <w:t xml:space="preserve"> son:</w:t>
      </w:r>
    </w:p>
    <w:p w14:paraId="1B49E883" w14:textId="77777777" w:rsidR="001C498B" w:rsidRPr="001A6D31" w:rsidRDefault="001C498B" w:rsidP="000D3FA1">
      <w:pPr>
        <w:pStyle w:val="ListParagraph"/>
        <w:numPr>
          <w:ilvl w:val="0"/>
          <w:numId w:val="3"/>
        </w:numPr>
        <w:rPr>
          <w:lang w:val="es-CO"/>
        </w:rPr>
      </w:pPr>
      <w:r w:rsidRPr="001A6D31">
        <w:rPr>
          <w:lang w:val="es-CO"/>
        </w:rPr>
        <w:t>OP 4.01 Evaluación ambiental (incluye social)</w:t>
      </w:r>
    </w:p>
    <w:p w14:paraId="7D69B676" w14:textId="77777777" w:rsidR="001C498B" w:rsidRPr="001A6D31" w:rsidRDefault="001C498B" w:rsidP="000D3FA1">
      <w:pPr>
        <w:pStyle w:val="ListParagraph"/>
        <w:numPr>
          <w:ilvl w:val="0"/>
          <w:numId w:val="3"/>
        </w:numPr>
        <w:rPr>
          <w:lang w:val="es-CO"/>
        </w:rPr>
      </w:pPr>
      <w:r w:rsidRPr="001A6D31">
        <w:rPr>
          <w:lang w:val="es-CO"/>
        </w:rPr>
        <w:t>OP 4.04 Hábitats Naturales (biomas, no solo áreas protegidas)</w:t>
      </w:r>
    </w:p>
    <w:p w14:paraId="5B89DB01" w14:textId="77777777" w:rsidR="001C498B" w:rsidRPr="001A6D31" w:rsidRDefault="001C498B" w:rsidP="000D3FA1">
      <w:pPr>
        <w:pStyle w:val="ListParagraph"/>
        <w:numPr>
          <w:ilvl w:val="0"/>
          <w:numId w:val="3"/>
        </w:numPr>
        <w:rPr>
          <w:lang w:val="es-CO"/>
        </w:rPr>
      </w:pPr>
      <w:r w:rsidRPr="001A6D31">
        <w:rPr>
          <w:lang w:val="es-CO"/>
        </w:rPr>
        <w:t>OP 4.09 Manejo de Plagas (preventivo en caso de uso de agroquímicos)</w:t>
      </w:r>
    </w:p>
    <w:p w14:paraId="52A3A53B" w14:textId="77777777" w:rsidR="001C498B" w:rsidRPr="001A6D31" w:rsidRDefault="001C498B" w:rsidP="000D3FA1">
      <w:pPr>
        <w:pStyle w:val="ListParagraph"/>
        <w:numPr>
          <w:ilvl w:val="0"/>
          <w:numId w:val="3"/>
        </w:numPr>
        <w:rPr>
          <w:lang w:val="es-CO"/>
        </w:rPr>
      </w:pPr>
      <w:r w:rsidRPr="001A6D31">
        <w:rPr>
          <w:lang w:val="es-CO"/>
        </w:rPr>
        <w:t>OP 4.10 Pueblos Indígenas</w:t>
      </w:r>
    </w:p>
    <w:p w14:paraId="6B06A98A" w14:textId="77777777" w:rsidR="001C498B" w:rsidRPr="001A6D31" w:rsidRDefault="001C498B" w:rsidP="000D3FA1">
      <w:pPr>
        <w:pStyle w:val="ListParagraph"/>
        <w:numPr>
          <w:ilvl w:val="0"/>
          <w:numId w:val="3"/>
        </w:numPr>
        <w:rPr>
          <w:lang w:val="es-CO"/>
        </w:rPr>
      </w:pPr>
      <w:r w:rsidRPr="001A6D31">
        <w:rPr>
          <w:lang w:val="es-CO"/>
        </w:rPr>
        <w:t>OP 4.11 Recursos Físico-Culturales (preventivo)</w:t>
      </w:r>
    </w:p>
    <w:p w14:paraId="79A2FC8E" w14:textId="77777777" w:rsidR="001C498B" w:rsidRPr="001A6D31" w:rsidRDefault="001C498B" w:rsidP="000D3FA1">
      <w:pPr>
        <w:pStyle w:val="ListParagraph"/>
        <w:numPr>
          <w:ilvl w:val="0"/>
          <w:numId w:val="3"/>
        </w:numPr>
        <w:rPr>
          <w:lang w:val="es-CO"/>
        </w:rPr>
      </w:pPr>
      <w:r w:rsidRPr="001A6D31">
        <w:rPr>
          <w:lang w:val="es-CO"/>
        </w:rPr>
        <w:t>OP 4.12 Reasentamientos involuntarios (preventivo)</w:t>
      </w:r>
    </w:p>
    <w:p w14:paraId="7CBFC34D" w14:textId="77777777" w:rsidR="001C498B" w:rsidRDefault="001C498B" w:rsidP="000D3FA1">
      <w:pPr>
        <w:pStyle w:val="ListParagraph"/>
        <w:numPr>
          <w:ilvl w:val="0"/>
          <w:numId w:val="3"/>
        </w:numPr>
        <w:rPr>
          <w:lang w:val="es-CO"/>
        </w:rPr>
      </w:pPr>
      <w:r w:rsidRPr="001A6D31">
        <w:rPr>
          <w:lang w:val="es-CO"/>
        </w:rPr>
        <w:t>OP 4.36 Bosques</w:t>
      </w:r>
    </w:p>
    <w:p w14:paraId="5E9753B2" w14:textId="77777777" w:rsidR="009D240E" w:rsidRPr="001A6D31" w:rsidRDefault="009D240E" w:rsidP="009D240E">
      <w:pPr>
        <w:pStyle w:val="ListParagraph"/>
        <w:rPr>
          <w:lang w:val="es-CO"/>
        </w:rPr>
      </w:pPr>
    </w:p>
    <w:p w14:paraId="63B45A94" w14:textId="77777777" w:rsidR="007B015F" w:rsidRPr="001A6D31" w:rsidRDefault="007B015F" w:rsidP="007B015F">
      <w:pPr>
        <w:pStyle w:val="Heading1"/>
        <w:pageBreakBefore w:val="0"/>
      </w:pPr>
      <w:r w:rsidRPr="001A6D31">
        <w:t>OBJETIVO</w:t>
      </w:r>
    </w:p>
    <w:p w14:paraId="43948BB3" w14:textId="122CE62E" w:rsidR="007B015F" w:rsidRDefault="007B015F" w:rsidP="007B015F">
      <w:r w:rsidRPr="001A6D31">
        <w:t>Poner al servicio toda la capacidad normal de trabajo como profesional para la preparación del</w:t>
      </w:r>
      <w:r w:rsidR="001A6D31">
        <w:t xml:space="preserve"> </w:t>
      </w:r>
      <w:r w:rsidR="00C60839" w:rsidRPr="001A6D31">
        <w:t>Marco de Gestión Ambiental y Social</w:t>
      </w:r>
      <w:r w:rsidRPr="001A6D31">
        <w:t xml:space="preserve"> del “Programa de Paisajes Sostenibles para la Orinoquia” basado en la</w:t>
      </w:r>
      <w:r w:rsidR="00C60839" w:rsidRPr="001A6D31">
        <w:t xml:space="preserve"> Evaluación Social y</w:t>
      </w:r>
      <w:r w:rsidRPr="001A6D31">
        <w:t xml:space="preserve"> </w:t>
      </w:r>
      <w:r w:rsidR="00C60839" w:rsidRPr="001A6D31">
        <w:t>A</w:t>
      </w:r>
      <w:r w:rsidRPr="001A6D31">
        <w:t>mbientales del proyecto</w:t>
      </w:r>
      <w:r w:rsidR="00C60839" w:rsidRPr="001A6D31">
        <w:t>, la Evaluación Estratégica Ambiental y Social (SESA)</w:t>
      </w:r>
      <w:r w:rsidRPr="001A6D31">
        <w:t xml:space="preserve"> y </w:t>
      </w:r>
      <w:r w:rsidR="00C60839" w:rsidRPr="001A6D31">
        <w:t xml:space="preserve">los </w:t>
      </w:r>
      <w:r w:rsidRPr="001A6D31">
        <w:t>procesos de participación, difusión, diseminación</w:t>
      </w:r>
      <w:r w:rsidR="00C60839" w:rsidRPr="001A6D31">
        <w:t xml:space="preserve"> adelantados en la región</w:t>
      </w:r>
      <w:r w:rsidRPr="001A6D31">
        <w:t xml:space="preserve">. </w:t>
      </w:r>
      <w:r w:rsidR="001C77F2" w:rsidRPr="001A6D31">
        <w:t>El Marco de Gestión Ambiental y Social deberá ser desarrollado de acuerdo a los lineamientos del Banco Mundial</w:t>
      </w:r>
      <w:r w:rsidR="009D240E">
        <w:t>.</w:t>
      </w:r>
    </w:p>
    <w:p w14:paraId="6E72B2BF" w14:textId="77777777" w:rsidR="009D240E" w:rsidRPr="001A6D31" w:rsidRDefault="009D240E" w:rsidP="007B015F"/>
    <w:p w14:paraId="34C02187" w14:textId="77777777" w:rsidR="0012794F" w:rsidRPr="001A6D31" w:rsidRDefault="0070639E" w:rsidP="0070639E">
      <w:pPr>
        <w:pStyle w:val="Heading1"/>
        <w:pageBreakBefore w:val="0"/>
      </w:pPr>
      <w:r w:rsidRPr="001A6D31">
        <w:t>PRINCIPIOS</w:t>
      </w:r>
    </w:p>
    <w:p w14:paraId="3FC6CF44" w14:textId="77777777" w:rsidR="0070639E" w:rsidRPr="001A6D31" w:rsidRDefault="0012794F" w:rsidP="0012794F">
      <w:r w:rsidRPr="001A6D31">
        <w:t xml:space="preserve">Es importante tener presente que se debe garantizar el cumplimiento de las políticas de salvaguardas del Banco Mundial durante la preparación e implementación. </w:t>
      </w:r>
      <w:r w:rsidR="0070639E" w:rsidRPr="001A6D31">
        <w:t>El MGAS p</w:t>
      </w:r>
      <w:r w:rsidRPr="001A6D31">
        <w:t xml:space="preserve">roporciona un </w:t>
      </w:r>
      <w:r w:rsidR="0070639E" w:rsidRPr="001A6D31">
        <w:t xml:space="preserve">diagnóstico </w:t>
      </w:r>
      <w:r w:rsidRPr="001A6D31">
        <w:t xml:space="preserve">de los riesgos e impactos potenciales </w:t>
      </w:r>
      <w:r w:rsidR="0070639E" w:rsidRPr="001A6D31">
        <w:t>que puedan ocurrir en el futuro como parte de la implementación del programa Paisajes Sostenibles para la Orinoquía</w:t>
      </w:r>
      <w:r w:rsidRPr="001A6D31">
        <w:t xml:space="preserve">, </w:t>
      </w:r>
      <w:r w:rsidR="0070639E" w:rsidRPr="001A6D31">
        <w:t xml:space="preserve">sus </w:t>
      </w:r>
      <w:r w:rsidRPr="001A6D31">
        <w:t xml:space="preserve">actividades o políticas. </w:t>
      </w:r>
    </w:p>
    <w:p w14:paraId="490A4AF4" w14:textId="77777777" w:rsidR="00273B91" w:rsidRPr="001A6D31" w:rsidRDefault="00273B91" w:rsidP="0012794F"/>
    <w:p w14:paraId="2AEA5805" w14:textId="77777777" w:rsidR="0012794F" w:rsidRPr="001A6D31" w:rsidRDefault="0070639E" w:rsidP="0012794F">
      <w:r w:rsidRPr="001A6D31">
        <w:t>El MGAS</w:t>
      </w:r>
      <w:r w:rsidR="0012794F" w:rsidRPr="001A6D31">
        <w:t xml:space="preserve"> establece los principios, directrices y procedimientos para evaluar los riesgos ambientales y sociales, y propone medidas para reducir, mitigar y / o compensar posibles impactos ambientales y sociales adversos y aumentar los </w:t>
      </w:r>
      <w:r w:rsidRPr="001A6D31">
        <w:t>beneficios</w:t>
      </w:r>
      <w:r w:rsidR="0012794F" w:rsidRPr="001A6D31">
        <w:t xml:space="preserve"> y las oportunidades de</w:t>
      </w:r>
      <w:r w:rsidRPr="001A6D31">
        <w:t>l Programa</w:t>
      </w:r>
      <w:r w:rsidR="0012794F" w:rsidRPr="001A6D31">
        <w:t>.</w:t>
      </w:r>
    </w:p>
    <w:p w14:paraId="7B3F8870" w14:textId="77777777" w:rsidR="00273B91" w:rsidRPr="001A6D31" w:rsidRDefault="00273B91" w:rsidP="0012794F"/>
    <w:p w14:paraId="4F621B9C" w14:textId="7E33A4E1" w:rsidR="0012794F" w:rsidRPr="001A6D31" w:rsidRDefault="0012794F" w:rsidP="0012794F">
      <w:r w:rsidRPr="001A6D31">
        <w:lastRenderedPageBreak/>
        <w:t xml:space="preserve">El </w:t>
      </w:r>
      <w:r w:rsidR="001A6D31">
        <w:t>MGAS debe</w:t>
      </w:r>
      <w:r w:rsidRPr="001A6D31">
        <w:t xml:space="preserve"> establece</w:t>
      </w:r>
      <w:r w:rsidR="0070639E" w:rsidRPr="001A6D31">
        <w:t>r</w:t>
      </w:r>
      <w:r w:rsidRPr="001A6D31">
        <w:t xml:space="preserve"> procedimientos para: (i) </w:t>
      </w:r>
      <w:r w:rsidR="0070639E" w:rsidRPr="001A6D31">
        <w:t xml:space="preserve">las </w:t>
      </w:r>
      <w:r w:rsidRPr="001A6D31">
        <w:t xml:space="preserve">consultas con los grupos interesados ​​involucrados; </w:t>
      </w:r>
      <w:r w:rsidR="004B53E1" w:rsidRPr="001A6D31">
        <w:t>i</w:t>
      </w:r>
      <w:r w:rsidRPr="001A6D31">
        <w:t xml:space="preserve">i) </w:t>
      </w:r>
      <w:r w:rsidR="0070639E" w:rsidRPr="001A6D31">
        <w:t xml:space="preserve">las </w:t>
      </w:r>
      <w:r w:rsidRPr="001A6D31">
        <w:t xml:space="preserve">medidas de </w:t>
      </w:r>
      <w:r w:rsidR="0070639E" w:rsidRPr="001A6D31">
        <w:t>construcción</w:t>
      </w:r>
      <w:r w:rsidRPr="001A6D31">
        <w:t xml:space="preserve"> de capacidad</w:t>
      </w:r>
      <w:r w:rsidR="0070639E" w:rsidRPr="001A6D31">
        <w:t>es</w:t>
      </w:r>
      <w:r w:rsidRPr="001A6D31">
        <w:t>; Y (iii) evaluación y monitoreo de</w:t>
      </w:r>
      <w:r w:rsidR="0070639E" w:rsidRPr="001A6D31">
        <w:t xml:space="preserve"> </w:t>
      </w:r>
      <w:r w:rsidRPr="001A6D31">
        <w:t>l</w:t>
      </w:r>
      <w:r w:rsidR="0070639E" w:rsidRPr="001A6D31">
        <w:t>os</w:t>
      </w:r>
      <w:r w:rsidRPr="001A6D31">
        <w:t xml:space="preserve"> impacto</w:t>
      </w:r>
      <w:r w:rsidR="0070639E" w:rsidRPr="001A6D31">
        <w:t>s</w:t>
      </w:r>
      <w:r w:rsidRPr="001A6D31">
        <w:t xml:space="preserve"> ambiental</w:t>
      </w:r>
      <w:r w:rsidR="0070639E" w:rsidRPr="001A6D31">
        <w:t>es</w:t>
      </w:r>
      <w:r w:rsidRPr="001A6D31">
        <w:t xml:space="preserve"> y social</w:t>
      </w:r>
      <w:r w:rsidR="0070639E" w:rsidRPr="001A6D31">
        <w:t>es</w:t>
      </w:r>
      <w:r w:rsidRPr="001A6D31">
        <w:t xml:space="preserve">. El </w:t>
      </w:r>
      <w:r w:rsidR="0070639E" w:rsidRPr="001A6D31">
        <w:t>MGAS</w:t>
      </w:r>
      <w:r w:rsidRPr="001A6D31">
        <w:t xml:space="preserve"> también </w:t>
      </w:r>
      <w:r w:rsidR="001A6D31">
        <w:t>deberá especificar</w:t>
      </w:r>
      <w:r w:rsidRPr="001A6D31">
        <w:t xml:space="preserve"> los arreglos interinstitucionales para la preparación de planes de acción con plazos determinados para la gestión y mitigación de los impactos adversos relacionados con </w:t>
      </w:r>
      <w:r w:rsidR="0070639E" w:rsidRPr="001A6D31">
        <w:t>las futuras actividades del Programa</w:t>
      </w:r>
      <w:r w:rsidRPr="001A6D31">
        <w:t>.</w:t>
      </w:r>
    </w:p>
    <w:p w14:paraId="01CA114F" w14:textId="77777777" w:rsidR="00273B91" w:rsidRPr="001A6D31" w:rsidRDefault="00273B91" w:rsidP="0012794F"/>
    <w:p w14:paraId="4006AAD0" w14:textId="51F4046E" w:rsidR="001253E5" w:rsidRDefault="0070639E" w:rsidP="0012794F">
      <w:r w:rsidRPr="001A6D31">
        <w:t>Como resultado de lo anterior, se obtendrá un MGAS</w:t>
      </w:r>
      <w:r w:rsidR="0012794F" w:rsidRPr="001A6D31">
        <w:t xml:space="preserve"> que cumpla </w:t>
      </w:r>
      <w:r w:rsidR="00273B91" w:rsidRPr="001A6D31">
        <w:t>con las políticas de salvaguard</w:t>
      </w:r>
      <w:r w:rsidR="0012794F" w:rsidRPr="001A6D31">
        <w:t>a</w:t>
      </w:r>
      <w:r w:rsidR="00273B91" w:rsidRPr="001A6D31">
        <w:t>s</w:t>
      </w:r>
      <w:r w:rsidR="0012794F" w:rsidRPr="001A6D31">
        <w:t xml:space="preserve"> del Banco Mundial aplicables en el momento de la evaluación</w:t>
      </w:r>
      <w:r w:rsidR="008F3B5B">
        <w:t xml:space="preserve"> del Paquete de Preparación,</w:t>
      </w:r>
      <w:r w:rsidR="00273B91" w:rsidRPr="001A6D31">
        <w:t xml:space="preserve"> que proporciona el marco general para abordar temas de gestión de riesgos sociales y ambien</w:t>
      </w:r>
      <w:r w:rsidR="00BA7F19">
        <w:t>tales en actividades REDD-plus q</w:t>
      </w:r>
      <w:r w:rsidR="00273B91" w:rsidRPr="001A6D31">
        <w:t>ue se implementan más allá del trabajo pre</w:t>
      </w:r>
      <w:r w:rsidR="00BA7F19">
        <w:t>paratorio.</w:t>
      </w:r>
    </w:p>
    <w:p w14:paraId="5776F881" w14:textId="77777777" w:rsidR="009D240E" w:rsidRDefault="009D240E" w:rsidP="0012794F"/>
    <w:p w14:paraId="5AD3C05C" w14:textId="77777777" w:rsidR="001253E5" w:rsidRPr="001A6D31" w:rsidRDefault="00417424" w:rsidP="00BA7F19">
      <w:pPr>
        <w:pStyle w:val="Heading1"/>
        <w:pageBreakBefore w:val="0"/>
      </w:pPr>
      <w:r w:rsidRPr="001A6D31">
        <w:t>ALCANCE</w:t>
      </w:r>
    </w:p>
    <w:p w14:paraId="08876F41" w14:textId="77777777" w:rsidR="00867986" w:rsidRPr="001A6D31" w:rsidRDefault="00867986" w:rsidP="00867986">
      <w:r w:rsidRPr="001A6D31">
        <w:t xml:space="preserve">Se considera que la Región de la Orinoquía Colombiana se encuentra frente a un potencial período de mayores tasas de deforestación y cambios de uso del suelo, así como de una significativa transformación de sus ecosistemas. Los cambios en el uso del suelo han venido ocurriendo en ausencia de planeación y en diversas direcciones, a través de iniciativas de origen privado, convirtiendo extensas áreas de Sabana, en cultivos comerciales de granos, materia prima para biocombustibles y plantaciones de caucho. Esta región cuenta además con un importante potencial para la extracción de combustibles y minerales. Hasta el año 2006, el promedio adjudicado a través de concesiones mineras fue de 209 hectáreas/año, para posteriormente incrementarse a un promedio de 16.000 has/año en el período comprendido entre los años 2006 – 2010. Solamente en el año 2010, 48.000 has fueron adjudicadas en concesiones para actividades de exploración. </w:t>
      </w:r>
    </w:p>
    <w:p w14:paraId="4EC3BE52" w14:textId="77777777" w:rsidR="00867986" w:rsidRPr="001A6D31" w:rsidRDefault="00867986" w:rsidP="00867986"/>
    <w:p w14:paraId="466921FC" w14:textId="77777777" w:rsidR="00867986" w:rsidRPr="001A6D31" w:rsidRDefault="00867986" w:rsidP="00867986">
      <w:r w:rsidRPr="001A6D31">
        <w:t xml:space="preserve">Estos cambios en el uso del suelo están basados en un propósito de internacionalización de la economía, bajo un entendimiento equivocado de que se trata de una región con una baja importancia ecológica. Los procesos de degradación del suelo han generado decrecimientos en la productividad de los cultivos, así como de la ganadería y han afectado la región, particularmente en áreas de acelerada deforestación y de conversión en el uso del suelo (donde se desarrollan actividades agrícolas, mineras y petroleras de manera intensiva). Una vez la tierra se vuelve improductiva, y los suelos se han degradado por completo, nuevas áreas son ocupadas para actividades agrícolas y pastoreo. Como resultado de lo anterior, esta región se ha ubicado entre aquellas de mayor tasa de deforestación (Según el informe de Desarrollo Bajo en Carbono recientemente publicado para Colombia). Con base en informes del IDEAM la deforestación resultante ha sido de 47.021 has durante el período 2005 – 2010, y de 38.452 has para el período 2010 – 2012 y de 27.712 has para el año 2013 en los cuatro departamentos que hacen parte de la Orinoquía. </w:t>
      </w:r>
    </w:p>
    <w:p w14:paraId="4A49A45A" w14:textId="77777777" w:rsidR="00867986" w:rsidRPr="001A6D31" w:rsidRDefault="00867986" w:rsidP="00867986"/>
    <w:p w14:paraId="0632E871" w14:textId="4F70D290" w:rsidR="00867986" w:rsidRPr="001A6D31" w:rsidRDefault="00867986" w:rsidP="00867986">
      <w:r w:rsidRPr="001A6D31">
        <w:lastRenderedPageBreak/>
        <w:t xml:space="preserve">Como resultado de estos cambios en el uso del suelo, las emisiones totales del sector de uso del suelo se han incrementado en la región de la Orinoquía. Cambios en la cobertura del suelo, en los sistemas de agua y en el régimen de incendios, han conducido hacia un cambio en el perfil de emisiones del sistema del Orinoco. Cifras preliminares sugieren que las emisiones se han incrementado desde 13.29 millones de Toneladas (Mt) en 2000 hasta 14.29 Mt en 2010. Esta cifra está basada en información secundaria (Censo de la población, actividad económica) así como de imágenes satelitales de Landsat y CBERS en el período comprendido entre 1987 – 2000 y 2007 – 2010. Con base en este análisis es claro que durante el período 1987 – 2007, el 14 % de la región fue sometida a un significativo cambio en la cobertura y uso del suelo, cuya mayor proporción ocurrió durante la pasada década. El patrón más frecuente fueron las transiciones desde sabanas inundables hacia cultivos y pasturas exóticas, y posteriormente a plantaciones de palma de aceite. Esta información indica una clara tendencia en el incremento de emisiones, pero se requiere de una más precisa información y tecnología para detectar cambios en la cobertura y uso de la tierra, lo que permitirá un análisis para poder distinguir de manera más efectiva, entre coberturas en el uso de la tierra, así como entre biomasa ubicada sobre y bajo la superficie. </w:t>
      </w:r>
    </w:p>
    <w:p w14:paraId="6A0BDF0F" w14:textId="77777777" w:rsidR="00867986" w:rsidRPr="001A6D31" w:rsidRDefault="00867986" w:rsidP="00867986"/>
    <w:p w14:paraId="64794280" w14:textId="6B7C025B" w:rsidR="00867986" w:rsidRPr="001A6D31" w:rsidRDefault="00867986" w:rsidP="00867986">
      <w:r w:rsidRPr="001A6D31">
        <w:t>El Gobierno de Colombia (</w:t>
      </w:r>
      <w:proofErr w:type="spellStart"/>
      <w:r w:rsidRPr="001A6D31">
        <w:t>GdC</w:t>
      </w:r>
      <w:proofErr w:type="spellEnd"/>
      <w:r w:rsidRPr="001A6D31">
        <w:t xml:space="preserve">) ha expresado un fuerte compromiso para un desarrollo agropecuario bajo en carbono en la Orinoquia. De igual manera considera que esta región puede ofrecer mejores oportunidades, tanto a nivel económico como social, pero quiere asegurarse que la ruta hacia el desarrollo que se va a tomar para esta “nueva región”, va a ser ambientalmente sostenible. Tiene la opción de definir una trayectoria de desarrollo para la región de la Orinoquía la cual no vaya a derivar en una senda insostenible. Este enfoque ha sido descrito en el CONPES 3796 (con fecha de enero 12 de 2014) en Políticas para un desarrollo integral de la Orinoquia: Altillanura. En la elaboración de dicho CONPES, el Departamento Nacional de Planeación está preparando en la actualidad el Plan Maestro para la región de la Orinoquia. El Ministerio de Agricultura y Desarrollo Rural (MADR) ha otorgado una alta prioridad a la investigación de los servicios de los ecosistemas de la región, a través de una alianza estratégica con centros de investigación CIAT y CORPOICA. El Ministerio de Ambiente y Desarrollo Sostenible (MADS) en coordinación con el Ministerio de Agricultura y Desarrollo Rural (MADR), está desarrollando en la actualidad el Programa Visión Amazonía, con el propósito de lograr la meta de deforestación neta cero para la Amazonía para el año 2020 en esta región fronteriza con la Orinoquia, permitiendo un enfoque territorial para abordar los numerosos motores de deforestación. </w:t>
      </w:r>
    </w:p>
    <w:p w14:paraId="1AF9129A" w14:textId="77777777" w:rsidR="00867986" w:rsidRPr="001A6D31" w:rsidRDefault="00867986" w:rsidP="00867986"/>
    <w:p w14:paraId="604B5936" w14:textId="77777777" w:rsidR="00867986" w:rsidRPr="001A6D31" w:rsidRDefault="00867986" w:rsidP="00867986">
      <w:r w:rsidRPr="001A6D31">
        <w:t xml:space="preserve">Dadas las razones previamente mencionadas, la región de la Orinoquía ha sido seleccionada por el Gobierno bajo la iniciativa del Fondo </w:t>
      </w:r>
      <w:proofErr w:type="spellStart"/>
      <w:r w:rsidRPr="001A6D31">
        <w:t>Biocarbono</w:t>
      </w:r>
      <w:proofErr w:type="spellEnd"/>
      <w:r w:rsidRPr="001A6D31">
        <w:t xml:space="preserve"> de Paisajes Forestales Sostenibles (IPFS). Colombia es uno de los cuatro países elegidos para ser considerados bajo la iniciativa IPFS (y el único en la región Latinoamericana). Bajo el liderazgo del MADR y el MADS ha seleccionado la región de la Orinoquía como la jurisdicción para el desarrollo del programa bajo la iniciativa IPFS. Esa decisión es principalmente motivada por la voluntad del Gobierno para el direccionamiento de la región de la Orinoquía en una trayectoria de crecimiento sostenible con un modelo de desarrollo bajo en </w:t>
      </w:r>
      <w:r w:rsidRPr="001A6D31">
        <w:lastRenderedPageBreak/>
        <w:t xml:space="preserve">carbono, utilizando instrumentos financieros innovadores (incluyendo los pagos basados en resultados). </w:t>
      </w:r>
    </w:p>
    <w:p w14:paraId="45AA6075" w14:textId="77777777" w:rsidR="00867986" w:rsidRPr="001A6D31" w:rsidRDefault="00867986" w:rsidP="00867986"/>
    <w:p w14:paraId="34433B4D" w14:textId="77777777" w:rsidR="00867986" w:rsidRPr="001A6D31" w:rsidRDefault="00867986" w:rsidP="00867986">
      <w:r w:rsidRPr="001A6D31">
        <w:t xml:space="preserve">Las intervenciones en la región de la Orinoquía van a ser coordinadas de manera articulada a las acciones a desarrollar en el marco del Programa Visión Amazonía, con el fin de reducir presión en los bosques nativos, así como algunos de los motores de deforestación que afectan el Amazonas, originados en las áreas agropecuarias en la adyacente región de la Orinoquía. Este programa busca dar cuenta del reconocimiento de la reducción de emisiones de varias actividades en el sector de uso de la tierra, y así señalar el potencial de mitigación en el Paisaje. </w:t>
      </w:r>
    </w:p>
    <w:p w14:paraId="1246C7CD" w14:textId="77777777" w:rsidR="00867986" w:rsidRPr="001A6D31" w:rsidRDefault="00867986" w:rsidP="001253E5"/>
    <w:p w14:paraId="406BBA3F" w14:textId="77777777" w:rsidR="001253E5" w:rsidRPr="001A6D31" w:rsidRDefault="005B733D" w:rsidP="005B733D">
      <w:pPr>
        <w:pStyle w:val="Heading1"/>
        <w:pageBreakBefore w:val="0"/>
      </w:pPr>
      <w:r w:rsidRPr="001A6D31">
        <w:t>ACTIVIDADES</w:t>
      </w:r>
    </w:p>
    <w:p w14:paraId="7FD4D441" w14:textId="6D9B6AD6" w:rsidR="005B733D" w:rsidRDefault="002D03E2" w:rsidP="001253E5">
      <w:r>
        <w:t>Las siguientes actividades deberá desarrollarse y serán parte del contenido del MGAS final:</w:t>
      </w:r>
    </w:p>
    <w:p w14:paraId="22DFCBDC" w14:textId="77777777" w:rsidR="005B733D" w:rsidRDefault="005B733D" w:rsidP="000D3FA1">
      <w:pPr>
        <w:numPr>
          <w:ilvl w:val="0"/>
          <w:numId w:val="4"/>
        </w:numPr>
      </w:pPr>
      <w:r w:rsidRPr="001A6D31">
        <w:t xml:space="preserve">Elaborar la </w:t>
      </w:r>
      <w:r w:rsidRPr="001A6D31">
        <w:rPr>
          <w:bCs/>
        </w:rPr>
        <w:t>identificación, análisis y evaluación de los resultados de los talleres, estudios y consultorías para identificar aspectos clave para el diseño del marco de gestión ambiental y social (MGAS), incluyendo entre otros un marco de manejo ambiental, marco de políticas de reasentamiento, un marco de procedimiento, y un marco de planificación de pueblos indígenas.</w:t>
      </w:r>
      <w:r w:rsidRPr="001A6D31">
        <w:t xml:space="preserve">  </w:t>
      </w:r>
    </w:p>
    <w:p w14:paraId="2ECE0681" w14:textId="77777777" w:rsidR="006437AD" w:rsidRPr="001A6D31" w:rsidRDefault="006437AD" w:rsidP="002D03E2">
      <w:pPr>
        <w:ind w:left="720"/>
      </w:pPr>
    </w:p>
    <w:p w14:paraId="7E9C6F57" w14:textId="77777777" w:rsidR="005B733D" w:rsidRPr="001A6D31" w:rsidRDefault="005B733D" w:rsidP="000D3FA1">
      <w:pPr>
        <w:numPr>
          <w:ilvl w:val="0"/>
          <w:numId w:val="4"/>
        </w:numPr>
      </w:pPr>
      <w:r w:rsidRPr="001A6D31">
        <w:t>Elaborar el Marco de Gestión Ambiental y Social, acorde a las directrices que establece el Banco Mundial dentro de sus Políticas Operacionales para el diseño, implementación y cierre de un proyecto. El Marco de Gestión deberá contener además de los contenidos establecidos, los siguientes instrumentos:</w:t>
      </w:r>
    </w:p>
    <w:p w14:paraId="52685431" w14:textId="428B9D28" w:rsidR="005B733D" w:rsidRPr="001A6D31" w:rsidRDefault="005B733D" w:rsidP="000D3FA1">
      <w:pPr>
        <w:pStyle w:val="ListParagraph"/>
        <w:numPr>
          <w:ilvl w:val="0"/>
          <w:numId w:val="12"/>
        </w:numPr>
        <w:ind w:left="1134"/>
        <w:rPr>
          <w:lang w:val="es-CO"/>
        </w:rPr>
      </w:pPr>
      <w:r w:rsidRPr="001A6D31">
        <w:rPr>
          <w:lang w:val="es-CO"/>
        </w:rPr>
        <w:t>Marco de Procedimiento</w:t>
      </w:r>
      <w:r w:rsidR="004363BD">
        <w:rPr>
          <w:lang w:val="es-CO"/>
        </w:rPr>
        <w:t>s</w:t>
      </w:r>
      <w:r w:rsidRPr="001A6D31">
        <w:rPr>
          <w:lang w:val="es-CO"/>
        </w:rPr>
        <w:t xml:space="preserve"> para el caso de que el proyecto pudiera generar una restricción involuntaria del acceso a zonas designadas parques por la ley o a zonas protegidas.</w:t>
      </w:r>
    </w:p>
    <w:p w14:paraId="5852A724" w14:textId="4E418F64" w:rsidR="00061B2A" w:rsidRPr="001A6D31" w:rsidRDefault="00ED669A" w:rsidP="00061B2A">
      <w:pPr>
        <w:pStyle w:val="ListParagraph"/>
        <w:numPr>
          <w:ilvl w:val="0"/>
          <w:numId w:val="12"/>
        </w:numPr>
        <w:ind w:left="1134"/>
        <w:rPr>
          <w:lang w:val="es-CO"/>
        </w:rPr>
      </w:pPr>
      <w:r w:rsidRPr="00ED669A">
        <w:rPr>
          <w:lang w:val="es-CO"/>
        </w:rPr>
        <w:t>Programa de manejo integrado de plagas y uso de agroquímicos</w:t>
      </w:r>
      <w:r>
        <w:rPr>
          <w:lang w:val="es-CO"/>
        </w:rPr>
        <w:t xml:space="preserve">, que incorpore en </w:t>
      </w:r>
      <w:r w:rsidRPr="00ED669A">
        <w:rPr>
          <w:lang w:val="es-CO"/>
        </w:rPr>
        <w:t>aquellas actividades del Programa en donde se promuevan actividades agrícolas, pecuarias y forestal</w:t>
      </w:r>
      <w:r>
        <w:rPr>
          <w:lang w:val="es-CO"/>
        </w:rPr>
        <w:t xml:space="preserve">es comerciales, los criterios para </w:t>
      </w:r>
      <w:r w:rsidRPr="00ED669A">
        <w:rPr>
          <w:lang w:val="es-CO"/>
        </w:rPr>
        <w:t>optimizar su uso, incluyendo el monitoreo continuo de adversidades tales como malezas, plagas y enfermedades</w:t>
      </w:r>
      <w:r>
        <w:rPr>
          <w:lang w:val="es-CO"/>
        </w:rPr>
        <w:t>, y evite y minimice los efectos adversos relacionados con la utilización de éstos productos, como la contaminación de cuerpos de agua.</w:t>
      </w:r>
    </w:p>
    <w:p w14:paraId="0772B1BF" w14:textId="530B1BFF" w:rsidR="005B733D" w:rsidRDefault="005B733D" w:rsidP="000D3FA1">
      <w:pPr>
        <w:pStyle w:val="ListParagraph"/>
        <w:numPr>
          <w:ilvl w:val="0"/>
          <w:numId w:val="12"/>
        </w:numPr>
        <w:ind w:left="1134"/>
        <w:rPr>
          <w:lang w:val="es-CO"/>
        </w:rPr>
      </w:pPr>
      <w:r w:rsidRPr="001A6D31">
        <w:rPr>
          <w:lang w:val="es-CO"/>
        </w:rPr>
        <w:t>Mecanismo de consulta del MGAS: Breve descripción de cómo se realizará la consulta de este instrumento (difusión, mecanismo de socialización, actores, fechas, informe, etc</w:t>
      </w:r>
      <w:r w:rsidR="00061B2A">
        <w:rPr>
          <w:lang w:val="es-CO"/>
        </w:rPr>
        <w:t>.)</w:t>
      </w:r>
      <w:r w:rsidRPr="001A6D31">
        <w:rPr>
          <w:lang w:val="es-CO"/>
        </w:rPr>
        <w:t>.</w:t>
      </w:r>
    </w:p>
    <w:p w14:paraId="5619ACF9" w14:textId="77777777" w:rsidR="005B733D" w:rsidRPr="001A6D31" w:rsidRDefault="005B733D" w:rsidP="000D3FA1">
      <w:pPr>
        <w:pStyle w:val="ListParagraph"/>
        <w:numPr>
          <w:ilvl w:val="0"/>
          <w:numId w:val="12"/>
        </w:numPr>
        <w:ind w:left="1134"/>
        <w:rPr>
          <w:lang w:val="es-CO"/>
        </w:rPr>
      </w:pPr>
      <w:r w:rsidRPr="001A6D31">
        <w:rPr>
          <w:lang w:val="es-CO"/>
        </w:rPr>
        <w:t>Identificación de los medios para el monitoreo y la supervisión de salvaguardas, con indicadores de monitoreo acordados y formatos de informes y procedimientos.</w:t>
      </w:r>
    </w:p>
    <w:p w14:paraId="320DBC53" w14:textId="77777777" w:rsidR="005B733D" w:rsidRDefault="005B733D" w:rsidP="000D3FA1">
      <w:pPr>
        <w:numPr>
          <w:ilvl w:val="0"/>
          <w:numId w:val="4"/>
        </w:numPr>
      </w:pPr>
      <w:r w:rsidRPr="001A6D31">
        <w:lastRenderedPageBreak/>
        <w:t>Trabajar una estrategia para el seguimiento del cumplimiento de los criterios de sostenibilidad durante la implementación de actividades del IFSL, así como de un mecanismo de quejas y reclamos de las comunidades que pudieran verse afectadas alineado con el Mecanismo de Atención Ciudadana que se está desarrollando para la ENREDD+.</w:t>
      </w:r>
    </w:p>
    <w:p w14:paraId="0F279474" w14:textId="77777777" w:rsidR="006437AD" w:rsidRPr="001A6D31" w:rsidRDefault="006437AD" w:rsidP="002D03E2">
      <w:pPr>
        <w:ind w:left="720"/>
      </w:pPr>
    </w:p>
    <w:p w14:paraId="53FE9D42" w14:textId="77777777" w:rsidR="005B733D" w:rsidRDefault="005B733D" w:rsidP="000D3FA1">
      <w:pPr>
        <w:numPr>
          <w:ilvl w:val="0"/>
          <w:numId w:val="4"/>
        </w:numPr>
      </w:pPr>
      <w:r w:rsidRPr="001A6D31">
        <w:t xml:space="preserve">Apoyar al Gobierno de Colombia y al Banco Mundial, en la definición de criterios y consideraciones generales ambientales para la priorización de zonas de intervención del proyecto, contemplando las áreas protegidas (áreas de parque declaradas, nuevas áreas, resguardos indígenas), los modelos productivos sostenibles, las comunidades locales, indígenas, campesinos, instituciones y actores del sector privado, así como las directrices nacionales, las de la Convención 169 de la OIT, los principios de la Declaración los Derechos de los Pueblos Indígenas de las Naciones Unidas y las políticas operacionales del Banco Mundial sobre pueblos indígenas (OP 4.10). </w:t>
      </w:r>
    </w:p>
    <w:p w14:paraId="7C76DBB6" w14:textId="77777777" w:rsidR="006437AD" w:rsidRPr="001A6D31" w:rsidRDefault="006437AD" w:rsidP="002D03E2">
      <w:pPr>
        <w:ind w:left="720"/>
      </w:pPr>
    </w:p>
    <w:p w14:paraId="64A4F6B2" w14:textId="77777777" w:rsidR="005B733D" w:rsidRDefault="005B733D" w:rsidP="000D3FA1">
      <w:pPr>
        <w:numPr>
          <w:ilvl w:val="0"/>
          <w:numId w:val="4"/>
        </w:numPr>
      </w:pPr>
      <w:r w:rsidRPr="001A6D31">
        <w:t>A partir de los resultados de la evaluación ambiental y social, así como de la sistematización, apoyar la identificación de los criterios de sostenibilidad ambiental que deben seguir los actividades o intervenciones del IPSF Orinoquia en articulación con las estrategias y planes definidos para la región, así como para el fortalecimiento de mecanismos regionales y locales en la construcción de acuerdos y escenarios con las comunidades y actores institucionales, privados y sociales, que faciliten la gestión regional del programa y la gobernanza de la tierra.</w:t>
      </w:r>
    </w:p>
    <w:p w14:paraId="76D7D072" w14:textId="77777777" w:rsidR="006437AD" w:rsidRPr="001A6D31" w:rsidRDefault="006437AD" w:rsidP="002D03E2">
      <w:pPr>
        <w:ind w:left="720"/>
      </w:pPr>
    </w:p>
    <w:p w14:paraId="2798FD3B" w14:textId="77777777" w:rsidR="005B733D" w:rsidRDefault="005B733D" w:rsidP="000D3FA1">
      <w:pPr>
        <w:numPr>
          <w:ilvl w:val="0"/>
          <w:numId w:val="4"/>
        </w:numPr>
      </w:pPr>
      <w:r w:rsidRPr="001A6D31">
        <w:t>Proporcionar aportes significativos a la preparación de documentación relacionada con la operación y el programa de asistencia técnica entre el Gobierno de Colombia y el Banco Mundial.</w:t>
      </w:r>
    </w:p>
    <w:p w14:paraId="5064A504" w14:textId="77777777" w:rsidR="006437AD" w:rsidRPr="001A6D31" w:rsidRDefault="006437AD" w:rsidP="002D03E2">
      <w:pPr>
        <w:ind w:left="720"/>
      </w:pPr>
    </w:p>
    <w:p w14:paraId="33378FDC" w14:textId="77777777" w:rsidR="005B733D" w:rsidRDefault="005B733D" w:rsidP="000D3FA1">
      <w:pPr>
        <w:numPr>
          <w:ilvl w:val="0"/>
          <w:numId w:val="4"/>
        </w:numPr>
      </w:pPr>
      <w:r w:rsidRPr="001A6D31">
        <w:t>Otras tareas técnicas que puedan surgir relacionadas con el objeto del contrato.</w:t>
      </w:r>
    </w:p>
    <w:p w14:paraId="7596B313" w14:textId="77777777" w:rsidR="001253E5" w:rsidRPr="001A6D31" w:rsidRDefault="001E4421" w:rsidP="00B93A64">
      <w:pPr>
        <w:pStyle w:val="Heading1"/>
        <w:pageBreakBefore w:val="0"/>
      </w:pPr>
      <w:r w:rsidRPr="001A6D31">
        <w:t>Productos</w:t>
      </w:r>
      <w:r w:rsidR="00FE6025" w:rsidRPr="001A6D31">
        <w:t xml:space="preserve"> y Cro</w:t>
      </w:r>
      <w:r w:rsidR="008F6CE5" w:rsidRPr="001A6D31">
        <w:t>no</w:t>
      </w:r>
      <w:r w:rsidR="00FE6025" w:rsidRPr="001A6D31">
        <w:t>grama</w:t>
      </w:r>
    </w:p>
    <w:p w14:paraId="3160DD09" w14:textId="77777777" w:rsidR="000B6763" w:rsidRPr="001A6D31" w:rsidRDefault="000B6763" w:rsidP="000B6763"/>
    <w:p w14:paraId="6C0C62EE" w14:textId="77777777" w:rsidR="00FE6025" w:rsidRPr="001A6D31" w:rsidRDefault="00FE6025" w:rsidP="000D3FA1">
      <w:pPr>
        <w:numPr>
          <w:ilvl w:val="0"/>
          <w:numId w:val="5"/>
        </w:numPr>
      </w:pPr>
      <w:r w:rsidRPr="001A6D31">
        <w:t>Primer borrador MGAS, (Marco de procedimientos de pueblos indígenas, reasentamientos y ambientales).</w:t>
      </w:r>
    </w:p>
    <w:p w14:paraId="323C3B4C" w14:textId="77777777" w:rsidR="00FE6025" w:rsidRPr="001A6D31" w:rsidRDefault="00FE6025" w:rsidP="000D3FA1">
      <w:pPr>
        <w:numPr>
          <w:ilvl w:val="0"/>
          <w:numId w:val="5"/>
        </w:numPr>
      </w:pPr>
      <w:r w:rsidRPr="001A6D31">
        <w:t>Reporte sobre la Implementación del proceso de participación</w:t>
      </w:r>
      <w:r w:rsidR="000B6763" w:rsidRPr="001A6D31">
        <w:t>,</w:t>
      </w:r>
      <w:r w:rsidRPr="001A6D31">
        <w:t xml:space="preserve"> dialogo y divulgación del MGAS.</w:t>
      </w:r>
    </w:p>
    <w:p w14:paraId="4BBBAFBF" w14:textId="77777777" w:rsidR="00FE6025" w:rsidRPr="001A6D31" w:rsidRDefault="00FE6025" w:rsidP="000D3FA1">
      <w:pPr>
        <w:numPr>
          <w:ilvl w:val="0"/>
          <w:numId w:val="5"/>
        </w:numPr>
      </w:pPr>
      <w:r w:rsidRPr="001A6D31">
        <w:t>Inclusión de los resultados de la difusión y retroalimentación a los instrumentos de Salvaguardas</w:t>
      </w:r>
      <w:r w:rsidRPr="001A6D31" w:rsidDel="002971E3">
        <w:t xml:space="preserve"> </w:t>
      </w:r>
      <w:r w:rsidRPr="001A6D31">
        <w:t>ambientales y sociales.</w:t>
      </w:r>
    </w:p>
    <w:p w14:paraId="7A5203C1" w14:textId="77777777" w:rsidR="00FE6025" w:rsidRPr="001A6D31" w:rsidRDefault="00FE6025" w:rsidP="000D3FA1">
      <w:pPr>
        <w:numPr>
          <w:ilvl w:val="0"/>
          <w:numId w:val="5"/>
        </w:numPr>
      </w:pPr>
      <w:r w:rsidRPr="001A6D31">
        <w:lastRenderedPageBreak/>
        <w:t xml:space="preserve">Marco de Gestión Ambiental y Social para el Programa del Fondo </w:t>
      </w:r>
      <w:proofErr w:type="spellStart"/>
      <w:r w:rsidRPr="001A6D31">
        <w:t>BioCarbono</w:t>
      </w:r>
      <w:proofErr w:type="spellEnd"/>
      <w:r w:rsidRPr="001A6D31">
        <w:t xml:space="preserve"> de la Orinoquia, con base en los estudios de diagnóstico y la información derivada de la SESA.</w:t>
      </w:r>
    </w:p>
    <w:p w14:paraId="37670D5B" w14:textId="77777777" w:rsidR="000B6763" w:rsidRPr="001A6D31" w:rsidRDefault="000B6763" w:rsidP="000B6763">
      <w:pPr>
        <w:ind w:left="720"/>
      </w:pPr>
    </w:p>
    <w:tbl>
      <w:tblPr>
        <w:tblStyle w:val="TableGrid"/>
        <w:tblW w:w="0" w:type="auto"/>
        <w:tblLook w:val="04A0" w:firstRow="1" w:lastRow="0" w:firstColumn="1" w:lastColumn="0" w:noHBand="0" w:noVBand="1"/>
      </w:tblPr>
      <w:tblGrid>
        <w:gridCol w:w="1481"/>
        <w:gridCol w:w="1481"/>
        <w:gridCol w:w="1481"/>
        <w:gridCol w:w="1481"/>
        <w:gridCol w:w="1481"/>
        <w:gridCol w:w="1481"/>
      </w:tblGrid>
      <w:tr w:rsidR="000B6763" w:rsidRPr="001A6D31" w14:paraId="163595C6" w14:textId="77777777" w:rsidTr="000B6763">
        <w:tc>
          <w:tcPr>
            <w:tcW w:w="1481" w:type="dxa"/>
            <w:shd w:val="clear" w:color="auto" w:fill="EAF1DD" w:themeFill="accent3" w:themeFillTint="33"/>
          </w:tcPr>
          <w:p w14:paraId="07783AD9" w14:textId="77777777" w:rsidR="000B6763" w:rsidRPr="001A6D31" w:rsidRDefault="000B6763" w:rsidP="000B6763">
            <w:pPr>
              <w:tabs>
                <w:tab w:val="left" w:pos="2907"/>
              </w:tabs>
              <w:jc w:val="center"/>
              <w:rPr>
                <w:b/>
                <w:lang w:val="es-CO"/>
              </w:rPr>
            </w:pPr>
            <w:r w:rsidRPr="001A6D31">
              <w:rPr>
                <w:b/>
                <w:lang w:val="es-CO"/>
              </w:rPr>
              <w:t>Producto</w:t>
            </w:r>
          </w:p>
        </w:tc>
        <w:tc>
          <w:tcPr>
            <w:tcW w:w="1481" w:type="dxa"/>
            <w:shd w:val="clear" w:color="auto" w:fill="EAF1DD" w:themeFill="accent3" w:themeFillTint="33"/>
          </w:tcPr>
          <w:p w14:paraId="2A7641B1" w14:textId="77777777" w:rsidR="000B6763" w:rsidRPr="001A6D31" w:rsidRDefault="000B6763" w:rsidP="000B6763">
            <w:pPr>
              <w:tabs>
                <w:tab w:val="left" w:pos="2907"/>
              </w:tabs>
              <w:jc w:val="center"/>
              <w:rPr>
                <w:b/>
                <w:lang w:val="es-CO"/>
              </w:rPr>
            </w:pPr>
            <w:r w:rsidRPr="001A6D31">
              <w:rPr>
                <w:b/>
                <w:lang w:val="es-CO"/>
              </w:rPr>
              <w:t>Mes 1</w:t>
            </w:r>
          </w:p>
        </w:tc>
        <w:tc>
          <w:tcPr>
            <w:tcW w:w="1481" w:type="dxa"/>
            <w:shd w:val="clear" w:color="auto" w:fill="EAF1DD" w:themeFill="accent3" w:themeFillTint="33"/>
          </w:tcPr>
          <w:p w14:paraId="15C2F93F" w14:textId="77777777" w:rsidR="000B6763" w:rsidRPr="001A6D31" w:rsidRDefault="000B6763" w:rsidP="000B6763">
            <w:pPr>
              <w:tabs>
                <w:tab w:val="left" w:pos="2907"/>
              </w:tabs>
              <w:jc w:val="center"/>
              <w:rPr>
                <w:b/>
                <w:lang w:val="es-CO"/>
              </w:rPr>
            </w:pPr>
            <w:r w:rsidRPr="001A6D31">
              <w:rPr>
                <w:b/>
                <w:lang w:val="es-CO"/>
              </w:rPr>
              <w:t>Mes 2</w:t>
            </w:r>
          </w:p>
        </w:tc>
        <w:tc>
          <w:tcPr>
            <w:tcW w:w="1481" w:type="dxa"/>
            <w:shd w:val="clear" w:color="auto" w:fill="EAF1DD" w:themeFill="accent3" w:themeFillTint="33"/>
          </w:tcPr>
          <w:p w14:paraId="73E0A679" w14:textId="77777777" w:rsidR="000B6763" w:rsidRPr="001A6D31" w:rsidRDefault="000B6763" w:rsidP="000B6763">
            <w:pPr>
              <w:tabs>
                <w:tab w:val="left" w:pos="2907"/>
              </w:tabs>
              <w:jc w:val="center"/>
              <w:rPr>
                <w:b/>
                <w:lang w:val="es-CO"/>
              </w:rPr>
            </w:pPr>
            <w:r w:rsidRPr="001A6D31">
              <w:rPr>
                <w:b/>
                <w:lang w:val="es-CO"/>
              </w:rPr>
              <w:t>Mes 3</w:t>
            </w:r>
          </w:p>
        </w:tc>
        <w:tc>
          <w:tcPr>
            <w:tcW w:w="1481" w:type="dxa"/>
            <w:shd w:val="clear" w:color="auto" w:fill="EAF1DD" w:themeFill="accent3" w:themeFillTint="33"/>
          </w:tcPr>
          <w:p w14:paraId="0C5F5FD4" w14:textId="77777777" w:rsidR="000B6763" w:rsidRPr="001A6D31" w:rsidRDefault="000B6763" w:rsidP="000B6763">
            <w:pPr>
              <w:tabs>
                <w:tab w:val="left" w:pos="2907"/>
              </w:tabs>
              <w:jc w:val="center"/>
              <w:rPr>
                <w:b/>
                <w:lang w:val="es-CO"/>
              </w:rPr>
            </w:pPr>
            <w:r w:rsidRPr="001A6D31">
              <w:rPr>
                <w:b/>
                <w:lang w:val="es-CO"/>
              </w:rPr>
              <w:t>Mes 4</w:t>
            </w:r>
          </w:p>
        </w:tc>
        <w:tc>
          <w:tcPr>
            <w:tcW w:w="1481" w:type="dxa"/>
            <w:shd w:val="clear" w:color="auto" w:fill="EAF1DD" w:themeFill="accent3" w:themeFillTint="33"/>
          </w:tcPr>
          <w:p w14:paraId="41EC02D6" w14:textId="77777777" w:rsidR="000B6763" w:rsidRPr="001A6D31" w:rsidRDefault="000B6763" w:rsidP="000B6763">
            <w:pPr>
              <w:tabs>
                <w:tab w:val="left" w:pos="2907"/>
              </w:tabs>
              <w:jc w:val="center"/>
              <w:rPr>
                <w:b/>
                <w:lang w:val="es-CO"/>
              </w:rPr>
            </w:pPr>
            <w:r w:rsidRPr="001A6D31">
              <w:rPr>
                <w:b/>
                <w:lang w:val="es-CO"/>
              </w:rPr>
              <w:t>Mes 5</w:t>
            </w:r>
          </w:p>
        </w:tc>
      </w:tr>
      <w:tr w:rsidR="000B6763" w:rsidRPr="001A6D31" w14:paraId="7596F0F2" w14:textId="77777777" w:rsidTr="000B6763">
        <w:tc>
          <w:tcPr>
            <w:tcW w:w="1481" w:type="dxa"/>
          </w:tcPr>
          <w:p w14:paraId="20BF9217" w14:textId="77777777" w:rsidR="000B6763" w:rsidRPr="001A6D31" w:rsidRDefault="000B6763" w:rsidP="000B6763">
            <w:pPr>
              <w:tabs>
                <w:tab w:val="left" w:pos="2907"/>
              </w:tabs>
              <w:jc w:val="center"/>
              <w:rPr>
                <w:b/>
                <w:lang w:val="es-CO"/>
              </w:rPr>
            </w:pPr>
            <w:r w:rsidRPr="001A6D31">
              <w:rPr>
                <w:b/>
                <w:lang w:val="es-CO"/>
              </w:rPr>
              <w:t>1</w:t>
            </w:r>
          </w:p>
        </w:tc>
        <w:tc>
          <w:tcPr>
            <w:tcW w:w="1481" w:type="dxa"/>
            <w:shd w:val="clear" w:color="auto" w:fill="A6A6A6" w:themeFill="background1" w:themeFillShade="A6"/>
          </w:tcPr>
          <w:p w14:paraId="705448EE" w14:textId="77777777" w:rsidR="000B6763" w:rsidRPr="001A6D31" w:rsidRDefault="000B6763" w:rsidP="001253E5">
            <w:pPr>
              <w:tabs>
                <w:tab w:val="left" w:pos="2907"/>
              </w:tabs>
              <w:rPr>
                <w:lang w:val="es-CO"/>
              </w:rPr>
            </w:pPr>
          </w:p>
        </w:tc>
        <w:tc>
          <w:tcPr>
            <w:tcW w:w="1481" w:type="dxa"/>
            <w:shd w:val="clear" w:color="auto" w:fill="A6A6A6" w:themeFill="background1" w:themeFillShade="A6"/>
          </w:tcPr>
          <w:p w14:paraId="6C7EC4B9" w14:textId="77777777" w:rsidR="000B6763" w:rsidRPr="001A6D31" w:rsidRDefault="000B6763" w:rsidP="001253E5">
            <w:pPr>
              <w:tabs>
                <w:tab w:val="left" w:pos="2907"/>
              </w:tabs>
              <w:rPr>
                <w:lang w:val="es-CO"/>
              </w:rPr>
            </w:pPr>
          </w:p>
        </w:tc>
        <w:tc>
          <w:tcPr>
            <w:tcW w:w="1481" w:type="dxa"/>
          </w:tcPr>
          <w:p w14:paraId="564DED8F" w14:textId="77777777" w:rsidR="000B6763" w:rsidRPr="001A6D31" w:rsidRDefault="000B6763" w:rsidP="001253E5">
            <w:pPr>
              <w:tabs>
                <w:tab w:val="left" w:pos="2907"/>
              </w:tabs>
              <w:rPr>
                <w:lang w:val="es-CO"/>
              </w:rPr>
            </w:pPr>
          </w:p>
        </w:tc>
        <w:tc>
          <w:tcPr>
            <w:tcW w:w="1481" w:type="dxa"/>
          </w:tcPr>
          <w:p w14:paraId="069F66A3" w14:textId="77777777" w:rsidR="000B6763" w:rsidRPr="001A6D31" w:rsidRDefault="000B6763" w:rsidP="001253E5">
            <w:pPr>
              <w:tabs>
                <w:tab w:val="left" w:pos="2907"/>
              </w:tabs>
              <w:rPr>
                <w:lang w:val="es-CO"/>
              </w:rPr>
            </w:pPr>
          </w:p>
        </w:tc>
        <w:tc>
          <w:tcPr>
            <w:tcW w:w="1481" w:type="dxa"/>
          </w:tcPr>
          <w:p w14:paraId="2C312CF8" w14:textId="77777777" w:rsidR="000B6763" w:rsidRPr="001A6D31" w:rsidRDefault="000B6763" w:rsidP="001253E5">
            <w:pPr>
              <w:tabs>
                <w:tab w:val="left" w:pos="2907"/>
              </w:tabs>
              <w:rPr>
                <w:lang w:val="es-CO"/>
              </w:rPr>
            </w:pPr>
          </w:p>
        </w:tc>
      </w:tr>
      <w:tr w:rsidR="000B6763" w:rsidRPr="001A6D31" w14:paraId="435B5A34" w14:textId="77777777" w:rsidTr="000B6763">
        <w:tc>
          <w:tcPr>
            <w:tcW w:w="1481" w:type="dxa"/>
          </w:tcPr>
          <w:p w14:paraId="3AA65F5D" w14:textId="77777777" w:rsidR="000B6763" w:rsidRPr="001A6D31" w:rsidRDefault="000B6763" w:rsidP="000B6763">
            <w:pPr>
              <w:tabs>
                <w:tab w:val="left" w:pos="2907"/>
              </w:tabs>
              <w:jc w:val="center"/>
              <w:rPr>
                <w:b/>
                <w:lang w:val="es-CO"/>
              </w:rPr>
            </w:pPr>
            <w:r w:rsidRPr="001A6D31">
              <w:rPr>
                <w:b/>
                <w:lang w:val="es-CO"/>
              </w:rPr>
              <w:t>2</w:t>
            </w:r>
          </w:p>
        </w:tc>
        <w:tc>
          <w:tcPr>
            <w:tcW w:w="1481" w:type="dxa"/>
          </w:tcPr>
          <w:p w14:paraId="1BA5388C" w14:textId="77777777" w:rsidR="000B6763" w:rsidRPr="001A6D31" w:rsidRDefault="000B6763" w:rsidP="001253E5">
            <w:pPr>
              <w:tabs>
                <w:tab w:val="left" w:pos="2907"/>
              </w:tabs>
              <w:rPr>
                <w:lang w:val="es-CO"/>
              </w:rPr>
            </w:pPr>
          </w:p>
        </w:tc>
        <w:tc>
          <w:tcPr>
            <w:tcW w:w="1481" w:type="dxa"/>
          </w:tcPr>
          <w:p w14:paraId="2C770A75" w14:textId="77777777" w:rsidR="000B6763" w:rsidRPr="001A6D31" w:rsidRDefault="000B6763" w:rsidP="001253E5">
            <w:pPr>
              <w:tabs>
                <w:tab w:val="left" w:pos="2907"/>
              </w:tabs>
              <w:rPr>
                <w:lang w:val="es-CO"/>
              </w:rPr>
            </w:pPr>
          </w:p>
        </w:tc>
        <w:tc>
          <w:tcPr>
            <w:tcW w:w="1481" w:type="dxa"/>
            <w:shd w:val="clear" w:color="auto" w:fill="A6A6A6" w:themeFill="background1" w:themeFillShade="A6"/>
          </w:tcPr>
          <w:p w14:paraId="6DD8FBCC" w14:textId="77777777" w:rsidR="000B6763" w:rsidRPr="001A6D31" w:rsidRDefault="000B6763" w:rsidP="001253E5">
            <w:pPr>
              <w:tabs>
                <w:tab w:val="left" w:pos="2907"/>
              </w:tabs>
              <w:rPr>
                <w:lang w:val="es-CO"/>
              </w:rPr>
            </w:pPr>
          </w:p>
        </w:tc>
        <w:tc>
          <w:tcPr>
            <w:tcW w:w="1481" w:type="dxa"/>
          </w:tcPr>
          <w:p w14:paraId="3840C462" w14:textId="77777777" w:rsidR="000B6763" w:rsidRPr="001A6D31" w:rsidRDefault="000B6763" w:rsidP="001253E5">
            <w:pPr>
              <w:tabs>
                <w:tab w:val="left" w:pos="2907"/>
              </w:tabs>
              <w:rPr>
                <w:lang w:val="es-CO"/>
              </w:rPr>
            </w:pPr>
          </w:p>
        </w:tc>
        <w:tc>
          <w:tcPr>
            <w:tcW w:w="1481" w:type="dxa"/>
          </w:tcPr>
          <w:p w14:paraId="27BAC66F" w14:textId="77777777" w:rsidR="000B6763" w:rsidRPr="001A6D31" w:rsidRDefault="000B6763" w:rsidP="001253E5">
            <w:pPr>
              <w:tabs>
                <w:tab w:val="left" w:pos="2907"/>
              </w:tabs>
              <w:rPr>
                <w:lang w:val="es-CO"/>
              </w:rPr>
            </w:pPr>
          </w:p>
        </w:tc>
      </w:tr>
      <w:tr w:rsidR="000B6763" w:rsidRPr="001A6D31" w14:paraId="74744881" w14:textId="77777777" w:rsidTr="000B6763">
        <w:tc>
          <w:tcPr>
            <w:tcW w:w="1481" w:type="dxa"/>
          </w:tcPr>
          <w:p w14:paraId="22A05A7A" w14:textId="77777777" w:rsidR="000B6763" w:rsidRPr="001A6D31" w:rsidRDefault="000B6763" w:rsidP="000B6763">
            <w:pPr>
              <w:tabs>
                <w:tab w:val="left" w:pos="2907"/>
              </w:tabs>
              <w:jc w:val="center"/>
              <w:rPr>
                <w:b/>
                <w:lang w:val="es-CO"/>
              </w:rPr>
            </w:pPr>
            <w:r w:rsidRPr="001A6D31">
              <w:rPr>
                <w:b/>
                <w:lang w:val="es-CO"/>
              </w:rPr>
              <w:t>3</w:t>
            </w:r>
          </w:p>
        </w:tc>
        <w:tc>
          <w:tcPr>
            <w:tcW w:w="1481" w:type="dxa"/>
          </w:tcPr>
          <w:p w14:paraId="7CBBCF23" w14:textId="77777777" w:rsidR="000B6763" w:rsidRPr="001A6D31" w:rsidRDefault="000B6763" w:rsidP="001253E5">
            <w:pPr>
              <w:tabs>
                <w:tab w:val="left" w:pos="2907"/>
              </w:tabs>
              <w:rPr>
                <w:lang w:val="es-CO"/>
              </w:rPr>
            </w:pPr>
          </w:p>
        </w:tc>
        <w:tc>
          <w:tcPr>
            <w:tcW w:w="1481" w:type="dxa"/>
          </w:tcPr>
          <w:p w14:paraId="4C06633B" w14:textId="77777777" w:rsidR="000B6763" w:rsidRPr="001A6D31" w:rsidRDefault="000B6763" w:rsidP="001253E5">
            <w:pPr>
              <w:tabs>
                <w:tab w:val="left" w:pos="2907"/>
              </w:tabs>
              <w:rPr>
                <w:lang w:val="es-CO"/>
              </w:rPr>
            </w:pPr>
          </w:p>
        </w:tc>
        <w:tc>
          <w:tcPr>
            <w:tcW w:w="1481" w:type="dxa"/>
          </w:tcPr>
          <w:p w14:paraId="2C19AF78" w14:textId="77777777" w:rsidR="000B6763" w:rsidRPr="001A6D31" w:rsidRDefault="000B6763" w:rsidP="001253E5">
            <w:pPr>
              <w:tabs>
                <w:tab w:val="left" w:pos="2907"/>
              </w:tabs>
              <w:rPr>
                <w:lang w:val="es-CO"/>
              </w:rPr>
            </w:pPr>
          </w:p>
        </w:tc>
        <w:tc>
          <w:tcPr>
            <w:tcW w:w="1481" w:type="dxa"/>
            <w:shd w:val="clear" w:color="auto" w:fill="A6A6A6" w:themeFill="background1" w:themeFillShade="A6"/>
          </w:tcPr>
          <w:p w14:paraId="706D4AAF" w14:textId="77777777" w:rsidR="000B6763" w:rsidRPr="001A6D31" w:rsidRDefault="000B6763" w:rsidP="001253E5">
            <w:pPr>
              <w:tabs>
                <w:tab w:val="left" w:pos="2907"/>
              </w:tabs>
              <w:rPr>
                <w:lang w:val="es-CO"/>
              </w:rPr>
            </w:pPr>
          </w:p>
        </w:tc>
        <w:tc>
          <w:tcPr>
            <w:tcW w:w="1481" w:type="dxa"/>
          </w:tcPr>
          <w:p w14:paraId="2BD70F57" w14:textId="77777777" w:rsidR="000B6763" w:rsidRPr="001A6D31" w:rsidRDefault="000B6763" w:rsidP="001253E5">
            <w:pPr>
              <w:tabs>
                <w:tab w:val="left" w:pos="2907"/>
              </w:tabs>
              <w:rPr>
                <w:lang w:val="es-CO"/>
              </w:rPr>
            </w:pPr>
          </w:p>
        </w:tc>
      </w:tr>
      <w:tr w:rsidR="000B6763" w:rsidRPr="001A6D31" w14:paraId="3FC4CF0F" w14:textId="77777777" w:rsidTr="000B6763">
        <w:tc>
          <w:tcPr>
            <w:tcW w:w="1481" w:type="dxa"/>
          </w:tcPr>
          <w:p w14:paraId="2C0E7D24" w14:textId="77777777" w:rsidR="000B6763" w:rsidRPr="001A6D31" w:rsidRDefault="000B6763" w:rsidP="000B6763">
            <w:pPr>
              <w:tabs>
                <w:tab w:val="left" w:pos="2907"/>
              </w:tabs>
              <w:jc w:val="center"/>
              <w:rPr>
                <w:b/>
                <w:lang w:val="es-CO"/>
              </w:rPr>
            </w:pPr>
            <w:r w:rsidRPr="001A6D31">
              <w:rPr>
                <w:b/>
                <w:lang w:val="es-CO"/>
              </w:rPr>
              <w:t>4</w:t>
            </w:r>
          </w:p>
        </w:tc>
        <w:tc>
          <w:tcPr>
            <w:tcW w:w="1481" w:type="dxa"/>
          </w:tcPr>
          <w:p w14:paraId="42E3A6B8" w14:textId="77777777" w:rsidR="000B6763" w:rsidRPr="001A6D31" w:rsidRDefault="000B6763" w:rsidP="001253E5">
            <w:pPr>
              <w:tabs>
                <w:tab w:val="left" w:pos="2907"/>
              </w:tabs>
              <w:rPr>
                <w:lang w:val="es-CO"/>
              </w:rPr>
            </w:pPr>
          </w:p>
        </w:tc>
        <w:tc>
          <w:tcPr>
            <w:tcW w:w="1481" w:type="dxa"/>
          </w:tcPr>
          <w:p w14:paraId="327FB61D" w14:textId="77777777" w:rsidR="000B6763" w:rsidRPr="001A6D31" w:rsidRDefault="000B6763" w:rsidP="001253E5">
            <w:pPr>
              <w:tabs>
                <w:tab w:val="left" w:pos="2907"/>
              </w:tabs>
              <w:rPr>
                <w:lang w:val="es-CO"/>
              </w:rPr>
            </w:pPr>
          </w:p>
        </w:tc>
        <w:tc>
          <w:tcPr>
            <w:tcW w:w="1481" w:type="dxa"/>
          </w:tcPr>
          <w:p w14:paraId="687A4522" w14:textId="77777777" w:rsidR="000B6763" w:rsidRPr="001A6D31" w:rsidRDefault="000B6763" w:rsidP="001253E5">
            <w:pPr>
              <w:tabs>
                <w:tab w:val="left" w:pos="2907"/>
              </w:tabs>
              <w:rPr>
                <w:lang w:val="es-CO"/>
              </w:rPr>
            </w:pPr>
          </w:p>
        </w:tc>
        <w:tc>
          <w:tcPr>
            <w:tcW w:w="1481" w:type="dxa"/>
          </w:tcPr>
          <w:p w14:paraId="35BB17F2" w14:textId="77777777" w:rsidR="000B6763" w:rsidRPr="001A6D31" w:rsidRDefault="000B6763" w:rsidP="001253E5">
            <w:pPr>
              <w:tabs>
                <w:tab w:val="left" w:pos="2907"/>
              </w:tabs>
              <w:rPr>
                <w:lang w:val="es-CO"/>
              </w:rPr>
            </w:pPr>
          </w:p>
        </w:tc>
        <w:tc>
          <w:tcPr>
            <w:tcW w:w="1481" w:type="dxa"/>
            <w:shd w:val="clear" w:color="auto" w:fill="A6A6A6" w:themeFill="background1" w:themeFillShade="A6"/>
          </w:tcPr>
          <w:p w14:paraId="65927CA6" w14:textId="77777777" w:rsidR="000B6763" w:rsidRPr="001A6D31" w:rsidRDefault="000B6763" w:rsidP="001253E5">
            <w:pPr>
              <w:tabs>
                <w:tab w:val="left" w:pos="2907"/>
              </w:tabs>
              <w:rPr>
                <w:lang w:val="es-CO"/>
              </w:rPr>
            </w:pPr>
          </w:p>
        </w:tc>
      </w:tr>
    </w:tbl>
    <w:p w14:paraId="77D1CCAC" w14:textId="77777777" w:rsidR="006437AD" w:rsidRDefault="006437AD" w:rsidP="00B947CB"/>
    <w:p w14:paraId="7EF3A9E9" w14:textId="77777777" w:rsidR="005F50E8" w:rsidRPr="001A6D31" w:rsidRDefault="005F50E8" w:rsidP="005F50E8">
      <w:pPr>
        <w:pStyle w:val="Heading1"/>
        <w:pageBreakBefore w:val="0"/>
      </w:pPr>
      <w:r w:rsidRPr="001A6D31">
        <w:t>Cualificaciones del consultor</w:t>
      </w:r>
    </w:p>
    <w:p w14:paraId="64CA4A73" w14:textId="77777777" w:rsidR="005F50E8" w:rsidRPr="001A6D31" w:rsidRDefault="005F50E8" w:rsidP="001253E5">
      <w:pPr>
        <w:tabs>
          <w:tab w:val="left" w:pos="2907"/>
        </w:tabs>
      </w:pPr>
    </w:p>
    <w:p w14:paraId="3F9712E4" w14:textId="77777777" w:rsidR="00DC7C45" w:rsidRPr="001A6D31" w:rsidRDefault="00DC7C45" w:rsidP="00DC7C45">
      <w:pPr>
        <w:tabs>
          <w:tab w:val="left" w:pos="2907"/>
        </w:tabs>
        <w:rPr>
          <w:u w:val="single"/>
        </w:rPr>
      </w:pPr>
      <w:r w:rsidRPr="001A6D31">
        <w:rPr>
          <w:u w:val="single"/>
        </w:rPr>
        <w:t>Formación:</w:t>
      </w:r>
    </w:p>
    <w:p w14:paraId="21BC8AFF" w14:textId="77777777" w:rsidR="00DC7C45" w:rsidRPr="001A6D31" w:rsidRDefault="00DC7C45" w:rsidP="000D3FA1">
      <w:pPr>
        <w:numPr>
          <w:ilvl w:val="0"/>
          <w:numId w:val="7"/>
        </w:numPr>
        <w:tabs>
          <w:tab w:val="left" w:pos="2907"/>
        </w:tabs>
        <w:ind w:left="709"/>
      </w:pPr>
      <w:r w:rsidRPr="001A6D31">
        <w:t xml:space="preserve">Formación académica: </w:t>
      </w:r>
      <w:r w:rsidRPr="001A6D31">
        <w:rPr>
          <w:bCs/>
        </w:rPr>
        <w:t>Profesional en ingeniería ambiental, ingeniería forestal, biología, carreras ambientales o afines.</w:t>
      </w:r>
    </w:p>
    <w:p w14:paraId="592D2E21" w14:textId="77777777" w:rsidR="00DC7C45" w:rsidRPr="001A6D31" w:rsidRDefault="00DC7C45" w:rsidP="000D3FA1">
      <w:pPr>
        <w:numPr>
          <w:ilvl w:val="0"/>
          <w:numId w:val="7"/>
        </w:numPr>
        <w:tabs>
          <w:tab w:val="left" w:pos="2907"/>
        </w:tabs>
        <w:ind w:left="709"/>
      </w:pPr>
      <w:r w:rsidRPr="001A6D31">
        <w:t xml:space="preserve">El consultor debe contar con una amplia experiencia en el desarrollo evaluaciones ambientales para proyectos con el Banco Mundial, Banco Interamericano de Desarrollo y/u otros organismos similares. </w:t>
      </w:r>
    </w:p>
    <w:p w14:paraId="354F8B7E" w14:textId="77777777" w:rsidR="00DC7C45" w:rsidRPr="001A6D31" w:rsidRDefault="00DC7C45" w:rsidP="000D3FA1">
      <w:pPr>
        <w:numPr>
          <w:ilvl w:val="0"/>
          <w:numId w:val="7"/>
        </w:numPr>
        <w:tabs>
          <w:tab w:val="left" w:pos="2907"/>
        </w:tabs>
        <w:ind w:left="709"/>
      </w:pPr>
      <w:r w:rsidRPr="001A6D31">
        <w:t xml:space="preserve">El consultor debe estar familiarizado con los principales procesos de consulta sobre temas ambientales, en particular con las poblaciones indígenas y que sea fiable identificar las áreas clave de interés y el acuerdo. </w:t>
      </w:r>
    </w:p>
    <w:p w14:paraId="47A74301" w14:textId="77777777" w:rsidR="00DC7C45" w:rsidRPr="001A6D31" w:rsidRDefault="00DC7C45" w:rsidP="000D3FA1">
      <w:pPr>
        <w:numPr>
          <w:ilvl w:val="0"/>
          <w:numId w:val="6"/>
        </w:numPr>
        <w:tabs>
          <w:tab w:val="left" w:pos="2907"/>
        </w:tabs>
        <w:ind w:left="709"/>
      </w:pPr>
      <w:r w:rsidRPr="001A6D31">
        <w:t xml:space="preserve">Demostrar conocimiento en elaboración de instrumentos de las Políticas Operacionales del Banco Mundial. </w:t>
      </w:r>
    </w:p>
    <w:p w14:paraId="76C25C38" w14:textId="77777777" w:rsidR="00DC7C45" w:rsidRPr="001A6D31" w:rsidRDefault="00DC7C45" w:rsidP="000D3FA1">
      <w:pPr>
        <w:pStyle w:val="ListParagraph"/>
        <w:numPr>
          <w:ilvl w:val="0"/>
          <w:numId w:val="11"/>
        </w:numPr>
        <w:tabs>
          <w:tab w:val="left" w:pos="2907"/>
        </w:tabs>
        <w:ind w:left="709"/>
        <w:rPr>
          <w:lang w:val="es-CO"/>
        </w:rPr>
      </w:pPr>
      <w:r w:rsidRPr="001A6D31">
        <w:rPr>
          <w:lang w:val="es-CO"/>
        </w:rPr>
        <w:t>Demostrar amplia experiencia en el desarrollo de estrategias, programas e instrumentos de política pública para el desarrollo ambiental a nivel nacional e internacional.</w:t>
      </w:r>
    </w:p>
    <w:p w14:paraId="1958CEE6" w14:textId="77777777" w:rsidR="00DC7C45" w:rsidRPr="001A6D31" w:rsidRDefault="00DC7C45" w:rsidP="000D3FA1">
      <w:pPr>
        <w:pStyle w:val="ListParagraph"/>
        <w:numPr>
          <w:ilvl w:val="0"/>
          <w:numId w:val="11"/>
        </w:numPr>
        <w:tabs>
          <w:tab w:val="left" w:pos="2907"/>
        </w:tabs>
        <w:ind w:left="709"/>
        <w:rPr>
          <w:lang w:val="es-CO"/>
        </w:rPr>
      </w:pPr>
      <w:r w:rsidRPr="001A6D31">
        <w:rPr>
          <w:lang w:val="es-CO"/>
        </w:rPr>
        <w:t>Demostrar amplia experiencia en trabajo con organismos internacionales y preferiblemente con entidades del grupo Banco Mundial y de las Naciones Unidas entidades públicas, privadas, a nivel regional, nacional e internacional, en la formulación de programas y proyectos de gestión intersectorial para la de asistencia técnica y articulación de programas nacionales que favorezcan la construcción de paz y desarrollo local sostenible.</w:t>
      </w:r>
    </w:p>
    <w:p w14:paraId="7F061F73" w14:textId="77777777" w:rsidR="00DC7C45" w:rsidRPr="001A6D31" w:rsidRDefault="00DC7C45" w:rsidP="000D3FA1">
      <w:pPr>
        <w:pStyle w:val="ListParagraph"/>
        <w:numPr>
          <w:ilvl w:val="0"/>
          <w:numId w:val="11"/>
        </w:numPr>
        <w:tabs>
          <w:tab w:val="left" w:pos="2907"/>
        </w:tabs>
        <w:ind w:left="709"/>
        <w:rPr>
          <w:lang w:val="es-CO"/>
        </w:rPr>
      </w:pPr>
      <w:r w:rsidRPr="001A6D31">
        <w:rPr>
          <w:lang w:val="es-CO"/>
        </w:rPr>
        <w:t xml:space="preserve">Capacidad de interlocución intersectorial y multifactorial con agentes públicos y privados a nivel internacional, nacional y regional para la gestión y orientación de programas y proyectos del área social y desarrollo sostenible, gobernabilidad, construcción de paz, </w:t>
      </w:r>
      <w:r w:rsidRPr="001A6D31">
        <w:rPr>
          <w:lang w:val="es-CO"/>
        </w:rPr>
        <w:lastRenderedPageBreak/>
        <w:t>reducción de la pobreza con comunidades rurales e indígenas.</w:t>
      </w:r>
    </w:p>
    <w:p w14:paraId="28F16D13" w14:textId="77777777" w:rsidR="00DC7C45" w:rsidRPr="001A6D31" w:rsidRDefault="00DC7C45" w:rsidP="000D3FA1">
      <w:pPr>
        <w:pStyle w:val="ListParagraph"/>
        <w:numPr>
          <w:ilvl w:val="0"/>
          <w:numId w:val="11"/>
        </w:numPr>
        <w:tabs>
          <w:tab w:val="left" w:pos="2907"/>
        </w:tabs>
        <w:ind w:left="709"/>
        <w:rPr>
          <w:lang w:val="es-CO"/>
        </w:rPr>
      </w:pPr>
      <w:r w:rsidRPr="001A6D31">
        <w:rPr>
          <w:lang w:val="es-CO"/>
        </w:rPr>
        <w:t>El consultor debe tener demostrar experiencia en el desarrollo de contratos a nivel nacional e internacional</w:t>
      </w:r>
    </w:p>
    <w:p w14:paraId="50F233C3" w14:textId="77777777" w:rsidR="00DC7C45" w:rsidRPr="001A6D31" w:rsidRDefault="00DC7C45" w:rsidP="00DC7C45">
      <w:pPr>
        <w:tabs>
          <w:tab w:val="left" w:pos="2907"/>
        </w:tabs>
        <w:rPr>
          <w:u w:val="single"/>
        </w:rPr>
      </w:pPr>
      <w:r w:rsidRPr="001A6D31">
        <w:rPr>
          <w:u w:val="single"/>
        </w:rPr>
        <w:t>Otros:</w:t>
      </w:r>
    </w:p>
    <w:p w14:paraId="76B8B314" w14:textId="77777777" w:rsidR="00DC7C45" w:rsidRPr="001A6D31" w:rsidRDefault="00DC7C45" w:rsidP="000D3FA1">
      <w:pPr>
        <w:numPr>
          <w:ilvl w:val="0"/>
          <w:numId w:val="8"/>
        </w:numPr>
        <w:tabs>
          <w:tab w:val="left" w:pos="2907"/>
        </w:tabs>
      </w:pPr>
      <w:r w:rsidRPr="001A6D31">
        <w:t>Disponibilidad para viajar a zonas apartadas del país.</w:t>
      </w:r>
    </w:p>
    <w:p w14:paraId="26BAEE0B" w14:textId="77777777" w:rsidR="00DC7C45" w:rsidRPr="001A6D31" w:rsidRDefault="00DC7C45" w:rsidP="000D3FA1">
      <w:pPr>
        <w:numPr>
          <w:ilvl w:val="0"/>
          <w:numId w:val="8"/>
        </w:numPr>
        <w:tabs>
          <w:tab w:val="left" w:pos="2907"/>
        </w:tabs>
      </w:pPr>
      <w:r w:rsidRPr="001A6D31">
        <w:t>Alta capacidad para escribir reportes, analizar datos y documentos.</w:t>
      </w:r>
    </w:p>
    <w:p w14:paraId="6C4AE580" w14:textId="77777777" w:rsidR="00DC7C45" w:rsidRPr="001A6D31" w:rsidRDefault="00DC7C45" w:rsidP="000D3FA1">
      <w:pPr>
        <w:numPr>
          <w:ilvl w:val="0"/>
          <w:numId w:val="8"/>
        </w:numPr>
        <w:tabs>
          <w:tab w:val="left" w:pos="2907"/>
        </w:tabs>
      </w:pPr>
      <w:r w:rsidRPr="001A6D31">
        <w:t xml:space="preserve">Capacidad de manejo de relaciones permanentes y fluidas con diversos tipos de actores de la región. </w:t>
      </w:r>
    </w:p>
    <w:p w14:paraId="1053409C" w14:textId="77777777" w:rsidR="00DC7C45" w:rsidRPr="001A6D31" w:rsidRDefault="00DC7C45" w:rsidP="000D3FA1">
      <w:pPr>
        <w:numPr>
          <w:ilvl w:val="0"/>
          <w:numId w:val="8"/>
        </w:numPr>
        <w:tabs>
          <w:tab w:val="left" w:pos="2907"/>
        </w:tabs>
      </w:pPr>
      <w:r w:rsidRPr="001A6D31">
        <w:t>Demostrar capacidad en la coordinación interinstitucional y sinergias de trabajo con múltiples actores regionales y nacionales</w:t>
      </w:r>
    </w:p>
    <w:p w14:paraId="64E263BB" w14:textId="77777777" w:rsidR="00DC7C45" w:rsidRPr="001A6D31" w:rsidRDefault="00DC7C45" w:rsidP="000D3FA1">
      <w:pPr>
        <w:numPr>
          <w:ilvl w:val="0"/>
          <w:numId w:val="8"/>
        </w:numPr>
        <w:tabs>
          <w:tab w:val="left" w:pos="2907"/>
        </w:tabs>
      </w:pPr>
      <w:r w:rsidRPr="001A6D31">
        <w:t>Capacidad para resolver problemas.</w:t>
      </w:r>
    </w:p>
    <w:p w14:paraId="5C18EC93" w14:textId="77777777" w:rsidR="00DC7C45" w:rsidRPr="001A6D31" w:rsidRDefault="00DC7C45" w:rsidP="00DC7C45">
      <w:pPr>
        <w:tabs>
          <w:tab w:val="left" w:pos="2907"/>
        </w:tabs>
      </w:pPr>
    </w:p>
    <w:p w14:paraId="4338B5F8" w14:textId="77777777" w:rsidR="00DC7C45" w:rsidRPr="001A6D31" w:rsidRDefault="00DC7C45" w:rsidP="00DC7C45">
      <w:pPr>
        <w:tabs>
          <w:tab w:val="left" w:pos="2907"/>
        </w:tabs>
        <w:rPr>
          <w:u w:val="single"/>
        </w:rPr>
      </w:pPr>
      <w:r w:rsidRPr="001A6D31">
        <w:rPr>
          <w:u w:val="single"/>
        </w:rPr>
        <w:t>Es deseable que el aspirante cuente con:</w:t>
      </w:r>
    </w:p>
    <w:p w14:paraId="71A9BA84" w14:textId="77777777" w:rsidR="00DC7C45" w:rsidRPr="001A6D31" w:rsidRDefault="00DC7C45" w:rsidP="000D3FA1">
      <w:pPr>
        <w:pStyle w:val="ListParagraph"/>
        <w:numPr>
          <w:ilvl w:val="0"/>
          <w:numId w:val="9"/>
        </w:numPr>
        <w:tabs>
          <w:tab w:val="left" w:pos="2907"/>
        </w:tabs>
        <w:ind w:left="709"/>
        <w:rPr>
          <w:lang w:val="es-CO"/>
        </w:rPr>
      </w:pPr>
      <w:r w:rsidRPr="001A6D31">
        <w:rPr>
          <w:lang w:val="es-CO"/>
        </w:rPr>
        <w:t>Conocimiento en planeación del desarrollo y/</w:t>
      </w:r>
      <w:proofErr w:type="spellStart"/>
      <w:r w:rsidRPr="001A6D31">
        <w:rPr>
          <w:lang w:val="es-CO"/>
        </w:rPr>
        <w:t>o</w:t>
      </w:r>
      <w:proofErr w:type="spellEnd"/>
      <w:r w:rsidRPr="001A6D31">
        <w:rPr>
          <w:lang w:val="es-CO"/>
        </w:rPr>
        <w:t xml:space="preserve"> ordenamiento territorial.</w:t>
      </w:r>
    </w:p>
    <w:p w14:paraId="1765487A" w14:textId="77777777" w:rsidR="00DC7C45" w:rsidRPr="001A6D31" w:rsidRDefault="00DC7C45" w:rsidP="000D3FA1">
      <w:pPr>
        <w:pStyle w:val="ListParagraph"/>
        <w:numPr>
          <w:ilvl w:val="0"/>
          <w:numId w:val="9"/>
        </w:numPr>
        <w:tabs>
          <w:tab w:val="left" w:pos="2907"/>
        </w:tabs>
        <w:ind w:left="709"/>
        <w:rPr>
          <w:lang w:val="es-CO"/>
        </w:rPr>
      </w:pPr>
      <w:r w:rsidRPr="001A6D31">
        <w:rPr>
          <w:lang w:val="es-CO"/>
        </w:rPr>
        <w:t>Conocimiento en cambio climático y/o REDD+.</w:t>
      </w:r>
    </w:p>
    <w:p w14:paraId="239A20CD" w14:textId="77777777" w:rsidR="00DC7C45" w:rsidRPr="001A6D31" w:rsidRDefault="00DC7C45" w:rsidP="000D3FA1">
      <w:pPr>
        <w:pStyle w:val="ListParagraph"/>
        <w:numPr>
          <w:ilvl w:val="0"/>
          <w:numId w:val="9"/>
        </w:numPr>
        <w:tabs>
          <w:tab w:val="left" w:pos="2907"/>
        </w:tabs>
        <w:ind w:left="709"/>
        <w:rPr>
          <w:lang w:val="es-CO"/>
        </w:rPr>
      </w:pPr>
      <w:r w:rsidRPr="001A6D31">
        <w:rPr>
          <w:lang w:val="es-CO"/>
        </w:rPr>
        <w:t>Habilidades para la planeación, el trabajo en equipo, realizar un rango amplio de múltiples tareas y el trabajo bajo presión.</w:t>
      </w:r>
    </w:p>
    <w:p w14:paraId="015EC68E" w14:textId="77777777" w:rsidR="0046469D" w:rsidRPr="001A6D31" w:rsidRDefault="0046469D" w:rsidP="00DC7C45">
      <w:pPr>
        <w:tabs>
          <w:tab w:val="left" w:pos="2907"/>
        </w:tabs>
      </w:pPr>
    </w:p>
    <w:p w14:paraId="2BF3D55B" w14:textId="77777777" w:rsidR="00DC7C45" w:rsidRPr="001A6D31" w:rsidRDefault="00DC7C45" w:rsidP="00DC7C45">
      <w:pPr>
        <w:tabs>
          <w:tab w:val="left" w:pos="2907"/>
        </w:tabs>
        <w:rPr>
          <w:u w:val="single"/>
        </w:rPr>
      </w:pPr>
      <w:r w:rsidRPr="001A6D31">
        <w:rPr>
          <w:u w:val="single"/>
        </w:rPr>
        <w:t>Habilidades para la evaluación del desempeño:</w:t>
      </w:r>
    </w:p>
    <w:p w14:paraId="444CDE80" w14:textId="77777777" w:rsidR="00DC7C45" w:rsidRPr="001A6D31" w:rsidRDefault="00DC7C45" w:rsidP="000D3FA1">
      <w:pPr>
        <w:numPr>
          <w:ilvl w:val="0"/>
          <w:numId w:val="10"/>
        </w:numPr>
        <w:tabs>
          <w:tab w:val="left" w:pos="2907"/>
        </w:tabs>
        <w:ind w:left="709"/>
      </w:pPr>
      <w:r w:rsidRPr="001A6D31">
        <w:t>Demostrar y desplegar alta sensibilidad y adaptabilidad sin prejuicios personales en cuanto a temas interculturales, de género, religión, raza, nacionalidad y edad, siendo capaz de mostrar en la práctica un alto nivel de respeto a la diversidad.</w:t>
      </w:r>
    </w:p>
    <w:p w14:paraId="54009CB1" w14:textId="77777777" w:rsidR="00DC7C45" w:rsidRPr="001A6D31" w:rsidRDefault="00DC7C45" w:rsidP="000D3FA1">
      <w:pPr>
        <w:numPr>
          <w:ilvl w:val="0"/>
          <w:numId w:val="10"/>
        </w:numPr>
        <w:tabs>
          <w:tab w:val="left" w:pos="2907"/>
        </w:tabs>
        <w:ind w:left="709"/>
      </w:pPr>
      <w:r w:rsidRPr="001A6D31">
        <w:t>Aptitudes y disposición para trabajar en equipo.</w:t>
      </w:r>
    </w:p>
    <w:p w14:paraId="36881FB2" w14:textId="77777777" w:rsidR="00DC7C45" w:rsidRPr="001A6D31" w:rsidRDefault="00DC7C45" w:rsidP="000D3FA1">
      <w:pPr>
        <w:numPr>
          <w:ilvl w:val="0"/>
          <w:numId w:val="10"/>
        </w:numPr>
        <w:tabs>
          <w:tab w:val="left" w:pos="2907"/>
        </w:tabs>
        <w:ind w:left="709"/>
      </w:pPr>
      <w:r w:rsidRPr="001A6D31">
        <w:t>Habilidad para trabajar de manera independiente y encontrar información necesaria con supervisión mínima.</w:t>
      </w:r>
    </w:p>
    <w:p w14:paraId="1F34D100" w14:textId="77777777" w:rsidR="00DC7C45" w:rsidRPr="001A6D31" w:rsidRDefault="00DC7C45" w:rsidP="000D3FA1">
      <w:pPr>
        <w:numPr>
          <w:ilvl w:val="0"/>
          <w:numId w:val="10"/>
        </w:numPr>
        <w:tabs>
          <w:tab w:val="left" w:pos="2907"/>
        </w:tabs>
        <w:ind w:left="709"/>
      </w:pPr>
      <w:r w:rsidRPr="001A6D31">
        <w:t>Comunicación asertiva.</w:t>
      </w:r>
    </w:p>
    <w:p w14:paraId="48429E9A" w14:textId="77777777" w:rsidR="00DC7C45" w:rsidRPr="001A6D31" w:rsidRDefault="00DC7C45" w:rsidP="000D3FA1">
      <w:pPr>
        <w:numPr>
          <w:ilvl w:val="0"/>
          <w:numId w:val="10"/>
        </w:numPr>
        <w:tabs>
          <w:tab w:val="left" w:pos="2907"/>
        </w:tabs>
        <w:ind w:left="709"/>
      </w:pPr>
      <w:r w:rsidRPr="001A6D31">
        <w:t>Rápida adaptación a los cambios y al entorno laboral.</w:t>
      </w:r>
    </w:p>
    <w:p w14:paraId="3ECB5D3A" w14:textId="77777777" w:rsidR="00DC7C45" w:rsidRPr="001A6D31" w:rsidRDefault="00DC7C45" w:rsidP="000D3FA1">
      <w:pPr>
        <w:numPr>
          <w:ilvl w:val="0"/>
          <w:numId w:val="10"/>
        </w:numPr>
        <w:tabs>
          <w:tab w:val="left" w:pos="2907"/>
        </w:tabs>
        <w:ind w:left="709"/>
      </w:pPr>
      <w:r w:rsidRPr="001A6D31">
        <w:t>Orientación de servicio y a la entrega de resultados.</w:t>
      </w:r>
    </w:p>
    <w:p w14:paraId="1AC44766" w14:textId="7F02D076" w:rsidR="00F915ED" w:rsidRPr="001A6D31" w:rsidRDefault="001253E5" w:rsidP="001253E5">
      <w:pPr>
        <w:tabs>
          <w:tab w:val="left" w:pos="2907"/>
        </w:tabs>
      </w:pPr>
      <w:r w:rsidRPr="001A6D31">
        <w:tab/>
      </w:r>
    </w:p>
    <w:p w14:paraId="46A5CFF4" w14:textId="77777777" w:rsidR="006437AD" w:rsidRDefault="006437AD" w:rsidP="001253E5">
      <w:pPr>
        <w:tabs>
          <w:tab w:val="left" w:pos="2907"/>
        </w:tabs>
      </w:pPr>
    </w:p>
    <w:p w14:paraId="2A043A6D" w14:textId="6227AC04" w:rsidR="00A3770C" w:rsidRDefault="00A3770C" w:rsidP="001253E5">
      <w:pPr>
        <w:tabs>
          <w:tab w:val="left" w:pos="2907"/>
        </w:tabs>
      </w:pPr>
    </w:p>
    <w:p w14:paraId="7B4D6322" w14:textId="343333D6" w:rsidR="000C2D44" w:rsidRDefault="000C2D44" w:rsidP="000C2D44">
      <w:pPr>
        <w:pStyle w:val="Heading1"/>
        <w:pageBreakBefore w:val="0"/>
        <w:rPr>
          <w:lang w:val="en-GB"/>
        </w:rPr>
      </w:pPr>
      <w:r>
        <w:rPr>
          <w:lang w:val="en-GB"/>
        </w:rPr>
        <w:lastRenderedPageBreak/>
        <w:t xml:space="preserve">Forma de </w:t>
      </w:r>
      <w:proofErr w:type="spellStart"/>
      <w:r>
        <w:rPr>
          <w:lang w:val="en-GB"/>
        </w:rPr>
        <w:t>pago</w:t>
      </w:r>
      <w:proofErr w:type="spellEnd"/>
    </w:p>
    <w:p w14:paraId="62E10E21" w14:textId="77777777" w:rsidR="000C2D44" w:rsidRDefault="000C2D44" w:rsidP="001253E5">
      <w:pPr>
        <w:tabs>
          <w:tab w:val="left" w:pos="2907"/>
        </w:tabs>
        <w:rPr>
          <w:lang w:val="en-GB"/>
        </w:rPr>
      </w:pPr>
    </w:p>
    <w:p w14:paraId="2B5858E2" w14:textId="483644B6" w:rsidR="000C2D44" w:rsidRDefault="000C2D44" w:rsidP="001253E5">
      <w:pPr>
        <w:tabs>
          <w:tab w:val="left" w:pos="2907"/>
        </w:tabs>
      </w:pPr>
      <w:r w:rsidRPr="000C2D44">
        <w:t>La forma de pago de la co</w:t>
      </w:r>
      <w:r>
        <w:t>nsultoría para la elaboración del MGA</w:t>
      </w:r>
      <w:r w:rsidR="00140367">
        <w:t>S</w:t>
      </w:r>
      <w:r>
        <w:t xml:space="preserve"> será de la siguiente forma:</w:t>
      </w:r>
    </w:p>
    <w:p w14:paraId="26FEF045" w14:textId="77777777" w:rsidR="006437AD" w:rsidRPr="000C2D44" w:rsidRDefault="006437AD" w:rsidP="001253E5">
      <w:pPr>
        <w:tabs>
          <w:tab w:val="left" w:pos="2907"/>
        </w:tab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253"/>
        <w:gridCol w:w="2551"/>
        <w:gridCol w:w="1560"/>
      </w:tblGrid>
      <w:tr w:rsidR="000C2D44" w:rsidRPr="000C2D44" w14:paraId="7D90EE6E" w14:textId="77777777" w:rsidTr="002D5EC9">
        <w:trPr>
          <w:trHeight w:val="300"/>
        </w:trPr>
        <w:tc>
          <w:tcPr>
            <w:tcW w:w="562" w:type="dxa"/>
            <w:shd w:val="clear" w:color="auto" w:fill="EAF1DD" w:themeFill="accent3" w:themeFillTint="33"/>
            <w:noWrap/>
            <w:vAlign w:val="center"/>
            <w:hideMark/>
          </w:tcPr>
          <w:p w14:paraId="6DDFC2BC" w14:textId="77777777" w:rsidR="000C2D44" w:rsidRPr="002D5EC9" w:rsidRDefault="000C2D44" w:rsidP="002D5EC9">
            <w:pPr>
              <w:tabs>
                <w:tab w:val="left" w:pos="2907"/>
              </w:tabs>
              <w:spacing w:before="0" w:after="0" w:line="240" w:lineRule="auto"/>
              <w:jc w:val="center"/>
              <w:rPr>
                <w:b/>
                <w:sz w:val="20"/>
              </w:rPr>
            </w:pPr>
            <w:r w:rsidRPr="002D5EC9">
              <w:rPr>
                <w:b/>
                <w:sz w:val="20"/>
              </w:rPr>
              <w:t>No</w:t>
            </w:r>
          </w:p>
        </w:tc>
        <w:tc>
          <w:tcPr>
            <w:tcW w:w="4253" w:type="dxa"/>
            <w:shd w:val="clear" w:color="auto" w:fill="EAF1DD" w:themeFill="accent3" w:themeFillTint="33"/>
            <w:noWrap/>
            <w:vAlign w:val="center"/>
            <w:hideMark/>
          </w:tcPr>
          <w:p w14:paraId="3C3E9BEF" w14:textId="77777777" w:rsidR="000C2D44" w:rsidRPr="002D5EC9" w:rsidRDefault="000C2D44" w:rsidP="002D5EC9">
            <w:pPr>
              <w:tabs>
                <w:tab w:val="left" w:pos="2907"/>
              </w:tabs>
              <w:spacing w:before="0" w:after="0" w:line="240" w:lineRule="auto"/>
              <w:jc w:val="center"/>
              <w:rPr>
                <w:b/>
                <w:sz w:val="20"/>
              </w:rPr>
            </w:pPr>
            <w:r w:rsidRPr="002D5EC9">
              <w:rPr>
                <w:b/>
                <w:sz w:val="20"/>
              </w:rPr>
              <w:t>Producto</w:t>
            </w:r>
          </w:p>
        </w:tc>
        <w:tc>
          <w:tcPr>
            <w:tcW w:w="2551" w:type="dxa"/>
            <w:shd w:val="clear" w:color="auto" w:fill="EAF1DD" w:themeFill="accent3" w:themeFillTint="33"/>
            <w:noWrap/>
            <w:vAlign w:val="center"/>
            <w:hideMark/>
          </w:tcPr>
          <w:p w14:paraId="48F1008E" w14:textId="6B1EA17F" w:rsidR="000C2D44" w:rsidRPr="002D5EC9" w:rsidRDefault="000C2D44" w:rsidP="002D5EC9">
            <w:pPr>
              <w:tabs>
                <w:tab w:val="left" w:pos="2907"/>
              </w:tabs>
              <w:spacing w:before="0" w:after="0" w:line="240" w:lineRule="auto"/>
              <w:jc w:val="center"/>
              <w:rPr>
                <w:b/>
                <w:sz w:val="20"/>
              </w:rPr>
            </w:pPr>
            <w:r w:rsidRPr="002D5EC9">
              <w:rPr>
                <w:b/>
                <w:sz w:val="20"/>
              </w:rPr>
              <w:t xml:space="preserve">Tiempo de entrega </w:t>
            </w:r>
            <w:r w:rsidR="002D5EC9" w:rsidRPr="002D5EC9">
              <w:rPr>
                <w:b/>
                <w:sz w:val="20"/>
              </w:rPr>
              <w:t>después</w:t>
            </w:r>
            <w:r w:rsidRPr="002D5EC9">
              <w:rPr>
                <w:b/>
                <w:sz w:val="20"/>
              </w:rPr>
              <w:t xml:space="preserve"> de firmado el contrato</w:t>
            </w:r>
          </w:p>
        </w:tc>
        <w:tc>
          <w:tcPr>
            <w:tcW w:w="1560" w:type="dxa"/>
            <w:shd w:val="clear" w:color="auto" w:fill="EAF1DD" w:themeFill="accent3" w:themeFillTint="33"/>
            <w:noWrap/>
            <w:vAlign w:val="center"/>
            <w:hideMark/>
          </w:tcPr>
          <w:p w14:paraId="7479BE92" w14:textId="11559941" w:rsidR="000C2D44" w:rsidRPr="002D5EC9" w:rsidRDefault="000C2D44" w:rsidP="002D5EC9">
            <w:pPr>
              <w:tabs>
                <w:tab w:val="left" w:pos="2907"/>
              </w:tabs>
              <w:spacing w:before="0" w:after="0" w:line="240" w:lineRule="auto"/>
              <w:jc w:val="center"/>
              <w:rPr>
                <w:b/>
                <w:sz w:val="20"/>
              </w:rPr>
            </w:pPr>
            <w:r w:rsidRPr="002D5EC9">
              <w:rPr>
                <w:b/>
                <w:sz w:val="20"/>
              </w:rPr>
              <w:t>Peso porcentual en la consultoría</w:t>
            </w:r>
          </w:p>
        </w:tc>
      </w:tr>
      <w:tr w:rsidR="00F65B0F" w:rsidRPr="000C2D44" w14:paraId="7E685F84" w14:textId="77777777" w:rsidTr="000C2D44">
        <w:trPr>
          <w:trHeight w:val="300"/>
        </w:trPr>
        <w:tc>
          <w:tcPr>
            <w:tcW w:w="562" w:type="dxa"/>
            <w:shd w:val="clear" w:color="auto" w:fill="auto"/>
            <w:noWrap/>
            <w:vAlign w:val="center"/>
          </w:tcPr>
          <w:p w14:paraId="7B8135D5" w14:textId="05254ED5" w:rsidR="00F65B0F" w:rsidRDefault="00F65B0F" w:rsidP="000C2D44">
            <w:pPr>
              <w:tabs>
                <w:tab w:val="left" w:pos="2907"/>
              </w:tabs>
              <w:spacing w:before="0" w:after="0" w:line="240" w:lineRule="auto"/>
              <w:rPr>
                <w:sz w:val="20"/>
              </w:rPr>
            </w:pPr>
            <w:r>
              <w:rPr>
                <w:sz w:val="20"/>
              </w:rPr>
              <w:t>0</w:t>
            </w:r>
          </w:p>
        </w:tc>
        <w:tc>
          <w:tcPr>
            <w:tcW w:w="4253" w:type="dxa"/>
            <w:shd w:val="clear" w:color="auto" w:fill="auto"/>
            <w:noWrap/>
            <w:vAlign w:val="center"/>
          </w:tcPr>
          <w:p w14:paraId="26FB20C8" w14:textId="52CD1270" w:rsidR="00F65B0F" w:rsidRPr="000C2D44" w:rsidRDefault="00F65B0F" w:rsidP="000C2D44">
            <w:pPr>
              <w:tabs>
                <w:tab w:val="left" w:pos="2907"/>
              </w:tabs>
              <w:spacing w:before="0" w:after="0" w:line="240" w:lineRule="auto"/>
              <w:rPr>
                <w:sz w:val="20"/>
              </w:rPr>
            </w:pPr>
            <w:r>
              <w:rPr>
                <w:sz w:val="20"/>
              </w:rPr>
              <w:t>Con la firma del contrato</w:t>
            </w:r>
          </w:p>
        </w:tc>
        <w:tc>
          <w:tcPr>
            <w:tcW w:w="2551" w:type="dxa"/>
            <w:shd w:val="clear" w:color="auto" w:fill="auto"/>
            <w:noWrap/>
            <w:vAlign w:val="center"/>
          </w:tcPr>
          <w:p w14:paraId="0B256636" w14:textId="20492FC0" w:rsidR="00F65B0F" w:rsidRPr="000C2D44" w:rsidRDefault="00F65B0F" w:rsidP="00F65B0F">
            <w:pPr>
              <w:tabs>
                <w:tab w:val="left" w:pos="2907"/>
              </w:tabs>
              <w:spacing w:before="0" w:after="0" w:line="240" w:lineRule="auto"/>
              <w:jc w:val="center"/>
              <w:rPr>
                <w:sz w:val="20"/>
              </w:rPr>
            </w:pPr>
            <w:r>
              <w:rPr>
                <w:sz w:val="20"/>
              </w:rPr>
              <w:t>0</w:t>
            </w:r>
          </w:p>
        </w:tc>
        <w:tc>
          <w:tcPr>
            <w:tcW w:w="1560" w:type="dxa"/>
            <w:shd w:val="clear" w:color="auto" w:fill="auto"/>
            <w:noWrap/>
            <w:vAlign w:val="center"/>
          </w:tcPr>
          <w:p w14:paraId="34CED905" w14:textId="3B02939B" w:rsidR="00F65B0F" w:rsidRPr="000C2D44" w:rsidRDefault="00F65B0F" w:rsidP="00E40960">
            <w:pPr>
              <w:tabs>
                <w:tab w:val="left" w:pos="2907"/>
              </w:tabs>
              <w:spacing w:before="0" w:after="0" w:line="240" w:lineRule="auto"/>
              <w:jc w:val="center"/>
              <w:rPr>
                <w:sz w:val="20"/>
              </w:rPr>
            </w:pPr>
            <w:r>
              <w:rPr>
                <w:sz w:val="20"/>
              </w:rPr>
              <w:t>1</w:t>
            </w:r>
            <w:r w:rsidR="00E40960">
              <w:rPr>
                <w:sz w:val="20"/>
              </w:rPr>
              <w:t>0</w:t>
            </w:r>
            <w:r>
              <w:rPr>
                <w:sz w:val="20"/>
              </w:rPr>
              <w:t>%</w:t>
            </w:r>
          </w:p>
        </w:tc>
      </w:tr>
      <w:tr w:rsidR="000C2D44" w:rsidRPr="000C2D44" w14:paraId="14DCC9BF" w14:textId="77777777" w:rsidTr="000C2D44">
        <w:trPr>
          <w:trHeight w:val="300"/>
        </w:trPr>
        <w:tc>
          <w:tcPr>
            <w:tcW w:w="562" w:type="dxa"/>
            <w:shd w:val="clear" w:color="auto" w:fill="auto"/>
            <w:noWrap/>
            <w:vAlign w:val="center"/>
          </w:tcPr>
          <w:p w14:paraId="50E04C9B" w14:textId="5B5FE238" w:rsidR="000C2D44" w:rsidRPr="000C2D44" w:rsidRDefault="000C2D44" w:rsidP="000C2D44">
            <w:pPr>
              <w:tabs>
                <w:tab w:val="left" w:pos="2907"/>
              </w:tabs>
              <w:spacing w:before="0" w:after="0" w:line="240" w:lineRule="auto"/>
              <w:rPr>
                <w:sz w:val="20"/>
              </w:rPr>
            </w:pPr>
            <w:r>
              <w:rPr>
                <w:sz w:val="20"/>
              </w:rPr>
              <w:t>1</w:t>
            </w:r>
          </w:p>
        </w:tc>
        <w:tc>
          <w:tcPr>
            <w:tcW w:w="4253" w:type="dxa"/>
            <w:shd w:val="clear" w:color="auto" w:fill="auto"/>
            <w:noWrap/>
            <w:vAlign w:val="center"/>
          </w:tcPr>
          <w:p w14:paraId="47E7BB03" w14:textId="53D3C318" w:rsidR="000C2D44" w:rsidRPr="000C2D44" w:rsidRDefault="000C2D44" w:rsidP="000C2D44">
            <w:pPr>
              <w:tabs>
                <w:tab w:val="left" w:pos="2907"/>
              </w:tabs>
              <w:spacing w:before="0" w:after="0" w:line="240" w:lineRule="auto"/>
              <w:rPr>
                <w:sz w:val="20"/>
              </w:rPr>
            </w:pPr>
            <w:r w:rsidRPr="000C2D44">
              <w:rPr>
                <w:sz w:val="20"/>
              </w:rPr>
              <w:t>Primer borrador MGAS</w:t>
            </w:r>
          </w:p>
        </w:tc>
        <w:tc>
          <w:tcPr>
            <w:tcW w:w="2551" w:type="dxa"/>
            <w:shd w:val="clear" w:color="auto" w:fill="auto"/>
            <w:noWrap/>
            <w:vAlign w:val="center"/>
          </w:tcPr>
          <w:p w14:paraId="1FFE40BA" w14:textId="16B4F72C" w:rsidR="000C2D44" w:rsidRPr="000C2D44" w:rsidRDefault="00F65B0F" w:rsidP="00F65B0F">
            <w:pPr>
              <w:tabs>
                <w:tab w:val="left" w:pos="2907"/>
              </w:tabs>
              <w:spacing w:before="0" w:after="0" w:line="240" w:lineRule="auto"/>
              <w:jc w:val="center"/>
              <w:rPr>
                <w:sz w:val="20"/>
              </w:rPr>
            </w:pPr>
            <w:r>
              <w:rPr>
                <w:sz w:val="20"/>
              </w:rPr>
              <w:t>2 meses</w:t>
            </w:r>
          </w:p>
        </w:tc>
        <w:tc>
          <w:tcPr>
            <w:tcW w:w="1560" w:type="dxa"/>
            <w:shd w:val="clear" w:color="auto" w:fill="auto"/>
            <w:noWrap/>
            <w:vAlign w:val="center"/>
          </w:tcPr>
          <w:p w14:paraId="7805E2DA" w14:textId="0890689B" w:rsidR="000C2D44" w:rsidRPr="000C2D44" w:rsidRDefault="00E40960" w:rsidP="00E40960">
            <w:pPr>
              <w:tabs>
                <w:tab w:val="left" w:pos="2907"/>
              </w:tabs>
              <w:spacing w:before="0" w:after="0" w:line="240" w:lineRule="auto"/>
              <w:jc w:val="center"/>
              <w:rPr>
                <w:sz w:val="20"/>
              </w:rPr>
            </w:pPr>
            <w:r>
              <w:rPr>
                <w:sz w:val="20"/>
              </w:rPr>
              <w:t>20%</w:t>
            </w:r>
          </w:p>
        </w:tc>
      </w:tr>
      <w:tr w:rsidR="000C2D44" w:rsidRPr="000C2D44" w14:paraId="3829642A" w14:textId="77777777" w:rsidTr="000C2D44">
        <w:trPr>
          <w:trHeight w:val="300"/>
        </w:trPr>
        <w:tc>
          <w:tcPr>
            <w:tcW w:w="562" w:type="dxa"/>
            <w:shd w:val="clear" w:color="auto" w:fill="auto"/>
            <w:noWrap/>
            <w:vAlign w:val="center"/>
          </w:tcPr>
          <w:p w14:paraId="4DD87C3F" w14:textId="087655CA" w:rsidR="000C2D44" w:rsidRPr="000C2D44" w:rsidRDefault="000C2D44" w:rsidP="000C2D44">
            <w:pPr>
              <w:tabs>
                <w:tab w:val="left" w:pos="2907"/>
              </w:tabs>
              <w:spacing w:before="0" w:after="0" w:line="240" w:lineRule="auto"/>
              <w:rPr>
                <w:sz w:val="20"/>
              </w:rPr>
            </w:pPr>
            <w:r>
              <w:rPr>
                <w:sz w:val="20"/>
              </w:rPr>
              <w:t>2</w:t>
            </w:r>
          </w:p>
        </w:tc>
        <w:tc>
          <w:tcPr>
            <w:tcW w:w="4253" w:type="dxa"/>
            <w:shd w:val="clear" w:color="auto" w:fill="auto"/>
            <w:noWrap/>
            <w:vAlign w:val="center"/>
          </w:tcPr>
          <w:p w14:paraId="0523651E" w14:textId="152F65AF" w:rsidR="000C2D44" w:rsidRPr="000C2D44" w:rsidRDefault="000C2D44" w:rsidP="000C2D44">
            <w:pPr>
              <w:rPr>
                <w:sz w:val="20"/>
              </w:rPr>
            </w:pPr>
            <w:r w:rsidRPr="000C2D44">
              <w:rPr>
                <w:sz w:val="20"/>
              </w:rPr>
              <w:t>Reporte sobre la Implementación del proceso de participación, dialogo y divulgación del MGAS.</w:t>
            </w:r>
          </w:p>
        </w:tc>
        <w:tc>
          <w:tcPr>
            <w:tcW w:w="2551" w:type="dxa"/>
            <w:shd w:val="clear" w:color="auto" w:fill="auto"/>
            <w:noWrap/>
            <w:vAlign w:val="center"/>
          </w:tcPr>
          <w:p w14:paraId="39EAD66A" w14:textId="377B0AF5" w:rsidR="000C2D44" w:rsidRPr="000C2D44" w:rsidRDefault="00F65B0F" w:rsidP="00F65B0F">
            <w:pPr>
              <w:tabs>
                <w:tab w:val="left" w:pos="2907"/>
              </w:tabs>
              <w:spacing w:before="0" w:after="0" w:line="240" w:lineRule="auto"/>
              <w:jc w:val="center"/>
              <w:rPr>
                <w:sz w:val="20"/>
              </w:rPr>
            </w:pPr>
            <w:r>
              <w:rPr>
                <w:sz w:val="20"/>
              </w:rPr>
              <w:t>3 meses</w:t>
            </w:r>
          </w:p>
        </w:tc>
        <w:tc>
          <w:tcPr>
            <w:tcW w:w="1560" w:type="dxa"/>
            <w:shd w:val="clear" w:color="auto" w:fill="auto"/>
            <w:noWrap/>
            <w:vAlign w:val="center"/>
          </w:tcPr>
          <w:p w14:paraId="013061ED" w14:textId="285C6DC7" w:rsidR="000C2D44" w:rsidRPr="000C2D44" w:rsidRDefault="00E40960" w:rsidP="00F65B0F">
            <w:pPr>
              <w:tabs>
                <w:tab w:val="left" w:pos="2907"/>
              </w:tabs>
              <w:spacing w:before="0" w:after="0" w:line="240" w:lineRule="auto"/>
              <w:jc w:val="center"/>
              <w:rPr>
                <w:sz w:val="20"/>
              </w:rPr>
            </w:pPr>
            <w:r>
              <w:rPr>
                <w:sz w:val="20"/>
              </w:rPr>
              <w:t>20</w:t>
            </w:r>
          </w:p>
        </w:tc>
      </w:tr>
      <w:tr w:rsidR="000C2D44" w:rsidRPr="000C2D44" w14:paraId="570AD458" w14:textId="77777777" w:rsidTr="000C2D44">
        <w:trPr>
          <w:trHeight w:val="300"/>
        </w:trPr>
        <w:tc>
          <w:tcPr>
            <w:tcW w:w="562" w:type="dxa"/>
            <w:shd w:val="clear" w:color="auto" w:fill="auto"/>
            <w:noWrap/>
            <w:vAlign w:val="center"/>
          </w:tcPr>
          <w:p w14:paraId="09A077F2" w14:textId="3EC5D8E3" w:rsidR="000C2D44" w:rsidRPr="000C2D44" w:rsidRDefault="000C2D44" w:rsidP="000C2D44">
            <w:pPr>
              <w:tabs>
                <w:tab w:val="left" w:pos="2907"/>
              </w:tabs>
              <w:spacing w:before="0" w:after="0" w:line="240" w:lineRule="auto"/>
              <w:rPr>
                <w:sz w:val="20"/>
              </w:rPr>
            </w:pPr>
            <w:r>
              <w:rPr>
                <w:sz w:val="20"/>
              </w:rPr>
              <w:t>3</w:t>
            </w:r>
          </w:p>
        </w:tc>
        <w:tc>
          <w:tcPr>
            <w:tcW w:w="4253" w:type="dxa"/>
            <w:shd w:val="clear" w:color="auto" w:fill="auto"/>
            <w:noWrap/>
            <w:vAlign w:val="center"/>
          </w:tcPr>
          <w:p w14:paraId="6C263D07" w14:textId="0C2ECFA1" w:rsidR="000C2D44" w:rsidRPr="000C2D44" w:rsidRDefault="000C2D44" w:rsidP="000C2D44">
            <w:pPr>
              <w:tabs>
                <w:tab w:val="left" w:pos="2907"/>
              </w:tabs>
              <w:spacing w:before="0" w:after="0" w:line="240" w:lineRule="auto"/>
              <w:rPr>
                <w:sz w:val="20"/>
              </w:rPr>
            </w:pPr>
            <w:r w:rsidRPr="000C2D44">
              <w:rPr>
                <w:sz w:val="20"/>
              </w:rPr>
              <w:t>Inclusión de los resultados de la difusión y retroalimentación a los instrumentos de Salvaguardas ambientales y sociales.</w:t>
            </w:r>
          </w:p>
        </w:tc>
        <w:tc>
          <w:tcPr>
            <w:tcW w:w="2551" w:type="dxa"/>
            <w:shd w:val="clear" w:color="auto" w:fill="auto"/>
            <w:noWrap/>
            <w:vAlign w:val="center"/>
          </w:tcPr>
          <w:p w14:paraId="120025A4" w14:textId="066026C9" w:rsidR="000C2D44" w:rsidRPr="000C2D44" w:rsidRDefault="00F65B0F" w:rsidP="00F65B0F">
            <w:pPr>
              <w:tabs>
                <w:tab w:val="left" w:pos="2907"/>
              </w:tabs>
              <w:spacing w:before="0" w:after="0" w:line="240" w:lineRule="auto"/>
              <w:jc w:val="center"/>
              <w:rPr>
                <w:sz w:val="20"/>
              </w:rPr>
            </w:pPr>
            <w:r>
              <w:rPr>
                <w:sz w:val="20"/>
              </w:rPr>
              <w:t>4 meses</w:t>
            </w:r>
          </w:p>
        </w:tc>
        <w:tc>
          <w:tcPr>
            <w:tcW w:w="1560" w:type="dxa"/>
            <w:shd w:val="clear" w:color="auto" w:fill="auto"/>
            <w:noWrap/>
            <w:vAlign w:val="center"/>
          </w:tcPr>
          <w:p w14:paraId="2AB0ADDE" w14:textId="7CEC2A9B" w:rsidR="000C2D44" w:rsidRPr="000C2D44" w:rsidRDefault="00E40960" w:rsidP="00F65B0F">
            <w:pPr>
              <w:tabs>
                <w:tab w:val="left" w:pos="2907"/>
              </w:tabs>
              <w:spacing w:before="0" w:after="0" w:line="240" w:lineRule="auto"/>
              <w:jc w:val="center"/>
              <w:rPr>
                <w:sz w:val="20"/>
              </w:rPr>
            </w:pPr>
            <w:r>
              <w:rPr>
                <w:sz w:val="20"/>
              </w:rPr>
              <w:t>20</w:t>
            </w:r>
          </w:p>
        </w:tc>
      </w:tr>
      <w:tr w:rsidR="000C2D44" w:rsidRPr="000C2D44" w14:paraId="5456EE45" w14:textId="77777777" w:rsidTr="000C2D44">
        <w:trPr>
          <w:trHeight w:val="300"/>
        </w:trPr>
        <w:tc>
          <w:tcPr>
            <w:tcW w:w="562" w:type="dxa"/>
            <w:shd w:val="clear" w:color="auto" w:fill="auto"/>
            <w:noWrap/>
            <w:vAlign w:val="center"/>
          </w:tcPr>
          <w:p w14:paraId="195FCD3E" w14:textId="471E4046" w:rsidR="000C2D44" w:rsidRPr="000C2D44" w:rsidRDefault="000C2D44" w:rsidP="000C2D44">
            <w:pPr>
              <w:tabs>
                <w:tab w:val="left" w:pos="2907"/>
              </w:tabs>
              <w:spacing w:before="0" w:after="0" w:line="240" w:lineRule="auto"/>
              <w:rPr>
                <w:sz w:val="20"/>
              </w:rPr>
            </w:pPr>
            <w:r>
              <w:rPr>
                <w:sz w:val="20"/>
              </w:rPr>
              <w:t>4</w:t>
            </w:r>
          </w:p>
        </w:tc>
        <w:tc>
          <w:tcPr>
            <w:tcW w:w="4253" w:type="dxa"/>
            <w:shd w:val="clear" w:color="auto" w:fill="auto"/>
            <w:noWrap/>
            <w:vAlign w:val="center"/>
          </w:tcPr>
          <w:p w14:paraId="0B518E88" w14:textId="445A6E7C" w:rsidR="000C2D44" w:rsidRPr="000C2D44" w:rsidRDefault="000C2D44" w:rsidP="000C2D44">
            <w:pPr>
              <w:tabs>
                <w:tab w:val="left" w:pos="2907"/>
              </w:tabs>
              <w:spacing w:before="0" w:after="0" w:line="240" w:lineRule="auto"/>
              <w:rPr>
                <w:sz w:val="20"/>
              </w:rPr>
            </w:pPr>
            <w:r w:rsidRPr="000C2D44">
              <w:rPr>
                <w:sz w:val="20"/>
              </w:rPr>
              <w:t xml:space="preserve">Marco de Gestión Ambiental y Social para el Programa del Fondo </w:t>
            </w:r>
            <w:proofErr w:type="spellStart"/>
            <w:r w:rsidRPr="000C2D44">
              <w:rPr>
                <w:sz w:val="20"/>
              </w:rPr>
              <w:t>BioCarbono</w:t>
            </w:r>
            <w:proofErr w:type="spellEnd"/>
            <w:r w:rsidRPr="000C2D44">
              <w:rPr>
                <w:sz w:val="20"/>
              </w:rPr>
              <w:t xml:space="preserve"> de la Orinoquia, con base en los estudios de diagnóstico y la información derivada de la SESA.</w:t>
            </w:r>
          </w:p>
        </w:tc>
        <w:tc>
          <w:tcPr>
            <w:tcW w:w="2551" w:type="dxa"/>
            <w:shd w:val="clear" w:color="auto" w:fill="auto"/>
            <w:noWrap/>
            <w:vAlign w:val="center"/>
          </w:tcPr>
          <w:p w14:paraId="52D5A410" w14:textId="31BC8EF7" w:rsidR="000C2D44" w:rsidRPr="000C2D44" w:rsidRDefault="00F65B0F" w:rsidP="00F65B0F">
            <w:pPr>
              <w:tabs>
                <w:tab w:val="left" w:pos="2907"/>
              </w:tabs>
              <w:spacing w:before="0" w:after="0" w:line="240" w:lineRule="auto"/>
              <w:jc w:val="center"/>
              <w:rPr>
                <w:sz w:val="20"/>
              </w:rPr>
            </w:pPr>
            <w:r>
              <w:rPr>
                <w:sz w:val="20"/>
              </w:rPr>
              <w:t>5 meses</w:t>
            </w:r>
          </w:p>
        </w:tc>
        <w:tc>
          <w:tcPr>
            <w:tcW w:w="1560" w:type="dxa"/>
            <w:shd w:val="clear" w:color="auto" w:fill="auto"/>
            <w:noWrap/>
            <w:vAlign w:val="center"/>
          </w:tcPr>
          <w:p w14:paraId="6903DD8A" w14:textId="39FA386B" w:rsidR="000C2D44" w:rsidRPr="000C2D44" w:rsidRDefault="00E40960" w:rsidP="00F65B0F">
            <w:pPr>
              <w:tabs>
                <w:tab w:val="left" w:pos="2907"/>
              </w:tabs>
              <w:spacing w:before="0" w:after="0" w:line="240" w:lineRule="auto"/>
              <w:jc w:val="center"/>
              <w:rPr>
                <w:sz w:val="20"/>
              </w:rPr>
            </w:pPr>
            <w:r>
              <w:rPr>
                <w:sz w:val="20"/>
              </w:rPr>
              <w:t>30%</w:t>
            </w:r>
          </w:p>
        </w:tc>
      </w:tr>
    </w:tbl>
    <w:p w14:paraId="49B457CF" w14:textId="27F4BB68" w:rsidR="00206F44" w:rsidRPr="000C2D44" w:rsidRDefault="00206F44" w:rsidP="007846BE">
      <w:pPr>
        <w:tabs>
          <w:tab w:val="left" w:pos="2907"/>
        </w:tabs>
        <w:rPr>
          <w:lang w:val="en-GB"/>
        </w:rPr>
      </w:pPr>
    </w:p>
    <w:sectPr w:rsidR="00206F44" w:rsidRPr="000C2D44" w:rsidSect="00BA7C9A">
      <w:footerReference w:type="default" r:id="rId8"/>
      <w:pgSz w:w="12242" w:h="15842" w:code="122"/>
      <w:pgMar w:top="1418" w:right="1588"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7E98" w14:textId="77777777" w:rsidR="00477A7A" w:rsidRDefault="00477A7A" w:rsidP="00D248AD">
      <w:pPr>
        <w:spacing w:before="0" w:after="0" w:line="240" w:lineRule="auto"/>
      </w:pPr>
      <w:r>
        <w:separator/>
      </w:r>
    </w:p>
  </w:endnote>
  <w:endnote w:type="continuationSeparator" w:id="0">
    <w:p w14:paraId="130DAFCD" w14:textId="77777777" w:rsidR="00477A7A" w:rsidRDefault="00477A7A" w:rsidP="00D248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49143796"/>
      <w:docPartObj>
        <w:docPartGallery w:val="Page Numbers (Bottom of Page)"/>
        <w:docPartUnique/>
      </w:docPartObj>
    </w:sdtPr>
    <w:sdtEndPr/>
    <w:sdtContent>
      <w:p w14:paraId="7644475D" w14:textId="7452EC0C" w:rsidR="00A70081" w:rsidRPr="0083705E" w:rsidRDefault="00A70081" w:rsidP="0083705E">
        <w:pPr>
          <w:pStyle w:val="Footer"/>
          <w:rPr>
            <w:sz w:val="20"/>
            <w:lang w:val="es-CO"/>
          </w:rPr>
        </w:pPr>
        <w:r w:rsidRPr="0083705E">
          <w:rPr>
            <w:sz w:val="20"/>
            <w:lang w:val="es-CO"/>
          </w:rPr>
          <w:t>Preparado por: Adriana Pinto Brun</w:t>
        </w:r>
        <w:r>
          <w:rPr>
            <w:sz w:val="20"/>
            <w:lang w:val="es-CO"/>
          </w:rPr>
          <w:t xml:space="preserve">, </w:t>
        </w:r>
        <w:r w:rsidRPr="001253E5">
          <w:rPr>
            <w:sz w:val="20"/>
            <w:lang w:val="es-CO"/>
          </w:rPr>
          <w:t>Agosto 2017</w:t>
        </w:r>
        <w:r>
          <w:rPr>
            <w:sz w:val="20"/>
            <w:lang w:val="es-CO"/>
          </w:rPr>
          <w:t>.</w:t>
        </w:r>
        <w:r w:rsidRPr="0083705E">
          <w:rPr>
            <w:sz w:val="20"/>
            <w:lang w:val="es-CO"/>
          </w:rPr>
          <w:tab/>
        </w:r>
        <w:r w:rsidRPr="0083705E">
          <w:rPr>
            <w:sz w:val="20"/>
            <w:lang w:val="es-CO"/>
          </w:rPr>
          <w:tab/>
        </w:r>
        <w:r w:rsidRPr="0083705E">
          <w:rPr>
            <w:sz w:val="20"/>
          </w:rPr>
          <w:fldChar w:fldCharType="begin"/>
        </w:r>
        <w:r w:rsidRPr="001253E5">
          <w:rPr>
            <w:sz w:val="20"/>
            <w:lang w:val="es-CO"/>
          </w:rPr>
          <w:instrText>PAGE   \* MERGEFORMAT</w:instrText>
        </w:r>
        <w:r w:rsidRPr="0083705E">
          <w:rPr>
            <w:sz w:val="20"/>
          </w:rPr>
          <w:fldChar w:fldCharType="separate"/>
        </w:r>
        <w:r w:rsidR="00202E87" w:rsidRPr="00202E87">
          <w:rPr>
            <w:noProof/>
            <w:sz w:val="20"/>
            <w:lang w:val="es-ES"/>
          </w:rPr>
          <w:t>1</w:t>
        </w:r>
        <w:r w:rsidRPr="0083705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B0A2" w14:textId="77777777" w:rsidR="00477A7A" w:rsidRDefault="00477A7A" w:rsidP="00D248AD">
      <w:pPr>
        <w:spacing w:before="0" w:after="0" w:line="240" w:lineRule="auto"/>
      </w:pPr>
      <w:r>
        <w:separator/>
      </w:r>
    </w:p>
  </w:footnote>
  <w:footnote w:type="continuationSeparator" w:id="0">
    <w:p w14:paraId="235900BC" w14:textId="77777777" w:rsidR="00477A7A" w:rsidRDefault="00477A7A" w:rsidP="00D248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F45"/>
    <w:multiLevelType w:val="hybridMultilevel"/>
    <w:tmpl w:val="6680A2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8BD3858"/>
    <w:multiLevelType w:val="hybridMultilevel"/>
    <w:tmpl w:val="6680A2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9865D08"/>
    <w:multiLevelType w:val="multilevel"/>
    <w:tmpl w:val="18E2E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6321B3"/>
    <w:multiLevelType w:val="hybridMultilevel"/>
    <w:tmpl w:val="EBCA5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D68C7"/>
    <w:multiLevelType w:val="hybridMultilevel"/>
    <w:tmpl w:val="E0C81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AB0827"/>
    <w:multiLevelType w:val="hybridMultilevel"/>
    <w:tmpl w:val="F8403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E452BA"/>
    <w:multiLevelType w:val="hybridMultilevel"/>
    <w:tmpl w:val="F564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532525"/>
    <w:multiLevelType w:val="hybridMultilevel"/>
    <w:tmpl w:val="658623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5A7B659A"/>
    <w:multiLevelType w:val="hybridMultilevel"/>
    <w:tmpl w:val="2ADCC5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C492738"/>
    <w:multiLevelType w:val="hybridMultilevel"/>
    <w:tmpl w:val="872AEF38"/>
    <w:lvl w:ilvl="0" w:tplc="240A0001">
      <w:start w:val="1"/>
      <w:numFmt w:val="bullet"/>
      <w:lvlText w:val=""/>
      <w:lvlJc w:val="left"/>
      <w:pPr>
        <w:ind w:left="1845" w:hanging="360"/>
      </w:pPr>
      <w:rPr>
        <w:rFonts w:ascii="Symbol" w:hAnsi="Symbol" w:hint="default"/>
      </w:rPr>
    </w:lvl>
    <w:lvl w:ilvl="1" w:tplc="240A0003" w:tentative="1">
      <w:start w:val="1"/>
      <w:numFmt w:val="bullet"/>
      <w:lvlText w:val="o"/>
      <w:lvlJc w:val="left"/>
      <w:pPr>
        <w:ind w:left="2565" w:hanging="360"/>
      </w:pPr>
      <w:rPr>
        <w:rFonts w:ascii="Courier New" w:hAnsi="Courier New" w:cs="Courier New" w:hint="default"/>
      </w:rPr>
    </w:lvl>
    <w:lvl w:ilvl="2" w:tplc="240A0005" w:tentative="1">
      <w:start w:val="1"/>
      <w:numFmt w:val="bullet"/>
      <w:lvlText w:val=""/>
      <w:lvlJc w:val="left"/>
      <w:pPr>
        <w:ind w:left="3285" w:hanging="360"/>
      </w:pPr>
      <w:rPr>
        <w:rFonts w:ascii="Wingdings" w:hAnsi="Wingdings" w:hint="default"/>
      </w:rPr>
    </w:lvl>
    <w:lvl w:ilvl="3" w:tplc="240A0001" w:tentative="1">
      <w:start w:val="1"/>
      <w:numFmt w:val="bullet"/>
      <w:lvlText w:val=""/>
      <w:lvlJc w:val="left"/>
      <w:pPr>
        <w:ind w:left="4005" w:hanging="360"/>
      </w:pPr>
      <w:rPr>
        <w:rFonts w:ascii="Symbol" w:hAnsi="Symbol" w:hint="default"/>
      </w:rPr>
    </w:lvl>
    <w:lvl w:ilvl="4" w:tplc="240A0003" w:tentative="1">
      <w:start w:val="1"/>
      <w:numFmt w:val="bullet"/>
      <w:lvlText w:val="o"/>
      <w:lvlJc w:val="left"/>
      <w:pPr>
        <w:ind w:left="4725" w:hanging="360"/>
      </w:pPr>
      <w:rPr>
        <w:rFonts w:ascii="Courier New" w:hAnsi="Courier New" w:cs="Courier New" w:hint="default"/>
      </w:rPr>
    </w:lvl>
    <w:lvl w:ilvl="5" w:tplc="240A0005" w:tentative="1">
      <w:start w:val="1"/>
      <w:numFmt w:val="bullet"/>
      <w:lvlText w:val=""/>
      <w:lvlJc w:val="left"/>
      <w:pPr>
        <w:ind w:left="5445" w:hanging="360"/>
      </w:pPr>
      <w:rPr>
        <w:rFonts w:ascii="Wingdings" w:hAnsi="Wingdings" w:hint="default"/>
      </w:rPr>
    </w:lvl>
    <w:lvl w:ilvl="6" w:tplc="240A0001" w:tentative="1">
      <w:start w:val="1"/>
      <w:numFmt w:val="bullet"/>
      <w:lvlText w:val=""/>
      <w:lvlJc w:val="left"/>
      <w:pPr>
        <w:ind w:left="6165" w:hanging="360"/>
      </w:pPr>
      <w:rPr>
        <w:rFonts w:ascii="Symbol" w:hAnsi="Symbol" w:hint="default"/>
      </w:rPr>
    </w:lvl>
    <w:lvl w:ilvl="7" w:tplc="240A0003" w:tentative="1">
      <w:start w:val="1"/>
      <w:numFmt w:val="bullet"/>
      <w:lvlText w:val="o"/>
      <w:lvlJc w:val="left"/>
      <w:pPr>
        <w:ind w:left="6885" w:hanging="360"/>
      </w:pPr>
      <w:rPr>
        <w:rFonts w:ascii="Courier New" w:hAnsi="Courier New" w:cs="Courier New" w:hint="default"/>
      </w:rPr>
    </w:lvl>
    <w:lvl w:ilvl="8" w:tplc="240A0005" w:tentative="1">
      <w:start w:val="1"/>
      <w:numFmt w:val="bullet"/>
      <w:lvlText w:val=""/>
      <w:lvlJc w:val="left"/>
      <w:pPr>
        <w:ind w:left="7605" w:hanging="360"/>
      </w:pPr>
      <w:rPr>
        <w:rFonts w:ascii="Wingdings" w:hAnsi="Wingdings" w:hint="default"/>
      </w:rPr>
    </w:lvl>
  </w:abstractNum>
  <w:abstractNum w:abstractNumId="10" w15:restartNumberingAfterBreak="0">
    <w:nsid w:val="6CDE48FF"/>
    <w:multiLevelType w:val="hybridMultilevel"/>
    <w:tmpl w:val="5434CB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72D704FD"/>
    <w:multiLevelType w:val="hybridMultilevel"/>
    <w:tmpl w:val="73FE3334"/>
    <w:lvl w:ilvl="0" w:tplc="1F64A9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D7260E"/>
    <w:multiLevelType w:val="hybridMultilevel"/>
    <w:tmpl w:val="52ECC0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5"/>
  </w:num>
  <w:num w:numId="9">
    <w:abstractNumId w:val="8"/>
  </w:num>
  <w:num w:numId="10">
    <w:abstractNumId w:val="12"/>
  </w:num>
  <w:num w:numId="11">
    <w:abstractNumId w:val="7"/>
  </w:num>
  <w:num w:numId="12">
    <w:abstractNumId w:val="9"/>
  </w:num>
  <w:num w:numId="13">
    <w:abstractNumId w:val="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3E"/>
    <w:rsid w:val="000000D1"/>
    <w:rsid w:val="0000022A"/>
    <w:rsid w:val="0000139D"/>
    <w:rsid w:val="000030DD"/>
    <w:rsid w:val="000049A9"/>
    <w:rsid w:val="00005319"/>
    <w:rsid w:val="00005850"/>
    <w:rsid w:val="00005AF1"/>
    <w:rsid w:val="00005DC5"/>
    <w:rsid w:val="00005F45"/>
    <w:rsid w:val="0000767B"/>
    <w:rsid w:val="00007EBB"/>
    <w:rsid w:val="00013D26"/>
    <w:rsid w:val="00013D78"/>
    <w:rsid w:val="000144C1"/>
    <w:rsid w:val="000150DC"/>
    <w:rsid w:val="000151C6"/>
    <w:rsid w:val="00015DBF"/>
    <w:rsid w:val="000161E7"/>
    <w:rsid w:val="000165E5"/>
    <w:rsid w:val="000165FC"/>
    <w:rsid w:val="000167C0"/>
    <w:rsid w:val="000175BB"/>
    <w:rsid w:val="00021A39"/>
    <w:rsid w:val="00021FDB"/>
    <w:rsid w:val="00022597"/>
    <w:rsid w:val="000230D7"/>
    <w:rsid w:val="00023990"/>
    <w:rsid w:val="0002571B"/>
    <w:rsid w:val="000262F5"/>
    <w:rsid w:val="00026390"/>
    <w:rsid w:val="00026398"/>
    <w:rsid w:val="0002695C"/>
    <w:rsid w:val="000270F2"/>
    <w:rsid w:val="0002788E"/>
    <w:rsid w:val="0003012C"/>
    <w:rsid w:val="00032C77"/>
    <w:rsid w:val="00032CEB"/>
    <w:rsid w:val="00032E4F"/>
    <w:rsid w:val="000332D1"/>
    <w:rsid w:val="000359AC"/>
    <w:rsid w:val="00035DEF"/>
    <w:rsid w:val="00036D96"/>
    <w:rsid w:val="00036F6D"/>
    <w:rsid w:val="000370A3"/>
    <w:rsid w:val="000378A2"/>
    <w:rsid w:val="00037C8F"/>
    <w:rsid w:val="00037D2A"/>
    <w:rsid w:val="00037E6B"/>
    <w:rsid w:val="000400A5"/>
    <w:rsid w:val="00040C26"/>
    <w:rsid w:val="00041ABF"/>
    <w:rsid w:val="00041B58"/>
    <w:rsid w:val="00041DBC"/>
    <w:rsid w:val="000421CC"/>
    <w:rsid w:val="00042924"/>
    <w:rsid w:val="000446BA"/>
    <w:rsid w:val="000446F6"/>
    <w:rsid w:val="00045F82"/>
    <w:rsid w:val="0004604F"/>
    <w:rsid w:val="00047157"/>
    <w:rsid w:val="0004779C"/>
    <w:rsid w:val="00047DC9"/>
    <w:rsid w:val="000512E9"/>
    <w:rsid w:val="00051B89"/>
    <w:rsid w:val="0005322B"/>
    <w:rsid w:val="000536F2"/>
    <w:rsid w:val="0005371A"/>
    <w:rsid w:val="00053A43"/>
    <w:rsid w:val="0005474F"/>
    <w:rsid w:val="0005493F"/>
    <w:rsid w:val="0005550A"/>
    <w:rsid w:val="00056C95"/>
    <w:rsid w:val="0006072B"/>
    <w:rsid w:val="00060DD1"/>
    <w:rsid w:val="00061B2A"/>
    <w:rsid w:val="000624E5"/>
    <w:rsid w:val="00063594"/>
    <w:rsid w:val="0006374F"/>
    <w:rsid w:val="00063A35"/>
    <w:rsid w:val="0006529E"/>
    <w:rsid w:val="000653A8"/>
    <w:rsid w:val="000658F9"/>
    <w:rsid w:val="00066334"/>
    <w:rsid w:val="00066EDE"/>
    <w:rsid w:val="00067B8D"/>
    <w:rsid w:val="00067ED0"/>
    <w:rsid w:val="00071519"/>
    <w:rsid w:val="000717C2"/>
    <w:rsid w:val="00071BA3"/>
    <w:rsid w:val="00071C42"/>
    <w:rsid w:val="000722E8"/>
    <w:rsid w:val="000726C2"/>
    <w:rsid w:val="00072F6D"/>
    <w:rsid w:val="00073871"/>
    <w:rsid w:val="00073914"/>
    <w:rsid w:val="00074789"/>
    <w:rsid w:val="00074BA4"/>
    <w:rsid w:val="000767B0"/>
    <w:rsid w:val="00080BBB"/>
    <w:rsid w:val="00081D75"/>
    <w:rsid w:val="00082835"/>
    <w:rsid w:val="00082B8E"/>
    <w:rsid w:val="00083318"/>
    <w:rsid w:val="0008354E"/>
    <w:rsid w:val="000842AB"/>
    <w:rsid w:val="000844A6"/>
    <w:rsid w:val="00087B89"/>
    <w:rsid w:val="00091010"/>
    <w:rsid w:val="000955E1"/>
    <w:rsid w:val="00095A3F"/>
    <w:rsid w:val="000975A2"/>
    <w:rsid w:val="000A0B21"/>
    <w:rsid w:val="000A214F"/>
    <w:rsid w:val="000A25CA"/>
    <w:rsid w:val="000A33CF"/>
    <w:rsid w:val="000A5318"/>
    <w:rsid w:val="000A7973"/>
    <w:rsid w:val="000B02E3"/>
    <w:rsid w:val="000B0C94"/>
    <w:rsid w:val="000B1131"/>
    <w:rsid w:val="000B1A1E"/>
    <w:rsid w:val="000B1CC9"/>
    <w:rsid w:val="000B20ED"/>
    <w:rsid w:val="000B27DE"/>
    <w:rsid w:val="000B5FF6"/>
    <w:rsid w:val="000B6763"/>
    <w:rsid w:val="000B6EF0"/>
    <w:rsid w:val="000B7363"/>
    <w:rsid w:val="000B7B98"/>
    <w:rsid w:val="000C01AF"/>
    <w:rsid w:val="000C12E5"/>
    <w:rsid w:val="000C1A2C"/>
    <w:rsid w:val="000C2D44"/>
    <w:rsid w:val="000C309A"/>
    <w:rsid w:val="000C3F90"/>
    <w:rsid w:val="000C475C"/>
    <w:rsid w:val="000C497E"/>
    <w:rsid w:val="000C5282"/>
    <w:rsid w:val="000C7749"/>
    <w:rsid w:val="000D06AE"/>
    <w:rsid w:val="000D1C32"/>
    <w:rsid w:val="000D1E2A"/>
    <w:rsid w:val="000D3CE3"/>
    <w:rsid w:val="000D3FA1"/>
    <w:rsid w:val="000D4533"/>
    <w:rsid w:val="000D4B40"/>
    <w:rsid w:val="000D605D"/>
    <w:rsid w:val="000D66A7"/>
    <w:rsid w:val="000D690A"/>
    <w:rsid w:val="000D710E"/>
    <w:rsid w:val="000D7CBF"/>
    <w:rsid w:val="000E115D"/>
    <w:rsid w:val="000E3CE6"/>
    <w:rsid w:val="000E4D3F"/>
    <w:rsid w:val="000E4E95"/>
    <w:rsid w:val="000E5B3C"/>
    <w:rsid w:val="000E795D"/>
    <w:rsid w:val="000F00E8"/>
    <w:rsid w:val="000F0A25"/>
    <w:rsid w:val="000F0CCB"/>
    <w:rsid w:val="000F0E9E"/>
    <w:rsid w:val="000F1A17"/>
    <w:rsid w:val="000F2F36"/>
    <w:rsid w:val="000F33F2"/>
    <w:rsid w:val="000F3796"/>
    <w:rsid w:val="000F3D55"/>
    <w:rsid w:val="000F3F7F"/>
    <w:rsid w:val="000F40DD"/>
    <w:rsid w:val="000F422F"/>
    <w:rsid w:val="000F542F"/>
    <w:rsid w:val="000F6248"/>
    <w:rsid w:val="000F62B0"/>
    <w:rsid w:val="000F6512"/>
    <w:rsid w:val="000F78F3"/>
    <w:rsid w:val="000F7965"/>
    <w:rsid w:val="00102273"/>
    <w:rsid w:val="0010320A"/>
    <w:rsid w:val="001039CE"/>
    <w:rsid w:val="001044B4"/>
    <w:rsid w:val="0010464F"/>
    <w:rsid w:val="00105D2F"/>
    <w:rsid w:val="00106C25"/>
    <w:rsid w:val="00106C5C"/>
    <w:rsid w:val="00111699"/>
    <w:rsid w:val="00112F7B"/>
    <w:rsid w:val="0011331B"/>
    <w:rsid w:val="001137A9"/>
    <w:rsid w:val="001146A1"/>
    <w:rsid w:val="00115428"/>
    <w:rsid w:val="001159F3"/>
    <w:rsid w:val="00116515"/>
    <w:rsid w:val="00117E9B"/>
    <w:rsid w:val="00117EFC"/>
    <w:rsid w:val="0012174E"/>
    <w:rsid w:val="00121A00"/>
    <w:rsid w:val="00121B85"/>
    <w:rsid w:val="00123A8E"/>
    <w:rsid w:val="001253E5"/>
    <w:rsid w:val="00126E90"/>
    <w:rsid w:val="0012794F"/>
    <w:rsid w:val="001279F6"/>
    <w:rsid w:val="0013090A"/>
    <w:rsid w:val="0013114B"/>
    <w:rsid w:val="001312C8"/>
    <w:rsid w:val="0013359D"/>
    <w:rsid w:val="00135D7F"/>
    <w:rsid w:val="00135EF3"/>
    <w:rsid w:val="00136851"/>
    <w:rsid w:val="001373E5"/>
    <w:rsid w:val="00137461"/>
    <w:rsid w:val="00137630"/>
    <w:rsid w:val="0013799D"/>
    <w:rsid w:val="00137EAC"/>
    <w:rsid w:val="001401C5"/>
    <w:rsid w:val="00140367"/>
    <w:rsid w:val="00141111"/>
    <w:rsid w:val="00143647"/>
    <w:rsid w:val="00143D60"/>
    <w:rsid w:val="00144649"/>
    <w:rsid w:val="00144CE0"/>
    <w:rsid w:val="00145151"/>
    <w:rsid w:val="00147E05"/>
    <w:rsid w:val="00147F80"/>
    <w:rsid w:val="00150A5B"/>
    <w:rsid w:val="00150E77"/>
    <w:rsid w:val="00151730"/>
    <w:rsid w:val="001540C5"/>
    <w:rsid w:val="0015446C"/>
    <w:rsid w:val="00154C3F"/>
    <w:rsid w:val="00154D79"/>
    <w:rsid w:val="001561ED"/>
    <w:rsid w:val="00156FED"/>
    <w:rsid w:val="0015726F"/>
    <w:rsid w:val="001601B3"/>
    <w:rsid w:val="00160614"/>
    <w:rsid w:val="00162E90"/>
    <w:rsid w:val="0016430A"/>
    <w:rsid w:val="0016458B"/>
    <w:rsid w:val="0016484E"/>
    <w:rsid w:val="00164D6A"/>
    <w:rsid w:val="00164FC0"/>
    <w:rsid w:val="001654A8"/>
    <w:rsid w:val="00165BA3"/>
    <w:rsid w:val="00166DAC"/>
    <w:rsid w:val="001678DA"/>
    <w:rsid w:val="001717F3"/>
    <w:rsid w:val="00171893"/>
    <w:rsid w:val="001728D5"/>
    <w:rsid w:val="0017350F"/>
    <w:rsid w:val="00174975"/>
    <w:rsid w:val="001754E4"/>
    <w:rsid w:val="001758BC"/>
    <w:rsid w:val="00177B6B"/>
    <w:rsid w:val="001806A8"/>
    <w:rsid w:val="00181363"/>
    <w:rsid w:val="00183A50"/>
    <w:rsid w:val="00185B3D"/>
    <w:rsid w:val="00185E06"/>
    <w:rsid w:val="00185FC3"/>
    <w:rsid w:val="00187384"/>
    <w:rsid w:val="00187BA8"/>
    <w:rsid w:val="00187F23"/>
    <w:rsid w:val="001913CA"/>
    <w:rsid w:val="001919D1"/>
    <w:rsid w:val="0019279D"/>
    <w:rsid w:val="001941A2"/>
    <w:rsid w:val="00194BA1"/>
    <w:rsid w:val="00194F36"/>
    <w:rsid w:val="001958A7"/>
    <w:rsid w:val="001963B9"/>
    <w:rsid w:val="001964CE"/>
    <w:rsid w:val="00196CAA"/>
    <w:rsid w:val="00196ED6"/>
    <w:rsid w:val="001977E7"/>
    <w:rsid w:val="00197D7F"/>
    <w:rsid w:val="001A05B5"/>
    <w:rsid w:val="001A087B"/>
    <w:rsid w:val="001A14A6"/>
    <w:rsid w:val="001A276C"/>
    <w:rsid w:val="001A3E20"/>
    <w:rsid w:val="001A521B"/>
    <w:rsid w:val="001A60C6"/>
    <w:rsid w:val="001A6398"/>
    <w:rsid w:val="001A6D31"/>
    <w:rsid w:val="001B1C4E"/>
    <w:rsid w:val="001B48A8"/>
    <w:rsid w:val="001B4A2B"/>
    <w:rsid w:val="001B6652"/>
    <w:rsid w:val="001B6C61"/>
    <w:rsid w:val="001B6F07"/>
    <w:rsid w:val="001C13E0"/>
    <w:rsid w:val="001C1AA6"/>
    <w:rsid w:val="001C313F"/>
    <w:rsid w:val="001C3DFA"/>
    <w:rsid w:val="001C4750"/>
    <w:rsid w:val="001C498B"/>
    <w:rsid w:val="001C4C9A"/>
    <w:rsid w:val="001C610F"/>
    <w:rsid w:val="001C6270"/>
    <w:rsid w:val="001C69A6"/>
    <w:rsid w:val="001C759D"/>
    <w:rsid w:val="001C77F2"/>
    <w:rsid w:val="001D013B"/>
    <w:rsid w:val="001D0AF5"/>
    <w:rsid w:val="001D0EC4"/>
    <w:rsid w:val="001D145C"/>
    <w:rsid w:val="001D17ED"/>
    <w:rsid w:val="001D3665"/>
    <w:rsid w:val="001D380C"/>
    <w:rsid w:val="001D4180"/>
    <w:rsid w:val="001D4675"/>
    <w:rsid w:val="001D4CD9"/>
    <w:rsid w:val="001D6B35"/>
    <w:rsid w:val="001D705F"/>
    <w:rsid w:val="001D71B2"/>
    <w:rsid w:val="001D74A0"/>
    <w:rsid w:val="001E18DD"/>
    <w:rsid w:val="001E1BD3"/>
    <w:rsid w:val="001E2376"/>
    <w:rsid w:val="001E2AC3"/>
    <w:rsid w:val="001E2FDE"/>
    <w:rsid w:val="001E368C"/>
    <w:rsid w:val="001E4421"/>
    <w:rsid w:val="001E46A5"/>
    <w:rsid w:val="001E49E6"/>
    <w:rsid w:val="001E53DB"/>
    <w:rsid w:val="001E57E1"/>
    <w:rsid w:val="001E5E3E"/>
    <w:rsid w:val="001E6B6E"/>
    <w:rsid w:val="001E78F9"/>
    <w:rsid w:val="001E7CA7"/>
    <w:rsid w:val="001F0D84"/>
    <w:rsid w:val="001F14F5"/>
    <w:rsid w:val="001F3523"/>
    <w:rsid w:val="001F391C"/>
    <w:rsid w:val="001F4D2B"/>
    <w:rsid w:val="001F539E"/>
    <w:rsid w:val="001F6C45"/>
    <w:rsid w:val="001F7251"/>
    <w:rsid w:val="001F7B1E"/>
    <w:rsid w:val="0020042D"/>
    <w:rsid w:val="00201AC2"/>
    <w:rsid w:val="00201ADE"/>
    <w:rsid w:val="00202687"/>
    <w:rsid w:val="00202E87"/>
    <w:rsid w:val="002035F5"/>
    <w:rsid w:val="00203C73"/>
    <w:rsid w:val="002040D3"/>
    <w:rsid w:val="00204138"/>
    <w:rsid w:val="002043AE"/>
    <w:rsid w:val="0020440E"/>
    <w:rsid w:val="00204E4F"/>
    <w:rsid w:val="00206539"/>
    <w:rsid w:val="0020672F"/>
    <w:rsid w:val="002067E6"/>
    <w:rsid w:val="00206F44"/>
    <w:rsid w:val="00210872"/>
    <w:rsid w:val="002122C9"/>
    <w:rsid w:val="002132E0"/>
    <w:rsid w:val="00214183"/>
    <w:rsid w:val="0021522B"/>
    <w:rsid w:val="002156A9"/>
    <w:rsid w:val="0021644C"/>
    <w:rsid w:val="0021651B"/>
    <w:rsid w:val="00216793"/>
    <w:rsid w:val="00216B87"/>
    <w:rsid w:val="00220364"/>
    <w:rsid w:val="002214E6"/>
    <w:rsid w:val="002249B9"/>
    <w:rsid w:val="00224E4E"/>
    <w:rsid w:val="002258A0"/>
    <w:rsid w:val="00226CA4"/>
    <w:rsid w:val="00227536"/>
    <w:rsid w:val="002275DD"/>
    <w:rsid w:val="00227625"/>
    <w:rsid w:val="00230A0B"/>
    <w:rsid w:val="0023138F"/>
    <w:rsid w:val="00231800"/>
    <w:rsid w:val="0023321F"/>
    <w:rsid w:val="00235999"/>
    <w:rsid w:val="00235EC3"/>
    <w:rsid w:val="002406ED"/>
    <w:rsid w:val="00240AA0"/>
    <w:rsid w:val="00241567"/>
    <w:rsid w:val="00241E6B"/>
    <w:rsid w:val="002422AD"/>
    <w:rsid w:val="002423E2"/>
    <w:rsid w:val="002435BA"/>
    <w:rsid w:val="00243882"/>
    <w:rsid w:val="0024529D"/>
    <w:rsid w:val="002500F0"/>
    <w:rsid w:val="002513AA"/>
    <w:rsid w:val="0025197D"/>
    <w:rsid w:val="00252CDA"/>
    <w:rsid w:val="002534A6"/>
    <w:rsid w:val="00254C0C"/>
    <w:rsid w:val="0025509F"/>
    <w:rsid w:val="00260148"/>
    <w:rsid w:val="00260A23"/>
    <w:rsid w:val="00260FD8"/>
    <w:rsid w:val="0026266D"/>
    <w:rsid w:val="00263B04"/>
    <w:rsid w:val="00264ED8"/>
    <w:rsid w:val="002651EA"/>
    <w:rsid w:val="00265C81"/>
    <w:rsid w:val="00267B97"/>
    <w:rsid w:val="00267FB6"/>
    <w:rsid w:val="00267FFC"/>
    <w:rsid w:val="002703A9"/>
    <w:rsid w:val="00270C16"/>
    <w:rsid w:val="00271047"/>
    <w:rsid w:val="0027139F"/>
    <w:rsid w:val="0027198A"/>
    <w:rsid w:val="00272055"/>
    <w:rsid w:val="00272FBE"/>
    <w:rsid w:val="002736DA"/>
    <w:rsid w:val="00273B91"/>
    <w:rsid w:val="00273D52"/>
    <w:rsid w:val="00274963"/>
    <w:rsid w:val="00274CD1"/>
    <w:rsid w:val="00275856"/>
    <w:rsid w:val="00282117"/>
    <w:rsid w:val="002823DE"/>
    <w:rsid w:val="00283475"/>
    <w:rsid w:val="002839D7"/>
    <w:rsid w:val="002877A5"/>
    <w:rsid w:val="00287A08"/>
    <w:rsid w:val="00287BFB"/>
    <w:rsid w:val="00290CAF"/>
    <w:rsid w:val="00293285"/>
    <w:rsid w:val="00296DE3"/>
    <w:rsid w:val="0029772E"/>
    <w:rsid w:val="002A0199"/>
    <w:rsid w:val="002A0720"/>
    <w:rsid w:val="002A1129"/>
    <w:rsid w:val="002A17C9"/>
    <w:rsid w:val="002A234D"/>
    <w:rsid w:val="002A4B54"/>
    <w:rsid w:val="002A5775"/>
    <w:rsid w:val="002A5FA8"/>
    <w:rsid w:val="002A67AD"/>
    <w:rsid w:val="002A692F"/>
    <w:rsid w:val="002A71B7"/>
    <w:rsid w:val="002A7886"/>
    <w:rsid w:val="002A7AB0"/>
    <w:rsid w:val="002B0667"/>
    <w:rsid w:val="002B20C5"/>
    <w:rsid w:val="002B340C"/>
    <w:rsid w:val="002B48B1"/>
    <w:rsid w:val="002B535F"/>
    <w:rsid w:val="002C270D"/>
    <w:rsid w:val="002C301C"/>
    <w:rsid w:val="002C4AA1"/>
    <w:rsid w:val="002C5823"/>
    <w:rsid w:val="002C62E1"/>
    <w:rsid w:val="002D01AB"/>
    <w:rsid w:val="002D03E2"/>
    <w:rsid w:val="002D04EF"/>
    <w:rsid w:val="002D10A6"/>
    <w:rsid w:val="002D1487"/>
    <w:rsid w:val="002D1668"/>
    <w:rsid w:val="002D1C8A"/>
    <w:rsid w:val="002D280E"/>
    <w:rsid w:val="002D2FE1"/>
    <w:rsid w:val="002D33AF"/>
    <w:rsid w:val="002D5349"/>
    <w:rsid w:val="002D5C6B"/>
    <w:rsid w:val="002D5EC9"/>
    <w:rsid w:val="002D5F41"/>
    <w:rsid w:val="002D6454"/>
    <w:rsid w:val="002D6628"/>
    <w:rsid w:val="002E0E95"/>
    <w:rsid w:val="002E2EE1"/>
    <w:rsid w:val="002E33F4"/>
    <w:rsid w:val="002E3B4C"/>
    <w:rsid w:val="002E5F58"/>
    <w:rsid w:val="002E6038"/>
    <w:rsid w:val="002E68B1"/>
    <w:rsid w:val="002F0381"/>
    <w:rsid w:val="002F0F94"/>
    <w:rsid w:val="002F119C"/>
    <w:rsid w:val="002F3F5F"/>
    <w:rsid w:val="002F56DD"/>
    <w:rsid w:val="002F5E61"/>
    <w:rsid w:val="002F5E64"/>
    <w:rsid w:val="002F724E"/>
    <w:rsid w:val="002F72EC"/>
    <w:rsid w:val="003007CA"/>
    <w:rsid w:val="00301272"/>
    <w:rsid w:val="00301A60"/>
    <w:rsid w:val="00301EC3"/>
    <w:rsid w:val="00302763"/>
    <w:rsid w:val="00302D10"/>
    <w:rsid w:val="00303CA6"/>
    <w:rsid w:val="00303FBC"/>
    <w:rsid w:val="003056E7"/>
    <w:rsid w:val="00306285"/>
    <w:rsid w:val="003062A0"/>
    <w:rsid w:val="00306415"/>
    <w:rsid w:val="00306448"/>
    <w:rsid w:val="00311ADC"/>
    <w:rsid w:val="00311B9F"/>
    <w:rsid w:val="00313648"/>
    <w:rsid w:val="00314E4C"/>
    <w:rsid w:val="00320096"/>
    <w:rsid w:val="00321FE1"/>
    <w:rsid w:val="003232D7"/>
    <w:rsid w:val="00323CD2"/>
    <w:rsid w:val="00324B90"/>
    <w:rsid w:val="0032513F"/>
    <w:rsid w:val="00325697"/>
    <w:rsid w:val="00325A02"/>
    <w:rsid w:val="003266DD"/>
    <w:rsid w:val="00330C13"/>
    <w:rsid w:val="00333BC8"/>
    <w:rsid w:val="0033432E"/>
    <w:rsid w:val="00334908"/>
    <w:rsid w:val="00335B87"/>
    <w:rsid w:val="00335BBD"/>
    <w:rsid w:val="00335C50"/>
    <w:rsid w:val="0033636A"/>
    <w:rsid w:val="00337CC1"/>
    <w:rsid w:val="003438DF"/>
    <w:rsid w:val="003449AC"/>
    <w:rsid w:val="0034536B"/>
    <w:rsid w:val="00347941"/>
    <w:rsid w:val="0035061B"/>
    <w:rsid w:val="00350ACD"/>
    <w:rsid w:val="00351071"/>
    <w:rsid w:val="003511C8"/>
    <w:rsid w:val="00351D28"/>
    <w:rsid w:val="003526EF"/>
    <w:rsid w:val="00352FD2"/>
    <w:rsid w:val="00353A54"/>
    <w:rsid w:val="00354202"/>
    <w:rsid w:val="00354917"/>
    <w:rsid w:val="00355F28"/>
    <w:rsid w:val="00356AB7"/>
    <w:rsid w:val="003579F8"/>
    <w:rsid w:val="00357AFD"/>
    <w:rsid w:val="00360145"/>
    <w:rsid w:val="00360D0F"/>
    <w:rsid w:val="00360EDA"/>
    <w:rsid w:val="00362FEC"/>
    <w:rsid w:val="003635BF"/>
    <w:rsid w:val="00364CB4"/>
    <w:rsid w:val="003662DE"/>
    <w:rsid w:val="003673CF"/>
    <w:rsid w:val="00370562"/>
    <w:rsid w:val="00370922"/>
    <w:rsid w:val="00372E23"/>
    <w:rsid w:val="00373A3F"/>
    <w:rsid w:val="00374C43"/>
    <w:rsid w:val="00375AF6"/>
    <w:rsid w:val="003764C9"/>
    <w:rsid w:val="00376A25"/>
    <w:rsid w:val="00376CF4"/>
    <w:rsid w:val="003771AB"/>
    <w:rsid w:val="00377CA1"/>
    <w:rsid w:val="003803C6"/>
    <w:rsid w:val="0038047A"/>
    <w:rsid w:val="00380522"/>
    <w:rsid w:val="00380E18"/>
    <w:rsid w:val="003811EF"/>
    <w:rsid w:val="003821A8"/>
    <w:rsid w:val="00382904"/>
    <w:rsid w:val="00383CEF"/>
    <w:rsid w:val="00384BAA"/>
    <w:rsid w:val="00385161"/>
    <w:rsid w:val="00390663"/>
    <w:rsid w:val="0039111D"/>
    <w:rsid w:val="00391168"/>
    <w:rsid w:val="00391C78"/>
    <w:rsid w:val="00391DA7"/>
    <w:rsid w:val="003924DF"/>
    <w:rsid w:val="00392A12"/>
    <w:rsid w:val="00392AB3"/>
    <w:rsid w:val="003945A7"/>
    <w:rsid w:val="003947F2"/>
    <w:rsid w:val="003948E0"/>
    <w:rsid w:val="00394FF0"/>
    <w:rsid w:val="003958E2"/>
    <w:rsid w:val="003968DC"/>
    <w:rsid w:val="00397827"/>
    <w:rsid w:val="00397999"/>
    <w:rsid w:val="00397A52"/>
    <w:rsid w:val="00397F1C"/>
    <w:rsid w:val="003A0D90"/>
    <w:rsid w:val="003A1461"/>
    <w:rsid w:val="003A1929"/>
    <w:rsid w:val="003A20BB"/>
    <w:rsid w:val="003A264D"/>
    <w:rsid w:val="003A2B01"/>
    <w:rsid w:val="003A35E3"/>
    <w:rsid w:val="003A40D6"/>
    <w:rsid w:val="003A50F4"/>
    <w:rsid w:val="003A53C0"/>
    <w:rsid w:val="003A5C55"/>
    <w:rsid w:val="003A6385"/>
    <w:rsid w:val="003A6715"/>
    <w:rsid w:val="003A6804"/>
    <w:rsid w:val="003A7B01"/>
    <w:rsid w:val="003A7CB5"/>
    <w:rsid w:val="003B03D3"/>
    <w:rsid w:val="003B308F"/>
    <w:rsid w:val="003B363A"/>
    <w:rsid w:val="003B3D1C"/>
    <w:rsid w:val="003B4E74"/>
    <w:rsid w:val="003B4FE6"/>
    <w:rsid w:val="003B521A"/>
    <w:rsid w:val="003B609E"/>
    <w:rsid w:val="003B6AB9"/>
    <w:rsid w:val="003C0496"/>
    <w:rsid w:val="003C08A5"/>
    <w:rsid w:val="003C0D9B"/>
    <w:rsid w:val="003C2A04"/>
    <w:rsid w:val="003C401F"/>
    <w:rsid w:val="003C4263"/>
    <w:rsid w:val="003C4A3A"/>
    <w:rsid w:val="003C58A6"/>
    <w:rsid w:val="003C6283"/>
    <w:rsid w:val="003C64FA"/>
    <w:rsid w:val="003C6998"/>
    <w:rsid w:val="003C77BE"/>
    <w:rsid w:val="003C7E50"/>
    <w:rsid w:val="003D0873"/>
    <w:rsid w:val="003D096D"/>
    <w:rsid w:val="003D0AB5"/>
    <w:rsid w:val="003D0C28"/>
    <w:rsid w:val="003D0F5E"/>
    <w:rsid w:val="003D13B7"/>
    <w:rsid w:val="003D16AE"/>
    <w:rsid w:val="003D3C63"/>
    <w:rsid w:val="003D3DBD"/>
    <w:rsid w:val="003E009C"/>
    <w:rsid w:val="003E2164"/>
    <w:rsid w:val="003E217A"/>
    <w:rsid w:val="003E3803"/>
    <w:rsid w:val="003E3834"/>
    <w:rsid w:val="003E48B9"/>
    <w:rsid w:val="003E540C"/>
    <w:rsid w:val="003E5499"/>
    <w:rsid w:val="003E7274"/>
    <w:rsid w:val="003F07AB"/>
    <w:rsid w:val="003F379B"/>
    <w:rsid w:val="003F3C7E"/>
    <w:rsid w:val="003F5AA5"/>
    <w:rsid w:val="003F6A71"/>
    <w:rsid w:val="003F729F"/>
    <w:rsid w:val="00400129"/>
    <w:rsid w:val="00400369"/>
    <w:rsid w:val="004003C5"/>
    <w:rsid w:val="0040180A"/>
    <w:rsid w:val="0040316C"/>
    <w:rsid w:val="0040318B"/>
    <w:rsid w:val="00404148"/>
    <w:rsid w:val="00404542"/>
    <w:rsid w:val="0040478C"/>
    <w:rsid w:val="00404F73"/>
    <w:rsid w:val="0040525C"/>
    <w:rsid w:val="00405595"/>
    <w:rsid w:val="004055E9"/>
    <w:rsid w:val="00406BD3"/>
    <w:rsid w:val="0040747D"/>
    <w:rsid w:val="00410679"/>
    <w:rsid w:val="0041205F"/>
    <w:rsid w:val="00412DDF"/>
    <w:rsid w:val="0041375A"/>
    <w:rsid w:val="0041382F"/>
    <w:rsid w:val="00413AFD"/>
    <w:rsid w:val="00413B1D"/>
    <w:rsid w:val="0041424B"/>
    <w:rsid w:val="004148BE"/>
    <w:rsid w:val="00414D23"/>
    <w:rsid w:val="0041580D"/>
    <w:rsid w:val="00415C1A"/>
    <w:rsid w:val="00416768"/>
    <w:rsid w:val="00417424"/>
    <w:rsid w:val="004205D0"/>
    <w:rsid w:val="004215A1"/>
    <w:rsid w:val="00421AD2"/>
    <w:rsid w:val="004220DC"/>
    <w:rsid w:val="004224C6"/>
    <w:rsid w:val="004230D3"/>
    <w:rsid w:val="0042682D"/>
    <w:rsid w:val="00426F69"/>
    <w:rsid w:val="00426F6D"/>
    <w:rsid w:val="0042758C"/>
    <w:rsid w:val="004301E0"/>
    <w:rsid w:val="00430946"/>
    <w:rsid w:val="004344E1"/>
    <w:rsid w:val="00435545"/>
    <w:rsid w:val="004356E3"/>
    <w:rsid w:val="00435F02"/>
    <w:rsid w:val="004363BD"/>
    <w:rsid w:val="004368D8"/>
    <w:rsid w:val="00436D28"/>
    <w:rsid w:val="00437B76"/>
    <w:rsid w:val="004403DA"/>
    <w:rsid w:val="00440A87"/>
    <w:rsid w:val="004428D4"/>
    <w:rsid w:val="00442944"/>
    <w:rsid w:val="0044413F"/>
    <w:rsid w:val="00444FC0"/>
    <w:rsid w:val="0044507E"/>
    <w:rsid w:val="0044561D"/>
    <w:rsid w:val="00447167"/>
    <w:rsid w:val="004476A7"/>
    <w:rsid w:val="00447839"/>
    <w:rsid w:val="00447BA7"/>
    <w:rsid w:val="00447E03"/>
    <w:rsid w:val="00451DCF"/>
    <w:rsid w:val="00453A87"/>
    <w:rsid w:val="004546B6"/>
    <w:rsid w:val="00454B7D"/>
    <w:rsid w:val="00454F2F"/>
    <w:rsid w:val="004553E4"/>
    <w:rsid w:val="00456407"/>
    <w:rsid w:val="00456B4E"/>
    <w:rsid w:val="00456F71"/>
    <w:rsid w:val="00457329"/>
    <w:rsid w:val="00457543"/>
    <w:rsid w:val="004576C9"/>
    <w:rsid w:val="004576E3"/>
    <w:rsid w:val="004604C7"/>
    <w:rsid w:val="004625A4"/>
    <w:rsid w:val="0046469D"/>
    <w:rsid w:val="00464FC3"/>
    <w:rsid w:val="004651D7"/>
    <w:rsid w:val="00465C42"/>
    <w:rsid w:val="00466F92"/>
    <w:rsid w:val="004675DE"/>
    <w:rsid w:val="004677BD"/>
    <w:rsid w:val="00471AA7"/>
    <w:rsid w:val="00471AE7"/>
    <w:rsid w:val="0047202A"/>
    <w:rsid w:val="00475DAF"/>
    <w:rsid w:val="00477611"/>
    <w:rsid w:val="00477A05"/>
    <w:rsid w:val="00477A7A"/>
    <w:rsid w:val="00477DC5"/>
    <w:rsid w:val="00480F1F"/>
    <w:rsid w:val="00483A0A"/>
    <w:rsid w:val="00483F29"/>
    <w:rsid w:val="0048410A"/>
    <w:rsid w:val="0048549A"/>
    <w:rsid w:val="0048573F"/>
    <w:rsid w:val="00486D88"/>
    <w:rsid w:val="004871AC"/>
    <w:rsid w:val="004876A3"/>
    <w:rsid w:val="004876EA"/>
    <w:rsid w:val="00487C79"/>
    <w:rsid w:val="00487D62"/>
    <w:rsid w:val="0049053D"/>
    <w:rsid w:val="004909E5"/>
    <w:rsid w:val="0049218B"/>
    <w:rsid w:val="004923FE"/>
    <w:rsid w:val="0049240B"/>
    <w:rsid w:val="00492BFF"/>
    <w:rsid w:val="00493FF0"/>
    <w:rsid w:val="004941AF"/>
    <w:rsid w:val="00496776"/>
    <w:rsid w:val="0049705E"/>
    <w:rsid w:val="00497283"/>
    <w:rsid w:val="004A0255"/>
    <w:rsid w:val="004A0FB7"/>
    <w:rsid w:val="004A1B3B"/>
    <w:rsid w:val="004A3588"/>
    <w:rsid w:val="004A395C"/>
    <w:rsid w:val="004A456B"/>
    <w:rsid w:val="004A4995"/>
    <w:rsid w:val="004A5CDA"/>
    <w:rsid w:val="004A6558"/>
    <w:rsid w:val="004B1DD0"/>
    <w:rsid w:val="004B2F52"/>
    <w:rsid w:val="004B3165"/>
    <w:rsid w:val="004B5211"/>
    <w:rsid w:val="004B53E1"/>
    <w:rsid w:val="004B62DD"/>
    <w:rsid w:val="004B663C"/>
    <w:rsid w:val="004B7E9B"/>
    <w:rsid w:val="004C0462"/>
    <w:rsid w:val="004C0712"/>
    <w:rsid w:val="004C07B5"/>
    <w:rsid w:val="004C0F6F"/>
    <w:rsid w:val="004C1F21"/>
    <w:rsid w:val="004C2767"/>
    <w:rsid w:val="004C35CA"/>
    <w:rsid w:val="004C3827"/>
    <w:rsid w:val="004C3AF5"/>
    <w:rsid w:val="004C6ED4"/>
    <w:rsid w:val="004D0A05"/>
    <w:rsid w:val="004D0F1F"/>
    <w:rsid w:val="004D117F"/>
    <w:rsid w:val="004D21F2"/>
    <w:rsid w:val="004D25C9"/>
    <w:rsid w:val="004D5099"/>
    <w:rsid w:val="004D6909"/>
    <w:rsid w:val="004E0646"/>
    <w:rsid w:val="004E180E"/>
    <w:rsid w:val="004E18B5"/>
    <w:rsid w:val="004E1E0F"/>
    <w:rsid w:val="004E1FB5"/>
    <w:rsid w:val="004E258F"/>
    <w:rsid w:val="004E5497"/>
    <w:rsid w:val="004E5DA8"/>
    <w:rsid w:val="004E6744"/>
    <w:rsid w:val="004E6937"/>
    <w:rsid w:val="004E6AE0"/>
    <w:rsid w:val="004E6C8D"/>
    <w:rsid w:val="004E7483"/>
    <w:rsid w:val="004E7F9E"/>
    <w:rsid w:val="004F0783"/>
    <w:rsid w:val="004F09F4"/>
    <w:rsid w:val="004F1045"/>
    <w:rsid w:val="004F19ED"/>
    <w:rsid w:val="004F1FFD"/>
    <w:rsid w:val="004F3680"/>
    <w:rsid w:val="004F38C7"/>
    <w:rsid w:val="004F404B"/>
    <w:rsid w:val="004F4206"/>
    <w:rsid w:val="004F4F84"/>
    <w:rsid w:val="004F4FF0"/>
    <w:rsid w:val="004F7ACF"/>
    <w:rsid w:val="004F7E28"/>
    <w:rsid w:val="005022EC"/>
    <w:rsid w:val="00502F74"/>
    <w:rsid w:val="0050552E"/>
    <w:rsid w:val="00505640"/>
    <w:rsid w:val="00505921"/>
    <w:rsid w:val="005066C2"/>
    <w:rsid w:val="00506C31"/>
    <w:rsid w:val="00506D05"/>
    <w:rsid w:val="0050713C"/>
    <w:rsid w:val="00507ABA"/>
    <w:rsid w:val="00507D5B"/>
    <w:rsid w:val="00510A3A"/>
    <w:rsid w:val="005112B8"/>
    <w:rsid w:val="00512B70"/>
    <w:rsid w:val="0051341A"/>
    <w:rsid w:val="00514207"/>
    <w:rsid w:val="0051649A"/>
    <w:rsid w:val="00520CFC"/>
    <w:rsid w:val="005210DF"/>
    <w:rsid w:val="00521230"/>
    <w:rsid w:val="005212C3"/>
    <w:rsid w:val="00522CD9"/>
    <w:rsid w:val="0052340F"/>
    <w:rsid w:val="0052427F"/>
    <w:rsid w:val="005263D6"/>
    <w:rsid w:val="005264CA"/>
    <w:rsid w:val="0052796F"/>
    <w:rsid w:val="00527C6D"/>
    <w:rsid w:val="00531200"/>
    <w:rsid w:val="005327CC"/>
    <w:rsid w:val="00533758"/>
    <w:rsid w:val="005344AF"/>
    <w:rsid w:val="00534949"/>
    <w:rsid w:val="00534C40"/>
    <w:rsid w:val="005355F4"/>
    <w:rsid w:val="005357E0"/>
    <w:rsid w:val="00536619"/>
    <w:rsid w:val="00537B07"/>
    <w:rsid w:val="005411A8"/>
    <w:rsid w:val="00542329"/>
    <w:rsid w:val="00544435"/>
    <w:rsid w:val="00545666"/>
    <w:rsid w:val="00545A63"/>
    <w:rsid w:val="00546848"/>
    <w:rsid w:val="00546D5E"/>
    <w:rsid w:val="0055023A"/>
    <w:rsid w:val="005515D7"/>
    <w:rsid w:val="005519BD"/>
    <w:rsid w:val="005527FE"/>
    <w:rsid w:val="005529A3"/>
    <w:rsid w:val="00552CD7"/>
    <w:rsid w:val="00553165"/>
    <w:rsid w:val="0055372F"/>
    <w:rsid w:val="005539C5"/>
    <w:rsid w:val="00554FD2"/>
    <w:rsid w:val="00555287"/>
    <w:rsid w:val="0055601B"/>
    <w:rsid w:val="00556DFC"/>
    <w:rsid w:val="00556F8F"/>
    <w:rsid w:val="00557BC0"/>
    <w:rsid w:val="00561909"/>
    <w:rsid w:val="00561F71"/>
    <w:rsid w:val="00562098"/>
    <w:rsid w:val="005666D9"/>
    <w:rsid w:val="0056782E"/>
    <w:rsid w:val="0057040C"/>
    <w:rsid w:val="00570601"/>
    <w:rsid w:val="00570927"/>
    <w:rsid w:val="00570ABF"/>
    <w:rsid w:val="00570DE3"/>
    <w:rsid w:val="00571254"/>
    <w:rsid w:val="0057438D"/>
    <w:rsid w:val="00576668"/>
    <w:rsid w:val="00576EC2"/>
    <w:rsid w:val="005771E8"/>
    <w:rsid w:val="0057760B"/>
    <w:rsid w:val="00577E39"/>
    <w:rsid w:val="005819B6"/>
    <w:rsid w:val="00581FC1"/>
    <w:rsid w:val="00583648"/>
    <w:rsid w:val="00584327"/>
    <w:rsid w:val="0058545D"/>
    <w:rsid w:val="0058625E"/>
    <w:rsid w:val="0059342A"/>
    <w:rsid w:val="0059428A"/>
    <w:rsid w:val="00594659"/>
    <w:rsid w:val="005959EF"/>
    <w:rsid w:val="00596472"/>
    <w:rsid w:val="00596D54"/>
    <w:rsid w:val="005A02A1"/>
    <w:rsid w:val="005A109F"/>
    <w:rsid w:val="005A1D7E"/>
    <w:rsid w:val="005A261F"/>
    <w:rsid w:val="005A334B"/>
    <w:rsid w:val="005A3D18"/>
    <w:rsid w:val="005A4BE4"/>
    <w:rsid w:val="005A5069"/>
    <w:rsid w:val="005A5AC3"/>
    <w:rsid w:val="005A66DF"/>
    <w:rsid w:val="005A69C8"/>
    <w:rsid w:val="005A7043"/>
    <w:rsid w:val="005A780E"/>
    <w:rsid w:val="005A799B"/>
    <w:rsid w:val="005A7AAB"/>
    <w:rsid w:val="005B15BD"/>
    <w:rsid w:val="005B2023"/>
    <w:rsid w:val="005B3A48"/>
    <w:rsid w:val="005B6227"/>
    <w:rsid w:val="005B733D"/>
    <w:rsid w:val="005B7BD2"/>
    <w:rsid w:val="005C0636"/>
    <w:rsid w:val="005C0C21"/>
    <w:rsid w:val="005C1042"/>
    <w:rsid w:val="005C1C5A"/>
    <w:rsid w:val="005C2E6B"/>
    <w:rsid w:val="005C3562"/>
    <w:rsid w:val="005C4E19"/>
    <w:rsid w:val="005C5D14"/>
    <w:rsid w:val="005C609F"/>
    <w:rsid w:val="005C6576"/>
    <w:rsid w:val="005C6780"/>
    <w:rsid w:val="005C6A05"/>
    <w:rsid w:val="005C7739"/>
    <w:rsid w:val="005D1042"/>
    <w:rsid w:val="005D277D"/>
    <w:rsid w:val="005D3340"/>
    <w:rsid w:val="005D7C5D"/>
    <w:rsid w:val="005E0FE4"/>
    <w:rsid w:val="005E35B0"/>
    <w:rsid w:val="005E3A0C"/>
    <w:rsid w:val="005E43AB"/>
    <w:rsid w:val="005E452F"/>
    <w:rsid w:val="005E58A1"/>
    <w:rsid w:val="005E5EED"/>
    <w:rsid w:val="005E64EB"/>
    <w:rsid w:val="005E70F9"/>
    <w:rsid w:val="005E7C46"/>
    <w:rsid w:val="005F042A"/>
    <w:rsid w:val="005F0726"/>
    <w:rsid w:val="005F0F3D"/>
    <w:rsid w:val="005F124B"/>
    <w:rsid w:val="005F17DC"/>
    <w:rsid w:val="005F2160"/>
    <w:rsid w:val="005F2A61"/>
    <w:rsid w:val="005F2D00"/>
    <w:rsid w:val="005F36F5"/>
    <w:rsid w:val="005F412D"/>
    <w:rsid w:val="005F4984"/>
    <w:rsid w:val="005F50E8"/>
    <w:rsid w:val="005F5B80"/>
    <w:rsid w:val="005F5CBC"/>
    <w:rsid w:val="00601A18"/>
    <w:rsid w:val="00601DFC"/>
    <w:rsid w:val="00602435"/>
    <w:rsid w:val="00602511"/>
    <w:rsid w:val="00604364"/>
    <w:rsid w:val="00604833"/>
    <w:rsid w:val="00605021"/>
    <w:rsid w:val="00606E04"/>
    <w:rsid w:val="006071DB"/>
    <w:rsid w:val="006075B9"/>
    <w:rsid w:val="0061057A"/>
    <w:rsid w:val="00610E53"/>
    <w:rsid w:val="00612B9A"/>
    <w:rsid w:val="00613569"/>
    <w:rsid w:val="006139CC"/>
    <w:rsid w:val="006151E8"/>
    <w:rsid w:val="00616D91"/>
    <w:rsid w:val="00617832"/>
    <w:rsid w:val="00621173"/>
    <w:rsid w:val="006216E3"/>
    <w:rsid w:val="00621B16"/>
    <w:rsid w:val="0062228A"/>
    <w:rsid w:val="006227AA"/>
    <w:rsid w:val="00622856"/>
    <w:rsid w:val="00622CA3"/>
    <w:rsid w:val="00622E2C"/>
    <w:rsid w:val="00624246"/>
    <w:rsid w:val="00625920"/>
    <w:rsid w:val="00625994"/>
    <w:rsid w:val="0062702E"/>
    <w:rsid w:val="00630A8C"/>
    <w:rsid w:val="00632F2B"/>
    <w:rsid w:val="00633630"/>
    <w:rsid w:val="006358F9"/>
    <w:rsid w:val="00635CE8"/>
    <w:rsid w:val="00636024"/>
    <w:rsid w:val="006364B5"/>
    <w:rsid w:val="0063679F"/>
    <w:rsid w:val="006371C9"/>
    <w:rsid w:val="006372BA"/>
    <w:rsid w:val="0063775C"/>
    <w:rsid w:val="00640810"/>
    <w:rsid w:val="006415BC"/>
    <w:rsid w:val="00641A0E"/>
    <w:rsid w:val="00641CF1"/>
    <w:rsid w:val="006437AD"/>
    <w:rsid w:val="00644783"/>
    <w:rsid w:val="00644CD8"/>
    <w:rsid w:val="006452FA"/>
    <w:rsid w:val="00646B39"/>
    <w:rsid w:val="00646F5D"/>
    <w:rsid w:val="00650286"/>
    <w:rsid w:val="00650B4C"/>
    <w:rsid w:val="006513A0"/>
    <w:rsid w:val="0065146B"/>
    <w:rsid w:val="0065187B"/>
    <w:rsid w:val="00651C15"/>
    <w:rsid w:val="00652447"/>
    <w:rsid w:val="006531EB"/>
    <w:rsid w:val="00653908"/>
    <w:rsid w:val="006541C1"/>
    <w:rsid w:val="00654289"/>
    <w:rsid w:val="006557AA"/>
    <w:rsid w:val="00656D22"/>
    <w:rsid w:val="0065706D"/>
    <w:rsid w:val="006570C1"/>
    <w:rsid w:val="006574C4"/>
    <w:rsid w:val="006605E9"/>
    <w:rsid w:val="00660E6C"/>
    <w:rsid w:val="00662BDE"/>
    <w:rsid w:val="00663A48"/>
    <w:rsid w:val="006643A8"/>
    <w:rsid w:val="00664C4B"/>
    <w:rsid w:val="006652F3"/>
    <w:rsid w:val="00666A68"/>
    <w:rsid w:val="006679B6"/>
    <w:rsid w:val="00667AF0"/>
    <w:rsid w:val="006705B1"/>
    <w:rsid w:val="00670A36"/>
    <w:rsid w:val="00670BBC"/>
    <w:rsid w:val="00671ED1"/>
    <w:rsid w:val="006721CD"/>
    <w:rsid w:val="00672806"/>
    <w:rsid w:val="00672895"/>
    <w:rsid w:val="00673DDB"/>
    <w:rsid w:val="00673FBB"/>
    <w:rsid w:val="00674642"/>
    <w:rsid w:val="00674EC6"/>
    <w:rsid w:val="006769F4"/>
    <w:rsid w:val="00676DD2"/>
    <w:rsid w:val="0067740C"/>
    <w:rsid w:val="00677F19"/>
    <w:rsid w:val="0068184A"/>
    <w:rsid w:val="00682584"/>
    <w:rsid w:val="0068317B"/>
    <w:rsid w:val="00684E90"/>
    <w:rsid w:val="00685A2C"/>
    <w:rsid w:val="006867F2"/>
    <w:rsid w:val="00686C32"/>
    <w:rsid w:val="00687F32"/>
    <w:rsid w:val="00690071"/>
    <w:rsid w:val="00690300"/>
    <w:rsid w:val="00690699"/>
    <w:rsid w:val="006907A4"/>
    <w:rsid w:val="00690D2B"/>
    <w:rsid w:val="006912D0"/>
    <w:rsid w:val="00691442"/>
    <w:rsid w:val="00691B67"/>
    <w:rsid w:val="00691D29"/>
    <w:rsid w:val="0069259C"/>
    <w:rsid w:val="00692FBB"/>
    <w:rsid w:val="006937DB"/>
    <w:rsid w:val="0069404B"/>
    <w:rsid w:val="00695ABD"/>
    <w:rsid w:val="00696970"/>
    <w:rsid w:val="00697907"/>
    <w:rsid w:val="006A00C3"/>
    <w:rsid w:val="006A0412"/>
    <w:rsid w:val="006A0432"/>
    <w:rsid w:val="006A063C"/>
    <w:rsid w:val="006A0CA0"/>
    <w:rsid w:val="006A10E1"/>
    <w:rsid w:val="006A3360"/>
    <w:rsid w:val="006A3DE4"/>
    <w:rsid w:val="006A4017"/>
    <w:rsid w:val="006A4021"/>
    <w:rsid w:val="006A4366"/>
    <w:rsid w:val="006A4BDF"/>
    <w:rsid w:val="006A4D8C"/>
    <w:rsid w:val="006A51CD"/>
    <w:rsid w:val="006A598B"/>
    <w:rsid w:val="006A5B23"/>
    <w:rsid w:val="006A6589"/>
    <w:rsid w:val="006A78EF"/>
    <w:rsid w:val="006B1D19"/>
    <w:rsid w:val="006B1ECB"/>
    <w:rsid w:val="006B2644"/>
    <w:rsid w:val="006B27B1"/>
    <w:rsid w:val="006B2AA7"/>
    <w:rsid w:val="006B3958"/>
    <w:rsid w:val="006B3BED"/>
    <w:rsid w:val="006B4E72"/>
    <w:rsid w:val="006B5F27"/>
    <w:rsid w:val="006B6A33"/>
    <w:rsid w:val="006B76D0"/>
    <w:rsid w:val="006C0BBB"/>
    <w:rsid w:val="006C11BA"/>
    <w:rsid w:val="006C1792"/>
    <w:rsid w:val="006C1A53"/>
    <w:rsid w:val="006C2CC8"/>
    <w:rsid w:val="006C4AB8"/>
    <w:rsid w:val="006C61B7"/>
    <w:rsid w:val="006C65B5"/>
    <w:rsid w:val="006C6EA3"/>
    <w:rsid w:val="006C7357"/>
    <w:rsid w:val="006D2732"/>
    <w:rsid w:val="006D2EB0"/>
    <w:rsid w:val="006D4CDF"/>
    <w:rsid w:val="006D4F66"/>
    <w:rsid w:val="006D5194"/>
    <w:rsid w:val="006D5D9D"/>
    <w:rsid w:val="006D6403"/>
    <w:rsid w:val="006D775D"/>
    <w:rsid w:val="006D7D14"/>
    <w:rsid w:val="006E0197"/>
    <w:rsid w:val="006E1359"/>
    <w:rsid w:val="006E1D88"/>
    <w:rsid w:val="006E56BB"/>
    <w:rsid w:val="006E5E81"/>
    <w:rsid w:val="006E72E8"/>
    <w:rsid w:val="006E75C8"/>
    <w:rsid w:val="006F16E2"/>
    <w:rsid w:val="006F1DAE"/>
    <w:rsid w:val="006F29B3"/>
    <w:rsid w:val="006F3AC9"/>
    <w:rsid w:val="006F441E"/>
    <w:rsid w:val="006F59E9"/>
    <w:rsid w:val="006F5FFC"/>
    <w:rsid w:val="00700C4E"/>
    <w:rsid w:val="00701701"/>
    <w:rsid w:val="00702238"/>
    <w:rsid w:val="00702DF6"/>
    <w:rsid w:val="00702FE4"/>
    <w:rsid w:val="007047B0"/>
    <w:rsid w:val="007062F7"/>
    <w:rsid w:val="0070639E"/>
    <w:rsid w:val="00706AC4"/>
    <w:rsid w:val="00707CEA"/>
    <w:rsid w:val="007108DF"/>
    <w:rsid w:val="00711613"/>
    <w:rsid w:val="00711891"/>
    <w:rsid w:val="00712698"/>
    <w:rsid w:val="007149CB"/>
    <w:rsid w:val="00715EE8"/>
    <w:rsid w:val="0071646E"/>
    <w:rsid w:val="007168B1"/>
    <w:rsid w:val="00717532"/>
    <w:rsid w:val="00720726"/>
    <w:rsid w:val="0072254E"/>
    <w:rsid w:val="00722E96"/>
    <w:rsid w:val="00723A93"/>
    <w:rsid w:val="0072499A"/>
    <w:rsid w:val="00727D26"/>
    <w:rsid w:val="00730DA0"/>
    <w:rsid w:val="00730DC6"/>
    <w:rsid w:val="00731D63"/>
    <w:rsid w:val="00731FDD"/>
    <w:rsid w:val="00732792"/>
    <w:rsid w:val="00735EB6"/>
    <w:rsid w:val="007362F5"/>
    <w:rsid w:val="007368DE"/>
    <w:rsid w:val="00736A9A"/>
    <w:rsid w:val="00737D35"/>
    <w:rsid w:val="00737EEB"/>
    <w:rsid w:val="0074070B"/>
    <w:rsid w:val="007409F9"/>
    <w:rsid w:val="00740EC0"/>
    <w:rsid w:val="00741032"/>
    <w:rsid w:val="00741956"/>
    <w:rsid w:val="00743945"/>
    <w:rsid w:val="00744183"/>
    <w:rsid w:val="00744730"/>
    <w:rsid w:val="007460C1"/>
    <w:rsid w:val="0074740D"/>
    <w:rsid w:val="00750C14"/>
    <w:rsid w:val="00753354"/>
    <w:rsid w:val="00753BA3"/>
    <w:rsid w:val="007547AE"/>
    <w:rsid w:val="0075486D"/>
    <w:rsid w:val="00755306"/>
    <w:rsid w:val="00755B48"/>
    <w:rsid w:val="00755C7D"/>
    <w:rsid w:val="00756149"/>
    <w:rsid w:val="007564DD"/>
    <w:rsid w:val="007569DE"/>
    <w:rsid w:val="00756B83"/>
    <w:rsid w:val="007572BD"/>
    <w:rsid w:val="00757914"/>
    <w:rsid w:val="0076162A"/>
    <w:rsid w:val="007616D0"/>
    <w:rsid w:val="00761CF1"/>
    <w:rsid w:val="00763C6F"/>
    <w:rsid w:val="00763ED5"/>
    <w:rsid w:val="00764DDC"/>
    <w:rsid w:val="007665A8"/>
    <w:rsid w:val="0076730E"/>
    <w:rsid w:val="00767573"/>
    <w:rsid w:val="00767E62"/>
    <w:rsid w:val="00771FD3"/>
    <w:rsid w:val="00772F75"/>
    <w:rsid w:val="00774963"/>
    <w:rsid w:val="0077524C"/>
    <w:rsid w:val="0077601B"/>
    <w:rsid w:val="00776B6E"/>
    <w:rsid w:val="00776D34"/>
    <w:rsid w:val="0077779C"/>
    <w:rsid w:val="00780E10"/>
    <w:rsid w:val="0078181D"/>
    <w:rsid w:val="00782A78"/>
    <w:rsid w:val="00783E57"/>
    <w:rsid w:val="00784082"/>
    <w:rsid w:val="0078430C"/>
    <w:rsid w:val="007845D7"/>
    <w:rsid w:val="007846BE"/>
    <w:rsid w:val="0078509C"/>
    <w:rsid w:val="00785B1F"/>
    <w:rsid w:val="007861B6"/>
    <w:rsid w:val="00792EF7"/>
    <w:rsid w:val="0079403D"/>
    <w:rsid w:val="007941CC"/>
    <w:rsid w:val="00797B09"/>
    <w:rsid w:val="007A0796"/>
    <w:rsid w:val="007A0F96"/>
    <w:rsid w:val="007A3D88"/>
    <w:rsid w:val="007A3F34"/>
    <w:rsid w:val="007A4815"/>
    <w:rsid w:val="007A4880"/>
    <w:rsid w:val="007A489C"/>
    <w:rsid w:val="007A5E8E"/>
    <w:rsid w:val="007A669A"/>
    <w:rsid w:val="007A6C76"/>
    <w:rsid w:val="007A79FC"/>
    <w:rsid w:val="007B015F"/>
    <w:rsid w:val="007B267C"/>
    <w:rsid w:val="007B3ACA"/>
    <w:rsid w:val="007B5648"/>
    <w:rsid w:val="007B6801"/>
    <w:rsid w:val="007B6D2F"/>
    <w:rsid w:val="007B7222"/>
    <w:rsid w:val="007B7442"/>
    <w:rsid w:val="007C049D"/>
    <w:rsid w:val="007C08E3"/>
    <w:rsid w:val="007C1CC6"/>
    <w:rsid w:val="007C2984"/>
    <w:rsid w:val="007C5934"/>
    <w:rsid w:val="007C5A01"/>
    <w:rsid w:val="007C6DB4"/>
    <w:rsid w:val="007C7B7A"/>
    <w:rsid w:val="007C7E2D"/>
    <w:rsid w:val="007D3458"/>
    <w:rsid w:val="007D358F"/>
    <w:rsid w:val="007D3DF1"/>
    <w:rsid w:val="007D5087"/>
    <w:rsid w:val="007D5C7B"/>
    <w:rsid w:val="007D7368"/>
    <w:rsid w:val="007D7F22"/>
    <w:rsid w:val="007E27D5"/>
    <w:rsid w:val="007E302A"/>
    <w:rsid w:val="007E3222"/>
    <w:rsid w:val="007E4030"/>
    <w:rsid w:val="007E42E7"/>
    <w:rsid w:val="007E453C"/>
    <w:rsid w:val="007E4738"/>
    <w:rsid w:val="007E480F"/>
    <w:rsid w:val="007E5DD4"/>
    <w:rsid w:val="007E675E"/>
    <w:rsid w:val="007E7434"/>
    <w:rsid w:val="007E7986"/>
    <w:rsid w:val="007E7C73"/>
    <w:rsid w:val="007F006E"/>
    <w:rsid w:val="007F1F43"/>
    <w:rsid w:val="007F24A4"/>
    <w:rsid w:val="007F2663"/>
    <w:rsid w:val="007F27BD"/>
    <w:rsid w:val="007F2EE6"/>
    <w:rsid w:val="007F30B1"/>
    <w:rsid w:val="007F3555"/>
    <w:rsid w:val="007F3779"/>
    <w:rsid w:val="007F5A20"/>
    <w:rsid w:val="007F75A3"/>
    <w:rsid w:val="008013AB"/>
    <w:rsid w:val="00802D00"/>
    <w:rsid w:val="00802E41"/>
    <w:rsid w:val="00803593"/>
    <w:rsid w:val="00804836"/>
    <w:rsid w:val="00805EC8"/>
    <w:rsid w:val="008065B9"/>
    <w:rsid w:val="00806FC5"/>
    <w:rsid w:val="00807A4B"/>
    <w:rsid w:val="00811007"/>
    <w:rsid w:val="00812948"/>
    <w:rsid w:val="008135F9"/>
    <w:rsid w:val="00813631"/>
    <w:rsid w:val="00815BC6"/>
    <w:rsid w:val="008166B9"/>
    <w:rsid w:val="00816E66"/>
    <w:rsid w:val="008178A8"/>
    <w:rsid w:val="00821712"/>
    <w:rsid w:val="008235EE"/>
    <w:rsid w:val="00823B61"/>
    <w:rsid w:val="008246AB"/>
    <w:rsid w:val="00825831"/>
    <w:rsid w:val="0083050A"/>
    <w:rsid w:val="00830B11"/>
    <w:rsid w:val="0083102A"/>
    <w:rsid w:val="00831AD1"/>
    <w:rsid w:val="00833156"/>
    <w:rsid w:val="00833ADF"/>
    <w:rsid w:val="00833CF3"/>
    <w:rsid w:val="00833DE1"/>
    <w:rsid w:val="00835EA5"/>
    <w:rsid w:val="00836C4F"/>
    <w:rsid w:val="00836D2F"/>
    <w:rsid w:val="0083705E"/>
    <w:rsid w:val="0083734C"/>
    <w:rsid w:val="0083785F"/>
    <w:rsid w:val="008379F9"/>
    <w:rsid w:val="00837F95"/>
    <w:rsid w:val="0084010B"/>
    <w:rsid w:val="00840BC0"/>
    <w:rsid w:val="00842338"/>
    <w:rsid w:val="00842454"/>
    <w:rsid w:val="00843D94"/>
    <w:rsid w:val="0084426C"/>
    <w:rsid w:val="00845A69"/>
    <w:rsid w:val="00846358"/>
    <w:rsid w:val="00846366"/>
    <w:rsid w:val="00846529"/>
    <w:rsid w:val="0084689A"/>
    <w:rsid w:val="008507B2"/>
    <w:rsid w:val="00850EA1"/>
    <w:rsid w:val="0085128E"/>
    <w:rsid w:val="0085187E"/>
    <w:rsid w:val="00852473"/>
    <w:rsid w:val="0085306F"/>
    <w:rsid w:val="0085346D"/>
    <w:rsid w:val="0085574F"/>
    <w:rsid w:val="00856D63"/>
    <w:rsid w:val="0085759C"/>
    <w:rsid w:val="00857EE6"/>
    <w:rsid w:val="008604FC"/>
    <w:rsid w:val="00862168"/>
    <w:rsid w:val="00863406"/>
    <w:rsid w:val="00864FD9"/>
    <w:rsid w:val="0086516D"/>
    <w:rsid w:val="00866A75"/>
    <w:rsid w:val="008671AD"/>
    <w:rsid w:val="00867271"/>
    <w:rsid w:val="00867986"/>
    <w:rsid w:val="00867BC2"/>
    <w:rsid w:val="00870347"/>
    <w:rsid w:val="0087204E"/>
    <w:rsid w:val="008729B5"/>
    <w:rsid w:val="008729F2"/>
    <w:rsid w:val="008734FB"/>
    <w:rsid w:val="00873C64"/>
    <w:rsid w:val="0087441B"/>
    <w:rsid w:val="0087478C"/>
    <w:rsid w:val="008749CA"/>
    <w:rsid w:val="00874F2C"/>
    <w:rsid w:val="008752DE"/>
    <w:rsid w:val="00875459"/>
    <w:rsid w:val="0087637E"/>
    <w:rsid w:val="0088063D"/>
    <w:rsid w:val="008807CE"/>
    <w:rsid w:val="00880EEA"/>
    <w:rsid w:val="00882925"/>
    <w:rsid w:val="008838CF"/>
    <w:rsid w:val="00883FC4"/>
    <w:rsid w:val="00884111"/>
    <w:rsid w:val="0088431E"/>
    <w:rsid w:val="0088473E"/>
    <w:rsid w:val="008850AF"/>
    <w:rsid w:val="0088534D"/>
    <w:rsid w:val="00885895"/>
    <w:rsid w:val="00886277"/>
    <w:rsid w:val="008865DF"/>
    <w:rsid w:val="0088687E"/>
    <w:rsid w:val="00886C33"/>
    <w:rsid w:val="00890811"/>
    <w:rsid w:val="00890DA6"/>
    <w:rsid w:val="00890EBC"/>
    <w:rsid w:val="008911A9"/>
    <w:rsid w:val="008945BA"/>
    <w:rsid w:val="00894E02"/>
    <w:rsid w:val="00896360"/>
    <w:rsid w:val="008A07EB"/>
    <w:rsid w:val="008A0E75"/>
    <w:rsid w:val="008A1D77"/>
    <w:rsid w:val="008A1F49"/>
    <w:rsid w:val="008A26A3"/>
    <w:rsid w:val="008A3796"/>
    <w:rsid w:val="008A3B8E"/>
    <w:rsid w:val="008A5CDE"/>
    <w:rsid w:val="008A6A86"/>
    <w:rsid w:val="008A7777"/>
    <w:rsid w:val="008B057A"/>
    <w:rsid w:val="008B0701"/>
    <w:rsid w:val="008B47B7"/>
    <w:rsid w:val="008B5CDE"/>
    <w:rsid w:val="008B5D7D"/>
    <w:rsid w:val="008B6749"/>
    <w:rsid w:val="008C0603"/>
    <w:rsid w:val="008C0873"/>
    <w:rsid w:val="008C234A"/>
    <w:rsid w:val="008C47A1"/>
    <w:rsid w:val="008C4ABD"/>
    <w:rsid w:val="008C5B74"/>
    <w:rsid w:val="008C6507"/>
    <w:rsid w:val="008C702D"/>
    <w:rsid w:val="008C7A2E"/>
    <w:rsid w:val="008D09BE"/>
    <w:rsid w:val="008D0C24"/>
    <w:rsid w:val="008D0FD8"/>
    <w:rsid w:val="008D24F9"/>
    <w:rsid w:val="008D2739"/>
    <w:rsid w:val="008D29A8"/>
    <w:rsid w:val="008D3B22"/>
    <w:rsid w:val="008D50AC"/>
    <w:rsid w:val="008D617A"/>
    <w:rsid w:val="008D69A5"/>
    <w:rsid w:val="008D7519"/>
    <w:rsid w:val="008D7C51"/>
    <w:rsid w:val="008E1154"/>
    <w:rsid w:val="008E1F40"/>
    <w:rsid w:val="008E2C7E"/>
    <w:rsid w:val="008E2CB6"/>
    <w:rsid w:val="008E3C78"/>
    <w:rsid w:val="008E4101"/>
    <w:rsid w:val="008E4353"/>
    <w:rsid w:val="008E4CB9"/>
    <w:rsid w:val="008E4F18"/>
    <w:rsid w:val="008E6E91"/>
    <w:rsid w:val="008E71CE"/>
    <w:rsid w:val="008E777B"/>
    <w:rsid w:val="008E7B96"/>
    <w:rsid w:val="008F0A84"/>
    <w:rsid w:val="008F2E4B"/>
    <w:rsid w:val="008F3B5B"/>
    <w:rsid w:val="008F4C0A"/>
    <w:rsid w:val="008F509D"/>
    <w:rsid w:val="008F5326"/>
    <w:rsid w:val="008F5BB0"/>
    <w:rsid w:val="008F6CE5"/>
    <w:rsid w:val="008F6FB3"/>
    <w:rsid w:val="008F75BD"/>
    <w:rsid w:val="00900848"/>
    <w:rsid w:val="00901383"/>
    <w:rsid w:val="00901B2F"/>
    <w:rsid w:val="009024E9"/>
    <w:rsid w:val="009028B9"/>
    <w:rsid w:val="00903432"/>
    <w:rsid w:val="00903DC9"/>
    <w:rsid w:val="00904D67"/>
    <w:rsid w:val="00905064"/>
    <w:rsid w:val="00906914"/>
    <w:rsid w:val="00907802"/>
    <w:rsid w:val="00907BCF"/>
    <w:rsid w:val="00910BFD"/>
    <w:rsid w:val="00911522"/>
    <w:rsid w:val="00912085"/>
    <w:rsid w:val="0091247E"/>
    <w:rsid w:val="0091445B"/>
    <w:rsid w:val="0091482F"/>
    <w:rsid w:val="00914988"/>
    <w:rsid w:val="00914D88"/>
    <w:rsid w:val="00914FCB"/>
    <w:rsid w:val="009154B6"/>
    <w:rsid w:val="00915C14"/>
    <w:rsid w:val="009160AF"/>
    <w:rsid w:val="009170DB"/>
    <w:rsid w:val="009205A2"/>
    <w:rsid w:val="00920749"/>
    <w:rsid w:val="00921692"/>
    <w:rsid w:val="00922082"/>
    <w:rsid w:val="00922FA9"/>
    <w:rsid w:val="009233B8"/>
    <w:rsid w:val="009246D3"/>
    <w:rsid w:val="009263D8"/>
    <w:rsid w:val="009264F0"/>
    <w:rsid w:val="00930EB4"/>
    <w:rsid w:val="009310AF"/>
    <w:rsid w:val="00934939"/>
    <w:rsid w:val="00934F18"/>
    <w:rsid w:val="009353BF"/>
    <w:rsid w:val="009368A5"/>
    <w:rsid w:val="009375F3"/>
    <w:rsid w:val="0094286E"/>
    <w:rsid w:val="00942ADA"/>
    <w:rsid w:val="00944C24"/>
    <w:rsid w:val="00945312"/>
    <w:rsid w:val="009457B9"/>
    <w:rsid w:val="009458AC"/>
    <w:rsid w:val="00945FA7"/>
    <w:rsid w:val="00946AB2"/>
    <w:rsid w:val="00950E9F"/>
    <w:rsid w:val="0095207B"/>
    <w:rsid w:val="00952404"/>
    <w:rsid w:val="00952E64"/>
    <w:rsid w:val="00953008"/>
    <w:rsid w:val="0095351C"/>
    <w:rsid w:val="009539C4"/>
    <w:rsid w:val="00954D02"/>
    <w:rsid w:val="00954EE8"/>
    <w:rsid w:val="0095513C"/>
    <w:rsid w:val="0095596A"/>
    <w:rsid w:val="00955BB5"/>
    <w:rsid w:val="0095657A"/>
    <w:rsid w:val="00960EB2"/>
    <w:rsid w:val="00961334"/>
    <w:rsid w:val="0096153B"/>
    <w:rsid w:val="00961CE6"/>
    <w:rsid w:val="00962365"/>
    <w:rsid w:val="00962DDE"/>
    <w:rsid w:val="00963ABE"/>
    <w:rsid w:val="00963D7B"/>
    <w:rsid w:val="00964775"/>
    <w:rsid w:val="00965D67"/>
    <w:rsid w:val="009668F9"/>
    <w:rsid w:val="00966B2A"/>
    <w:rsid w:val="00967512"/>
    <w:rsid w:val="0097117A"/>
    <w:rsid w:val="00971865"/>
    <w:rsid w:val="00971C49"/>
    <w:rsid w:val="00971EF3"/>
    <w:rsid w:val="00972020"/>
    <w:rsid w:val="009731CD"/>
    <w:rsid w:val="009732FD"/>
    <w:rsid w:val="009740A2"/>
    <w:rsid w:val="009743C7"/>
    <w:rsid w:val="0097527E"/>
    <w:rsid w:val="00975992"/>
    <w:rsid w:val="009773A8"/>
    <w:rsid w:val="00980D52"/>
    <w:rsid w:val="009823FB"/>
    <w:rsid w:val="00982924"/>
    <w:rsid w:val="00984042"/>
    <w:rsid w:val="009844AA"/>
    <w:rsid w:val="00986EEF"/>
    <w:rsid w:val="009871FC"/>
    <w:rsid w:val="0098775E"/>
    <w:rsid w:val="00987A72"/>
    <w:rsid w:val="009900CF"/>
    <w:rsid w:val="00990426"/>
    <w:rsid w:val="00991782"/>
    <w:rsid w:val="009920DA"/>
    <w:rsid w:val="009947AC"/>
    <w:rsid w:val="0099552C"/>
    <w:rsid w:val="009964FF"/>
    <w:rsid w:val="009A40EE"/>
    <w:rsid w:val="009A4878"/>
    <w:rsid w:val="009A4FC5"/>
    <w:rsid w:val="009A599B"/>
    <w:rsid w:val="009A5C71"/>
    <w:rsid w:val="009A6193"/>
    <w:rsid w:val="009A684E"/>
    <w:rsid w:val="009B0D9E"/>
    <w:rsid w:val="009B0E8F"/>
    <w:rsid w:val="009B4242"/>
    <w:rsid w:val="009B4F3B"/>
    <w:rsid w:val="009B5617"/>
    <w:rsid w:val="009B6482"/>
    <w:rsid w:val="009B66E0"/>
    <w:rsid w:val="009C039D"/>
    <w:rsid w:val="009C05CB"/>
    <w:rsid w:val="009C121B"/>
    <w:rsid w:val="009C47BA"/>
    <w:rsid w:val="009C4C6F"/>
    <w:rsid w:val="009C5E01"/>
    <w:rsid w:val="009C603B"/>
    <w:rsid w:val="009C7199"/>
    <w:rsid w:val="009C735E"/>
    <w:rsid w:val="009C7BEA"/>
    <w:rsid w:val="009D0EAE"/>
    <w:rsid w:val="009D240E"/>
    <w:rsid w:val="009D2DD2"/>
    <w:rsid w:val="009D33A2"/>
    <w:rsid w:val="009D356B"/>
    <w:rsid w:val="009D36D5"/>
    <w:rsid w:val="009D44FC"/>
    <w:rsid w:val="009D588D"/>
    <w:rsid w:val="009E0056"/>
    <w:rsid w:val="009E00E8"/>
    <w:rsid w:val="009E029A"/>
    <w:rsid w:val="009E079C"/>
    <w:rsid w:val="009E175B"/>
    <w:rsid w:val="009E1CC8"/>
    <w:rsid w:val="009E28C7"/>
    <w:rsid w:val="009E2B63"/>
    <w:rsid w:val="009E3F77"/>
    <w:rsid w:val="009E400A"/>
    <w:rsid w:val="009E4769"/>
    <w:rsid w:val="009E487F"/>
    <w:rsid w:val="009E4F0F"/>
    <w:rsid w:val="009F1834"/>
    <w:rsid w:val="009F2AB9"/>
    <w:rsid w:val="009F6AAC"/>
    <w:rsid w:val="00A013D7"/>
    <w:rsid w:val="00A01A78"/>
    <w:rsid w:val="00A01AB4"/>
    <w:rsid w:val="00A03425"/>
    <w:rsid w:val="00A03D90"/>
    <w:rsid w:val="00A03D93"/>
    <w:rsid w:val="00A04BB8"/>
    <w:rsid w:val="00A057C6"/>
    <w:rsid w:val="00A06101"/>
    <w:rsid w:val="00A067B1"/>
    <w:rsid w:val="00A10138"/>
    <w:rsid w:val="00A10222"/>
    <w:rsid w:val="00A11021"/>
    <w:rsid w:val="00A1170D"/>
    <w:rsid w:val="00A12067"/>
    <w:rsid w:val="00A121B0"/>
    <w:rsid w:val="00A12675"/>
    <w:rsid w:val="00A13A6F"/>
    <w:rsid w:val="00A143C6"/>
    <w:rsid w:val="00A148F7"/>
    <w:rsid w:val="00A15F8E"/>
    <w:rsid w:val="00A16327"/>
    <w:rsid w:val="00A16875"/>
    <w:rsid w:val="00A17C07"/>
    <w:rsid w:val="00A17E36"/>
    <w:rsid w:val="00A17F6D"/>
    <w:rsid w:val="00A218EF"/>
    <w:rsid w:val="00A23CBD"/>
    <w:rsid w:val="00A23FBC"/>
    <w:rsid w:val="00A24747"/>
    <w:rsid w:val="00A24A05"/>
    <w:rsid w:val="00A259CD"/>
    <w:rsid w:val="00A25D55"/>
    <w:rsid w:val="00A27262"/>
    <w:rsid w:val="00A30042"/>
    <w:rsid w:val="00A30125"/>
    <w:rsid w:val="00A30AAC"/>
    <w:rsid w:val="00A319BF"/>
    <w:rsid w:val="00A32651"/>
    <w:rsid w:val="00A33208"/>
    <w:rsid w:val="00A33A16"/>
    <w:rsid w:val="00A33A49"/>
    <w:rsid w:val="00A33CB5"/>
    <w:rsid w:val="00A33D12"/>
    <w:rsid w:val="00A340B1"/>
    <w:rsid w:val="00A34C87"/>
    <w:rsid w:val="00A350D9"/>
    <w:rsid w:val="00A3581C"/>
    <w:rsid w:val="00A35D81"/>
    <w:rsid w:val="00A36F10"/>
    <w:rsid w:val="00A3770C"/>
    <w:rsid w:val="00A37EB2"/>
    <w:rsid w:val="00A41747"/>
    <w:rsid w:val="00A4411E"/>
    <w:rsid w:val="00A44A6D"/>
    <w:rsid w:val="00A44FE7"/>
    <w:rsid w:val="00A454C9"/>
    <w:rsid w:val="00A45764"/>
    <w:rsid w:val="00A46489"/>
    <w:rsid w:val="00A47676"/>
    <w:rsid w:val="00A5122A"/>
    <w:rsid w:val="00A54054"/>
    <w:rsid w:val="00A54705"/>
    <w:rsid w:val="00A54A18"/>
    <w:rsid w:val="00A55271"/>
    <w:rsid w:val="00A55CD6"/>
    <w:rsid w:val="00A565C1"/>
    <w:rsid w:val="00A56FFC"/>
    <w:rsid w:val="00A60749"/>
    <w:rsid w:val="00A60DDC"/>
    <w:rsid w:val="00A61676"/>
    <w:rsid w:val="00A61F91"/>
    <w:rsid w:val="00A64273"/>
    <w:rsid w:val="00A646F8"/>
    <w:rsid w:val="00A65CC3"/>
    <w:rsid w:val="00A6614B"/>
    <w:rsid w:val="00A66279"/>
    <w:rsid w:val="00A666B0"/>
    <w:rsid w:val="00A6700D"/>
    <w:rsid w:val="00A670C6"/>
    <w:rsid w:val="00A674A3"/>
    <w:rsid w:val="00A674FC"/>
    <w:rsid w:val="00A67F9D"/>
    <w:rsid w:val="00A70081"/>
    <w:rsid w:val="00A72192"/>
    <w:rsid w:val="00A72392"/>
    <w:rsid w:val="00A72922"/>
    <w:rsid w:val="00A72A21"/>
    <w:rsid w:val="00A73714"/>
    <w:rsid w:val="00A7446E"/>
    <w:rsid w:val="00A75216"/>
    <w:rsid w:val="00A75398"/>
    <w:rsid w:val="00A75C45"/>
    <w:rsid w:val="00A760EA"/>
    <w:rsid w:val="00A763AB"/>
    <w:rsid w:val="00A80040"/>
    <w:rsid w:val="00A81C12"/>
    <w:rsid w:val="00A82C6C"/>
    <w:rsid w:val="00A82F12"/>
    <w:rsid w:val="00A83044"/>
    <w:rsid w:val="00A83159"/>
    <w:rsid w:val="00A84672"/>
    <w:rsid w:val="00A85966"/>
    <w:rsid w:val="00A85B0B"/>
    <w:rsid w:val="00A861BE"/>
    <w:rsid w:val="00A864E7"/>
    <w:rsid w:val="00A86747"/>
    <w:rsid w:val="00A86838"/>
    <w:rsid w:val="00A86E22"/>
    <w:rsid w:val="00A872D5"/>
    <w:rsid w:val="00A90B8A"/>
    <w:rsid w:val="00A91797"/>
    <w:rsid w:val="00A930A4"/>
    <w:rsid w:val="00A93513"/>
    <w:rsid w:val="00A9358C"/>
    <w:rsid w:val="00A9397B"/>
    <w:rsid w:val="00A95254"/>
    <w:rsid w:val="00AA021A"/>
    <w:rsid w:val="00AA110A"/>
    <w:rsid w:val="00AA191D"/>
    <w:rsid w:val="00AA281D"/>
    <w:rsid w:val="00AA3B41"/>
    <w:rsid w:val="00AA4273"/>
    <w:rsid w:val="00AA48C5"/>
    <w:rsid w:val="00AA6026"/>
    <w:rsid w:val="00AB03DD"/>
    <w:rsid w:val="00AB03F6"/>
    <w:rsid w:val="00AB0507"/>
    <w:rsid w:val="00AB0E3B"/>
    <w:rsid w:val="00AB101E"/>
    <w:rsid w:val="00AB1728"/>
    <w:rsid w:val="00AB1DE1"/>
    <w:rsid w:val="00AB1E68"/>
    <w:rsid w:val="00AB2E52"/>
    <w:rsid w:val="00AB3648"/>
    <w:rsid w:val="00AB43D9"/>
    <w:rsid w:val="00AB4BE5"/>
    <w:rsid w:val="00AB538B"/>
    <w:rsid w:val="00AB6189"/>
    <w:rsid w:val="00AC0762"/>
    <w:rsid w:val="00AC3ED8"/>
    <w:rsid w:val="00AC5046"/>
    <w:rsid w:val="00AC526A"/>
    <w:rsid w:val="00AC6780"/>
    <w:rsid w:val="00AC67D2"/>
    <w:rsid w:val="00AC7BCE"/>
    <w:rsid w:val="00AD21D8"/>
    <w:rsid w:val="00AD2FE1"/>
    <w:rsid w:val="00AD336A"/>
    <w:rsid w:val="00AD370D"/>
    <w:rsid w:val="00AD551F"/>
    <w:rsid w:val="00AD58A2"/>
    <w:rsid w:val="00AE13E2"/>
    <w:rsid w:val="00AE1553"/>
    <w:rsid w:val="00AE25F1"/>
    <w:rsid w:val="00AE2F61"/>
    <w:rsid w:val="00AE44EA"/>
    <w:rsid w:val="00AE4A18"/>
    <w:rsid w:val="00AE4B80"/>
    <w:rsid w:val="00AE57C4"/>
    <w:rsid w:val="00AE5C52"/>
    <w:rsid w:val="00AF0174"/>
    <w:rsid w:val="00AF0E51"/>
    <w:rsid w:val="00AF1005"/>
    <w:rsid w:val="00AF27AD"/>
    <w:rsid w:val="00AF2A44"/>
    <w:rsid w:val="00AF4444"/>
    <w:rsid w:val="00AF459A"/>
    <w:rsid w:val="00AF45DF"/>
    <w:rsid w:val="00AF4D37"/>
    <w:rsid w:val="00AF554B"/>
    <w:rsid w:val="00AF605F"/>
    <w:rsid w:val="00AF7151"/>
    <w:rsid w:val="00AF728E"/>
    <w:rsid w:val="00AF7644"/>
    <w:rsid w:val="00B00AA1"/>
    <w:rsid w:val="00B01C2B"/>
    <w:rsid w:val="00B0333A"/>
    <w:rsid w:val="00B03E96"/>
    <w:rsid w:val="00B04265"/>
    <w:rsid w:val="00B05C01"/>
    <w:rsid w:val="00B05F7D"/>
    <w:rsid w:val="00B06175"/>
    <w:rsid w:val="00B11215"/>
    <w:rsid w:val="00B11454"/>
    <w:rsid w:val="00B11BE4"/>
    <w:rsid w:val="00B1273A"/>
    <w:rsid w:val="00B132F4"/>
    <w:rsid w:val="00B140BA"/>
    <w:rsid w:val="00B15678"/>
    <w:rsid w:val="00B15935"/>
    <w:rsid w:val="00B1598C"/>
    <w:rsid w:val="00B16F12"/>
    <w:rsid w:val="00B17482"/>
    <w:rsid w:val="00B174E9"/>
    <w:rsid w:val="00B20017"/>
    <w:rsid w:val="00B203D0"/>
    <w:rsid w:val="00B2042D"/>
    <w:rsid w:val="00B2054C"/>
    <w:rsid w:val="00B22130"/>
    <w:rsid w:val="00B22174"/>
    <w:rsid w:val="00B22878"/>
    <w:rsid w:val="00B23F16"/>
    <w:rsid w:val="00B256B3"/>
    <w:rsid w:val="00B27024"/>
    <w:rsid w:val="00B30C9B"/>
    <w:rsid w:val="00B31A78"/>
    <w:rsid w:val="00B31EF9"/>
    <w:rsid w:val="00B31FC4"/>
    <w:rsid w:val="00B32088"/>
    <w:rsid w:val="00B33165"/>
    <w:rsid w:val="00B33853"/>
    <w:rsid w:val="00B3429A"/>
    <w:rsid w:val="00B345BB"/>
    <w:rsid w:val="00B34D39"/>
    <w:rsid w:val="00B41B6E"/>
    <w:rsid w:val="00B42DBC"/>
    <w:rsid w:val="00B42F36"/>
    <w:rsid w:val="00B453CA"/>
    <w:rsid w:val="00B46BAB"/>
    <w:rsid w:val="00B47D79"/>
    <w:rsid w:val="00B50861"/>
    <w:rsid w:val="00B51AF9"/>
    <w:rsid w:val="00B52A83"/>
    <w:rsid w:val="00B52E3C"/>
    <w:rsid w:val="00B53736"/>
    <w:rsid w:val="00B547D8"/>
    <w:rsid w:val="00B56735"/>
    <w:rsid w:val="00B57307"/>
    <w:rsid w:val="00B61013"/>
    <w:rsid w:val="00B620F6"/>
    <w:rsid w:val="00B6332D"/>
    <w:rsid w:val="00B63665"/>
    <w:rsid w:val="00B63D6E"/>
    <w:rsid w:val="00B6448C"/>
    <w:rsid w:val="00B652F8"/>
    <w:rsid w:val="00B65E7D"/>
    <w:rsid w:val="00B65F86"/>
    <w:rsid w:val="00B66361"/>
    <w:rsid w:val="00B66527"/>
    <w:rsid w:val="00B66898"/>
    <w:rsid w:val="00B70AB4"/>
    <w:rsid w:val="00B70EB2"/>
    <w:rsid w:val="00B71299"/>
    <w:rsid w:val="00B73D2B"/>
    <w:rsid w:val="00B754FE"/>
    <w:rsid w:val="00B768C3"/>
    <w:rsid w:val="00B7708F"/>
    <w:rsid w:val="00B777DF"/>
    <w:rsid w:val="00B77924"/>
    <w:rsid w:val="00B77EF7"/>
    <w:rsid w:val="00B806D7"/>
    <w:rsid w:val="00B80A82"/>
    <w:rsid w:val="00B823DE"/>
    <w:rsid w:val="00B82C01"/>
    <w:rsid w:val="00B83EE6"/>
    <w:rsid w:val="00B84422"/>
    <w:rsid w:val="00B84F72"/>
    <w:rsid w:val="00B90340"/>
    <w:rsid w:val="00B92C92"/>
    <w:rsid w:val="00B92F8F"/>
    <w:rsid w:val="00B93331"/>
    <w:rsid w:val="00B9364A"/>
    <w:rsid w:val="00B93A64"/>
    <w:rsid w:val="00B93F1A"/>
    <w:rsid w:val="00B947CB"/>
    <w:rsid w:val="00B94B81"/>
    <w:rsid w:val="00B95EEB"/>
    <w:rsid w:val="00B974BF"/>
    <w:rsid w:val="00BA0E66"/>
    <w:rsid w:val="00BA1697"/>
    <w:rsid w:val="00BA1FAD"/>
    <w:rsid w:val="00BA2D18"/>
    <w:rsid w:val="00BA35E6"/>
    <w:rsid w:val="00BA37C8"/>
    <w:rsid w:val="00BA3E73"/>
    <w:rsid w:val="00BA544B"/>
    <w:rsid w:val="00BA5CFA"/>
    <w:rsid w:val="00BA5DFC"/>
    <w:rsid w:val="00BA6A24"/>
    <w:rsid w:val="00BA6B22"/>
    <w:rsid w:val="00BA7C9A"/>
    <w:rsid w:val="00BA7F19"/>
    <w:rsid w:val="00BA7FC6"/>
    <w:rsid w:val="00BB1007"/>
    <w:rsid w:val="00BB1574"/>
    <w:rsid w:val="00BB2104"/>
    <w:rsid w:val="00BB246D"/>
    <w:rsid w:val="00BB2B84"/>
    <w:rsid w:val="00BB3966"/>
    <w:rsid w:val="00BB3C41"/>
    <w:rsid w:val="00BB3C63"/>
    <w:rsid w:val="00BB4964"/>
    <w:rsid w:val="00BB4C1C"/>
    <w:rsid w:val="00BB6F79"/>
    <w:rsid w:val="00BB75CE"/>
    <w:rsid w:val="00BC09BF"/>
    <w:rsid w:val="00BC199C"/>
    <w:rsid w:val="00BC1DA9"/>
    <w:rsid w:val="00BC2214"/>
    <w:rsid w:val="00BC2387"/>
    <w:rsid w:val="00BC2CBF"/>
    <w:rsid w:val="00BC2FED"/>
    <w:rsid w:val="00BC41B4"/>
    <w:rsid w:val="00BC4480"/>
    <w:rsid w:val="00BC512A"/>
    <w:rsid w:val="00BC6999"/>
    <w:rsid w:val="00BC6B5C"/>
    <w:rsid w:val="00BD03A9"/>
    <w:rsid w:val="00BD0D5F"/>
    <w:rsid w:val="00BD39D6"/>
    <w:rsid w:val="00BD47EE"/>
    <w:rsid w:val="00BD5651"/>
    <w:rsid w:val="00BD5976"/>
    <w:rsid w:val="00BD5E9F"/>
    <w:rsid w:val="00BD64D9"/>
    <w:rsid w:val="00BD6E87"/>
    <w:rsid w:val="00BD7C8A"/>
    <w:rsid w:val="00BE1222"/>
    <w:rsid w:val="00BE131F"/>
    <w:rsid w:val="00BE1D27"/>
    <w:rsid w:val="00BE3124"/>
    <w:rsid w:val="00BE41D3"/>
    <w:rsid w:val="00BE4AA1"/>
    <w:rsid w:val="00BE6291"/>
    <w:rsid w:val="00BF0236"/>
    <w:rsid w:val="00BF0905"/>
    <w:rsid w:val="00BF17CF"/>
    <w:rsid w:val="00BF3FCE"/>
    <w:rsid w:val="00BF417D"/>
    <w:rsid w:val="00BF5699"/>
    <w:rsid w:val="00C00128"/>
    <w:rsid w:val="00C002B2"/>
    <w:rsid w:val="00C00DC7"/>
    <w:rsid w:val="00C0510B"/>
    <w:rsid w:val="00C06449"/>
    <w:rsid w:val="00C06666"/>
    <w:rsid w:val="00C0672D"/>
    <w:rsid w:val="00C074AC"/>
    <w:rsid w:val="00C0755A"/>
    <w:rsid w:val="00C10C9E"/>
    <w:rsid w:val="00C1175A"/>
    <w:rsid w:val="00C1227A"/>
    <w:rsid w:val="00C13D29"/>
    <w:rsid w:val="00C162AE"/>
    <w:rsid w:val="00C16352"/>
    <w:rsid w:val="00C17345"/>
    <w:rsid w:val="00C17554"/>
    <w:rsid w:val="00C177A8"/>
    <w:rsid w:val="00C20896"/>
    <w:rsid w:val="00C211C4"/>
    <w:rsid w:val="00C212DE"/>
    <w:rsid w:val="00C22154"/>
    <w:rsid w:val="00C22457"/>
    <w:rsid w:val="00C22E53"/>
    <w:rsid w:val="00C23B7C"/>
    <w:rsid w:val="00C24DDF"/>
    <w:rsid w:val="00C250E5"/>
    <w:rsid w:val="00C254BD"/>
    <w:rsid w:val="00C258AA"/>
    <w:rsid w:val="00C25A41"/>
    <w:rsid w:val="00C263C7"/>
    <w:rsid w:val="00C349E5"/>
    <w:rsid w:val="00C3506B"/>
    <w:rsid w:val="00C35800"/>
    <w:rsid w:val="00C36591"/>
    <w:rsid w:val="00C378C0"/>
    <w:rsid w:val="00C37C24"/>
    <w:rsid w:val="00C37CD3"/>
    <w:rsid w:val="00C40857"/>
    <w:rsid w:val="00C42795"/>
    <w:rsid w:val="00C438C1"/>
    <w:rsid w:val="00C44A61"/>
    <w:rsid w:val="00C44B8B"/>
    <w:rsid w:val="00C45036"/>
    <w:rsid w:val="00C453B7"/>
    <w:rsid w:val="00C4654F"/>
    <w:rsid w:val="00C47519"/>
    <w:rsid w:val="00C528FE"/>
    <w:rsid w:val="00C52B63"/>
    <w:rsid w:val="00C534AB"/>
    <w:rsid w:val="00C559C4"/>
    <w:rsid w:val="00C55DCB"/>
    <w:rsid w:val="00C5685C"/>
    <w:rsid w:val="00C56AEC"/>
    <w:rsid w:val="00C56C74"/>
    <w:rsid w:val="00C56C86"/>
    <w:rsid w:val="00C56DAA"/>
    <w:rsid w:val="00C577C7"/>
    <w:rsid w:val="00C57E12"/>
    <w:rsid w:val="00C60839"/>
    <w:rsid w:val="00C60909"/>
    <w:rsid w:val="00C6138A"/>
    <w:rsid w:val="00C619D4"/>
    <w:rsid w:val="00C63322"/>
    <w:rsid w:val="00C638B9"/>
    <w:rsid w:val="00C64836"/>
    <w:rsid w:val="00C650D8"/>
    <w:rsid w:val="00C656B0"/>
    <w:rsid w:val="00C66588"/>
    <w:rsid w:val="00C70E1C"/>
    <w:rsid w:val="00C71948"/>
    <w:rsid w:val="00C71AFC"/>
    <w:rsid w:val="00C71FA0"/>
    <w:rsid w:val="00C721EB"/>
    <w:rsid w:val="00C7284D"/>
    <w:rsid w:val="00C73282"/>
    <w:rsid w:val="00C73551"/>
    <w:rsid w:val="00C744FE"/>
    <w:rsid w:val="00C74C4F"/>
    <w:rsid w:val="00C74CA1"/>
    <w:rsid w:val="00C75113"/>
    <w:rsid w:val="00C75FC2"/>
    <w:rsid w:val="00C7611F"/>
    <w:rsid w:val="00C7799B"/>
    <w:rsid w:val="00C81523"/>
    <w:rsid w:val="00C81C6A"/>
    <w:rsid w:val="00C85496"/>
    <w:rsid w:val="00C85D67"/>
    <w:rsid w:val="00C863F0"/>
    <w:rsid w:val="00C868BC"/>
    <w:rsid w:val="00C8728E"/>
    <w:rsid w:val="00C87359"/>
    <w:rsid w:val="00C87C4F"/>
    <w:rsid w:val="00C912BD"/>
    <w:rsid w:val="00C9174C"/>
    <w:rsid w:val="00C92F4E"/>
    <w:rsid w:val="00C9439C"/>
    <w:rsid w:val="00C94F06"/>
    <w:rsid w:val="00C95152"/>
    <w:rsid w:val="00CA138C"/>
    <w:rsid w:val="00CA1934"/>
    <w:rsid w:val="00CA2698"/>
    <w:rsid w:val="00CA2C27"/>
    <w:rsid w:val="00CA3DED"/>
    <w:rsid w:val="00CA5114"/>
    <w:rsid w:val="00CA513C"/>
    <w:rsid w:val="00CA5A05"/>
    <w:rsid w:val="00CA5E0C"/>
    <w:rsid w:val="00CA6021"/>
    <w:rsid w:val="00CB0821"/>
    <w:rsid w:val="00CB0BFC"/>
    <w:rsid w:val="00CB0F1D"/>
    <w:rsid w:val="00CB24DD"/>
    <w:rsid w:val="00CB2DBB"/>
    <w:rsid w:val="00CB3950"/>
    <w:rsid w:val="00CB4D5B"/>
    <w:rsid w:val="00CB5543"/>
    <w:rsid w:val="00CB59C8"/>
    <w:rsid w:val="00CB6886"/>
    <w:rsid w:val="00CB6C60"/>
    <w:rsid w:val="00CB6C6A"/>
    <w:rsid w:val="00CC1D9F"/>
    <w:rsid w:val="00CC2E48"/>
    <w:rsid w:val="00CC33A7"/>
    <w:rsid w:val="00CC3A22"/>
    <w:rsid w:val="00CC4B02"/>
    <w:rsid w:val="00CC52F9"/>
    <w:rsid w:val="00CC5814"/>
    <w:rsid w:val="00CC6474"/>
    <w:rsid w:val="00CD1EBB"/>
    <w:rsid w:val="00CD2B96"/>
    <w:rsid w:val="00CD376A"/>
    <w:rsid w:val="00CD5D21"/>
    <w:rsid w:val="00CD6DF4"/>
    <w:rsid w:val="00CD74B8"/>
    <w:rsid w:val="00CD7BED"/>
    <w:rsid w:val="00CE04EC"/>
    <w:rsid w:val="00CE17E7"/>
    <w:rsid w:val="00CE1AC1"/>
    <w:rsid w:val="00CE1B8E"/>
    <w:rsid w:val="00CE1E1F"/>
    <w:rsid w:val="00CE268A"/>
    <w:rsid w:val="00CE2989"/>
    <w:rsid w:val="00CE2C38"/>
    <w:rsid w:val="00CE30D3"/>
    <w:rsid w:val="00CE61DF"/>
    <w:rsid w:val="00CE6A53"/>
    <w:rsid w:val="00CF0BB1"/>
    <w:rsid w:val="00CF0D91"/>
    <w:rsid w:val="00CF271D"/>
    <w:rsid w:val="00CF2B65"/>
    <w:rsid w:val="00CF306D"/>
    <w:rsid w:val="00CF4046"/>
    <w:rsid w:val="00CF5569"/>
    <w:rsid w:val="00CF5C57"/>
    <w:rsid w:val="00CF5FD0"/>
    <w:rsid w:val="00D004E6"/>
    <w:rsid w:val="00D0125A"/>
    <w:rsid w:val="00D01A30"/>
    <w:rsid w:val="00D03C29"/>
    <w:rsid w:val="00D0589E"/>
    <w:rsid w:val="00D05CBD"/>
    <w:rsid w:val="00D06685"/>
    <w:rsid w:val="00D0721C"/>
    <w:rsid w:val="00D07326"/>
    <w:rsid w:val="00D109E5"/>
    <w:rsid w:val="00D11368"/>
    <w:rsid w:val="00D12784"/>
    <w:rsid w:val="00D139C7"/>
    <w:rsid w:val="00D15425"/>
    <w:rsid w:val="00D15A29"/>
    <w:rsid w:val="00D160E6"/>
    <w:rsid w:val="00D16626"/>
    <w:rsid w:val="00D16BE5"/>
    <w:rsid w:val="00D17B14"/>
    <w:rsid w:val="00D17F3B"/>
    <w:rsid w:val="00D2093C"/>
    <w:rsid w:val="00D213C7"/>
    <w:rsid w:val="00D2143A"/>
    <w:rsid w:val="00D21460"/>
    <w:rsid w:val="00D236DB"/>
    <w:rsid w:val="00D237D2"/>
    <w:rsid w:val="00D2391F"/>
    <w:rsid w:val="00D24278"/>
    <w:rsid w:val="00D242D4"/>
    <w:rsid w:val="00D2472E"/>
    <w:rsid w:val="00D248AD"/>
    <w:rsid w:val="00D25EAF"/>
    <w:rsid w:val="00D26293"/>
    <w:rsid w:val="00D2728E"/>
    <w:rsid w:val="00D30B84"/>
    <w:rsid w:val="00D31569"/>
    <w:rsid w:val="00D3188A"/>
    <w:rsid w:val="00D35105"/>
    <w:rsid w:val="00D353D1"/>
    <w:rsid w:val="00D37E93"/>
    <w:rsid w:val="00D4130B"/>
    <w:rsid w:val="00D413B2"/>
    <w:rsid w:val="00D42438"/>
    <w:rsid w:val="00D43293"/>
    <w:rsid w:val="00D433D1"/>
    <w:rsid w:val="00D4507D"/>
    <w:rsid w:val="00D46112"/>
    <w:rsid w:val="00D4656E"/>
    <w:rsid w:val="00D47362"/>
    <w:rsid w:val="00D4781C"/>
    <w:rsid w:val="00D515E9"/>
    <w:rsid w:val="00D5185B"/>
    <w:rsid w:val="00D51FF1"/>
    <w:rsid w:val="00D533E2"/>
    <w:rsid w:val="00D544D4"/>
    <w:rsid w:val="00D5490D"/>
    <w:rsid w:val="00D54F74"/>
    <w:rsid w:val="00D55031"/>
    <w:rsid w:val="00D557AB"/>
    <w:rsid w:val="00D5585F"/>
    <w:rsid w:val="00D55EB7"/>
    <w:rsid w:val="00D57468"/>
    <w:rsid w:val="00D5774C"/>
    <w:rsid w:val="00D57A3A"/>
    <w:rsid w:val="00D61D91"/>
    <w:rsid w:val="00D64428"/>
    <w:rsid w:val="00D64745"/>
    <w:rsid w:val="00D64F86"/>
    <w:rsid w:val="00D65C52"/>
    <w:rsid w:val="00D6666B"/>
    <w:rsid w:val="00D702B7"/>
    <w:rsid w:val="00D70786"/>
    <w:rsid w:val="00D70D62"/>
    <w:rsid w:val="00D724A9"/>
    <w:rsid w:val="00D72E81"/>
    <w:rsid w:val="00D7324C"/>
    <w:rsid w:val="00D737FB"/>
    <w:rsid w:val="00D7393E"/>
    <w:rsid w:val="00D74430"/>
    <w:rsid w:val="00D754E0"/>
    <w:rsid w:val="00D757CF"/>
    <w:rsid w:val="00D75911"/>
    <w:rsid w:val="00D75B65"/>
    <w:rsid w:val="00D76198"/>
    <w:rsid w:val="00D76B5A"/>
    <w:rsid w:val="00D76C5B"/>
    <w:rsid w:val="00D76E9E"/>
    <w:rsid w:val="00D805B4"/>
    <w:rsid w:val="00D812A6"/>
    <w:rsid w:val="00D81C40"/>
    <w:rsid w:val="00D81F89"/>
    <w:rsid w:val="00D827B4"/>
    <w:rsid w:val="00D8360C"/>
    <w:rsid w:val="00D839A7"/>
    <w:rsid w:val="00D84E64"/>
    <w:rsid w:val="00D84F54"/>
    <w:rsid w:val="00D852FC"/>
    <w:rsid w:val="00D860F8"/>
    <w:rsid w:val="00D8707A"/>
    <w:rsid w:val="00D87959"/>
    <w:rsid w:val="00D90A4F"/>
    <w:rsid w:val="00D92170"/>
    <w:rsid w:val="00D93B67"/>
    <w:rsid w:val="00D93FAF"/>
    <w:rsid w:val="00D9574A"/>
    <w:rsid w:val="00D96795"/>
    <w:rsid w:val="00D96BE3"/>
    <w:rsid w:val="00D96CAC"/>
    <w:rsid w:val="00D97B08"/>
    <w:rsid w:val="00D97FC4"/>
    <w:rsid w:val="00DA0ADB"/>
    <w:rsid w:val="00DA2FA9"/>
    <w:rsid w:val="00DA43FF"/>
    <w:rsid w:val="00DA4AE9"/>
    <w:rsid w:val="00DA5D4B"/>
    <w:rsid w:val="00DA6687"/>
    <w:rsid w:val="00DA6E07"/>
    <w:rsid w:val="00DB0A33"/>
    <w:rsid w:val="00DB12B3"/>
    <w:rsid w:val="00DB222A"/>
    <w:rsid w:val="00DB2386"/>
    <w:rsid w:val="00DB272C"/>
    <w:rsid w:val="00DB2E4C"/>
    <w:rsid w:val="00DB2F6C"/>
    <w:rsid w:val="00DB4894"/>
    <w:rsid w:val="00DB49AC"/>
    <w:rsid w:val="00DB5871"/>
    <w:rsid w:val="00DB5D20"/>
    <w:rsid w:val="00DB7E08"/>
    <w:rsid w:val="00DC0AF2"/>
    <w:rsid w:val="00DC0E0C"/>
    <w:rsid w:val="00DC16A8"/>
    <w:rsid w:val="00DC3C25"/>
    <w:rsid w:val="00DC3E2B"/>
    <w:rsid w:val="00DC5C22"/>
    <w:rsid w:val="00DC5DF3"/>
    <w:rsid w:val="00DC62A0"/>
    <w:rsid w:val="00DC6701"/>
    <w:rsid w:val="00DC6D2A"/>
    <w:rsid w:val="00DC6F11"/>
    <w:rsid w:val="00DC763F"/>
    <w:rsid w:val="00DC79FE"/>
    <w:rsid w:val="00DC7C45"/>
    <w:rsid w:val="00DD08E0"/>
    <w:rsid w:val="00DD1004"/>
    <w:rsid w:val="00DD17C2"/>
    <w:rsid w:val="00DD252F"/>
    <w:rsid w:val="00DD2A59"/>
    <w:rsid w:val="00DD32DC"/>
    <w:rsid w:val="00DD3ACC"/>
    <w:rsid w:val="00DD3C3D"/>
    <w:rsid w:val="00DD476E"/>
    <w:rsid w:val="00DD4CC0"/>
    <w:rsid w:val="00DD5E6A"/>
    <w:rsid w:val="00DD601D"/>
    <w:rsid w:val="00DD6D5F"/>
    <w:rsid w:val="00DD792C"/>
    <w:rsid w:val="00DD7F91"/>
    <w:rsid w:val="00DE0A0D"/>
    <w:rsid w:val="00DE14EB"/>
    <w:rsid w:val="00DE1961"/>
    <w:rsid w:val="00DE2911"/>
    <w:rsid w:val="00DE342B"/>
    <w:rsid w:val="00DE5848"/>
    <w:rsid w:val="00DE5E33"/>
    <w:rsid w:val="00DE648D"/>
    <w:rsid w:val="00DE78A3"/>
    <w:rsid w:val="00DF09CF"/>
    <w:rsid w:val="00DF1930"/>
    <w:rsid w:val="00DF26CD"/>
    <w:rsid w:val="00DF2B65"/>
    <w:rsid w:val="00DF4067"/>
    <w:rsid w:val="00DF41E0"/>
    <w:rsid w:val="00DF7885"/>
    <w:rsid w:val="00DF7A73"/>
    <w:rsid w:val="00E004B7"/>
    <w:rsid w:val="00E0221D"/>
    <w:rsid w:val="00E02737"/>
    <w:rsid w:val="00E02D99"/>
    <w:rsid w:val="00E046F8"/>
    <w:rsid w:val="00E04B20"/>
    <w:rsid w:val="00E0539B"/>
    <w:rsid w:val="00E0570F"/>
    <w:rsid w:val="00E05DCD"/>
    <w:rsid w:val="00E068DD"/>
    <w:rsid w:val="00E069EB"/>
    <w:rsid w:val="00E07411"/>
    <w:rsid w:val="00E0796D"/>
    <w:rsid w:val="00E079CD"/>
    <w:rsid w:val="00E07F54"/>
    <w:rsid w:val="00E12C1C"/>
    <w:rsid w:val="00E13A26"/>
    <w:rsid w:val="00E14D27"/>
    <w:rsid w:val="00E158C6"/>
    <w:rsid w:val="00E21ACA"/>
    <w:rsid w:val="00E21E5E"/>
    <w:rsid w:val="00E2365C"/>
    <w:rsid w:val="00E23E3B"/>
    <w:rsid w:val="00E24E80"/>
    <w:rsid w:val="00E25078"/>
    <w:rsid w:val="00E261AA"/>
    <w:rsid w:val="00E265C4"/>
    <w:rsid w:val="00E268DB"/>
    <w:rsid w:val="00E26BDA"/>
    <w:rsid w:val="00E270D9"/>
    <w:rsid w:val="00E270F3"/>
    <w:rsid w:val="00E303BC"/>
    <w:rsid w:val="00E30900"/>
    <w:rsid w:val="00E31FC4"/>
    <w:rsid w:val="00E33B92"/>
    <w:rsid w:val="00E33FA4"/>
    <w:rsid w:val="00E341FA"/>
    <w:rsid w:val="00E349D5"/>
    <w:rsid w:val="00E34BC2"/>
    <w:rsid w:val="00E357B1"/>
    <w:rsid w:val="00E3616E"/>
    <w:rsid w:val="00E363B5"/>
    <w:rsid w:val="00E36AB4"/>
    <w:rsid w:val="00E37253"/>
    <w:rsid w:val="00E3772F"/>
    <w:rsid w:val="00E377C3"/>
    <w:rsid w:val="00E3784E"/>
    <w:rsid w:val="00E40960"/>
    <w:rsid w:val="00E415C4"/>
    <w:rsid w:val="00E4190B"/>
    <w:rsid w:val="00E4234E"/>
    <w:rsid w:val="00E42AC9"/>
    <w:rsid w:val="00E4302B"/>
    <w:rsid w:val="00E43198"/>
    <w:rsid w:val="00E4343F"/>
    <w:rsid w:val="00E439A9"/>
    <w:rsid w:val="00E440F4"/>
    <w:rsid w:val="00E44AA6"/>
    <w:rsid w:val="00E44F34"/>
    <w:rsid w:val="00E46070"/>
    <w:rsid w:val="00E46267"/>
    <w:rsid w:val="00E4662F"/>
    <w:rsid w:val="00E4790E"/>
    <w:rsid w:val="00E50704"/>
    <w:rsid w:val="00E519D6"/>
    <w:rsid w:val="00E551D9"/>
    <w:rsid w:val="00E562C1"/>
    <w:rsid w:val="00E56744"/>
    <w:rsid w:val="00E570B8"/>
    <w:rsid w:val="00E5792E"/>
    <w:rsid w:val="00E607D4"/>
    <w:rsid w:val="00E6101F"/>
    <w:rsid w:val="00E61F1E"/>
    <w:rsid w:val="00E61FC8"/>
    <w:rsid w:val="00E62A25"/>
    <w:rsid w:val="00E64B6A"/>
    <w:rsid w:val="00E65626"/>
    <w:rsid w:val="00E65A27"/>
    <w:rsid w:val="00E712B0"/>
    <w:rsid w:val="00E713FE"/>
    <w:rsid w:val="00E7167C"/>
    <w:rsid w:val="00E71DBB"/>
    <w:rsid w:val="00E72C6E"/>
    <w:rsid w:val="00E73E95"/>
    <w:rsid w:val="00E7462A"/>
    <w:rsid w:val="00E80386"/>
    <w:rsid w:val="00E804BA"/>
    <w:rsid w:val="00E80600"/>
    <w:rsid w:val="00E81A04"/>
    <w:rsid w:val="00E82051"/>
    <w:rsid w:val="00E823AD"/>
    <w:rsid w:val="00E82409"/>
    <w:rsid w:val="00E83FB6"/>
    <w:rsid w:val="00E84497"/>
    <w:rsid w:val="00E84C62"/>
    <w:rsid w:val="00E857A9"/>
    <w:rsid w:val="00E8625B"/>
    <w:rsid w:val="00E867BF"/>
    <w:rsid w:val="00E86850"/>
    <w:rsid w:val="00E87ABC"/>
    <w:rsid w:val="00E87DB1"/>
    <w:rsid w:val="00E91021"/>
    <w:rsid w:val="00E916E2"/>
    <w:rsid w:val="00E926DF"/>
    <w:rsid w:val="00E93AEA"/>
    <w:rsid w:val="00E93E24"/>
    <w:rsid w:val="00E94665"/>
    <w:rsid w:val="00E94F80"/>
    <w:rsid w:val="00E979F8"/>
    <w:rsid w:val="00E97AC1"/>
    <w:rsid w:val="00E97D6A"/>
    <w:rsid w:val="00E97FBF"/>
    <w:rsid w:val="00EA038A"/>
    <w:rsid w:val="00EA11D9"/>
    <w:rsid w:val="00EA2291"/>
    <w:rsid w:val="00EA24B3"/>
    <w:rsid w:val="00EA304F"/>
    <w:rsid w:val="00EA334D"/>
    <w:rsid w:val="00EA3355"/>
    <w:rsid w:val="00EA34E6"/>
    <w:rsid w:val="00EA3664"/>
    <w:rsid w:val="00EA39E6"/>
    <w:rsid w:val="00EA39F9"/>
    <w:rsid w:val="00EA46F6"/>
    <w:rsid w:val="00EA4792"/>
    <w:rsid w:val="00EA5CA8"/>
    <w:rsid w:val="00EA5F04"/>
    <w:rsid w:val="00EA61CE"/>
    <w:rsid w:val="00EB18F5"/>
    <w:rsid w:val="00EB2541"/>
    <w:rsid w:val="00EB5C5A"/>
    <w:rsid w:val="00EB645D"/>
    <w:rsid w:val="00EB6FB4"/>
    <w:rsid w:val="00EB70BD"/>
    <w:rsid w:val="00EB7250"/>
    <w:rsid w:val="00EC0F87"/>
    <w:rsid w:val="00EC140B"/>
    <w:rsid w:val="00EC1C1D"/>
    <w:rsid w:val="00EC2407"/>
    <w:rsid w:val="00EC29A4"/>
    <w:rsid w:val="00EC2A7A"/>
    <w:rsid w:val="00EC32D6"/>
    <w:rsid w:val="00EC331D"/>
    <w:rsid w:val="00EC339D"/>
    <w:rsid w:val="00EC360B"/>
    <w:rsid w:val="00EC3DA0"/>
    <w:rsid w:val="00EC56EB"/>
    <w:rsid w:val="00EC5DC2"/>
    <w:rsid w:val="00EC6EF0"/>
    <w:rsid w:val="00ED0DA5"/>
    <w:rsid w:val="00ED1B2F"/>
    <w:rsid w:val="00ED1BC0"/>
    <w:rsid w:val="00ED2BB7"/>
    <w:rsid w:val="00ED2CCF"/>
    <w:rsid w:val="00ED49A9"/>
    <w:rsid w:val="00ED4AAF"/>
    <w:rsid w:val="00ED5560"/>
    <w:rsid w:val="00ED5D79"/>
    <w:rsid w:val="00ED6360"/>
    <w:rsid w:val="00ED669A"/>
    <w:rsid w:val="00ED6BA4"/>
    <w:rsid w:val="00ED7617"/>
    <w:rsid w:val="00ED7802"/>
    <w:rsid w:val="00EE0322"/>
    <w:rsid w:val="00EE0F8C"/>
    <w:rsid w:val="00EE11FC"/>
    <w:rsid w:val="00EE1CA1"/>
    <w:rsid w:val="00EE20BF"/>
    <w:rsid w:val="00EE367B"/>
    <w:rsid w:val="00EE3872"/>
    <w:rsid w:val="00EE47D6"/>
    <w:rsid w:val="00EE5093"/>
    <w:rsid w:val="00EE5E91"/>
    <w:rsid w:val="00EE7CD9"/>
    <w:rsid w:val="00EE7F62"/>
    <w:rsid w:val="00EF0697"/>
    <w:rsid w:val="00EF2D29"/>
    <w:rsid w:val="00EF3457"/>
    <w:rsid w:val="00EF5B86"/>
    <w:rsid w:val="00EF5F21"/>
    <w:rsid w:val="00EF629E"/>
    <w:rsid w:val="00EF7065"/>
    <w:rsid w:val="00EF71EF"/>
    <w:rsid w:val="00EF7EF7"/>
    <w:rsid w:val="00F003BC"/>
    <w:rsid w:val="00F007E2"/>
    <w:rsid w:val="00F00B21"/>
    <w:rsid w:val="00F00C08"/>
    <w:rsid w:val="00F04669"/>
    <w:rsid w:val="00F046C8"/>
    <w:rsid w:val="00F04F47"/>
    <w:rsid w:val="00F06010"/>
    <w:rsid w:val="00F073E3"/>
    <w:rsid w:val="00F07441"/>
    <w:rsid w:val="00F07CB4"/>
    <w:rsid w:val="00F10251"/>
    <w:rsid w:val="00F10A6E"/>
    <w:rsid w:val="00F1102C"/>
    <w:rsid w:val="00F127E2"/>
    <w:rsid w:val="00F135C0"/>
    <w:rsid w:val="00F137B9"/>
    <w:rsid w:val="00F13AA3"/>
    <w:rsid w:val="00F13BD6"/>
    <w:rsid w:val="00F15C4F"/>
    <w:rsid w:val="00F162DF"/>
    <w:rsid w:val="00F16D10"/>
    <w:rsid w:val="00F17276"/>
    <w:rsid w:val="00F2005F"/>
    <w:rsid w:val="00F20139"/>
    <w:rsid w:val="00F20232"/>
    <w:rsid w:val="00F237F1"/>
    <w:rsid w:val="00F23F47"/>
    <w:rsid w:val="00F2418F"/>
    <w:rsid w:val="00F261AA"/>
    <w:rsid w:val="00F26839"/>
    <w:rsid w:val="00F271D9"/>
    <w:rsid w:val="00F27A4B"/>
    <w:rsid w:val="00F27EB2"/>
    <w:rsid w:val="00F31327"/>
    <w:rsid w:val="00F334EE"/>
    <w:rsid w:val="00F33C7B"/>
    <w:rsid w:val="00F35837"/>
    <w:rsid w:val="00F35942"/>
    <w:rsid w:val="00F361B2"/>
    <w:rsid w:val="00F36F70"/>
    <w:rsid w:val="00F36F82"/>
    <w:rsid w:val="00F371E2"/>
    <w:rsid w:val="00F37ECF"/>
    <w:rsid w:val="00F41995"/>
    <w:rsid w:val="00F42020"/>
    <w:rsid w:val="00F43AD4"/>
    <w:rsid w:val="00F44C77"/>
    <w:rsid w:val="00F45DC8"/>
    <w:rsid w:val="00F50C51"/>
    <w:rsid w:val="00F5271B"/>
    <w:rsid w:val="00F5271F"/>
    <w:rsid w:val="00F5347E"/>
    <w:rsid w:val="00F53A19"/>
    <w:rsid w:val="00F553A1"/>
    <w:rsid w:val="00F57AC0"/>
    <w:rsid w:val="00F57CFB"/>
    <w:rsid w:val="00F60880"/>
    <w:rsid w:val="00F6147A"/>
    <w:rsid w:val="00F61A82"/>
    <w:rsid w:val="00F62E1C"/>
    <w:rsid w:val="00F632DC"/>
    <w:rsid w:val="00F6332B"/>
    <w:rsid w:val="00F651C6"/>
    <w:rsid w:val="00F652B0"/>
    <w:rsid w:val="00F655F3"/>
    <w:rsid w:val="00F65808"/>
    <w:rsid w:val="00F6589E"/>
    <w:rsid w:val="00F65B0F"/>
    <w:rsid w:val="00F65D29"/>
    <w:rsid w:val="00F66788"/>
    <w:rsid w:val="00F66C15"/>
    <w:rsid w:val="00F66D05"/>
    <w:rsid w:val="00F67008"/>
    <w:rsid w:val="00F70356"/>
    <w:rsid w:val="00F731D3"/>
    <w:rsid w:val="00F75D9B"/>
    <w:rsid w:val="00F772B9"/>
    <w:rsid w:val="00F773C1"/>
    <w:rsid w:val="00F80561"/>
    <w:rsid w:val="00F80584"/>
    <w:rsid w:val="00F806F9"/>
    <w:rsid w:val="00F831EB"/>
    <w:rsid w:val="00F83E40"/>
    <w:rsid w:val="00F84CB9"/>
    <w:rsid w:val="00F851F8"/>
    <w:rsid w:val="00F85585"/>
    <w:rsid w:val="00F86DA8"/>
    <w:rsid w:val="00F86E12"/>
    <w:rsid w:val="00F90BE1"/>
    <w:rsid w:val="00F912E9"/>
    <w:rsid w:val="00F915CA"/>
    <w:rsid w:val="00F915ED"/>
    <w:rsid w:val="00F91A05"/>
    <w:rsid w:val="00F91BA3"/>
    <w:rsid w:val="00F93569"/>
    <w:rsid w:val="00F945A5"/>
    <w:rsid w:val="00F95B1E"/>
    <w:rsid w:val="00F97BDB"/>
    <w:rsid w:val="00FA03C0"/>
    <w:rsid w:val="00FA09C7"/>
    <w:rsid w:val="00FA0DF9"/>
    <w:rsid w:val="00FA16F7"/>
    <w:rsid w:val="00FA17C8"/>
    <w:rsid w:val="00FA18C8"/>
    <w:rsid w:val="00FA4128"/>
    <w:rsid w:val="00FA47D9"/>
    <w:rsid w:val="00FA5DB7"/>
    <w:rsid w:val="00FA5FE1"/>
    <w:rsid w:val="00FA72F6"/>
    <w:rsid w:val="00FB0462"/>
    <w:rsid w:val="00FB191D"/>
    <w:rsid w:val="00FB3193"/>
    <w:rsid w:val="00FB48DE"/>
    <w:rsid w:val="00FB5025"/>
    <w:rsid w:val="00FB5279"/>
    <w:rsid w:val="00FB6E7D"/>
    <w:rsid w:val="00FB7291"/>
    <w:rsid w:val="00FB7569"/>
    <w:rsid w:val="00FC05DF"/>
    <w:rsid w:val="00FC1A13"/>
    <w:rsid w:val="00FC280E"/>
    <w:rsid w:val="00FC3065"/>
    <w:rsid w:val="00FC30C5"/>
    <w:rsid w:val="00FC31A5"/>
    <w:rsid w:val="00FC325E"/>
    <w:rsid w:val="00FC4304"/>
    <w:rsid w:val="00FC49D9"/>
    <w:rsid w:val="00FC4BA1"/>
    <w:rsid w:val="00FC5B6A"/>
    <w:rsid w:val="00FC5DC5"/>
    <w:rsid w:val="00FC6D33"/>
    <w:rsid w:val="00FC7AB8"/>
    <w:rsid w:val="00FD08AF"/>
    <w:rsid w:val="00FD189E"/>
    <w:rsid w:val="00FD1A86"/>
    <w:rsid w:val="00FD26BA"/>
    <w:rsid w:val="00FD2BE8"/>
    <w:rsid w:val="00FD3CC3"/>
    <w:rsid w:val="00FD648C"/>
    <w:rsid w:val="00FD6C78"/>
    <w:rsid w:val="00FD6F83"/>
    <w:rsid w:val="00FD7295"/>
    <w:rsid w:val="00FD7ABB"/>
    <w:rsid w:val="00FE03A9"/>
    <w:rsid w:val="00FE03BC"/>
    <w:rsid w:val="00FE0659"/>
    <w:rsid w:val="00FE072C"/>
    <w:rsid w:val="00FE265B"/>
    <w:rsid w:val="00FE3985"/>
    <w:rsid w:val="00FE472A"/>
    <w:rsid w:val="00FE55D7"/>
    <w:rsid w:val="00FE575A"/>
    <w:rsid w:val="00FE6025"/>
    <w:rsid w:val="00FE6120"/>
    <w:rsid w:val="00FE6C07"/>
    <w:rsid w:val="00FE70EA"/>
    <w:rsid w:val="00FE770B"/>
    <w:rsid w:val="00FF0F8E"/>
    <w:rsid w:val="00FF15AC"/>
    <w:rsid w:val="00FF1ABF"/>
    <w:rsid w:val="00FF2940"/>
    <w:rsid w:val="00FF2C02"/>
    <w:rsid w:val="00FF42D0"/>
    <w:rsid w:val="00FF4D53"/>
    <w:rsid w:val="00FF5150"/>
    <w:rsid w:val="00FF664E"/>
    <w:rsid w:val="00FF7704"/>
    <w:rsid w:val="00FF78B8"/>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0B1F6"/>
  <w15:docId w15:val="{B7433FEA-E28E-4E9F-A771-5E5A4B5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before="240" w:after="60"/>
        <w:ind w:left="1134" w:hanging="113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45A7"/>
    <w:pPr>
      <w:spacing w:before="120" w:after="120" w:line="276" w:lineRule="auto"/>
      <w:ind w:left="0" w:firstLine="0"/>
      <w:jc w:val="both"/>
    </w:pPr>
    <w:rPr>
      <w:rFonts w:ascii="Calibri" w:hAnsi="Calibri"/>
    </w:rPr>
  </w:style>
  <w:style w:type="paragraph" w:styleId="Heading1">
    <w:name w:val="heading 1"/>
    <w:basedOn w:val="Normal"/>
    <w:next w:val="Normal"/>
    <w:link w:val="Heading1Char"/>
    <w:uiPriority w:val="9"/>
    <w:qFormat/>
    <w:rsid w:val="00753BA3"/>
    <w:pPr>
      <w:keepNext/>
      <w:keepLines/>
      <w:pageBreakBefore/>
      <w:numPr>
        <w:numId w:val="1"/>
      </w:numPr>
      <w:spacing w:before="480" w:after="0"/>
      <w:ind w:left="431" w:hanging="43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F772B9"/>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72B9"/>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772B9"/>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50C5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C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C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C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C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BA3"/>
    <w:rPr>
      <w:rFonts w:ascii="Calibri" w:eastAsiaTheme="majorEastAsia" w:hAnsi="Calibri" w:cstheme="majorBidi"/>
      <w:b/>
      <w:bCs/>
      <w:color w:val="4F81BD" w:themeColor="accent1"/>
      <w:sz w:val="28"/>
      <w:szCs w:val="28"/>
    </w:rPr>
  </w:style>
  <w:style w:type="character" w:customStyle="1" w:styleId="Heading2Char">
    <w:name w:val="Heading 2 Char"/>
    <w:basedOn w:val="DefaultParagraphFont"/>
    <w:link w:val="Heading2"/>
    <w:uiPriority w:val="9"/>
    <w:rsid w:val="00F772B9"/>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F772B9"/>
    <w:rPr>
      <w:rFonts w:ascii="Calibri" w:eastAsiaTheme="majorEastAsia" w:hAnsi="Calibri" w:cstheme="majorBidi"/>
      <w:b/>
      <w:bCs/>
    </w:rPr>
  </w:style>
  <w:style w:type="character" w:customStyle="1" w:styleId="Heading4Char">
    <w:name w:val="Heading 4 Char"/>
    <w:basedOn w:val="DefaultParagraphFont"/>
    <w:link w:val="Heading4"/>
    <w:uiPriority w:val="9"/>
    <w:rsid w:val="00F772B9"/>
    <w:rPr>
      <w:rFonts w:ascii="Calibri" w:eastAsiaTheme="majorEastAsia" w:hAnsi="Calibri" w:cstheme="majorBidi"/>
      <w:b/>
      <w:bCs/>
      <w:iCs/>
    </w:rPr>
  </w:style>
  <w:style w:type="character" w:customStyle="1" w:styleId="Heading5Char">
    <w:name w:val="Heading 5 Char"/>
    <w:basedOn w:val="DefaultParagraphFont"/>
    <w:link w:val="Heading5"/>
    <w:uiPriority w:val="9"/>
    <w:semiHidden/>
    <w:rsid w:val="00F50C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C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C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C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C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A4792"/>
    <w:pPr>
      <w:spacing w:line="240" w:lineRule="auto"/>
      <w:jc w:val="center"/>
    </w:pPr>
    <w:rPr>
      <w:b/>
      <w:bCs/>
      <w:sz w:val="18"/>
      <w:szCs w:val="18"/>
    </w:rPr>
  </w:style>
  <w:style w:type="paragraph" w:styleId="ListParagraph">
    <w:name w:val="List Paragraph"/>
    <w:basedOn w:val="Normal"/>
    <w:uiPriority w:val="34"/>
    <w:qFormat/>
    <w:rsid w:val="00D61D91"/>
    <w:pPr>
      <w:widowControl w:val="0"/>
      <w:spacing w:before="0"/>
      <w:ind w:left="720"/>
      <w:contextualSpacing/>
    </w:pPr>
    <w:rPr>
      <w:lang w:val="en-GB"/>
    </w:rPr>
  </w:style>
  <w:style w:type="paragraph" w:styleId="BalloonText">
    <w:name w:val="Balloon Text"/>
    <w:basedOn w:val="Normal"/>
    <w:link w:val="BalloonTextChar"/>
    <w:uiPriority w:val="99"/>
    <w:semiHidden/>
    <w:unhideWhenUsed/>
    <w:rsid w:val="00D61D91"/>
    <w:pPr>
      <w:widowControl w:val="0"/>
      <w:spacing w:before="0"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61D91"/>
    <w:rPr>
      <w:rFonts w:ascii="Tahoma" w:hAnsi="Tahoma" w:cs="Tahoma"/>
      <w:sz w:val="16"/>
      <w:szCs w:val="16"/>
      <w:lang w:val="en-GB"/>
    </w:rPr>
  </w:style>
  <w:style w:type="character" w:customStyle="1" w:styleId="shorttext">
    <w:name w:val="short_text"/>
    <w:basedOn w:val="DefaultParagraphFont"/>
    <w:rsid w:val="00D61D91"/>
  </w:style>
  <w:style w:type="character" w:customStyle="1" w:styleId="hps">
    <w:name w:val="hps"/>
    <w:basedOn w:val="DefaultParagraphFont"/>
    <w:rsid w:val="00D61D91"/>
  </w:style>
  <w:style w:type="paragraph" w:customStyle="1" w:styleId="Default">
    <w:name w:val="Default"/>
    <w:rsid w:val="00D61D91"/>
    <w:pPr>
      <w:autoSpaceDE w:val="0"/>
      <w:autoSpaceDN w:val="0"/>
      <w:adjustRightInd w:val="0"/>
      <w:spacing w:before="0" w:after="0"/>
      <w:ind w:left="0" w:firstLine="0"/>
    </w:pPr>
    <w:rPr>
      <w:rFonts w:ascii="Arial MT" w:hAnsi="Arial MT" w:cs="Arial MT"/>
      <w:color w:val="000000"/>
      <w:sz w:val="24"/>
      <w:szCs w:val="24"/>
      <w:lang w:val="en-GB"/>
    </w:rPr>
  </w:style>
  <w:style w:type="paragraph" w:styleId="Header">
    <w:name w:val="header"/>
    <w:basedOn w:val="Normal"/>
    <w:link w:val="HeaderChar"/>
    <w:uiPriority w:val="99"/>
    <w:unhideWhenUsed/>
    <w:rsid w:val="00D61D91"/>
    <w:pPr>
      <w:widowControl w:val="0"/>
      <w:tabs>
        <w:tab w:val="center" w:pos="4513"/>
        <w:tab w:val="right" w:pos="9026"/>
      </w:tabs>
      <w:spacing w:before="0" w:after="0" w:line="240" w:lineRule="auto"/>
    </w:pPr>
    <w:rPr>
      <w:lang w:val="en-GB"/>
    </w:rPr>
  </w:style>
  <w:style w:type="character" w:customStyle="1" w:styleId="HeaderChar">
    <w:name w:val="Header Char"/>
    <w:basedOn w:val="DefaultParagraphFont"/>
    <w:link w:val="Header"/>
    <w:uiPriority w:val="99"/>
    <w:rsid w:val="00D61D91"/>
    <w:rPr>
      <w:rFonts w:ascii="Arial" w:hAnsi="Arial"/>
      <w:sz w:val="24"/>
      <w:lang w:val="en-GB"/>
    </w:rPr>
  </w:style>
  <w:style w:type="paragraph" w:styleId="Footer">
    <w:name w:val="footer"/>
    <w:basedOn w:val="Normal"/>
    <w:link w:val="FooterChar"/>
    <w:uiPriority w:val="99"/>
    <w:unhideWhenUsed/>
    <w:rsid w:val="00D61D91"/>
    <w:pPr>
      <w:widowControl w:val="0"/>
      <w:tabs>
        <w:tab w:val="center" w:pos="4513"/>
        <w:tab w:val="right" w:pos="9026"/>
      </w:tabs>
      <w:spacing w:before="0" w:after="0" w:line="240" w:lineRule="auto"/>
    </w:pPr>
    <w:rPr>
      <w:lang w:val="en-GB"/>
    </w:rPr>
  </w:style>
  <w:style w:type="character" w:customStyle="1" w:styleId="FooterChar">
    <w:name w:val="Footer Char"/>
    <w:basedOn w:val="DefaultParagraphFont"/>
    <w:link w:val="Footer"/>
    <w:uiPriority w:val="99"/>
    <w:rsid w:val="00D61D91"/>
    <w:rPr>
      <w:rFonts w:ascii="Arial" w:hAnsi="Arial"/>
      <w:sz w:val="24"/>
      <w:lang w:val="en-GB"/>
    </w:rPr>
  </w:style>
  <w:style w:type="character" w:styleId="Hyperlink">
    <w:name w:val="Hyperlink"/>
    <w:basedOn w:val="DefaultParagraphFont"/>
    <w:uiPriority w:val="99"/>
    <w:unhideWhenUsed/>
    <w:rsid w:val="00D61D91"/>
    <w:rPr>
      <w:color w:val="0000FF" w:themeColor="hyperlink"/>
      <w:u w:val="single"/>
    </w:rPr>
  </w:style>
  <w:style w:type="paragraph" w:styleId="NormalWeb">
    <w:name w:val="Normal (Web)"/>
    <w:basedOn w:val="Normal"/>
    <w:unhideWhenUsed/>
    <w:rsid w:val="00D61D91"/>
    <w:pPr>
      <w:spacing w:before="100" w:beforeAutospacing="1" w:after="100" w:afterAutospacing="1" w:line="240" w:lineRule="auto"/>
    </w:pPr>
    <w:rPr>
      <w:rFonts w:ascii="Times New Roman" w:eastAsia="Times New Roman" w:hAnsi="Times New Roman" w:cs="Times New Roman"/>
      <w:szCs w:val="24"/>
      <w:lang w:val="en-GB" w:eastAsia="en-GB"/>
    </w:rPr>
  </w:style>
  <w:style w:type="table" w:styleId="TableGrid">
    <w:name w:val="Table Grid"/>
    <w:basedOn w:val="TableNormal"/>
    <w:uiPriority w:val="59"/>
    <w:rsid w:val="00D61D91"/>
    <w:pPr>
      <w:widowControl w:val="0"/>
      <w:spacing w:before="0" w:after="0"/>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1D91"/>
    <w:rPr>
      <w:color w:val="800080" w:themeColor="followedHyperlink"/>
      <w:u w:val="single"/>
    </w:rPr>
  </w:style>
  <w:style w:type="character" w:customStyle="1" w:styleId="st">
    <w:name w:val="st"/>
    <w:basedOn w:val="DefaultParagraphFont"/>
    <w:rsid w:val="00D61D91"/>
  </w:style>
  <w:style w:type="paragraph" w:styleId="TOCHeading">
    <w:name w:val="TOC Heading"/>
    <w:basedOn w:val="Heading1"/>
    <w:next w:val="Normal"/>
    <w:uiPriority w:val="39"/>
    <w:unhideWhenUsed/>
    <w:qFormat/>
    <w:rsid w:val="00B66527"/>
    <w:pPr>
      <w:pageBreakBefore w:val="0"/>
      <w:numPr>
        <w:numId w:val="0"/>
      </w:num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5306F"/>
    <w:pPr>
      <w:tabs>
        <w:tab w:val="left" w:pos="480"/>
        <w:tab w:val="right" w:leader="dot" w:pos="8896"/>
      </w:tabs>
      <w:spacing w:after="100"/>
    </w:pPr>
    <w:rPr>
      <w:rFonts w:eastAsia="Calibri"/>
      <w:b/>
      <w:noProof/>
      <w:lang w:val="en-GB"/>
    </w:rPr>
  </w:style>
  <w:style w:type="paragraph" w:styleId="TOC2">
    <w:name w:val="toc 2"/>
    <w:basedOn w:val="Normal"/>
    <w:next w:val="Normal"/>
    <w:autoRedefine/>
    <w:uiPriority w:val="39"/>
    <w:unhideWhenUsed/>
    <w:rsid w:val="00B66527"/>
    <w:pPr>
      <w:spacing w:after="100"/>
      <w:ind w:left="240"/>
    </w:pPr>
  </w:style>
  <w:style w:type="paragraph" w:styleId="TOC3">
    <w:name w:val="toc 3"/>
    <w:basedOn w:val="Normal"/>
    <w:next w:val="Normal"/>
    <w:autoRedefine/>
    <w:uiPriority w:val="39"/>
    <w:unhideWhenUsed/>
    <w:rsid w:val="00B66527"/>
    <w:pPr>
      <w:spacing w:after="100"/>
      <w:ind w:left="480"/>
    </w:pPr>
  </w:style>
  <w:style w:type="paragraph" w:customStyle="1" w:styleId="Heading31">
    <w:name w:val="Heading 31"/>
    <w:basedOn w:val="Normal"/>
    <w:next w:val="Normal"/>
    <w:uiPriority w:val="9"/>
    <w:unhideWhenUsed/>
    <w:qFormat/>
    <w:rsid w:val="004F4206"/>
    <w:pPr>
      <w:keepNext/>
      <w:keepLines/>
      <w:spacing w:before="200" w:after="0"/>
      <w:ind w:left="720" w:hanging="720"/>
      <w:outlineLvl w:val="2"/>
    </w:pPr>
    <w:rPr>
      <w:rFonts w:eastAsia="Times New Roman" w:cs="Times New Roman"/>
      <w:b/>
      <w:bCs/>
    </w:rPr>
  </w:style>
  <w:style w:type="paragraph" w:customStyle="1" w:styleId="Heading41">
    <w:name w:val="Heading 41"/>
    <w:basedOn w:val="Normal"/>
    <w:next w:val="Normal"/>
    <w:uiPriority w:val="9"/>
    <w:unhideWhenUsed/>
    <w:qFormat/>
    <w:rsid w:val="00D9574A"/>
    <w:pPr>
      <w:keepNext/>
      <w:keepLines/>
      <w:spacing w:before="200" w:after="0"/>
      <w:ind w:left="864" w:hanging="864"/>
      <w:outlineLvl w:val="3"/>
    </w:pPr>
    <w:rPr>
      <w:rFonts w:eastAsia="Times New Roman" w:cs="Times New Roman"/>
      <w:b/>
      <w:bCs/>
      <w:iCs/>
      <w:color w:val="4F81BD" w:themeColor="accent1"/>
      <w:sz w:val="28"/>
    </w:rPr>
  </w:style>
  <w:style w:type="paragraph" w:customStyle="1" w:styleId="Heading51">
    <w:name w:val="Heading 51"/>
    <w:basedOn w:val="Normal"/>
    <w:next w:val="Normal"/>
    <w:uiPriority w:val="9"/>
    <w:semiHidden/>
    <w:unhideWhenUsed/>
    <w:qFormat/>
    <w:rsid w:val="004F4206"/>
    <w:pPr>
      <w:keepNext/>
      <w:keepLines/>
      <w:spacing w:before="200" w:after="0"/>
      <w:ind w:left="1008" w:hanging="1008"/>
      <w:outlineLvl w:val="4"/>
    </w:pPr>
    <w:rPr>
      <w:rFonts w:eastAsia="Times New Roman" w:cs="Times New Roman"/>
      <w:color w:val="243F60"/>
    </w:rPr>
  </w:style>
  <w:style w:type="paragraph" w:customStyle="1" w:styleId="Heading61">
    <w:name w:val="Heading 61"/>
    <w:basedOn w:val="Normal"/>
    <w:next w:val="Normal"/>
    <w:uiPriority w:val="9"/>
    <w:semiHidden/>
    <w:unhideWhenUsed/>
    <w:qFormat/>
    <w:rsid w:val="004F4206"/>
    <w:pPr>
      <w:keepNext/>
      <w:keepLines/>
      <w:spacing w:before="200" w:after="0"/>
      <w:ind w:left="1152" w:hanging="1152"/>
      <w:outlineLvl w:val="5"/>
    </w:pPr>
    <w:rPr>
      <w:rFonts w:eastAsia="Times New Roman" w:cs="Times New Roman"/>
      <w:i/>
      <w:iCs/>
      <w:color w:val="243F60"/>
    </w:rPr>
  </w:style>
  <w:style w:type="paragraph" w:customStyle="1" w:styleId="Heading71">
    <w:name w:val="Heading 71"/>
    <w:basedOn w:val="Normal"/>
    <w:next w:val="Normal"/>
    <w:uiPriority w:val="9"/>
    <w:semiHidden/>
    <w:unhideWhenUsed/>
    <w:qFormat/>
    <w:rsid w:val="004F4206"/>
    <w:pPr>
      <w:keepNext/>
      <w:keepLines/>
      <w:spacing w:before="200" w:after="0"/>
      <w:ind w:left="1296" w:hanging="1296"/>
      <w:outlineLvl w:val="6"/>
    </w:pPr>
    <w:rPr>
      <w:rFonts w:eastAsia="Times New Roman" w:cs="Times New Roman"/>
      <w:i/>
      <w:iCs/>
      <w:color w:val="404040"/>
    </w:rPr>
  </w:style>
  <w:style w:type="paragraph" w:customStyle="1" w:styleId="Heading81">
    <w:name w:val="Heading 81"/>
    <w:basedOn w:val="Normal"/>
    <w:next w:val="Normal"/>
    <w:uiPriority w:val="9"/>
    <w:semiHidden/>
    <w:unhideWhenUsed/>
    <w:qFormat/>
    <w:rsid w:val="004F4206"/>
    <w:pPr>
      <w:keepNext/>
      <w:keepLines/>
      <w:spacing w:before="200" w:after="0"/>
      <w:ind w:left="1440" w:hanging="1440"/>
      <w:outlineLvl w:val="7"/>
    </w:pPr>
    <w:rPr>
      <w:rFonts w:eastAsia="Times New Roman" w:cs="Times New Roman"/>
      <w:color w:val="404040"/>
      <w:sz w:val="20"/>
      <w:szCs w:val="20"/>
    </w:rPr>
  </w:style>
  <w:style w:type="paragraph" w:customStyle="1" w:styleId="Heading91">
    <w:name w:val="Heading 91"/>
    <w:basedOn w:val="Normal"/>
    <w:next w:val="Normal"/>
    <w:uiPriority w:val="9"/>
    <w:semiHidden/>
    <w:unhideWhenUsed/>
    <w:qFormat/>
    <w:rsid w:val="004F4206"/>
    <w:pPr>
      <w:keepNext/>
      <w:keepLines/>
      <w:spacing w:before="200" w:after="0"/>
      <w:ind w:left="1584" w:hanging="1584"/>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4F4206"/>
  </w:style>
  <w:style w:type="character" w:customStyle="1" w:styleId="Hyperlink1">
    <w:name w:val="Hyperlink1"/>
    <w:basedOn w:val="DefaultParagraphFont"/>
    <w:uiPriority w:val="99"/>
    <w:unhideWhenUsed/>
    <w:rsid w:val="004F4206"/>
    <w:rPr>
      <w:color w:val="0000FF"/>
      <w:u w:val="single"/>
    </w:rPr>
  </w:style>
  <w:style w:type="character" w:customStyle="1" w:styleId="FollowedHyperlink1">
    <w:name w:val="FollowedHyperlink1"/>
    <w:basedOn w:val="DefaultParagraphFont"/>
    <w:uiPriority w:val="99"/>
    <w:semiHidden/>
    <w:unhideWhenUsed/>
    <w:rsid w:val="004F4206"/>
    <w:rPr>
      <w:color w:val="800080"/>
      <w:u w:val="single"/>
    </w:rPr>
  </w:style>
  <w:style w:type="paragraph" w:customStyle="1" w:styleId="TOCHeading1">
    <w:name w:val="TOC Heading1"/>
    <w:basedOn w:val="Heading1"/>
    <w:next w:val="Normal"/>
    <w:uiPriority w:val="39"/>
    <w:unhideWhenUsed/>
    <w:qFormat/>
    <w:rsid w:val="004F4206"/>
    <w:pPr>
      <w:pageBreakBefore w:val="0"/>
      <w:numPr>
        <w:numId w:val="0"/>
      </w:numPr>
      <w:jc w:val="left"/>
      <w:outlineLvl w:val="9"/>
    </w:pPr>
    <w:rPr>
      <w:rFonts w:asciiTheme="majorHAnsi" w:hAnsiTheme="majorHAnsi"/>
      <w:color w:val="365F91" w:themeColor="accent1" w:themeShade="BF"/>
      <w:lang w:val="en-US" w:eastAsia="ja-JP"/>
    </w:rPr>
  </w:style>
  <w:style w:type="character" w:customStyle="1" w:styleId="Heading3Char1">
    <w:name w:val="Heading 3 Char1"/>
    <w:basedOn w:val="DefaultParagraphFont"/>
    <w:uiPriority w:val="9"/>
    <w:semiHidden/>
    <w:rsid w:val="004F4206"/>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4F4206"/>
    <w:rPr>
      <w:rFonts w:asciiTheme="majorHAnsi" w:eastAsiaTheme="majorEastAsia" w:hAnsiTheme="majorHAnsi" w:cstheme="majorBidi"/>
      <w:b/>
      <w:bCs/>
      <w:i/>
      <w:iCs/>
      <w:color w:val="4F81BD" w:themeColor="accent1"/>
      <w:sz w:val="24"/>
    </w:rPr>
  </w:style>
  <w:style w:type="character" w:customStyle="1" w:styleId="Heading5Char1">
    <w:name w:val="Heading 5 Char1"/>
    <w:basedOn w:val="DefaultParagraphFont"/>
    <w:uiPriority w:val="9"/>
    <w:semiHidden/>
    <w:rsid w:val="004F4206"/>
    <w:rPr>
      <w:rFonts w:asciiTheme="majorHAnsi" w:eastAsiaTheme="majorEastAsia" w:hAnsiTheme="majorHAnsi" w:cstheme="majorBidi"/>
      <w:color w:val="243F60" w:themeColor="accent1" w:themeShade="7F"/>
      <w:sz w:val="24"/>
    </w:rPr>
  </w:style>
  <w:style w:type="character" w:customStyle="1" w:styleId="Heading6Char1">
    <w:name w:val="Heading 6 Char1"/>
    <w:basedOn w:val="DefaultParagraphFont"/>
    <w:uiPriority w:val="9"/>
    <w:semiHidden/>
    <w:rsid w:val="004F4206"/>
    <w:rPr>
      <w:rFonts w:asciiTheme="majorHAnsi" w:eastAsiaTheme="majorEastAsia" w:hAnsiTheme="majorHAnsi" w:cstheme="majorBidi"/>
      <w:i/>
      <w:iCs/>
      <w:color w:val="243F60" w:themeColor="accent1" w:themeShade="7F"/>
      <w:sz w:val="24"/>
    </w:rPr>
  </w:style>
  <w:style w:type="character" w:customStyle="1" w:styleId="Heading7Char1">
    <w:name w:val="Heading 7 Char1"/>
    <w:basedOn w:val="DefaultParagraphFont"/>
    <w:uiPriority w:val="9"/>
    <w:semiHidden/>
    <w:rsid w:val="004F4206"/>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uiPriority w:val="9"/>
    <w:semiHidden/>
    <w:rsid w:val="004F420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4F420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4F4206"/>
    <w:rPr>
      <w:sz w:val="16"/>
      <w:szCs w:val="16"/>
    </w:rPr>
  </w:style>
  <w:style w:type="paragraph" w:styleId="CommentText">
    <w:name w:val="annotation text"/>
    <w:basedOn w:val="Normal"/>
    <w:link w:val="CommentTextChar"/>
    <w:uiPriority w:val="99"/>
    <w:semiHidden/>
    <w:unhideWhenUsed/>
    <w:rsid w:val="004F4206"/>
    <w:pPr>
      <w:widowControl w:val="0"/>
      <w:spacing w:before="0" w:line="240" w:lineRule="auto"/>
    </w:pPr>
    <w:rPr>
      <w:sz w:val="20"/>
      <w:szCs w:val="20"/>
      <w:lang w:val="en-GB"/>
    </w:rPr>
  </w:style>
  <w:style w:type="character" w:customStyle="1" w:styleId="CommentTextChar">
    <w:name w:val="Comment Text Char"/>
    <w:basedOn w:val="DefaultParagraphFont"/>
    <w:link w:val="CommentText"/>
    <w:uiPriority w:val="99"/>
    <w:semiHidden/>
    <w:rsid w:val="004F420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F4206"/>
    <w:rPr>
      <w:b/>
      <w:bCs/>
    </w:rPr>
  </w:style>
  <w:style w:type="character" w:customStyle="1" w:styleId="CommentSubjectChar">
    <w:name w:val="Comment Subject Char"/>
    <w:basedOn w:val="CommentTextChar"/>
    <w:link w:val="CommentSubject"/>
    <w:uiPriority w:val="99"/>
    <w:semiHidden/>
    <w:rsid w:val="004F4206"/>
    <w:rPr>
      <w:rFonts w:ascii="Arial" w:hAnsi="Arial"/>
      <w:b/>
      <w:bCs/>
      <w:sz w:val="20"/>
      <w:szCs w:val="20"/>
      <w:lang w:val="en-GB"/>
    </w:rPr>
  </w:style>
  <w:style w:type="paragraph" w:styleId="TableofFigures">
    <w:name w:val="table of figures"/>
    <w:basedOn w:val="Normal"/>
    <w:next w:val="Normal"/>
    <w:uiPriority w:val="99"/>
    <w:unhideWhenUsed/>
    <w:rsid w:val="00272FBE"/>
    <w:pPr>
      <w:spacing w:after="0"/>
    </w:pPr>
  </w:style>
  <w:style w:type="table" w:customStyle="1" w:styleId="TableGrid1">
    <w:name w:val="Table Grid1"/>
    <w:basedOn w:val="TableNormal"/>
    <w:next w:val="TableGrid"/>
    <w:uiPriority w:val="59"/>
    <w:rsid w:val="006F5FFC"/>
    <w:pPr>
      <w:spacing w:before="0" w:after="0"/>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5FFC"/>
    <w:pPr>
      <w:spacing w:before="0" w:after="0"/>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636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ED636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7047B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FootnoteText">
    <w:name w:val="footnote text"/>
    <w:aliases w:val="single space,footnote text,fn,FOOTNOTES,Char,Footnote Text Char2 Char,Footnote Text Char1 Char Char,Footnote Text Char2 Char Char Char,Footnote Text Char1 Char Char Char Char,Footnote Text Char2 Char Char Char Char Char,ALTS FOOTNOTE,ADB"/>
    <w:basedOn w:val="Normal"/>
    <w:link w:val="FootnoteTextChar"/>
    <w:uiPriority w:val="99"/>
    <w:unhideWhenUsed/>
    <w:qFormat/>
    <w:rsid w:val="0095513C"/>
    <w:pPr>
      <w:spacing w:before="0" w:after="0" w:line="240" w:lineRule="auto"/>
      <w:jc w:val="left"/>
    </w:pPr>
    <w:rPr>
      <w:rFonts w:ascii="Times New Roman" w:eastAsia="Calibri" w:hAnsi="Times New Roman" w:cs="Times New Roman"/>
      <w:sz w:val="20"/>
      <w:szCs w:val="20"/>
      <w:lang w:val="en-US"/>
    </w:rPr>
  </w:style>
  <w:style w:type="character" w:customStyle="1" w:styleId="FootnoteTextChar">
    <w:name w:val="Footnote Text Char"/>
    <w:aliases w:val="single space Char,footnote text Char,fn Char,FOOTNOTES Char,Char Char,Footnote Text Char2 Char Char,Footnote Text Char1 Char Char Char,Footnote Text Char2 Char Char Char Char,Footnote Text Char1 Char Char Char Char Char,ADB Char"/>
    <w:basedOn w:val="DefaultParagraphFont"/>
    <w:link w:val="FootnoteText"/>
    <w:uiPriority w:val="99"/>
    <w:rsid w:val="0095513C"/>
    <w:rPr>
      <w:rFonts w:ascii="Times New Roman" w:eastAsia="Calibri" w:hAnsi="Times New Roman" w:cs="Times New Roman"/>
      <w:sz w:val="20"/>
      <w:szCs w:val="20"/>
      <w:lang w:val="en-US"/>
    </w:rPr>
  </w:style>
  <w:style w:type="character" w:styleId="FootnoteReference">
    <w:name w:val="footnote reference"/>
    <w:aliases w:val="ftref,16 Point,Superscript 6 Point,Car Car Char Car Char Car Car Char Car Char Char,Car Car Car Car Car Car Car Car Char Car Car Char Car Car Car Char Car Char Char Char,SUPERS,Знак сноски-FN,Footnote Reference Superscript,heading1"/>
    <w:link w:val="CarattereCarattereCharCharCharCharCharCharZchn"/>
    <w:uiPriority w:val="99"/>
    <w:unhideWhenUsed/>
    <w:qFormat/>
    <w:rsid w:val="0095513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5513C"/>
    <w:pPr>
      <w:spacing w:before="0" w:after="160" w:line="240" w:lineRule="exact"/>
      <w:jc w:val="left"/>
    </w:pPr>
    <w:rPr>
      <w:rFonts w:asciiTheme="minorHAnsi" w:hAnsiTheme="minorHAnsi"/>
      <w:vertAlign w:val="superscript"/>
    </w:rPr>
  </w:style>
  <w:style w:type="character" w:styleId="Emphasis">
    <w:name w:val="Emphasis"/>
    <w:basedOn w:val="DefaultParagraphFont"/>
    <w:uiPriority w:val="20"/>
    <w:qFormat/>
    <w:rsid w:val="0065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5998">
      <w:bodyDiv w:val="1"/>
      <w:marLeft w:val="0"/>
      <w:marRight w:val="0"/>
      <w:marTop w:val="0"/>
      <w:marBottom w:val="0"/>
      <w:divBdr>
        <w:top w:val="none" w:sz="0" w:space="0" w:color="auto"/>
        <w:left w:val="none" w:sz="0" w:space="0" w:color="auto"/>
        <w:bottom w:val="none" w:sz="0" w:space="0" w:color="auto"/>
        <w:right w:val="none" w:sz="0" w:space="0" w:color="auto"/>
      </w:divBdr>
    </w:div>
    <w:div w:id="60950383">
      <w:bodyDiv w:val="1"/>
      <w:marLeft w:val="0"/>
      <w:marRight w:val="0"/>
      <w:marTop w:val="0"/>
      <w:marBottom w:val="0"/>
      <w:divBdr>
        <w:top w:val="none" w:sz="0" w:space="0" w:color="auto"/>
        <w:left w:val="none" w:sz="0" w:space="0" w:color="auto"/>
        <w:bottom w:val="none" w:sz="0" w:space="0" w:color="auto"/>
        <w:right w:val="none" w:sz="0" w:space="0" w:color="auto"/>
      </w:divBdr>
      <w:divsChild>
        <w:div w:id="1368675060">
          <w:marLeft w:val="0"/>
          <w:marRight w:val="0"/>
          <w:marTop w:val="0"/>
          <w:marBottom w:val="0"/>
          <w:divBdr>
            <w:top w:val="none" w:sz="0" w:space="0" w:color="auto"/>
            <w:left w:val="none" w:sz="0" w:space="0" w:color="auto"/>
            <w:bottom w:val="none" w:sz="0" w:space="0" w:color="auto"/>
            <w:right w:val="none" w:sz="0" w:space="0" w:color="auto"/>
          </w:divBdr>
        </w:div>
        <w:div w:id="1894729507">
          <w:marLeft w:val="0"/>
          <w:marRight w:val="0"/>
          <w:marTop w:val="0"/>
          <w:marBottom w:val="0"/>
          <w:divBdr>
            <w:top w:val="none" w:sz="0" w:space="0" w:color="auto"/>
            <w:left w:val="none" w:sz="0" w:space="0" w:color="auto"/>
            <w:bottom w:val="none" w:sz="0" w:space="0" w:color="auto"/>
            <w:right w:val="none" w:sz="0" w:space="0" w:color="auto"/>
          </w:divBdr>
        </w:div>
        <w:div w:id="651443288">
          <w:marLeft w:val="0"/>
          <w:marRight w:val="0"/>
          <w:marTop w:val="0"/>
          <w:marBottom w:val="0"/>
          <w:divBdr>
            <w:top w:val="none" w:sz="0" w:space="0" w:color="auto"/>
            <w:left w:val="none" w:sz="0" w:space="0" w:color="auto"/>
            <w:bottom w:val="none" w:sz="0" w:space="0" w:color="auto"/>
            <w:right w:val="none" w:sz="0" w:space="0" w:color="auto"/>
          </w:divBdr>
        </w:div>
        <w:div w:id="640383259">
          <w:marLeft w:val="0"/>
          <w:marRight w:val="0"/>
          <w:marTop w:val="0"/>
          <w:marBottom w:val="0"/>
          <w:divBdr>
            <w:top w:val="none" w:sz="0" w:space="0" w:color="auto"/>
            <w:left w:val="none" w:sz="0" w:space="0" w:color="auto"/>
            <w:bottom w:val="none" w:sz="0" w:space="0" w:color="auto"/>
            <w:right w:val="none" w:sz="0" w:space="0" w:color="auto"/>
          </w:divBdr>
        </w:div>
        <w:div w:id="682170934">
          <w:marLeft w:val="0"/>
          <w:marRight w:val="0"/>
          <w:marTop w:val="0"/>
          <w:marBottom w:val="0"/>
          <w:divBdr>
            <w:top w:val="none" w:sz="0" w:space="0" w:color="auto"/>
            <w:left w:val="none" w:sz="0" w:space="0" w:color="auto"/>
            <w:bottom w:val="none" w:sz="0" w:space="0" w:color="auto"/>
            <w:right w:val="none" w:sz="0" w:space="0" w:color="auto"/>
          </w:divBdr>
        </w:div>
        <w:div w:id="722872082">
          <w:marLeft w:val="0"/>
          <w:marRight w:val="0"/>
          <w:marTop w:val="0"/>
          <w:marBottom w:val="0"/>
          <w:divBdr>
            <w:top w:val="none" w:sz="0" w:space="0" w:color="auto"/>
            <w:left w:val="none" w:sz="0" w:space="0" w:color="auto"/>
            <w:bottom w:val="none" w:sz="0" w:space="0" w:color="auto"/>
            <w:right w:val="none" w:sz="0" w:space="0" w:color="auto"/>
          </w:divBdr>
        </w:div>
        <w:div w:id="1824660863">
          <w:marLeft w:val="0"/>
          <w:marRight w:val="0"/>
          <w:marTop w:val="0"/>
          <w:marBottom w:val="0"/>
          <w:divBdr>
            <w:top w:val="none" w:sz="0" w:space="0" w:color="auto"/>
            <w:left w:val="none" w:sz="0" w:space="0" w:color="auto"/>
            <w:bottom w:val="none" w:sz="0" w:space="0" w:color="auto"/>
            <w:right w:val="none" w:sz="0" w:space="0" w:color="auto"/>
          </w:divBdr>
        </w:div>
        <w:div w:id="380708502">
          <w:marLeft w:val="0"/>
          <w:marRight w:val="0"/>
          <w:marTop w:val="0"/>
          <w:marBottom w:val="0"/>
          <w:divBdr>
            <w:top w:val="none" w:sz="0" w:space="0" w:color="auto"/>
            <w:left w:val="none" w:sz="0" w:space="0" w:color="auto"/>
            <w:bottom w:val="none" w:sz="0" w:space="0" w:color="auto"/>
            <w:right w:val="none" w:sz="0" w:space="0" w:color="auto"/>
          </w:divBdr>
        </w:div>
        <w:div w:id="1792045946">
          <w:marLeft w:val="0"/>
          <w:marRight w:val="0"/>
          <w:marTop w:val="0"/>
          <w:marBottom w:val="0"/>
          <w:divBdr>
            <w:top w:val="none" w:sz="0" w:space="0" w:color="auto"/>
            <w:left w:val="none" w:sz="0" w:space="0" w:color="auto"/>
            <w:bottom w:val="none" w:sz="0" w:space="0" w:color="auto"/>
            <w:right w:val="none" w:sz="0" w:space="0" w:color="auto"/>
          </w:divBdr>
        </w:div>
        <w:div w:id="779765676">
          <w:marLeft w:val="0"/>
          <w:marRight w:val="0"/>
          <w:marTop w:val="0"/>
          <w:marBottom w:val="0"/>
          <w:divBdr>
            <w:top w:val="none" w:sz="0" w:space="0" w:color="auto"/>
            <w:left w:val="none" w:sz="0" w:space="0" w:color="auto"/>
            <w:bottom w:val="none" w:sz="0" w:space="0" w:color="auto"/>
            <w:right w:val="none" w:sz="0" w:space="0" w:color="auto"/>
          </w:divBdr>
        </w:div>
        <w:div w:id="1074666230">
          <w:marLeft w:val="0"/>
          <w:marRight w:val="0"/>
          <w:marTop w:val="0"/>
          <w:marBottom w:val="0"/>
          <w:divBdr>
            <w:top w:val="none" w:sz="0" w:space="0" w:color="auto"/>
            <w:left w:val="none" w:sz="0" w:space="0" w:color="auto"/>
            <w:bottom w:val="none" w:sz="0" w:space="0" w:color="auto"/>
            <w:right w:val="none" w:sz="0" w:space="0" w:color="auto"/>
          </w:divBdr>
        </w:div>
        <w:div w:id="1909195171">
          <w:marLeft w:val="0"/>
          <w:marRight w:val="0"/>
          <w:marTop w:val="0"/>
          <w:marBottom w:val="0"/>
          <w:divBdr>
            <w:top w:val="none" w:sz="0" w:space="0" w:color="auto"/>
            <w:left w:val="none" w:sz="0" w:space="0" w:color="auto"/>
            <w:bottom w:val="none" w:sz="0" w:space="0" w:color="auto"/>
            <w:right w:val="none" w:sz="0" w:space="0" w:color="auto"/>
          </w:divBdr>
        </w:div>
        <w:div w:id="1613248055">
          <w:marLeft w:val="0"/>
          <w:marRight w:val="0"/>
          <w:marTop w:val="0"/>
          <w:marBottom w:val="0"/>
          <w:divBdr>
            <w:top w:val="none" w:sz="0" w:space="0" w:color="auto"/>
            <w:left w:val="none" w:sz="0" w:space="0" w:color="auto"/>
            <w:bottom w:val="none" w:sz="0" w:space="0" w:color="auto"/>
            <w:right w:val="none" w:sz="0" w:space="0" w:color="auto"/>
          </w:divBdr>
        </w:div>
        <w:div w:id="1988440190">
          <w:marLeft w:val="0"/>
          <w:marRight w:val="0"/>
          <w:marTop w:val="0"/>
          <w:marBottom w:val="0"/>
          <w:divBdr>
            <w:top w:val="none" w:sz="0" w:space="0" w:color="auto"/>
            <w:left w:val="none" w:sz="0" w:space="0" w:color="auto"/>
            <w:bottom w:val="none" w:sz="0" w:space="0" w:color="auto"/>
            <w:right w:val="none" w:sz="0" w:space="0" w:color="auto"/>
          </w:divBdr>
        </w:div>
        <w:div w:id="1538273387">
          <w:marLeft w:val="0"/>
          <w:marRight w:val="0"/>
          <w:marTop w:val="0"/>
          <w:marBottom w:val="0"/>
          <w:divBdr>
            <w:top w:val="none" w:sz="0" w:space="0" w:color="auto"/>
            <w:left w:val="none" w:sz="0" w:space="0" w:color="auto"/>
            <w:bottom w:val="none" w:sz="0" w:space="0" w:color="auto"/>
            <w:right w:val="none" w:sz="0" w:space="0" w:color="auto"/>
          </w:divBdr>
        </w:div>
      </w:divsChild>
    </w:div>
    <w:div w:id="124735295">
      <w:bodyDiv w:val="1"/>
      <w:marLeft w:val="0"/>
      <w:marRight w:val="0"/>
      <w:marTop w:val="0"/>
      <w:marBottom w:val="0"/>
      <w:divBdr>
        <w:top w:val="none" w:sz="0" w:space="0" w:color="auto"/>
        <w:left w:val="none" w:sz="0" w:space="0" w:color="auto"/>
        <w:bottom w:val="none" w:sz="0" w:space="0" w:color="auto"/>
        <w:right w:val="none" w:sz="0" w:space="0" w:color="auto"/>
      </w:divBdr>
      <w:divsChild>
        <w:div w:id="1559825620">
          <w:marLeft w:val="274"/>
          <w:marRight w:val="0"/>
          <w:marTop w:val="0"/>
          <w:marBottom w:val="48"/>
          <w:divBdr>
            <w:top w:val="none" w:sz="0" w:space="0" w:color="auto"/>
            <w:left w:val="none" w:sz="0" w:space="0" w:color="auto"/>
            <w:bottom w:val="none" w:sz="0" w:space="0" w:color="auto"/>
            <w:right w:val="none" w:sz="0" w:space="0" w:color="auto"/>
          </w:divBdr>
        </w:div>
        <w:div w:id="1722900004">
          <w:marLeft w:val="634"/>
          <w:marRight w:val="0"/>
          <w:marTop w:val="128"/>
          <w:marBottom w:val="0"/>
          <w:divBdr>
            <w:top w:val="none" w:sz="0" w:space="0" w:color="auto"/>
            <w:left w:val="none" w:sz="0" w:space="0" w:color="auto"/>
            <w:bottom w:val="none" w:sz="0" w:space="0" w:color="auto"/>
            <w:right w:val="none" w:sz="0" w:space="0" w:color="auto"/>
          </w:divBdr>
        </w:div>
        <w:div w:id="726344231">
          <w:marLeft w:val="634"/>
          <w:marRight w:val="0"/>
          <w:marTop w:val="128"/>
          <w:marBottom w:val="0"/>
          <w:divBdr>
            <w:top w:val="none" w:sz="0" w:space="0" w:color="auto"/>
            <w:left w:val="none" w:sz="0" w:space="0" w:color="auto"/>
            <w:bottom w:val="none" w:sz="0" w:space="0" w:color="auto"/>
            <w:right w:val="none" w:sz="0" w:space="0" w:color="auto"/>
          </w:divBdr>
        </w:div>
        <w:div w:id="1768768206">
          <w:marLeft w:val="634"/>
          <w:marRight w:val="0"/>
          <w:marTop w:val="128"/>
          <w:marBottom w:val="0"/>
          <w:divBdr>
            <w:top w:val="none" w:sz="0" w:space="0" w:color="auto"/>
            <w:left w:val="none" w:sz="0" w:space="0" w:color="auto"/>
            <w:bottom w:val="none" w:sz="0" w:space="0" w:color="auto"/>
            <w:right w:val="none" w:sz="0" w:space="0" w:color="auto"/>
          </w:divBdr>
        </w:div>
        <w:div w:id="2120639947">
          <w:marLeft w:val="634"/>
          <w:marRight w:val="0"/>
          <w:marTop w:val="128"/>
          <w:marBottom w:val="0"/>
          <w:divBdr>
            <w:top w:val="none" w:sz="0" w:space="0" w:color="auto"/>
            <w:left w:val="none" w:sz="0" w:space="0" w:color="auto"/>
            <w:bottom w:val="none" w:sz="0" w:space="0" w:color="auto"/>
            <w:right w:val="none" w:sz="0" w:space="0" w:color="auto"/>
          </w:divBdr>
        </w:div>
        <w:div w:id="282808265">
          <w:marLeft w:val="634"/>
          <w:marRight w:val="0"/>
          <w:marTop w:val="128"/>
          <w:marBottom w:val="0"/>
          <w:divBdr>
            <w:top w:val="none" w:sz="0" w:space="0" w:color="auto"/>
            <w:left w:val="none" w:sz="0" w:space="0" w:color="auto"/>
            <w:bottom w:val="none" w:sz="0" w:space="0" w:color="auto"/>
            <w:right w:val="none" w:sz="0" w:space="0" w:color="auto"/>
          </w:divBdr>
        </w:div>
        <w:div w:id="349795543">
          <w:marLeft w:val="274"/>
          <w:marRight w:val="0"/>
          <w:marTop w:val="0"/>
          <w:marBottom w:val="48"/>
          <w:divBdr>
            <w:top w:val="none" w:sz="0" w:space="0" w:color="auto"/>
            <w:left w:val="none" w:sz="0" w:space="0" w:color="auto"/>
            <w:bottom w:val="none" w:sz="0" w:space="0" w:color="auto"/>
            <w:right w:val="none" w:sz="0" w:space="0" w:color="auto"/>
          </w:divBdr>
        </w:div>
        <w:div w:id="442651224">
          <w:marLeft w:val="1166"/>
          <w:marRight w:val="0"/>
          <w:marTop w:val="0"/>
          <w:marBottom w:val="48"/>
          <w:divBdr>
            <w:top w:val="none" w:sz="0" w:space="0" w:color="auto"/>
            <w:left w:val="none" w:sz="0" w:space="0" w:color="auto"/>
            <w:bottom w:val="none" w:sz="0" w:space="0" w:color="auto"/>
            <w:right w:val="none" w:sz="0" w:space="0" w:color="auto"/>
          </w:divBdr>
        </w:div>
        <w:div w:id="79106783">
          <w:marLeft w:val="1166"/>
          <w:marRight w:val="0"/>
          <w:marTop w:val="0"/>
          <w:marBottom w:val="48"/>
          <w:divBdr>
            <w:top w:val="none" w:sz="0" w:space="0" w:color="auto"/>
            <w:left w:val="none" w:sz="0" w:space="0" w:color="auto"/>
            <w:bottom w:val="none" w:sz="0" w:space="0" w:color="auto"/>
            <w:right w:val="none" w:sz="0" w:space="0" w:color="auto"/>
          </w:divBdr>
        </w:div>
      </w:divsChild>
    </w:div>
    <w:div w:id="229847891">
      <w:bodyDiv w:val="1"/>
      <w:marLeft w:val="0"/>
      <w:marRight w:val="0"/>
      <w:marTop w:val="0"/>
      <w:marBottom w:val="0"/>
      <w:divBdr>
        <w:top w:val="none" w:sz="0" w:space="0" w:color="auto"/>
        <w:left w:val="none" w:sz="0" w:space="0" w:color="auto"/>
        <w:bottom w:val="none" w:sz="0" w:space="0" w:color="auto"/>
        <w:right w:val="none" w:sz="0" w:space="0" w:color="auto"/>
      </w:divBdr>
    </w:div>
    <w:div w:id="323625308">
      <w:bodyDiv w:val="1"/>
      <w:marLeft w:val="0"/>
      <w:marRight w:val="0"/>
      <w:marTop w:val="0"/>
      <w:marBottom w:val="0"/>
      <w:divBdr>
        <w:top w:val="none" w:sz="0" w:space="0" w:color="auto"/>
        <w:left w:val="none" w:sz="0" w:space="0" w:color="auto"/>
        <w:bottom w:val="none" w:sz="0" w:space="0" w:color="auto"/>
        <w:right w:val="none" w:sz="0" w:space="0" w:color="auto"/>
      </w:divBdr>
    </w:div>
    <w:div w:id="337931464">
      <w:bodyDiv w:val="1"/>
      <w:marLeft w:val="0"/>
      <w:marRight w:val="0"/>
      <w:marTop w:val="0"/>
      <w:marBottom w:val="0"/>
      <w:divBdr>
        <w:top w:val="none" w:sz="0" w:space="0" w:color="auto"/>
        <w:left w:val="none" w:sz="0" w:space="0" w:color="auto"/>
        <w:bottom w:val="none" w:sz="0" w:space="0" w:color="auto"/>
        <w:right w:val="none" w:sz="0" w:space="0" w:color="auto"/>
      </w:divBdr>
      <w:divsChild>
        <w:div w:id="1058283402">
          <w:marLeft w:val="0"/>
          <w:marRight w:val="0"/>
          <w:marTop w:val="0"/>
          <w:marBottom w:val="0"/>
          <w:divBdr>
            <w:top w:val="none" w:sz="0" w:space="0" w:color="auto"/>
            <w:left w:val="none" w:sz="0" w:space="0" w:color="auto"/>
            <w:bottom w:val="none" w:sz="0" w:space="0" w:color="auto"/>
            <w:right w:val="none" w:sz="0" w:space="0" w:color="auto"/>
          </w:divBdr>
        </w:div>
      </w:divsChild>
    </w:div>
    <w:div w:id="339502331">
      <w:bodyDiv w:val="1"/>
      <w:marLeft w:val="0"/>
      <w:marRight w:val="0"/>
      <w:marTop w:val="0"/>
      <w:marBottom w:val="0"/>
      <w:divBdr>
        <w:top w:val="none" w:sz="0" w:space="0" w:color="auto"/>
        <w:left w:val="none" w:sz="0" w:space="0" w:color="auto"/>
        <w:bottom w:val="none" w:sz="0" w:space="0" w:color="auto"/>
        <w:right w:val="none" w:sz="0" w:space="0" w:color="auto"/>
      </w:divBdr>
    </w:div>
    <w:div w:id="405804317">
      <w:bodyDiv w:val="1"/>
      <w:marLeft w:val="0"/>
      <w:marRight w:val="0"/>
      <w:marTop w:val="0"/>
      <w:marBottom w:val="0"/>
      <w:divBdr>
        <w:top w:val="none" w:sz="0" w:space="0" w:color="auto"/>
        <w:left w:val="none" w:sz="0" w:space="0" w:color="auto"/>
        <w:bottom w:val="none" w:sz="0" w:space="0" w:color="auto"/>
        <w:right w:val="none" w:sz="0" w:space="0" w:color="auto"/>
      </w:divBdr>
    </w:div>
    <w:div w:id="513349661">
      <w:bodyDiv w:val="1"/>
      <w:marLeft w:val="0"/>
      <w:marRight w:val="0"/>
      <w:marTop w:val="0"/>
      <w:marBottom w:val="0"/>
      <w:divBdr>
        <w:top w:val="none" w:sz="0" w:space="0" w:color="auto"/>
        <w:left w:val="none" w:sz="0" w:space="0" w:color="auto"/>
        <w:bottom w:val="none" w:sz="0" w:space="0" w:color="auto"/>
        <w:right w:val="none" w:sz="0" w:space="0" w:color="auto"/>
      </w:divBdr>
    </w:div>
    <w:div w:id="638653297">
      <w:bodyDiv w:val="1"/>
      <w:marLeft w:val="0"/>
      <w:marRight w:val="0"/>
      <w:marTop w:val="0"/>
      <w:marBottom w:val="0"/>
      <w:divBdr>
        <w:top w:val="none" w:sz="0" w:space="0" w:color="auto"/>
        <w:left w:val="none" w:sz="0" w:space="0" w:color="auto"/>
        <w:bottom w:val="none" w:sz="0" w:space="0" w:color="auto"/>
        <w:right w:val="none" w:sz="0" w:space="0" w:color="auto"/>
      </w:divBdr>
    </w:div>
    <w:div w:id="643972174">
      <w:bodyDiv w:val="1"/>
      <w:marLeft w:val="0"/>
      <w:marRight w:val="0"/>
      <w:marTop w:val="0"/>
      <w:marBottom w:val="0"/>
      <w:divBdr>
        <w:top w:val="none" w:sz="0" w:space="0" w:color="auto"/>
        <w:left w:val="none" w:sz="0" w:space="0" w:color="auto"/>
        <w:bottom w:val="none" w:sz="0" w:space="0" w:color="auto"/>
        <w:right w:val="none" w:sz="0" w:space="0" w:color="auto"/>
      </w:divBdr>
    </w:div>
    <w:div w:id="667515259">
      <w:bodyDiv w:val="1"/>
      <w:marLeft w:val="0"/>
      <w:marRight w:val="0"/>
      <w:marTop w:val="0"/>
      <w:marBottom w:val="0"/>
      <w:divBdr>
        <w:top w:val="none" w:sz="0" w:space="0" w:color="auto"/>
        <w:left w:val="none" w:sz="0" w:space="0" w:color="auto"/>
        <w:bottom w:val="none" w:sz="0" w:space="0" w:color="auto"/>
        <w:right w:val="none" w:sz="0" w:space="0" w:color="auto"/>
      </w:divBdr>
      <w:divsChild>
        <w:div w:id="77334352">
          <w:marLeft w:val="274"/>
          <w:marRight w:val="0"/>
          <w:marTop w:val="0"/>
          <w:marBottom w:val="48"/>
          <w:divBdr>
            <w:top w:val="none" w:sz="0" w:space="0" w:color="auto"/>
            <w:left w:val="none" w:sz="0" w:space="0" w:color="auto"/>
            <w:bottom w:val="none" w:sz="0" w:space="0" w:color="auto"/>
            <w:right w:val="none" w:sz="0" w:space="0" w:color="auto"/>
          </w:divBdr>
        </w:div>
        <w:div w:id="2012053229">
          <w:marLeft w:val="634"/>
          <w:marRight w:val="0"/>
          <w:marTop w:val="128"/>
          <w:marBottom w:val="0"/>
          <w:divBdr>
            <w:top w:val="none" w:sz="0" w:space="0" w:color="auto"/>
            <w:left w:val="none" w:sz="0" w:space="0" w:color="auto"/>
            <w:bottom w:val="none" w:sz="0" w:space="0" w:color="auto"/>
            <w:right w:val="none" w:sz="0" w:space="0" w:color="auto"/>
          </w:divBdr>
        </w:div>
        <w:div w:id="439959729">
          <w:marLeft w:val="634"/>
          <w:marRight w:val="0"/>
          <w:marTop w:val="128"/>
          <w:marBottom w:val="0"/>
          <w:divBdr>
            <w:top w:val="none" w:sz="0" w:space="0" w:color="auto"/>
            <w:left w:val="none" w:sz="0" w:space="0" w:color="auto"/>
            <w:bottom w:val="none" w:sz="0" w:space="0" w:color="auto"/>
            <w:right w:val="none" w:sz="0" w:space="0" w:color="auto"/>
          </w:divBdr>
        </w:div>
        <w:div w:id="1833132082">
          <w:marLeft w:val="634"/>
          <w:marRight w:val="0"/>
          <w:marTop w:val="128"/>
          <w:marBottom w:val="0"/>
          <w:divBdr>
            <w:top w:val="none" w:sz="0" w:space="0" w:color="auto"/>
            <w:left w:val="none" w:sz="0" w:space="0" w:color="auto"/>
            <w:bottom w:val="none" w:sz="0" w:space="0" w:color="auto"/>
            <w:right w:val="none" w:sz="0" w:space="0" w:color="auto"/>
          </w:divBdr>
        </w:div>
        <w:div w:id="1202520325">
          <w:marLeft w:val="634"/>
          <w:marRight w:val="0"/>
          <w:marTop w:val="128"/>
          <w:marBottom w:val="0"/>
          <w:divBdr>
            <w:top w:val="none" w:sz="0" w:space="0" w:color="auto"/>
            <w:left w:val="none" w:sz="0" w:space="0" w:color="auto"/>
            <w:bottom w:val="none" w:sz="0" w:space="0" w:color="auto"/>
            <w:right w:val="none" w:sz="0" w:space="0" w:color="auto"/>
          </w:divBdr>
        </w:div>
        <w:div w:id="1868104793">
          <w:marLeft w:val="634"/>
          <w:marRight w:val="0"/>
          <w:marTop w:val="128"/>
          <w:marBottom w:val="0"/>
          <w:divBdr>
            <w:top w:val="none" w:sz="0" w:space="0" w:color="auto"/>
            <w:left w:val="none" w:sz="0" w:space="0" w:color="auto"/>
            <w:bottom w:val="none" w:sz="0" w:space="0" w:color="auto"/>
            <w:right w:val="none" w:sz="0" w:space="0" w:color="auto"/>
          </w:divBdr>
        </w:div>
        <w:div w:id="2010405466">
          <w:marLeft w:val="274"/>
          <w:marRight w:val="0"/>
          <w:marTop w:val="0"/>
          <w:marBottom w:val="48"/>
          <w:divBdr>
            <w:top w:val="none" w:sz="0" w:space="0" w:color="auto"/>
            <w:left w:val="none" w:sz="0" w:space="0" w:color="auto"/>
            <w:bottom w:val="none" w:sz="0" w:space="0" w:color="auto"/>
            <w:right w:val="none" w:sz="0" w:space="0" w:color="auto"/>
          </w:divBdr>
        </w:div>
        <w:div w:id="1779175214">
          <w:marLeft w:val="1166"/>
          <w:marRight w:val="0"/>
          <w:marTop w:val="0"/>
          <w:marBottom w:val="48"/>
          <w:divBdr>
            <w:top w:val="none" w:sz="0" w:space="0" w:color="auto"/>
            <w:left w:val="none" w:sz="0" w:space="0" w:color="auto"/>
            <w:bottom w:val="none" w:sz="0" w:space="0" w:color="auto"/>
            <w:right w:val="none" w:sz="0" w:space="0" w:color="auto"/>
          </w:divBdr>
        </w:div>
        <w:div w:id="948583836">
          <w:marLeft w:val="1166"/>
          <w:marRight w:val="0"/>
          <w:marTop w:val="0"/>
          <w:marBottom w:val="48"/>
          <w:divBdr>
            <w:top w:val="none" w:sz="0" w:space="0" w:color="auto"/>
            <w:left w:val="none" w:sz="0" w:space="0" w:color="auto"/>
            <w:bottom w:val="none" w:sz="0" w:space="0" w:color="auto"/>
            <w:right w:val="none" w:sz="0" w:space="0" w:color="auto"/>
          </w:divBdr>
        </w:div>
      </w:divsChild>
    </w:div>
    <w:div w:id="961228675">
      <w:bodyDiv w:val="1"/>
      <w:marLeft w:val="0"/>
      <w:marRight w:val="0"/>
      <w:marTop w:val="0"/>
      <w:marBottom w:val="0"/>
      <w:divBdr>
        <w:top w:val="none" w:sz="0" w:space="0" w:color="auto"/>
        <w:left w:val="none" w:sz="0" w:space="0" w:color="auto"/>
        <w:bottom w:val="none" w:sz="0" w:space="0" w:color="auto"/>
        <w:right w:val="none" w:sz="0" w:space="0" w:color="auto"/>
      </w:divBdr>
    </w:div>
    <w:div w:id="1042173507">
      <w:bodyDiv w:val="1"/>
      <w:marLeft w:val="0"/>
      <w:marRight w:val="0"/>
      <w:marTop w:val="0"/>
      <w:marBottom w:val="0"/>
      <w:divBdr>
        <w:top w:val="none" w:sz="0" w:space="0" w:color="auto"/>
        <w:left w:val="none" w:sz="0" w:space="0" w:color="auto"/>
        <w:bottom w:val="none" w:sz="0" w:space="0" w:color="auto"/>
        <w:right w:val="none" w:sz="0" w:space="0" w:color="auto"/>
      </w:divBdr>
    </w:div>
    <w:div w:id="1097022186">
      <w:bodyDiv w:val="1"/>
      <w:marLeft w:val="0"/>
      <w:marRight w:val="0"/>
      <w:marTop w:val="0"/>
      <w:marBottom w:val="0"/>
      <w:divBdr>
        <w:top w:val="none" w:sz="0" w:space="0" w:color="auto"/>
        <w:left w:val="none" w:sz="0" w:space="0" w:color="auto"/>
        <w:bottom w:val="none" w:sz="0" w:space="0" w:color="auto"/>
        <w:right w:val="none" w:sz="0" w:space="0" w:color="auto"/>
      </w:divBdr>
    </w:div>
    <w:div w:id="1190995148">
      <w:bodyDiv w:val="1"/>
      <w:marLeft w:val="0"/>
      <w:marRight w:val="0"/>
      <w:marTop w:val="0"/>
      <w:marBottom w:val="0"/>
      <w:divBdr>
        <w:top w:val="none" w:sz="0" w:space="0" w:color="auto"/>
        <w:left w:val="none" w:sz="0" w:space="0" w:color="auto"/>
        <w:bottom w:val="none" w:sz="0" w:space="0" w:color="auto"/>
        <w:right w:val="none" w:sz="0" w:space="0" w:color="auto"/>
      </w:divBdr>
    </w:div>
    <w:div w:id="1350138402">
      <w:bodyDiv w:val="1"/>
      <w:marLeft w:val="0"/>
      <w:marRight w:val="0"/>
      <w:marTop w:val="0"/>
      <w:marBottom w:val="0"/>
      <w:divBdr>
        <w:top w:val="none" w:sz="0" w:space="0" w:color="auto"/>
        <w:left w:val="none" w:sz="0" w:space="0" w:color="auto"/>
        <w:bottom w:val="none" w:sz="0" w:space="0" w:color="auto"/>
        <w:right w:val="none" w:sz="0" w:space="0" w:color="auto"/>
      </w:divBdr>
    </w:div>
    <w:div w:id="1379744410">
      <w:bodyDiv w:val="1"/>
      <w:marLeft w:val="0"/>
      <w:marRight w:val="0"/>
      <w:marTop w:val="0"/>
      <w:marBottom w:val="0"/>
      <w:divBdr>
        <w:top w:val="none" w:sz="0" w:space="0" w:color="auto"/>
        <w:left w:val="none" w:sz="0" w:space="0" w:color="auto"/>
        <w:bottom w:val="none" w:sz="0" w:space="0" w:color="auto"/>
        <w:right w:val="none" w:sz="0" w:space="0" w:color="auto"/>
      </w:divBdr>
    </w:div>
    <w:div w:id="1422677017">
      <w:bodyDiv w:val="1"/>
      <w:marLeft w:val="0"/>
      <w:marRight w:val="0"/>
      <w:marTop w:val="0"/>
      <w:marBottom w:val="0"/>
      <w:divBdr>
        <w:top w:val="none" w:sz="0" w:space="0" w:color="auto"/>
        <w:left w:val="none" w:sz="0" w:space="0" w:color="auto"/>
        <w:bottom w:val="none" w:sz="0" w:space="0" w:color="auto"/>
        <w:right w:val="none" w:sz="0" w:space="0" w:color="auto"/>
      </w:divBdr>
    </w:div>
    <w:div w:id="1452433248">
      <w:bodyDiv w:val="1"/>
      <w:marLeft w:val="0"/>
      <w:marRight w:val="0"/>
      <w:marTop w:val="0"/>
      <w:marBottom w:val="0"/>
      <w:divBdr>
        <w:top w:val="none" w:sz="0" w:space="0" w:color="auto"/>
        <w:left w:val="none" w:sz="0" w:space="0" w:color="auto"/>
        <w:bottom w:val="none" w:sz="0" w:space="0" w:color="auto"/>
        <w:right w:val="none" w:sz="0" w:space="0" w:color="auto"/>
      </w:divBdr>
    </w:div>
    <w:div w:id="1588883149">
      <w:bodyDiv w:val="1"/>
      <w:marLeft w:val="0"/>
      <w:marRight w:val="0"/>
      <w:marTop w:val="0"/>
      <w:marBottom w:val="0"/>
      <w:divBdr>
        <w:top w:val="none" w:sz="0" w:space="0" w:color="auto"/>
        <w:left w:val="none" w:sz="0" w:space="0" w:color="auto"/>
        <w:bottom w:val="none" w:sz="0" w:space="0" w:color="auto"/>
        <w:right w:val="none" w:sz="0" w:space="0" w:color="auto"/>
      </w:divBdr>
    </w:div>
    <w:div w:id="1755004462">
      <w:bodyDiv w:val="1"/>
      <w:marLeft w:val="0"/>
      <w:marRight w:val="0"/>
      <w:marTop w:val="0"/>
      <w:marBottom w:val="0"/>
      <w:divBdr>
        <w:top w:val="none" w:sz="0" w:space="0" w:color="auto"/>
        <w:left w:val="none" w:sz="0" w:space="0" w:color="auto"/>
        <w:bottom w:val="none" w:sz="0" w:space="0" w:color="auto"/>
        <w:right w:val="none" w:sz="0" w:space="0" w:color="auto"/>
      </w:divBdr>
    </w:div>
    <w:div w:id="1910383878">
      <w:bodyDiv w:val="1"/>
      <w:marLeft w:val="0"/>
      <w:marRight w:val="0"/>
      <w:marTop w:val="0"/>
      <w:marBottom w:val="0"/>
      <w:divBdr>
        <w:top w:val="none" w:sz="0" w:space="0" w:color="auto"/>
        <w:left w:val="none" w:sz="0" w:space="0" w:color="auto"/>
        <w:bottom w:val="none" w:sz="0" w:space="0" w:color="auto"/>
        <w:right w:val="none" w:sz="0" w:space="0" w:color="auto"/>
      </w:divBdr>
    </w:div>
    <w:div w:id="1913813173">
      <w:bodyDiv w:val="1"/>
      <w:marLeft w:val="0"/>
      <w:marRight w:val="0"/>
      <w:marTop w:val="0"/>
      <w:marBottom w:val="0"/>
      <w:divBdr>
        <w:top w:val="none" w:sz="0" w:space="0" w:color="auto"/>
        <w:left w:val="none" w:sz="0" w:space="0" w:color="auto"/>
        <w:bottom w:val="none" w:sz="0" w:space="0" w:color="auto"/>
        <w:right w:val="none" w:sz="0" w:space="0" w:color="auto"/>
      </w:divBdr>
    </w:div>
    <w:div w:id="1946844392">
      <w:bodyDiv w:val="1"/>
      <w:marLeft w:val="0"/>
      <w:marRight w:val="0"/>
      <w:marTop w:val="0"/>
      <w:marBottom w:val="0"/>
      <w:divBdr>
        <w:top w:val="none" w:sz="0" w:space="0" w:color="auto"/>
        <w:left w:val="none" w:sz="0" w:space="0" w:color="auto"/>
        <w:bottom w:val="none" w:sz="0" w:space="0" w:color="auto"/>
        <w:right w:val="none" w:sz="0" w:space="0" w:color="auto"/>
      </w:divBdr>
    </w:div>
    <w:div w:id="2001999601">
      <w:bodyDiv w:val="1"/>
      <w:marLeft w:val="0"/>
      <w:marRight w:val="0"/>
      <w:marTop w:val="0"/>
      <w:marBottom w:val="0"/>
      <w:divBdr>
        <w:top w:val="none" w:sz="0" w:space="0" w:color="auto"/>
        <w:left w:val="none" w:sz="0" w:space="0" w:color="auto"/>
        <w:bottom w:val="none" w:sz="0" w:space="0" w:color="auto"/>
        <w:right w:val="none" w:sz="0" w:space="0" w:color="auto"/>
      </w:divBdr>
    </w:div>
    <w:div w:id="2047102220">
      <w:bodyDiv w:val="1"/>
      <w:marLeft w:val="0"/>
      <w:marRight w:val="0"/>
      <w:marTop w:val="0"/>
      <w:marBottom w:val="0"/>
      <w:divBdr>
        <w:top w:val="none" w:sz="0" w:space="0" w:color="auto"/>
        <w:left w:val="none" w:sz="0" w:space="0" w:color="auto"/>
        <w:bottom w:val="none" w:sz="0" w:space="0" w:color="auto"/>
        <w:right w:val="none" w:sz="0" w:space="0" w:color="auto"/>
      </w:divBdr>
    </w:div>
    <w:div w:id="2085450616">
      <w:bodyDiv w:val="1"/>
      <w:marLeft w:val="0"/>
      <w:marRight w:val="0"/>
      <w:marTop w:val="0"/>
      <w:marBottom w:val="0"/>
      <w:divBdr>
        <w:top w:val="none" w:sz="0" w:space="0" w:color="auto"/>
        <w:left w:val="none" w:sz="0" w:space="0" w:color="auto"/>
        <w:bottom w:val="none" w:sz="0" w:space="0" w:color="auto"/>
        <w:right w:val="none" w:sz="0" w:space="0" w:color="auto"/>
      </w:divBdr>
    </w:div>
    <w:div w:id="2141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2946-9E11-412F-A3BA-45EE612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3390</Words>
  <Characters>19329</Characters>
  <Application>Microsoft Office Word</Application>
  <DocSecurity>4</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L. Ceesay</dc:creator>
  <cp:lastModifiedBy>Tonya L. Ceesay</cp:lastModifiedBy>
  <cp:revision>2</cp:revision>
  <cp:lastPrinted>2017-10-20T18:38:00Z</cp:lastPrinted>
  <dcterms:created xsi:type="dcterms:W3CDTF">2017-10-20T18:41:00Z</dcterms:created>
  <dcterms:modified xsi:type="dcterms:W3CDTF">2017-10-20T18:41:00Z</dcterms:modified>
</cp:coreProperties>
</file>