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5.7.0.0 -->
  <w:body>
    <w:p w:rsidR="007F2DE7" w:rsidRPr="00EF1B76" w:rsidP="007F2DE7">
      <w:pPr>
        <w:widowControl/>
        <w:spacing w:line="276" w:lineRule="auto"/>
        <w:jc w:val="center"/>
        <w:rPr>
          <w:rFonts w:asciiTheme="minorHAnsi" w:hAnsiTheme="minorHAnsi"/>
          <w:spacing w:val="-2"/>
          <w:sz w:val="22"/>
        </w:rPr>
      </w:pPr>
      <w:r w:rsidRPr="00EF1B76">
        <w:rPr>
          <w:rFonts w:asciiTheme="minorHAnsi" w:hAnsiTheme="minorHAnsi"/>
          <w:spacing w:val="-2"/>
          <w:sz w:val="22"/>
        </w:rPr>
        <w:t>Document of</w:t>
      </w:r>
    </w:p>
    <w:p w:rsidR="007F2DE7" w:rsidP="007F2DE7">
      <w:pPr>
        <w:widowControl/>
        <w:spacing w:line="276" w:lineRule="auto"/>
        <w:jc w:val="center"/>
        <w:rPr>
          <w:rFonts w:asciiTheme="minorHAnsi" w:hAnsiTheme="minorHAnsi"/>
          <w:b/>
          <w:spacing w:val="-2"/>
          <w:sz w:val="28"/>
        </w:rPr>
      </w:pPr>
      <w:r>
        <w:rPr>
          <w:rFonts w:asciiTheme="minorHAnsi" w:hAnsiTheme="minorHAnsi"/>
          <w:b/>
          <w:spacing w:val="-1"/>
          <w:sz w:val="28"/>
        </w:rPr>
        <w:t>The World</w:t>
      </w:r>
      <w:r>
        <w:rPr>
          <w:rFonts w:asciiTheme="minorHAnsi" w:hAnsiTheme="minorHAnsi"/>
          <w:b/>
          <w:sz w:val="28"/>
        </w:rPr>
        <w:t xml:space="preserve"> </w:t>
      </w:r>
      <w:r>
        <w:rPr>
          <w:rFonts w:asciiTheme="minorHAnsi" w:hAnsiTheme="minorHAnsi"/>
          <w:b/>
          <w:spacing w:val="-2"/>
          <w:sz w:val="28"/>
        </w:rPr>
        <w:t>Bank</w:t>
      </w:r>
    </w:p>
    <w:p w:rsidR="007F2DE7" w:rsidRPr="001C4656" w:rsidP="007F2DE7">
      <w:pPr>
        <w:pStyle w:val="BodyText"/>
        <w:widowControl/>
        <w:ind w:left="0"/>
        <w:jc w:val="center"/>
        <w:rPr>
          <w:rFonts w:asciiTheme="minorHAnsi" w:hAnsiTheme="minorHAnsi"/>
          <w:b w:val="0"/>
          <w:bCs w:val="0"/>
        </w:rPr>
      </w:pPr>
      <w:r w:rsidRPr="001C4656">
        <w:rPr>
          <w:rFonts w:asciiTheme="minorHAnsi" w:hAnsiTheme="minorHAnsi"/>
          <w:spacing w:val="-1"/>
        </w:rPr>
        <w:t>FOR OFFICIAL</w:t>
      </w:r>
      <w:r w:rsidRPr="001C4656">
        <w:rPr>
          <w:rFonts w:asciiTheme="minorHAnsi" w:hAnsiTheme="minorHAnsi"/>
        </w:rPr>
        <w:t xml:space="preserve"> </w:t>
      </w:r>
      <w:r w:rsidRPr="001C4656">
        <w:rPr>
          <w:rFonts w:asciiTheme="minorHAnsi" w:hAnsiTheme="minorHAnsi"/>
          <w:spacing w:val="-1"/>
        </w:rPr>
        <w:t>USE</w:t>
      </w:r>
      <w:r w:rsidRPr="001C4656">
        <w:rPr>
          <w:rFonts w:asciiTheme="minorHAnsi" w:hAnsiTheme="minorHAnsi"/>
          <w:spacing w:val="3"/>
        </w:rPr>
        <w:t xml:space="preserve"> </w:t>
      </w:r>
      <w:r w:rsidRPr="001C4656">
        <w:rPr>
          <w:rFonts w:asciiTheme="minorHAnsi" w:hAnsiTheme="minorHAnsi"/>
          <w:spacing w:val="-1"/>
        </w:rPr>
        <w:t>ONLY</w:t>
      </w:r>
    </w:p>
    <w:p w:rsidR="007F2DE7" w:rsidRPr="001C4656" w:rsidP="007F2DE7">
      <w:pPr>
        <w:widowControl/>
        <w:jc w:val="right"/>
        <w:rPr>
          <w:rFonts w:asciiTheme="minorHAnsi" w:hAnsiTheme="minorHAnsi"/>
          <w:spacing w:val="-1"/>
        </w:rPr>
      </w:pPr>
      <w:r w:rsidRPr="001C4656">
        <w:rPr>
          <w:rFonts w:asciiTheme="minorHAnsi" w:hAnsiTheme="minorHAnsi"/>
        </w:rPr>
        <w:t xml:space="preserve">Report No: </w:t>
      </w:r>
      <w:r w:rsidRPr="001C4656">
        <w:rPr>
          <w:rFonts w:asciiTheme="minorHAnsi" w:hAnsiTheme="minorHAnsi" w:cs="Times New Roman"/>
          <w:color w:val="auto"/>
        </w:rPr>
        <w:t>PAD1992</w:t>
      </w:r>
      <w:r w:rsidRPr="001C4656">
        <w:rPr>
          <w:rFonts w:asciiTheme="minorHAnsi" w:hAnsiTheme="minorHAnsi"/>
          <w:spacing w:val="-1"/>
        </w:rPr>
        <w:t xml:space="preserve"> </w:t>
      </w:r>
    </w:p>
    <w:p w:rsidR="007F2DE7" w:rsidP="007F2DE7">
      <w:pPr>
        <w:widowControl/>
        <w:jc w:val="center"/>
        <w:rPr>
          <w:rFonts w:asciiTheme="minorHAnsi" w:hAnsiTheme="minorHAnsi" w:cs="Times New Roman"/>
          <w:bCs/>
          <w:color w:val="262626" w:themeColor="text1" w:themeTint="D9"/>
          <w:kern w:val="24"/>
        </w:rPr>
      </w:pPr>
    </w:p>
    <w:p w:rsidR="007F2DE7" w:rsidRPr="001C4656" w:rsidP="007F2DE7">
      <w:pPr>
        <w:widowControl/>
        <w:jc w:val="center"/>
        <w:rPr>
          <w:rFonts w:asciiTheme="minorHAnsi" w:hAnsiTheme="minorHAnsi" w:cs="Times New Roman"/>
          <w:bCs/>
          <w:color w:val="262626" w:themeColor="text1" w:themeTint="D9"/>
          <w:kern w:val="24"/>
        </w:rPr>
      </w:pPr>
      <w:r w:rsidRPr="001C4656">
        <w:rPr>
          <w:rFonts w:asciiTheme="minorHAnsi" w:hAnsiTheme="minorHAnsi" w:cs="Times New Roman"/>
          <w:bCs/>
          <w:color w:val="262626" w:themeColor="text1" w:themeTint="D9"/>
          <w:kern w:val="24"/>
        </w:rPr>
        <w:t>INTERNATIONAL DEVELOPMENT ASSOCIATION</w:t>
      </w:r>
    </w:p>
    <w:p w:rsidR="007F2DE7" w:rsidRPr="001C4656" w:rsidP="007F2DE7">
      <w:pPr>
        <w:widowControl/>
        <w:tabs>
          <w:tab w:val="left" w:pos="6690"/>
        </w:tabs>
        <w:jc w:val="center"/>
        <w:rPr>
          <w:rFonts w:asciiTheme="minorHAnsi" w:hAnsiTheme="minorHAnsi" w:cs="Times New Roman"/>
          <w:bCs/>
          <w:color w:val="262626" w:themeColor="text1" w:themeTint="D9"/>
          <w:kern w:val="24"/>
        </w:rPr>
      </w:pPr>
    </w:p>
    <w:p w:rsidR="007F2DE7" w:rsidRPr="001C4656" w:rsidP="007F2DE7">
      <w:pPr>
        <w:widowControl/>
        <w:spacing w:line="360" w:lineRule="auto"/>
        <w:jc w:val="center"/>
        <w:rPr>
          <w:rFonts w:asciiTheme="minorHAnsi" w:hAnsiTheme="minorHAnsi" w:cs="Times New Roman"/>
          <w:caps/>
        </w:rPr>
      </w:pPr>
      <w:r w:rsidRPr="001C4656">
        <w:rPr>
          <w:rFonts w:asciiTheme="minorHAnsi" w:hAnsiTheme="minorHAnsi" w:cs="Times New Roman"/>
          <w:caps/>
        </w:rPr>
        <w:t>Project Appraisal Document</w:t>
      </w:r>
    </w:p>
    <w:p w:rsidR="007F2DE7" w:rsidRPr="001C4656" w:rsidP="007F2DE7">
      <w:pPr>
        <w:widowControl/>
        <w:spacing w:line="360" w:lineRule="auto"/>
        <w:jc w:val="center"/>
        <w:rPr>
          <w:rFonts w:asciiTheme="minorHAnsi" w:hAnsiTheme="minorHAnsi" w:cs="Times New Roman"/>
          <w:caps/>
        </w:rPr>
      </w:pPr>
      <w:r w:rsidRPr="001C4656">
        <w:rPr>
          <w:rFonts w:asciiTheme="minorHAnsi" w:hAnsiTheme="minorHAnsi" w:cs="Times New Roman"/>
          <w:caps/>
        </w:rPr>
        <w:t>ON A</w:t>
      </w:r>
    </w:p>
    <w:p w:rsidR="007F2DE7" w:rsidRPr="001C4656" w:rsidP="007F2DE7">
      <w:pPr>
        <w:widowControl/>
        <w:jc w:val="center"/>
        <w:rPr>
          <w:rFonts w:asciiTheme="minorHAnsi" w:hAnsiTheme="minorHAnsi" w:cs="Times New Roman"/>
          <w:caps/>
        </w:rPr>
      </w:pPr>
      <w:r w:rsidRPr="001C4656">
        <w:rPr>
          <w:rFonts w:asciiTheme="minorHAnsi" w:hAnsiTheme="minorHAnsi" w:cs="Times New Roman"/>
          <w:caps/>
        </w:rPr>
        <w:t>PROPOSED CREDIT</w:t>
      </w:r>
    </w:p>
    <w:p w:rsidR="007F2DE7" w:rsidRPr="001C4656" w:rsidP="007F2DE7">
      <w:pPr>
        <w:widowControl/>
        <w:jc w:val="center"/>
        <w:rPr>
          <w:rFonts w:asciiTheme="minorHAnsi" w:hAnsiTheme="minorHAnsi" w:cs="Times New Roman"/>
          <w:caps/>
        </w:rPr>
      </w:pPr>
    </w:p>
    <w:p w:rsidR="007F2DE7" w:rsidRPr="001C4656" w:rsidP="007F2DE7">
      <w:pPr>
        <w:widowControl/>
        <w:spacing w:line="276" w:lineRule="auto"/>
        <w:jc w:val="center"/>
        <w:rPr>
          <w:rFonts w:asciiTheme="minorHAnsi" w:hAnsiTheme="minorHAnsi" w:cs="Times New Roman"/>
          <w:caps/>
        </w:rPr>
      </w:pPr>
      <w:r w:rsidRPr="001C4656">
        <w:rPr>
          <w:rFonts w:asciiTheme="minorHAnsi" w:hAnsiTheme="minorHAnsi" w:cs="Times New Roman"/>
          <w:caps/>
        </w:rPr>
        <w:t>IN THE AMOUNT OF SDR 148.8 Million</w:t>
      </w:r>
    </w:p>
    <w:p w:rsidR="007F2DE7" w:rsidRPr="001C4656" w:rsidP="007F2DE7">
      <w:pPr>
        <w:widowControl/>
        <w:jc w:val="center"/>
        <w:rPr>
          <w:rFonts w:asciiTheme="minorHAnsi" w:hAnsiTheme="minorHAnsi" w:cs="Times New Roman"/>
          <w:caps/>
        </w:rPr>
      </w:pPr>
      <w:r w:rsidRPr="001C4656">
        <w:rPr>
          <w:rFonts w:asciiTheme="minorHAnsi" w:hAnsiTheme="minorHAnsi" w:cs="Times New Roman"/>
          <w:caps/>
        </w:rPr>
        <w:t>(US$200 million equivalent)</w:t>
      </w:r>
    </w:p>
    <w:p w:rsidR="007F2DE7" w:rsidRPr="001C4656" w:rsidP="007F2DE7">
      <w:pPr>
        <w:widowControl/>
        <w:jc w:val="center"/>
        <w:rPr>
          <w:rFonts w:asciiTheme="minorHAnsi" w:hAnsiTheme="minorHAnsi" w:cs="Times New Roman"/>
          <w:caps/>
        </w:rPr>
      </w:pPr>
    </w:p>
    <w:p w:rsidR="007F2DE7" w:rsidRPr="001C4656" w:rsidP="007F2DE7">
      <w:pPr>
        <w:widowControl/>
        <w:spacing w:line="276" w:lineRule="auto"/>
        <w:jc w:val="center"/>
        <w:rPr>
          <w:rFonts w:asciiTheme="minorHAnsi" w:hAnsiTheme="minorHAnsi" w:cs="Times New Roman"/>
          <w:caps/>
        </w:rPr>
      </w:pPr>
      <w:r w:rsidRPr="001C4656">
        <w:rPr>
          <w:rFonts w:asciiTheme="minorHAnsi" w:hAnsiTheme="minorHAnsi" w:cs="Times New Roman"/>
          <w:caps/>
        </w:rPr>
        <w:t>TO THE</w:t>
      </w:r>
    </w:p>
    <w:p w:rsidR="007F2DE7" w:rsidRPr="001C4656" w:rsidP="007F2DE7">
      <w:pPr>
        <w:widowControl/>
        <w:jc w:val="center"/>
        <w:rPr>
          <w:rFonts w:asciiTheme="minorHAnsi" w:hAnsiTheme="minorHAnsi" w:cs="Times New Roman"/>
          <w:caps/>
        </w:rPr>
      </w:pPr>
    </w:p>
    <w:p w:rsidR="007F2DE7" w:rsidRPr="001C4656" w:rsidP="007F2DE7">
      <w:pPr>
        <w:widowControl/>
        <w:jc w:val="center"/>
        <w:rPr>
          <w:rFonts w:asciiTheme="minorHAnsi" w:hAnsiTheme="minorHAnsi" w:cs="Times New Roman"/>
          <w:caps/>
          <w:color w:val="auto"/>
        </w:rPr>
      </w:pPr>
      <w:r w:rsidRPr="001C4656">
        <w:rPr>
          <w:rFonts w:asciiTheme="minorHAnsi" w:hAnsiTheme="minorHAnsi" w:cs="Times New Roman"/>
          <w:caps/>
          <w:color w:val="auto"/>
        </w:rPr>
        <w:t xml:space="preserve">Federal Republic of Nigeria </w:t>
      </w:r>
    </w:p>
    <w:p w:rsidR="007F2DE7" w:rsidRPr="001C4656" w:rsidP="007F2DE7">
      <w:pPr>
        <w:widowControl/>
        <w:jc w:val="center"/>
        <w:rPr>
          <w:rFonts w:asciiTheme="minorHAnsi" w:hAnsiTheme="minorHAnsi" w:cs="Times New Roman"/>
          <w:caps/>
          <w:color w:val="auto"/>
        </w:rPr>
      </w:pPr>
    </w:p>
    <w:p w:rsidR="007F2DE7" w:rsidRPr="001C4656" w:rsidP="007F2DE7">
      <w:pPr>
        <w:widowControl/>
        <w:spacing w:line="360" w:lineRule="auto"/>
        <w:jc w:val="center"/>
        <w:rPr>
          <w:rFonts w:asciiTheme="minorHAnsi" w:hAnsiTheme="minorHAnsi" w:cs="Times New Roman"/>
          <w:caps/>
        </w:rPr>
      </w:pPr>
      <w:r w:rsidRPr="001C4656">
        <w:rPr>
          <w:rFonts w:asciiTheme="minorHAnsi" w:hAnsiTheme="minorHAnsi" w:cs="Times New Roman"/>
          <w:caps/>
        </w:rPr>
        <w:t>FOR A</w:t>
      </w:r>
    </w:p>
    <w:p w:rsidR="007F2DE7" w:rsidRPr="001C4656" w:rsidP="007F2DE7">
      <w:pPr>
        <w:widowControl/>
        <w:jc w:val="center"/>
        <w:rPr>
          <w:rFonts w:asciiTheme="minorHAnsi" w:hAnsiTheme="minorHAnsi"/>
        </w:rPr>
      </w:pPr>
      <w:r w:rsidRPr="001C4656">
        <w:rPr>
          <w:rFonts w:asciiTheme="minorHAnsi" w:hAnsiTheme="minorHAnsi"/>
        </w:rPr>
        <w:fldChar w:fldCharType="begin"/>
      </w:r>
      <w:r w:rsidRPr="001C4656">
        <w:rPr>
          <w:rFonts w:asciiTheme="minorHAnsi" w:hAnsiTheme="minorHAnsi"/>
        </w:rPr>
        <w:instrText xml:space="preserve"> IF "MULTI-SECTORAL CRISIS RECOVERY PROJECT FOR NORTH EASTERN NIGERIA" &lt;&gt; "" "MULTI-SECTORAL CRISIS RECOVERY PROJECT FOR NORTH EASTERN NIGERIA" ""</w:instrText>
      </w:r>
      <w:r w:rsidRPr="001C4656">
        <w:rPr>
          <w:rFonts w:asciiTheme="minorHAnsi" w:hAnsiTheme="minorHAnsi"/>
        </w:rPr>
        <w:fldChar w:fldCharType="separate"/>
      </w:r>
      <w:r w:rsidRPr="001C4656">
        <w:rPr>
          <w:rFonts w:asciiTheme="minorHAnsi" w:hAnsiTheme="minorHAnsi"/>
        </w:rPr>
        <w:t>MULTI-SECTORAL CRISIS RECOVERY PROJECT FOR NORTH EASTERN NIGERIA</w:t>
      </w:r>
      <w:r w:rsidRPr="001C4656">
        <w:rPr>
          <w:rFonts w:asciiTheme="minorHAnsi" w:hAnsiTheme="minorHAnsi"/>
        </w:rPr>
        <w:fldChar w:fldCharType="end"/>
      </w:r>
    </w:p>
    <w:p w:rsidR="007F2DE7" w:rsidRPr="00F674FC" w:rsidP="007F2DE7">
      <w:pPr>
        <w:widowControl/>
        <w:ind w:left="521" w:right="523"/>
        <w:jc w:val="center"/>
        <w:rPr>
          <w:rFonts w:eastAsia="Times New Roman" w:asciiTheme="minorHAnsi" w:hAnsiTheme="minorHAnsi" w:cs="Times New Roman"/>
          <w:color w:val="auto"/>
        </w:rPr>
      </w:pPr>
      <w:r w:rsidRPr="00F674FC">
        <w:rPr>
          <w:rFonts w:asciiTheme="minorHAnsi" w:hAnsiTheme="minorHAnsi" w:cs="Times New Roman"/>
        </w:rPr>
        <w:t>March 7, 2017</w:t>
      </w:r>
    </w:p>
    <w:p w:rsidR="007F2DE7" w:rsidRPr="001C4656" w:rsidP="007F2DE7">
      <w:pPr>
        <w:widowControl/>
        <w:jc w:val="center"/>
        <w:rPr>
          <w:rFonts w:asciiTheme="minorHAnsi" w:hAnsiTheme="minorHAnsi"/>
        </w:rPr>
      </w:pPr>
    </w:p>
    <w:p w:rsidR="007F2DE7" w:rsidRPr="001C4656" w:rsidP="007F2DE7">
      <w:pPr>
        <w:widowControl/>
        <w:spacing w:line="276" w:lineRule="auto"/>
        <w:rPr>
          <w:rFonts w:asciiTheme="minorHAnsi" w:hAnsiTheme="minorHAnsi" w:cs="Times New Roman"/>
        </w:rPr>
      </w:pPr>
      <w:r w:rsidRPr="001C4656">
        <w:rPr>
          <w:rFonts w:asciiTheme="minorHAnsi" w:hAnsiTheme="minorHAnsi" w:cs="Times New Roman"/>
        </w:rPr>
        <w:t>Social, Urban, Rural and Resilience Global Practice</w:t>
      </w:r>
    </w:p>
    <w:p w:rsidR="007F2DE7" w:rsidP="007F2DE7">
      <w:pPr>
        <w:widowControl/>
        <w:spacing w:line="276" w:lineRule="auto"/>
        <w:rPr>
          <w:rFonts w:asciiTheme="minorHAnsi" w:hAnsiTheme="minorHAnsi" w:cs="Times New Roman"/>
        </w:rPr>
      </w:pPr>
      <w:r w:rsidRPr="001C4656">
        <w:rPr>
          <w:rFonts w:asciiTheme="minorHAnsi" w:hAnsiTheme="minorHAnsi" w:cs="Times New Roman"/>
        </w:rPr>
        <w:t>Africa</w:t>
      </w:r>
      <w:r>
        <w:rPr>
          <w:rFonts w:asciiTheme="minorHAnsi" w:hAnsiTheme="minorHAnsi" w:cs="Times New Roman"/>
        </w:rPr>
        <w:t xml:space="preserve"> Region</w:t>
      </w:r>
    </w:p>
    <w:p w:rsidR="007F2DE7" w:rsidRPr="001C4656" w:rsidP="007F2DE7">
      <w:pPr>
        <w:widowControl/>
        <w:spacing w:line="276" w:lineRule="auto"/>
        <w:rPr>
          <w:rFonts w:asciiTheme="minorHAnsi" w:hAnsiTheme="minorHAnsi" w:cs="Times New Roman"/>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rPr>
          <w:rFonts w:asciiTheme="minorHAnsi" w:hAnsiTheme="minorHAnsi"/>
          <w:szCs w:val="22"/>
        </w:rPr>
      </w:pPr>
    </w:p>
    <w:p w:rsidR="007F2DE7" w:rsidP="007F2DE7">
      <w:pPr>
        <w:ind w:left="-288"/>
        <w:jc w:val="center"/>
        <w:rPr>
          <w:rFonts w:asciiTheme="minorHAnsi" w:hAnsiTheme="minorHAnsi"/>
          <w:szCs w:val="22"/>
        </w:rPr>
      </w:pPr>
      <w:r>
        <w:rPr>
          <w:rFonts w:ascii="Times New Roman" w:hAnsi="Times New Roman" w:eastAsiaTheme="minorHAnsi" w:cs="Times New Roman"/>
          <w:noProof/>
          <w:color w:val="auto"/>
        </w:rPr>
        <w:pict>
          <v:rect id="Rectangle 32809" o:spid="_x0000_i1025" style="height:44.25pt;mso-left-percent:-10001;mso-position-horizontal-relative:char;mso-position-vertical-relative:line;mso-top-percent:-10001;mso-wrap-style:square;v-text-anchor:middle;visibility:visible;width:519.4pt" strokecolor="#d8d8d8" strokeweight="1pt">
            <v:textbox>
              <w:txbxContent>
                <w:p w:rsidR="007F2DE7" w:rsidP="007F2DE7">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v:textbox>
            <w10:wrap type="none"/>
            <w10:anchorlock/>
          </v:rect>
        </w:pict>
      </w:r>
    </w:p>
    <w:p w:rsidR="007F2DE7" w:rsidP="007F2DE7">
      <w:pPr>
        <w:rPr>
          <w:rFonts w:asciiTheme="minorHAnsi" w:hAnsiTheme="minorHAnsi"/>
          <w:szCs w:val="22"/>
        </w:rPr>
      </w:pPr>
    </w:p>
    <w:sdt>
      <w:sdtPr>
        <w:id w:val="1833973040"/>
        <w:lock w:val="sdtContentLocked"/>
        <w:placeholder>
          <w:docPart w:val="DefaultPlaceholder_1081868574"/>
        </w:placeholder>
        <w:richText/>
      </w:sdtPr>
      <w:sdtContent>
        <w:p w:rsidR="007F2DE7" w:rsidP="007F2DE7">
          <w:pPr>
            <w:pStyle w:val="Normal1"/>
            <w:spacing w:after="0" w:line="20" w:lineRule="exact"/>
            <w:sectPr w:rsidSect="007F2DE7">
              <w:footerReference w:type="default" r:id="rId10"/>
              <w:type w:val="continuous"/>
              <w:pgSz w:w="12240" w:h="15840" w:code="1"/>
              <w:pgMar w:top="1440" w:right="1440" w:bottom="1440" w:left="1440" w:header="720" w:footer="720" w:gutter="0"/>
              <w:cols w:space="720"/>
              <w:titlePg/>
              <w:docGrid w:linePitch="360"/>
            </w:sectPr>
          </w:pPr>
          <w:r>
            <w:t xml:space="preserve"> </w:t>
          </w:r>
        </w:p>
      </w:sdtContent>
    </w:sdt>
    <w:p w:rsidR="007F2DE7" w:rsidRPr="00FB6E71" w:rsidP="007F2DE7">
      <w:pPr>
        <w:rPr>
          <w:rFonts w:asciiTheme="minorHAnsi" w:hAnsiTheme="minorHAnsi"/>
          <w:szCs w:val="22"/>
        </w:rPr>
      </w:pP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4"/>
      </w:tblGrid>
      <w:tr w:rsidTr="007F2DE7">
        <w:tblPrEx>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9684" w:type="dxa"/>
            <w:vAlign w:val="center"/>
          </w:tcPr>
          <w:p w:rsidR="007F2DE7" w:rsidRPr="00FB6E71" w:rsidP="007F2DE7">
            <w:pPr>
              <w:spacing w:line="276" w:lineRule="auto"/>
              <w:jc w:val="center"/>
              <w:rPr>
                <w:rFonts w:asciiTheme="minorHAnsi" w:hAnsiTheme="minorHAnsi" w:cs="Times New Roman"/>
              </w:rPr>
            </w:pPr>
            <w:r w:rsidRPr="00FB6E71">
              <w:rPr>
                <w:noProof/>
              </w:rPr>
              <mc:AlternateContent>
                <mc:Choice Requires="wps">
                  <w:drawing>
                    <wp:anchor distT="0" distB="0" distL="114300" distR="114300" simplePos="0" relativeHeight="251664384" behindDoc="0" locked="0" layoutInCell="1" allowOverlap="1">
                      <wp:simplePos x="0" y="0"/>
                      <wp:positionH relativeFrom="column">
                        <wp:posOffset>1762125</wp:posOffset>
                      </wp:positionH>
                      <wp:positionV relativeFrom="paragraph">
                        <wp:posOffset>155575</wp:posOffset>
                      </wp:positionV>
                      <wp:extent cx="0" cy="0"/>
                      <wp:effectExtent l="9525" t="12700" r="9525" b="6350"/>
                      <wp:wrapNone/>
                      <wp:docPr id="1"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6350">
                                <a:solidFill>
                                  <a:srgbClr val="BDD6EE"/>
                                </a:solidFill>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mso-height-percent:0;mso-height-relative:margin;mso-width-percent:0;mso-width-relative:margin;mso-wrap-distance-bottom:0;mso-wrap-distance-left:9pt;mso-wrap-distance-right:9pt;mso-wrap-distance-top:0;mso-wrap-style:square;position:absolute;visibility:visible;z-index:251665408" from="138.75pt,12.25pt" to="138.75pt,12.25pt" strokecolor="#bdd6ee" strokeweight="0.5pt">
                      <v:stroke joinstyle="miter"/>
                    </v:line>
                  </w:pict>
                </mc:Fallback>
              </mc:AlternateContent>
            </w:r>
            <w:r w:rsidRPr="00FB6E71">
              <w:rPr>
                <w:rFonts w:asciiTheme="minorHAnsi" w:hAnsiTheme="minorHAnsi" w:cs="Times New Roman"/>
              </w:rPr>
              <w:t xml:space="preserve">CURRENCY EQUIVALENTS </w:t>
            </w:r>
          </w:p>
          <w:p w:rsidR="007F2DE7" w:rsidRPr="00FB6E71" w:rsidP="007F2DE7">
            <w:pPr>
              <w:spacing w:line="276" w:lineRule="auto"/>
              <w:jc w:val="center"/>
              <w:rPr>
                <w:rFonts w:asciiTheme="minorHAnsi" w:hAnsiTheme="minorHAnsi" w:cs="Times New Roman"/>
              </w:rPr>
            </w:pPr>
          </w:p>
        </w:tc>
      </w:tr>
      <w:tr w:rsidTr="007F2DE7">
        <w:tblPrEx>
          <w:tblW w:w="9684" w:type="dxa"/>
          <w:jc w:val="center"/>
          <w:tblLook w:val="04A0"/>
        </w:tblPrEx>
        <w:trPr>
          <w:trHeight w:val="288"/>
          <w:jc w:val="center"/>
        </w:trPr>
        <w:tc>
          <w:tcPr>
            <w:tcW w:w="9684" w:type="dxa"/>
            <w:vAlign w:val="center"/>
          </w:tcPr>
          <w:p w:rsidR="007F2DE7" w:rsidRPr="00FB6E71" w:rsidP="007F2DE7">
            <w:pPr>
              <w:spacing w:line="276" w:lineRule="auto"/>
              <w:jc w:val="center"/>
              <w:rPr>
                <w:rFonts w:asciiTheme="minorHAnsi" w:hAnsiTheme="minorHAnsi" w:cs="Times New Roman"/>
                <w:color w:val="595959" w:themeColor="text1" w:themeTint="A6"/>
              </w:rPr>
            </w:pPr>
            <w:r w:rsidRPr="00FB6E71">
              <w:rPr>
                <w:rFonts w:asciiTheme="minorHAnsi" w:hAnsiTheme="minorHAnsi" w:cs="Times New Roman"/>
                <w:color w:val="595959" w:themeColor="text1" w:themeTint="A6"/>
              </w:rPr>
              <w:t>(Exchange Rate Effective December 30, 2016)</w:t>
            </w:r>
          </w:p>
        </w:tc>
      </w:tr>
      <w:tr w:rsidTr="007F2DE7">
        <w:tblPrEx>
          <w:tblW w:w="9684" w:type="dxa"/>
          <w:jc w:val="center"/>
          <w:tblLook w:val="04A0"/>
        </w:tblPrEx>
        <w:trPr>
          <w:trHeight w:val="20"/>
          <w:jc w:val="center"/>
        </w:trPr>
        <w:tc>
          <w:tcPr>
            <w:tcW w:w="9684" w:type="dxa"/>
            <w:vAlign w:val="center"/>
          </w:tcPr>
          <w:p w:rsidR="007F2DE7" w:rsidRPr="00FB6E71" w:rsidP="007F2DE7">
            <w:pPr>
              <w:spacing w:line="276" w:lineRule="auto"/>
              <w:jc w:val="center"/>
              <w:rPr>
                <w:rFonts w:asciiTheme="minorHAnsi" w:hAnsiTheme="minorHAnsi" w:cs="Times New Roman"/>
              </w:rPr>
            </w:pPr>
          </w:p>
        </w:tc>
      </w:tr>
      <w:tr w:rsidTr="007F2DE7">
        <w:tblPrEx>
          <w:tblW w:w="9684" w:type="dxa"/>
          <w:jc w:val="center"/>
          <w:tblLook w:val="04A0"/>
        </w:tblPrEx>
        <w:trPr>
          <w:jc w:val="center"/>
        </w:trPr>
        <w:tc>
          <w:tcPr>
            <w:tcW w:w="9684" w:type="dxa"/>
            <w:vAlign w:val="center"/>
          </w:tcPr>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90"/>
              <w:gridCol w:w="2430"/>
            </w:tblGrid>
            <w:tr w:rsidTr="007F2DE7">
              <w:tblPrEx>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Ex>
              <w:trPr>
                <w:trHeight w:val="432"/>
                <w:jc w:val="center"/>
              </w:trPr>
              <w:tc>
                <w:tcPr>
                  <w:tcW w:w="1890" w:type="dxa"/>
                  <w:tcBorders>
                    <w:top w:val="nil"/>
                    <w:left w:val="nil"/>
                    <w:bottom w:val="dashed" w:sz="4" w:space="0" w:color="D9D9D9" w:themeColor="background1" w:themeShade="D9"/>
                    <w:right w:val="nil"/>
                  </w:tcBorders>
                  <w:vAlign w:val="center"/>
                  <w:hideMark/>
                </w:tcPr>
                <w:p w:rsidR="007F2DE7" w:rsidRPr="00FB6E71" w:rsidP="007F2DE7">
                  <w:pPr>
                    <w:ind w:left="-900" w:firstLine="900"/>
                    <w:jc w:val="right"/>
                    <w:rPr>
                      <w:rFonts w:asciiTheme="minorHAnsi" w:hAnsiTheme="minorHAnsi" w:cs="Times New Roman"/>
                    </w:rPr>
                  </w:pPr>
                  <w:r w:rsidRPr="00FB6E71">
                    <w:rPr>
                      <w:rFonts w:asciiTheme="minorHAnsi" w:hAnsiTheme="minorHAnsi" w:cs="Times New Roman"/>
                    </w:rPr>
                    <w:t xml:space="preserve">Currency Unit =                  </w:t>
                  </w:r>
                </w:p>
              </w:tc>
              <w:tc>
                <w:tcPr>
                  <w:tcW w:w="2430" w:type="dxa"/>
                  <w:tcBorders>
                    <w:top w:val="nil"/>
                    <w:left w:val="nil"/>
                    <w:bottom w:val="dashed" w:sz="4" w:space="0" w:color="D9D9D9" w:themeColor="background1" w:themeShade="D9"/>
                    <w:right w:val="nil"/>
                  </w:tcBorders>
                  <w:vAlign w:val="center"/>
                </w:tcPr>
                <w:p w:rsidR="007F2DE7" w:rsidRPr="00FB6E71" w:rsidP="007F2DE7">
                  <w:pPr>
                    <w:rPr>
                      <w:rFonts w:asciiTheme="minorHAnsi" w:hAnsiTheme="minorHAnsi" w:cs="Times New Roman"/>
                    </w:rPr>
                  </w:pPr>
                  <w:r w:rsidRPr="00FB6E71">
                    <w:rPr>
                      <w:rFonts w:asciiTheme="minorHAnsi" w:hAnsiTheme="minorHAnsi" w:cs="Times New Roman"/>
                    </w:rPr>
                    <w:t>Nigerian Naira (NGN)</w:t>
                  </w:r>
                </w:p>
              </w:tc>
            </w:tr>
            <w:tr w:rsidTr="007F2DE7">
              <w:tblPrEx>
                <w:tblW w:w="0" w:type="auto"/>
                <w:jc w:val="center"/>
                <w:tblLook w:val="04A0"/>
              </w:tblPrEx>
              <w:trPr>
                <w:trHeight w:val="432"/>
                <w:jc w:val="center"/>
              </w:trPr>
              <w:tc>
                <w:tcPr>
                  <w:tcW w:w="1890" w:type="dxa"/>
                  <w:tcBorders>
                    <w:top w:val="dashed" w:sz="4" w:space="0" w:color="D9D9D9" w:themeColor="background1" w:themeShade="D9"/>
                    <w:left w:val="nil"/>
                    <w:bottom w:val="dashed" w:sz="4" w:space="0" w:color="D9D9D9" w:themeColor="background1" w:themeShade="D9"/>
                    <w:right w:val="nil"/>
                  </w:tcBorders>
                  <w:vAlign w:val="center"/>
                  <w:hideMark/>
                </w:tcPr>
                <w:p w:rsidR="007F2DE7" w:rsidRPr="00FB6E71" w:rsidP="007F2DE7">
                  <w:pPr>
                    <w:jc w:val="right"/>
                    <w:rPr>
                      <w:rFonts w:asciiTheme="minorHAnsi" w:hAnsiTheme="minorHAnsi" w:cs="Times New Roman"/>
                    </w:rPr>
                  </w:pPr>
                  <w:r w:rsidRPr="00FB6E71">
                    <w:rPr>
                      <w:rFonts w:asciiTheme="minorHAnsi" w:hAnsiTheme="minorHAnsi" w:cs="Times New Roman"/>
                    </w:rPr>
                    <w:t>NGN 304.20 =</w:t>
                  </w:r>
                </w:p>
              </w:tc>
              <w:tc>
                <w:tcPr>
                  <w:tcW w:w="2430" w:type="dxa"/>
                  <w:tcBorders>
                    <w:top w:val="dashed" w:sz="4" w:space="0" w:color="D9D9D9" w:themeColor="background1" w:themeShade="D9"/>
                    <w:left w:val="nil"/>
                    <w:bottom w:val="dashed" w:sz="4" w:space="0" w:color="D9D9D9" w:themeColor="background1" w:themeShade="D9"/>
                    <w:right w:val="nil"/>
                  </w:tcBorders>
                  <w:vAlign w:val="center"/>
                  <w:hideMark/>
                </w:tcPr>
                <w:p w:rsidR="007F2DE7" w:rsidRPr="00FB6E71" w:rsidP="007F2DE7">
                  <w:pPr>
                    <w:rPr>
                      <w:rFonts w:asciiTheme="minorHAnsi" w:hAnsiTheme="minorHAnsi" w:cs="Times New Roman"/>
                    </w:rPr>
                  </w:pPr>
                  <w:r w:rsidRPr="00FB6E71">
                    <w:rPr>
                      <w:rFonts w:asciiTheme="minorHAnsi" w:hAnsiTheme="minorHAnsi" w:cs="Times New Roman"/>
                    </w:rPr>
                    <w:t>US$1</w:t>
                  </w:r>
                </w:p>
              </w:tc>
            </w:tr>
            <w:tr w:rsidTr="007F2DE7">
              <w:tblPrEx>
                <w:tblW w:w="0" w:type="auto"/>
                <w:jc w:val="center"/>
                <w:tblLook w:val="04A0"/>
              </w:tblPrEx>
              <w:trPr>
                <w:trHeight w:val="432"/>
                <w:jc w:val="center"/>
              </w:trPr>
              <w:tc>
                <w:tcPr>
                  <w:tcW w:w="1890" w:type="dxa"/>
                  <w:tcBorders>
                    <w:top w:val="dashed" w:sz="4" w:space="0" w:color="D9D9D9" w:themeColor="background1" w:themeShade="D9"/>
                    <w:left w:val="nil"/>
                    <w:bottom w:val="nil"/>
                    <w:right w:val="nil"/>
                  </w:tcBorders>
                  <w:vAlign w:val="center"/>
                  <w:hideMark/>
                </w:tcPr>
                <w:p w:rsidR="007F2DE7" w:rsidRPr="00FB6E71" w:rsidP="007F2DE7">
                  <w:pPr>
                    <w:jc w:val="right"/>
                    <w:rPr>
                      <w:rFonts w:asciiTheme="minorHAnsi" w:hAnsiTheme="minorHAnsi" w:cs="Times New Roman"/>
                    </w:rPr>
                  </w:pPr>
                  <w:r w:rsidRPr="00FB6E71">
                    <w:rPr>
                      <w:rFonts w:asciiTheme="minorHAnsi" w:hAnsiTheme="minorHAnsi" w:cs="Times New Roman"/>
                    </w:rPr>
                    <w:t>US$1.3443 =</w:t>
                  </w:r>
                </w:p>
              </w:tc>
              <w:tc>
                <w:tcPr>
                  <w:tcW w:w="2430" w:type="dxa"/>
                  <w:tcBorders>
                    <w:top w:val="dashed" w:sz="4" w:space="0" w:color="D9D9D9" w:themeColor="background1" w:themeShade="D9"/>
                    <w:left w:val="nil"/>
                    <w:bottom w:val="nil"/>
                    <w:right w:val="nil"/>
                  </w:tcBorders>
                  <w:vAlign w:val="center"/>
                  <w:hideMark/>
                </w:tcPr>
                <w:p w:rsidR="007F2DE7" w:rsidRPr="00FB6E71" w:rsidP="007F2DE7">
                  <w:pPr>
                    <w:rPr>
                      <w:rFonts w:asciiTheme="minorHAnsi" w:hAnsiTheme="minorHAnsi" w:cs="Times New Roman"/>
                    </w:rPr>
                  </w:pPr>
                  <w:r w:rsidRPr="00FB6E71">
                    <w:rPr>
                      <w:rFonts w:asciiTheme="minorHAnsi" w:hAnsiTheme="minorHAnsi" w:cs="Times New Roman"/>
                    </w:rPr>
                    <w:t>SDR 1</w:t>
                  </w:r>
                </w:p>
              </w:tc>
            </w:tr>
          </w:tbl>
          <w:p w:rsidR="007F2DE7" w:rsidRPr="00FB6E71" w:rsidP="007F2DE7">
            <w:pPr>
              <w:spacing w:line="276" w:lineRule="auto"/>
              <w:jc w:val="center"/>
              <w:rPr>
                <w:rFonts w:asciiTheme="minorHAnsi" w:hAnsiTheme="minorHAnsi" w:cs="Times New Roman"/>
              </w:rPr>
            </w:pPr>
          </w:p>
        </w:tc>
      </w:tr>
      <w:tr w:rsidTr="007F2DE7">
        <w:tblPrEx>
          <w:tblW w:w="9684" w:type="dxa"/>
          <w:jc w:val="center"/>
          <w:tblLook w:val="04A0"/>
        </w:tblPrEx>
        <w:trPr>
          <w:jc w:val="center"/>
        </w:trPr>
        <w:tc>
          <w:tcPr>
            <w:tcW w:w="9684" w:type="dxa"/>
            <w:vAlign w:val="center"/>
          </w:tcPr>
          <w:p w:rsidR="007F2DE7" w:rsidRPr="00FB6E71" w:rsidP="007F2DE7">
            <w:pPr>
              <w:ind w:left="-900" w:firstLine="900"/>
              <w:jc w:val="center"/>
              <w:rPr>
                <w:rFonts w:asciiTheme="minorHAnsi" w:hAnsiTheme="minorHAnsi" w:cs="Times New Roman"/>
              </w:rPr>
            </w:pPr>
          </w:p>
          <w:p w:rsidR="007F2DE7" w:rsidRPr="00FB6E71" w:rsidP="007F2DE7">
            <w:pPr>
              <w:ind w:left="-900" w:firstLine="900"/>
              <w:jc w:val="center"/>
              <w:rPr>
                <w:rFonts w:asciiTheme="minorHAnsi" w:hAnsiTheme="minorHAnsi" w:cs="Times New Roman"/>
              </w:rPr>
            </w:pPr>
            <w:r w:rsidRPr="00FB6E71">
              <w:rPr>
                <w:rFonts w:asciiTheme="minorHAnsi" w:hAnsiTheme="minorHAnsi" w:cs="Times New Roman"/>
              </w:rPr>
              <w:t>FISCAL YEAR</w:t>
            </w:r>
          </w:p>
        </w:tc>
      </w:tr>
      <w:tr w:rsidTr="007F2DE7">
        <w:tblPrEx>
          <w:tblW w:w="9684" w:type="dxa"/>
          <w:jc w:val="center"/>
          <w:tblLook w:val="04A0"/>
        </w:tblPrEx>
        <w:trPr>
          <w:trHeight w:val="297"/>
          <w:jc w:val="center"/>
        </w:trPr>
        <w:tc>
          <w:tcPr>
            <w:tcW w:w="9684" w:type="dxa"/>
            <w:vAlign w:val="center"/>
          </w:tcPr>
          <w:p w:rsidR="007F2DE7" w:rsidRPr="00FB6E71" w:rsidP="007F2DE7">
            <w:pPr>
              <w:ind w:left="-900" w:firstLine="900"/>
              <w:jc w:val="center"/>
              <w:rPr>
                <w:rFonts w:asciiTheme="minorHAnsi" w:hAnsiTheme="minorHAnsi" w:cs="Times New Roman"/>
              </w:rPr>
            </w:pPr>
            <w:r w:rsidRPr="00FB6E71">
              <w:rPr>
                <w:rFonts w:asciiTheme="minorHAnsi" w:hAnsiTheme="minorHAnsi" w:cs="Times New Roman"/>
              </w:rPr>
              <w:t>January 1–December 31</w:t>
            </w:r>
          </w:p>
        </w:tc>
      </w:tr>
    </w:tbl>
    <w:p w:rsidR="007F2DE7" w:rsidRPr="00FB6E71" w:rsidP="007F2DE7">
      <w:pPr>
        <w:ind w:left="-907"/>
        <w:jc w:val="center"/>
        <w:rPr>
          <w:rFonts w:asciiTheme="minorHAnsi" w:hAnsiTheme="minorHAnsi"/>
          <w:sz w:val="20"/>
        </w:rPr>
      </w:pP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4"/>
      </w:tblGrid>
      <w:tr w:rsidTr="007F2DE7">
        <w:tblPrEx>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9684" w:type="dxa"/>
            <w:vAlign w:val="center"/>
            <w:hideMark/>
          </w:tcPr>
          <w:p w:rsidR="007F2DE7" w:rsidRPr="00FB6E71" w:rsidP="007F2DE7">
            <w:pPr>
              <w:ind w:left="-900" w:firstLine="900"/>
              <w:jc w:val="center"/>
              <w:rPr>
                <w:rFonts w:asciiTheme="minorHAnsi" w:hAnsiTheme="minorHAnsi" w:cs="Times New Roman"/>
              </w:rPr>
            </w:pPr>
            <w:r w:rsidRPr="00FB6E71">
              <w:rPr>
                <w:rFonts w:asciiTheme="minorHAnsi" w:hAnsiTheme="minorHAnsi" w:cs="Times New Roman"/>
              </w:rPr>
              <w:t>ABBREVIATIONS AND ACRONYMS</w:t>
            </w:r>
          </w:p>
        </w:tc>
      </w:tr>
    </w:tbl>
    <w:p w:rsidR="007F2DE7" w:rsidRPr="00FB6E71" w:rsidP="007F2DE7">
      <w:pPr>
        <w:ind w:left="-907"/>
        <w:jc w:val="center"/>
        <w:rPr>
          <w:rFonts w:asciiTheme="minorHAnsi" w:hAnsiTheme="minorHAnsi"/>
          <w:sz w:val="20"/>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255"/>
        <w:gridCol w:w="8370"/>
      </w:tblGrid>
      <w:tr w:rsidTr="007F2DE7">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AF</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Additional Financing</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AfDB</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African Development Bank</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ARAP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000000" w:themeColor="text1"/>
                <w:sz w:val="22"/>
                <w:szCs w:val="22"/>
              </w:rPr>
              <w:t xml:space="preserve">Abbreviated </w:t>
            </w:r>
            <w:r w:rsidRPr="00FB6E71">
              <w:rPr>
                <w:rFonts w:asciiTheme="minorHAnsi" w:hAnsiTheme="minorHAnsi" w:cs="Times New Roman"/>
                <w:sz w:val="22"/>
                <w:szCs w:val="22"/>
              </w:rPr>
              <w:t>Resettlement</w:t>
            </w:r>
            <w:r w:rsidRPr="00FB6E71">
              <w:rPr>
                <w:rFonts w:asciiTheme="minorHAnsi" w:hAnsiTheme="minorHAnsi"/>
                <w:color w:val="000000" w:themeColor="text1"/>
                <w:sz w:val="22"/>
                <w:szCs w:val="22"/>
              </w:rPr>
              <w:t xml:space="preserve"> Action Plan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BAY</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Borno, Adamawa, and Yobe</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BH</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Boko Haram</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CERC</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Contingent Emergency Response Component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CSDP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Community and Social Development Project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CSO</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Civil Society Organization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DA</w:t>
            </w:r>
          </w:p>
        </w:tc>
        <w:tc>
          <w:tcPr>
            <w:tcW w:w="8370"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Designated Account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DFID</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s="TimesNewRomanPSMT"/>
                <w:color w:val="auto"/>
                <w:sz w:val="22"/>
                <w:szCs w:val="22"/>
              </w:rPr>
              <w:t>Department for International Development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E&amp;S</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s="Times New Roman"/>
                <w:sz w:val="22"/>
                <w:szCs w:val="22"/>
              </w:rPr>
              <w:t>Environmental and Social</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EA</w:t>
            </w:r>
          </w:p>
        </w:tc>
        <w:tc>
          <w:tcPr>
            <w:tcW w:w="8370" w:type="dxa"/>
            <w:shd w:val="clear" w:color="auto" w:fill="auto"/>
            <w:vAlign w:val="center"/>
          </w:tcPr>
          <w:p w:rsidR="007F2DE7" w:rsidRPr="00FB6E71" w:rsidP="007F2DE7">
            <w:pPr>
              <w:rPr>
                <w:rFonts w:asciiTheme="minorHAnsi" w:hAnsiTheme="minorHAnsi" w:cs="TimesNewRomanPSMT"/>
                <w:color w:val="auto"/>
                <w:sz w:val="22"/>
                <w:szCs w:val="22"/>
              </w:rPr>
            </w:pPr>
            <w:r w:rsidRPr="00FB6E71">
              <w:rPr>
                <w:rFonts w:asciiTheme="minorHAnsi" w:hAnsiTheme="minorHAnsi" w:cs="TimesNewRomanPSMT"/>
                <w:color w:val="auto"/>
                <w:sz w:val="22"/>
                <w:szCs w:val="22"/>
              </w:rPr>
              <w:t>Environmental Assessment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EIA</w:t>
            </w:r>
          </w:p>
        </w:tc>
        <w:tc>
          <w:tcPr>
            <w:tcW w:w="8370" w:type="dxa"/>
            <w:shd w:val="clear" w:color="auto" w:fill="auto"/>
            <w:vAlign w:val="center"/>
          </w:tcPr>
          <w:p w:rsidR="007F2DE7" w:rsidRPr="00FB6E71" w:rsidP="007F2DE7">
            <w:pPr>
              <w:rPr>
                <w:rFonts w:asciiTheme="minorHAnsi" w:hAnsiTheme="minorHAnsi" w:cs="TimesNewRomanPSMT"/>
                <w:color w:val="auto"/>
                <w:sz w:val="22"/>
                <w:szCs w:val="22"/>
              </w:rPr>
            </w:pPr>
            <w:r w:rsidRPr="00FB6E71">
              <w:rPr>
                <w:rFonts w:asciiTheme="minorHAnsi" w:hAnsiTheme="minorHAnsi"/>
                <w:sz w:val="22"/>
                <w:szCs w:val="22"/>
                <w:lang w:bidi="en-US"/>
              </w:rPr>
              <w:t>Environmental Impact Assessment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ESIA</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Environmental and Social Impact Assessment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ESMP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Environmental and Social Management Plan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ESSU</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sz w:val="22"/>
                <w:szCs w:val="22"/>
              </w:rPr>
              <w:t>Environment and Social Safeguards Unit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EU</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European Union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FADAMA III</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bCs/>
                <w:color w:val="auto"/>
                <w:sz w:val="22"/>
                <w:szCs w:val="22"/>
              </w:rPr>
              <w:t>Third National Fadama Development Project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FM</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Financial Management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FMBNP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Federal Ministry of Budget and National Planning</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FME</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Federal Ministry of Environment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FMoF</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Federal Ministry of Finance</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FPFMD</w:t>
            </w:r>
          </w:p>
        </w:tc>
        <w:tc>
          <w:tcPr>
            <w:tcW w:w="8370" w:type="dxa"/>
            <w:shd w:val="clear" w:color="auto" w:fill="auto"/>
            <w:vAlign w:val="center"/>
          </w:tcPr>
          <w:p w:rsidR="007F2DE7" w:rsidRPr="00FB6E71" w:rsidP="007F2DE7">
            <w:pPr>
              <w:rPr>
                <w:rFonts w:asciiTheme="minorHAnsi" w:hAnsiTheme="minorHAnsi"/>
                <w:sz w:val="22"/>
                <w:szCs w:val="22"/>
              </w:rPr>
            </w:pPr>
            <w:r w:rsidRPr="00FB6E71">
              <w:rPr>
                <w:rFonts w:asciiTheme="minorHAnsi" w:hAnsiTheme="minorHAnsi"/>
                <w:sz w:val="22"/>
                <w:szCs w:val="22"/>
              </w:rPr>
              <w:t>Federal Project Financial Management Division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FPM</w:t>
            </w:r>
          </w:p>
        </w:tc>
        <w:tc>
          <w:tcPr>
            <w:tcW w:w="8370" w:type="dxa"/>
            <w:shd w:val="clear" w:color="auto" w:fill="auto"/>
            <w:vAlign w:val="center"/>
          </w:tcPr>
          <w:p w:rsidR="007F2DE7" w:rsidRPr="00FB6E71" w:rsidP="007F2DE7">
            <w:pPr>
              <w:rPr>
                <w:rFonts w:asciiTheme="minorHAnsi" w:hAnsiTheme="minorHAnsi"/>
                <w:sz w:val="22"/>
                <w:szCs w:val="22"/>
              </w:rPr>
            </w:pPr>
            <w:r w:rsidRPr="00FB6E71">
              <w:rPr>
                <w:rFonts w:asciiTheme="minorHAnsi" w:hAnsiTheme="minorHAnsi"/>
                <w:sz w:val="22"/>
                <w:szCs w:val="22"/>
              </w:rPr>
              <w:t>Financial Procedures Manual</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GDP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Gross Domestic Product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GIZ</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 xml:space="preserve">German Agency for International Cooperation </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GoN</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Government of Nigeria</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GPS</w:t>
            </w:r>
          </w:p>
        </w:tc>
        <w:tc>
          <w:tcPr>
            <w:tcW w:w="8370"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Global Positioning System</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GR</w:t>
            </w:r>
            <w:r>
              <w:rPr>
                <w:rFonts w:asciiTheme="minorHAnsi" w:hAnsiTheme="minorHAnsi"/>
                <w:color w:val="auto"/>
                <w:sz w:val="22"/>
                <w:szCs w:val="22"/>
              </w:rPr>
              <w:t>M</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 xml:space="preserve">Grievance Redress </w:t>
            </w:r>
            <w:r>
              <w:rPr>
                <w:rFonts w:asciiTheme="minorHAnsi" w:hAnsiTheme="minorHAnsi"/>
                <w:color w:val="auto"/>
                <w:sz w:val="22"/>
                <w:szCs w:val="22"/>
              </w:rPr>
              <w:t>Mechanism</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GRS</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Grievance Redress Service</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IDP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Internally Displaced Pe</w:t>
            </w:r>
            <w:r w:rsidRPr="00AB5199">
              <w:rPr>
                <w:rFonts w:asciiTheme="minorHAnsi" w:hAnsiTheme="minorHAnsi"/>
                <w:color w:val="auto"/>
                <w:sz w:val="22"/>
                <w:szCs w:val="22"/>
              </w:rPr>
              <w:t>ople</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IFR</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Interim Financial Report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IRM</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rPr>
              <w:t>Immediate Response Mechanism</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IsDB</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Islamic Development Bank</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ISP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Implementation Support Plan</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LGA</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Local Government Authority</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M&amp;E</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 xml:space="preserve">Monitoring and Evaluation </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MCRP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Multi-Sectoral Crisis Recovery Project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MDA</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Line Ministry/Department/Agency</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MDB</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Multilateral Development Bank</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MTR</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bCs/>
                <w:color w:val="auto"/>
                <w:sz w:val="22"/>
                <w:szCs w:val="22"/>
              </w:rPr>
              <w:t>Midterm Review</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NE</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North East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NEDC</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bCs/>
                <w:color w:val="auto"/>
                <w:sz w:val="22"/>
                <w:szCs w:val="22"/>
              </w:rPr>
              <w:t>North East Development Commission</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NEMA</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National Emergency Management Authority</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NGO</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Nongovernmental Organization</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NPHCDA</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 xml:space="preserve">National </w:t>
            </w:r>
            <w:r w:rsidRPr="00FB6E71">
              <w:rPr>
                <w:rFonts w:asciiTheme="minorHAnsi" w:hAnsiTheme="minorHAnsi"/>
                <w:bCs/>
                <w:sz w:val="22"/>
                <w:szCs w:val="22"/>
              </w:rPr>
              <w:t>Primary Health Care Development Agenc</w:t>
            </w:r>
            <w:r>
              <w:rPr>
                <w:rFonts w:asciiTheme="minorHAnsi" w:hAnsiTheme="minorHAnsi"/>
                <w:bCs/>
                <w:sz w:val="22"/>
                <w:szCs w:val="22"/>
              </w:rPr>
              <w:t>y</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NSHIP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bCs/>
                <w:color w:val="auto"/>
                <w:sz w:val="22"/>
                <w:szCs w:val="22"/>
              </w:rPr>
              <w:t>Nigeria State Health Investment Program</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OAG</w:t>
            </w:r>
          </w:p>
        </w:tc>
        <w:tc>
          <w:tcPr>
            <w:tcW w:w="8370" w:type="dxa"/>
            <w:shd w:val="clear" w:color="auto" w:fill="auto"/>
            <w:vAlign w:val="center"/>
          </w:tcPr>
          <w:p w:rsidR="007F2DE7" w:rsidRPr="00FB6E71" w:rsidP="007F2DE7">
            <w:pPr>
              <w:rPr>
                <w:rFonts w:asciiTheme="minorHAnsi" w:hAnsiTheme="minorHAnsi"/>
                <w:bCs/>
                <w:color w:val="auto"/>
                <w:sz w:val="22"/>
                <w:szCs w:val="22"/>
              </w:rPr>
            </w:pPr>
            <w:r w:rsidRPr="00FB6E71">
              <w:rPr>
                <w:rFonts w:asciiTheme="minorHAnsi" w:hAnsiTheme="minorHAnsi"/>
                <w:bCs/>
                <w:color w:val="auto"/>
                <w:sz w:val="22"/>
                <w:szCs w:val="22"/>
              </w:rPr>
              <w:t xml:space="preserve">Office of Account General </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OAG</w:t>
            </w:r>
            <w:r>
              <w:rPr>
                <w:rFonts w:asciiTheme="minorHAnsi" w:hAnsiTheme="minorHAnsi"/>
                <w:color w:val="auto"/>
                <w:sz w:val="22"/>
                <w:szCs w:val="22"/>
              </w:rPr>
              <w:t>F</w:t>
            </w:r>
          </w:p>
        </w:tc>
        <w:tc>
          <w:tcPr>
            <w:tcW w:w="8370" w:type="dxa"/>
            <w:shd w:val="clear" w:color="auto" w:fill="auto"/>
            <w:vAlign w:val="center"/>
          </w:tcPr>
          <w:p w:rsidR="007F2DE7" w:rsidRPr="00FB6E71" w:rsidP="007F2DE7">
            <w:pPr>
              <w:rPr>
                <w:rFonts w:asciiTheme="minorHAnsi" w:hAnsiTheme="minorHAnsi"/>
                <w:bCs/>
                <w:color w:val="auto"/>
                <w:sz w:val="22"/>
                <w:szCs w:val="22"/>
              </w:rPr>
            </w:pPr>
            <w:r w:rsidRPr="00FB6E71">
              <w:rPr>
                <w:rFonts w:asciiTheme="minorHAnsi" w:hAnsiTheme="minorHAnsi"/>
                <w:bCs/>
                <w:color w:val="auto"/>
                <w:sz w:val="22"/>
                <w:szCs w:val="22"/>
              </w:rPr>
              <w:t xml:space="preserve">Office of Account General of the </w:t>
            </w:r>
            <w:r>
              <w:rPr>
                <w:rFonts w:asciiTheme="minorHAnsi" w:hAnsiTheme="minorHAnsi"/>
                <w:bCs/>
                <w:color w:val="auto"/>
                <w:sz w:val="22"/>
                <w:szCs w:val="22"/>
              </w:rPr>
              <w:t>Federation</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bottom"/>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OP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Operational Policy</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PCNI</w:t>
            </w:r>
          </w:p>
        </w:tc>
        <w:tc>
          <w:tcPr>
            <w:tcW w:w="8370" w:type="dxa"/>
            <w:shd w:val="clear" w:color="auto" w:fill="auto"/>
            <w:vAlign w:val="center"/>
          </w:tcPr>
          <w:p w:rsidR="007F2DE7" w:rsidRPr="00FB6E71" w:rsidP="007F2DE7">
            <w:pPr>
              <w:rPr>
                <w:rFonts w:asciiTheme="minorHAnsi" w:hAnsiTheme="minorHAnsi"/>
                <w:bCs/>
                <w:color w:val="auto"/>
                <w:sz w:val="22"/>
                <w:szCs w:val="22"/>
              </w:rPr>
            </w:pPr>
            <w:r w:rsidRPr="00FB6E71">
              <w:rPr>
                <w:rFonts w:asciiTheme="minorHAnsi" w:hAnsiTheme="minorHAnsi"/>
                <w:bCs/>
                <w:color w:val="auto"/>
                <w:sz w:val="22"/>
                <w:szCs w:val="22"/>
              </w:rPr>
              <w:t>Presidential Committee for the North East Initiative</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PCU</w:t>
            </w:r>
          </w:p>
        </w:tc>
        <w:tc>
          <w:tcPr>
            <w:tcW w:w="8370" w:type="dxa"/>
            <w:shd w:val="clear" w:color="auto" w:fill="auto"/>
            <w:vAlign w:val="center"/>
          </w:tcPr>
          <w:p w:rsidR="007F2DE7" w:rsidRPr="00FB6E71" w:rsidP="007F2DE7">
            <w:pPr>
              <w:rPr>
                <w:rFonts w:asciiTheme="minorHAnsi" w:hAnsiTheme="minorHAnsi"/>
                <w:bCs/>
                <w:color w:val="auto"/>
                <w:sz w:val="22"/>
                <w:szCs w:val="22"/>
              </w:rPr>
            </w:pPr>
            <w:r w:rsidRPr="00FB6E71">
              <w:rPr>
                <w:rFonts w:asciiTheme="minorHAnsi" w:hAnsiTheme="minorHAnsi"/>
                <w:bCs/>
                <w:color w:val="auto"/>
                <w:sz w:val="22"/>
                <w:szCs w:val="22"/>
              </w:rPr>
              <w:t>Project Coordination Unit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PDO</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Project Development Objective</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PFMU</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Project Financial Management Unit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PIM</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Project Implementation Manual</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PINE</w:t>
            </w:r>
          </w:p>
        </w:tc>
        <w:tc>
          <w:tcPr>
            <w:tcW w:w="8370" w:type="dxa"/>
            <w:shd w:val="clear" w:color="auto" w:fill="auto"/>
            <w:vAlign w:val="center"/>
          </w:tcPr>
          <w:p w:rsidR="007F2DE7" w:rsidRPr="00FB6E71" w:rsidP="007F2DE7">
            <w:pPr>
              <w:rPr>
                <w:rFonts w:asciiTheme="minorHAnsi" w:hAnsiTheme="minorHAnsi"/>
                <w:bCs/>
                <w:color w:val="auto"/>
                <w:sz w:val="22"/>
                <w:szCs w:val="22"/>
              </w:rPr>
            </w:pPr>
            <w:r w:rsidRPr="00FB6E71">
              <w:rPr>
                <w:rFonts w:asciiTheme="minorHAnsi" w:hAnsiTheme="minorHAnsi"/>
                <w:bCs/>
                <w:color w:val="auto"/>
                <w:sz w:val="22"/>
                <w:szCs w:val="22"/>
              </w:rPr>
              <w:t>Presidential Initiative for the North East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PMC</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Project Management Consultancy</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Procurement Plan</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PPE</w:t>
            </w:r>
          </w:p>
        </w:tc>
        <w:tc>
          <w:tcPr>
            <w:tcW w:w="8370"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Personal Protective Equipment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PPSD</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 xml:space="preserve">Project Procurement Strategy for Development </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RAMP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Calibri" w:eastAsia="MS Mincho" w:hAnsi="Calibri" w:cs="Times New Roman"/>
                <w:bCs/>
                <w:color w:val="auto"/>
                <w:sz w:val="22"/>
                <w:szCs w:val="22"/>
              </w:rPr>
              <w:t>Rural Access and Mobility Project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RAP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Resettlement Action Plan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RPBA</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Recovery and Peace Building Assessment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SAP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Safeguards Action Plan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SEPIP</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bCs/>
                <w:color w:val="auto"/>
                <w:sz w:val="22"/>
                <w:szCs w:val="22"/>
              </w:rPr>
              <w:t>State Education Program Investment Project</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SOE</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State-owned Enterprise</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SPARS</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rPr>
              <w:t>Strategic Plans of Actions for Recovery and Stabilization</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SWB</w:t>
            </w:r>
          </w:p>
        </w:tc>
        <w:tc>
          <w:tcPr>
            <w:tcW w:w="8370" w:type="dxa"/>
            <w:shd w:val="clear" w:color="auto" w:fill="auto"/>
            <w:vAlign w:val="center"/>
          </w:tcPr>
          <w:p w:rsidR="007F2DE7" w:rsidRPr="00FB6E71" w:rsidP="007F2DE7">
            <w:pPr>
              <w:rPr>
                <w:rFonts w:asciiTheme="minorHAnsi" w:hAnsiTheme="minorHAnsi"/>
                <w:color w:val="auto"/>
                <w:sz w:val="22"/>
              </w:rPr>
            </w:pPr>
            <w:r w:rsidRPr="00FB6E71">
              <w:rPr>
                <w:rFonts w:asciiTheme="minorHAnsi" w:hAnsiTheme="minorHAnsi"/>
                <w:color w:val="auto"/>
                <w:sz w:val="22"/>
              </w:rPr>
              <w:t>State Water Board</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Pr>
                <w:rFonts w:asciiTheme="minorHAnsi" w:hAnsiTheme="minorHAnsi"/>
                <w:color w:val="auto"/>
                <w:sz w:val="22"/>
                <w:szCs w:val="22"/>
              </w:rPr>
              <w:t>TA</w:t>
            </w:r>
          </w:p>
        </w:tc>
        <w:tc>
          <w:tcPr>
            <w:tcW w:w="8370" w:type="dxa"/>
            <w:shd w:val="clear" w:color="auto" w:fill="auto"/>
            <w:vAlign w:val="center"/>
          </w:tcPr>
          <w:p w:rsidR="007F2DE7" w:rsidRPr="00FB6E71" w:rsidP="007F2DE7">
            <w:pPr>
              <w:rPr>
                <w:rFonts w:asciiTheme="minorHAnsi" w:hAnsiTheme="minorHAnsi"/>
                <w:color w:val="auto"/>
                <w:sz w:val="22"/>
              </w:rPr>
            </w:pPr>
            <w:r>
              <w:rPr>
                <w:rFonts w:asciiTheme="minorHAnsi" w:hAnsiTheme="minorHAnsi"/>
                <w:color w:val="auto"/>
                <w:sz w:val="22"/>
              </w:rPr>
              <w:t>Technical Assistance</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ToR</w:t>
            </w:r>
          </w:p>
        </w:tc>
        <w:tc>
          <w:tcPr>
            <w:tcW w:w="8370" w:type="dxa"/>
            <w:shd w:val="clear" w:color="auto" w:fill="auto"/>
            <w:vAlign w:val="center"/>
          </w:tcPr>
          <w:p w:rsidR="007F2DE7" w:rsidRPr="00FB6E71" w:rsidP="007F2DE7">
            <w:pPr>
              <w:rPr>
                <w:rFonts w:asciiTheme="minorHAnsi" w:hAnsiTheme="minorHAnsi"/>
                <w:color w:val="auto"/>
                <w:sz w:val="22"/>
              </w:rPr>
            </w:pPr>
            <w:r w:rsidRPr="00FB6E71">
              <w:rPr>
                <w:rFonts w:asciiTheme="minorHAnsi" w:hAnsiTheme="minorHAnsi"/>
                <w:color w:val="auto"/>
                <w:sz w:val="22"/>
              </w:rPr>
              <w:t>Terms of Reference</w:t>
            </w:r>
          </w:p>
        </w:tc>
      </w:tr>
      <w:tr w:rsidTr="007F2DE7">
        <w:tblPrEx>
          <w:tblW w:w="9625" w:type="dxa"/>
          <w:jc w:val="center"/>
          <w:tblCellMar>
            <w:left w:w="115" w:type="dxa"/>
            <w:right w:w="115"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TPMA</w:t>
            </w:r>
          </w:p>
        </w:tc>
        <w:tc>
          <w:tcPr>
            <w:tcW w:w="8370" w:type="dxa"/>
            <w:shd w:val="clear" w:color="auto" w:fill="auto"/>
            <w:vAlign w:val="center"/>
          </w:tcPr>
          <w:p w:rsidR="007F2DE7" w:rsidRPr="00FB6E71" w:rsidP="007F2DE7">
            <w:pPr>
              <w:rPr>
                <w:rFonts w:asciiTheme="minorHAnsi" w:hAnsiTheme="minorHAnsi" w:cs="Times New Roman"/>
                <w:color w:val="auto"/>
                <w:sz w:val="22"/>
                <w:szCs w:val="22"/>
              </w:rPr>
            </w:pPr>
            <w:r w:rsidRPr="00FB6E71">
              <w:rPr>
                <w:rFonts w:asciiTheme="minorHAnsi" w:hAnsiTheme="minorHAnsi" w:cs="Times New Roman"/>
                <w:color w:val="auto"/>
                <w:sz w:val="22"/>
                <w:szCs w:val="22"/>
              </w:rPr>
              <w:t>Third-party Monitoring Agent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UN</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United Nations</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UNHCR</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United Nations High Commissioner for Refugees</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UNICEF</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United Nations Children</w:t>
            </w:r>
            <w:r>
              <w:rPr>
                <w:rFonts w:asciiTheme="minorHAnsi" w:hAnsiTheme="minorHAnsi"/>
                <w:color w:val="auto"/>
                <w:sz w:val="22"/>
                <w:szCs w:val="22"/>
              </w:rPr>
              <w:t>’</w:t>
            </w:r>
            <w:r w:rsidRPr="00FB6E71">
              <w:rPr>
                <w:rFonts w:asciiTheme="minorHAnsi" w:hAnsiTheme="minorHAnsi"/>
                <w:color w:val="auto"/>
                <w:sz w:val="22"/>
                <w:szCs w:val="22"/>
              </w:rPr>
              <w:t>s Fund</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USAID</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United States Agency for International Development</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WASH</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 xml:space="preserve">Water, Sanitation, and Hygiene </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bottom"/>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WB</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World Bank</w:t>
            </w:r>
          </w:p>
        </w:tc>
      </w:tr>
      <w:tr w:rsidTr="007F2DE7">
        <w:tblPrEx>
          <w:tblW w:w="9625" w:type="dxa"/>
          <w:jc w:val="center"/>
          <w:tblCellMar>
            <w:left w:w="108" w:type="dxa"/>
            <w:right w:w="108" w:type="dxa"/>
          </w:tblCellMar>
          <w:tblLook w:val="04A0"/>
        </w:tblPrEx>
        <w:trPr>
          <w:jc w:val="center"/>
        </w:trPr>
        <w:tc>
          <w:tcPr>
            <w:tcW w:w="1255" w:type="dxa"/>
            <w:shd w:val="clear" w:color="auto" w:fill="auto"/>
            <w:vAlign w:val="bottom"/>
          </w:tcPr>
          <w:p w:rsidR="007F2DE7" w:rsidRPr="00FB6E71" w:rsidP="007F2DE7">
            <w:pPr>
              <w:rPr>
                <w:rFonts w:asciiTheme="minorHAnsi" w:hAnsiTheme="minorHAnsi"/>
                <w:color w:val="auto"/>
                <w:sz w:val="22"/>
                <w:szCs w:val="22"/>
              </w:rPr>
            </w:pPr>
            <w:r w:rsidRPr="00FB6E71">
              <w:rPr>
                <w:rFonts w:asciiTheme="minorHAnsi" w:hAnsiTheme="minorHAnsi"/>
                <w:color w:val="auto"/>
                <w:sz w:val="22"/>
                <w:szCs w:val="22"/>
              </w:rPr>
              <w:t>YESSO</w:t>
            </w:r>
          </w:p>
        </w:tc>
        <w:tc>
          <w:tcPr>
            <w:tcW w:w="8370" w:type="dxa"/>
            <w:shd w:val="clear" w:color="auto" w:fill="auto"/>
            <w:vAlign w:val="center"/>
          </w:tcPr>
          <w:p w:rsidR="007F2DE7" w:rsidRPr="00FB6E71" w:rsidP="007F2DE7">
            <w:pPr>
              <w:rPr>
                <w:rFonts w:asciiTheme="minorHAnsi" w:hAnsiTheme="minorHAnsi"/>
                <w:color w:val="auto"/>
                <w:sz w:val="22"/>
                <w:szCs w:val="22"/>
              </w:rPr>
            </w:pPr>
            <w:r w:rsidRPr="00FB6E71">
              <w:rPr>
                <w:rFonts w:asciiTheme="minorHAnsi" w:hAnsiTheme="minorHAnsi"/>
                <w:bCs/>
                <w:color w:val="auto"/>
                <w:sz w:val="22"/>
                <w:szCs w:val="22"/>
              </w:rPr>
              <w:t>Youth Employment and Social Support Operation</w:t>
            </w:r>
          </w:p>
        </w:tc>
      </w:tr>
    </w:tbl>
    <w:p w:rsidR="007F2DE7" w:rsidRPr="00FB6E71" w:rsidP="007F2DE7">
      <w:pPr>
        <w:ind w:left="-907"/>
        <w:jc w:val="center"/>
        <w:rPr>
          <w:rFonts w:asciiTheme="minorHAnsi" w:hAnsiTheme="minorHAnsi"/>
          <w:sz w:val="20"/>
        </w:rPr>
      </w:pPr>
    </w:p>
    <w:p w:rsidR="007F2DE7" w:rsidRPr="00FB6E71" w:rsidP="007F2DE7">
      <w:pPr>
        <w:ind w:left="-907"/>
        <w:rPr>
          <w:rFonts w:asciiTheme="minorHAnsi" w:hAnsiTheme="minorHAnsi"/>
          <w:sz w:val="20"/>
        </w:rPr>
      </w:pPr>
      <w:r w:rsidRPr="00FB6E71">
        <w:rPr>
          <w:rFonts w:ascii="Times New Roman" w:hAnsi="Times New Roman" w:eastAsiaTheme="minorHAnsi" w:cs="Times New Roman"/>
          <w:noProof/>
          <w:color w:val="auto"/>
        </w:rPr>
        <mc:AlternateContent>
          <mc:Choice Requires="wps">
            <w:drawing>
              <wp:anchor distT="45720" distB="45720" distL="114300" distR="114300" simplePos="0" relativeHeight="251658240" behindDoc="0" locked="1" layoutInCell="1" allowOverlap="0">
                <wp:simplePos x="0" y="0"/>
                <wp:positionH relativeFrom="margin">
                  <wp:posOffset>-205105</wp:posOffset>
                </wp:positionH>
                <wp:positionV relativeFrom="margin">
                  <wp:posOffset>6946265</wp:posOffset>
                </wp:positionV>
                <wp:extent cx="6336665" cy="1267460"/>
                <wp:effectExtent l="0" t="0" r="26035" b="27940"/>
                <wp:wrapTopAndBottom/>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36665" cy="1267460"/>
                        </a:xfrm>
                        <a:prstGeom prst="rect">
                          <a:avLst/>
                        </a:prstGeom>
                        <a:noFill/>
                        <a:ln w="9525">
                          <a:solidFill>
                            <a:schemeClr val="bg1">
                              <a:lumMod val="85000"/>
                            </a:schemeClr>
                          </a:solidFill>
                          <a:miter lim="800000"/>
                          <a:headEnd/>
                          <a:tailEnd/>
                        </a:ln>
                      </wps:spPr>
                      <wps:txbx>
                        <w:txbxContent>
                          <w:tbl>
                            <w:tblPr>
                              <w:tblStyle w:val="TableGrid"/>
                              <w:tblW w:w="8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
                            <w:tblGrid>
                              <w:gridCol w:w="3216"/>
                              <w:gridCol w:w="4946"/>
                            </w:tblGrid>
                            <w:tr w:rsidTr="007F2DE7">
                              <w:tblPrEx>
                                <w:tblW w:w="8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Regional Vice President:</w:t>
                                  </w:r>
                                </w:p>
                              </w:tc>
                              <w:tc>
                                <w:tcPr>
                                  <w:tcW w:w="4946" w:type="dxa"/>
                                  <w:vAlign w:val="center"/>
                                  <w:hideMark/>
                                </w:tcPr>
                                <w:p w:rsidR="007F2DE7" w:rsidRPr="004506D6" w:rsidP="007F2DE7">
                                  <w:pPr>
                                    <w:ind w:right="152"/>
                                    <w:rPr>
                                      <w:rFonts w:asciiTheme="minorHAnsi" w:hAnsiTheme="minorHAnsi"/>
                                      <w:sz w:val="22"/>
                                      <w:szCs w:val="22"/>
                                    </w:rPr>
                                  </w:pPr>
                                  <w:r w:rsidRPr="004506D6">
                                    <w:rPr>
                                      <w:rFonts w:asciiTheme="minorHAnsi" w:hAnsiTheme="minorHAnsi"/>
                                      <w:noProof/>
                                      <w:sz w:val="22"/>
                                      <w:szCs w:val="22"/>
                                    </w:rPr>
                                    <w:t>Makhtar Diop</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Country Director:</w:t>
                                  </w:r>
                                </w:p>
                              </w:tc>
                              <w:tc>
                                <w:tcPr>
                                  <w:tcW w:w="4946" w:type="dxa"/>
                                  <w:vAlign w:val="center"/>
                                  <w:hideMark/>
                                </w:tcPr>
                                <w:p w:rsidR="007F2DE7" w:rsidRPr="004506D6" w:rsidP="007F2DE7">
                                  <w:pPr>
                                    <w:ind w:right="242"/>
                                    <w:rPr>
                                      <w:rFonts w:asciiTheme="minorHAnsi" w:hAnsiTheme="minorHAnsi"/>
                                      <w:noProof/>
                                      <w:sz w:val="22"/>
                                      <w:szCs w:val="22"/>
                                    </w:rPr>
                                  </w:pPr>
                                  <w:r w:rsidRPr="004506D6">
                                    <w:rPr>
                                      <w:rFonts w:asciiTheme="minorHAnsi" w:hAnsiTheme="minorHAnsi"/>
                                      <w:noProof/>
                                      <w:sz w:val="22"/>
                                      <w:szCs w:val="22"/>
                                    </w:rPr>
                                    <w:t>Rachid Benmessaoud</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Senior Global Practice Director:</w:t>
                                  </w:r>
                                </w:p>
                              </w:tc>
                              <w:tc>
                                <w:tcPr>
                                  <w:tcW w:w="4946" w:type="dxa"/>
                                  <w:vAlign w:val="center"/>
                                  <w:hideMark/>
                                </w:tcPr>
                                <w:p w:rsidR="007F2DE7" w:rsidRPr="004506D6" w:rsidP="007F2DE7">
                                  <w:pPr>
                                    <w:ind w:right="242"/>
                                    <w:rPr>
                                      <w:rFonts w:asciiTheme="minorHAnsi" w:hAnsiTheme="minorHAnsi"/>
                                      <w:noProof/>
                                      <w:sz w:val="22"/>
                                      <w:szCs w:val="22"/>
                                    </w:rPr>
                                  </w:pPr>
                                  <w:r w:rsidRPr="004506D6">
                                    <w:rPr>
                                      <w:rFonts w:asciiTheme="minorHAnsi" w:hAnsiTheme="minorHAnsi"/>
                                      <w:noProof/>
                                      <w:sz w:val="22"/>
                                      <w:szCs w:val="22"/>
                                    </w:rPr>
                                    <w:t>Ede Jorge Ijjasz-Vasquez</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Practice Manager:</w:t>
                                  </w:r>
                                </w:p>
                              </w:tc>
                              <w:tc>
                                <w:tcPr>
                                  <w:tcW w:w="4946" w:type="dxa"/>
                                  <w:vAlign w:val="center"/>
                                  <w:hideMark/>
                                </w:tcPr>
                                <w:p w:rsidR="007F2DE7" w:rsidRPr="004506D6" w:rsidP="007F2DE7">
                                  <w:pPr>
                                    <w:ind w:right="242"/>
                                    <w:rPr>
                                      <w:rFonts w:asciiTheme="minorHAnsi" w:hAnsiTheme="minorHAnsi"/>
                                      <w:noProof/>
                                      <w:sz w:val="22"/>
                                      <w:szCs w:val="22"/>
                                    </w:rPr>
                                  </w:pPr>
                                  <w:r w:rsidRPr="004506D6">
                                    <w:rPr>
                                      <w:rFonts w:asciiTheme="minorHAnsi" w:hAnsiTheme="minorHAnsi"/>
                                      <w:noProof/>
                                      <w:sz w:val="22"/>
                                      <w:szCs w:val="22"/>
                                    </w:rPr>
                                    <w:t>Meskerem Brhane</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Task Team Leader(s):</w:t>
                                  </w:r>
                                </w:p>
                              </w:tc>
                              <w:tc>
                                <w:tcPr>
                                  <w:tcW w:w="4946" w:type="dxa"/>
                                  <w:vAlign w:val="center"/>
                                  <w:hideMark/>
                                </w:tcPr>
                                <w:p w:rsidR="007F2DE7" w:rsidRPr="004506D6" w:rsidP="007F2DE7">
                                  <w:pPr>
                                    <w:ind w:right="242"/>
                                    <w:rPr>
                                      <w:rFonts w:asciiTheme="minorHAnsi" w:hAnsiTheme="minorHAnsi"/>
                                      <w:noProof/>
                                      <w:sz w:val="22"/>
                                      <w:szCs w:val="22"/>
                                      <w:lang w:val="es-CO"/>
                                    </w:rPr>
                                  </w:pPr>
                                  <w:r w:rsidRPr="004506D6">
                                    <w:rPr>
                                      <w:rFonts w:asciiTheme="minorHAnsi" w:hAnsiTheme="minorHAnsi"/>
                                      <w:noProof/>
                                      <w:sz w:val="22"/>
                                      <w:szCs w:val="22"/>
                                      <w:lang w:val="es-CO"/>
                                    </w:rPr>
                                    <w:t>Ayaz Parvez, Paula Andrea Rossiasco Uscategui</w:t>
                                  </w:r>
                                </w:p>
                              </w:tc>
                            </w:tr>
                          </w:tbl>
                          <w:p w:rsidR="007F2DE7" w:rsidRPr="004A47FD" w:rsidP="007F2DE7">
                            <w:pPr>
                              <w:spacing w:line="14" w:lineRule="exact"/>
                              <w:rPr>
                                <w:rFonts w:asciiTheme="minorHAnsi" w:hAnsiTheme="minorHAnsi"/>
                                <w:lang w:val="es-CO"/>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height:99.8pt;margin-left:-16.15pt;margin-top:546.95pt;mso-height-percent:0;mso-height-relative:margin;mso-position-horizontal-relative:margin;mso-position-vertical-relative:margin;mso-width-percent:0;mso-width-relative:margin;mso-wrap-distance-bottom:3.6pt;mso-wrap-distance-left:9pt;mso-wrap-distance-right:9pt;mso-wrap-distance-top:3.6pt;mso-wrap-style:square;position:absolute;v-text-anchor:middle;visibility:visible;width:498.95pt;z-index:251659264" o:allowoverlap="f" filled="f" strokecolor="#d8d8d8">
                <v:textbox>
                  <w:txbxContent>
                    <w:tbl>
                      <w:tblPr>
                        <w:tblStyle w:val="TableGrid"/>
                        <w:tblW w:w="8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
                      <w:tblGrid>
                        <w:gridCol w:w="3216"/>
                        <w:gridCol w:w="4946"/>
                      </w:tblGrid>
                      <w:tr w:rsidTr="007F2DE7">
                        <w:tblPrEx>
                          <w:tblW w:w="8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Regional Vice President:</w:t>
                            </w:r>
                          </w:p>
                        </w:tc>
                        <w:tc>
                          <w:tcPr>
                            <w:tcW w:w="4946" w:type="dxa"/>
                            <w:vAlign w:val="center"/>
                            <w:hideMark/>
                          </w:tcPr>
                          <w:p w:rsidR="007F2DE7" w:rsidRPr="004506D6" w:rsidP="007F2DE7">
                            <w:pPr>
                              <w:ind w:right="152"/>
                              <w:rPr>
                                <w:rFonts w:asciiTheme="minorHAnsi" w:hAnsiTheme="minorHAnsi"/>
                                <w:sz w:val="22"/>
                                <w:szCs w:val="22"/>
                              </w:rPr>
                            </w:pPr>
                            <w:r w:rsidRPr="004506D6">
                              <w:rPr>
                                <w:rFonts w:asciiTheme="minorHAnsi" w:hAnsiTheme="minorHAnsi"/>
                                <w:noProof/>
                                <w:sz w:val="22"/>
                                <w:szCs w:val="22"/>
                              </w:rPr>
                              <w:t>Makhtar Diop</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Country Director:</w:t>
                            </w:r>
                          </w:p>
                        </w:tc>
                        <w:tc>
                          <w:tcPr>
                            <w:tcW w:w="4946" w:type="dxa"/>
                            <w:vAlign w:val="center"/>
                            <w:hideMark/>
                          </w:tcPr>
                          <w:p w:rsidR="007F2DE7" w:rsidRPr="004506D6" w:rsidP="007F2DE7">
                            <w:pPr>
                              <w:ind w:right="242"/>
                              <w:rPr>
                                <w:rFonts w:asciiTheme="minorHAnsi" w:hAnsiTheme="minorHAnsi"/>
                                <w:noProof/>
                                <w:sz w:val="22"/>
                                <w:szCs w:val="22"/>
                              </w:rPr>
                            </w:pPr>
                            <w:r w:rsidRPr="004506D6">
                              <w:rPr>
                                <w:rFonts w:asciiTheme="minorHAnsi" w:hAnsiTheme="minorHAnsi"/>
                                <w:noProof/>
                                <w:sz w:val="22"/>
                                <w:szCs w:val="22"/>
                              </w:rPr>
                              <w:t>Rachid Benmessaoud</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Senior Global Practice Director:</w:t>
                            </w:r>
                          </w:p>
                        </w:tc>
                        <w:tc>
                          <w:tcPr>
                            <w:tcW w:w="4946" w:type="dxa"/>
                            <w:vAlign w:val="center"/>
                            <w:hideMark/>
                          </w:tcPr>
                          <w:p w:rsidR="007F2DE7" w:rsidRPr="004506D6" w:rsidP="007F2DE7">
                            <w:pPr>
                              <w:ind w:right="242"/>
                              <w:rPr>
                                <w:rFonts w:asciiTheme="minorHAnsi" w:hAnsiTheme="minorHAnsi"/>
                                <w:noProof/>
                                <w:sz w:val="22"/>
                                <w:szCs w:val="22"/>
                              </w:rPr>
                            </w:pPr>
                            <w:r w:rsidRPr="004506D6">
                              <w:rPr>
                                <w:rFonts w:asciiTheme="minorHAnsi" w:hAnsiTheme="minorHAnsi"/>
                                <w:noProof/>
                                <w:sz w:val="22"/>
                                <w:szCs w:val="22"/>
                              </w:rPr>
                              <w:t>Ede Jorge Ijjasz-Vasquez</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Practice Manager:</w:t>
                            </w:r>
                          </w:p>
                        </w:tc>
                        <w:tc>
                          <w:tcPr>
                            <w:tcW w:w="4946" w:type="dxa"/>
                            <w:vAlign w:val="center"/>
                            <w:hideMark/>
                          </w:tcPr>
                          <w:p w:rsidR="007F2DE7" w:rsidRPr="004506D6" w:rsidP="007F2DE7">
                            <w:pPr>
                              <w:ind w:right="242"/>
                              <w:rPr>
                                <w:rFonts w:asciiTheme="minorHAnsi" w:hAnsiTheme="minorHAnsi"/>
                                <w:noProof/>
                                <w:sz w:val="22"/>
                                <w:szCs w:val="22"/>
                              </w:rPr>
                            </w:pPr>
                            <w:r w:rsidRPr="004506D6">
                              <w:rPr>
                                <w:rFonts w:asciiTheme="minorHAnsi" w:hAnsiTheme="minorHAnsi"/>
                                <w:noProof/>
                                <w:sz w:val="22"/>
                                <w:szCs w:val="22"/>
                              </w:rPr>
                              <w:t>Meskerem Brhane</w:t>
                            </w:r>
                          </w:p>
                        </w:tc>
                      </w:tr>
                      <w:tr w:rsidTr="007F2DE7">
                        <w:tblPrEx>
                          <w:tblW w:w="8162" w:type="dxa"/>
                          <w:jc w:val="center"/>
                          <w:tblCellMar>
                            <w:left w:w="115" w:type="dxa"/>
                            <w:right w:w="0" w:type="dxa"/>
                          </w:tblCellMar>
                          <w:tblLook w:val="04A0"/>
                        </w:tblPrEx>
                        <w:trPr>
                          <w:trHeight w:val="339"/>
                          <w:jc w:val="center"/>
                        </w:trPr>
                        <w:tc>
                          <w:tcPr>
                            <w:tcW w:w="3216" w:type="dxa"/>
                            <w:vAlign w:val="center"/>
                            <w:hideMark/>
                          </w:tcPr>
                          <w:p w:rsidR="007F2DE7" w:rsidRPr="004506D6" w:rsidP="007F2DE7">
                            <w:pPr>
                              <w:jc w:val="right"/>
                              <w:rPr>
                                <w:rFonts w:asciiTheme="minorHAnsi" w:hAnsiTheme="minorHAnsi"/>
                                <w:color w:val="595959" w:themeColor="text1" w:themeTint="A6"/>
                                <w:sz w:val="22"/>
                                <w:szCs w:val="22"/>
                              </w:rPr>
                            </w:pPr>
                            <w:r w:rsidRPr="004506D6">
                              <w:rPr>
                                <w:rFonts w:asciiTheme="minorHAnsi" w:hAnsiTheme="minorHAnsi"/>
                                <w:color w:val="595959" w:themeColor="text1" w:themeTint="A6"/>
                                <w:sz w:val="22"/>
                                <w:szCs w:val="22"/>
                              </w:rPr>
                              <w:t>Task Team Leader(s):</w:t>
                            </w:r>
                          </w:p>
                        </w:tc>
                        <w:tc>
                          <w:tcPr>
                            <w:tcW w:w="4946" w:type="dxa"/>
                            <w:vAlign w:val="center"/>
                            <w:hideMark/>
                          </w:tcPr>
                          <w:p w:rsidR="007F2DE7" w:rsidRPr="004506D6" w:rsidP="007F2DE7">
                            <w:pPr>
                              <w:ind w:right="242"/>
                              <w:rPr>
                                <w:rFonts w:asciiTheme="minorHAnsi" w:hAnsiTheme="minorHAnsi"/>
                                <w:noProof/>
                                <w:sz w:val="22"/>
                                <w:szCs w:val="22"/>
                                <w:lang w:val="es-CO"/>
                              </w:rPr>
                            </w:pPr>
                            <w:r w:rsidRPr="004506D6">
                              <w:rPr>
                                <w:rFonts w:asciiTheme="minorHAnsi" w:hAnsiTheme="minorHAnsi"/>
                                <w:noProof/>
                                <w:sz w:val="22"/>
                                <w:szCs w:val="22"/>
                                <w:lang w:val="es-CO"/>
                              </w:rPr>
                              <w:t>Ayaz Parvez, Paula Andrea Rossiasco Uscategui</w:t>
                            </w:r>
                          </w:p>
                        </w:tc>
                      </w:tr>
                    </w:tbl>
                    <w:p w:rsidR="007F2DE7" w:rsidRPr="004A47FD" w:rsidP="007F2DE7">
                      <w:pPr>
                        <w:spacing w:line="14" w:lineRule="exact"/>
                        <w:rPr>
                          <w:rFonts w:asciiTheme="minorHAnsi" w:hAnsiTheme="minorHAnsi"/>
                          <w:lang w:val="es-CO"/>
                        </w:rPr>
                      </w:pPr>
                    </w:p>
                  </w:txbxContent>
                </v:textbox>
                <w10:wrap type="topAndBottom"/>
                <w10:anchorlock/>
              </v:shape>
            </w:pict>
          </mc:Fallback>
        </mc:AlternateContent>
      </w:r>
    </w:p>
    <w:p w:rsidR="007F2DE7" w:rsidP="007F2DE7">
      <w:pPr>
        <w:spacing w:line="14" w:lineRule="exact"/>
        <w:rPr>
          <w:rFonts w:asciiTheme="minorHAnsi" w:hAnsiTheme="minorHAnsi"/>
          <w:szCs w:val="22"/>
        </w:rPr>
        <w:sectPr w:rsidSect="007F2DE7">
          <w:pgSz w:w="12240" w:h="15840" w:code="1"/>
          <w:pgMar w:top="1440" w:right="1440" w:bottom="1440" w:left="1440" w:header="720" w:footer="720" w:gutter="0"/>
          <w:cols w:space="720"/>
          <w:docGrid w:linePitch="360"/>
        </w:sectPr>
      </w:pPr>
    </w:p>
    <w:sdt>
      <w:sdtPr>
        <w:id w:val="824080658"/>
        <w:lock w:val="sdtContentLocked"/>
        <w:placeholder>
          <w:docPart w:val="AF59DD0FCDAB40029CF2411E6523CCF3"/>
        </w:placeholder>
        <w:showingPlcHdr/>
        <w:richText/>
      </w:sdtPr>
      <w:sdtContent>
        <w:p w:rsidR="007F2DE7" w:rsidP="007F2DE7">
          <w:pPr>
            <w:pStyle w:val="Normal5"/>
            <w:spacing w:after="0" w:line="20" w:lineRule="exact"/>
            <w:ind w:left="-907"/>
            <w:sectPr w:rsidSect="007F2DE7">
              <w:type w:val="continuous"/>
              <w:pgSz w:w="12240" w:h="15840" w:code="1"/>
              <w:pgMar w:top="1440" w:right="1440" w:bottom="1440" w:left="1440" w:header="720" w:footer="720" w:gutter="0"/>
              <w:cols w:space="720"/>
              <w:docGrid w:linePitch="360"/>
            </w:sectPr>
          </w:pPr>
          <w:bookmarkStart w:id="0" w:name="SECTION3"/>
          <w:bookmarkEnd w:id="0"/>
          <w:r>
            <w:t xml:space="preserve"> </w:t>
          </w:r>
        </w:p>
      </w:sdtContent>
    </w:sdt>
    <w:p w:rsidR="007F2DE7" w:rsidRPr="00856F5A" w:rsidP="007F2DE7">
      <w:pPr>
        <w:pStyle w:val="Normal3"/>
        <w:spacing w:after="0" w:line="240" w:lineRule="auto"/>
        <w:ind w:left="-900"/>
        <w:rPr>
          <w:color w:val="767171" w:themeColor="background2" w:themeShade="80"/>
        </w:rPr>
      </w:pPr>
      <w:r>
        <w:rPr>
          <w:rFonts w:ascii="Arial" w:hAnsi="Arial"/>
          <w:noProof/>
          <w:color w:val="000000"/>
          <w:sz w:val="24"/>
          <w:szCs w:val="24"/>
        </w:rPr>
        <w:pict>
          <v:line id="Straight Connector 29" o:spid="_x0000_s1028" style="mso-width-percent:0;mso-width-relative:margin;mso-wrap-distance-bottom:0;mso-wrap-distance-left:9pt;mso-wrap-distance-right:9pt;mso-wrap-distance-top:0;mso-wrap-style:square;position:absolute;visibility:visible;z-index:251660288" from="-73.85pt,11.4pt" to="540.3pt,11.4pt" strokecolor="gray">
            <v:stroke joinstyle="miter" dashstyle="dash" opacity="26214f"/>
          </v:line>
        </w:pict>
      </w:r>
    </w:p>
    <w:sdt>
      <w:sdtPr>
        <w:id w:val="1461275033"/>
        <w:lock w:val="sdtContentLocked"/>
        <w:placeholder>
          <w:docPart w:val="5E63676D9F374CAE9D0AE4399CE26A60"/>
        </w:placeholder>
        <w:richText/>
      </w:sdtPr>
      <w:sdtContent>
        <w:p w:rsidR="007F2DE7" w:rsidP="007F2DE7">
          <w:pPr>
            <w:spacing w:line="14" w:lineRule="exact"/>
            <w:ind w:left="-691" w:right="-518"/>
            <w:rPr>
              <w:rFonts w:asciiTheme="minorHAnsi" w:hAnsiTheme="minorHAnsi"/>
              <w:color w:val="767171" w:themeColor="background2" w:themeShade="80"/>
              <w:sz w:val="22"/>
              <w:szCs w:val="22"/>
            </w:rPr>
          </w:pPr>
          <w:r>
            <w:t xml:space="preserve"> </w:t>
          </w:r>
        </w:p>
      </w:sdtContent>
    </w:sdt>
    <w:p w:rsidR="007F2DE7" w:rsidRPr="00856F5A" w:rsidP="007F2DE7">
      <w:pPr>
        <w:spacing w:line="14" w:lineRule="exact"/>
        <w:ind w:left="-691" w:right="-518"/>
        <w:rPr>
          <w:rFonts w:asciiTheme="minorHAnsi" w:hAnsiTheme="minorHAnsi"/>
          <w:color w:val="767171" w:themeColor="background2" w:themeShade="80"/>
          <w:sz w:val="22"/>
          <w:szCs w:val="22"/>
        </w:rPr>
      </w:pPr>
    </w:p>
    <w:p w:rsidR="007F2DE7" w:rsidP="007F2DE7">
      <w:pPr>
        <w:pStyle w:val="Normal3"/>
        <w:spacing w:after="0" w:line="14" w:lineRule="exact"/>
        <w:sectPr w:rsidSect="007F2DE7">
          <w:headerReference w:type="default" r:id="rId11"/>
          <w:footerReference w:type="default" r:id="rId12"/>
          <w:pgSz w:w="12240" w:h="15840" w:code="1"/>
          <w:pgMar w:top="1440" w:right="1440" w:bottom="1440" w:left="1440" w:header="720" w:footer="720" w:gutter="0"/>
          <w:pgNumType w:start="1"/>
          <w:cols w:space="720"/>
          <w:docGrid w:linePitch="360"/>
        </w:sectPr>
      </w:pPr>
    </w:p>
    <w:p w:rsidR="007F2DE7" w:rsidP="007F2DE7">
      <w:pPr>
        <w:spacing w:line="14" w:lineRule="exact"/>
        <w:ind w:left="-691" w:right="-518"/>
        <w:rPr>
          <w:rFonts w:asciiTheme="minorHAnsi" w:hAnsiTheme="minorHAnsi"/>
          <w:color w:val="767171" w:themeColor="background2" w:themeShade="80"/>
          <w:sz w:val="22"/>
          <w:szCs w:val="22"/>
        </w:rPr>
      </w:pPr>
    </w:p>
    <w:sdt>
      <w:sdtPr>
        <w:tag w:val="OPS_CORE_DATA_BLOCK"/>
        <w:id w:val="1257070280"/>
        <w:lock w:val="sdtLocked"/>
        <w:placeholder>
          <w:docPart w:val="DefaultPlaceholder_22675703"/>
        </w:placeholder>
        <w:group/>
      </w:sdtPr>
      <w:sdtContent>
        <w:sdt>
          <w:sdtPr>
            <w:tag w:val="OPS_CORE_SECTION_START_4"/>
            <w:id w:val="591446282"/>
            <w:lock w:val="sdtContentLocked"/>
            <w:placeholder>
              <w:docPart w:val="F84EC7C53AF5489891A0116775004EA6"/>
            </w:placeholder>
            <w:richText/>
          </w:sdtPr>
          <w:sdtContent>
            <w:p w:rsidR="007F2DE7" w:rsidP="007F2DE7">
              <w:pPr>
                <w:pStyle w:val="Normal3"/>
                <w:spacing w:after="0" w:line="14" w:lineRule="exact"/>
                <w:ind w:left="-691" w:right="-518"/>
              </w:pPr>
              <w:r>
                <w:t xml:space="preserve"> </w:t>
              </w:r>
            </w:p>
          </w:sdtContent>
        </w:sdt>
        <w:p w:rsidR="009876CC" w:rsidP="00856F5A">
          <w:pPr>
            <w:pStyle w:val="Normal125"/>
            <w:ind w:left="-691" w:right="-518"/>
            <w:rPr>
              <w:rStyle w:val="DefaultParagraphFont"/>
              <w:rFonts w:ascii="Calibri" w:hAnsi="Calibri"/>
              <w:color w:val="767171" w:themeShade="80"/>
              <w:sz w:val="22"/>
              <w:szCs w:val="22"/>
            </w:rPr>
          </w:pPr>
        </w:p>
        <w:tbl>
          <w:tblPr>
            <w:tblStyle w:val="TableGrid63"/>
            <w:tblW w:w="10620" w:type="dxa"/>
            <w:tblInd w:w="-750" w:type="dxa"/>
            <w:shd w:val="clear" w:color="auto" w:fill="F7F7F7"/>
            <w:tblLayout w:type="fixed"/>
            <w:tblLook w:val="04A0"/>
          </w:tblPr>
          <w:tblGrid>
            <w:gridCol w:w="3420"/>
            <w:gridCol w:w="3150"/>
            <w:gridCol w:w="4050"/>
          </w:tblGrid>
          <w:tr w:rsidTr="00856F5A">
            <w:tblPrEx>
              <w:tblW w:w="10620" w:type="dxa"/>
              <w:tblInd w:w="-750" w:type="dxa"/>
              <w:shd w:val="clear" w:color="auto" w:fill="F7F7F7"/>
              <w:tblLayout w:type="fixed"/>
              <w:tblLook w:val="04A0"/>
            </w:tblPrEx>
            <w:trPr>
              <w:trHeight w:val="378"/>
            </w:trPr>
            <w:tc>
              <w:tcPr>
                <w:tcW w:w="10620" w:type="dxa"/>
                <w:gridSpan w:val="3"/>
                <w:tcBorders>
                  <w:top w:val="nil"/>
                  <w:left w:val="single" w:sz="24" w:space="0" w:color="BFBFBF" w:themeColor="background1" w:themeShade="BF"/>
                  <w:bottom w:val="nil"/>
                  <w:right w:val="nil"/>
                </w:tcBorders>
                <w:shd w:val="clear" w:color="auto" w:fill="F2F2F2" w:themeFill="background1" w:themeFillShade="F2"/>
                <w:vAlign w:val="center"/>
                <w:hideMark/>
              </w:tcPr>
              <w:p w:rsidR="00FB2669" w:rsidRPr="00656279" w:rsidP="00856F5A">
                <w:pPr>
                  <w:pStyle w:val="Normal125"/>
                  <w:rPr>
                    <w:rStyle w:val="DefaultParagraphFont"/>
                    <w:rFonts w:eastAsia="Times New Roman"/>
                  </w:rPr>
                </w:pPr>
                <w:r w:rsidRPr="007D4E7E">
                  <w:rPr>
                    <w:rStyle w:val="DefaultParagraphFont"/>
                    <w:rFonts w:ascii="Calibri" w:eastAsia="Times New Roman" w:hAnsi="Calibri"/>
                    <w:b/>
                    <w:bCs/>
                    <w:sz w:val="22"/>
                    <w:szCs w:val="22"/>
                  </w:rPr>
                  <w:t>BASIC INFORMATION</w:t>
                </w:r>
              </w:p>
            </w:tc>
          </w:tr>
          <w:tr w:rsidTr="00856F5A">
            <w:tblPrEx>
              <w:tblW w:w="10620" w:type="dxa"/>
              <w:tblInd w:w="-750" w:type="dxa"/>
              <w:tblBorders>
                <w:top w:val="none" w:sz="0" w:space="0" w:color="auto"/>
                <w:left w:val="none" w:sz="0" w:space="0" w:color="auto"/>
                <w:bottom w:val="single" w:sz="4" w:space="0" w:color="D9D9D9" w:themeColor="background1" w:themeShade="D9"/>
                <w:right w:val="single" w:sz="4" w:space="0" w:color="D9D9D9" w:themeColor="background1" w:themeShade="D9"/>
                <w:insideH w:val="none" w:sz="0" w:space="0" w:color="auto"/>
                <w:insideV w:val="single" w:sz="4" w:space="0" w:color="D9D9D9" w:themeColor="background1" w:themeShade="D9"/>
              </w:tblBorders>
              <w:shd w:val="clear" w:color="auto" w:fill="F7F7F7"/>
              <w:tblLayout w:type="fixed"/>
              <w:tblCellMar>
                <w:top w:w="29" w:type="dxa"/>
                <w:left w:w="144" w:type="dxa"/>
                <w:bottom w:w="72" w:type="dxa"/>
                <w:right w:w="0" w:type="dxa"/>
              </w:tblCellMar>
              <w:tblLook w:val="04A0"/>
            </w:tblPrEx>
            <w:trPr>
              <w:trHeight w:val="302"/>
            </w:trPr>
            <w:tc>
              <w:tcPr>
                <w:tcW w:w="3420" w:type="dxa"/>
                <w:tcBorders>
                  <w:top w:val="nil"/>
                  <w:right w:val="nil"/>
                </w:tcBorders>
                <w:shd w:val="clear" w:color="auto" w:fill="F7F7F7"/>
                <w:vAlign w:val="bottom"/>
              </w:tcPr>
              <w:p w:rsidR="00856F5A" w:rsidP="003615CB">
                <w:pPr>
                  <w:pStyle w:val="Normal125"/>
                  <w:rPr>
                    <w:rStyle w:val="DefaultParagraphFont"/>
                    <w:rFonts w:ascii="Calibri" w:hAnsi="Calibri"/>
                    <w:color w:val="767171" w:themeShade="80"/>
                    <w:sz w:val="22"/>
                    <w:szCs w:val="22"/>
                  </w:rPr>
                </w:pPr>
              </w:p>
            </w:tc>
            <w:tc>
              <w:tcPr>
                <w:tcW w:w="3150" w:type="dxa"/>
                <w:tcBorders>
                  <w:top w:val="nil"/>
                  <w:left w:val="nil"/>
                  <w:right w:val="nil"/>
                </w:tcBorders>
                <w:shd w:val="clear" w:color="auto" w:fill="F7F7F7"/>
                <w:vAlign w:val="bottom"/>
              </w:tcPr>
              <w:p w:rsidR="00856F5A">
                <w:pPr>
                  <w:pStyle w:val="Normal125"/>
                  <w:rPr>
                    <w:rStyle w:val="DefaultParagraphFont"/>
                    <w:rFonts w:ascii="Calibri" w:hAnsi="Calibri"/>
                    <w:color w:val="767171" w:themeShade="80"/>
                    <w:sz w:val="22"/>
                    <w:szCs w:val="22"/>
                  </w:rPr>
                </w:pPr>
              </w:p>
            </w:tc>
            <w:tc>
              <w:tcPr>
                <w:tcW w:w="4050" w:type="dxa"/>
                <w:tcBorders>
                  <w:top w:val="nil"/>
                  <w:left w:val="nil"/>
                  <w:bottom w:val="nil"/>
                  <w:right w:val="nil"/>
                </w:tcBorders>
                <w:shd w:val="clear" w:color="auto" w:fill="F7F7F7"/>
                <w:vAlign w:val="bottom"/>
              </w:tcPr>
              <w:p w:rsidR="00856F5A">
                <w:pPr>
                  <w:pStyle w:val="Normal125"/>
                  <w:rPr>
                    <w:rStyle w:val="DefaultParagraphFont"/>
                    <w:rFonts w:ascii="Calibri" w:hAnsi="Calibri"/>
                    <w:color w:val="767171" w:themeShade="80"/>
                    <w:sz w:val="22"/>
                    <w:szCs w:val="22"/>
                  </w:rPr>
                </w:pPr>
              </w:p>
            </w:tc>
          </w:tr>
          <w:tr w:rsidTr="00856F5A">
            <w:tblPrEx>
              <w:tblW w:w="10620" w:type="dxa"/>
              <w:tblInd w:w="-750" w:type="dxa"/>
              <w:tblBorders>
                <w:top w:val="none" w:sz="0" w:space="0" w:color="auto"/>
                <w:left w:val="none" w:sz="0" w:space="0" w:color="auto"/>
                <w:bottom w:val="single" w:sz="4" w:space="0" w:color="D9D9D9" w:themeColor="background1" w:themeShade="D9"/>
                <w:right w:val="single" w:sz="4" w:space="0" w:color="D9D9D9" w:themeColor="background1" w:themeShade="D9"/>
                <w:insideH w:val="none" w:sz="0" w:space="0" w:color="auto"/>
                <w:insideV w:val="single" w:sz="4" w:space="0" w:color="D9D9D9" w:themeColor="background1" w:themeShade="D9"/>
              </w:tblBorders>
              <w:shd w:val="clear" w:color="auto" w:fill="F7F7F7"/>
              <w:tblLayout w:type="fixed"/>
              <w:tblCellMar>
                <w:top w:w="29" w:type="dxa"/>
                <w:left w:w="144" w:type="dxa"/>
                <w:bottom w:w="72" w:type="dxa"/>
                <w:right w:w="0" w:type="dxa"/>
              </w:tblCellMar>
              <w:tblLook w:val="04A0"/>
            </w:tblPrEx>
            <w:trPr>
              <w:trHeight w:val="302"/>
            </w:trPr>
            <w:tc>
              <w:tcPr>
                <w:tcW w:w="3420" w:type="dxa"/>
                <w:tcBorders>
                  <w:top w:val="single" w:sz="4" w:space="0" w:color="D9D9D9" w:themeColor="background1" w:themeShade="D9"/>
                </w:tcBorders>
                <w:shd w:val="clear" w:color="auto" w:fill="F7F7F7"/>
                <w:vAlign w:val="bottom"/>
                <w:hideMark/>
              </w:tcPr>
              <w:p w:rsidR="003615CB" w:rsidP="003615CB">
                <w:pPr>
                  <w:pStyle w:val="Normal125"/>
                  <w:rPr>
                    <w:rStyle w:val="DefaultParagraphFont"/>
                    <w:rFonts w:ascii="Calibri" w:hAnsi="Calibri"/>
                    <w:sz w:val="22"/>
                    <w:szCs w:val="22"/>
                  </w:rPr>
                </w:pPr>
                <w:r>
                  <w:rPr>
                    <w:rStyle w:val="DefaultParagraphFont"/>
                    <w:rFonts w:ascii="Calibri" w:hAnsi="Calibri"/>
                    <w:color w:val="767171" w:themeShade="80"/>
                    <w:sz w:val="22"/>
                    <w:szCs w:val="22"/>
                  </w:rPr>
                  <w:t>Is this a regionally tagged project?</w:t>
                </w:r>
              </w:p>
            </w:tc>
            <w:tc>
              <w:tcPr>
                <w:tcW w:w="3150" w:type="dxa"/>
                <w:tcBorders>
                  <w:top w:val="single" w:sz="4" w:space="0" w:color="D9D9D9" w:themeColor="background1" w:themeShade="D9"/>
                </w:tcBorders>
                <w:shd w:val="clear" w:color="auto" w:fill="F7F7F7"/>
                <w:vAlign w:val="bottom"/>
                <w:hideMark/>
              </w:tcPr>
              <w:p w:rsidR="003615CB">
                <w:pPr>
                  <w:pStyle w:val="Normal125"/>
                  <w:rPr>
                    <w:rStyle w:val="DefaultParagraphFont"/>
                    <w:rFonts w:ascii="Calibri" w:hAnsi="Calibri"/>
                    <w:sz w:val="22"/>
                    <w:szCs w:val="22"/>
                  </w:rPr>
                </w:pPr>
                <w:r>
                  <w:rPr>
                    <w:rStyle w:val="DefaultParagraphFont"/>
                    <w:rFonts w:ascii="Calibri" w:hAnsi="Calibri"/>
                    <w:color w:val="767171" w:themeShade="80"/>
                    <w:sz w:val="22"/>
                    <w:szCs w:val="22"/>
                  </w:rPr>
                  <w:t>Country</w:t>
                </w:r>
                <w:r w:rsidR="009A0A87">
                  <w:rPr>
                    <w:rStyle w:val="DefaultParagraphFont"/>
                    <w:rFonts w:ascii="Calibri" w:hAnsi="Calibri"/>
                    <w:color w:val="767171" w:themeShade="80"/>
                    <w:sz w:val="22"/>
                    <w:szCs w:val="22"/>
                  </w:rPr>
                  <w:t>(</w:t>
                </w:r>
                <w:r w:rsidR="009A0A87">
                  <w:rPr>
                    <w:rStyle w:val="DefaultParagraphFont"/>
                    <w:rFonts w:ascii="Calibri" w:hAnsi="Calibri"/>
                    <w:color w:val="767171" w:themeShade="80"/>
                    <w:sz w:val="22"/>
                    <w:szCs w:val="22"/>
                  </w:rPr>
                  <w:t>ies</w:t>
                </w:r>
                <w:r w:rsidR="009A0A87">
                  <w:rPr>
                    <w:rStyle w:val="DefaultParagraphFont"/>
                    <w:rFonts w:ascii="Calibri" w:hAnsi="Calibri"/>
                    <w:color w:val="767171" w:themeShade="80"/>
                    <w:sz w:val="22"/>
                    <w:szCs w:val="22"/>
                  </w:rPr>
                  <w:t>)</w:t>
                </w:r>
              </w:p>
            </w:tc>
            <w:tc>
              <w:tcPr>
                <w:tcW w:w="4050" w:type="dxa"/>
                <w:tcBorders>
                  <w:top w:val="single" w:sz="4" w:space="0" w:color="D9D9D9" w:themeColor="background1" w:themeShade="D9"/>
                  <w:bottom w:val="nil"/>
                  <w:right w:val="nil"/>
                </w:tcBorders>
                <w:shd w:val="clear" w:color="auto" w:fill="F7F7F7"/>
                <w:vAlign w:val="bottom"/>
                <w:hideMark/>
              </w:tcPr>
              <w:p w:rsidR="003615CB">
                <w:pPr>
                  <w:pStyle w:val="Normal125"/>
                  <w:rPr>
                    <w:rStyle w:val="DefaultParagraphFont"/>
                    <w:rFonts w:ascii="Calibri" w:hAnsi="Calibri"/>
                    <w:sz w:val="22"/>
                    <w:szCs w:val="22"/>
                  </w:rPr>
                </w:pPr>
                <w:r>
                  <w:rPr>
                    <w:rStyle w:val="DefaultParagraphFont"/>
                    <w:rFonts w:ascii="Calibri" w:hAnsi="Calibri"/>
                    <w:color w:val="767171" w:themeShade="80"/>
                    <w:sz w:val="22"/>
                    <w:szCs w:val="22"/>
                  </w:rPr>
                  <w:t>Lending Instrument</w:t>
                </w:r>
              </w:p>
            </w:tc>
          </w:tr>
          <w:tr w:rsidTr="00856F5A">
            <w:tblPrEx>
              <w:tblW w:w="10620" w:type="dxa"/>
              <w:tblInd w:w="-750" w:type="dxa"/>
              <w:tblBorders>
                <w:top w:val="none" w:sz="0" w:space="0" w:color="auto"/>
                <w:left w:val="none" w:sz="0" w:space="0" w:color="auto"/>
                <w:bottom w:val="single" w:sz="4" w:space="0" w:color="D9D9D9" w:themeColor="background1" w:themeShade="D9"/>
                <w:right w:val="single" w:sz="4" w:space="0" w:color="D9D9D9" w:themeColor="background1" w:themeShade="D9"/>
                <w:insideH w:val="none" w:sz="0" w:space="0" w:color="auto"/>
                <w:insideV w:val="single" w:sz="4" w:space="0" w:color="D9D9D9" w:themeColor="background1" w:themeShade="D9"/>
              </w:tblBorders>
              <w:shd w:val="clear" w:color="auto" w:fill="F7F7F7"/>
              <w:tblLayout w:type="fixed"/>
              <w:tblCellMar>
                <w:top w:w="29" w:type="dxa"/>
                <w:left w:w="144" w:type="dxa"/>
                <w:bottom w:w="72" w:type="dxa"/>
                <w:right w:w="0" w:type="dxa"/>
              </w:tblCellMar>
              <w:tblLook w:val="04A0"/>
            </w:tblPrEx>
            <w:trPr>
              <w:trHeight w:val="331"/>
            </w:trPr>
            <w:tc>
              <w:tcPr>
                <w:tcW w:w="3420" w:type="dxa"/>
                <w:shd w:val="clear" w:color="auto" w:fill="F7F7F7"/>
                <w:hideMark/>
              </w:tcPr>
              <w:p w:rsidR="003615CB">
                <w:pPr>
                  <w:pStyle w:val="Normal125"/>
                  <w:rPr>
                    <w:rStyle w:val="DefaultParagraphFont"/>
                    <w:rFonts w:ascii="Calibri" w:hAnsi="Calibri"/>
                    <w:sz w:val="22"/>
                    <w:szCs w:val="22"/>
                  </w:rPr>
                </w:pPr>
                <w:r>
                  <w:rPr>
                    <w:rStyle w:val="DefaultParagraphFont"/>
                    <w:rFonts w:ascii="Calibri" w:hAnsi="Calibri"/>
                    <w:noProof/>
                    <w:sz w:val="22"/>
                    <w:szCs w:val="22"/>
                  </w:rPr>
                  <w:t>No</w:t>
                </w:r>
              </w:p>
            </w:tc>
            <w:tc>
              <w:tcPr>
                <w:tcW w:w="3150" w:type="dxa"/>
                <w:shd w:val="clear" w:color="auto" w:fill="F7F7F7"/>
                <w:hideMark/>
              </w:tcPr>
              <w:p w:rsidR="003615CB">
                <w:pPr>
                  <w:pStyle w:val="Normal125"/>
                  <w:rPr>
                    <w:rStyle w:val="DefaultParagraphFont"/>
                    <w:rFonts w:ascii="Calibri" w:hAnsi="Calibri"/>
                    <w:sz w:val="22"/>
                    <w:szCs w:val="22"/>
                  </w:rPr>
                </w:pPr>
              </w:p>
            </w:tc>
            <w:tc>
              <w:tcPr>
                <w:tcW w:w="4050" w:type="dxa"/>
                <w:tcBorders>
                  <w:top w:val="nil"/>
                  <w:bottom w:val="single" w:sz="4" w:space="0" w:color="D9D9D9" w:themeColor="background1" w:themeShade="D9"/>
                  <w:right w:val="nil"/>
                </w:tcBorders>
                <w:shd w:val="clear" w:color="auto" w:fill="F7F7F7"/>
                <w:hideMark/>
              </w:tcPr>
              <w:p w:rsidR="003615CB" w:rsidRPr="00CB5A5D">
                <w:pPr>
                  <w:pStyle w:val="Normal125"/>
                  <w:rPr>
                    <w:rStyle w:val="DefaultParagraphFont"/>
                    <w:rFonts w:ascii="Calibri" w:hAnsi="Calibri"/>
                    <w:noProof/>
                    <w:sz w:val="22"/>
                    <w:szCs w:val="22"/>
                  </w:rPr>
                </w:pPr>
                <w:r>
                  <w:rPr>
                    <w:rStyle w:val="DefaultParagraphFont"/>
                    <w:rFonts w:ascii="Calibri" w:hAnsi="Calibri"/>
                    <w:noProof/>
                    <w:sz w:val="22"/>
                    <w:szCs w:val="22"/>
                  </w:rPr>
                  <w:t>Investment Project Financing</w:t>
                </w:r>
              </w:p>
            </w:tc>
          </w:tr>
        </w:tbl>
        <w:p w:rsidR="003615CB" w:rsidP="00C40572">
          <w:pPr>
            <w:pStyle w:val="Normal125"/>
            <w:shd w:val="clear" w:color="auto" w:fill="F7F7F7"/>
            <w:spacing w:line="120" w:lineRule="exact"/>
            <w:ind w:left="-691" w:right="-518"/>
            <w:rPr>
              <w:rStyle w:val="DefaultParagraphFont"/>
              <w:rFonts w:ascii="Calibri" w:hAnsi="Calibri"/>
              <w:noProof/>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29" w:type="dxa"/>
              <w:left w:w="144" w:type="dxa"/>
              <w:bottom w:w="72" w:type="dxa"/>
              <w:right w:w="0" w:type="dxa"/>
            </w:tblCellMar>
            <w:tblLook w:val="04A0"/>
          </w:tblPr>
          <w:tblGrid>
            <w:gridCol w:w="10620"/>
          </w:tblGrid>
          <w:tr w:rsidTr="001B5209">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29" w:type="dxa"/>
                <w:left w:w="144" w:type="dxa"/>
                <w:bottom w:w="72" w:type="dxa"/>
                <w:right w:w="0" w:type="dxa"/>
              </w:tblCellMar>
              <w:tblLook w:val="04A0"/>
            </w:tblPrEx>
            <w:trPr>
              <w:trHeight w:val="302"/>
            </w:trPr>
            <w:tc>
              <w:tcPr>
                <w:tcW w:w="10620" w:type="dxa"/>
                <w:shd w:val="clear" w:color="auto" w:fill="F7F7F7"/>
                <w:vAlign w:val="center"/>
                <w:hideMark/>
              </w:tcPr>
              <w:p w:rsidR="003615CB" w:rsidRPr="007D4E7E">
                <w:pPr>
                  <w:pStyle w:val="Normal125"/>
                  <w:spacing w:before="60" w:line="360" w:lineRule="auto"/>
                  <w:rPr>
                    <w:rStyle w:val="DefaultParagraphFont"/>
                    <w:rFonts w:ascii="Calibri" w:hAnsi="Calibri"/>
                    <w:noProof/>
                    <w:sz w:val="22"/>
                    <w:szCs w:val="22"/>
                    <w:highlight w:val="yellow"/>
                  </w:rPr>
                </w:pPr>
                <w:r w:rsidRPr="007D4E7E">
                  <w:rPr>
                    <w:rStyle w:val="DefaultParagraphFont"/>
                    <w:rFonts w:ascii="Calibri" w:hAnsi="Calibri"/>
                    <w:sz w:val="22"/>
                    <w:szCs w:val="22"/>
                  </w:rPr>
                  <w:t>[</w:t>
                </w:r>
                <w:r w:rsidRPr="007D4E7E">
                  <w:rPr>
                    <w:rStyle w:val="DefaultParagraphFont"/>
                    <w:rFonts w:ascii="Calibri" w:hAnsi="Calibri"/>
                    <w:sz w:val="22"/>
                    <w:szCs w:val="22"/>
                  </w:rPr>
                  <w:fldChar w:fldCharType="begin"/>
                </w:r>
                <w:r w:rsidRPr="007D4E7E">
                  <w:rPr>
                    <w:rStyle w:val="DefaultParagraphFont"/>
                    <w:rFonts w:ascii="Calibri" w:hAnsi="Calibri"/>
                    <w:sz w:val="22"/>
                    <w:szCs w:val="22"/>
                  </w:rPr>
                  <w:instrText xml:space="preserve"> IF </w:instrText>
                </w:r>
                <w:r w:rsidRPr="007D4E7E">
                  <w:rPr>
                    <w:rStyle w:val="DefaultParagraphFont"/>
                    <w:rFonts w:ascii="Calibri" w:hAnsi="Calibri"/>
                    <w:noProof/>
                    <w:sz w:val="22"/>
                    <w:szCs w:val="22"/>
                  </w:rPr>
                  <w:instrText>X</w:instrText>
                </w:r>
                <w:r w:rsidRPr="007D4E7E">
                  <w:rPr>
                    <w:rStyle w:val="DefaultParagraphFont"/>
                    <w:rFonts w:ascii="Calibri" w:hAnsi="Calibri"/>
                    <w:sz w:val="22"/>
                    <w:szCs w:val="22"/>
                  </w:rPr>
                  <w:instrText xml:space="preserve"> ="X" </w:instrText>
                </w:r>
                <w:r w:rsidRPr="007D4E7E">
                  <w:rPr>
                    <w:rStyle w:val="DefaultParagraphFont"/>
                    <w:rFonts w:ascii="Segoe UI Symbol" w:hAnsi="Segoe UI Symbol" w:cs="Segoe UI Symbol"/>
                    <w:sz w:val="22"/>
                    <w:szCs w:val="22"/>
                  </w:rPr>
                  <w:instrText>✔</w:instrText>
                </w:r>
                <w:r w:rsidRPr="007D4E7E">
                  <w:rPr>
                    <w:rStyle w:val="DefaultParagraphFont"/>
                    <w:rFonts w:ascii="Calibri" w:hAnsi="Calibri"/>
                    <w:sz w:val="22"/>
                    <w:szCs w:val="22"/>
                  </w:rPr>
                  <w:instrText xml:space="preserve"> "  " </w:instrText>
                </w:r>
                <w:r w:rsidRPr="007D4E7E">
                  <w:rPr>
                    <w:rStyle w:val="DefaultParagraphFont"/>
                    <w:rFonts w:ascii="Calibri" w:hAnsi="Calibri"/>
                    <w:sz w:val="22"/>
                    <w:szCs w:val="22"/>
                  </w:rPr>
                  <w:fldChar w:fldCharType="separate"/>
                </w:r>
                <w:r w:rsidRPr="007D4E7E">
                  <w:rPr>
                    <w:rStyle w:val="DefaultParagraphFont"/>
                    <w:rFonts w:ascii="Segoe UI Symbol" w:hAnsi="Segoe UI Symbol" w:cs="Segoe UI Symbol"/>
                    <w:sz w:val="22"/>
                    <w:szCs w:val="22"/>
                  </w:rPr>
                  <w:t>✔</w:t>
                </w:r>
                <w:r w:rsidRPr="007D4E7E">
                  <w:rPr>
                    <w:rStyle w:val="DefaultParagraphFont"/>
                    <w:rFonts w:ascii="Calibri" w:hAnsi="Calibri"/>
                    <w:sz w:val="22"/>
                    <w:szCs w:val="22"/>
                  </w:rPr>
                  <w:fldChar w:fldCharType="end"/>
                </w:r>
                <w:r w:rsidRPr="007D4E7E">
                  <w:rPr>
                    <w:rStyle w:val="DefaultParagraphFont"/>
                    <w:rFonts w:ascii="Calibri" w:hAnsi="Calibri"/>
                    <w:sz w:val="22"/>
                    <w:szCs w:val="22"/>
                  </w:rPr>
                  <w:t xml:space="preserve">]  </w:t>
                </w:r>
                <w:r w:rsidRPr="007D4E7E">
                  <w:rPr>
                    <w:rStyle w:val="DefaultParagraphFont"/>
                    <w:rFonts w:ascii="Calibri" w:hAnsi="Calibri"/>
                    <w:noProof/>
                    <w:sz w:val="22"/>
                    <w:szCs w:val="22"/>
                  </w:rPr>
                  <w:t>Situations</w:t>
                </w:r>
                <w:r w:rsidRPr="007D4E7E">
                  <w:rPr>
                    <w:rStyle w:val="DefaultParagraphFont"/>
                    <w:rFonts w:ascii="Calibri" w:hAnsi="Calibri"/>
                    <w:noProof/>
                    <w:sz w:val="22"/>
                    <w:szCs w:val="22"/>
                  </w:rPr>
                  <w:t xml:space="preserve"> of Urgent Need o</w:t>
                </w:r>
                <w:r w:rsidR="007A3FD4">
                  <w:rPr>
                    <w:rStyle w:val="DefaultParagraphFont"/>
                    <w:rFonts w:ascii="Calibri" w:hAnsi="Calibri"/>
                    <w:noProof/>
                    <w:sz w:val="22"/>
                    <w:szCs w:val="22"/>
                  </w:rPr>
                  <w:t>f</w:t>
                </w:r>
                <w:r w:rsidRPr="007D4E7E">
                  <w:rPr>
                    <w:rStyle w:val="DefaultParagraphFont"/>
                    <w:rFonts w:ascii="Calibri" w:hAnsi="Calibri"/>
                    <w:noProof/>
                    <w:sz w:val="22"/>
                    <w:szCs w:val="22"/>
                  </w:rPr>
                  <w:t xml:space="preserve"> Assistance</w:t>
                </w:r>
                <w:r w:rsidR="007A3FD4">
                  <w:rPr>
                    <w:rStyle w:val="DefaultParagraphFont"/>
                    <w:rFonts w:ascii="Calibri" w:hAnsi="Calibri"/>
                    <w:noProof/>
                    <w:sz w:val="22"/>
                    <w:szCs w:val="22"/>
                  </w:rPr>
                  <w:t xml:space="preserve"> </w:t>
                </w:r>
                <w:r w:rsidRPr="007D4E7E">
                  <w:rPr>
                    <w:rStyle w:val="DefaultParagraphFont"/>
                    <w:rFonts w:ascii="Calibri" w:hAnsi="Calibri"/>
                    <w:noProof/>
                    <w:sz w:val="22"/>
                    <w:szCs w:val="22"/>
                  </w:rPr>
                  <w:t>or Capacity Constraints</w:t>
                </w:r>
              </w:p>
              <w:p w:rsidR="003615CB" w:rsidRPr="007D4E7E">
                <w:pPr>
                  <w:pStyle w:val="Normal125"/>
                  <w:spacing w:line="360" w:lineRule="auto"/>
                  <w:rPr>
                    <w:rStyle w:val="DefaultParagraphFont"/>
                    <w:rFonts w:ascii="Calibri" w:hAnsi="Calibri"/>
                    <w:noProof/>
                    <w:sz w:val="22"/>
                    <w:szCs w:val="22"/>
                    <w:highlight w:val="yellow"/>
                  </w:rPr>
                </w:pPr>
                <w:r w:rsidRPr="007D4E7E">
                  <w:rPr>
                    <w:rStyle w:val="DefaultParagraphFont"/>
                    <w:rFonts w:ascii="Calibri" w:hAnsi="Calibri"/>
                    <w:sz w:val="22"/>
                    <w:szCs w:val="22"/>
                  </w:rPr>
                  <w:t>[</w:t>
                </w:r>
                <w:r w:rsidRPr="007D4E7E">
                  <w:rPr>
                    <w:rStyle w:val="DefaultParagraphFont"/>
                    <w:rFonts w:ascii="Calibri" w:hAnsi="Calibri"/>
                    <w:sz w:val="22"/>
                    <w:szCs w:val="22"/>
                  </w:rPr>
                  <w:fldChar w:fldCharType="begin"/>
                </w:r>
                <w:r w:rsidRPr="007D4E7E">
                  <w:rPr>
                    <w:rStyle w:val="DefaultParagraphFont"/>
                    <w:rFonts w:ascii="Calibri" w:hAnsi="Calibri"/>
                    <w:sz w:val="22"/>
                    <w:szCs w:val="22"/>
                  </w:rPr>
                  <w:instrText xml:space="preserve"> IF  </w:instrText>
                </w:r>
                <w:r w:rsidRPr="007D4E7E">
                  <w:rPr>
                    <w:rStyle w:val="DefaultParagraphFont"/>
                    <w:rFonts w:ascii="Calibri" w:hAnsi="Calibri"/>
                    <w:sz w:val="22"/>
                    <w:szCs w:val="22"/>
                  </w:rPr>
                  <w:instrText>"</w:instrText>
                </w:r>
                <w:r w:rsidRPr="007D4E7E">
                  <w:rPr>
                    <w:rStyle w:val="DefaultParagraphFont"/>
                    <w:rFonts w:ascii="Calibri" w:hAnsi="Calibri"/>
                    <w:sz w:val="22"/>
                    <w:szCs w:val="22"/>
                  </w:rPr>
                  <w:instrText>"</w:instrText>
                </w:r>
                <w:r w:rsidRPr="007D4E7E">
                  <w:rPr>
                    <w:rStyle w:val="DefaultParagraphFont"/>
                    <w:rFonts w:ascii="Calibri" w:hAnsi="Calibri"/>
                    <w:sz w:val="22"/>
                    <w:szCs w:val="22"/>
                  </w:rPr>
                  <w:instrText xml:space="preserve"> ="X" </w:instrText>
                </w:r>
                <w:r w:rsidRPr="007D4E7E">
                  <w:rPr>
                    <w:rStyle w:val="DefaultParagraphFont"/>
                    <w:rFonts w:ascii="Segoe UI Symbol" w:hAnsi="Segoe UI Symbol" w:cs="Segoe UI Symbol"/>
                    <w:sz w:val="22"/>
                    <w:szCs w:val="22"/>
                  </w:rPr>
                  <w:instrText>✔</w:instrText>
                </w:r>
                <w:r w:rsidRPr="007D4E7E">
                  <w:rPr>
                    <w:rStyle w:val="DefaultParagraphFont"/>
                    <w:rFonts w:ascii="Calibri" w:hAnsi="Calibri"/>
                    <w:sz w:val="22"/>
                    <w:szCs w:val="22"/>
                  </w:rPr>
                  <w:instrText xml:space="preserve"> "  " </w:instrText>
                </w:r>
                <w:r w:rsidRPr="007D4E7E">
                  <w:rPr>
                    <w:rStyle w:val="DefaultParagraphFont"/>
                    <w:rFonts w:ascii="Calibri" w:hAnsi="Calibri"/>
                    <w:sz w:val="22"/>
                    <w:szCs w:val="22"/>
                  </w:rPr>
                  <w:fldChar w:fldCharType="separate"/>
                </w:r>
                <w:r w:rsidRPr="007D4E7E">
                  <w:rPr>
                    <w:rStyle w:val="DefaultParagraphFont"/>
                    <w:rFonts w:ascii="Calibri" w:hAnsi="Calibri"/>
                    <w:sz w:val="22"/>
                    <w:szCs w:val="22"/>
                  </w:rPr>
                  <w:t xml:space="preserve">  </w:t>
                </w:r>
                <w:r w:rsidRPr="007D4E7E">
                  <w:rPr>
                    <w:rStyle w:val="DefaultParagraphFont"/>
                    <w:rFonts w:ascii="Calibri" w:hAnsi="Calibri"/>
                    <w:sz w:val="22"/>
                    <w:szCs w:val="22"/>
                  </w:rPr>
                  <w:fldChar w:fldCharType="end"/>
                </w:r>
                <w:r w:rsidRPr="007D4E7E">
                  <w:rPr>
                    <w:rStyle w:val="DefaultParagraphFont"/>
                    <w:rFonts w:ascii="Calibri" w:hAnsi="Calibri"/>
                    <w:sz w:val="22"/>
                    <w:szCs w:val="22"/>
                  </w:rPr>
                  <w:t xml:space="preserve">]  </w:t>
                </w:r>
                <w:r w:rsidRPr="007D4E7E">
                  <w:rPr>
                    <w:rStyle w:val="DefaultParagraphFont"/>
                    <w:rFonts w:ascii="Calibri" w:hAnsi="Calibri"/>
                    <w:noProof/>
                    <w:sz w:val="22"/>
                    <w:szCs w:val="22"/>
                  </w:rPr>
                  <w:t>Financial</w:t>
                </w:r>
                <w:r w:rsidRPr="007D4E7E">
                  <w:rPr>
                    <w:rStyle w:val="DefaultParagraphFont"/>
                    <w:rFonts w:ascii="Calibri" w:hAnsi="Calibri"/>
                    <w:noProof/>
                    <w:sz w:val="22"/>
                    <w:szCs w:val="22"/>
                  </w:rPr>
                  <w:t xml:space="preserve"> Intermediaries</w:t>
                </w:r>
              </w:p>
              <w:p w:rsidR="003615CB" w:rsidRPr="007D4E7E" w:rsidP="003615CB">
                <w:pPr>
                  <w:pStyle w:val="Normal125"/>
                  <w:rPr>
                    <w:rStyle w:val="DefaultParagraphFont"/>
                    <w:rFonts w:ascii="Calibri" w:hAnsi="Calibri"/>
                    <w:sz w:val="22"/>
                    <w:szCs w:val="22"/>
                  </w:rPr>
                </w:pPr>
                <w:r w:rsidRPr="007D4E7E">
                  <w:rPr>
                    <w:rStyle w:val="DefaultParagraphFont"/>
                    <w:rFonts w:ascii="Calibri" w:hAnsi="Calibri"/>
                    <w:sz w:val="22"/>
                    <w:szCs w:val="22"/>
                  </w:rPr>
                  <w:t>[</w:t>
                </w:r>
                <w:r w:rsidRPr="007D4E7E">
                  <w:rPr>
                    <w:rStyle w:val="DefaultParagraphFont"/>
                    <w:rFonts w:ascii="Calibri" w:hAnsi="Calibri"/>
                    <w:sz w:val="22"/>
                    <w:szCs w:val="22"/>
                  </w:rPr>
                  <w:fldChar w:fldCharType="begin"/>
                </w:r>
                <w:r w:rsidRPr="007D4E7E">
                  <w:rPr>
                    <w:rStyle w:val="DefaultParagraphFont"/>
                    <w:rFonts w:ascii="Calibri" w:hAnsi="Calibri"/>
                    <w:sz w:val="22"/>
                    <w:szCs w:val="22"/>
                  </w:rPr>
                  <w:instrText xml:space="preserve"> IF </w:instrText>
                </w:r>
                <w:r w:rsidRPr="007D4E7E">
                  <w:rPr>
                    <w:rStyle w:val="DefaultParagraphFont"/>
                    <w:rFonts w:ascii="Calibri" w:hAnsi="Calibri"/>
                    <w:sz w:val="22"/>
                    <w:szCs w:val="22"/>
                  </w:rPr>
                  <w:instrText>"</w:instrText>
                </w:r>
                <w:r w:rsidRPr="007D4E7E">
                  <w:rPr>
                    <w:rStyle w:val="DefaultParagraphFont"/>
                    <w:rFonts w:ascii="Calibri" w:hAnsi="Calibri"/>
                    <w:sz w:val="22"/>
                    <w:szCs w:val="22"/>
                  </w:rPr>
                  <w:instrText>"</w:instrText>
                </w:r>
                <w:r w:rsidRPr="007D4E7E">
                  <w:rPr>
                    <w:rStyle w:val="DefaultParagraphFont"/>
                    <w:rFonts w:ascii="Calibri" w:hAnsi="Calibri"/>
                    <w:sz w:val="22"/>
                    <w:szCs w:val="22"/>
                  </w:rPr>
                  <w:instrText xml:space="preserve"> ="X" </w:instrText>
                </w:r>
                <w:r w:rsidRPr="007D4E7E">
                  <w:rPr>
                    <w:rStyle w:val="DefaultParagraphFont"/>
                    <w:rFonts w:ascii="Segoe UI Symbol" w:hAnsi="Segoe UI Symbol" w:cs="Segoe UI Symbol"/>
                    <w:sz w:val="22"/>
                    <w:szCs w:val="22"/>
                  </w:rPr>
                  <w:instrText>✔</w:instrText>
                </w:r>
                <w:r w:rsidRPr="007D4E7E">
                  <w:rPr>
                    <w:rStyle w:val="DefaultParagraphFont"/>
                    <w:rFonts w:ascii="Calibri" w:hAnsi="Calibri"/>
                    <w:sz w:val="22"/>
                    <w:szCs w:val="22"/>
                  </w:rPr>
                  <w:instrText xml:space="preserve"> "  " </w:instrText>
                </w:r>
                <w:r w:rsidRPr="007D4E7E">
                  <w:rPr>
                    <w:rStyle w:val="DefaultParagraphFont"/>
                    <w:rFonts w:ascii="Calibri" w:hAnsi="Calibri"/>
                    <w:sz w:val="22"/>
                    <w:szCs w:val="22"/>
                  </w:rPr>
                  <w:fldChar w:fldCharType="separate"/>
                </w:r>
                <w:r w:rsidRPr="007D4E7E">
                  <w:rPr>
                    <w:rStyle w:val="DefaultParagraphFont"/>
                    <w:rFonts w:ascii="Calibri" w:hAnsi="Calibri"/>
                    <w:sz w:val="22"/>
                    <w:szCs w:val="22"/>
                  </w:rPr>
                  <w:t xml:space="preserve">  </w:t>
                </w:r>
                <w:r w:rsidRPr="007D4E7E">
                  <w:rPr>
                    <w:rStyle w:val="DefaultParagraphFont"/>
                    <w:rFonts w:ascii="Calibri" w:hAnsi="Calibri"/>
                    <w:sz w:val="22"/>
                    <w:szCs w:val="22"/>
                  </w:rPr>
                  <w:fldChar w:fldCharType="end"/>
                </w:r>
                <w:r w:rsidRPr="007D4E7E">
                  <w:rPr>
                    <w:rStyle w:val="DefaultParagraphFont"/>
                    <w:rFonts w:ascii="Calibri" w:hAnsi="Calibri"/>
                    <w:sz w:val="22"/>
                    <w:szCs w:val="22"/>
                  </w:rPr>
                  <w:t>]  Series</w:t>
                </w:r>
                <w:r w:rsidRPr="007D4E7E">
                  <w:rPr>
                    <w:rStyle w:val="DefaultParagraphFont"/>
                    <w:rFonts w:ascii="Calibri" w:hAnsi="Calibri"/>
                    <w:sz w:val="22"/>
                    <w:szCs w:val="22"/>
                  </w:rPr>
                  <w:t xml:space="preserve"> of Projects</w:t>
                </w:r>
              </w:p>
            </w:tc>
          </w:tr>
        </w:tbl>
        <w:p w:rsidR="003615CB" w:rsidP="00C4057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top w:w="29" w:type="dxa"/>
              <w:left w:w="144" w:type="dxa"/>
              <w:bottom w:w="72" w:type="dxa"/>
              <w:right w:w="0" w:type="dxa"/>
            </w:tblCellMar>
            <w:tblLook w:val="04A0"/>
          </w:tblPr>
          <w:tblGrid>
            <w:gridCol w:w="2520"/>
            <w:gridCol w:w="2340"/>
            <w:gridCol w:w="3600"/>
            <w:gridCol w:w="2160"/>
          </w:tblGrid>
          <w:tr w:rsidTr="00370EB6">
            <w:tblPrEx>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top w:w="29" w:type="dxa"/>
                <w:left w:w="144" w:type="dxa"/>
                <w:bottom w:w="72" w:type="dxa"/>
                <w:right w:w="0" w:type="dxa"/>
              </w:tblCellMar>
              <w:tblLook w:val="04A0"/>
            </w:tblPrEx>
            <w:trPr>
              <w:trHeight w:hRule="exact" w:val="20"/>
            </w:trPr>
            <w:tc>
              <w:tcPr>
                <w:tcW w:w="2520" w:type="dxa"/>
                <w:tcBorders>
                  <w:top w:val="nil"/>
                  <w:left w:val="nil"/>
                  <w:bottom w:val="nil"/>
                  <w:right w:val="nil"/>
                </w:tcBorders>
                <w:shd w:val="clear" w:color="auto" w:fill="F7F7F7"/>
                <w:vAlign w:val="bottom"/>
              </w:tcPr>
              <w:p w:rsidR="00370EB6" w:rsidP="00856F5A">
                <w:pPr>
                  <w:pStyle w:val="Normal125"/>
                  <w:rPr>
                    <w:rStyle w:val="DefaultParagraphFont"/>
                    <w:rFonts w:ascii="Calibri" w:hAnsi="Calibri"/>
                    <w:color w:val="767171" w:themeShade="80"/>
                    <w:sz w:val="22"/>
                    <w:szCs w:val="22"/>
                  </w:rPr>
                </w:pPr>
                <w:r>
                  <w:rPr>
                    <w:rStyle w:val="DefaultParagraphFont"/>
                    <w:rFonts w:ascii="Calibri" w:hAnsi="Calibri"/>
                    <w:color w:val="767171" w:themeShade="80"/>
                    <w:sz w:val="22"/>
                    <w:szCs w:val="22"/>
                  </w:rPr>
                  <w:t>OPS_BASICINFO_TABLE_3</w:t>
                </w:r>
              </w:p>
            </w:tc>
            <w:tc>
              <w:tcPr>
                <w:tcW w:w="2340" w:type="dxa"/>
                <w:tcBorders>
                  <w:top w:val="nil"/>
                  <w:left w:val="nil"/>
                  <w:bottom w:val="nil"/>
                  <w:right w:val="nil"/>
                </w:tcBorders>
                <w:shd w:val="clear" w:color="auto" w:fill="F7F7F7"/>
                <w:vAlign w:val="bottom"/>
              </w:tcPr>
              <w:p w:rsidR="00370EB6" w:rsidP="00856F5A">
                <w:pPr>
                  <w:pStyle w:val="Normal125"/>
                  <w:rPr>
                    <w:rStyle w:val="DefaultParagraphFont"/>
                    <w:rFonts w:ascii="Calibri" w:hAnsi="Calibri"/>
                    <w:color w:val="767171" w:themeShade="80"/>
                    <w:sz w:val="22"/>
                    <w:szCs w:val="22"/>
                  </w:rPr>
                </w:pPr>
              </w:p>
            </w:tc>
            <w:tc>
              <w:tcPr>
                <w:tcW w:w="3600" w:type="dxa"/>
                <w:tcBorders>
                  <w:top w:val="nil"/>
                  <w:left w:val="nil"/>
                  <w:bottom w:val="nil"/>
                  <w:right w:val="nil"/>
                </w:tcBorders>
                <w:shd w:val="clear" w:color="auto" w:fill="F7F7F7"/>
                <w:vAlign w:val="bottom"/>
              </w:tcPr>
              <w:p w:rsidR="00370EB6" w:rsidP="00856F5A">
                <w:pPr>
                  <w:pStyle w:val="Normal125"/>
                  <w:ind w:right="90"/>
                  <w:rPr>
                    <w:rStyle w:val="DefaultParagraphFont"/>
                    <w:rFonts w:ascii="Calibri" w:hAnsi="Calibri"/>
                    <w:color w:val="767171" w:themeShade="80"/>
                    <w:sz w:val="22"/>
                    <w:szCs w:val="22"/>
                  </w:rPr>
                </w:pPr>
              </w:p>
            </w:tc>
            <w:tc>
              <w:tcPr>
                <w:tcW w:w="2160" w:type="dxa"/>
                <w:tcBorders>
                  <w:top w:val="nil"/>
                  <w:left w:val="nil"/>
                  <w:bottom w:val="nil"/>
                  <w:right w:val="nil"/>
                </w:tcBorders>
                <w:shd w:val="clear" w:color="auto" w:fill="F7F7F7"/>
                <w:vAlign w:val="bottom"/>
              </w:tcPr>
              <w:p w:rsidR="00370EB6" w:rsidP="00856F5A">
                <w:pPr>
                  <w:pStyle w:val="Normal125"/>
                  <w:rPr>
                    <w:rStyle w:val="DefaultParagraphFont"/>
                    <w:rFonts w:ascii="Calibri" w:hAnsi="Calibri"/>
                    <w:color w:val="767171" w:themeShade="80"/>
                    <w:sz w:val="22"/>
                    <w:szCs w:val="22"/>
                  </w:rPr>
                </w:pPr>
              </w:p>
            </w:tc>
          </w:tr>
          <w:tr w:rsidTr="00370EB6">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2520" w:type="dxa"/>
                <w:tcBorders>
                  <w:top w:val="single" w:sz="4" w:space="0" w:color="D9D9D9" w:themeColor="background1" w:themeShade="D9"/>
                  <w:left w:val="nil"/>
                  <w:bottom w:val="nil"/>
                  <w:right w:val="single" w:sz="4" w:space="0" w:color="D9D9D9" w:themeColor="background1" w:themeShade="D9"/>
                </w:tcBorders>
                <w:shd w:val="clear" w:color="auto" w:fill="F7F7F7"/>
                <w:vAlign w:val="bottom"/>
                <w:hideMark/>
              </w:tcPr>
              <w:p w:rsidR="003615CB">
                <w:pPr>
                  <w:pStyle w:val="Normal125"/>
                  <w:rPr>
                    <w:rStyle w:val="DefaultParagraphFont"/>
                    <w:rFonts w:ascii="Calibri" w:hAnsi="Calibri"/>
                    <w:sz w:val="22"/>
                    <w:szCs w:val="22"/>
                  </w:rPr>
                </w:pPr>
                <w:r>
                  <w:rPr>
                    <w:rStyle w:val="DefaultParagraphFont"/>
                    <w:rFonts w:ascii="Calibri" w:hAnsi="Calibri"/>
                    <w:color w:val="767171" w:themeShade="80"/>
                    <w:sz w:val="22"/>
                    <w:szCs w:val="22"/>
                  </w:rPr>
                  <w:t>Approval Date</w:t>
                </w:r>
              </w:p>
            </w:tc>
            <w:tc>
              <w:tcPr>
                <w:tcW w:w="2340" w:type="dxa"/>
                <w:tcBorders>
                  <w:top w:val="single" w:sz="4" w:space="0" w:color="D9D9D9" w:themeColor="background1" w:themeShade="D9"/>
                  <w:left w:val="nil"/>
                  <w:bottom w:val="nil"/>
                  <w:right w:val="single" w:sz="4" w:space="0" w:color="D9D9D9" w:themeColor="background1" w:themeShade="D9"/>
                </w:tcBorders>
                <w:shd w:val="clear" w:color="auto" w:fill="F7F7F7"/>
                <w:vAlign w:val="bottom"/>
                <w:hideMark/>
              </w:tcPr>
              <w:p w:rsidR="003615CB">
                <w:pPr>
                  <w:pStyle w:val="Normal125"/>
                  <w:rPr>
                    <w:rStyle w:val="DefaultParagraphFont"/>
                    <w:rFonts w:ascii="Calibri" w:hAnsi="Calibri"/>
                    <w:sz w:val="22"/>
                    <w:szCs w:val="22"/>
                  </w:rPr>
                </w:pPr>
                <w:r>
                  <w:rPr>
                    <w:rStyle w:val="DefaultParagraphFont"/>
                    <w:rFonts w:ascii="Calibri" w:hAnsi="Calibri"/>
                    <w:color w:val="767171" w:themeShade="80"/>
                    <w:sz w:val="22"/>
                    <w:szCs w:val="22"/>
                  </w:rPr>
                  <w:t>Closing Date</w:t>
                </w:r>
              </w:p>
            </w:tc>
            <w:tc>
              <w:tcPr>
                <w:tcW w:w="3600" w:type="dxa"/>
                <w:tcBorders>
                  <w:top w:val="single" w:sz="4" w:space="0" w:color="D9D9D9" w:themeColor="background1" w:themeShade="D9"/>
                  <w:left w:val="single" w:sz="4" w:space="0" w:color="D9D9D9" w:themeColor="background1" w:themeShade="D9"/>
                  <w:bottom w:val="nil"/>
                  <w:right w:val="nil"/>
                </w:tcBorders>
                <w:shd w:val="clear" w:color="auto" w:fill="F7F7F7"/>
                <w:vAlign w:val="bottom"/>
                <w:hideMark/>
              </w:tcPr>
              <w:p w:rsidR="003615CB" w:rsidP="003615CB">
                <w:pPr>
                  <w:pStyle w:val="Normal125"/>
                  <w:ind w:right="90"/>
                  <w:rPr>
                    <w:rStyle w:val="DefaultParagraphFont"/>
                    <w:rFonts w:ascii="Calibri" w:hAnsi="Calibri"/>
                    <w:sz w:val="22"/>
                    <w:szCs w:val="22"/>
                  </w:rPr>
                </w:pPr>
                <w:r>
                  <w:rPr>
                    <w:rStyle w:val="DefaultParagraphFont"/>
                    <w:rFonts w:ascii="Calibri" w:hAnsi="Calibri"/>
                    <w:color w:val="767171" w:themeShade="80"/>
                    <w:sz w:val="22"/>
                    <w:szCs w:val="22"/>
                  </w:rPr>
                  <w:t>Environmental Assessment Category</w:t>
                </w:r>
              </w:p>
            </w:tc>
            <w:tc>
              <w:tcPr>
                <w:tcW w:w="2160" w:type="dxa"/>
                <w:tcBorders>
                  <w:top w:val="single" w:sz="4" w:space="0" w:color="D9D9D9" w:themeColor="background1" w:themeShade="D9"/>
                  <w:left w:val="none" w:sz="0" w:space="0" w:color="auto"/>
                  <w:bottom w:val="nil"/>
                  <w:right w:val="nil"/>
                </w:tcBorders>
                <w:shd w:val="clear" w:color="auto" w:fill="F7F7F7"/>
                <w:vAlign w:val="bottom"/>
                <w:hideMark/>
              </w:tcPr>
              <w:p>
                <w:pPr>
                  <w:pStyle w:val="Normal125"/>
                  <w:rPr>
                    <w:rStyle w:val="DefaultParagraphFont"/>
                  </w:rPr>
                </w:pPr>
              </w:p>
            </w:tc>
          </w:tr>
          <w:tr w:rsidTr="00370EB6">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2520" w:type="dxa"/>
                <w:tcBorders>
                  <w:top w:val="nil"/>
                  <w:left w:val="nil"/>
                  <w:bottom w:val="single" w:sz="4" w:space="0" w:color="D9D9D9" w:themeColor="background1" w:themeShade="D9"/>
                  <w:right w:val="single" w:sz="4" w:space="0" w:color="D9D9D9" w:themeColor="background1" w:themeShade="D9"/>
                </w:tcBorders>
                <w:shd w:val="clear" w:color="auto" w:fill="F7F7F7"/>
                <w:hideMark/>
              </w:tcPr>
              <w:p w:rsidR="003615CB" w:rsidP="003615CB">
                <w:pPr>
                  <w:pStyle w:val="Normal125"/>
                  <w:ind w:right="90"/>
                  <w:rPr>
                    <w:rStyle w:val="DefaultParagraphFont"/>
                    <w:rFonts w:ascii="Calibri" w:hAnsi="Calibri"/>
                    <w:sz w:val="22"/>
                    <w:szCs w:val="22"/>
                  </w:rPr>
                </w:pPr>
                <w:r>
                  <w:rPr>
                    <w:rStyle w:val="DefaultParagraphFont"/>
                    <w:rFonts w:ascii="Calibri" w:hAnsi="Calibri"/>
                    <w:noProof/>
                    <w:sz w:val="22"/>
                    <w:szCs w:val="22"/>
                  </w:rPr>
                  <w:t>20-Mar-2017</w:t>
                </w:r>
              </w:p>
            </w:tc>
            <w:tc>
              <w:tcPr>
                <w:tcW w:w="2340" w:type="dxa"/>
                <w:tcBorders>
                  <w:top w:val="nil"/>
                  <w:left w:val="nil"/>
                  <w:bottom w:val="single" w:sz="4" w:space="0" w:color="D9D9D9" w:themeColor="background1" w:themeShade="D9"/>
                  <w:right w:val="single" w:sz="4" w:space="0" w:color="D9D9D9" w:themeColor="background1" w:themeShade="D9"/>
                </w:tcBorders>
                <w:shd w:val="clear" w:color="auto" w:fill="F7F7F7"/>
                <w:hideMark/>
              </w:tcPr>
              <w:p w:rsidR="003615CB">
                <w:pPr>
                  <w:pStyle w:val="Normal125"/>
                  <w:rPr>
                    <w:rStyle w:val="DefaultParagraphFont"/>
                    <w:rFonts w:ascii="Calibri" w:hAnsi="Calibri"/>
                    <w:sz w:val="22"/>
                    <w:szCs w:val="22"/>
                  </w:rPr>
                </w:pPr>
                <w:r>
                  <w:rPr>
                    <w:rStyle w:val="DefaultParagraphFont"/>
                    <w:rFonts w:ascii="Calibri" w:hAnsi="Calibri"/>
                    <w:noProof/>
                    <w:sz w:val="22"/>
                    <w:szCs w:val="22"/>
                  </w:rPr>
                  <w:t>31-May-2021</w:t>
                </w:r>
              </w:p>
            </w:tc>
            <w:tc>
              <w:tcPr>
                <w:tcW w:w="3600" w:type="dxa"/>
                <w:tcBorders>
                  <w:top w:val="nil"/>
                  <w:left w:val="single" w:sz="4" w:space="0" w:color="D9D9D9" w:themeColor="background1" w:themeShade="D9"/>
                  <w:bottom w:val="single" w:sz="4" w:space="0" w:color="D9D9D9" w:themeColor="background1" w:themeShade="D9"/>
                  <w:right w:val="nil"/>
                </w:tcBorders>
                <w:shd w:val="clear" w:color="auto" w:fill="F7F7F7"/>
                <w:hideMark/>
              </w:tcPr>
              <w:p w:rsidR="003615CB">
                <w:pPr>
                  <w:pStyle w:val="Normal125"/>
                  <w:rPr>
                    <w:rStyle w:val="DefaultParagraphFont"/>
                    <w:rFonts w:ascii="Calibri" w:hAnsi="Calibri"/>
                    <w:sz w:val="22"/>
                    <w:szCs w:val="22"/>
                  </w:rPr>
                </w:pPr>
                <w:r>
                  <w:rPr>
                    <w:rStyle w:val="DefaultParagraphFont"/>
                    <w:rFonts w:ascii="Calibri" w:hAnsi="Calibri"/>
                    <w:noProof/>
                    <w:sz w:val="22"/>
                    <w:szCs w:val="22"/>
                  </w:rPr>
                  <w:t>B</w:t>
                </w:r>
                <w:r>
                  <w:rPr>
                    <w:rStyle w:val="DefaultParagraphFont"/>
                    <w:rFonts w:ascii="Calibri" w:hAnsi="Calibri"/>
                    <w:sz w:val="22"/>
                    <w:szCs w:val="22"/>
                  </w:rPr>
                  <w:t xml:space="preserve"> - </w:t>
                </w:r>
                <w:r>
                  <w:rPr>
                    <w:rStyle w:val="DefaultParagraphFont"/>
                    <w:rFonts w:ascii="Calibri" w:hAnsi="Calibri"/>
                    <w:noProof/>
                    <w:sz w:val="22"/>
                    <w:szCs w:val="22"/>
                  </w:rPr>
                  <w:t>Partial Assessment</w:t>
                </w:r>
              </w:p>
            </w:tc>
            <w:tc>
              <w:tcPr>
                <w:tcW w:w="2160" w:type="dxa"/>
                <w:tcBorders>
                  <w:top w:val="nil"/>
                  <w:left w:val="none" w:sz="0" w:space="0" w:color="auto"/>
                  <w:bottom w:val="single" w:sz="4" w:space="0" w:color="D9D9D9" w:themeColor="background1" w:themeShade="D9"/>
                  <w:right w:val="nil"/>
                </w:tcBorders>
                <w:shd w:val="clear" w:color="auto" w:fill="F7F7F7"/>
                <w:hideMark/>
              </w:tcPr>
              <w:p>
                <w:pPr>
                  <w:pStyle w:val="Normal125"/>
                  <w:rPr>
                    <w:rStyle w:val="DefaultParagraphFont"/>
                  </w:rPr>
                </w:pPr>
              </w:p>
            </w:tc>
          </w:tr>
          <w:tr w:rsidTr="00370EB6">
            <w:tblPrEx>
              <w:tblW w:w="10620" w:type="dxa"/>
              <w:tblInd w:w="-720" w:type="dxa"/>
              <w:shd w:val="clear" w:color="auto" w:fill="F7F7F7"/>
              <w:tblLayout w:type="fixed"/>
              <w:tblCellMar>
                <w:top w:w="29" w:type="dxa"/>
                <w:left w:w="144" w:type="dxa"/>
                <w:bottom w:w="72" w:type="dxa"/>
                <w:right w:w="0" w:type="dxa"/>
              </w:tblCellMar>
              <w:tblLook w:val="04A0"/>
            </w:tblPrEx>
            <w:trPr>
              <w:trHeight w:val="288"/>
            </w:trPr>
            <w:tc>
              <w:tcPr>
                <w:tcW w:w="2520" w:type="dxa"/>
                <w:tcBorders>
                  <w:top w:val="single" w:sz="4" w:space="0" w:color="D9D9D9" w:themeColor="background1" w:themeShade="D9"/>
                  <w:left w:val="nil"/>
                  <w:bottom w:val="nil"/>
                  <w:right w:val="single" w:sz="4" w:space="0" w:color="D9D9D9" w:themeColor="background1" w:themeShade="D9"/>
                </w:tcBorders>
                <w:shd w:val="clear" w:color="auto" w:fill="F7F7F7"/>
                <w:hideMark/>
              </w:tcPr>
              <w:p w:rsidR="00C40572" w:rsidP="00C40572">
                <w:pPr>
                  <w:pStyle w:val="Normal125"/>
                  <w:rPr>
                    <w:rStyle w:val="DefaultParagraphFont"/>
                    <w:rFonts w:ascii="Calibri" w:hAnsi="Calibri"/>
                    <w:color w:val="767171" w:themeShade="80"/>
                    <w:sz w:val="22"/>
                    <w:szCs w:val="22"/>
                  </w:rPr>
                </w:pPr>
                <w:r>
                  <w:rPr>
                    <w:rStyle w:val="DefaultParagraphFont"/>
                    <w:rFonts w:ascii="Calibri" w:hAnsi="Calibri"/>
                    <w:color w:val="767171" w:themeShade="80"/>
                    <w:sz w:val="22"/>
                    <w:szCs w:val="22"/>
                  </w:rPr>
                  <w:t xml:space="preserve">Bank/IFC Collaboration   </w:t>
                </w:r>
              </w:p>
            </w:tc>
            <w:tc>
              <w:tcPr>
                <w:tcW w:w="2340" w:type="dxa"/>
                <w:tcBorders>
                  <w:top w:val="single" w:sz="4" w:space="0" w:color="D9D9D9" w:themeColor="background1" w:themeShade="D9"/>
                  <w:left w:val="nil"/>
                  <w:bottom w:val="nil"/>
                  <w:right w:val="nil"/>
                </w:tcBorders>
                <w:shd w:val="clear" w:color="auto" w:fill="F7F7F7"/>
                <w:hideMark/>
              </w:tcPr>
              <w:p>
                <w:pPr>
                  <w:pStyle w:val="Normal125"/>
                  <w:rPr>
                    <w:rStyle w:val="DefaultParagraphFont"/>
                  </w:rPr>
                </w:pPr>
              </w:p>
            </w:tc>
            <w:tc>
              <w:tcPr>
                <w:tcW w:w="3600" w:type="dxa"/>
                <w:shd w:val="clear" w:color="auto" w:fill="F7F7F7"/>
              </w:tcPr>
              <w:p w:rsidR="00C40572" w:rsidP="00C40572">
                <w:pPr>
                  <w:pStyle w:val="Normal125"/>
                  <w:rPr>
                    <w:rStyle w:val="DefaultParagraphFont"/>
                    <w:rFonts w:ascii="Calibri" w:hAnsi="Calibri"/>
                    <w:color w:val="767171" w:themeShade="80"/>
                    <w:sz w:val="22"/>
                    <w:szCs w:val="22"/>
                  </w:rPr>
                </w:pPr>
              </w:p>
            </w:tc>
            <w:tc>
              <w:tcPr>
                <w:tcW w:w="2160" w:type="dxa"/>
                <w:shd w:val="clear" w:color="auto" w:fill="F7F7F7"/>
              </w:tcPr>
              <w:p w:rsidR="00C40572" w:rsidP="00C40572">
                <w:pPr>
                  <w:pStyle w:val="Normal125"/>
                  <w:rPr>
                    <w:rStyle w:val="DefaultParagraphFont"/>
                    <w:rFonts w:ascii="Calibri" w:hAnsi="Calibri"/>
                    <w:color w:val="767171" w:themeShade="80"/>
                    <w:sz w:val="22"/>
                    <w:szCs w:val="22"/>
                  </w:rPr>
                </w:pPr>
              </w:p>
            </w:tc>
          </w:tr>
          <w:tr w:rsidTr="00856F5A">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2520" w:type="dxa"/>
                <w:tcBorders>
                  <w:top w:val="nil"/>
                  <w:left w:val="nil"/>
                  <w:bottom w:val="single" w:sz="4" w:space="0" w:color="D9D9D9" w:themeColor="background1" w:themeShade="D9"/>
                  <w:right w:val="single" w:sz="4" w:space="0" w:color="D9D9D9" w:themeColor="background1" w:themeShade="D9"/>
                </w:tcBorders>
                <w:shd w:val="clear" w:color="auto" w:fill="F7F7F7"/>
                <w:hideMark/>
              </w:tcPr>
              <w:p w:rsidR="00856F5A" w:rsidP="00C40572">
                <w:pPr>
                  <w:pStyle w:val="Normal125"/>
                  <w:rPr>
                    <w:rStyle w:val="DefaultParagraphFont"/>
                    <w:rFonts w:ascii="Calibri" w:hAnsi="Calibri"/>
                    <w:noProof/>
                    <w:sz w:val="22"/>
                    <w:szCs w:val="22"/>
                  </w:rPr>
                </w:pPr>
                <w:r>
                  <w:rPr>
                    <w:rStyle w:val="DefaultParagraphFont"/>
                    <w:rFonts w:ascii="Calibri" w:hAnsi="Calibri"/>
                    <w:noProof/>
                    <w:sz w:val="22"/>
                    <w:szCs w:val="22"/>
                  </w:rPr>
                  <w:t>No</w:t>
                </w:r>
              </w:p>
            </w:tc>
            <w:tc>
              <w:tcPr>
                <w:tcW w:w="8100" w:type="dxa"/>
                <w:gridSpan w:val="3"/>
                <w:tcBorders>
                  <w:top w:val="nil"/>
                  <w:left w:val="nil"/>
                  <w:bottom w:val="single" w:sz="4" w:space="0" w:color="D9D9D9" w:themeColor="background1" w:themeShade="D9"/>
                  <w:right w:val="nil"/>
                </w:tcBorders>
                <w:shd w:val="clear" w:color="auto" w:fill="F7F7F7"/>
                <w:hideMark/>
              </w:tcPr>
              <w:p>
                <w:pPr>
                  <w:pStyle w:val="Normal125"/>
                  <w:rPr>
                    <w:rStyle w:val="DefaultParagraphFont"/>
                  </w:rPr>
                </w:pPr>
              </w:p>
            </w:tc>
          </w:tr>
        </w:tbl>
        <w:p w:rsidR="003615CB" w:rsidP="00C40572">
          <w:pPr>
            <w:pStyle w:val="Normal125"/>
            <w:shd w:val="clear" w:color="auto" w:fill="F7F7F7"/>
            <w:ind w:left="-691" w:right="-518"/>
            <w:rPr>
              <w:rStyle w:val="DefaultParagraphFont"/>
              <w:sz w:val="20"/>
            </w:rPr>
          </w:pPr>
        </w:p>
        <w:tbl>
          <w:tblPr>
            <w:tblStyle w:val="TableGrid63"/>
            <w:tblW w:w="10602" w:type="dxa"/>
            <w:tblInd w:w="-702" w:type="dxa"/>
            <w:shd w:val="clear" w:color="auto" w:fill="F7F7F7"/>
            <w:tblLayout w:type="fixed"/>
            <w:tblLook w:val="04A0"/>
          </w:tblPr>
          <w:tblGrid>
            <w:gridCol w:w="10602"/>
          </w:tblGrid>
          <w:tr w:rsidTr="00C40572">
            <w:tblPrEx>
              <w:tblW w:w="10602" w:type="dxa"/>
              <w:tblInd w:w="-702" w:type="dxa"/>
              <w:shd w:val="clear" w:color="auto" w:fill="F7F7F7"/>
              <w:tblLayout w:type="fixed"/>
              <w:tblLook w:val="04A0"/>
            </w:tblPrEx>
            <w:trPr>
              <w:trHeight w:val="117"/>
            </w:trPr>
            <w:tc>
              <w:tcPr>
                <w:tcW w:w="10602" w:type="dxa"/>
                <w:tcBorders>
                  <w:top w:val="nil"/>
                  <w:left w:val="nil"/>
                  <w:bottom w:val="nil"/>
                  <w:right w:val="nil"/>
                </w:tcBorders>
                <w:shd w:val="clear" w:color="auto" w:fill="F7F7F7"/>
                <w:hideMark/>
              </w:tcPr>
              <w:p w:rsidR="003615CB" w:rsidP="00844A42">
                <w:pPr>
                  <w:pStyle w:val="Normal125"/>
                  <w:keepNext/>
                  <w:widowControl/>
                  <w:shd w:val="clear" w:color="auto" w:fill="F7F7F7"/>
                  <w:tabs>
                    <w:tab w:val="left" w:pos="3709"/>
                  </w:tabs>
                  <w:rPr>
                    <w:rStyle w:val="DefaultParagraphFont"/>
                    <w:rFonts w:ascii="Calibri" w:hAnsi="Calibri"/>
                    <w:b/>
                    <w:color w:val="172D5F"/>
                    <w:sz w:val="22"/>
                    <w:szCs w:val="22"/>
                  </w:rPr>
                </w:pPr>
                <w:r>
                  <w:rPr>
                    <w:rStyle w:val="DefaultParagraphFont"/>
                    <w:rFonts w:ascii="Calibri" w:hAnsi="Calibri"/>
                    <w:b/>
                    <w:color w:val="172D5F"/>
                    <w:sz w:val="22"/>
                    <w:szCs w:val="22"/>
                  </w:rPr>
                  <w:t>Proposed Development Objective(s)</w:t>
                </w:r>
              </w:p>
            </w:tc>
          </w:tr>
        </w:tbl>
        <w:p w:rsidR="003615CB" w:rsidRPr="00C40572" w:rsidP="00844A42">
          <w:pPr>
            <w:pStyle w:val="Normal125"/>
            <w:keepNext/>
            <w:widowControl/>
            <w:shd w:val="clear" w:color="auto" w:fill="F7F7F7"/>
            <w:ind w:left="-691" w:right="-518"/>
            <w:rPr>
              <w:rStyle w:val="DefaultParagraphFont"/>
              <w:rFonts w:ascii="Calibri" w:hAnsi="Calibri"/>
              <w:noProof/>
              <w:sz w:val="22"/>
              <w:szCs w:val="22"/>
            </w:rPr>
          </w:pPr>
        </w:p>
        <w:tbl>
          <w:tblPr>
            <w:tblStyle w:val="TableGrid63"/>
            <w:tblW w:w="10602" w:type="dxa"/>
            <w:tblInd w:w="-702" w:type="dxa"/>
            <w:shd w:val="clear" w:color="auto" w:fill="F2F2F2" w:themeFill="background1" w:themeFillShade="F2"/>
            <w:tblLayout w:type="fixed"/>
            <w:tblLook w:val="04A0"/>
          </w:tblPr>
          <w:tblGrid>
            <w:gridCol w:w="10602"/>
          </w:tblGrid>
          <w:tr w:rsidTr="00A35C75">
            <w:tblPrEx>
              <w:tblW w:w="10602" w:type="dxa"/>
              <w:tblInd w:w="-702" w:type="dxa"/>
              <w:shd w:val="clear" w:color="auto" w:fill="F2F2F2" w:themeFill="background1" w:themeFillShade="F2"/>
              <w:tblLayout w:type="fixed"/>
              <w:tblLook w:val="04A0"/>
            </w:tblPrEx>
            <w:trPr>
              <w:trHeight w:val="144"/>
            </w:trPr>
            <w:tc>
              <w:tcPr>
                <w:tcW w:w="10602" w:type="dxa"/>
                <w:tcBorders>
                  <w:top w:val="nil"/>
                  <w:left w:val="nil"/>
                  <w:bottom w:val="nil"/>
                  <w:right w:val="nil"/>
                </w:tcBorders>
                <w:shd w:val="clear" w:color="auto" w:fill="F2F2F2" w:themeFill="background1" w:themeFillShade="F2"/>
                <w:hideMark/>
              </w:tcPr>
              <w:p w:rsidR="003615CB" w:rsidP="00844A42">
                <w:pPr>
                  <w:pStyle w:val="Normal125"/>
                  <w:shd w:val="clear" w:color="auto" w:fill="F7F7F7"/>
                  <w:rPr>
                    <w:rStyle w:val="DefaultParagraphFont"/>
                    <w:rFonts w:ascii="Calibri" w:hAnsi="Calibri"/>
                    <w:bCs/>
                    <w:color w:val="002060"/>
                    <w:sz w:val="22"/>
                    <w:szCs w:val="22"/>
                  </w:rPr>
                </w:pPr>
                <w:r w:rsidRPr="00501672">
                  <w:rPr>
                    <w:rStyle w:val="DefaultParagraphFont"/>
                    <w:rFonts w:ascii="Calibri" w:hAnsi="Calibri"/>
                    <w:noProof/>
                    <w:sz w:val="22"/>
                    <w:szCs w:val="18"/>
                  </w:rPr>
                  <w:t>The objectives of the Project</w:t>
                </w:r>
                <w:r w:rsidRPr="00501672">
                  <w:rPr>
                    <w:rStyle w:val="DefaultParagraphFont"/>
                    <w:rFonts w:ascii="Calibri" w:hAnsi="Calibri"/>
                    <w:noProof/>
                    <w:sz w:val="22"/>
                    <w:szCs w:val="18"/>
                  </w:rPr>
                  <w:t xml:space="preserve"> are to: (a) support the Government of Nigeria towards rehabilitating and improving critical service delivery infrastructure, improve the livelihood opportunities of conflict and displacement-affected communities, and strengthen social cohesion in the North East Participating States of Borno, Yobe and Adamawa; and (b) in the event of an Eligible Crisis or Emergency, to provide immediate and effective response to said Eligible Crisis or Emergency.</w:t>
                </w:r>
                <w:r w:rsidRPr="00501672">
                  <w:rPr>
                    <w:rStyle w:val="DefaultParagraphFont"/>
                    <w:rFonts w:ascii="Calibri" w:hAnsi="Calibri"/>
                    <w:noProof/>
                    <w:sz w:val="26"/>
                    <w:szCs w:val="22"/>
                  </w:rPr>
                  <w:t xml:space="preserve">  </w:t>
                </w:r>
              </w:p>
            </w:tc>
          </w:tr>
        </w:tbl>
        <w:p w:rsidR="003615CB" w:rsidRPr="00C40572" w:rsidP="00C4057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02" w:type="dxa"/>
            <w:tblInd w:w="-702" w:type="dxa"/>
            <w:shd w:val="clear" w:color="auto" w:fill="F7F7F7"/>
            <w:tblLayout w:type="fixed"/>
            <w:tblLook w:val="04A0"/>
          </w:tblPr>
          <w:tblGrid>
            <w:gridCol w:w="10602"/>
          </w:tblGrid>
          <w:tr w:rsidTr="00C40572">
            <w:tblPrEx>
              <w:tblW w:w="10602" w:type="dxa"/>
              <w:tblInd w:w="-702" w:type="dxa"/>
              <w:shd w:val="clear" w:color="auto" w:fill="F7F7F7"/>
              <w:tblLayout w:type="fixed"/>
              <w:tblLook w:val="04A0"/>
            </w:tblPrEx>
            <w:trPr>
              <w:trHeight w:val="117"/>
            </w:trPr>
            <w:tc>
              <w:tcPr>
                <w:tcW w:w="10602" w:type="dxa"/>
                <w:tcBorders>
                  <w:top w:val="nil"/>
                  <w:left w:val="nil"/>
                  <w:bottom w:val="nil"/>
                  <w:right w:val="nil"/>
                </w:tcBorders>
                <w:shd w:val="clear" w:color="auto" w:fill="F7F7F7"/>
                <w:hideMark/>
              </w:tcPr>
              <w:p w:rsidR="003615CB" w:rsidP="00844A42">
                <w:pPr>
                  <w:pStyle w:val="Normal125"/>
                  <w:keepNext/>
                  <w:widowControl/>
                  <w:tabs>
                    <w:tab w:val="left" w:pos="3709"/>
                  </w:tabs>
                  <w:rPr>
                    <w:rStyle w:val="DefaultParagraphFont"/>
                    <w:rFonts w:ascii="Calibri" w:hAnsi="Calibri"/>
                    <w:b/>
                    <w:color w:val="172D5F"/>
                    <w:sz w:val="22"/>
                    <w:szCs w:val="22"/>
                  </w:rPr>
                </w:pPr>
                <w:r>
                  <w:rPr>
                    <w:rStyle w:val="DefaultParagraphFont"/>
                    <w:rFonts w:ascii="Calibri" w:hAnsi="Calibri"/>
                    <w:b/>
                    <w:color w:val="172D5F"/>
                    <w:sz w:val="22"/>
                    <w:szCs w:val="22"/>
                  </w:rPr>
                  <w:t>Components</w:t>
                </w:r>
              </w:p>
            </w:tc>
          </w:tr>
        </w:tbl>
        <w:p w:rsidR="003615CB" w:rsidRPr="00C40572" w:rsidP="00844A42">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8010"/>
            <w:gridCol w:w="2340"/>
            <w:gridCol w:w="270"/>
          </w:tblGrid>
          <w:tr w:rsidTr="000749EA">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144"/>
            </w:trPr>
            <w:tc>
              <w:tcPr>
                <w:tcW w:w="8010" w:type="dxa"/>
                <w:tcBorders>
                  <w:bottom w:val="single" w:sz="12" w:space="0" w:color="D9D9D9" w:themeColor="background1" w:themeShade="D9"/>
                </w:tcBorders>
                <w:shd w:val="clear" w:color="auto" w:fill="F7F7F7"/>
                <w:hideMark/>
              </w:tcPr>
              <w:p w:rsidR="00030989" w:rsidRPr="00501672" w:rsidP="003615CB">
                <w:pPr>
                  <w:pStyle w:val="Normal125"/>
                  <w:rPr>
                    <w:rStyle w:val="DefaultParagraphFont"/>
                    <w:rFonts w:ascii="Calibri" w:hAnsi="Calibri"/>
                    <w:b/>
                    <w:color w:val="767171" w:themeShade="80"/>
                    <w:sz w:val="22"/>
                    <w:szCs w:val="22"/>
                  </w:rPr>
                </w:pPr>
                <w:r w:rsidRPr="00501672">
                  <w:rPr>
                    <w:rStyle w:val="DefaultParagraphFont"/>
                    <w:rFonts w:ascii="Calibri" w:hAnsi="Calibri"/>
                    <w:b/>
                    <w:color w:val="7F7F7F" w:themeTint="80"/>
                    <w:sz w:val="22"/>
                    <w:szCs w:val="22"/>
                  </w:rPr>
                  <w:t>Component Name</w:t>
                </w:r>
                <w:r>
                  <w:rPr>
                    <w:rStyle w:val="DefaultParagraphFont"/>
                    <w:rFonts w:ascii="Calibri" w:hAnsi="Calibri"/>
                    <w:b/>
                    <w:color w:val="7F7F7F" w:themeTint="80"/>
                    <w:sz w:val="22"/>
                    <w:szCs w:val="22"/>
                  </w:rPr>
                  <w:t xml:space="preserve"> </w:t>
                </w:r>
              </w:p>
            </w:tc>
            <w:tc>
              <w:tcPr>
                <w:tcW w:w="2340" w:type="dxa"/>
                <w:tcBorders>
                  <w:bottom w:val="single" w:sz="12" w:space="0" w:color="D9D9D9" w:themeColor="background1" w:themeShade="D9"/>
                </w:tcBorders>
                <w:shd w:val="clear" w:color="auto" w:fill="F7F7F7"/>
              </w:tcPr>
              <w:p w:rsidR="00030989" w:rsidP="003615CB">
                <w:pPr>
                  <w:pStyle w:val="Normal125"/>
                  <w:jc w:val="right"/>
                  <w:rPr>
                    <w:rStyle w:val="DefaultParagraphFont"/>
                    <w:rFonts w:ascii="Calibri" w:hAnsi="Calibri"/>
                    <w:b/>
                    <w:color w:val="767171" w:themeShade="80"/>
                    <w:sz w:val="22"/>
                    <w:szCs w:val="22"/>
                  </w:rPr>
                </w:pPr>
                <w:r w:rsidRPr="00501672">
                  <w:rPr>
                    <w:rStyle w:val="DefaultParagraphFont"/>
                    <w:rFonts w:ascii="Calibri" w:hAnsi="Calibri"/>
                    <w:b/>
                    <w:color w:val="7F7F7F" w:themeTint="80"/>
                    <w:sz w:val="22"/>
                    <w:szCs w:val="22"/>
                  </w:rPr>
                  <w:t>C</w:t>
                </w:r>
                <w:r>
                  <w:rPr>
                    <w:rStyle w:val="DefaultParagraphFont"/>
                    <w:rFonts w:ascii="Calibri" w:hAnsi="Calibri"/>
                    <w:b/>
                    <w:color w:val="7F7F7F" w:themeTint="80"/>
                    <w:sz w:val="22"/>
                    <w:szCs w:val="22"/>
                  </w:rPr>
                  <w:t>ost</w:t>
                </w:r>
                <w:r w:rsidR="00263A6C">
                  <w:rPr>
                    <w:rStyle w:val="DefaultParagraphFont"/>
                    <w:rFonts w:ascii="Calibri" w:hAnsi="Calibri"/>
                    <w:b/>
                    <w:color w:val="7F7F7F" w:themeTint="80"/>
                    <w:sz w:val="22"/>
                    <w:szCs w:val="22"/>
                  </w:rPr>
                  <w:t xml:space="preserve"> (US$</w:t>
                </w:r>
                <w:r w:rsidR="000B53D2">
                  <w:rPr>
                    <w:rStyle w:val="DefaultParagraphFont"/>
                    <w:rFonts w:ascii="Calibri" w:hAnsi="Calibri"/>
                    <w:b/>
                    <w:color w:val="7F7F7F" w:themeTint="80"/>
                    <w:sz w:val="22"/>
                    <w:szCs w:val="22"/>
                  </w:rPr>
                  <w:t>,</w:t>
                </w:r>
                <w:r w:rsidR="00263A6C">
                  <w:rPr>
                    <w:rStyle w:val="DefaultParagraphFont"/>
                    <w:rFonts w:ascii="Calibri" w:hAnsi="Calibri"/>
                    <w:b/>
                    <w:color w:val="7F7F7F" w:themeTint="80"/>
                    <w:sz w:val="22"/>
                    <w:szCs w:val="22"/>
                  </w:rPr>
                  <w:t xml:space="preserve"> m</w:t>
                </w:r>
                <w:r w:rsidRPr="00501672">
                  <w:rPr>
                    <w:rStyle w:val="DefaultParagraphFont"/>
                    <w:rFonts w:ascii="Calibri" w:hAnsi="Calibri"/>
                    <w:b/>
                    <w:color w:val="7F7F7F" w:themeTint="80"/>
                    <w:sz w:val="22"/>
                    <w:szCs w:val="22"/>
                  </w:rPr>
                  <w:t>illion</w:t>
                </w:r>
                <w:r w:rsidR="00263A6C">
                  <w:rPr>
                    <w:rStyle w:val="DefaultParagraphFont"/>
                    <w:rFonts w:ascii="Calibri" w:hAnsi="Calibri"/>
                    <w:b/>
                    <w:color w:val="7F7F7F" w:themeTint="80"/>
                    <w:sz w:val="22"/>
                    <w:szCs w:val="22"/>
                  </w:rPr>
                  <w:t>s</w:t>
                </w:r>
                <w:r w:rsidRPr="00501672">
                  <w:rPr>
                    <w:rStyle w:val="DefaultParagraphFont"/>
                    <w:rFonts w:ascii="Calibri" w:hAnsi="Calibri"/>
                    <w:b/>
                    <w:color w:val="7F7F7F" w:themeTint="80"/>
                    <w:sz w:val="22"/>
                    <w:szCs w:val="22"/>
                  </w:rPr>
                  <w:t>)</w:t>
                </w:r>
              </w:p>
            </w:tc>
            <w:tc>
              <w:tcPr>
                <w:tcW w:w="270" w:type="dxa"/>
                <w:tcBorders>
                  <w:bottom w:val="single" w:sz="12" w:space="0" w:color="D9D9D9" w:themeColor="background1" w:themeShade="D9"/>
                </w:tcBorders>
                <w:shd w:val="clear" w:color="auto" w:fill="F7F7F7"/>
              </w:tcPr>
              <w:p w:rsidR="00030989" w:rsidRPr="00F95B9C" w:rsidP="003615CB">
                <w:pPr>
                  <w:pStyle w:val="Normal125"/>
                  <w:rPr>
                    <w:rStyle w:val="DefaultParagraphFont"/>
                    <w:rFonts w:ascii="Calibri" w:hAnsi="Calibri"/>
                    <w:b/>
                    <w:color w:val="767171" w:themeShade="80"/>
                    <w:sz w:val="8"/>
                    <w:szCs w:val="22"/>
                  </w:rPr>
                </w:pPr>
              </w:p>
            </w:tc>
          </w:tr>
          <w:tr w:rsidTr="000749EA">
            <w:tblPrEx>
              <w:tblW w:w="10620" w:type="dxa"/>
              <w:tblInd w:w="-720" w:type="dxa"/>
              <w:shd w:val="clear" w:color="auto" w:fill="F7F7F7"/>
              <w:tblLayout w:type="fixed"/>
              <w:tblLook w:val="04A0"/>
            </w:tblPrEx>
            <w:trPr>
              <w:trHeight w:val="576"/>
            </w:trPr>
            <w:tc>
              <w:tcPr>
                <w:tcW w:w="801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3615CB">
                <w:pPr>
                  <w:pStyle w:val="Normal125"/>
                  <w:rPr>
                    <w:rStyle w:val="DefaultParagraphFont"/>
                    <w:rFonts w:ascii="Calibri" w:hAnsi="Calibri"/>
                    <w:bCs/>
                    <w:color w:val="7F7F7F" w:themeTint="80"/>
                    <w:sz w:val="22"/>
                    <w:szCs w:val="22"/>
                  </w:rPr>
                </w:pPr>
                <w:r w:rsidRPr="00501672">
                  <w:rPr>
                    <w:rStyle w:val="DefaultParagraphFont"/>
                    <w:rFonts w:ascii="Calibri" w:hAnsi="Calibri"/>
                    <w:noProof/>
                    <w:sz w:val="22"/>
                    <w:szCs w:val="22"/>
                  </w:rPr>
                  <w:t>Strengthening Peace Building</w:t>
                </w:r>
                <w:r w:rsidRPr="00501672">
                  <w:rPr>
                    <w:rStyle w:val="DefaultParagraphFont"/>
                    <w:rFonts w:ascii="Calibri" w:hAnsi="Calibri"/>
                    <w:sz w:val="22"/>
                    <w:szCs w:val="22"/>
                  </w:rPr>
                  <w:t>, Stability and Social Cohesion</w:t>
                </w:r>
                <w:r>
                  <w:rPr>
                    <w:rStyle w:val="DefaultParagraphFont"/>
                    <w:rFonts w:ascii="Calibri" w:hAnsi="Calibri"/>
                    <w:sz w:val="22"/>
                    <w:szCs w:val="22"/>
                  </w:rPr>
                  <w:t xml:space="preserve"> </w:t>
                </w:r>
              </w:p>
            </w:tc>
            <w:tc>
              <w:tcPr>
                <w:tcW w:w="234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710684">
                <w:pPr>
                  <w:pStyle w:val="Normal125"/>
                  <w:jc w:val="right"/>
                  <w:rPr>
                    <w:rStyle w:val="DefaultParagraphFont"/>
                    <w:rFonts w:ascii="Calibri" w:hAnsi="Calibri"/>
                    <w:sz w:val="22"/>
                    <w:szCs w:val="22"/>
                  </w:rPr>
                </w:pPr>
                <w:r w:rsidRPr="00501672">
                  <w:rPr>
                    <w:rStyle w:val="DefaultParagraphFont"/>
                    <w:rFonts w:ascii="Calibri" w:hAnsi="Calibri"/>
                    <w:noProof/>
                    <w:sz w:val="22"/>
                    <w:szCs w:val="22"/>
                  </w:rPr>
                  <w:t xml:space="preserve">  30.00</w:t>
                </w:r>
              </w:p>
            </w:tc>
            <w:tc>
              <w:tcPr>
                <w:tcW w:w="270" w:type="dxa"/>
                <w:tcBorders>
                  <w:top w:val="single" w:sz="12" w:space="0" w:color="D9D9D9" w:themeColor="background1" w:themeShade="D9"/>
                  <w:bottom w:val="single" w:sz="4" w:space="0" w:color="D9D9D9" w:themeColor="background1" w:themeShade="D9"/>
                </w:tcBorders>
                <w:shd w:val="clear" w:color="auto" w:fill="F7F7F7"/>
              </w:tcPr>
              <w:p w:rsidR="00030989" w:rsidRPr="00F95B9C" w:rsidP="003615CB">
                <w:pPr>
                  <w:pStyle w:val="Normal125"/>
                  <w:rPr>
                    <w:rStyle w:val="DefaultParagraphFont"/>
                    <w:rFonts w:ascii="Calibri" w:hAnsi="Calibri"/>
                    <w:sz w:val="8"/>
                    <w:szCs w:val="22"/>
                  </w:rPr>
                </w:pPr>
              </w:p>
            </w:tc>
          </w:tr>
          <w:tr w:rsidTr="000749EA">
            <w:tblPrEx>
              <w:tblW w:w="10620" w:type="dxa"/>
              <w:tblInd w:w="-720" w:type="dxa"/>
              <w:shd w:val="clear" w:color="auto" w:fill="F7F7F7"/>
              <w:tblLayout w:type="fixed"/>
              <w:tblLook w:val="04A0"/>
            </w:tblPrEx>
            <w:trPr>
              <w:trHeight w:val="576"/>
            </w:trPr>
            <w:tc>
              <w:tcPr>
                <w:tcW w:w="801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3615CB">
                <w:pPr>
                  <w:pStyle w:val="Normal125"/>
                  <w:rPr>
                    <w:rStyle w:val="DefaultParagraphFont"/>
                    <w:rFonts w:ascii="Calibri" w:hAnsi="Calibri"/>
                    <w:bCs/>
                    <w:color w:val="7F7F7F" w:themeTint="80"/>
                    <w:sz w:val="22"/>
                    <w:szCs w:val="22"/>
                  </w:rPr>
                </w:pPr>
                <w:r w:rsidRPr="00501672">
                  <w:rPr>
                    <w:rStyle w:val="DefaultParagraphFont"/>
                    <w:rFonts w:ascii="Calibri" w:hAnsi="Calibri"/>
                    <w:noProof/>
                    <w:sz w:val="22"/>
                    <w:szCs w:val="22"/>
                  </w:rPr>
                  <w:t>Infrastructure Rehabilitation and</w:t>
                </w:r>
                <w:r w:rsidRPr="00501672">
                  <w:rPr>
                    <w:rStyle w:val="DefaultParagraphFont"/>
                    <w:rFonts w:ascii="Calibri" w:hAnsi="Calibri"/>
                    <w:sz w:val="22"/>
                    <w:szCs w:val="22"/>
                  </w:rPr>
                  <w:t xml:space="preserve"> Service Delivery Restoration &amp; Improvement</w:t>
                </w:r>
                <w:r>
                  <w:rPr>
                    <w:rStyle w:val="DefaultParagraphFont"/>
                    <w:rFonts w:ascii="Calibri" w:hAnsi="Calibri"/>
                    <w:sz w:val="22"/>
                    <w:szCs w:val="22"/>
                  </w:rPr>
                  <w:t xml:space="preserve"> </w:t>
                </w:r>
              </w:p>
            </w:tc>
            <w:tc>
              <w:tcPr>
                <w:tcW w:w="234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710684">
                <w:pPr>
                  <w:pStyle w:val="Normal125"/>
                  <w:jc w:val="right"/>
                  <w:rPr>
                    <w:rStyle w:val="DefaultParagraphFont"/>
                    <w:rFonts w:ascii="Calibri" w:hAnsi="Calibri"/>
                    <w:sz w:val="22"/>
                    <w:szCs w:val="22"/>
                  </w:rPr>
                </w:pPr>
                <w:r w:rsidRPr="00501672">
                  <w:rPr>
                    <w:rStyle w:val="DefaultParagraphFont"/>
                    <w:rFonts w:ascii="Calibri" w:hAnsi="Calibri"/>
                    <w:noProof/>
                    <w:sz w:val="22"/>
                    <w:szCs w:val="22"/>
                  </w:rPr>
                  <w:t xml:space="preserve"> 150.00</w:t>
                </w:r>
              </w:p>
            </w:tc>
            <w:tc>
              <w:tcPr>
                <w:tcW w:w="270" w:type="dxa"/>
                <w:tcBorders>
                  <w:top w:val="single" w:sz="12" w:space="0" w:color="D9D9D9" w:themeColor="background1" w:themeShade="D9"/>
                  <w:bottom w:val="single" w:sz="4" w:space="0" w:color="D9D9D9" w:themeColor="background1" w:themeShade="D9"/>
                </w:tcBorders>
                <w:shd w:val="clear" w:color="auto" w:fill="F7F7F7"/>
              </w:tcPr>
              <w:p w:rsidR="00030989" w:rsidRPr="00F95B9C" w:rsidP="003615CB">
                <w:pPr>
                  <w:pStyle w:val="Normal125"/>
                  <w:rPr>
                    <w:rStyle w:val="DefaultParagraphFont"/>
                    <w:rFonts w:ascii="Calibri" w:hAnsi="Calibri"/>
                    <w:sz w:val="8"/>
                    <w:szCs w:val="22"/>
                  </w:rPr>
                </w:pPr>
              </w:p>
            </w:tc>
          </w:tr>
          <w:tr w:rsidTr="000749EA">
            <w:tblPrEx>
              <w:tblW w:w="10620" w:type="dxa"/>
              <w:tblInd w:w="-720" w:type="dxa"/>
              <w:shd w:val="clear" w:color="auto" w:fill="F7F7F7"/>
              <w:tblLayout w:type="fixed"/>
              <w:tblLook w:val="04A0"/>
            </w:tblPrEx>
            <w:trPr>
              <w:trHeight w:val="576"/>
            </w:trPr>
            <w:tc>
              <w:tcPr>
                <w:tcW w:w="801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3615CB">
                <w:pPr>
                  <w:pStyle w:val="Normal125"/>
                  <w:rPr>
                    <w:rStyle w:val="DefaultParagraphFont"/>
                    <w:rFonts w:ascii="Calibri" w:hAnsi="Calibri"/>
                    <w:bCs/>
                    <w:color w:val="7F7F7F" w:themeTint="80"/>
                    <w:sz w:val="22"/>
                    <w:szCs w:val="22"/>
                  </w:rPr>
                </w:pPr>
                <w:r w:rsidRPr="00501672">
                  <w:rPr>
                    <w:rStyle w:val="DefaultParagraphFont"/>
                    <w:rFonts w:ascii="Calibri" w:hAnsi="Calibri"/>
                    <w:noProof/>
                    <w:sz w:val="22"/>
                    <w:szCs w:val="22"/>
                  </w:rPr>
                  <w:t>Technical Assistance and</w:t>
                </w:r>
                <w:r w:rsidRPr="00501672">
                  <w:rPr>
                    <w:rStyle w:val="DefaultParagraphFont"/>
                    <w:rFonts w:ascii="Calibri" w:hAnsi="Calibri"/>
                    <w:sz w:val="22"/>
                    <w:szCs w:val="22"/>
                  </w:rPr>
                  <w:t xml:space="preserve"> Project Management Support</w:t>
                </w:r>
                <w:r>
                  <w:rPr>
                    <w:rStyle w:val="DefaultParagraphFont"/>
                    <w:rFonts w:ascii="Calibri" w:hAnsi="Calibri"/>
                    <w:sz w:val="22"/>
                    <w:szCs w:val="22"/>
                  </w:rPr>
                  <w:t xml:space="preserve"> </w:t>
                </w:r>
              </w:p>
            </w:tc>
            <w:tc>
              <w:tcPr>
                <w:tcW w:w="234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710684">
                <w:pPr>
                  <w:pStyle w:val="Normal125"/>
                  <w:jc w:val="right"/>
                  <w:rPr>
                    <w:rStyle w:val="DefaultParagraphFont"/>
                    <w:rFonts w:ascii="Calibri" w:hAnsi="Calibri"/>
                    <w:sz w:val="22"/>
                    <w:szCs w:val="22"/>
                  </w:rPr>
                </w:pPr>
                <w:r w:rsidRPr="00501672">
                  <w:rPr>
                    <w:rStyle w:val="DefaultParagraphFont"/>
                    <w:rFonts w:ascii="Calibri" w:hAnsi="Calibri"/>
                    <w:noProof/>
                    <w:sz w:val="22"/>
                    <w:szCs w:val="22"/>
                  </w:rPr>
                  <w:t xml:space="preserve">  20.00</w:t>
                </w:r>
              </w:p>
            </w:tc>
            <w:tc>
              <w:tcPr>
                <w:tcW w:w="270" w:type="dxa"/>
                <w:tcBorders>
                  <w:top w:val="single" w:sz="12" w:space="0" w:color="D9D9D9" w:themeColor="background1" w:themeShade="D9"/>
                  <w:bottom w:val="single" w:sz="4" w:space="0" w:color="D9D9D9" w:themeColor="background1" w:themeShade="D9"/>
                </w:tcBorders>
                <w:shd w:val="clear" w:color="auto" w:fill="F7F7F7"/>
              </w:tcPr>
              <w:p w:rsidR="00030989" w:rsidRPr="00F95B9C" w:rsidP="003615CB">
                <w:pPr>
                  <w:pStyle w:val="Normal125"/>
                  <w:rPr>
                    <w:rStyle w:val="DefaultParagraphFont"/>
                    <w:rFonts w:ascii="Calibri" w:hAnsi="Calibri"/>
                    <w:sz w:val="8"/>
                    <w:szCs w:val="22"/>
                  </w:rPr>
                </w:pPr>
              </w:p>
            </w:tc>
          </w:tr>
          <w:tr w:rsidTr="000749EA">
            <w:tblPrEx>
              <w:tblW w:w="10620" w:type="dxa"/>
              <w:tblInd w:w="-720" w:type="dxa"/>
              <w:shd w:val="clear" w:color="auto" w:fill="F7F7F7"/>
              <w:tblLayout w:type="fixed"/>
              <w:tblLook w:val="04A0"/>
            </w:tblPrEx>
            <w:trPr>
              <w:trHeight w:val="576"/>
            </w:trPr>
            <w:tc>
              <w:tcPr>
                <w:tcW w:w="801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3615CB">
                <w:pPr>
                  <w:pStyle w:val="Normal125"/>
                  <w:rPr>
                    <w:rStyle w:val="DefaultParagraphFont"/>
                    <w:rFonts w:ascii="Calibri" w:hAnsi="Calibri"/>
                    <w:bCs/>
                    <w:color w:val="7F7F7F" w:themeTint="80"/>
                    <w:sz w:val="22"/>
                    <w:szCs w:val="22"/>
                  </w:rPr>
                </w:pPr>
                <w:r w:rsidRPr="00501672">
                  <w:rPr>
                    <w:rStyle w:val="DefaultParagraphFont"/>
                    <w:rFonts w:ascii="Calibri" w:hAnsi="Calibri"/>
                    <w:noProof/>
                    <w:sz w:val="22"/>
                    <w:szCs w:val="22"/>
                  </w:rPr>
                  <w:t>Contingent Emergency Response</w:t>
                </w:r>
                <w:r>
                  <w:rPr>
                    <w:rStyle w:val="DefaultParagraphFont"/>
                    <w:rFonts w:ascii="Calibri" w:hAnsi="Calibri"/>
                    <w:sz w:val="22"/>
                    <w:szCs w:val="22"/>
                  </w:rPr>
                  <w:t xml:space="preserve"> </w:t>
                </w:r>
              </w:p>
            </w:tc>
            <w:tc>
              <w:tcPr>
                <w:tcW w:w="2340" w:type="dxa"/>
                <w:tcBorders>
                  <w:top w:val="single" w:sz="12" w:space="0" w:color="D9D9D9" w:themeColor="background1" w:themeShade="D9"/>
                  <w:bottom w:val="single" w:sz="4" w:space="0" w:color="D9D9D9" w:themeColor="background1" w:themeShade="D9"/>
                </w:tcBorders>
                <w:shd w:val="clear" w:color="auto" w:fill="F7F7F7"/>
                <w:vAlign w:val="center"/>
              </w:tcPr>
              <w:p w:rsidR="00030989" w:rsidRPr="00501672" w:rsidP="00710684">
                <w:pPr>
                  <w:pStyle w:val="Normal125"/>
                  <w:jc w:val="right"/>
                  <w:rPr>
                    <w:rStyle w:val="DefaultParagraphFont"/>
                    <w:rFonts w:ascii="Calibri" w:hAnsi="Calibri"/>
                    <w:sz w:val="22"/>
                    <w:szCs w:val="22"/>
                  </w:rPr>
                </w:pPr>
                <w:r w:rsidRPr="00501672">
                  <w:rPr>
                    <w:rStyle w:val="DefaultParagraphFont"/>
                    <w:rFonts w:ascii="Calibri" w:hAnsi="Calibri"/>
                    <w:noProof/>
                    <w:sz w:val="22"/>
                    <w:szCs w:val="22"/>
                  </w:rPr>
                  <w:t xml:space="preserve">   0.00</w:t>
                </w:r>
              </w:p>
            </w:tc>
            <w:tc>
              <w:tcPr>
                <w:tcW w:w="270" w:type="dxa"/>
                <w:tcBorders>
                  <w:top w:val="single" w:sz="12" w:space="0" w:color="D9D9D9" w:themeColor="background1" w:themeShade="D9"/>
                  <w:bottom w:val="single" w:sz="4" w:space="0" w:color="D9D9D9" w:themeColor="background1" w:themeShade="D9"/>
                </w:tcBorders>
                <w:shd w:val="clear" w:color="auto" w:fill="F7F7F7"/>
              </w:tcPr>
              <w:p w:rsidR="00030989" w:rsidRPr="00F95B9C" w:rsidP="003615CB">
                <w:pPr>
                  <w:pStyle w:val="Normal125"/>
                  <w:rPr>
                    <w:rStyle w:val="DefaultParagraphFont"/>
                    <w:rFonts w:ascii="Calibri" w:hAnsi="Calibri"/>
                    <w:sz w:val="8"/>
                    <w:szCs w:val="22"/>
                  </w:rPr>
                </w:pPr>
              </w:p>
            </w:tc>
          </w:tr>
        </w:tbl>
        <w:p w:rsidR="003615CB" w:rsidRPr="00E14432"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02" w:type="dxa"/>
            <w:tblInd w:w="-702" w:type="dxa"/>
            <w:shd w:val="clear" w:color="auto" w:fill="F7F7F7"/>
            <w:tblLayout w:type="fixed"/>
            <w:tblLook w:val="04A0"/>
          </w:tblPr>
          <w:tblGrid>
            <w:gridCol w:w="10602"/>
          </w:tblGrid>
          <w:tr w:rsidTr="00844A42">
            <w:tblPrEx>
              <w:tblW w:w="10602" w:type="dxa"/>
              <w:tblInd w:w="-702" w:type="dxa"/>
              <w:shd w:val="clear" w:color="auto" w:fill="F7F7F7"/>
              <w:tblLayout w:type="fixed"/>
              <w:tblLook w:val="04A0"/>
            </w:tblPrEx>
            <w:trPr>
              <w:trHeight w:val="243"/>
            </w:trPr>
            <w:tc>
              <w:tcPr>
                <w:tcW w:w="10602" w:type="dxa"/>
                <w:tcBorders>
                  <w:top w:val="nil"/>
                  <w:left w:val="nil"/>
                  <w:bottom w:val="nil"/>
                  <w:right w:val="nil"/>
                </w:tcBorders>
                <w:shd w:val="clear" w:color="auto" w:fill="F7F7F7"/>
                <w:hideMark/>
              </w:tcPr>
              <w:p w:rsidR="003615CB" w:rsidP="00844A42">
                <w:pPr>
                  <w:pStyle w:val="Normal125"/>
                  <w:keepNext/>
                  <w:widowControl/>
                  <w:tabs>
                    <w:tab w:val="left" w:pos="3709"/>
                  </w:tabs>
                  <w:rPr>
                    <w:rStyle w:val="DefaultParagraphFont"/>
                    <w:rFonts w:ascii="Calibri" w:hAnsi="Calibri"/>
                    <w:b/>
                    <w:color w:val="172D5F"/>
                    <w:sz w:val="22"/>
                    <w:szCs w:val="22"/>
                  </w:rPr>
                </w:pPr>
                <w:r>
                  <w:rPr>
                    <w:rStyle w:val="DefaultParagraphFont"/>
                    <w:rFonts w:ascii="Calibri" w:hAnsi="Calibri"/>
                    <w:b/>
                    <w:color w:val="172D5F"/>
                    <w:sz w:val="22"/>
                    <w:szCs w:val="22"/>
                  </w:rPr>
                  <w:t>Organizations</w:t>
                </w:r>
              </w:p>
            </w:tc>
          </w:tr>
        </w:tbl>
        <w:p w:rsidR="003615CB" w:rsidRPr="00E14432" w:rsidP="00844A42">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2700"/>
            <w:gridCol w:w="7902"/>
          </w:tblGrid>
          <w:tr w:rsidTr="00E14432">
            <w:tblPrEx>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495"/>
            </w:trPr>
            <w:tc>
              <w:tcPr>
                <w:tcW w:w="2700" w:type="dxa"/>
                <w:shd w:val="clear" w:color="auto" w:fill="F7F7F7"/>
                <w:hideMark/>
              </w:tcPr>
              <w:p w:rsidR="003615CB" w:rsidRPr="00263960" w:rsidP="003615CB">
                <w:pPr>
                  <w:pStyle w:val="Normal125"/>
                  <w:rPr>
                    <w:rStyle w:val="DefaultParagraphFont"/>
                    <w:rFonts w:ascii="Calibri" w:hAnsi="Calibri"/>
                    <w:color w:val="767171" w:themeShade="80"/>
                    <w:sz w:val="22"/>
                    <w:szCs w:val="22"/>
                  </w:rPr>
                </w:pPr>
                <w:r w:rsidRPr="003E4FFD">
                  <w:rPr>
                    <w:rStyle w:val="DefaultParagraphFont"/>
                    <w:rFonts w:ascii="Calibri" w:hAnsi="Calibri"/>
                    <w:color w:val="767171" w:themeShade="80"/>
                    <w:sz w:val="22"/>
                    <w:szCs w:val="22"/>
                  </w:rPr>
                  <w:t>Borrower</w:t>
                </w:r>
                <w:r>
                  <w:rPr>
                    <w:rStyle w:val="DefaultParagraphFont"/>
                    <w:rFonts w:ascii="Calibri" w:hAnsi="Calibri"/>
                    <w:color w:val="767171" w:themeShade="80"/>
                    <w:sz w:val="22"/>
                    <w:szCs w:val="22"/>
                  </w:rPr>
                  <w:t xml:space="preserve"> :</w:t>
                </w:r>
                <w:r>
                  <w:rPr>
                    <w:rStyle w:val="DefaultParagraphFont"/>
                    <w:rFonts w:ascii="Calibri" w:hAnsi="Calibri"/>
                    <w:color w:val="767171" w:themeShade="80"/>
                    <w:sz w:val="22"/>
                    <w:szCs w:val="22"/>
                  </w:rPr>
                  <w:t xml:space="preserve"> </w:t>
                </w:r>
              </w:p>
            </w:tc>
            <w:tc>
              <w:tcPr>
                <w:tcW w:w="7902" w:type="dxa"/>
                <w:shd w:val="clear" w:color="auto" w:fill="F7F7F7"/>
              </w:tcPr>
              <w:p w:rsidR="003615CB" w:rsidRPr="00501672" w:rsidP="003615CB">
                <w:pPr>
                  <w:pStyle w:val="Normal125"/>
                  <w:spacing w:line="14" w:lineRule="exact"/>
                  <w:rPr>
                    <w:rStyle w:val="DefaultParagraphFont"/>
                    <w:rFonts w:ascii="Calibri" w:hAnsi="Calibri"/>
                    <w:color w:val="7F7F7F" w:themeTint="80"/>
                    <w:sz w:val="22"/>
                    <w:szCs w:val="22"/>
                  </w:rPr>
                </w:pPr>
              </w:p>
              <w:p w:rsidR="003615CB" w:rsidRPr="00501672" w:rsidP="003615CB">
                <w:pPr>
                  <w:pStyle w:val="Normal125"/>
                  <w:rPr>
                    <w:rStyle w:val="DefaultParagraphFont"/>
                    <w:rFonts w:ascii="Calibri" w:hAnsi="Calibri"/>
                    <w:color w:val="767171" w:themeShade="80"/>
                    <w:sz w:val="22"/>
                    <w:szCs w:val="22"/>
                  </w:rPr>
                </w:pPr>
                <w:r w:rsidRPr="00501672">
                  <w:rPr>
                    <w:rStyle w:val="DefaultParagraphFont"/>
                    <w:rFonts w:ascii="Calibri" w:hAnsi="Calibri"/>
                    <w:noProof/>
                    <w:color w:val="7F7F7F" w:themeTint="80"/>
                    <w:sz w:val="22"/>
                    <w:szCs w:val="22"/>
                  </w:rPr>
                  <w:t>Federal Ministry of</w:t>
                </w:r>
                <w:r w:rsidRPr="00501672">
                  <w:rPr>
                    <w:rStyle w:val="DefaultParagraphFont"/>
                    <w:rFonts w:ascii="Calibri" w:hAnsi="Calibri"/>
                    <w:color w:val="7F7F7F" w:themeTint="80"/>
                    <w:sz w:val="22"/>
                    <w:szCs w:val="22"/>
                  </w:rPr>
                  <w:t xml:space="preserve"> Finance</w:t>
                </w:r>
              </w:p>
              <w:p w:rsidR="003615CB" w:rsidRPr="00501672" w:rsidP="003615CB">
                <w:pPr>
                  <w:pStyle w:val="Normal125"/>
                  <w:spacing w:line="40" w:lineRule="exact"/>
                  <w:rPr>
                    <w:rStyle w:val="DefaultParagraphFont"/>
                    <w:rFonts w:ascii="Calibri" w:hAnsi="Calibri"/>
                    <w:color w:val="767171" w:themeShade="80"/>
                    <w:sz w:val="22"/>
                    <w:szCs w:val="22"/>
                  </w:rPr>
                </w:pPr>
              </w:p>
            </w:tc>
          </w:tr>
          <w:tr w:rsidTr="00E14432">
            <w:tblPrEx>
              <w:tblW w:w="10602" w:type="dxa"/>
              <w:tblInd w:w="-702" w:type="dxa"/>
              <w:shd w:val="clear" w:color="auto" w:fill="F7F7F7"/>
              <w:tblLayout w:type="fixed"/>
              <w:tblLook w:val="04A0"/>
            </w:tblPrEx>
            <w:trPr>
              <w:trHeight w:val="576"/>
            </w:trPr>
            <w:tc>
              <w:tcPr>
                <w:tcW w:w="2700" w:type="dxa"/>
                <w:shd w:val="clear" w:color="auto" w:fill="F7F7F7"/>
              </w:tcPr>
              <w:p w:rsidR="003615CB" w:rsidRPr="00263960" w:rsidP="009876CC">
                <w:pPr>
                  <w:pStyle w:val="Normal125"/>
                  <w:rPr>
                    <w:rStyle w:val="DefaultParagraphFont"/>
                    <w:rFonts w:ascii="Calibri" w:hAnsi="Calibri"/>
                    <w:bCs/>
                    <w:color w:val="7F7F7F" w:themeTint="80"/>
                    <w:sz w:val="22"/>
                    <w:szCs w:val="22"/>
                  </w:rPr>
                </w:pPr>
                <w:r w:rsidRPr="003E4FFD">
                  <w:rPr>
                    <w:rStyle w:val="DefaultParagraphFont"/>
                    <w:rFonts w:ascii="Calibri" w:hAnsi="Calibri"/>
                    <w:color w:val="767171" w:themeShade="80"/>
                    <w:sz w:val="22"/>
                    <w:szCs w:val="22"/>
                  </w:rPr>
                  <w:t xml:space="preserve">Implementing </w:t>
                </w:r>
                <w:r w:rsidRPr="003E4FFD">
                  <w:rPr>
                    <w:rStyle w:val="DefaultParagraphFont"/>
                    <w:rFonts w:ascii="Calibri" w:hAnsi="Calibri"/>
                    <w:color w:val="767171" w:themeShade="80"/>
                    <w:sz w:val="22"/>
                    <w:szCs w:val="22"/>
                  </w:rPr>
                  <w:t>Agency</w:t>
                </w:r>
                <w:r>
                  <w:rPr>
                    <w:rStyle w:val="DefaultParagraphFont"/>
                    <w:rFonts w:ascii="Calibri" w:hAnsi="Calibri"/>
                    <w:color w:val="767171" w:themeShade="80"/>
                    <w:sz w:val="22"/>
                    <w:szCs w:val="22"/>
                  </w:rPr>
                  <w:t xml:space="preserve"> :</w:t>
                </w:r>
              </w:p>
            </w:tc>
            <w:tc>
              <w:tcPr>
                <w:tcW w:w="7902" w:type="dxa"/>
                <w:shd w:val="clear" w:color="auto" w:fill="F7F7F7"/>
              </w:tcPr>
              <w:p w:rsidR="003615CB" w:rsidRPr="00501672" w:rsidP="00645125">
                <w:pPr>
                  <w:pStyle w:val="Normal125"/>
                  <w:spacing w:line="14" w:lineRule="exact"/>
                  <w:rPr>
                    <w:rStyle w:val="DefaultParagraphFont"/>
                    <w:rFonts w:ascii="Calibri" w:hAnsi="Calibri"/>
                    <w:color w:val="7F7F7F" w:themeTint="80"/>
                    <w:sz w:val="22"/>
                    <w:szCs w:val="22"/>
                  </w:rPr>
                </w:pPr>
              </w:p>
              <w:p w:rsidR="003615CB" w:rsidRPr="00501672" w:rsidP="009876CC">
                <w:pPr>
                  <w:pStyle w:val="Normal125"/>
                  <w:rPr>
                    <w:rStyle w:val="DefaultParagraphFont"/>
                    <w:rFonts w:ascii="Calibri" w:hAnsi="Calibri"/>
                    <w:color w:val="767171" w:themeShade="80"/>
                    <w:sz w:val="22"/>
                    <w:szCs w:val="22"/>
                  </w:rPr>
                </w:pPr>
                <w:r w:rsidRPr="00501672">
                  <w:rPr>
                    <w:rStyle w:val="DefaultParagraphFont"/>
                    <w:rFonts w:ascii="Calibri" w:hAnsi="Calibri"/>
                    <w:noProof/>
                    <w:color w:val="7F7F7F" w:themeTint="80"/>
                    <w:sz w:val="22"/>
                    <w:szCs w:val="22"/>
                  </w:rPr>
                  <w:t>State Governments of</w:t>
                </w:r>
                <w:r w:rsidRPr="00501672">
                  <w:rPr>
                    <w:rStyle w:val="DefaultParagraphFont"/>
                    <w:rFonts w:ascii="Calibri" w:hAnsi="Calibri"/>
                    <w:color w:val="7F7F7F" w:themeTint="80"/>
                    <w:sz w:val="22"/>
                    <w:szCs w:val="22"/>
                  </w:rPr>
                  <w:t xml:space="preserve"> Borno, Adamawa and Yobe</w:t>
                </w:r>
              </w:p>
              <w:p w:rsidR="003615CB" w:rsidRPr="00501672" w:rsidP="00645125">
                <w:pPr>
                  <w:pStyle w:val="Normal125"/>
                  <w:spacing w:line="14" w:lineRule="exact"/>
                  <w:rPr>
                    <w:rStyle w:val="DefaultParagraphFont"/>
                    <w:rFonts w:ascii="Calibri" w:hAnsi="Calibri"/>
                    <w:noProof/>
                    <w:sz w:val="22"/>
                    <w:szCs w:val="22"/>
                  </w:rPr>
                </w:pPr>
              </w:p>
            </w:tc>
          </w:tr>
        </w:tbl>
        <w:p w:rsidR="0095268C" w:rsidRPr="00E14432" w:rsidP="009876CC">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shd w:val="clear" w:color="auto" w:fill="F7F7F7"/>
            <w:tblLayout w:type="fixed"/>
            <w:tblLook w:val="04A0"/>
          </w:tblPr>
          <w:tblGrid>
            <w:gridCol w:w="18"/>
            <w:gridCol w:w="10602"/>
          </w:tblGrid>
          <w:tr w:rsidTr="001C6889">
            <w:tblPrEx>
              <w:tblW w:w="10620" w:type="dxa"/>
              <w:tblInd w:w="-720" w:type="dxa"/>
              <w:shd w:val="clear" w:color="auto" w:fill="F7F7F7"/>
              <w:tblLayout w:type="fixed"/>
              <w:tblLook w:val="04A0"/>
            </w:tblPrEx>
            <w:trPr>
              <w:gridBefore w:val="1"/>
              <w:wBefore w:w="18" w:type="dxa"/>
              <w:trHeight w:val="80"/>
            </w:trPr>
            <w:tc>
              <w:tcPr>
                <w:tcW w:w="10602" w:type="dxa"/>
                <w:tcBorders>
                  <w:top w:val="nil"/>
                  <w:left w:val="nil"/>
                  <w:bottom w:val="nil"/>
                  <w:right w:val="nil"/>
                </w:tcBorders>
                <w:shd w:val="clear" w:color="auto" w:fill="F7F7F7"/>
                <w:hideMark/>
              </w:tcPr>
              <w:p w:rsidR="003615CB" w:rsidP="001C6889">
                <w:pPr>
                  <w:pStyle w:val="Normal125"/>
                  <w:keepNext/>
                  <w:tabs>
                    <w:tab w:val="left" w:pos="3709"/>
                  </w:tabs>
                  <w:rPr>
                    <w:rStyle w:val="DefaultParagraphFont"/>
                    <w:rFonts w:ascii="Calibri" w:hAnsi="Calibri"/>
                    <w:b/>
                    <w:color w:val="172D5F"/>
                    <w:sz w:val="22"/>
                    <w:szCs w:val="22"/>
                  </w:rPr>
                </w:pPr>
                <w:r w:rsidRPr="00692E93">
                  <w:rPr>
                    <w:rStyle w:val="DefaultParagraphFont"/>
                    <w:rFonts w:ascii="Calibri" w:hAnsi="Calibri"/>
                    <w:b/>
                    <w:color w:val="172D5F"/>
                    <w:sz w:val="22"/>
                    <w:szCs w:val="22"/>
                  </w:rPr>
                  <w:t>Safeguards Deferral</w:t>
                </w:r>
                <w:r w:rsidR="001C6889">
                  <w:rPr>
                    <w:rStyle w:val="DefaultParagraphFont"/>
                    <w:rFonts w:ascii="Calibri" w:hAnsi="Calibri"/>
                    <w:b/>
                    <w:color w:val="172D5F"/>
                    <w:sz w:val="22"/>
                    <w:szCs w:val="22"/>
                  </w:rPr>
                  <w:t xml:space="preserve"> </w:t>
                </w:r>
                <w:r w:rsidRPr="001C6889" w:rsidR="001C6889">
                  <w:rPr>
                    <w:rStyle w:val="DefaultParagraphFont"/>
                    <w:rFonts w:ascii="Calibri" w:hAnsi="Calibri"/>
                    <w:b/>
                    <w:color w:val="F7F7F7"/>
                    <w:sz w:val="22"/>
                    <w:szCs w:val="22"/>
                  </w:rPr>
                  <w:t>OPSTABLE</w:t>
                </w:r>
              </w:p>
            </w:tc>
          </w:tr>
          <w:tr w:rsidTr="001C6889">
            <w:tblPrEx>
              <w:tblW w:w="10620" w:type="dxa"/>
              <w:tblInd w:w="-720" w:type="dxa"/>
              <w:shd w:val="clear" w:color="auto" w:fill="F7F7F7"/>
              <w:tblLayout w:type="fixed"/>
              <w:tblLook w:val="04A0"/>
            </w:tblPrEx>
            <w:trPr>
              <w:gridBefore w:val="1"/>
              <w:wBefore w:w="18" w:type="dxa"/>
              <w:trHeight w:val="80"/>
            </w:trPr>
            <w:tc>
              <w:tcPr>
                <w:tcW w:w="10602" w:type="dxa"/>
                <w:tcBorders>
                  <w:top w:val="nil"/>
                  <w:left w:val="nil"/>
                  <w:bottom w:val="nil"/>
                  <w:right w:val="nil"/>
                </w:tcBorders>
                <w:shd w:val="clear" w:color="auto" w:fill="F7F7F7"/>
              </w:tcPr>
              <w:p w:rsidR="001C6889" w:rsidRPr="00692E93" w:rsidP="009876CC">
                <w:pPr>
                  <w:pStyle w:val="Normal125"/>
                  <w:keepNext/>
                  <w:tabs>
                    <w:tab w:val="left" w:pos="3709"/>
                  </w:tabs>
                  <w:rPr>
                    <w:rStyle w:val="DefaultParagraphFont"/>
                    <w:rFonts w:ascii="Calibri" w:hAnsi="Calibri"/>
                    <w:b/>
                    <w:color w:val="172D5F"/>
                    <w:sz w:val="22"/>
                    <w:szCs w:val="22"/>
                  </w:rPr>
                </w:pPr>
              </w:p>
            </w:tc>
          </w:tr>
          <w:tr w:rsidTr="001C6889">
            <w:tblPrEx>
              <w:tblW w:w="10620" w:type="dxa"/>
              <w:tblInd w:w="-720" w:type="dxa"/>
              <w:shd w:val="clear" w:color="auto" w:fill="F7F7F7"/>
              <w:tblLayout w:type="fixed"/>
              <w:tblLook w:val="04A0"/>
            </w:tblPrEx>
            <w:trPr>
              <w:gridBefore w:val="1"/>
              <w:wBefore w:w="18" w:type="dxa"/>
              <w:trHeight w:val="144"/>
            </w:trPr>
            <w:tc>
              <w:tcPr>
                <w:tcW w:w="10602" w:type="dxa"/>
                <w:tcBorders>
                  <w:top w:val="nil"/>
                  <w:left w:val="nil"/>
                  <w:bottom w:val="nil"/>
                  <w:right w:val="nil"/>
                </w:tcBorders>
                <w:shd w:val="clear" w:color="auto" w:fill="F7F7F7"/>
                <w:hideMark/>
              </w:tcPr>
              <w:p w:rsidR="003615CB" w:rsidRPr="007D4E7E" w:rsidP="009876CC">
                <w:pPr>
                  <w:pStyle w:val="Normal125"/>
                  <w:keepNext/>
                  <w:rPr>
                    <w:rStyle w:val="DefaultParagraphFont"/>
                    <w:rFonts w:ascii="Calibri" w:hAnsi="Calibri"/>
                    <w:color w:val="767171" w:themeShade="80"/>
                    <w:sz w:val="22"/>
                    <w:szCs w:val="22"/>
                  </w:rPr>
                </w:pPr>
                <w:r w:rsidRPr="007D4E7E">
                  <w:rPr>
                    <w:rStyle w:val="DefaultParagraphFont"/>
                    <w:rFonts w:ascii="Calibri" w:hAnsi="Calibri"/>
                    <w:color w:val="7F7F7F" w:themeTint="80"/>
                    <w:sz w:val="22"/>
                    <w:szCs w:val="22"/>
                  </w:rPr>
                  <w:t>Will the review of safeguards be deferred?</w:t>
                </w:r>
              </w:p>
            </w:tc>
          </w:tr>
          <w:tr w:rsidTr="001C6889">
            <w:tblPrEx>
              <w:tblW w:w="10620" w:type="dxa"/>
              <w:tblInd w:w="-720" w:type="dxa"/>
              <w:shd w:val="clear" w:color="auto" w:fill="F7F7F7"/>
              <w:tblLayout w:type="fixed"/>
              <w:tblLook w:val="04A0"/>
            </w:tblPrEx>
            <w:trPr>
              <w:gridBefore w:val="1"/>
              <w:wBefore w:w="18" w:type="dxa"/>
              <w:trHeight w:val="432"/>
            </w:trPr>
            <w:tc>
              <w:tcPr>
                <w:tcW w:w="10602" w:type="dxa"/>
                <w:tcBorders>
                  <w:top w:val="nil"/>
                  <w:left w:val="nil"/>
                  <w:bottom w:val="nil"/>
                  <w:right w:val="nil"/>
                </w:tcBorders>
                <w:shd w:val="clear" w:color="auto" w:fill="F7F7F7"/>
                <w:vAlign w:val="center"/>
              </w:tcPr>
              <w:p w:rsidR="003615CB" w:rsidRPr="007D4E7E" w:rsidP="009876CC">
                <w:pPr>
                  <w:pStyle w:val="Normal125"/>
                  <w:rPr>
                    <w:rStyle w:val="DefaultParagraphFont"/>
                    <w:rFonts w:ascii="Calibri" w:hAnsi="Calibri"/>
                    <w:color w:val="7F7F7F" w:themeTint="80"/>
                    <w:sz w:val="22"/>
                    <w:szCs w:val="22"/>
                  </w:rPr>
                </w:pPr>
                <w:r w:rsidRPr="007D4E7E">
                  <w:rPr>
                    <w:rStyle w:val="DefaultParagraphFont"/>
                    <w:rFonts w:ascii="Calibri" w:hAnsi="Calibri"/>
                    <w:color w:val="000000"/>
                    <w:sz w:val="22"/>
                    <w:szCs w:val="22"/>
                  </w:rPr>
                  <w:t>[</w:t>
                </w:r>
                <w:r w:rsidRPr="007D4E7E">
                  <w:rPr>
                    <w:rStyle w:val="DefaultParagraphFont"/>
                    <w:rFonts w:ascii="Calibri" w:hAnsi="Calibri"/>
                    <w:sz w:val="22"/>
                    <w:szCs w:val="22"/>
                  </w:rPr>
                  <w:fldChar w:fldCharType="begin"/>
                </w:r>
                <w:r w:rsidRPr="007D4E7E">
                  <w:rPr>
                    <w:rStyle w:val="DefaultParagraphFont"/>
                    <w:rFonts w:ascii="Calibri" w:hAnsi="Calibri"/>
                    <w:sz w:val="22"/>
                    <w:szCs w:val="22"/>
                  </w:rPr>
                  <w:instrText xml:space="preserve"> IF </w:instrText>
                </w:r>
                <w:r w:rsidRPr="007D4E7E">
                  <w:rPr>
                    <w:rStyle w:val="DefaultParagraphFont"/>
                    <w:rFonts w:ascii="Calibri" w:hAnsi="Calibri"/>
                    <w:noProof/>
                    <w:sz w:val="22"/>
                    <w:szCs w:val="22"/>
                  </w:rPr>
                  <w:instrText>Y</w:instrText>
                </w:r>
                <w:r w:rsidRPr="007D4E7E">
                  <w:rPr>
                    <w:rStyle w:val="DefaultParagraphFont"/>
                    <w:rFonts w:ascii="Calibri" w:hAnsi="Calibri"/>
                    <w:sz w:val="22"/>
                    <w:szCs w:val="22"/>
                  </w:rPr>
                  <w:instrText xml:space="preserve"> ="Y" </w:instrText>
                </w:r>
                <w:r w:rsidRPr="007D4E7E">
                  <w:rPr>
                    <w:rStyle w:val="DefaultParagraphFont"/>
                    <w:rFonts w:ascii="Segoe UI Symbol" w:hAnsi="Segoe UI Symbol" w:cs="Segoe UI Symbol"/>
                    <w:sz w:val="22"/>
                    <w:szCs w:val="22"/>
                  </w:rPr>
                  <w:instrText>✔</w:instrText>
                </w:r>
                <w:r w:rsidRPr="007D4E7E">
                  <w:rPr>
                    <w:rStyle w:val="DefaultParagraphFont"/>
                    <w:rFonts w:ascii="Calibri" w:hAnsi="Calibri" w:cs="Segoe UI Symbol"/>
                    <w:sz w:val="22"/>
                    <w:szCs w:val="22"/>
                  </w:rPr>
                  <w:instrText xml:space="preserve"> </w:instrText>
                </w:r>
                <w:r w:rsidRPr="007D4E7E">
                  <w:rPr>
                    <w:rStyle w:val="DefaultParagraphFont"/>
                    <w:rFonts w:ascii="Calibri" w:hAnsi="Calibri"/>
                    <w:sz w:val="22"/>
                    <w:szCs w:val="22"/>
                  </w:rPr>
                  <w:instrText xml:space="preserve">"  "   </w:instrText>
                </w:r>
                <w:r w:rsidRPr="007D4E7E">
                  <w:rPr>
                    <w:rStyle w:val="DefaultParagraphFont"/>
                    <w:rFonts w:ascii="Calibri" w:hAnsi="Calibri"/>
                    <w:sz w:val="22"/>
                    <w:szCs w:val="22"/>
                  </w:rPr>
                  <w:fldChar w:fldCharType="separate"/>
                </w:r>
                <w:r w:rsidRPr="007D4E7E">
                  <w:rPr>
                    <w:rStyle w:val="DefaultParagraphFont"/>
                    <w:rFonts w:ascii="Segoe UI Symbol" w:hAnsi="Segoe UI Symbol" w:cs="Segoe UI Symbol"/>
                    <w:sz w:val="22"/>
                    <w:szCs w:val="22"/>
                  </w:rPr>
                  <w:t>✔</w:t>
                </w:r>
                <w:r w:rsidRPr="007D4E7E">
                  <w:rPr>
                    <w:rStyle w:val="DefaultParagraphFont"/>
                    <w:rFonts w:ascii="Calibri" w:hAnsi="Calibri"/>
                    <w:sz w:val="22"/>
                    <w:szCs w:val="22"/>
                  </w:rPr>
                  <w:fldChar w:fldCharType="end"/>
                </w:r>
                <w:r w:rsidRPr="007D4E7E">
                  <w:rPr>
                    <w:rStyle w:val="DefaultParagraphFont"/>
                    <w:rFonts w:ascii="Calibri" w:hAnsi="Calibri"/>
                    <w:sz w:val="22"/>
                    <w:szCs w:val="22"/>
                  </w:rPr>
                  <w:t xml:space="preserve"> </w:t>
                </w:r>
                <w:r w:rsidRPr="007D4E7E">
                  <w:rPr>
                    <w:rStyle w:val="DefaultParagraphFont"/>
                    <w:rFonts w:ascii="Calibri" w:hAnsi="Calibri"/>
                    <w:color w:val="000000"/>
                    <w:sz w:val="22"/>
                    <w:szCs w:val="22"/>
                  </w:rPr>
                  <w:t xml:space="preserve">] Yes   </w:t>
                </w:r>
                <w:r w:rsidRPr="007D4E7E">
                  <w:rPr>
                    <w:rStyle w:val="DefaultParagraphFont"/>
                    <w:rFonts w:ascii="Calibri" w:hAnsi="Calibri"/>
                    <w:color w:val="000000"/>
                    <w:sz w:val="22"/>
                    <w:szCs w:val="22"/>
                  </w:rPr>
                  <w:t xml:space="preserve">   [</w:t>
                </w:r>
                <w:r w:rsidRPr="007D4E7E">
                  <w:rPr>
                    <w:rStyle w:val="DefaultParagraphFont"/>
                    <w:rFonts w:ascii="Calibri" w:hAnsi="Calibri"/>
                    <w:sz w:val="22"/>
                    <w:szCs w:val="22"/>
                  </w:rPr>
                  <w:fldChar w:fldCharType="begin"/>
                </w:r>
                <w:r w:rsidRPr="007D4E7E">
                  <w:rPr>
                    <w:rStyle w:val="DefaultParagraphFont"/>
                    <w:rFonts w:ascii="Calibri" w:hAnsi="Calibri"/>
                    <w:sz w:val="22"/>
                    <w:szCs w:val="22"/>
                  </w:rPr>
                  <w:instrText xml:space="preserve"> IF </w:instrText>
                </w:r>
                <w:r w:rsidRPr="007D4E7E">
                  <w:rPr>
                    <w:rStyle w:val="DefaultParagraphFont"/>
                    <w:rFonts w:ascii="Calibri" w:hAnsi="Calibri"/>
                    <w:noProof/>
                    <w:sz w:val="22"/>
                    <w:szCs w:val="22"/>
                  </w:rPr>
                  <w:instrText>Y</w:instrText>
                </w:r>
                <w:r w:rsidRPr="007D4E7E">
                  <w:rPr>
                    <w:rStyle w:val="DefaultParagraphFont"/>
                    <w:rFonts w:ascii="Calibri" w:hAnsi="Calibri"/>
                    <w:sz w:val="22"/>
                    <w:szCs w:val="22"/>
                  </w:rPr>
                  <w:instrText xml:space="preserve"> ="N" </w:instrText>
                </w:r>
                <w:r w:rsidRPr="007D4E7E">
                  <w:rPr>
                    <w:rStyle w:val="DefaultParagraphFont"/>
                    <w:rFonts w:ascii="Segoe UI Symbol" w:hAnsi="Segoe UI Symbol" w:cs="Segoe UI Symbol"/>
                    <w:sz w:val="22"/>
                    <w:szCs w:val="22"/>
                  </w:rPr>
                  <w:instrText>✔</w:instrText>
                </w:r>
                <w:r w:rsidRPr="007D4E7E">
                  <w:rPr>
                    <w:rStyle w:val="DefaultParagraphFont"/>
                    <w:rFonts w:ascii="Calibri" w:hAnsi="Calibri"/>
                    <w:sz w:val="22"/>
                    <w:szCs w:val="22"/>
                  </w:rPr>
                  <w:instrText xml:space="preserve"> "  "  </w:instrText>
                </w:r>
                <w:r w:rsidRPr="007D4E7E">
                  <w:rPr>
                    <w:rStyle w:val="DefaultParagraphFont"/>
                    <w:rFonts w:ascii="Calibri" w:hAnsi="Calibri"/>
                    <w:sz w:val="22"/>
                    <w:szCs w:val="22"/>
                  </w:rPr>
                  <w:fldChar w:fldCharType="separate"/>
                </w:r>
                <w:r w:rsidRPr="007D4E7E">
                  <w:rPr>
                    <w:rStyle w:val="DefaultParagraphFont"/>
                    <w:rFonts w:ascii="Calibri" w:hAnsi="Calibri"/>
                    <w:sz w:val="22"/>
                    <w:szCs w:val="22"/>
                  </w:rPr>
                  <w:t xml:space="preserve">  </w:t>
                </w:r>
                <w:r w:rsidRPr="007D4E7E">
                  <w:rPr>
                    <w:rStyle w:val="DefaultParagraphFont"/>
                    <w:rFonts w:ascii="Calibri" w:hAnsi="Calibri"/>
                    <w:sz w:val="22"/>
                    <w:szCs w:val="22"/>
                  </w:rPr>
                  <w:fldChar w:fldCharType="end"/>
                </w:r>
                <w:r w:rsidRPr="007D4E7E">
                  <w:rPr>
                    <w:rStyle w:val="DefaultParagraphFont"/>
                    <w:rFonts w:ascii="Calibri" w:hAnsi="Calibri"/>
                    <w:color w:val="000000"/>
                    <w:sz w:val="22"/>
                    <w:szCs w:val="22"/>
                  </w:rPr>
                  <w:t xml:space="preserve"> ] No</w:t>
                </w:r>
              </w:p>
            </w:tc>
          </w:tr>
          <w:tr w:rsidTr="001C6889">
            <w:tblPrEx>
              <w:tblW w:w="10620" w:type="dxa"/>
              <w:tblInd w:w="-720" w:type="dxa"/>
              <w:shd w:val="clear" w:color="auto" w:fill="F7F7F7"/>
              <w:tblLayout w:type="fixed"/>
              <w:tblLook w:val="04A0"/>
            </w:tblPrEx>
            <w:trPr>
              <w:gridBefore w:val="1"/>
              <w:wBefore w:w="18" w:type="dxa"/>
              <w:trHeight w:val="342"/>
            </w:trPr>
            <w:tc>
              <w:tcPr>
                <w:tcW w:w="10602" w:type="dxa"/>
                <w:tcBorders>
                  <w:top w:val="nil"/>
                  <w:left w:val="nil"/>
                  <w:bottom w:val="nil"/>
                  <w:right w:val="nil"/>
                </w:tcBorders>
                <w:shd w:val="clear" w:color="auto" w:fill="F7F7F7"/>
                <w:vAlign w:val="center"/>
              </w:tcPr>
              <w:p w:rsidR="000875BD" w:rsidRPr="007D4E7E" w:rsidP="009876CC">
                <w:pPr>
                  <w:pStyle w:val="Normal125"/>
                  <w:rPr>
                    <w:rStyle w:val="DefaultParagraphFont"/>
                    <w:rFonts w:ascii="Calibri" w:hAnsi="Calibri"/>
                    <w:color w:val="000000"/>
                    <w:sz w:val="22"/>
                    <w:szCs w:val="22"/>
                  </w:rPr>
                </w:pPr>
              </w:p>
            </w:tc>
          </w:tr>
          <w:tr w:rsidTr="001C6889">
            <w:tblPrEx>
              <w:tblW w:w="10620" w:type="dxa"/>
              <w:tblInd w:w="-720" w:type="dxa"/>
              <w:shd w:val="clear" w:color="auto" w:fill="F7F7F7"/>
              <w:tblLayout w:type="fixed"/>
              <w:tblLook w:val="04A0"/>
            </w:tblPrEx>
            <w:trPr>
              <w:gridBefore w:val="1"/>
              <w:wBefore w:w="18" w:type="dxa"/>
              <w:trHeight w:val="342"/>
            </w:trPr>
            <w:tc>
              <w:tcPr>
                <w:tcW w:w="10602" w:type="dxa"/>
                <w:tcBorders>
                  <w:top w:val="nil"/>
                  <w:left w:val="nil"/>
                  <w:bottom w:val="nil"/>
                  <w:right w:val="nil"/>
                </w:tcBorders>
                <w:shd w:val="clear" w:color="auto" w:fill="F7F7F7"/>
                <w:vAlign w:val="center"/>
              </w:tcPr>
              <w:p w:rsidR="001C6889" w:rsidRPr="007D4E7E" w:rsidP="009876CC">
                <w:pPr>
                  <w:pStyle w:val="Normal125"/>
                  <w:rPr>
                    <w:rStyle w:val="DefaultParagraphFont"/>
                    <w:rFonts w:ascii="Calibri" w:hAnsi="Calibri"/>
                    <w:color w:val="000000"/>
                    <w:sz w:val="22"/>
                    <w:szCs w:val="22"/>
                  </w:rPr>
                </w:pPr>
              </w:p>
            </w:tc>
          </w:tr>
          <w:tr w:rsidTr="001C6889">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gridSpan w:val="2"/>
                <w:shd w:val="clear" w:color="auto" w:fill="F7F7F7"/>
                <w:vAlign w:val="center"/>
              </w:tcPr>
              <w:p w:rsidR="00FB2669" w:rsidP="00FB2669">
                <w:pPr>
                  <w:pStyle w:val="Normal125"/>
                  <w:keepNext/>
                  <w:widowControl/>
                  <w:spacing w:line="14" w:lineRule="exact"/>
                  <w:rPr>
                    <w:rStyle w:val="DefaultParagraphFont"/>
                    <w:rFonts w:ascii="Calibri" w:hAnsi="Calibri"/>
                    <w:b/>
                    <w:bCs/>
                    <w:sz w:val="22"/>
                    <w:szCs w:val="22"/>
                  </w:rPr>
                </w:pPr>
              </w:p>
              <w:tbl>
                <w:tblPr>
                  <w:tblStyle w:val="TableGrid63"/>
                  <w:tblW w:w="10620" w:type="dxa"/>
                  <w:shd w:val="clear" w:color="auto" w:fill="F7F7F7"/>
                  <w:tblLayout w:type="fixed"/>
                  <w:tblLook w:val="04A0"/>
                </w:tblPr>
                <w:tblGrid>
                  <w:gridCol w:w="10620"/>
                </w:tblGrid>
                <w:tr w:rsidTr="00856F5A">
                  <w:tblPrEx>
                    <w:tblW w:w="10620" w:type="dxa"/>
                    <w:shd w:val="clear" w:color="auto" w:fill="F7F7F7"/>
                    <w:tblLayout w:type="fixed"/>
                    <w:tblLook w:val="04A0"/>
                  </w:tblPrEx>
                  <w:trPr>
                    <w:trHeight w:val="378"/>
                  </w:trPr>
                  <w:tc>
                    <w:tcPr>
                      <w:tcW w:w="1062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FB2669" w:rsidRPr="00656279" w:rsidP="00FB2669">
                      <w:pPr>
                        <w:pStyle w:val="Normal125"/>
                        <w:rPr>
                          <w:rStyle w:val="DefaultParagraphFont"/>
                          <w:rFonts w:eastAsia="Times New Roman"/>
                        </w:rPr>
                      </w:pPr>
                      <w:r w:rsidRPr="00692E93">
                        <w:rPr>
                          <w:rStyle w:val="DefaultParagraphFont"/>
                          <w:rFonts w:ascii="Calibri" w:hAnsi="Calibri"/>
                          <w:b/>
                          <w:bCs/>
                          <w:sz w:val="22"/>
                          <w:szCs w:val="22"/>
                        </w:rPr>
                        <w:t>PROJECT FINANCING DATA (IN USD MILLION)</w:t>
                      </w:r>
                    </w:p>
                  </w:tc>
                </w:tr>
              </w:tbl>
              <w:p w:rsidR="003615CB" w:rsidRPr="00692E93" w:rsidP="009876CC">
                <w:pPr>
                  <w:pStyle w:val="Normal125"/>
                  <w:keepNext/>
                  <w:widowControl/>
                  <w:rPr>
                    <w:rStyle w:val="DefaultParagraphFont"/>
                    <w:rFonts w:ascii="Calibri" w:hAnsi="Calibri"/>
                    <w:sz w:val="22"/>
                    <w:szCs w:val="22"/>
                  </w:rPr>
                </w:pPr>
              </w:p>
            </w:tc>
          </w:tr>
        </w:tbl>
        <w:p w:rsidR="003615CB" w:rsidRPr="00E14432" w:rsidP="00651CF8">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tblPr>
          <w:tblGrid>
            <w:gridCol w:w="1710"/>
            <w:gridCol w:w="1170"/>
            <w:gridCol w:w="2430"/>
            <w:gridCol w:w="2430"/>
            <w:gridCol w:w="1620"/>
            <w:gridCol w:w="1260"/>
          </w:tblGrid>
          <w:tr w:rsidTr="00BF26AE">
            <w:tblPrEx>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tblPrEx>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rsidR="00BF26AE">
                <w:pPr>
                  <w:pStyle w:val="Normal125"/>
                  <w:rPr>
                    <w:rStyle w:val="DefaultParagraphFont"/>
                    <w:rFonts w:ascii="Calibri" w:hAnsi="Calibri"/>
                    <w:sz w:val="22"/>
                    <w:szCs w:val="22"/>
                  </w:rPr>
                </w:pPr>
                <w:r>
                  <w:rPr>
                    <w:rStyle w:val="DefaultParagraphFont"/>
                    <w:rFonts w:ascii="Calibri" w:hAnsi="Calibri"/>
                    <w:sz w:val="22"/>
                    <w:szCs w:val="22"/>
                  </w:rPr>
                  <w:t>FIN_TABLE_DATA</w:t>
                </w:r>
              </w:p>
              <w:p w:rsidR="00BF26AE">
                <w:pPr>
                  <w:pStyle w:val="Normal125"/>
                  <w:rPr>
                    <w:rStyle w:val="DefaultParagraphFont"/>
                    <w:rFonts w:ascii="Calibri" w:hAnsi="Calibri"/>
                    <w:sz w:val="22"/>
                    <w:szCs w:val="22"/>
                  </w:rPr>
                </w:pPr>
              </w:p>
            </w:tc>
            <w:tc>
              <w:tcPr>
                <w:tcW w:w="1170" w:type="dxa"/>
                <w:tcBorders>
                  <w:top w:val="nil"/>
                  <w:left w:val="nil"/>
                  <w:bottom w:val="nil"/>
                  <w:right w:val="nil"/>
                </w:tcBorders>
                <w:shd w:val="clear" w:color="auto" w:fill="F7F7F7"/>
              </w:tcPr>
              <w:p w:rsidR="00BF26AE">
                <w:pPr>
                  <w:pStyle w:val="Normal125"/>
                  <w:rPr>
                    <w:rStyle w:val="DefaultParagraphFont"/>
                    <w:rFonts w:ascii="Calibri" w:hAnsi="Calibri"/>
                    <w:sz w:val="22"/>
                    <w:szCs w:val="22"/>
                  </w:rPr>
                </w:pPr>
              </w:p>
            </w:tc>
            <w:tc>
              <w:tcPr>
                <w:tcW w:w="2430" w:type="dxa"/>
                <w:tcBorders>
                  <w:top w:val="nil"/>
                  <w:left w:val="nil"/>
                  <w:bottom w:val="nil"/>
                  <w:right w:val="nil"/>
                </w:tcBorders>
                <w:shd w:val="clear" w:color="auto" w:fill="F7F7F7"/>
              </w:tcPr>
              <w:p w:rsidR="00BF26AE">
                <w:pPr>
                  <w:pStyle w:val="Normal125"/>
                  <w:rPr>
                    <w:rStyle w:val="DefaultParagraphFont"/>
                    <w:rFonts w:ascii="Calibri" w:hAnsi="Calibri"/>
                    <w:sz w:val="22"/>
                    <w:szCs w:val="22"/>
                  </w:rPr>
                </w:pPr>
              </w:p>
            </w:tc>
            <w:tc>
              <w:tcPr>
                <w:tcW w:w="2430" w:type="dxa"/>
                <w:tcBorders>
                  <w:top w:val="nil"/>
                  <w:left w:val="nil"/>
                  <w:bottom w:val="nil"/>
                  <w:right w:val="nil"/>
                </w:tcBorders>
                <w:shd w:val="clear" w:color="auto" w:fill="F7F7F7"/>
              </w:tcPr>
              <w:p w:rsidR="00BF26AE">
                <w:pPr>
                  <w:pStyle w:val="Normal125"/>
                  <w:rPr>
                    <w:rStyle w:val="DefaultParagraphFont"/>
                    <w:rFonts w:ascii="Calibri" w:hAnsi="Calibri"/>
                    <w:sz w:val="22"/>
                    <w:szCs w:val="22"/>
                  </w:rPr>
                </w:pPr>
              </w:p>
            </w:tc>
            <w:tc>
              <w:tcPr>
                <w:tcW w:w="1620" w:type="dxa"/>
                <w:tcBorders>
                  <w:top w:val="nil"/>
                  <w:left w:val="nil"/>
                  <w:bottom w:val="nil"/>
                  <w:right w:val="nil"/>
                </w:tcBorders>
                <w:shd w:val="clear" w:color="auto" w:fill="F7F7F7"/>
              </w:tcPr>
              <w:p w:rsidR="00BF26AE">
                <w:pPr>
                  <w:pStyle w:val="Normal125"/>
                  <w:rPr>
                    <w:rStyle w:val="DefaultParagraphFont"/>
                    <w:rFonts w:ascii="Calibri" w:hAnsi="Calibri"/>
                    <w:sz w:val="22"/>
                    <w:szCs w:val="22"/>
                  </w:rPr>
                </w:pPr>
              </w:p>
            </w:tc>
            <w:tc>
              <w:tcPr>
                <w:tcW w:w="1260" w:type="dxa"/>
                <w:tcBorders>
                  <w:top w:val="nil"/>
                  <w:left w:val="nil"/>
                  <w:bottom w:val="nil"/>
                  <w:right w:val="nil"/>
                </w:tcBorders>
                <w:shd w:val="clear" w:color="auto" w:fill="F7F7F7"/>
              </w:tcPr>
              <w:p w:rsidR="00BF26AE">
                <w:pPr>
                  <w:pStyle w:val="Normal125"/>
                  <w:rPr>
                    <w:rStyle w:val="DefaultParagraphFont"/>
                    <w:rFonts w:ascii="Calibri" w:hAnsi="Calibri"/>
                    <w:sz w:val="22"/>
                    <w:szCs w:val="22"/>
                  </w:rPr>
                </w:pPr>
              </w:p>
            </w:tc>
          </w:tr>
          <w:tr w:rsidTr="00BF26AE">
            <w:tblPrEx>
              <w:tblW w:w="10620" w:type="dxa"/>
              <w:tblInd w:w="-720" w:type="dxa"/>
              <w:tblBorders>
                <w:top w:val="nil"/>
                <w:left w:val="nil"/>
                <w:bottom w:val="nil"/>
                <w:right w:val="nil"/>
              </w:tblBorders>
              <w:shd w:val="clear" w:color="auto" w:fill="F7F7F7"/>
              <w:tblLayout w:type="fixed"/>
              <w:tblCellMar>
                <w:left w:w="115" w:type="dxa"/>
                <w:bottom w:w="115" w:type="dxa"/>
                <w:right w:w="115" w:type="dxa"/>
              </w:tblCellMar>
              <w:tblLook w:val="04A0"/>
            </w:tblPrEx>
            <w:tc>
              <w:tcPr>
                <w:tcW w:w="1710" w:type="dxa"/>
                <w:tcBorders>
                  <w:bottom w:val="single" w:sz="4" w:space="0" w:color="D9D9D9"/>
                  <w:right w:val="single" w:sz="4" w:space="0" w:color="D9D9D9"/>
                </w:tcBorders>
                <w:shd w:val="clear" w:color="auto" w:fill="F7F7F7"/>
                <w:tcMar>
                  <w:top w:w="115" w:type="dxa"/>
                </w:tcMar>
              </w:tcPr>
              <w:p w:rsidR="003615CB" w:rsidRPr="0072649D" w:rsidP="003615CB">
                <w:pPr>
                  <w:pStyle w:val="Normal125"/>
                  <w:rPr>
                    <w:rStyle w:val="DefaultParagraphFont"/>
                    <w:rFonts w:ascii="Calibri" w:eastAsia="Calibri" w:hAnsi="Calibri" w:cs="Times New Roman"/>
                    <w:color w:val="auto"/>
                    <w:sz w:val="22"/>
                    <w:szCs w:val="22"/>
                  </w:rPr>
                </w:pPr>
                <w:r w:rsidRPr="0072649D">
                  <w:rPr>
                    <w:rStyle w:val="DefaultParagraphFont"/>
                    <w:rFonts w:ascii="Calibri" w:hAnsi="Calibri"/>
                    <w:sz w:val="22"/>
                    <w:szCs w:val="22"/>
                  </w:rPr>
                  <w:t xml:space="preserve"> </w:t>
                </w:r>
                <w:r w:rsidRPr="0072649D" w:rsidR="009A0A87">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sidR="009A0A87">
                  <w:rPr>
                    <w:rStyle w:val="DefaultParagraphFont"/>
                    <w:rFonts w:ascii="Calibri" w:hAnsi="Calibri"/>
                    <w:sz w:val="22"/>
                    <w:szCs w:val="22"/>
                  </w:rPr>
                  <w:fldChar w:fldCharType="begin"/>
                </w:r>
                <w:r w:rsidRPr="0072649D" w:rsidR="009A0A87">
                  <w:rPr>
                    <w:rStyle w:val="DefaultParagraphFont"/>
                    <w:rFonts w:ascii="Calibri" w:hAnsi="Calibri"/>
                    <w:sz w:val="22"/>
                    <w:szCs w:val="22"/>
                  </w:rPr>
                  <w:instrText xml:space="preserve"> IF </w:instrText>
                </w:r>
                <w:r w:rsidR="009A0A87">
                  <w:rPr>
                    <w:rStyle w:val="DefaultParagraphFont"/>
                    <w:rFonts w:ascii="Calibri" w:hAnsi="Calibri"/>
                    <w:sz w:val="22"/>
                    <w:szCs w:val="22"/>
                  </w:rPr>
                  <w:instrText>"</w:instrText>
                </w:r>
                <w:r w:rsidR="009A0A87">
                  <w:rPr>
                    <w:rStyle w:val="DefaultParagraphFont"/>
                    <w:rFonts w:ascii="Calibri" w:hAnsi="Calibri"/>
                    <w:sz w:val="22"/>
                    <w:szCs w:val="22"/>
                  </w:rPr>
                  <w:instrText>"</w:instrText>
                </w:r>
                <w:r w:rsidRPr="0072649D" w:rsidR="009A0A87">
                  <w:rPr>
                    <w:rStyle w:val="DefaultParagraphFont"/>
                    <w:rFonts w:ascii="Calibri" w:hAnsi="Calibri"/>
                    <w:sz w:val="22"/>
                    <w:szCs w:val="22"/>
                  </w:rPr>
                  <w:instrText xml:space="preserve"> ="X" </w:instrText>
                </w:r>
                <w:r w:rsidRPr="0072649D" w:rsidR="009A0A87">
                  <w:rPr>
                    <w:rStyle w:val="DefaultParagraphFont"/>
                    <w:rFonts w:ascii="Segoe UI Symbol" w:hAnsi="Segoe UI Symbol" w:cs="Segoe UI Symbol"/>
                    <w:sz w:val="22"/>
                    <w:szCs w:val="22"/>
                  </w:rPr>
                  <w:instrText>✔</w:instrText>
                </w:r>
                <w:r w:rsidRPr="0072649D" w:rsidR="009A0A87">
                  <w:rPr>
                    <w:rStyle w:val="DefaultParagraphFont"/>
                    <w:rFonts w:ascii="Calibri" w:hAnsi="Calibri"/>
                    <w:sz w:val="22"/>
                    <w:szCs w:val="22"/>
                  </w:rPr>
                  <w:instrText xml:space="preserve"> "  "  </w:instrText>
                </w:r>
                <w:r w:rsidRPr="0072649D" w:rsidR="009A0A87">
                  <w:rPr>
                    <w:rStyle w:val="DefaultParagraphFont"/>
                    <w:rFonts w:ascii="Calibri" w:hAnsi="Calibri"/>
                    <w:sz w:val="22"/>
                    <w:szCs w:val="22"/>
                  </w:rPr>
                  <w:fldChar w:fldCharType="separate"/>
                </w:r>
                <w:r w:rsidRPr="0072649D" w:rsidR="009A0A87">
                  <w:rPr>
                    <w:rStyle w:val="DefaultParagraphFont"/>
                    <w:rFonts w:ascii="Calibri" w:hAnsi="Calibri"/>
                    <w:sz w:val="22"/>
                    <w:szCs w:val="22"/>
                  </w:rPr>
                  <w:t xml:space="preserve">  </w:t>
                </w:r>
                <w:r w:rsidRPr="0072649D" w:rsidR="009A0A87">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sidR="009A0A87">
                  <w:rPr>
                    <w:rStyle w:val="DefaultParagraphFont"/>
                    <w:rFonts w:ascii="Calibri" w:hAnsi="Calibri"/>
                    <w:sz w:val="22"/>
                    <w:szCs w:val="22"/>
                  </w:rPr>
                  <w:t>]</w:t>
                </w:r>
                <w:r w:rsidRPr="0072649D" w:rsidR="009A0A87">
                  <w:rPr>
                    <w:rStyle w:val="DefaultParagraphFont"/>
                    <w:rFonts w:ascii="Calibri" w:eastAsia="Calibri" w:hAnsi="Calibri" w:cs="Times New Roman"/>
                    <w:color w:val="auto"/>
                    <w:sz w:val="22"/>
                    <w:szCs w:val="22"/>
                  </w:rPr>
                  <w:t xml:space="preserve"> </w:t>
                </w:r>
                <w:r w:rsidR="009A0A87">
                  <w:rPr>
                    <w:rStyle w:val="DefaultParagraphFont"/>
                    <w:rFonts w:ascii="Calibri" w:hAnsi="Calibri"/>
                    <w:sz w:val="22"/>
                    <w:szCs w:val="22"/>
                  </w:rPr>
                  <w:t>Counterpart Funding</w:t>
                </w:r>
              </w:p>
            </w:tc>
            <w:tc>
              <w:tcPr>
                <w:tcW w:w="1170" w:type="dxa"/>
                <w:tcBorders>
                  <w:left w:val="single" w:sz="4" w:space="0" w:color="D9D9D9"/>
                  <w:bottom w:val="single" w:sz="4" w:space="0" w:color="D9D9D9"/>
                  <w:right w:val="single" w:sz="4" w:space="0" w:color="D9D9D9"/>
                </w:tcBorders>
                <w:shd w:val="clear" w:color="auto" w:fill="F7F7F7"/>
              </w:tcPr>
              <w:p w:rsidR="003615CB" w:rsidRPr="0072649D"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w:instrText>
                </w:r>
              </w:p>
              <w:p w:rsidR="003615CB" w:rsidRPr="0072649D" w:rsidP="003615CB">
                <w:pPr>
                  <w:pStyle w:val="Normal125"/>
                  <w:rPr>
                    <w:rStyle w:val="DefaultParagraphFont"/>
                    <w:rFonts w:ascii="Calibri" w:hAnsi="Calibri"/>
                    <w:sz w:val="22"/>
                    <w:szCs w:val="22"/>
                  </w:rPr>
                </w:pPr>
                <w:r w:rsidRPr="0072649D">
                  <w:rPr>
                    <w:rStyle w:val="DefaultParagraphFont"/>
                    <w:rFonts w:ascii="Calibri" w:hAnsi="Calibri"/>
                    <w:sz w:val="22"/>
                    <w:szCs w:val="22"/>
                  </w:rPr>
                  <w:instrText xml:space="preserve">"  " </w:instrText>
                </w:r>
                <w:r w:rsidRPr="0072649D">
                  <w:rPr>
                    <w:rStyle w:val="DefaultParagraphFont"/>
                    <w:rFonts w:ascii="Calibri" w:hAnsi="Calibri"/>
                    <w:sz w:val="22"/>
                    <w:szCs w:val="22"/>
                  </w:rPr>
                  <w:fldChar w:fldCharType="separate"/>
                </w:r>
                <w:r w:rsidRPr="0072649D">
                  <w:rPr>
                    <w:rStyle w:val="DefaultParagraphFont"/>
                    <w:rFonts w:ascii="Calibri" w:hAnsi="Calibri"/>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 xml:space="preserve">] </w:t>
                </w:r>
                <w:r>
                  <w:rPr>
                    <w:rStyle w:val="DefaultParagraphFont"/>
                    <w:rFonts w:ascii="Calibri" w:hAnsi="Calibri"/>
                    <w:sz w:val="22"/>
                    <w:szCs w:val="22"/>
                  </w:rPr>
                  <w:t>IBRD</w:t>
                </w:r>
              </w:p>
            </w:tc>
            <w:tc>
              <w:tcPr>
                <w:tcW w:w="2430" w:type="dxa"/>
                <w:tcBorders>
                  <w:left w:val="single" w:sz="4" w:space="0" w:color="D9D9D9"/>
                  <w:bottom w:val="single" w:sz="4" w:space="0" w:color="D9D9D9"/>
                  <w:right w:val="nil"/>
                </w:tcBorders>
                <w:shd w:val="clear" w:color="auto" w:fill="F7F7F7"/>
              </w:tcPr>
              <w:p w:rsidR="003615CB"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noProof/>
                    <w:sz w:val="22"/>
                    <w:szCs w:val="22"/>
                  </w:rPr>
                  <w:instrText>X</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  "  \* MERGEFORMAT </w:instrText>
                </w:r>
                <w:r w:rsidRPr="0072649D">
                  <w:rPr>
                    <w:rStyle w:val="DefaultParagraphFont"/>
                    <w:rFonts w:ascii="Calibri" w:hAnsi="Calibri"/>
                    <w:sz w:val="22"/>
                    <w:szCs w:val="22"/>
                  </w:rPr>
                  <w:fldChar w:fldCharType="separate"/>
                </w:r>
                <w:r w:rsidRPr="0072649D" w:rsidR="00F61CA3">
                  <w:rPr>
                    <w:rStyle w:val="DefaultParagraphFont"/>
                    <w:rFonts w:ascii="Calibri" w:hAnsi="Calibri"/>
                    <w:noProof/>
                    <w:sz w:val="22"/>
                    <w:szCs w:val="22"/>
                  </w:rPr>
                  <w:t>✔</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 IDA</w:t>
                </w:r>
                <w:r>
                  <w:rPr>
                    <w:rStyle w:val="DefaultParagraphFont"/>
                    <w:rFonts w:ascii="Calibri" w:hAnsi="Calibri"/>
                    <w:sz w:val="22"/>
                    <w:szCs w:val="22"/>
                  </w:rPr>
                  <w:t xml:space="preserve"> Credit</w:t>
                </w:r>
              </w:p>
              <w:p w:rsidR="003615CB" w:rsidP="003615CB">
                <w:pPr>
                  <w:pStyle w:val="Normal125"/>
                  <w:rPr>
                    <w:rStyle w:val="DefaultParagraphFont"/>
                    <w:rFonts w:ascii="Calibri" w:hAnsi="Calibri"/>
                    <w:sz w:val="22"/>
                    <w:szCs w:val="22"/>
                  </w:rPr>
                </w:pPr>
              </w:p>
              <w:p w:rsidR="003615CB"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  "  \* MERGEFORMAT </w:instrText>
                </w:r>
                <w:r w:rsidRPr="0072649D">
                  <w:rPr>
                    <w:rStyle w:val="DefaultParagraphFont"/>
                    <w:rFonts w:ascii="Calibri" w:hAnsi="Calibri"/>
                    <w:sz w:val="22"/>
                    <w:szCs w:val="22"/>
                  </w:rPr>
                  <w:fldChar w:fldCharType="separate"/>
                </w:r>
                <w:r w:rsidRPr="0072649D" w:rsidR="00F61CA3">
                  <w:rPr>
                    <w:rStyle w:val="DefaultParagraphFont"/>
                    <w:rFonts w:ascii="Calibri" w:hAnsi="Calibri"/>
                    <w:noProof/>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 xml:space="preserve">] </w:t>
                </w:r>
                <w:r>
                  <w:rPr>
                    <w:rStyle w:val="DefaultParagraphFont"/>
                    <w:rFonts w:ascii="Calibri" w:hAnsi="Calibri"/>
                    <w:sz w:val="22"/>
                    <w:szCs w:val="22"/>
                  </w:rPr>
                  <w:t>Crisis Response Window</w:t>
                </w:r>
              </w:p>
              <w:p w:rsidR="003615CB" w:rsidP="003615CB">
                <w:pPr>
                  <w:pStyle w:val="Normal125"/>
                  <w:rPr>
                    <w:rStyle w:val="DefaultParagraphFont"/>
                    <w:rFonts w:ascii="Calibri" w:hAnsi="Calibri"/>
                    <w:sz w:val="22"/>
                    <w:szCs w:val="22"/>
                  </w:rPr>
                </w:pPr>
              </w:p>
              <w:p w:rsidR="003615CB" w:rsidRPr="0072649D"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  "  \* MERGEFORMAT </w:instrText>
                </w:r>
                <w:r w:rsidRPr="0072649D">
                  <w:rPr>
                    <w:rStyle w:val="DefaultParagraphFont"/>
                    <w:rFonts w:ascii="Calibri" w:hAnsi="Calibri"/>
                    <w:sz w:val="22"/>
                    <w:szCs w:val="22"/>
                  </w:rPr>
                  <w:fldChar w:fldCharType="separate"/>
                </w:r>
                <w:r w:rsidRPr="0072649D" w:rsidR="00F61CA3">
                  <w:rPr>
                    <w:rStyle w:val="DefaultParagraphFont"/>
                    <w:rFonts w:ascii="Calibri" w:hAnsi="Calibri"/>
                    <w:noProof/>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 xml:space="preserve">] </w:t>
                </w:r>
                <w:r>
                  <w:rPr>
                    <w:rStyle w:val="DefaultParagraphFont"/>
                    <w:rFonts w:ascii="Calibri" w:hAnsi="Calibri"/>
                    <w:sz w:val="22"/>
                    <w:szCs w:val="22"/>
                  </w:rPr>
                  <w:t>Regional Projects Window</w:t>
                </w:r>
              </w:p>
            </w:tc>
            <w:tc>
              <w:tcPr>
                <w:tcW w:w="2430" w:type="dxa"/>
                <w:tcBorders>
                  <w:left w:val="single" w:sz="4" w:space="0" w:color="D9D9D9"/>
                  <w:bottom w:val="single" w:sz="4" w:space="0" w:color="D9D9D9"/>
                  <w:right w:val="single" w:sz="4" w:space="0" w:color="D9D9D9"/>
                </w:tcBorders>
                <w:shd w:val="clear" w:color="auto" w:fill="F7F7F7"/>
              </w:tcPr>
              <w:p w:rsidR="003615CB"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  "  \* MERGEFORMAT </w:instrText>
                </w:r>
                <w:r w:rsidRPr="0072649D">
                  <w:rPr>
                    <w:rStyle w:val="DefaultParagraphFont"/>
                    <w:rFonts w:ascii="Calibri" w:hAnsi="Calibri"/>
                    <w:sz w:val="22"/>
                    <w:szCs w:val="22"/>
                  </w:rPr>
                  <w:fldChar w:fldCharType="separate"/>
                </w:r>
                <w:r w:rsidRPr="0072649D" w:rsidR="00F61CA3">
                  <w:rPr>
                    <w:rStyle w:val="DefaultParagraphFont"/>
                    <w:rFonts w:ascii="Calibri" w:hAnsi="Calibri"/>
                    <w:noProof/>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 IDA</w:t>
                </w:r>
                <w:r>
                  <w:rPr>
                    <w:rStyle w:val="DefaultParagraphFont"/>
                    <w:rFonts w:ascii="Calibri" w:hAnsi="Calibri"/>
                    <w:sz w:val="22"/>
                    <w:szCs w:val="22"/>
                  </w:rPr>
                  <w:t xml:space="preserve"> Grant</w:t>
                </w:r>
              </w:p>
              <w:p w:rsidR="003615CB" w:rsidP="003615CB">
                <w:pPr>
                  <w:pStyle w:val="Normal125"/>
                  <w:rPr>
                    <w:rStyle w:val="DefaultParagraphFont"/>
                    <w:rFonts w:ascii="Calibri" w:hAnsi="Calibri"/>
                    <w:sz w:val="22"/>
                    <w:szCs w:val="22"/>
                  </w:rPr>
                </w:pPr>
              </w:p>
              <w:p w:rsidR="003615CB"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  "  \* MERGEFORMAT </w:instrText>
                </w:r>
                <w:r w:rsidRPr="0072649D">
                  <w:rPr>
                    <w:rStyle w:val="DefaultParagraphFont"/>
                    <w:rFonts w:ascii="Calibri" w:hAnsi="Calibri"/>
                    <w:sz w:val="22"/>
                    <w:szCs w:val="22"/>
                  </w:rPr>
                  <w:fldChar w:fldCharType="separate"/>
                </w:r>
                <w:r w:rsidRPr="0072649D" w:rsidR="00F61CA3">
                  <w:rPr>
                    <w:rStyle w:val="DefaultParagraphFont"/>
                    <w:rFonts w:ascii="Calibri" w:hAnsi="Calibri"/>
                    <w:noProof/>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 xml:space="preserve">] </w:t>
                </w:r>
                <w:r>
                  <w:rPr>
                    <w:rStyle w:val="DefaultParagraphFont"/>
                    <w:rFonts w:ascii="Calibri" w:hAnsi="Calibri"/>
                    <w:sz w:val="22"/>
                    <w:szCs w:val="22"/>
                  </w:rPr>
                  <w:t>Crisis Response Window</w:t>
                </w:r>
              </w:p>
              <w:p w:rsidR="003615CB" w:rsidP="003615CB">
                <w:pPr>
                  <w:pStyle w:val="Normal125"/>
                  <w:rPr>
                    <w:rStyle w:val="DefaultParagraphFont"/>
                    <w:rFonts w:ascii="Calibri" w:hAnsi="Calibri"/>
                    <w:sz w:val="22"/>
                    <w:szCs w:val="22"/>
                  </w:rPr>
                </w:pPr>
              </w:p>
              <w:p w:rsidR="003615CB" w:rsidRPr="0072649D"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  "  \* MERGEFORMAT </w:instrText>
                </w:r>
                <w:r w:rsidRPr="0072649D">
                  <w:rPr>
                    <w:rStyle w:val="DefaultParagraphFont"/>
                    <w:rFonts w:ascii="Calibri" w:hAnsi="Calibri"/>
                    <w:sz w:val="22"/>
                    <w:szCs w:val="22"/>
                  </w:rPr>
                  <w:fldChar w:fldCharType="separate"/>
                </w:r>
                <w:r w:rsidRPr="0072649D" w:rsidR="00F61CA3">
                  <w:rPr>
                    <w:rStyle w:val="DefaultParagraphFont"/>
                    <w:rFonts w:ascii="Calibri" w:hAnsi="Calibri"/>
                    <w:noProof/>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 xml:space="preserve">] </w:t>
                </w:r>
                <w:r>
                  <w:rPr>
                    <w:rStyle w:val="DefaultParagraphFont"/>
                    <w:rFonts w:ascii="Calibri" w:hAnsi="Calibri"/>
                    <w:sz w:val="22"/>
                    <w:szCs w:val="22"/>
                  </w:rPr>
                  <w:t>Regional Projects Window</w:t>
                </w:r>
              </w:p>
            </w:tc>
            <w:tc>
              <w:tcPr>
                <w:tcW w:w="1620" w:type="dxa"/>
                <w:tcBorders>
                  <w:left w:val="single" w:sz="4" w:space="0" w:color="D9D9D9"/>
                  <w:bottom w:val="single" w:sz="4" w:space="0" w:color="D9D9D9"/>
                  <w:right w:val="nil"/>
                </w:tcBorders>
                <w:shd w:val="clear" w:color="auto" w:fill="F7F7F7"/>
              </w:tcPr>
              <w:p w:rsidR="003615CB" w:rsidRPr="0072649D"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w:instrText>
                </w:r>
              </w:p>
              <w:p w:rsidR="003615CB" w:rsidRPr="0072649D" w:rsidP="003615CB">
                <w:pPr>
                  <w:pStyle w:val="Normal125"/>
                  <w:rPr>
                    <w:rStyle w:val="DefaultParagraphFont"/>
                    <w:rFonts w:ascii="Calibri" w:eastAsia="Calibri" w:hAnsi="Calibri" w:cs="Times New Roman"/>
                    <w:color w:val="auto"/>
                    <w:sz w:val="22"/>
                    <w:szCs w:val="22"/>
                  </w:rPr>
                </w:pPr>
                <w:r w:rsidRPr="0072649D">
                  <w:rPr>
                    <w:rStyle w:val="DefaultParagraphFont"/>
                    <w:rFonts w:ascii="Calibri" w:hAnsi="Calibri"/>
                    <w:sz w:val="22"/>
                    <w:szCs w:val="22"/>
                  </w:rPr>
                  <w:instrText xml:space="preserve">"  " </w:instrText>
                </w:r>
                <w:r w:rsidRPr="0072649D">
                  <w:rPr>
                    <w:rStyle w:val="DefaultParagraphFont"/>
                    <w:rFonts w:ascii="Calibri" w:hAnsi="Calibri"/>
                    <w:sz w:val="22"/>
                    <w:szCs w:val="22"/>
                  </w:rPr>
                  <w:fldChar w:fldCharType="separate"/>
                </w:r>
                <w:r w:rsidRPr="0072649D">
                  <w:rPr>
                    <w:rStyle w:val="DefaultParagraphFont"/>
                    <w:rFonts w:ascii="Calibri" w:hAnsi="Calibri"/>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w:t>
                </w:r>
                <w:r w:rsidRPr="0072649D">
                  <w:rPr>
                    <w:rStyle w:val="DefaultParagraphFont"/>
                    <w:rFonts w:ascii="Calibri" w:eastAsia="Calibri" w:hAnsi="Calibri" w:cs="Times New Roman"/>
                    <w:color w:val="auto"/>
                    <w:sz w:val="22"/>
                    <w:szCs w:val="22"/>
                  </w:rPr>
                  <w:t xml:space="preserve"> </w:t>
                </w:r>
                <w:r w:rsidRPr="0072649D">
                  <w:rPr>
                    <w:rStyle w:val="DefaultParagraphFont"/>
                    <w:rFonts w:ascii="Calibri" w:hAnsi="Calibri"/>
                    <w:sz w:val="22"/>
                    <w:szCs w:val="22"/>
                  </w:rPr>
                  <w:t>Trust Funds</w:t>
                </w:r>
              </w:p>
            </w:tc>
            <w:tc>
              <w:tcPr>
                <w:tcW w:w="1260" w:type="dxa"/>
                <w:tcBorders>
                  <w:left w:val="single" w:sz="4" w:space="0" w:color="D9D9D9"/>
                  <w:bottom w:val="single" w:sz="4" w:space="0" w:color="D9D9D9"/>
                  <w:right w:val="nil"/>
                </w:tcBorders>
                <w:shd w:val="clear" w:color="auto" w:fill="F7F7F7"/>
              </w:tcPr>
              <w:p w:rsidR="003615CB" w:rsidRPr="0072649D" w:rsidP="003615CB">
                <w:pPr>
                  <w:pStyle w:val="Normal125"/>
                  <w:rPr>
                    <w:rStyle w:val="DefaultParagraphFont"/>
                    <w:rFonts w:ascii="Calibri" w:hAnsi="Calibri"/>
                    <w:sz w:val="22"/>
                    <w:szCs w:val="22"/>
                  </w:rPr>
                </w:pPr>
                <w:r w:rsidRPr="0072649D">
                  <w:rPr>
                    <w:rStyle w:val="DefaultParagraphFont"/>
                    <w:rFonts w:ascii="Calibri" w:hAnsi="Calibri"/>
                    <w:sz w:val="22"/>
                    <w:szCs w:val="22"/>
                  </w:rPr>
                  <w:t>[</w:t>
                </w:r>
                <w:r w:rsidR="00D57BD1">
                  <w:rPr>
                    <w:rStyle w:val="DefaultParagraphFont"/>
                    <w:rFonts w:ascii="Calibri" w:hAnsi="Calibri"/>
                    <w:sz w:val="22"/>
                    <w:szCs w:val="22"/>
                  </w:rPr>
                  <w:t xml:space="preserve"> </w:t>
                </w:r>
                <w:r w:rsidRPr="0072649D">
                  <w:rPr>
                    <w:rStyle w:val="DefaultParagraphFont"/>
                    <w:rFonts w:ascii="Calibri" w:hAnsi="Calibri"/>
                    <w:sz w:val="22"/>
                    <w:szCs w:val="22"/>
                  </w:rPr>
                  <w:fldChar w:fldCharType="begin"/>
                </w:r>
                <w:r w:rsidRPr="0072649D">
                  <w:rPr>
                    <w:rStyle w:val="DefaultParagraphFont"/>
                    <w:rFonts w:ascii="Calibri" w:hAnsi="Calibri"/>
                    <w:sz w:val="22"/>
                    <w:szCs w:val="22"/>
                  </w:rPr>
                  <w:instrText xml:space="preserve"> IF </w:instrText>
                </w:r>
                <w:r>
                  <w:rPr>
                    <w:rStyle w:val="DefaultParagraphFont"/>
                    <w:rFonts w:ascii="Calibri" w:hAnsi="Calibri"/>
                    <w:sz w:val="22"/>
                    <w:szCs w:val="22"/>
                  </w:rPr>
                  <w:instrText>"</w:instrText>
                </w:r>
                <w:r>
                  <w:rPr>
                    <w:rStyle w:val="DefaultParagraphFont"/>
                    <w:rFonts w:ascii="Calibri" w:hAnsi="Calibri"/>
                    <w:sz w:val="22"/>
                    <w:szCs w:val="22"/>
                  </w:rPr>
                  <w:instrText>"</w:instrText>
                </w:r>
                <w:r w:rsidRPr="0072649D">
                  <w:rPr>
                    <w:rStyle w:val="DefaultParagraphFont"/>
                    <w:rFonts w:ascii="Calibri" w:hAnsi="Calibri"/>
                    <w:sz w:val="22"/>
                    <w:szCs w:val="22"/>
                  </w:rPr>
                  <w:instrText xml:space="preserve"> ="X" </w:instrText>
                </w:r>
                <w:r w:rsidRPr="0072649D">
                  <w:rPr>
                    <w:rStyle w:val="DefaultParagraphFont"/>
                    <w:rFonts w:ascii="Segoe UI Symbol" w:hAnsi="Segoe UI Symbol" w:cs="Segoe UI Symbol"/>
                    <w:sz w:val="22"/>
                    <w:szCs w:val="22"/>
                  </w:rPr>
                  <w:instrText>✔</w:instrText>
                </w:r>
                <w:r w:rsidRPr="0072649D">
                  <w:rPr>
                    <w:rStyle w:val="DefaultParagraphFont"/>
                    <w:rFonts w:ascii="Calibri" w:hAnsi="Calibri"/>
                    <w:sz w:val="22"/>
                    <w:szCs w:val="22"/>
                  </w:rPr>
                  <w:instrText xml:space="preserve"> </w:instrText>
                </w:r>
              </w:p>
              <w:p w:rsidR="003615CB" w:rsidRPr="0072649D" w:rsidP="003615CB">
                <w:pPr>
                  <w:pStyle w:val="Normal125"/>
                  <w:rPr>
                    <w:rStyle w:val="DefaultParagraphFont"/>
                    <w:rFonts w:ascii="Calibri" w:eastAsia="Calibri" w:hAnsi="Calibri" w:cs="Times New Roman"/>
                    <w:color w:val="auto"/>
                    <w:sz w:val="22"/>
                    <w:szCs w:val="22"/>
                  </w:rPr>
                </w:pPr>
                <w:r w:rsidRPr="0072649D">
                  <w:rPr>
                    <w:rStyle w:val="DefaultParagraphFont"/>
                    <w:rFonts w:ascii="Calibri" w:hAnsi="Calibri"/>
                    <w:sz w:val="22"/>
                    <w:szCs w:val="22"/>
                  </w:rPr>
                  <w:instrText xml:space="preserve">"  " </w:instrText>
                </w:r>
                <w:r w:rsidRPr="0072649D">
                  <w:rPr>
                    <w:rStyle w:val="DefaultParagraphFont"/>
                    <w:rFonts w:ascii="Calibri" w:hAnsi="Calibri"/>
                    <w:sz w:val="22"/>
                    <w:szCs w:val="22"/>
                  </w:rPr>
                  <w:fldChar w:fldCharType="separate"/>
                </w:r>
                <w:r w:rsidRPr="0072649D">
                  <w:rPr>
                    <w:rStyle w:val="DefaultParagraphFont"/>
                    <w:rFonts w:ascii="Calibri" w:hAnsi="Calibri"/>
                    <w:sz w:val="22"/>
                    <w:szCs w:val="22"/>
                  </w:rPr>
                  <w:t xml:space="preserve">  </w:t>
                </w:r>
                <w:r w:rsidRPr="0072649D">
                  <w:rPr>
                    <w:rStyle w:val="DefaultParagraphFont"/>
                    <w:rFonts w:ascii="Calibri" w:hAnsi="Calibri"/>
                    <w:sz w:val="22"/>
                    <w:szCs w:val="22"/>
                  </w:rPr>
                  <w:fldChar w:fldCharType="end"/>
                </w:r>
                <w:r w:rsidR="000E778D">
                  <w:rPr>
                    <w:rStyle w:val="DefaultParagraphFont"/>
                    <w:rFonts w:ascii="Calibri" w:hAnsi="Calibri"/>
                    <w:sz w:val="22"/>
                    <w:szCs w:val="22"/>
                  </w:rPr>
                  <w:t xml:space="preserve"> </w:t>
                </w:r>
                <w:r w:rsidRPr="0072649D">
                  <w:rPr>
                    <w:rStyle w:val="DefaultParagraphFont"/>
                    <w:rFonts w:ascii="Calibri" w:hAnsi="Calibri"/>
                    <w:sz w:val="22"/>
                    <w:szCs w:val="22"/>
                  </w:rPr>
                  <w:t>]</w:t>
                </w:r>
                <w:r w:rsidRPr="0072649D">
                  <w:rPr>
                    <w:rStyle w:val="DefaultParagraphFont"/>
                    <w:rFonts w:ascii="Calibri" w:eastAsia="Calibri" w:hAnsi="Calibri" w:cs="Times New Roman"/>
                    <w:color w:val="auto"/>
                    <w:sz w:val="22"/>
                    <w:szCs w:val="22"/>
                  </w:rPr>
                  <w:t xml:space="preserve"> </w:t>
                </w:r>
                <w:r>
                  <w:rPr>
                    <w:rStyle w:val="DefaultParagraphFont"/>
                    <w:rFonts w:ascii="Calibri" w:hAnsi="Calibri"/>
                    <w:sz w:val="22"/>
                    <w:szCs w:val="22"/>
                  </w:rPr>
                  <w:t>Parallel Financing</w:t>
                </w:r>
              </w:p>
            </w:tc>
          </w:tr>
        </w:tbl>
        <w:p w:rsidR="003615CB" w:rsidRPr="00961CE2" w:rsidP="003615CB">
          <w:pPr>
            <w:pStyle w:val="Normal125"/>
            <w:spacing w:line="14" w:lineRule="exact"/>
            <w:ind w:left="-907"/>
            <w:rPr>
              <w:rStyle w:val="DefaultParagraphFont"/>
              <w:sz w:val="2"/>
              <w:szCs w:val="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tblPr>
          <w:tblGrid>
            <w:gridCol w:w="2880"/>
            <w:gridCol w:w="4050"/>
            <w:gridCol w:w="3690"/>
          </w:tblGrid>
          <w:tr w:rsidTr="00E14432">
            <w:tblPrEx>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tblPrEx>
            <w:trPr>
              <w:trHeight w:val="20"/>
            </w:trPr>
            <w:tc>
              <w:tcPr>
                <w:tcW w:w="2880" w:type="dxa"/>
                <w:tcBorders>
                  <w:top w:val="nil"/>
                  <w:bottom w:val="nil"/>
                  <w:right w:val="single" w:sz="4" w:space="0" w:color="D9D9D9"/>
                </w:tcBorders>
                <w:shd w:val="clear" w:color="auto" w:fill="F7F7F7"/>
                <w:tcMar>
                  <w:top w:w="115" w:type="dxa"/>
                </w:tcMar>
              </w:tcPr>
              <w:p w:rsidR="003615CB" w:rsidRPr="00692E93" w:rsidP="003615CB">
                <w:pPr>
                  <w:pStyle w:val="Normal125"/>
                  <w:ind w:right="605"/>
                  <w:jc w:val="right"/>
                  <w:rPr>
                    <w:rStyle w:val="DefaultParagraphFont"/>
                    <w:rFonts w:ascii="Calibri" w:hAnsi="Calibri"/>
                    <w:sz w:val="22"/>
                    <w:szCs w:val="22"/>
                  </w:rPr>
                </w:pPr>
                <w:r>
                  <w:rPr>
                    <w:rStyle w:val="DefaultParagraphFont"/>
                    <w:rFonts w:ascii="Calibri" w:hAnsi="Calibri"/>
                    <w:color w:val="7F7F7F" w:themeTint="80"/>
                    <w:sz w:val="22"/>
                    <w:szCs w:val="22"/>
                  </w:rPr>
                  <w:t xml:space="preserve">Total Project </w:t>
                </w:r>
                <w:r w:rsidRPr="00692E93">
                  <w:rPr>
                    <w:rStyle w:val="DefaultParagraphFont"/>
                    <w:rFonts w:ascii="Calibri" w:hAnsi="Calibri"/>
                    <w:color w:val="7F7F7F" w:themeTint="80"/>
                    <w:sz w:val="22"/>
                    <w:szCs w:val="22"/>
                  </w:rPr>
                  <w:t>Cost:</w:t>
                </w:r>
              </w:p>
            </w:tc>
            <w:tc>
              <w:tcPr>
                <w:tcW w:w="4050" w:type="dxa"/>
                <w:tcBorders>
                  <w:top w:val="nil"/>
                  <w:left w:val="single" w:sz="4" w:space="0" w:color="D9D9D9"/>
                  <w:bottom w:val="nil"/>
                  <w:right w:val="single" w:sz="4" w:space="0" w:color="D9D9D9"/>
                </w:tcBorders>
                <w:shd w:val="clear" w:color="auto" w:fill="F7F7F7"/>
              </w:tcPr>
              <w:p w:rsidR="003615CB" w:rsidRPr="00692E93" w:rsidP="005A0D12">
                <w:pPr>
                  <w:pStyle w:val="Normal125"/>
                  <w:ind w:right="517"/>
                  <w:jc w:val="right"/>
                  <w:rPr>
                    <w:rStyle w:val="DefaultParagraphFont"/>
                    <w:rFonts w:ascii="Calibri" w:hAnsi="Calibri"/>
                    <w:sz w:val="22"/>
                    <w:szCs w:val="22"/>
                  </w:rPr>
                </w:pPr>
                <w:r>
                  <w:rPr>
                    <w:rStyle w:val="DefaultParagraphFont"/>
                    <w:rFonts w:ascii="Calibri" w:hAnsi="Calibri"/>
                    <w:color w:val="7F7F7F" w:themeTint="80"/>
                    <w:sz w:val="22"/>
                    <w:szCs w:val="22"/>
                  </w:rPr>
                  <w:t>Total Financing:</w:t>
                </w:r>
              </w:p>
            </w:tc>
            <w:tc>
              <w:tcPr>
                <w:tcW w:w="3690" w:type="dxa"/>
                <w:tcBorders>
                  <w:top w:val="nil"/>
                  <w:left w:val="single" w:sz="4" w:space="0" w:color="D9D9D9"/>
                  <w:bottom w:val="nil"/>
                </w:tcBorders>
                <w:shd w:val="clear" w:color="auto" w:fill="F7F7F7"/>
              </w:tcPr>
              <w:p w:rsidR="003615CB" w:rsidRPr="00692E93" w:rsidP="003615CB">
                <w:pPr>
                  <w:pStyle w:val="Normal125"/>
                  <w:ind w:right="1505"/>
                  <w:jc w:val="right"/>
                  <w:rPr>
                    <w:rStyle w:val="DefaultParagraphFont"/>
                    <w:rFonts w:ascii="Calibri" w:hAnsi="Calibri"/>
                    <w:sz w:val="22"/>
                    <w:szCs w:val="22"/>
                  </w:rPr>
                </w:pPr>
                <w:r w:rsidRPr="00692E93">
                  <w:rPr>
                    <w:rStyle w:val="DefaultParagraphFont"/>
                    <w:rFonts w:ascii="Calibri" w:hAnsi="Calibri"/>
                    <w:color w:val="7F7F7F" w:themeTint="80"/>
                    <w:sz w:val="22"/>
                    <w:szCs w:val="22"/>
                  </w:rPr>
                  <w:t>Financing Gap:</w:t>
                </w:r>
              </w:p>
            </w:tc>
          </w:tr>
          <w:tr w:rsidTr="00E14432">
            <w:tblPrEx>
              <w:tblW w:w="10620" w:type="dxa"/>
              <w:tblInd w:w="-720" w:type="dxa"/>
              <w:shd w:val="clear" w:color="auto" w:fill="F7F7F7"/>
              <w:tblLayout w:type="fixed"/>
              <w:tblCellMar>
                <w:left w:w="115" w:type="dxa"/>
                <w:bottom w:w="115" w:type="dxa"/>
                <w:right w:w="115" w:type="dxa"/>
              </w:tblCellMar>
              <w:tblLook w:val="04A0"/>
            </w:tblPrEx>
            <w:trPr>
              <w:trHeight w:val="20"/>
            </w:trPr>
            <w:tc>
              <w:tcPr>
                <w:tcW w:w="2880" w:type="dxa"/>
                <w:tcBorders>
                  <w:top w:val="nil"/>
                  <w:bottom w:val="nil"/>
                  <w:right w:val="single" w:sz="4" w:space="0" w:color="D9D9D9"/>
                </w:tcBorders>
                <w:shd w:val="clear" w:color="auto" w:fill="F7F7F7"/>
                <w:tcMar>
                  <w:top w:w="115" w:type="dxa"/>
                </w:tcMar>
              </w:tcPr>
              <w:p w:rsidR="003615CB" w:rsidRPr="00692E93" w:rsidP="003615CB">
                <w:pPr>
                  <w:pStyle w:val="Normal125"/>
                  <w:ind w:right="605"/>
                  <w:jc w:val="right"/>
                  <w:rPr>
                    <w:rStyle w:val="DefaultParagraphFont"/>
                    <w:rFonts w:ascii="Calibri" w:hAnsi="Calibri"/>
                    <w:sz w:val="22"/>
                    <w:szCs w:val="22"/>
                  </w:rPr>
                </w:pPr>
                <w:r>
                  <w:rPr>
                    <w:rStyle w:val="DefaultParagraphFont"/>
                    <w:rFonts w:ascii="Calibri" w:hAnsi="Calibri"/>
                    <w:noProof/>
                    <w:sz w:val="22"/>
                    <w:szCs w:val="22"/>
                  </w:rPr>
                  <w:t xml:space="preserve"> 200.00</w:t>
                </w:r>
              </w:p>
            </w:tc>
            <w:tc>
              <w:tcPr>
                <w:tcW w:w="4050" w:type="dxa"/>
                <w:tcBorders>
                  <w:top w:val="nil"/>
                  <w:left w:val="single" w:sz="4" w:space="0" w:color="D9D9D9"/>
                  <w:bottom w:val="nil"/>
                  <w:right w:val="single" w:sz="4" w:space="0" w:color="D9D9D9"/>
                </w:tcBorders>
                <w:shd w:val="clear" w:color="auto" w:fill="F7F7F7"/>
              </w:tcPr>
              <w:p w:rsidR="003615CB" w:rsidRPr="00692E93" w:rsidP="003615CB">
                <w:pPr>
                  <w:pStyle w:val="Normal125"/>
                  <w:ind w:right="517"/>
                  <w:jc w:val="right"/>
                  <w:rPr>
                    <w:rStyle w:val="DefaultParagraphFont"/>
                    <w:rFonts w:ascii="Calibri" w:hAnsi="Calibri"/>
                    <w:sz w:val="22"/>
                    <w:szCs w:val="22"/>
                  </w:rPr>
                </w:pPr>
                <w:r>
                  <w:rPr>
                    <w:rStyle w:val="DefaultParagraphFont"/>
                    <w:rFonts w:ascii="Calibri" w:hAnsi="Calibri"/>
                    <w:noProof/>
                    <w:sz w:val="22"/>
                    <w:szCs w:val="22"/>
                  </w:rPr>
                  <w:t xml:space="preserve"> 200.00</w:t>
                </w:r>
              </w:p>
            </w:tc>
            <w:tc>
              <w:tcPr>
                <w:tcW w:w="3690" w:type="dxa"/>
                <w:tcBorders>
                  <w:top w:val="nil"/>
                  <w:left w:val="single" w:sz="4" w:space="0" w:color="D9D9D9"/>
                  <w:bottom w:val="nil"/>
                </w:tcBorders>
                <w:shd w:val="clear" w:color="auto" w:fill="F7F7F7"/>
              </w:tcPr>
              <w:p w:rsidR="003615CB" w:rsidRPr="00692E93" w:rsidP="003615CB">
                <w:pPr>
                  <w:pStyle w:val="Normal125"/>
                  <w:ind w:right="1505"/>
                  <w:jc w:val="right"/>
                  <w:rPr>
                    <w:rStyle w:val="DefaultParagraphFont"/>
                    <w:rFonts w:ascii="Calibri" w:hAnsi="Calibri"/>
                    <w:sz w:val="22"/>
                    <w:szCs w:val="22"/>
                  </w:rPr>
                </w:pPr>
                <w:r>
                  <w:rPr>
                    <w:rStyle w:val="DefaultParagraphFont"/>
                    <w:rFonts w:ascii="Calibri" w:hAnsi="Calibri"/>
                    <w:noProof/>
                    <w:sz w:val="22"/>
                    <w:szCs w:val="22"/>
                  </w:rPr>
                  <w:t xml:space="preserve">   0.00</w:t>
                </w:r>
              </w:p>
            </w:tc>
          </w:tr>
          <w:tr w:rsidTr="00E14432">
            <w:tblPrEx>
              <w:tblW w:w="10620" w:type="dxa"/>
              <w:tblInd w:w="-720" w:type="dxa"/>
              <w:shd w:val="clear" w:color="auto" w:fill="F7F7F7"/>
              <w:tblLayout w:type="fixed"/>
              <w:tblCellMar>
                <w:left w:w="115" w:type="dxa"/>
                <w:bottom w:w="115" w:type="dxa"/>
                <w:right w:w="115" w:type="dxa"/>
              </w:tblCellMar>
              <w:tblLook w:val="04A0"/>
            </w:tblPrEx>
            <w:trPr>
              <w:trHeight w:val="20"/>
            </w:trPr>
            <w:tc>
              <w:tcPr>
                <w:tcW w:w="2880" w:type="dxa"/>
                <w:tcBorders>
                  <w:top w:val="nil"/>
                  <w:bottom w:val="single" w:sz="4" w:space="0" w:color="D9D9D9"/>
                  <w:right w:val="single" w:sz="4" w:space="0" w:color="D9D9D9"/>
                </w:tcBorders>
                <w:shd w:val="clear" w:color="auto" w:fill="F7F7F7"/>
                <w:tcMar>
                  <w:top w:w="115" w:type="dxa"/>
                </w:tcMar>
              </w:tcPr>
              <w:p w:rsidR="003615CB" w:rsidP="003615CB">
                <w:pPr>
                  <w:pStyle w:val="Normal125"/>
                  <w:ind w:right="695"/>
                  <w:jc w:val="right"/>
                  <w:rPr>
                    <w:rStyle w:val="DefaultParagraphFont"/>
                    <w:rFonts w:ascii="Calibri" w:hAnsi="Calibri"/>
                    <w:sz w:val="22"/>
                    <w:szCs w:val="22"/>
                  </w:rPr>
                </w:pPr>
              </w:p>
            </w:tc>
            <w:tc>
              <w:tcPr>
                <w:tcW w:w="4050" w:type="dxa"/>
                <w:tcBorders>
                  <w:top w:val="nil"/>
                  <w:left w:val="single" w:sz="4" w:space="0" w:color="D9D9D9"/>
                  <w:bottom w:val="single" w:sz="4" w:space="0" w:color="D9D9D9"/>
                  <w:right w:val="single" w:sz="4" w:space="0" w:color="D9D9D9"/>
                </w:tcBorders>
                <w:shd w:val="clear" w:color="auto" w:fill="F7F7F7"/>
              </w:tcPr>
              <w:p w:rsidR="003615CB" w:rsidP="000E778D">
                <w:pPr>
                  <w:pStyle w:val="Normal125"/>
                  <w:keepNext/>
                  <w:ind w:left="-29" w:right="432"/>
                  <w:jc w:val="right"/>
                  <w:rPr>
                    <w:rStyle w:val="DefaultParagraphFont"/>
                    <w:rFonts w:ascii="Calibri" w:hAnsi="Calibri"/>
                    <w:color w:val="7F7F7F" w:themeTint="80"/>
                    <w:sz w:val="22"/>
                    <w:szCs w:val="22"/>
                  </w:rPr>
                </w:pPr>
                <w:r w:rsidRPr="002B5189">
                  <w:rPr>
                    <w:rStyle w:val="DefaultParagraphFont"/>
                    <w:rFonts w:ascii="Calibri" w:hAnsi="Calibri"/>
                    <w:color w:val="7F7F7F" w:themeTint="80"/>
                    <w:sz w:val="22"/>
                    <w:szCs w:val="22"/>
                  </w:rPr>
                  <w:t>Of Which Bank Financing (IBRD/IDA):</w:t>
                </w:r>
              </w:p>
              <w:p w:rsidR="000E778D" w:rsidP="000E778D">
                <w:pPr>
                  <w:pStyle w:val="Normal125"/>
                  <w:keepNext/>
                  <w:ind w:left="-29" w:right="432"/>
                  <w:jc w:val="right"/>
                  <w:rPr>
                    <w:rStyle w:val="DefaultParagraphFont"/>
                    <w:rFonts w:ascii="Calibri" w:hAnsi="Calibri"/>
                    <w:color w:val="7F7F7F" w:themeTint="80"/>
                    <w:sz w:val="22"/>
                    <w:szCs w:val="22"/>
                  </w:rPr>
                </w:pPr>
              </w:p>
              <w:p w:rsidR="003615CB" w:rsidRPr="002B5189" w:rsidP="000E778D">
                <w:pPr>
                  <w:pStyle w:val="Normal125"/>
                  <w:ind w:right="425"/>
                  <w:jc w:val="right"/>
                  <w:rPr>
                    <w:rStyle w:val="DefaultParagraphFont"/>
                    <w:rFonts w:ascii="Calibri" w:hAnsi="Calibri"/>
                    <w:color w:val="7F7F7F" w:themeTint="80"/>
                    <w:sz w:val="22"/>
                    <w:szCs w:val="22"/>
                  </w:rPr>
                </w:pPr>
                <w:r w:rsidR="000E778D">
                  <w:rPr>
                    <w:rStyle w:val="DefaultParagraphFont"/>
                    <w:rFonts w:ascii="Calibri" w:hAnsi="Calibri"/>
                    <w:noProof/>
                    <w:sz w:val="22"/>
                    <w:szCs w:val="22"/>
                  </w:rPr>
                  <w:t xml:space="preserve"> 200.00</w:t>
                </w:r>
              </w:p>
            </w:tc>
            <w:tc>
              <w:tcPr>
                <w:tcW w:w="3690" w:type="dxa"/>
                <w:tcBorders>
                  <w:top w:val="nil"/>
                  <w:left w:val="single" w:sz="4" w:space="0" w:color="D9D9D9"/>
                  <w:bottom w:val="single" w:sz="4" w:space="0" w:color="D9D9D9"/>
                  <w:right w:val="nil"/>
                </w:tcBorders>
                <w:shd w:val="clear" w:color="auto" w:fill="F7F7F7"/>
              </w:tcPr>
              <w:p w:rsidR="003615CB" w:rsidP="003615CB">
                <w:pPr>
                  <w:pStyle w:val="Normal125"/>
                  <w:ind w:right="1595"/>
                  <w:jc w:val="right"/>
                  <w:rPr>
                    <w:rStyle w:val="DefaultParagraphFont"/>
                    <w:rFonts w:ascii="Calibri" w:hAnsi="Calibri"/>
                    <w:sz w:val="22"/>
                    <w:szCs w:val="22"/>
                  </w:rPr>
                </w:pPr>
              </w:p>
            </w:tc>
          </w:tr>
        </w:tbl>
        <w:p w:rsidR="003615CB" w:rsidRPr="00E14432"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bottom w:w="115" w:type="dxa"/>
              <w:right w:w="115" w:type="dxa"/>
            </w:tblCellMar>
            <w:tblLook w:val="04A0"/>
          </w:tblPr>
          <w:tblGrid>
            <w:gridCol w:w="10620"/>
          </w:tblGrid>
          <w:tr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bottom w:w="115" w:type="dxa"/>
                <w:right w:w="115" w:type="dxa"/>
              </w:tblCellMar>
              <w:tblLook w:val="04A0"/>
            </w:tblPrEx>
            <w:trPr>
              <w:trHeight w:val="20"/>
            </w:trPr>
            <w:tc>
              <w:tcPr>
                <w:tcW w:w="10620" w:type="dxa"/>
                <w:shd w:val="clear" w:color="auto" w:fill="F7F7F7"/>
              </w:tcPr>
              <w:p w:rsidR="003615CB" w:rsidRPr="00501672" w:rsidP="00651CF8">
                <w:pPr>
                  <w:pStyle w:val="Normal125"/>
                  <w:keepNext/>
                  <w:widowControl/>
                  <w:rPr>
                    <w:rStyle w:val="DefaultParagraphFont"/>
                    <w:rFonts w:ascii="Calibri" w:hAnsi="Calibri"/>
                    <w:color w:val="7F7F7F" w:themeTint="80"/>
                    <w:sz w:val="22"/>
                    <w:szCs w:val="22"/>
                  </w:rPr>
                </w:pPr>
                <w:r>
                  <w:rPr>
                    <w:rStyle w:val="DefaultParagraphFont"/>
                    <w:rFonts w:ascii="Calibri" w:hAnsi="Calibri"/>
                    <w:b/>
                    <w:bCs/>
                    <w:color w:val="7F7F7F" w:themeTint="80"/>
                    <w:sz w:val="22"/>
                    <w:szCs w:val="22"/>
                  </w:rPr>
                  <w:t>Financing (in US$</w:t>
                </w:r>
                <w:r w:rsidR="000B53D2">
                  <w:rPr>
                    <w:rStyle w:val="DefaultParagraphFont"/>
                    <w:rFonts w:ascii="Calibri" w:hAnsi="Calibri"/>
                    <w:b/>
                    <w:bCs/>
                    <w:color w:val="7F7F7F" w:themeTint="80"/>
                    <w:sz w:val="22"/>
                    <w:szCs w:val="22"/>
                  </w:rPr>
                  <w:t>,</w:t>
                </w:r>
                <w:r>
                  <w:rPr>
                    <w:rStyle w:val="DefaultParagraphFont"/>
                    <w:rFonts w:ascii="Calibri" w:hAnsi="Calibri"/>
                    <w:b/>
                    <w:bCs/>
                    <w:color w:val="7F7F7F" w:themeTint="80"/>
                    <w:sz w:val="22"/>
                    <w:szCs w:val="22"/>
                  </w:rPr>
                  <w:t xml:space="preserve"> m</w:t>
                </w:r>
                <w:r w:rsidRPr="00501672" w:rsidR="009A0A87">
                  <w:rPr>
                    <w:rStyle w:val="DefaultParagraphFont"/>
                    <w:rFonts w:ascii="Calibri" w:hAnsi="Calibri"/>
                    <w:b/>
                    <w:bCs/>
                    <w:color w:val="7F7F7F" w:themeTint="80"/>
                    <w:sz w:val="22"/>
                    <w:szCs w:val="22"/>
                  </w:rPr>
                  <w:t>illion</w:t>
                </w:r>
                <w:r>
                  <w:rPr>
                    <w:rStyle w:val="DefaultParagraphFont"/>
                    <w:rFonts w:ascii="Calibri" w:hAnsi="Calibri"/>
                    <w:b/>
                    <w:bCs/>
                    <w:color w:val="7F7F7F" w:themeTint="80"/>
                    <w:sz w:val="22"/>
                    <w:szCs w:val="22"/>
                  </w:rPr>
                  <w:t>s</w:t>
                </w:r>
                <w:r w:rsidRPr="00501672" w:rsidR="009A0A87">
                  <w:rPr>
                    <w:rStyle w:val="DefaultParagraphFont"/>
                    <w:rFonts w:ascii="Calibri" w:hAnsi="Calibri"/>
                    <w:b/>
                    <w:bCs/>
                    <w:color w:val="7F7F7F" w:themeTint="80"/>
                    <w:sz w:val="22"/>
                    <w:szCs w:val="22"/>
                  </w:rPr>
                  <w:t>)</w:t>
                </w:r>
              </w:p>
            </w:tc>
          </w:tr>
        </w:tbl>
        <w:p w:rsidR="003615CB" w:rsidRPr="00E14432" w:rsidP="00651CF8">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29" w:type="dxa"/>
              <w:left w:w="115" w:type="dxa"/>
              <w:bottom w:w="29" w:type="dxa"/>
              <w:right w:w="115" w:type="dxa"/>
            </w:tblCellMar>
            <w:tblLook w:val="04A0"/>
          </w:tblPr>
          <w:tblGrid>
            <w:gridCol w:w="6372"/>
            <w:gridCol w:w="2880"/>
            <w:gridCol w:w="1350"/>
          </w:tblGrid>
          <w:tr w:rsidTr="00E14432">
            <w:tblPrEx>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29" w:type="dxa"/>
                <w:left w:w="115" w:type="dxa"/>
                <w:bottom w:w="29" w:type="dxa"/>
                <w:right w:w="115" w:type="dxa"/>
              </w:tblCellMar>
              <w:tblLook w:val="04A0"/>
            </w:tblPrEx>
            <w:trPr>
              <w:trHeight w:val="720"/>
            </w:trPr>
            <w:tc>
              <w:tcPr>
                <w:tcW w:w="6372" w:type="dxa"/>
                <w:tcBorders>
                  <w:top w:val="single" w:sz="4" w:space="0" w:color="D9D9D9"/>
                  <w:left w:val="single" w:sz="4" w:space="0" w:color="D9D9D9"/>
                  <w:bottom w:val="single" w:sz="12" w:space="0" w:color="D9D9D9" w:themeColor="background1" w:themeShade="D9"/>
                </w:tcBorders>
                <w:shd w:val="clear" w:color="auto" w:fill="F7F7F7"/>
                <w:vAlign w:val="center"/>
              </w:tcPr>
              <w:p w:rsidR="003615CB" w:rsidRPr="00AC0438" w:rsidP="003615CB">
                <w:pPr>
                  <w:pStyle w:val="Normal125"/>
                  <w:keepNext/>
                  <w:rPr>
                    <w:rStyle w:val="DefaultParagraphFont"/>
                    <w:rFonts w:ascii="Calibri" w:hAnsi="Calibri"/>
                    <w:b/>
                    <w:sz w:val="22"/>
                    <w:szCs w:val="20"/>
                  </w:rPr>
                </w:pPr>
                <w:r w:rsidRPr="00562CB9">
                  <w:rPr>
                    <w:rStyle w:val="DefaultParagraphFont"/>
                    <w:rFonts w:ascii="Calibri" w:hAnsi="Calibri"/>
                    <w:b/>
                    <w:bCs/>
                    <w:color w:val="7F7F7F" w:themeTint="80"/>
                    <w:sz w:val="22"/>
                    <w:szCs w:val="20"/>
                  </w:rPr>
                  <w:t>Financing Source</w:t>
                </w:r>
              </w:p>
            </w:tc>
            <w:tc>
              <w:tcPr>
                <w:tcW w:w="2880" w:type="dxa"/>
                <w:tcBorders>
                  <w:top w:val="single" w:sz="4" w:space="0" w:color="D9D9D9"/>
                  <w:bottom w:val="single" w:sz="12" w:space="0" w:color="D9D9D9" w:themeColor="background1" w:themeShade="D9"/>
                </w:tcBorders>
                <w:shd w:val="clear" w:color="auto" w:fill="F7F7F7"/>
                <w:vAlign w:val="center"/>
              </w:tcPr>
              <w:p w:rsidR="003615CB" w:rsidRPr="00AC0438" w:rsidP="003615CB">
                <w:pPr>
                  <w:pStyle w:val="Normal125"/>
                  <w:keepNext/>
                  <w:jc w:val="right"/>
                  <w:rPr>
                    <w:rStyle w:val="DefaultParagraphFont"/>
                    <w:rFonts w:ascii="Calibri" w:hAnsi="Calibri"/>
                    <w:b/>
                    <w:bCs/>
                    <w:color w:val="7F7F7F" w:themeTint="80"/>
                    <w:sz w:val="22"/>
                    <w:szCs w:val="20"/>
                  </w:rPr>
                </w:pPr>
                <w:r w:rsidRPr="00562CB9">
                  <w:rPr>
                    <w:rStyle w:val="DefaultParagraphFont"/>
                    <w:rFonts w:ascii="Calibri" w:hAnsi="Calibri"/>
                    <w:b/>
                    <w:bCs/>
                    <w:color w:val="7F7F7F" w:themeTint="80"/>
                    <w:sz w:val="22"/>
                    <w:szCs w:val="20"/>
                  </w:rPr>
                  <w:t>Amount</w:t>
                </w:r>
              </w:p>
            </w:tc>
            <w:tc>
              <w:tcPr>
                <w:tcW w:w="1350" w:type="dxa"/>
                <w:tcBorders>
                  <w:top w:val="single" w:sz="4" w:space="0" w:color="D9D9D9"/>
                  <w:bottom w:val="single" w:sz="12" w:space="0" w:color="D9D9D9" w:themeColor="background1" w:themeShade="D9"/>
                  <w:right w:val="single" w:sz="4" w:space="0" w:color="D9D9D9"/>
                </w:tcBorders>
                <w:shd w:val="clear" w:color="auto" w:fill="F7F7F7"/>
                <w:vAlign w:val="center"/>
              </w:tcPr>
              <w:p w:rsidR="003615CB" w:rsidRPr="00AC0438" w:rsidP="003615CB">
                <w:pPr>
                  <w:pStyle w:val="Normal125"/>
                  <w:keepNext/>
                  <w:jc w:val="right"/>
                  <w:rPr>
                    <w:rStyle w:val="DefaultParagraphFont"/>
                    <w:rFonts w:ascii="Calibri" w:hAnsi="Calibri"/>
                    <w:b/>
                    <w:sz w:val="22"/>
                    <w:szCs w:val="20"/>
                  </w:rPr>
                </w:pPr>
              </w:p>
            </w:tc>
          </w:tr>
          <w:tr w:rsidTr="00E14432">
            <w:tblPrEx>
              <w:tblW w:w="10602" w:type="dxa"/>
              <w:tblInd w:w="-702" w:type="dxa"/>
              <w:shd w:val="clear" w:color="auto" w:fill="F7F7F7"/>
              <w:tblLayout w:type="fixed"/>
              <w:tblCellMar>
                <w:top w:w="29" w:type="dxa"/>
                <w:left w:w="115" w:type="dxa"/>
                <w:bottom w:w="29" w:type="dxa"/>
                <w:right w:w="115" w:type="dxa"/>
              </w:tblCellMar>
              <w:tblLook w:val="04A0"/>
            </w:tblPrEx>
            <w:trPr>
              <w:trHeight w:val="360"/>
            </w:trPr>
            <w:tc>
              <w:tcPr>
                <w:tcW w:w="6372" w:type="dxa"/>
                <w:tcBorders>
                  <w:top w:val="single" w:sz="2" w:space="0" w:color="F2F2F2" w:themeColor="background1" w:themeShade="F2"/>
                  <w:left w:val="single" w:sz="4" w:space="0" w:color="D9D9D9"/>
                  <w:bottom w:val="single" w:sz="4" w:space="0" w:color="D9D9D9" w:themeColor="background1" w:themeShade="D9"/>
                </w:tcBorders>
                <w:shd w:val="clear" w:color="auto" w:fill="F7F7F7"/>
                <w:vAlign w:val="center"/>
              </w:tcPr>
              <w:p w:rsidR="003615CB" w:rsidRPr="00AC0438" w:rsidP="003615CB">
                <w:pPr>
                  <w:pStyle w:val="Normal125"/>
                  <w:rPr>
                    <w:rStyle w:val="DefaultParagraphFont"/>
                    <w:rFonts w:ascii="Calibri" w:hAnsi="Calibri"/>
                    <w:sz w:val="22"/>
                    <w:szCs w:val="18"/>
                  </w:rPr>
                </w:pPr>
                <w:r w:rsidRPr="00501672">
                  <w:rPr>
                    <w:rStyle w:val="DefaultParagraphFont"/>
                    <w:rFonts w:ascii="Calibri" w:hAnsi="Calibri"/>
                    <w:noProof/>
                    <w:sz w:val="22"/>
                    <w:szCs w:val="22"/>
                  </w:rPr>
                  <w:t>International Development Association</w:t>
                </w:r>
                <w:r w:rsidRPr="00501672">
                  <w:rPr>
                    <w:rStyle w:val="DefaultParagraphFont"/>
                    <w:rFonts w:ascii="Calibri" w:hAnsi="Calibri"/>
                    <w:sz w:val="22"/>
                    <w:szCs w:val="22"/>
                  </w:rPr>
                  <w:t xml:space="preserve"> (IDA)</w:t>
                </w:r>
              </w:p>
            </w:tc>
            <w:tc>
              <w:tcPr>
                <w:tcW w:w="2880" w:type="dxa"/>
                <w:tcBorders>
                  <w:top w:val="single" w:sz="2" w:space="0" w:color="F2F2F2" w:themeColor="background1" w:themeShade="F2"/>
                  <w:bottom w:val="single" w:sz="4" w:space="0" w:color="D9D9D9" w:themeColor="background1" w:themeShade="D9"/>
                </w:tcBorders>
                <w:shd w:val="clear" w:color="auto" w:fill="F7F7F7"/>
                <w:vAlign w:val="center"/>
              </w:tcPr>
              <w:p w:rsidR="003615CB" w:rsidRPr="00AC0438" w:rsidP="003615CB">
                <w:pPr>
                  <w:pStyle w:val="Normal125"/>
                  <w:jc w:val="right"/>
                  <w:rPr>
                    <w:rStyle w:val="DefaultParagraphFont"/>
                    <w:rFonts w:ascii="Calibri" w:hAnsi="Calibri"/>
                    <w:sz w:val="22"/>
                    <w:szCs w:val="18"/>
                  </w:rPr>
                </w:pPr>
                <w:r>
                  <w:rPr>
                    <w:rStyle w:val="DefaultParagraphFont"/>
                    <w:rFonts w:ascii="Calibri" w:hAnsi="Calibri"/>
                    <w:noProof/>
                    <w:sz w:val="22"/>
                    <w:szCs w:val="22"/>
                  </w:rPr>
                  <w:t xml:space="preserve"> 200.00</w:t>
                </w:r>
              </w:p>
            </w:tc>
            <w:tc>
              <w:tcPr>
                <w:tcW w:w="1350" w:type="dxa"/>
                <w:tcBorders>
                  <w:top w:val="single" w:sz="2" w:space="0" w:color="F2F2F2" w:themeColor="background1" w:themeShade="F2"/>
                  <w:bottom w:val="single" w:sz="4" w:space="0" w:color="D9D9D9" w:themeColor="background1" w:themeShade="D9"/>
                  <w:right w:val="single" w:sz="4" w:space="0" w:color="D9D9D9"/>
                </w:tcBorders>
                <w:shd w:val="clear" w:color="auto" w:fill="F7F7F7"/>
                <w:vAlign w:val="center"/>
              </w:tcPr>
              <w:p w:rsidR="003615CB" w:rsidRPr="00AC0438" w:rsidP="003615CB">
                <w:pPr>
                  <w:pStyle w:val="Normal125"/>
                  <w:jc w:val="right"/>
                  <w:rPr>
                    <w:rStyle w:val="DefaultParagraphFont"/>
                    <w:rFonts w:ascii="Calibri" w:hAnsi="Calibri"/>
                    <w:sz w:val="22"/>
                    <w:szCs w:val="18"/>
                  </w:rPr>
                </w:pPr>
              </w:p>
            </w:tc>
          </w:tr>
          <w:tr w:rsidTr="00E14432">
            <w:tblPrEx>
              <w:tblW w:w="10602"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top w:w="29" w:type="dxa"/>
                <w:left w:w="115" w:type="dxa"/>
                <w:bottom w:w="29" w:type="dxa"/>
                <w:right w:w="115" w:type="dxa"/>
              </w:tblCellMar>
              <w:tblLook w:val="04A0"/>
            </w:tblPrEx>
            <w:trPr>
              <w:trHeight w:val="360"/>
            </w:trPr>
            <w:tc>
              <w:tcPr>
                <w:tcW w:w="6372" w:type="dxa"/>
                <w:tcBorders>
                  <w:top w:val="single" w:sz="4" w:space="0" w:color="D9D9D9" w:themeColor="background1" w:themeShade="D9"/>
                  <w:left w:val="single" w:sz="4" w:space="0" w:color="D9D9D9"/>
                  <w:bottom w:val="single" w:sz="4" w:space="0" w:color="D9D9D9" w:themeColor="background1" w:themeShade="D9"/>
                  <w:right w:val="nil"/>
                </w:tcBorders>
                <w:shd w:val="clear" w:color="auto" w:fill="F7F7F7"/>
                <w:vAlign w:val="center"/>
              </w:tcPr>
              <w:p w:rsidR="003615CB" w:rsidRPr="00692E93" w:rsidP="003615CB">
                <w:pPr>
                  <w:pStyle w:val="Normal125"/>
                  <w:rPr>
                    <w:rStyle w:val="DefaultParagraphFont"/>
                    <w:rFonts w:ascii="Calibri" w:hAnsi="Calibri"/>
                    <w:sz w:val="22"/>
                    <w:szCs w:val="22"/>
                  </w:rPr>
                </w:pPr>
                <w:r w:rsidRPr="00692E93">
                  <w:rPr>
                    <w:rStyle w:val="DefaultParagraphFont"/>
                    <w:rFonts w:ascii="Calibri" w:hAnsi="Calibri"/>
                    <w:b/>
                    <w:sz w:val="22"/>
                    <w:szCs w:val="22"/>
                  </w:rPr>
                  <w:t>Total</w:t>
                </w:r>
              </w:p>
            </w:tc>
            <w:tc>
              <w:tcPr>
                <w:tcW w:w="2880" w:type="dxa"/>
                <w:tcBorders>
                  <w:top w:val="single" w:sz="4" w:space="0" w:color="D9D9D9" w:themeColor="background1" w:themeShade="D9"/>
                  <w:left w:val="nil"/>
                  <w:bottom w:val="single" w:sz="4" w:space="0" w:color="D9D9D9" w:themeColor="background1" w:themeShade="D9"/>
                  <w:right w:val="nil"/>
                </w:tcBorders>
                <w:shd w:val="clear" w:color="auto" w:fill="F7F7F7"/>
              </w:tcPr>
              <w:p w:rsidR="003615CB" w:rsidRPr="000B448E" w:rsidP="003615CB">
                <w:pPr>
                  <w:pStyle w:val="Normal125"/>
                  <w:jc w:val="right"/>
                  <w:rPr>
                    <w:rStyle w:val="DefaultParagraphFont"/>
                    <w:rFonts w:ascii="Calibri" w:hAnsi="Calibri"/>
                    <w:sz w:val="18"/>
                    <w:szCs w:val="18"/>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“#,##0.00” </w:instrText>
                </w:r>
                <w:r>
                  <w:rPr>
                    <w:rStyle w:val="DefaultParagraphFont"/>
                    <w:rFonts w:ascii="Calibri" w:hAnsi="Calibri"/>
                    <w:b/>
                    <w:sz w:val="22"/>
                    <w:szCs w:val="22"/>
                  </w:rPr>
                  <w:fldChar w:fldCharType="separate"/>
                </w:r>
                <w:r>
                  <w:rPr>
                    <w:rStyle w:val="DefaultParagraphFont"/>
                    <w:rFonts w:ascii="Calibri" w:hAnsi="Calibri"/>
                    <w:b/>
                    <w:sz w:val="22"/>
                    <w:szCs w:val="22"/>
                  </w:rPr>
                  <w:t xml:space="preserve"> 200.00</w:t>
                </w:r>
                <w:r>
                  <w:rPr>
                    <w:rStyle w:val="DefaultParagraphFont"/>
                    <w:rFonts w:ascii="Calibri" w:hAnsi="Calibri"/>
                    <w:b/>
                    <w:sz w:val="22"/>
                    <w:szCs w:val="22"/>
                  </w:rPr>
                  <w:fldChar w:fldCharType="end"/>
                </w:r>
              </w:p>
            </w:tc>
            <w:tc>
              <w:tcPr>
                <w:tcW w:w="1350" w:type="dxa"/>
                <w:tcBorders>
                  <w:top w:val="single" w:sz="4" w:space="0" w:color="D9D9D9" w:themeColor="background1" w:themeShade="D9"/>
                  <w:left w:val="nil"/>
                  <w:bottom w:val="single" w:sz="4" w:space="0" w:color="D9D9D9" w:themeColor="background1" w:themeShade="D9"/>
                  <w:right w:val="single" w:sz="4" w:space="0" w:color="D9D9D9"/>
                </w:tcBorders>
                <w:shd w:val="clear" w:color="auto" w:fill="F7F7F7"/>
                <w:vAlign w:val="center"/>
              </w:tcPr>
              <w:p w:rsidR="003615CB" w:rsidRPr="00692E93" w:rsidP="003615CB">
                <w:pPr>
                  <w:pStyle w:val="Normal125"/>
                  <w:rPr>
                    <w:rStyle w:val="DefaultParagraphFont"/>
                    <w:rFonts w:ascii="Calibri" w:hAnsi="Calibri"/>
                    <w:sz w:val="22"/>
                    <w:szCs w:val="22"/>
                  </w:rPr>
                </w:pPr>
              </w:p>
            </w:tc>
          </w:tr>
        </w:tbl>
        <w:p w:rsidR="003615CB" w:rsidRPr="00E14432"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tblPr>
          <w:tblGrid>
            <w:gridCol w:w="10620"/>
          </w:tblGrid>
          <w:tr w:rsidTr="00E14432">
            <w:tblPrEx>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tblPrEx>
            <w:trPr>
              <w:trHeight w:val="81"/>
            </w:trPr>
            <w:tc>
              <w:tcPr>
                <w:tcW w:w="10620" w:type="dxa"/>
                <w:tcBorders>
                  <w:top w:val="nil"/>
                  <w:left w:val="nil"/>
                  <w:bottom w:val="nil"/>
                  <w:right w:val="nil"/>
                </w:tcBorders>
                <w:shd w:val="clear" w:color="auto" w:fill="F7F7F7"/>
              </w:tcPr>
              <w:p w:rsidR="003615CB" w:rsidRPr="00692E93" w:rsidP="00651CF8">
                <w:pPr>
                  <w:pStyle w:val="Normal125"/>
                  <w:keepNext/>
                  <w:widowControl/>
                  <w:rPr>
                    <w:rStyle w:val="DefaultParagraphFont"/>
                    <w:rFonts w:ascii="Calibri" w:hAnsi="Calibri"/>
                    <w:color w:val="7F7F7F" w:themeTint="80"/>
                    <w:sz w:val="22"/>
                    <w:szCs w:val="22"/>
                  </w:rPr>
                </w:pPr>
                <w:r>
                  <w:rPr>
                    <w:rStyle w:val="DefaultParagraphFont"/>
                    <w:rFonts w:ascii="Calibri" w:hAnsi="Calibri"/>
                    <w:b/>
                    <w:color w:val="172D5F"/>
                    <w:sz w:val="22"/>
                    <w:szCs w:val="22"/>
                  </w:rPr>
                  <w:t>Expected Disbursements (in US$</w:t>
                </w:r>
                <w:r w:rsidR="000B53D2">
                  <w:rPr>
                    <w:rStyle w:val="DefaultParagraphFont"/>
                    <w:rFonts w:ascii="Calibri" w:hAnsi="Calibri"/>
                    <w:b/>
                    <w:color w:val="172D5F"/>
                    <w:sz w:val="22"/>
                    <w:szCs w:val="22"/>
                  </w:rPr>
                  <w:t>,</w:t>
                </w:r>
                <w:r>
                  <w:rPr>
                    <w:rStyle w:val="DefaultParagraphFont"/>
                    <w:rFonts w:ascii="Calibri" w:hAnsi="Calibri"/>
                    <w:b/>
                    <w:color w:val="172D5F"/>
                    <w:sz w:val="22"/>
                    <w:szCs w:val="22"/>
                  </w:rPr>
                  <w:t xml:space="preserve"> m</w:t>
                </w:r>
                <w:r w:rsidRPr="00692E93" w:rsidR="009A0A87">
                  <w:rPr>
                    <w:rStyle w:val="DefaultParagraphFont"/>
                    <w:rFonts w:ascii="Calibri" w:hAnsi="Calibri"/>
                    <w:b/>
                    <w:color w:val="172D5F"/>
                    <w:sz w:val="22"/>
                    <w:szCs w:val="22"/>
                  </w:rPr>
                  <w:t>illion</w:t>
                </w:r>
                <w:r>
                  <w:rPr>
                    <w:rStyle w:val="DefaultParagraphFont"/>
                    <w:rFonts w:ascii="Calibri" w:hAnsi="Calibri"/>
                    <w:b/>
                    <w:color w:val="172D5F"/>
                    <w:sz w:val="22"/>
                    <w:szCs w:val="22"/>
                  </w:rPr>
                  <w:t>s</w:t>
                </w:r>
                <w:r w:rsidRPr="00692E93" w:rsidR="009A0A87">
                  <w:rPr>
                    <w:rStyle w:val="DefaultParagraphFont"/>
                    <w:rFonts w:ascii="Calibri" w:hAnsi="Calibri"/>
                    <w:b/>
                    <w:color w:val="172D5F"/>
                    <w:sz w:val="22"/>
                    <w:szCs w:val="22"/>
                  </w:rPr>
                  <w:t>)</w:t>
                </w:r>
              </w:p>
            </w:tc>
          </w:tr>
        </w:tbl>
        <w:p w:rsidR="00C75553" w:rsidRPr="00E14432" w:rsidP="00651CF8">
          <w:pPr>
            <w:pStyle w:val="Normal125"/>
            <w:keepNext/>
            <w:widowControl/>
            <w:shd w:val="clear" w:color="auto" w:fill="F7F7F7"/>
            <w:ind w:left="-691" w:right="-518"/>
            <w:rPr>
              <w:rStyle w:val="DefaultParagraphFont"/>
              <w:rFonts w:ascii="Calibri" w:hAnsi="Calibri"/>
              <w:color w:val="767171" w:themeShade="80"/>
              <w:sz w:val="22"/>
              <w:szCs w:val="22"/>
            </w:rPr>
          </w:pPr>
        </w:p>
        <w:p w:rsidR="003615CB" w:rsidRPr="00E14432" w:rsidP="00C95840">
          <w:pPr>
            <w:pStyle w:val="Normal125"/>
            <w:shd w:val="clear" w:color="auto" w:fill="F7F7F7"/>
            <w:spacing w:line="14" w:lineRule="exact"/>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tblPr>
          <w:tblGrid>
            <w:gridCol w:w="1300"/>
            <w:gridCol w:w="3728"/>
            <w:gridCol w:w="3728"/>
            <w:gridCol w:w="3728"/>
            <w:gridCol w:w="3728"/>
            <w:gridCol w:w="3728"/>
          </w:tblGrid>
          <w:tr w:rsidTr="00E14432">
            <w:tblPrEx>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tblPrEx>
            <w:trPr>
              <w:trHeight w:val="405"/>
            </w:trPr>
            <w:tc>
              <w:tcPr>
                <w:tcW w:w="1300" w:type="dxa"/>
                <w:tcBorders>
                  <w:top w:val="nil"/>
                  <w:bottom w:val="single" w:sz="12" w:space="0" w:color="D9D9D9" w:themeColor="background1" w:themeShade="D9"/>
                </w:tcBorders>
                <w:shd w:val="clear" w:color="auto" w:fill="F7F7F7"/>
                <w:vAlign w:val="center"/>
              </w:tcPr>
              <w:p w:rsidR="003615CB" w:rsidRPr="00934FB8" w:rsidP="003615CB">
                <w:pPr>
                  <w:pStyle w:val="Normal125"/>
                  <w:rPr>
                    <w:rStyle w:val="DefaultParagraphFont"/>
                    <w:rFonts w:ascii="Calibri" w:hAnsi="Calibri"/>
                    <w:b/>
                    <w:sz w:val="22"/>
                    <w:szCs w:val="22"/>
                  </w:rPr>
                </w:pPr>
                <w:r w:rsidRPr="00692E93">
                  <w:rPr>
                    <w:rStyle w:val="DefaultParagraphFont"/>
                    <w:rFonts w:ascii="Calibri" w:hAnsi="Calibri"/>
                    <w:b/>
                    <w:bCs/>
                    <w:color w:val="767171" w:themeShade="80"/>
                    <w:sz w:val="22"/>
                    <w:szCs w:val="22"/>
                  </w:rPr>
                  <w:t>Fiscal Year</w:t>
                </w:r>
                <w:r>
                  <w:rPr>
                    <w:rStyle w:val="DefaultParagraphFont"/>
                    <w:rFonts w:ascii="Calibri" w:hAnsi="Calibri"/>
                    <w:b/>
                    <w:bCs/>
                    <w:color w:val="767171" w:themeShade="80"/>
                    <w:sz w:val="22"/>
                    <w:szCs w:val="22"/>
                  </w:rPr>
                  <w:t xml:space="preserve">  </w:t>
                </w:r>
              </w:p>
            </w:tc>
            <w:tc>
              <w:tcPr>
                <w:tcW w:w="932" w:type="dxa"/>
                <w:tcBorders>
                  <w:bottom w:val="single" w:sz="12"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2017</w:t>
                </w:r>
              </w:p>
            </w:tc>
            <w:tc>
              <w:tcPr>
                <w:tcW w:w="932" w:type="dxa"/>
                <w:tcBorders>
                  <w:bottom w:val="single" w:sz="12"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2018</w:t>
                </w:r>
              </w:p>
            </w:tc>
            <w:tc>
              <w:tcPr>
                <w:tcW w:w="932" w:type="dxa"/>
                <w:tcBorders>
                  <w:bottom w:val="single" w:sz="12"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2019</w:t>
                </w:r>
              </w:p>
            </w:tc>
            <w:tc>
              <w:tcPr>
                <w:tcW w:w="932" w:type="dxa"/>
                <w:tcBorders>
                  <w:bottom w:val="single" w:sz="12"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2020</w:t>
                </w:r>
              </w:p>
            </w:tc>
            <w:tc>
              <w:tcPr>
                <w:tcW w:w="932" w:type="dxa"/>
                <w:tcBorders>
                  <w:bottom w:val="single" w:sz="12"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2021</w:t>
                </w:r>
              </w:p>
            </w:tc>
          </w:tr>
          <w:tr w:rsidTr="00E14432">
            <w:tblPrEx>
              <w:tblW w:w="10620" w:type="dxa"/>
              <w:tblInd w:w="-720" w:type="dxa"/>
              <w:shd w:val="clear" w:color="auto" w:fill="F7F7F7"/>
              <w:tblLayout w:type="fixed"/>
              <w:tblCellMar>
                <w:top w:w="72" w:type="dxa"/>
                <w:left w:w="115" w:type="dxa"/>
                <w:bottom w:w="72" w:type="dxa"/>
                <w:right w:w="115" w:type="dxa"/>
              </w:tblCellMar>
              <w:tblLook w:val="04A0"/>
            </w:tblPrEx>
            <w:trPr>
              <w:trHeight w:val="288"/>
            </w:trPr>
            <w:tc>
              <w:tcPr>
                <w:tcW w:w="1300"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B77CBF" w:rsidP="003615CB">
                <w:pPr>
                  <w:pStyle w:val="Normal125"/>
                  <w:rPr>
                    <w:rStyle w:val="DefaultParagraphFont"/>
                    <w:rFonts w:ascii="Calibri" w:hAnsi="Calibri"/>
                    <w:noProof/>
                    <w:sz w:val="22"/>
                    <w:szCs w:val="22"/>
                  </w:rPr>
                </w:pPr>
                <w:r w:rsidRPr="00692E93">
                  <w:rPr>
                    <w:rStyle w:val="DefaultParagraphFont"/>
                    <w:rFonts w:ascii="Calibri" w:hAnsi="Calibri"/>
                    <w:b/>
                    <w:bCs/>
                    <w:color w:val="767171" w:themeShade="80"/>
                    <w:sz w:val="22"/>
                    <w:szCs w:val="22"/>
                  </w:rPr>
                  <w:t>Annual</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2.00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43.00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50.00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55.00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50.00</w:t>
                </w:r>
              </w:p>
            </w:tc>
          </w:tr>
          <w:tr w:rsidTr="00E14432">
            <w:tblPrEx>
              <w:tblW w:w="10620" w:type="dxa"/>
              <w:tblInd w:w="-720" w:type="dxa"/>
              <w:shd w:val="clear" w:color="auto" w:fill="F7F7F7"/>
              <w:tblLayout w:type="fixed"/>
              <w:tblCellMar>
                <w:top w:w="72" w:type="dxa"/>
                <w:left w:w="115" w:type="dxa"/>
                <w:bottom w:w="72" w:type="dxa"/>
                <w:right w:w="115" w:type="dxa"/>
              </w:tblCellMar>
              <w:tblLook w:val="04A0"/>
            </w:tblPrEx>
            <w:trPr>
              <w:trHeight w:val="288"/>
            </w:trPr>
            <w:tc>
              <w:tcPr>
                <w:tcW w:w="1300"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B77CBF" w:rsidP="003615CB">
                <w:pPr>
                  <w:pStyle w:val="Normal125"/>
                  <w:ind w:right="-75"/>
                  <w:rPr>
                    <w:rStyle w:val="DefaultParagraphFont"/>
                    <w:rFonts w:ascii="Calibri" w:hAnsi="Calibri"/>
                    <w:noProof/>
                    <w:sz w:val="22"/>
                    <w:szCs w:val="22"/>
                  </w:rPr>
                </w:pPr>
                <w:r w:rsidRPr="00692E93">
                  <w:rPr>
                    <w:rStyle w:val="DefaultParagraphFont"/>
                    <w:rFonts w:ascii="Calibri" w:hAnsi="Calibri"/>
                    <w:b/>
                    <w:bCs/>
                    <w:color w:val="767171" w:themeShade="80"/>
                    <w:sz w:val="22"/>
                    <w:szCs w:val="22"/>
                  </w:rPr>
                  <w:t>Cumulative</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2.00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45.00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95.00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150.00</w:t>
                </w:r>
              </w:p>
            </w:tc>
            <w:tc>
              <w:tcPr>
                <w:tcW w:w="932" w:type="dxa"/>
                <w:tcBorders>
                  <w:top w:val="single" w:sz="4" w:space="0" w:color="D9D9D9" w:themeColor="background1" w:themeShade="D9"/>
                  <w:bottom w:val="single" w:sz="4" w:space="0" w:color="D9D9D9" w:themeColor="background1" w:themeShade="D9"/>
                </w:tcBorders>
                <w:shd w:val="clear" w:color="auto" w:fill="F7F7F7"/>
                <w:vAlign w:val="center"/>
              </w:tcPr>
              <w:p w:rsidR="003615CB" w:rsidRPr="00934FB8" w:rsidP="003615CB">
                <w:pPr>
                  <w:pStyle w:val="Normal125"/>
                  <w:ind w:left="-50"/>
                  <w:jc w:val="right"/>
                  <w:rPr>
                    <w:rStyle w:val="DefaultParagraphFont"/>
                    <w:rFonts w:ascii="Calibri" w:hAnsi="Calibri"/>
                    <w:b/>
                    <w:color w:val="7F7F7F" w:themeTint="80"/>
                    <w:sz w:val="22"/>
                    <w:szCs w:val="22"/>
                  </w:rPr>
                </w:pPr>
                <w:r>
                  <w:rPr>
                    <w:rStyle w:val="DefaultParagraphFont"/>
                    <w:rFonts w:ascii="Calibri" w:hAnsi="Calibri"/>
                    <w:noProof/>
                    <w:sz w:val="22"/>
                    <w:szCs w:val="22"/>
                  </w:rPr>
                  <w:t xml:space="preserve"> 200.00</w:t>
                </w:r>
              </w:p>
            </w:tc>
          </w:tr>
        </w:tbl>
        <w:p w:rsidR="003615CB" w:rsidRPr="00E14432" w:rsidP="00DF5481">
          <w:pPr>
            <w:pStyle w:val="Normal125"/>
            <w:shd w:val="clear" w:color="auto" w:fill="F7F7F7"/>
            <w:spacing w:line="14" w:lineRule="exact"/>
            <w:ind w:left="-691" w:right="-518"/>
            <w:rPr>
              <w:rStyle w:val="DefaultParagraphFont"/>
              <w:rFonts w:ascii="Calibri" w:hAnsi="Calibri"/>
              <w:color w:val="767171" w:themeShade="80"/>
              <w:sz w:val="22"/>
              <w:szCs w:val="22"/>
            </w:rPr>
          </w:pPr>
        </w:p>
        <w:p w:rsidR="003615CB" w:rsidP="00E14432">
          <w:pPr>
            <w:pStyle w:val="Normal125"/>
            <w:shd w:val="clear" w:color="auto" w:fill="F7F7F7"/>
            <w:ind w:left="-691" w:right="-518"/>
            <w:rPr>
              <w:rStyle w:val="DefaultParagraphFont"/>
              <w:rFonts w:ascii="Calibri" w:hAnsi="Calibri"/>
              <w:color w:val="767171" w:themeShade="80"/>
              <w:sz w:val="22"/>
              <w:szCs w:val="22"/>
            </w:rPr>
          </w:pPr>
        </w:p>
        <w:p w:rsidR="00C95840"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56F5A">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p w:rsidR="00FB2669" w:rsidP="00856F5A">
                <w:pPr>
                  <w:pStyle w:val="Normal125"/>
                  <w:keepNext/>
                  <w:widowControl/>
                  <w:spacing w:line="14" w:lineRule="exact"/>
                  <w:rPr>
                    <w:rStyle w:val="DefaultParagraphFont"/>
                    <w:rFonts w:ascii="Calibri" w:hAnsi="Calibri"/>
                    <w:b/>
                    <w:bCs/>
                    <w:sz w:val="22"/>
                    <w:szCs w:val="22"/>
                  </w:rPr>
                </w:pPr>
              </w:p>
              <w:tbl>
                <w:tblPr>
                  <w:tblStyle w:val="TableGrid63"/>
                  <w:tblW w:w="10620" w:type="dxa"/>
                  <w:shd w:val="clear" w:color="auto" w:fill="F7F7F7"/>
                  <w:tblLayout w:type="fixed"/>
                  <w:tblLook w:val="04A0"/>
                </w:tblPr>
                <w:tblGrid>
                  <w:gridCol w:w="10620"/>
                </w:tblGrid>
                <w:tr w:rsidTr="00856F5A">
                  <w:tblPrEx>
                    <w:tblW w:w="10620" w:type="dxa"/>
                    <w:shd w:val="clear" w:color="auto" w:fill="F7F7F7"/>
                    <w:tblLayout w:type="fixed"/>
                    <w:tblLook w:val="04A0"/>
                  </w:tblPrEx>
                  <w:trPr>
                    <w:trHeight w:val="378"/>
                  </w:trPr>
                  <w:tc>
                    <w:tcPr>
                      <w:tcW w:w="1062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FB2669" w:rsidRPr="00656279" w:rsidP="00856F5A">
                      <w:pPr>
                        <w:pStyle w:val="Normal125"/>
                        <w:rPr>
                          <w:rStyle w:val="DefaultParagraphFont"/>
                          <w:rFonts w:eastAsia="Times New Roman"/>
                        </w:rPr>
                      </w:pPr>
                      <w:r w:rsidRPr="00692E93">
                        <w:rPr>
                          <w:rStyle w:val="DefaultParagraphFont"/>
                          <w:rFonts w:ascii="Calibri" w:hAnsi="Calibri"/>
                          <w:b/>
                          <w:bCs/>
                          <w:sz w:val="22"/>
                          <w:szCs w:val="22"/>
                        </w:rPr>
                        <w:t>INSTITUTIONAL DATA</w:t>
                      </w:r>
                    </w:p>
                  </w:tc>
                </w:tr>
              </w:tbl>
              <w:p w:rsidR="00FB2669" w:rsidRPr="00692E93" w:rsidP="00856F5A">
                <w:pPr>
                  <w:pStyle w:val="Normal125"/>
                  <w:keepNext/>
                  <w:widowControl/>
                  <w:rPr>
                    <w:rStyle w:val="DefaultParagraphFont"/>
                    <w:rFonts w:ascii="Calibri" w:hAnsi="Calibri"/>
                    <w:sz w:val="22"/>
                    <w:szCs w:val="22"/>
                  </w:rPr>
                </w:pPr>
              </w:p>
            </w:tc>
          </w:tr>
        </w:tbl>
        <w:p w:rsidR="003615CB" w:rsidRPr="00E14432" w:rsidP="00651CF8">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620"/>
          </w:tblGrid>
          <w:tr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342"/>
            </w:trPr>
            <w:tc>
              <w:tcPr>
                <w:tcW w:w="10620" w:type="dxa"/>
                <w:shd w:val="clear" w:color="auto" w:fill="F7F7F7"/>
                <w:vAlign w:val="center"/>
              </w:tcPr>
              <w:p w:rsidR="003615CB" w:rsidRPr="006E04CA" w:rsidP="003615CB">
                <w:pPr>
                  <w:pStyle w:val="Normal125"/>
                  <w:keepNext/>
                  <w:rPr>
                    <w:rStyle w:val="DefaultParagraphFont"/>
                    <w:rFonts w:ascii="Calibri" w:hAnsi="Calibri"/>
                    <w:b/>
                    <w:bCs/>
                    <w:color w:val="002060"/>
                    <w:sz w:val="22"/>
                    <w:szCs w:val="22"/>
                  </w:rPr>
                </w:pPr>
                <w:r w:rsidRPr="006E04CA">
                  <w:rPr>
                    <w:rStyle w:val="DefaultParagraphFont"/>
                    <w:rFonts w:ascii="Calibri" w:hAnsi="Calibri"/>
                    <w:b/>
                    <w:bCs/>
                    <w:color w:val="002060"/>
                    <w:sz w:val="22"/>
                    <w:szCs w:val="22"/>
                  </w:rPr>
                  <w:t>Practice Area (Lead)</w:t>
                </w:r>
              </w:p>
            </w:tc>
          </w:tr>
          <w:tr w:rsidTr="00E14432">
            <w:tblPrEx>
              <w:tblW w:w="10620" w:type="dxa"/>
              <w:tblInd w:w="-720" w:type="dxa"/>
              <w:shd w:val="clear" w:color="auto" w:fill="F7F7F7"/>
              <w:tblLook w:val="04A0"/>
            </w:tblPrEx>
            <w:trPr>
              <w:trHeight w:val="324"/>
            </w:trPr>
            <w:tc>
              <w:tcPr>
                <w:tcW w:w="10620" w:type="dxa"/>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Social, Urban, Rural</w:t>
                </w:r>
                <w:r w:rsidRPr="00501672">
                  <w:rPr>
                    <w:rStyle w:val="DefaultParagraphFont"/>
                    <w:rFonts w:ascii="Calibri" w:hAnsi="Calibri"/>
                    <w:sz w:val="22"/>
                    <w:szCs w:val="22"/>
                  </w:rPr>
                  <w:t xml:space="preserve"> and Resilience Global Practice</w:t>
                </w:r>
              </w:p>
            </w:tc>
          </w:tr>
        </w:tbl>
        <w:p w:rsidR="003615CB" w:rsidRPr="00E14432"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620"/>
          </w:tblGrid>
          <w:tr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342"/>
            </w:trPr>
            <w:tc>
              <w:tcPr>
                <w:tcW w:w="10620" w:type="dxa"/>
                <w:shd w:val="clear" w:color="auto" w:fill="F7F7F7"/>
                <w:vAlign w:val="center"/>
              </w:tcPr>
              <w:p w:rsidR="003615CB" w:rsidRPr="006E04CA" w:rsidP="003615CB">
                <w:pPr>
                  <w:pStyle w:val="Normal125"/>
                  <w:keepNext/>
                  <w:spacing w:line="276" w:lineRule="auto"/>
                  <w:rPr>
                    <w:rStyle w:val="DefaultParagraphFont"/>
                    <w:rFonts w:ascii="Calibri" w:hAnsi="Calibri"/>
                    <w:b/>
                    <w:bCs/>
                    <w:color w:val="002060"/>
                    <w:sz w:val="22"/>
                    <w:szCs w:val="22"/>
                  </w:rPr>
                </w:pPr>
                <w:r w:rsidRPr="00692E93">
                  <w:rPr>
                    <w:rStyle w:val="DefaultParagraphFont"/>
                    <w:rFonts w:ascii="Calibri" w:hAnsi="Calibri"/>
                    <w:b/>
                    <w:bCs/>
                    <w:color w:val="002060"/>
                    <w:sz w:val="22"/>
                    <w:szCs w:val="22"/>
                  </w:rPr>
                  <w:t>Contributing Practice Areas</w:t>
                </w:r>
              </w:p>
            </w:tc>
          </w:tr>
          <w:tr w:rsidTr="00E14432">
            <w:tblPrEx>
              <w:tblW w:w="10620" w:type="dxa"/>
              <w:tblInd w:w="-720" w:type="dxa"/>
              <w:shd w:val="clear" w:color="auto" w:fill="F7F7F7"/>
              <w:tblLook w:val="04A0"/>
            </w:tblPrEx>
            <w:trPr>
              <w:trHeight w:val="333"/>
            </w:trPr>
            <w:tc>
              <w:tcPr>
                <w:tcW w:w="10620" w:type="dxa"/>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Education</w:t>
                </w:r>
              </w:p>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Governance</w:t>
                </w:r>
              </w:p>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 xml:space="preserve">Health, Nutrition </w:t>
                </w:r>
                <w:r w:rsidRPr="00501672">
                  <w:rPr>
                    <w:rStyle w:val="DefaultParagraphFont"/>
                    <w:rFonts w:ascii="Calibri" w:hAnsi="Calibri"/>
                    <w:sz w:val="22"/>
                    <w:szCs w:val="22"/>
                  </w:rPr>
                  <w:t>&amp; Population</w:t>
                </w:r>
              </w:p>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Transport &amp; ICT</w:t>
                </w:r>
              </w:p>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Water</w:t>
                </w:r>
              </w:p>
            </w:tc>
          </w:tr>
        </w:tbl>
        <w:p w:rsidR="003615CB" w:rsidRPr="00E14432"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620"/>
          </w:tblGrid>
          <w:tr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c>
              <w:tcPr>
                <w:tcW w:w="10620" w:type="dxa"/>
                <w:shd w:val="clear" w:color="auto" w:fill="F7F7F7"/>
                <w:vAlign w:val="center"/>
              </w:tcPr>
              <w:p w:rsidR="003615CB" w:rsidRPr="005E0473" w:rsidP="003615CB">
                <w:pPr>
                  <w:pStyle w:val="Normal125"/>
                  <w:keepNext/>
                  <w:spacing w:after="120"/>
                  <w:rPr>
                    <w:rStyle w:val="DefaultParagraphFont"/>
                    <w:rFonts w:ascii="Calibri" w:hAnsi="Calibri"/>
                    <w:b/>
                    <w:bCs/>
                    <w:color w:val="172D5F"/>
                    <w:sz w:val="22"/>
                    <w:szCs w:val="22"/>
                  </w:rPr>
                </w:pPr>
                <w:r w:rsidRPr="005E0473">
                  <w:rPr>
                    <w:rStyle w:val="DefaultParagraphFont"/>
                    <w:rFonts w:ascii="Calibri" w:hAnsi="Calibri"/>
                    <w:b/>
                    <w:bCs/>
                    <w:color w:val="172D5F"/>
                    <w:sz w:val="22"/>
                    <w:szCs w:val="22"/>
                  </w:rPr>
                  <w:t>Climate Change and Disaster Screening</w:t>
                </w:r>
              </w:p>
            </w:tc>
          </w:tr>
          <w:tr w:rsidTr="00E14432">
            <w:tblPrEx>
              <w:tblW w:w="10620" w:type="dxa"/>
              <w:tblInd w:w="-720" w:type="dxa"/>
              <w:shd w:val="clear" w:color="auto" w:fill="F7F7F7"/>
              <w:tblLook w:val="04A0"/>
            </w:tblPrEx>
            <w:trPr>
              <w:trHeight w:val="80"/>
            </w:trPr>
            <w:tc>
              <w:tcPr>
                <w:tcW w:w="10620" w:type="dxa"/>
                <w:shd w:val="clear" w:color="auto" w:fill="F7F7F7"/>
                <w:vAlign w:val="center"/>
              </w:tcPr>
              <w:p w:rsidR="003615CB" w:rsidRPr="005E0473" w:rsidP="003615CB">
                <w:pPr>
                  <w:pStyle w:val="Normal125"/>
                  <w:spacing w:after="120"/>
                  <w:rPr>
                    <w:rStyle w:val="DefaultParagraphFont"/>
                    <w:rFonts w:ascii="Calibri" w:hAnsi="Calibri"/>
                    <w:noProof/>
                    <w:sz w:val="22"/>
                    <w:szCs w:val="18"/>
                  </w:rPr>
                </w:pPr>
                <w:r w:rsidRPr="005E0473">
                  <w:rPr>
                    <w:rStyle w:val="DefaultParagraphFont"/>
                    <w:rFonts w:ascii="Calibri" w:hAnsi="Calibri"/>
                    <w:noProof/>
                    <w:sz w:val="22"/>
                    <w:szCs w:val="18"/>
                  </w:rPr>
                  <w:t>This operation has been</w:t>
                </w:r>
                <w:r w:rsidRPr="005E0473">
                  <w:rPr>
                    <w:rStyle w:val="DefaultParagraphFont"/>
                    <w:rFonts w:ascii="Calibri" w:hAnsi="Calibri"/>
                    <w:noProof/>
                    <w:sz w:val="22"/>
                    <w:szCs w:val="18"/>
                  </w:rPr>
                  <w:t xml:space="preserve"> screened for short and long-term climate change and disaster risks</w:t>
                </w:r>
              </w:p>
            </w:tc>
          </w:tr>
        </w:tbl>
        <w:p w:rsidR="003615CB" w:rsidRPr="00E14432"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620"/>
          </w:tblGrid>
          <w:tr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b/>
                    <w:bCs/>
                    <w:color w:val="172D5F"/>
                    <w:sz w:val="22"/>
                    <w:szCs w:val="22"/>
                  </w:rPr>
                </w:pPr>
                <w:r w:rsidRPr="00A35C75">
                  <w:rPr>
                    <w:rStyle w:val="DefaultParagraphFont"/>
                    <w:rFonts w:ascii="Calibri" w:hAnsi="Calibri"/>
                    <w:b/>
                    <w:bCs/>
                    <w:color w:val="172D5F"/>
                    <w:sz w:val="22"/>
                    <w:szCs w:val="22"/>
                  </w:rPr>
                  <w:t>Gender Tag</w:t>
                </w: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b/>
                    <w:bCs/>
                    <w:color w:val="172D5F"/>
                    <w:sz w:val="22"/>
                    <w:szCs w:val="22"/>
                  </w:rPr>
                </w:pP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color w:val="7F7F7F" w:themeTint="80"/>
                    <w:sz w:val="22"/>
                    <w:szCs w:val="22"/>
                  </w:rPr>
                </w:pPr>
                <w:r w:rsidRPr="00A35C75">
                  <w:rPr>
                    <w:rStyle w:val="DefaultParagraphFont"/>
                    <w:rFonts w:ascii="Calibri" w:hAnsi="Calibri"/>
                    <w:color w:val="7F7F7F" w:themeTint="80"/>
                    <w:sz w:val="22"/>
                    <w:szCs w:val="22"/>
                  </w:rPr>
                  <w:t>Does the project plan to undertake any of the following?</w:t>
                </w: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color w:val="7F7F7F" w:themeTint="80"/>
                    <w:sz w:val="22"/>
                    <w:szCs w:val="22"/>
                  </w:rPr>
                </w:pP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color w:val="7F7F7F" w:themeTint="80"/>
                    <w:sz w:val="22"/>
                    <w:szCs w:val="22"/>
                  </w:rPr>
                </w:pPr>
                <w:r w:rsidRPr="00A35C75">
                  <w:rPr>
                    <w:rStyle w:val="DefaultParagraphFont"/>
                    <w:rFonts w:ascii="Calibri" w:hAnsi="Calibri"/>
                    <w:color w:val="7F7F7F" w:themeTint="80"/>
                    <w:sz w:val="22"/>
                    <w:szCs w:val="22"/>
                  </w:rPr>
                  <w:t>a. Analysis to identify Project-relevant gaps between males and females, especially in light of country gaps identified through SCD and CPF</w:t>
                </w: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spacing w:line="120" w:lineRule="exact"/>
                  <w:rPr>
                    <w:rStyle w:val="DefaultParagraphFont"/>
                    <w:rFonts w:ascii="Calibri" w:hAnsi="Calibri"/>
                    <w:color w:val="7F7F7F" w:themeTint="80"/>
                    <w:sz w:val="22"/>
                    <w:szCs w:val="22"/>
                  </w:rPr>
                </w:pP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rPr>
                    <w:rStyle w:val="DefaultParagraphFont"/>
                    <w:rFonts w:ascii="Calibri" w:hAnsi="Calibri"/>
                    <w:sz w:val="22"/>
                    <w:szCs w:val="22"/>
                  </w:rPr>
                </w:pPr>
                <w:r w:rsidRPr="00A35C75">
                  <w:rPr>
                    <w:rStyle w:val="DefaultParagraphFont"/>
                    <w:rFonts w:ascii="Calibri" w:hAnsi="Calibri"/>
                    <w:sz w:val="22"/>
                    <w:szCs w:val="22"/>
                  </w:rPr>
                  <w:fldChar w:fldCharType="begin"/>
                </w:r>
                <w:r w:rsidRPr="00A35C75">
                  <w:rPr>
                    <w:rStyle w:val="DefaultParagraphFont"/>
                    <w:rFonts w:ascii="Calibri" w:hAnsi="Calibri"/>
                    <w:sz w:val="22"/>
                    <w:szCs w:val="22"/>
                  </w:rPr>
                  <w:instrText xml:space="preserve"> IF </w:instrText>
                </w:r>
                <w:r w:rsidRPr="00A35C75">
                  <w:rPr>
                    <w:rStyle w:val="DefaultParagraphFont"/>
                    <w:rFonts w:ascii="Calibri" w:hAnsi="Calibri"/>
                    <w:noProof/>
                    <w:sz w:val="22"/>
                    <w:szCs w:val="22"/>
                  </w:rPr>
                  <w:instrText>Yes</w:instrText>
                </w:r>
                <w:r w:rsidRPr="00A35C75">
                  <w:rPr>
                    <w:rStyle w:val="DefaultParagraphFont"/>
                    <w:rFonts w:ascii="Calibri" w:hAnsi="Calibri"/>
                    <w:sz w:val="22"/>
                    <w:szCs w:val="22"/>
                  </w:rPr>
                  <w:instrText xml:space="preserve"> ="TBD" </w:instrText>
                </w:r>
                <w:r w:rsidRPr="00A35C75">
                  <w:rPr>
                    <w:rStyle w:val="DefaultParagraphFont"/>
                    <w:rFonts w:ascii="Calibri" w:hAnsi="Calibri" w:cs="Segoe UI Symbol"/>
                    <w:sz w:val="22"/>
                    <w:szCs w:val="22"/>
                  </w:rPr>
                  <w:instrText>" "</w:instrText>
                </w:r>
                <w:r w:rsidRPr="00A35C75">
                  <w:rPr>
                    <w:rStyle w:val="DefaultParagraphFont"/>
                    <w:rFonts w:ascii="Calibri" w:hAnsi="Calibri"/>
                    <w:sz w:val="22"/>
                    <w:szCs w:val="22"/>
                  </w:rPr>
                  <w:instrText xml:space="preserve"> </w:instrText>
                </w:r>
                <w:r w:rsidRPr="00A35C75">
                  <w:rPr>
                    <w:rStyle w:val="DefaultParagraphFont"/>
                    <w:rFonts w:ascii="Calibri" w:hAnsi="Calibri"/>
                    <w:noProof/>
                    <w:sz w:val="22"/>
                    <w:szCs w:val="22"/>
                  </w:rPr>
                  <w:instrText>Yes</w:instrText>
                </w:r>
                <w:r w:rsidRPr="00A35C75">
                  <w:rPr>
                    <w:rStyle w:val="DefaultParagraphFont"/>
                    <w:rFonts w:ascii="Calibri" w:hAnsi="Calibri"/>
                    <w:sz w:val="22"/>
                    <w:szCs w:val="22"/>
                  </w:rPr>
                  <w:instrText xml:space="preserve"> </w:instrText>
                </w:r>
                <w:r w:rsidRPr="00A35C75">
                  <w:rPr>
                    <w:rStyle w:val="DefaultParagraphFont"/>
                    <w:rFonts w:ascii="Calibri" w:hAnsi="Calibri"/>
                    <w:sz w:val="22"/>
                    <w:szCs w:val="22"/>
                  </w:rPr>
                  <w:fldChar w:fldCharType="separate"/>
                </w:r>
                <w:r w:rsidRPr="00A35C75">
                  <w:rPr>
                    <w:rStyle w:val="DefaultParagraphFont"/>
                    <w:rFonts w:ascii="Calibri" w:hAnsi="Calibri"/>
                    <w:noProof/>
                    <w:sz w:val="22"/>
                    <w:szCs w:val="22"/>
                  </w:rPr>
                  <w:t>Yes</w:t>
                </w:r>
                <w:r w:rsidRPr="00A35C75">
                  <w:rPr>
                    <w:rStyle w:val="DefaultParagraphFont"/>
                    <w:rFonts w:ascii="Calibri" w:hAnsi="Calibri"/>
                    <w:sz w:val="22"/>
                    <w:szCs w:val="22"/>
                  </w:rPr>
                  <w:fldChar w:fldCharType="end"/>
                </w: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rPr>
                    <w:rStyle w:val="DefaultParagraphFont"/>
                    <w:rFonts w:ascii="Calibri" w:hAnsi="Calibri"/>
                    <w:sz w:val="22"/>
                    <w:szCs w:val="22"/>
                  </w:rPr>
                </w:pP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color w:val="7F7F7F" w:themeTint="80"/>
                    <w:sz w:val="22"/>
                    <w:szCs w:val="22"/>
                  </w:rPr>
                </w:pPr>
                <w:r w:rsidRPr="00A35C75">
                  <w:rPr>
                    <w:rStyle w:val="DefaultParagraphFont"/>
                    <w:rFonts w:ascii="Calibri" w:hAnsi="Calibri"/>
                    <w:color w:val="7F7F7F" w:themeTint="80"/>
                    <w:sz w:val="22"/>
                    <w:szCs w:val="22"/>
                  </w:rPr>
                  <w:t>b. Specific action(s) to address the gender gaps identified in (a) and/or to improve women or men's empowerment</w:t>
                </w: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spacing w:line="120" w:lineRule="exact"/>
                  <w:rPr>
                    <w:rStyle w:val="DefaultParagraphFont"/>
                    <w:rFonts w:ascii="Calibri" w:hAnsi="Calibri"/>
                    <w:color w:val="7F7F7F" w:themeTint="80"/>
                    <w:sz w:val="22"/>
                    <w:szCs w:val="22"/>
                  </w:rPr>
                </w:pP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sz w:val="22"/>
                    <w:szCs w:val="22"/>
                  </w:rPr>
                </w:pPr>
                <w:r w:rsidRPr="00A35C75">
                  <w:rPr>
                    <w:rStyle w:val="DefaultParagraphFont"/>
                    <w:rFonts w:ascii="Calibri" w:hAnsi="Calibri"/>
                    <w:sz w:val="22"/>
                    <w:szCs w:val="22"/>
                  </w:rPr>
                  <w:fldChar w:fldCharType="begin"/>
                </w:r>
                <w:r w:rsidRPr="00A35C75">
                  <w:rPr>
                    <w:rStyle w:val="DefaultParagraphFont"/>
                    <w:rFonts w:ascii="Calibri" w:hAnsi="Calibri"/>
                    <w:sz w:val="22"/>
                    <w:szCs w:val="22"/>
                  </w:rPr>
                  <w:instrText xml:space="preserve"> IF </w:instrText>
                </w:r>
                <w:r w:rsidRPr="00A35C75">
                  <w:rPr>
                    <w:rStyle w:val="DefaultParagraphFont"/>
                    <w:rFonts w:ascii="Calibri" w:hAnsi="Calibri"/>
                    <w:noProof/>
                    <w:sz w:val="22"/>
                    <w:szCs w:val="22"/>
                  </w:rPr>
                  <w:instrText>Yes</w:instrText>
                </w:r>
                <w:r w:rsidRPr="00A35C75">
                  <w:rPr>
                    <w:rStyle w:val="DefaultParagraphFont"/>
                    <w:rFonts w:ascii="Calibri" w:hAnsi="Calibri"/>
                    <w:sz w:val="22"/>
                    <w:szCs w:val="22"/>
                  </w:rPr>
                  <w:instrText xml:space="preserve"> ="TBD" </w:instrText>
                </w:r>
                <w:r w:rsidRPr="00A35C75">
                  <w:rPr>
                    <w:rStyle w:val="DefaultParagraphFont"/>
                    <w:rFonts w:ascii="Calibri" w:hAnsi="Calibri" w:cs="Segoe UI Symbol"/>
                    <w:sz w:val="22"/>
                    <w:szCs w:val="22"/>
                  </w:rPr>
                  <w:instrText>" "</w:instrText>
                </w:r>
                <w:r w:rsidRPr="00A35C75">
                  <w:rPr>
                    <w:rStyle w:val="DefaultParagraphFont"/>
                    <w:rFonts w:ascii="Calibri" w:hAnsi="Calibri"/>
                    <w:sz w:val="22"/>
                    <w:szCs w:val="22"/>
                  </w:rPr>
                  <w:instrText xml:space="preserve"> </w:instrText>
                </w:r>
                <w:r w:rsidRPr="00A35C75">
                  <w:rPr>
                    <w:rStyle w:val="DefaultParagraphFont"/>
                    <w:rFonts w:ascii="Calibri" w:hAnsi="Calibri"/>
                    <w:noProof/>
                    <w:sz w:val="22"/>
                    <w:szCs w:val="22"/>
                  </w:rPr>
                  <w:instrText>Yes</w:instrText>
                </w:r>
                <w:r w:rsidRPr="00A35C75">
                  <w:rPr>
                    <w:rStyle w:val="DefaultParagraphFont"/>
                    <w:rFonts w:ascii="Calibri" w:hAnsi="Calibri"/>
                    <w:sz w:val="22"/>
                    <w:szCs w:val="22"/>
                  </w:rPr>
                  <w:instrText xml:space="preserve"> </w:instrText>
                </w:r>
                <w:r w:rsidRPr="00A35C75">
                  <w:rPr>
                    <w:rStyle w:val="DefaultParagraphFont"/>
                    <w:rFonts w:ascii="Calibri" w:hAnsi="Calibri"/>
                    <w:sz w:val="22"/>
                    <w:szCs w:val="22"/>
                  </w:rPr>
                  <w:fldChar w:fldCharType="separate"/>
                </w:r>
                <w:r w:rsidRPr="00A35C75">
                  <w:rPr>
                    <w:rStyle w:val="DefaultParagraphFont"/>
                    <w:rFonts w:ascii="Calibri" w:hAnsi="Calibri"/>
                    <w:noProof/>
                    <w:sz w:val="22"/>
                    <w:szCs w:val="22"/>
                  </w:rPr>
                  <w:t>Yes</w:t>
                </w:r>
                <w:r w:rsidRPr="00A35C75">
                  <w:rPr>
                    <w:rStyle w:val="DefaultParagraphFont"/>
                    <w:rFonts w:ascii="Calibri" w:hAnsi="Calibri"/>
                    <w:sz w:val="22"/>
                    <w:szCs w:val="22"/>
                  </w:rPr>
                  <w:fldChar w:fldCharType="end"/>
                </w: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rPr>
                    <w:rStyle w:val="DefaultParagraphFont"/>
                    <w:rFonts w:ascii="Calibri" w:hAnsi="Calibri"/>
                    <w:sz w:val="22"/>
                    <w:szCs w:val="22"/>
                  </w:rPr>
                </w:pP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rPr>
                    <w:rStyle w:val="DefaultParagraphFont"/>
                    <w:rFonts w:ascii="Calibri" w:hAnsi="Calibri"/>
                    <w:color w:val="7F7F7F" w:themeTint="80"/>
                    <w:sz w:val="22"/>
                    <w:szCs w:val="22"/>
                  </w:rPr>
                </w:pPr>
                <w:r w:rsidRPr="00A35C75">
                  <w:rPr>
                    <w:rStyle w:val="DefaultParagraphFont"/>
                    <w:rFonts w:ascii="Calibri" w:hAnsi="Calibri"/>
                    <w:color w:val="7F7F7F" w:themeTint="80"/>
                    <w:sz w:val="22"/>
                    <w:szCs w:val="22"/>
                  </w:rPr>
                  <w:t>c. Include Indicators in results framework to monitor outcomes from actions identified in (b)</w:t>
                </w: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keepNext/>
                  <w:spacing w:line="120" w:lineRule="exact"/>
                  <w:rPr>
                    <w:rStyle w:val="DefaultParagraphFont"/>
                    <w:rFonts w:ascii="Calibri" w:hAnsi="Calibri"/>
                    <w:color w:val="7F7F7F" w:themeTint="80"/>
                    <w:sz w:val="22"/>
                    <w:szCs w:val="22"/>
                  </w:rPr>
                </w:pPr>
              </w:p>
            </w:tc>
          </w:tr>
          <w:tr w:rsidTr="00E14432">
            <w:tblPrEx>
              <w:tblW w:w="10620" w:type="dxa"/>
              <w:tblInd w:w="-720" w:type="dxa"/>
              <w:shd w:val="clear" w:color="auto" w:fill="F7F7F7"/>
              <w:tblLook w:val="04A0"/>
            </w:tblPrEx>
            <w:tc>
              <w:tcPr>
                <w:tcW w:w="10620" w:type="dxa"/>
                <w:shd w:val="clear" w:color="auto" w:fill="F7F7F7"/>
              </w:tcPr>
              <w:p w:rsidR="00A35C75" w:rsidRPr="00A35C75" w:rsidP="00E925CE">
                <w:pPr>
                  <w:pStyle w:val="Normal125"/>
                  <w:rPr>
                    <w:rStyle w:val="DefaultParagraphFont"/>
                    <w:rFonts w:ascii="Calibri" w:hAnsi="Calibri"/>
                    <w:sz w:val="22"/>
                    <w:szCs w:val="22"/>
                  </w:rPr>
                </w:pPr>
                <w:r w:rsidRPr="00A35C75">
                  <w:rPr>
                    <w:rStyle w:val="DefaultParagraphFont"/>
                    <w:rFonts w:ascii="Calibri" w:hAnsi="Calibri"/>
                    <w:sz w:val="22"/>
                    <w:szCs w:val="22"/>
                  </w:rPr>
                  <w:fldChar w:fldCharType="begin"/>
                </w:r>
                <w:r w:rsidRPr="00A35C75">
                  <w:rPr>
                    <w:rStyle w:val="DefaultParagraphFont"/>
                    <w:rFonts w:ascii="Calibri" w:hAnsi="Calibri"/>
                    <w:sz w:val="22"/>
                    <w:szCs w:val="22"/>
                  </w:rPr>
                  <w:instrText xml:space="preserve"> IF </w:instrText>
                </w:r>
                <w:r w:rsidRPr="00A35C75">
                  <w:rPr>
                    <w:rStyle w:val="DefaultParagraphFont"/>
                    <w:rFonts w:ascii="Calibri" w:hAnsi="Calibri"/>
                    <w:noProof/>
                    <w:sz w:val="22"/>
                    <w:szCs w:val="22"/>
                  </w:rPr>
                  <w:instrText>Yes</w:instrText>
                </w:r>
                <w:r w:rsidRPr="00A35C75">
                  <w:rPr>
                    <w:rStyle w:val="DefaultParagraphFont"/>
                    <w:rFonts w:ascii="Calibri" w:hAnsi="Calibri"/>
                    <w:sz w:val="22"/>
                    <w:szCs w:val="22"/>
                  </w:rPr>
                  <w:instrText xml:space="preserve"> ="TBD" </w:instrText>
                </w:r>
                <w:r w:rsidRPr="00A35C75">
                  <w:rPr>
                    <w:rStyle w:val="DefaultParagraphFont"/>
                    <w:rFonts w:ascii="Calibri" w:hAnsi="Calibri" w:cs="Segoe UI Symbol"/>
                    <w:sz w:val="22"/>
                    <w:szCs w:val="22"/>
                  </w:rPr>
                  <w:instrText>" "</w:instrText>
                </w:r>
                <w:r w:rsidRPr="00A35C75">
                  <w:rPr>
                    <w:rStyle w:val="DefaultParagraphFont"/>
                    <w:rFonts w:ascii="Calibri" w:hAnsi="Calibri"/>
                    <w:sz w:val="22"/>
                    <w:szCs w:val="22"/>
                  </w:rPr>
                  <w:instrText xml:space="preserve"> </w:instrText>
                </w:r>
                <w:r w:rsidRPr="00A35C75">
                  <w:rPr>
                    <w:rStyle w:val="DefaultParagraphFont"/>
                    <w:rFonts w:ascii="Calibri" w:hAnsi="Calibri"/>
                    <w:noProof/>
                    <w:sz w:val="22"/>
                    <w:szCs w:val="22"/>
                  </w:rPr>
                  <w:instrText>Yes</w:instrText>
                </w:r>
                <w:r w:rsidRPr="00A35C75">
                  <w:rPr>
                    <w:rStyle w:val="DefaultParagraphFont"/>
                    <w:rFonts w:ascii="Calibri" w:hAnsi="Calibri"/>
                    <w:sz w:val="22"/>
                    <w:szCs w:val="22"/>
                  </w:rPr>
                  <w:instrText xml:space="preserve"> </w:instrText>
                </w:r>
                <w:r w:rsidRPr="00A35C75">
                  <w:rPr>
                    <w:rStyle w:val="DefaultParagraphFont"/>
                    <w:rFonts w:ascii="Calibri" w:hAnsi="Calibri"/>
                    <w:sz w:val="22"/>
                    <w:szCs w:val="22"/>
                  </w:rPr>
                  <w:fldChar w:fldCharType="separate"/>
                </w:r>
                <w:r w:rsidRPr="00A35C75">
                  <w:rPr>
                    <w:rStyle w:val="DefaultParagraphFont"/>
                    <w:rFonts w:ascii="Calibri" w:hAnsi="Calibri"/>
                    <w:noProof/>
                    <w:sz w:val="22"/>
                    <w:szCs w:val="22"/>
                  </w:rPr>
                  <w:t>Yes</w:t>
                </w:r>
                <w:r w:rsidRPr="00A35C75">
                  <w:rPr>
                    <w:rStyle w:val="DefaultParagraphFont"/>
                    <w:rFonts w:ascii="Calibri" w:hAnsi="Calibri"/>
                    <w:sz w:val="22"/>
                    <w:szCs w:val="22"/>
                  </w:rPr>
                  <w:fldChar w:fldCharType="end"/>
                </w:r>
              </w:p>
            </w:tc>
          </w:tr>
        </w:tbl>
        <w:p w:rsidR="003615CB" w:rsidP="00E14432">
          <w:pPr>
            <w:pStyle w:val="Normal125"/>
            <w:shd w:val="clear" w:color="auto" w:fill="F7F7F7"/>
            <w:ind w:left="-691" w:right="-518"/>
            <w:rPr>
              <w:rStyle w:val="DefaultParagraphFont"/>
              <w:rFonts w:ascii="Calibri" w:hAnsi="Calibri"/>
              <w:color w:val="767171" w:themeShade="80"/>
              <w:sz w:val="22"/>
              <w:szCs w:val="22"/>
            </w:rPr>
          </w:pPr>
        </w:p>
        <w:p w:rsidR="00C95840"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56F5A">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63"/>
                  <w:tblW w:w="10620" w:type="dxa"/>
                  <w:shd w:val="clear" w:color="auto" w:fill="F7F7F7"/>
                  <w:tblLayout w:type="fixed"/>
                  <w:tblLook w:val="04A0"/>
                </w:tblPr>
                <w:tblGrid>
                  <w:gridCol w:w="10620"/>
                </w:tblGrid>
                <w:tr w:rsidTr="00856F5A">
                  <w:tblPrEx>
                    <w:tblW w:w="10620" w:type="dxa"/>
                    <w:shd w:val="clear" w:color="auto" w:fill="F7F7F7"/>
                    <w:tblLayout w:type="fixed"/>
                    <w:tblLook w:val="04A0"/>
                  </w:tblPrEx>
                  <w:trPr>
                    <w:trHeight w:val="378"/>
                  </w:trPr>
                  <w:tc>
                    <w:tcPr>
                      <w:tcW w:w="1062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FB2669" w:rsidRPr="00656279" w:rsidP="00856F5A">
                      <w:pPr>
                        <w:pStyle w:val="Normal125"/>
                        <w:rPr>
                          <w:rStyle w:val="DefaultParagraphFont"/>
                          <w:rFonts w:eastAsia="Times New Roman"/>
                        </w:rPr>
                      </w:pPr>
                      <w:r>
                        <w:rPr>
                          <w:rStyle w:val="DefaultParagraphFont"/>
                          <w:rFonts w:ascii="Calibri" w:hAnsi="Calibri"/>
                          <w:b/>
                          <w:bCs/>
                          <w:sz w:val="22"/>
                          <w:szCs w:val="22"/>
                        </w:rPr>
                        <w:t>SYSTEMATIC OPERATIONS RISK-</w:t>
                      </w:r>
                      <w:r w:rsidRPr="00692E93">
                        <w:rPr>
                          <w:rStyle w:val="DefaultParagraphFont"/>
                          <w:rFonts w:ascii="Calibri" w:hAnsi="Calibri"/>
                          <w:b/>
                          <w:bCs/>
                          <w:sz w:val="22"/>
                          <w:szCs w:val="22"/>
                        </w:rPr>
                        <w:t>RATING TOOL (SORT)</w:t>
                      </w:r>
                    </w:p>
                  </w:tc>
                </w:tr>
              </w:tbl>
              <w:p w:rsidR="00FB2669" w:rsidRPr="00692E93" w:rsidP="00856F5A">
                <w:pPr>
                  <w:pStyle w:val="Normal125"/>
                  <w:keepNext/>
                  <w:widowControl/>
                  <w:rPr>
                    <w:rStyle w:val="DefaultParagraphFont"/>
                    <w:rFonts w:ascii="Calibri" w:hAnsi="Calibri"/>
                    <w:sz w:val="22"/>
                    <w:szCs w:val="22"/>
                  </w:rPr>
                </w:pPr>
              </w:p>
            </w:tc>
          </w:tr>
        </w:tbl>
        <w:p w:rsidR="003615CB" w:rsidRPr="00E14432" w:rsidP="00C95840">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7740"/>
            <w:gridCol w:w="2880"/>
          </w:tblGrid>
          <w:tr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288"/>
            </w:trPr>
            <w:tc>
              <w:tcPr>
                <w:tcW w:w="7740" w:type="dxa"/>
                <w:tcBorders>
                  <w:bottom w:val="single" w:sz="12" w:space="0" w:color="D9D9D9" w:themeColor="background1" w:themeShade="D9"/>
                </w:tcBorders>
                <w:shd w:val="clear" w:color="auto" w:fill="F7F7F7"/>
                <w:vAlign w:val="center"/>
              </w:tcPr>
              <w:p w:rsidR="003615CB" w:rsidRPr="00501672" w:rsidP="00C95840">
                <w:pPr>
                  <w:pStyle w:val="Normal125"/>
                  <w:keepNext/>
                  <w:widowControl/>
                  <w:rPr>
                    <w:rStyle w:val="DefaultParagraphFont"/>
                    <w:rFonts w:ascii="Calibri" w:hAnsi="Calibri"/>
                    <w:b/>
                    <w:bCs/>
                    <w:color w:val="7F7F7F" w:themeTint="80"/>
                    <w:sz w:val="22"/>
                    <w:szCs w:val="22"/>
                  </w:rPr>
                </w:pPr>
                <w:r w:rsidRPr="00501672">
                  <w:rPr>
                    <w:rStyle w:val="DefaultParagraphFont"/>
                    <w:rFonts w:ascii="Calibri" w:hAnsi="Calibri"/>
                    <w:b/>
                    <w:bCs/>
                    <w:color w:val="7F7F7F" w:themeTint="80"/>
                    <w:sz w:val="22"/>
                    <w:szCs w:val="22"/>
                  </w:rPr>
                  <w:t>Risk Category</w:t>
                </w:r>
              </w:p>
            </w:tc>
            <w:tc>
              <w:tcPr>
                <w:tcW w:w="2880" w:type="dxa"/>
                <w:tcBorders>
                  <w:bottom w:val="single" w:sz="12" w:space="0" w:color="D9D9D9" w:themeColor="background1" w:themeShade="D9"/>
                </w:tcBorders>
                <w:shd w:val="clear" w:color="auto" w:fill="F7F7F7"/>
                <w:vAlign w:val="center"/>
              </w:tcPr>
              <w:p w:rsidR="003615CB" w:rsidRPr="00501672" w:rsidP="00C95840">
                <w:pPr>
                  <w:pStyle w:val="Normal125"/>
                  <w:keepNext/>
                  <w:widowControl/>
                  <w:rPr>
                    <w:rStyle w:val="DefaultParagraphFont"/>
                    <w:rFonts w:ascii="Calibri" w:hAnsi="Calibri"/>
                    <w:b/>
                    <w:bCs/>
                    <w:color w:val="7F7F7F" w:themeTint="80"/>
                    <w:sz w:val="22"/>
                    <w:szCs w:val="22"/>
                  </w:rPr>
                </w:pPr>
                <w:r w:rsidRPr="00501672">
                  <w:rPr>
                    <w:rStyle w:val="DefaultParagraphFont"/>
                    <w:rFonts w:ascii="Calibri" w:hAnsi="Calibri"/>
                    <w:b/>
                    <w:bCs/>
                    <w:color w:val="7F7F7F" w:themeTint="80"/>
                    <w:sz w:val="22"/>
                    <w:szCs w:val="22"/>
                  </w:rPr>
                  <w:t>Rating</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1.</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Political and</w:t>
                </w:r>
                <w:r w:rsidRPr="00501672">
                  <w:rPr>
                    <w:rStyle w:val="DefaultParagraphFont"/>
                    <w:rFonts w:ascii="Calibri" w:hAnsi="Calibri"/>
                    <w:sz w:val="22"/>
                    <w:szCs w:val="22"/>
                  </w:rPr>
                  <w:t xml:space="preserve"> Governance</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C0301"/>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High</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2.</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Macroeconomic</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FAF00"/>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Substantial</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3.</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Sector Strategies</w:t>
                </w:r>
                <w:r w:rsidRPr="00501672">
                  <w:rPr>
                    <w:rStyle w:val="DefaultParagraphFont"/>
                    <w:rFonts w:ascii="Calibri" w:hAnsi="Calibri"/>
                    <w:sz w:val="22"/>
                    <w:szCs w:val="22"/>
                  </w:rPr>
                  <w:t xml:space="preserve"> and Policies</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ECC00"/>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Moderate</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4.</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Technical Design</w:t>
                </w:r>
                <w:r w:rsidRPr="00501672">
                  <w:rPr>
                    <w:rStyle w:val="DefaultParagraphFont"/>
                    <w:rFonts w:ascii="Calibri" w:hAnsi="Calibri"/>
                    <w:sz w:val="22"/>
                    <w:szCs w:val="22"/>
                  </w:rPr>
                  <w:t xml:space="preserve"> of Project or Program</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S</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FAF00"/>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Substantial</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5.</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Institutional Capacity</w:t>
                </w:r>
                <w:r w:rsidRPr="00501672">
                  <w:rPr>
                    <w:rStyle w:val="DefaultParagraphFont"/>
                    <w:rFonts w:ascii="Calibri" w:hAnsi="Calibri"/>
                    <w:sz w:val="22"/>
                    <w:szCs w:val="22"/>
                  </w:rPr>
                  <w:t xml:space="preserve"> for Implementation and Sustainability</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C0301"/>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High</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6.</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Fiduciary</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C0301"/>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High</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7.</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Environment and</w:t>
                </w:r>
                <w:r w:rsidRPr="00501672">
                  <w:rPr>
                    <w:rStyle w:val="DefaultParagraphFont"/>
                    <w:rFonts w:ascii="Calibri" w:hAnsi="Calibri"/>
                    <w:sz w:val="22"/>
                    <w:szCs w:val="22"/>
                  </w:rPr>
                  <w:t xml:space="preserve"> Social</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ECC00"/>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Moderate</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8.</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Stakeholders</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ECC00"/>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M</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Moderate</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9.</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Other</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C0301"/>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High</w:t>
                </w:r>
              </w:p>
            </w:tc>
          </w:tr>
          <w:tr w:rsidTr="00E14432">
            <w:tblPrEx>
              <w:tblW w:w="10620" w:type="dxa"/>
              <w:tblInd w:w="-720" w:type="dxa"/>
              <w:shd w:val="clear" w:color="auto" w:fill="F7F7F7"/>
              <w:tblLayout w:type="fixed"/>
              <w:tblLook w:val="04A0"/>
            </w:tblPrEx>
            <w:trPr>
              <w:trHeight w:val="360"/>
            </w:trPr>
            <w:tc>
              <w:tcPr>
                <w:tcW w:w="774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noProof/>
                    <w:sz w:val="22"/>
                    <w:szCs w:val="22"/>
                  </w:rPr>
                  <w:t>10.</w:t>
                </w:r>
                <w:r w:rsidRPr="00501672">
                  <w:rPr>
                    <w:rStyle w:val="DefaultParagraphFont"/>
                    <w:rFonts w:ascii="Calibri" w:hAnsi="Calibri"/>
                    <w:sz w:val="22"/>
                    <w:szCs w:val="22"/>
                  </w:rPr>
                  <w:t xml:space="preserve"> </w:t>
                </w:r>
                <w:r w:rsidRPr="00501672">
                  <w:rPr>
                    <w:rStyle w:val="DefaultParagraphFont"/>
                    <w:rFonts w:ascii="Calibri" w:hAnsi="Calibri"/>
                    <w:noProof/>
                    <w:sz w:val="22"/>
                    <w:szCs w:val="22"/>
                  </w:rPr>
                  <w:t>Overall</w:t>
                </w:r>
              </w:p>
            </w:tc>
            <w:tc>
              <w:tcPr>
                <w:tcW w:w="288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501672" w:rsidP="003615CB">
                <w:pPr>
                  <w:pStyle w:val="Normal125"/>
                  <w:rPr>
                    <w:rStyle w:val="DefaultParagraphFont"/>
                    <w:rFonts w:ascii="Calibri" w:hAnsi="Calibri"/>
                    <w:sz w:val="22"/>
                    <w:szCs w:val="22"/>
                  </w:rPr>
                </w:pP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="L" </w:instrText>
                </w:r>
                <w:r w:rsidRPr="00501672">
                  <w:rPr>
                    <w:rStyle w:val="DefaultParagraphFont"/>
                    <w:rFonts w:ascii="Wingdings" w:hAnsi="Wingdings"/>
                    <w:color w:val="7CAF1B"/>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="M" </w:instrText>
                </w:r>
                <w:r w:rsidRPr="00501672">
                  <w:rPr>
                    <w:rStyle w:val="DefaultParagraphFont"/>
                    <w:rFonts w:ascii="Wingdings" w:hAnsi="Wingdings"/>
                    <w:color w:val="FECC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="H" </w:instrText>
                </w:r>
                <w:r w:rsidRPr="00501672">
                  <w:rPr>
                    <w:rStyle w:val="DefaultParagraphFont"/>
                    <w:rFonts w:ascii="Wingdings" w:hAnsi="Wingdings"/>
                    <w:color w:val="FC0301"/>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Wingdings" w:hAnsi="Wingdings"/>
                    <w:color w:val="FC0301"/>
                    <w:sz w:val="22"/>
                    <w:szCs w:val="22"/>
                  </w:rPr>
                  <w:sym w:font="Wingdings" w:char="F06C"/>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fldChar w:fldCharType="begin"/>
                </w:r>
                <w:r w:rsidRPr="00501672">
                  <w:rPr>
                    <w:rStyle w:val="DefaultParagraphFont"/>
                    <w:rFonts w:ascii="Calibri" w:hAnsi="Calibri"/>
                    <w:color w:val="000000"/>
                    <w:sz w:val="22"/>
                    <w:szCs w:val="22"/>
                  </w:rPr>
                  <w:instrText xml:space="preserve"> IF </w:instrText>
                </w:r>
                <w:r w:rsidRPr="00501672">
                  <w:rPr>
                    <w:rStyle w:val="DefaultParagraphFont"/>
                    <w:rFonts w:ascii="Calibri" w:hAnsi="Calibri"/>
                    <w:noProof/>
                    <w:color w:val="000000"/>
                    <w:sz w:val="22"/>
                    <w:szCs w:val="22"/>
                  </w:rPr>
                  <w:instrText>H</w:instrText>
                </w:r>
                <w:r w:rsidRPr="00501672">
                  <w:rPr>
                    <w:rStyle w:val="DefaultParagraphFont"/>
                    <w:rFonts w:ascii="Calibri" w:hAnsi="Calibri"/>
                    <w:color w:val="000000"/>
                    <w:sz w:val="22"/>
                    <w:szCs w:val="22"/>
                  </w:rPr>
                  <w:instrText xml:space="preserve"> ="S" </w:instrText>
                </w:r>
                <w:r w:rsidRPr="00501672">
                  <w:rPr>
                    <w:rStyle w:val="DefaultParagraphFont"/>
                    <w:rFonts w:ascii="Wingdings" w:hAnsi="Wingdings"/>
                    <w:color w:val="FFAF00"/>
                    <w:sz w:val="22"/>
                    <w:szCs w:val="22"/>
                  </w:rPr>
                  <w:sym w:font="Wingdings" w:char="F06C"/>
                </w:r>
                <w:r w:rsidRPr="00501672">
                  <w:rPr>
                    <w:rStyle w:val="DefaultParagraphFont"/>
                    <w:rFonts w:ascii="Calibri" w:hAnsi="Calibri" w:cs="Segoe UI Symbol"/>
                    <w:color w:val="000000"/>
                    <w:sz w:val="22"/>
                    <w:szCs w:val="22"/>
                  </w:rPr>
                  <w:instrText xml:space="preserve"> </w:instrText>
                </w:r>
                <w:r w:rsidRPr="00501672">
                  <w:rPr>
                    <w:rStyle w:val="DefaultParagraphFont"/>
                    <w:rFonts w:ascii="Calibri" w:hAnsi="Calibri"/>
                    <w:color w:val="000000"/>
                    <w:sz w:val="22"/>
                    <w:szCs w:val="22"/>
                  </w:rPr>
                  <w:instrText xml:space="preserve">   \* MERGEFORMAT </w:instrText>
                </w:r>
                <w:r w:rsidRPr="00501672">
                  <w:rPr>
                    <w:rStyle w:val="DefaultParagraphFont"/>
                    <w:rFonts w:ascii="Calibri" w:hAnsi="Calibri"/>
                    <w:color w:val="000000"/>
                    <w:sz w:val="22"/>
                    <w:szCs w:val="22"/>
                  </w:rPr>
                  <w:fldChar w:fldCharType="separate"/>
                </w:r>
                <w:r w:rsidRPr="00501672">
                  <w:rPr>
                    <w:rStyle w:val="DefaultParagraphFont"/>
                    <w:rFonts w:ascii="Calibri" w:hAnsi="Calibri"/>
                    <w:color w:val="000000"/>
                    <w:sz w:val="22"/>
                    <w:szCs w:val="22"/>
                  </w:rPr>
                  <w:fldChar w:fldCharType="end"/>
                </w:r>
                <w:r w:rsidRPr="00501672">
                  <w:rPr>
                    <w:rStyle w:val="DefaultParagraphFont"/>
                    <w:rFonts w:ascii="Calibri" w:hAnsi="Calibri"/>
                    <w:color w:val="000000"/>
                    <w:sz w:val="22"/>
                    <w:szCs w:val="22"/>
                  </w:rPr>
                  <w:t xml:space="preserve"> </w:t>
                </w:r>
                <w:r w:rsidRPr="00501672">
                  <w:rPr>
                    <w:rStyle w:val="DefaultParagraphFont"/>
                    <w:rFonts w:ascii="Calibri" w:hAnsi="Calibri"/>
                    <w:noProof/>
                    <w:sz w:val="22"/>
                    <w:szCs w:val="22"/>
                  </w:rPr>
                  <w:t>High</w:t>
                </w:r>
              </w:p>
            </w:tc>
          </w:tr>
        </w:tbl>
        <w:p w:rsidR="003615CB" w:rsidP="00E14432">
          <w:pPr>
            <w:pStyle w:val="Normal125"/>
            <w:shd w:val="clear" w:color="auto" w:fill="F7F7F7"/>
            <w:ind w:left="-691" w:right="-518"/>
            <w:rPr>
              <w:rStyle w:val="DefaultParagraphFont"/>
              <w:rFonts w:ascii="Calibri" w:hAnsi="Calibri"/>
              <w:color w:val="767171" w:themeShade="80"/>
              <w:sz w:val="22"/>
              <w:szCs w:val="22"/>
            </w:rPr>
          </w:pPr>
        </w:p>
        <w:p w:rsidR="00C95840"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56F5A">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63"/>
                  <w:tblW w:w="10620" w:type="dxa"/>
                  <w:shd w:val="clear" w:color="auto" w:fill="F7F7F7"/>
                  <w:tblLayout w:type="fixed"/>
                  <w:tblLook w:val="04A0"/>
                </w:tblPr>
                <w:tblGrid>
                  <w:gridCol w:w="10620"/>
                </w:tblGrid>
                <w:tr w:rsidTr="00856F5A">
                  <w:tblPrEx>
                    <w:tblW w:w="10620" w:type="dxa"/>
                    <w:shd w:val="clear" w:color="auto" w:fill="F7F7F7"/>
                    <w:tblLayout w:type="fixed"/>
                    <w:tblLook w:val="04A0"/>
                  </w:tblPrEx>
                  <w:trPr>
                    <w:trHeight w:val="378"/>
                  </w:trPr>
                  <w:tc>
                    <w:tcPr>
                      <w:tcW w:w="1062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FB2669" w:rsidRPr="00656279" w:rsidP="00FB2669">
                      <w:pPr>
                        <w:pStyle w:val="Normal125"/>
                        <w:keepNext/>
                        <w:widowControl/>
                        <w:rPr>
                          <w:rStyle w:val="DefaultParagraphFont"/>
                          <w:rFonts w:eastAsia="Times New Roman"/>
                        </w:rPr>
                      </w:pPr>
                      <w:r w:rsidRPr="00692E93">
                        <w:rPr>
                          <w:rStyle w:val="DefaultParagraphFont"/>
                          <w:rFonts w:ascii="Calibri" w:hAnsi="Calibri"/>
                          <w:b/>
                          <w:bCs/>
                          <w:sz w:val="22"/>
                          <w:szCs w:val="22"/>
                        </w:rPr>
                        <w:t>COMPLIANCE</w:t>
                      </w:r>
                    </w:p>
                  </w:tc>
                </w:tr>
              </w:tbl>
              <w:p w:rsidR="00FB2669" w:rsidRPr="00692E93" w:rsidP="00FB2669">
                <w:pPr>
                  <w:pStyle w:val="Normal125"/>
                  <w:keepNext/>
                  <w:widowControl/>
                  <w:rPr>
                    <w:rStyle w:val="DefaultParagraphFont"/>
                    <w:rFonts w:ascii="Calibri" w:hAnsi="Calibri"/>
                    <w:sz w:val="22"/>
                    <w:szCs w:val="22"/>
                  </w:rPr>
                </w:pPr>
              </w:p>
            </w:tc>
          </w:tr>
        </w:tbl>
        <w:p w:rsidR="003615CB" w:rsidRPr="00E14432" w:rsidP="00C95840">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
          <w:tblGrid>
            <w:gridCol w:w="10620"/>
          </w:tblGrid>
          <w:tr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Ex>
            <w:trPr>
              <w:trHeight w:val="20"/>
            </w:trPr>
            <w:tc>
              <w:tcPr>
                <w:tcW w:w="10620" w:type="dxa"/>
                <w:shd w:val="clear" w:color="auto" w:fill="F7F7F7"/>
              </w:tcPr>
              <w:p w:rsidR="003615CB" w:rsidRPr="007D4E7E" w:rsidP="00C95840">
                <w:pPr>
                  <w:pStyle w:val="Normal125"/>
                  <w:keepNext/>
                  <w:widowControl/>
                  <w:spacing w:line="276" w:lineRule="auto"/>
                  <w:ind w:left="86" w:right="-202"/>
                  <w:rPr>
                    <w:rStyle w:val="DefaultParagraphFont"/>
                    <w:rFonts w:ascii="Calibri" w:hAnsi="Calibri"/>
                    <w:color w:val="7F7F7F" w:themeTint="80"/>
                    <w:sz w:val="22"/>
                    <w:szCs w:val="22"/>
                  </w:rPr>
                </w:pPr>
                <w:r w:rsidRPr="007D4E7E">
                  <w:rPr>
                    <w:rStyle w:val="DefaultParagraphFont"/>
                    <w:rFonts w:ascii="Calibri" w:hAnsi="Calibri"/>
                    <w:b/>
                    <w:color w:val="172D5F"/>
                    <w:sz w:val="22"/>
                    <w:szCs w:val="22"/>
                  </w:rPr>
                  <w:t>Policy</w:t>
                </w:r>
              </w:p>
            </w:tc>
          </w:tr>
          <w:tr w:rsidTr="00E14432">
            <w:tblPrEx>
              <w:tblW w:w="10620" w:type="dxa"/>
              <w:tblInd w:w="-720" w:type="dxa"/>
              <w:shd w:val="clear" w:color="auto" w:fill="F7F7F7"/>
              <w:tblLayout w:type="fixed"/>
              <w:tblCellMar>
                <w:left w:w="0" w:type="dxa"/>
                <w:right w:w="101" w:type="dxa"/>
              </w:tblCellMar>
              <w:tblLook w:val="04A0"/>
            </w:tblPrEx>
            <w:trPr>
              <w:trHeight w:val="20"/>
            </w:trPr>
            <w:tc>
              <w:tcPr>
                <w:tcW w:w="10620" w:type="dxa"/>
                <w:shd w:val="clear" w:color="auto" w:fill="F7F7F7"/>
              </w:tcPr>
              <w:p w:rsidR="003615CB" w:rsidRPr="007D4E7E" w:rsidP="00C95840">
                <w:pPr>
                  <w:pStyle w:val="Normal125"/>
                  <w:keepNext/>
                  <w:widowControl/>
                  <w:spacing w:line="276" w:lineRule="auto"/>
                  <w:ind w:left="86" w:right="-202"/>
                  <w:rPr>
                    <w:rStyle w:val="DefaultParagraphFont"/>
                    <w:rFonts w:ascii="Calibri" w:hAnsi="Calibri"/>
                    <w:b/>
                    <w:color w:val="0D0D0D" w:themeTint="F2"/>
                    <w:sz w:val="22"/>
                    <w:szCs w:val="22"/>
                  </w:rPr>
                </w:pPr>
                <w:r w:rsidRPr="007D4E7E">
                  <w:rPr>
                    <w:rStyle w:val="DefaultParagraphFont"/>
                    <w:rFonts w:ascii="Calibri" w:hAnsi="Calibri"/>
                    <w:color w:val="7F7F7F" w:themeTint="80"/>
                    <w:sz w:val="22"/>
                    <w:szCs w:val="22"/>
                  </w:rPr>
                  <w:t>Does the project depart from the CPF in content or in other significant respects?</w:t>
                </w:r>
              </w:p>
            </w:tc>
          </w:tr>
          <w:tr w:rsidTr="00E14432">
            <w:tblPrEx>
              <w:tblW w:w="10620" w:type="dxa"/>
              <w:tblInd w:w="-720" w:type="dxa"/>
              <w:shd w:val="clear" w:color="auto" w:fill="F7F7F7"/>
              <w:tblLayout w:type="fixed"/>
              <w:tblCellMar>
                <w:left w:w="0" w:type="dxa"/>
                <w:right w:w="101" w:type="dxa"/>
              </w:tblCellMar>
              <w:tblLook w:val="04A0"/>
            </w:tblPrEx>
            <w:trPr>
              <w:trHeight w:val="20"/>
            </w:trPr>
            <w:tc>
              <w:tcPr>
                <w:tcW w:w="10620" w:type="dxa"/>
                <w:shd w:val="clear" w:color="auto" w:fill="F7F7F7"/>
              </w:tcPr>
              <w:p w:rsidR="003615CB" w:rsidRPr="007D4E7E" w:rsidP="003615CB">
                <w:pPr>
                  <w:pStyle w:val="Normal125"/>
                  <w:spacing w:line="276" w:lineRule="auto"/>
                  <w:ind w:left="90" w:right="-198"/>
                  <w:rPr>
                    <w:rStyle w:val="DefaultParagraphFont"/>
                    <w:rFonts w:ascii="Calibri" w:hAnsi="Calibri"/>
                    <w:noProof/>
                    <w:sz w:val="22"/>
                    <w:szCs w:val="22"/>
                  </w:rPr>
                </w:pPr>
                <w:r w:rsidRPr="007D4E7E">
                  <w:rPr>
                    <w:rStyle w:val="DefaultParagraphFont"/>
                    <w:rFonts w:ascii="Calibri" w:hAnsi="Calibri"/>
                    <w:color w:val="000000"/>
                    <w:sz w:val="22"/>
                    <w:szCs w:val="22"/>
                  </w:rPr>
                  <w:t>[</w:t>
                </w:r>
                <w:r w:rsidRPr="007D4E7E">
                  <w:rPr>
                    <w:rStyle w:val="DefaultParagraphFont"/>
                    <w:rFonts w:ascii="Calibri" w:hAnsi="Calibri"/>
                    <w:color w:val="000000"/>
                    <w:sz w:val="22"/>
                    <w:szCs w:val="22"/>
                  </w:rPr>
                  <w:fldChar w:fldCharType="begin"/>
                </w:r>
                <w:r w:rsidRPr="007D4E7E">
                  <w:rPr>
                    <w:rStyle w:val="DefaultParagraphFont"/>
                    <w:rFonts w:ascii="Calibri" w:hAnsi="Calibri"/>
                    <w:color w:val="000000"/>
                    <w:sz w:val="22"/>
                    <w:szCs w:val="22"/>
                  </w:rPr>
                  <w:instrText xml:space="preserve"> IF </w:instrText>
                </w:r>
                <w:r w:rsidRPr="007D4E7E">
                  <w:rPr>
                    <w:rStyle w:val="DefaultParagraphFont"/>
                    <w:rFonts w:ascii="Calibri" w:hAnsi="Calibri"/>
                    <w:color w:val="000000"/>
                    <w:sz w:val="22"/>
                    <w:szCs w:val="22"/>
                  </w:rPr>
                  <w:instrText>N</w:instrText>
                </w:r>
                <w:r w:rsidRPr="007D4E7E">
                  <w:rPr>
                    <w:rStyle w:val="DefaultParagraphFont"/>
                    <w:rFonts w:ascii="Calibri" w:hAnsi="Calibri"/>
                    <w:color w:val="000000"/>
                    <w:sz w:val="22"/>
                    <w:szCs w:val="22"/>
                  </w:rPr>
                  <w:instrText xml:space="preserve"> ="Y" </w:instrText>
                </w:r>
                <w:r w:rsidRPr="007D4E7E">
                  <w:rPr>
                    <w:rStyle w:val="DefaultParagraphFont"/>
                    <w:rFonts w:ascii="Segoe UI Symbol" w:hAnsi="Segoe UI Symbol" w:cs="Segoe UI Symbol"/>
                    <w:color w:val="000000"/>
                    <w:sz w:val="22"/>
                    <w:szCs w:val="22"/>
                  </w:rPr>
                  <w:instrText>✔</w:instrText>
                </w:r>
                <w:r w:rsidRPr="007D4E7E">
                  <w:rPr>
                    <w:rStyle w:val="DefaultParagraphFont"/>
                    <w:rFonts w:ascii="Calibri" w:hAnsi="Calibri" w:cs="Segoe UI Symbol"/>
                    <w:color w:val="000000"/>
                    <w:sz w:val="22"/>
                    <w:szCs w:val="22"/>
                  </w:rPr>
                  <w:instrText xml:space="preserve"> "  "</w:instrText>
                </w:r>
                <w:r w:rsidRPr="007D4E7E">
                  <w:rPr>
                    <w:rStyle w:val="DefaultParagraphFont"/>
                    <w:rFonts w:ascii="Calibri" w:hAnsi="Calibri"/>
                    <w:color w:val="000000"/>
                    <w:sz w:val="22"/>
                    <w:szCs w:val="22"/>
                  </w:rPr>
                  <w:instrText xml:space="preserve">    \* MERGEFORMAT </w:instrText>
                </w:r>
                <w:r w:rsidRPr="007D4E7E">
                  <w:rPr>
                    <w:rStyle w:val="DefaultParagraphFont"/>
                    <w:rFonts w:ascii="Calibri" w:hAnsi="Calibri"/>
                    <w:color w:val="000000"/>
                    <w:sz w:val="22"/>
                    <w:szCs w:val="22"/>
                  </w:rPr>
                  <w:fldChar w:fldCharType="separate"/>
                </w:r>
                <w:r w:rsidRPr="007D4E7E" w:rsidR="00F61CA3">
                  <w:rPr>
                    <w:rStyle w:val="DefaultParagraphFont"/>
                    <w:rFonts w:ascii="Calibri" w:hAnsi="Calibri" w:cs="Segoe UI Symbol"/>
                    <w:noProof/>
                    <w:color w:val="000000"/>
                    <w:sz w:val="22"/>
                    <w:szCs w:val="22"/>
                  </w:rPr>
                  <w:t xml:space="preserve">  </w:t>
                </w:r>
                <w:r w:rsidRPr="007D4E7E">
                  <w:rPr>
                    <w:rStyle w:val="DefaultParagraphFont"/>
                    <w:rFonts w:ascii="Calibri" w:hAnsi="Calibri"/>
                    <w:color w:val="000000"/>
                    <w:sz w:val="22"/>
                    <w:szCs w:val="22"/>
                  </w:rPr>
                  <w:fldChar w:fldCharType="end"/>
                </w:r>
                <w:r w:rsidRPr="007D4E7E">
                  <w:rPr>
                    <w:rStyle w:val="DefaultParagraphFont"/>
                    <w:rFonts w:ascii="Calibri" w:hAnsi="Calibri"/>
                    <w:color w:val="000000"/>
                    <w:sz w:val="22"/>
                    <w:szCs w:val="22"/>
                  </w:rPr>
                  <w:t xml:space="preserve">] Yes   </w:t>
                </w:r>
                <w:r w:rsidRPr="007D4E7E">
                  <w:rPr>
                    <w:rStyle w:val="DefaultParagraphFont"/>
                    <w:rFonts w:ascii="Calibri" w:hAnsi="Calibri"/>
                    <w:color w:val="000000"/>
                    <w:sz w:val="22"/>
                    <w:szCs w:val="22"/>
                  </w:rPr>
                  <w:t xml:space="preserve">   [</w:t>
                </w:r>
                <w:r w:rsidRPr="007D4E7E">
                  <w:rPr>
                    <w:rStyle w:val="DefaultParagraphFont"/>
                    <w:rFonts w:ascii="Calibri" w:hAnsi="Calibri"/>
                    <w:color w:val="000000"/>
                    <w:sz w:val="22"/>
                    <w:szCs w:val="22"/>
                  </w:rPr>
                  <w:fldChar w:fldCharType="begin"/>
                </w:r>
                <w:r w:rsidRPr="007D4E7E">
                  <w:rPr>
                    <w:rStyle w:val="DefaultParagraphFont"/>
                    <w:rFonts w:ascii="Calibri" w:hAnsi="Calibri"/>
                    <w:color w:val="000000"/>
                    <w:sz w:val="22"/>
                    <w:szCs w:val="22"/>
                  </w:rPr>
                  <w:instrText xml:space="preserve"> IF </w:instrText>
                </w:r>
                <w:r w:rsidRPr="007D4E7E">
                  <w:rPr>
                    <w:rStyle w:val="DefaultParagraphFont"/>
                    <w:rFonts w:ascii="Calibri" w:hAnsi="Calibri"/>
                    <w:color w:val="000000"/>
                    <w:sz w:val="22"/>
                    <w:szCs w:val="22"/>
                  </w:rPr>
                  <w:instrText>N</w:instrText>
                </w:r>
                <w:r w:rsidRPr="007D4E7E">
                  <w:rPr>
                    <w:rStyle w:val="DefaultParagraphFont"/>
                    <w:rFonts w:ascii="Calibri" w:hAnsi="Calibri"/>
                    <w:color w:val="000000"/>
                    <w:sz w:val="22"/>
                    <w:szCs w:val="22"/>
                  </w:rPr>
                  <w:instrText xml:space="preserve"> = "N" </w:instrText>
                </w:r>
                <w:r w:rsidRPr="007D4E7E">
                  <w:rPr>
                    <w:rStyle w:val="DefaultParagraphFont"/>
                    <w:rFonts w:ascii="Segoe UI Symbol" w:hAnsi="Segoe UI Symbol" w:cs="Segoe UI Symbol"/>
                    <w:color w:val="000000"/>
                    <w:sz w:val="22"/>
                    <w:szCs w:val="22"/>
                  </w:rPr>
                  <w:instrText>✔</w:instrText>
                </w:r>
                <w:r w:rsidRPr="007D4E7E">
                  <w:rPr>
                    <w:rStyle w:val="DefaultParagraphFont"/>
                    <w:rFonts w:ascii="Calibri" w:hAnsi="Calibri" w:cs="Segoe UI Symbol"/>
                    <w:color w:val="000000"/>
                    <w:sz w:val="22"/>
                    <w:szCs w:val="22"/>
                  </w:rPr>
                  <w:instrText xml:space="preserve"> "  "</w:instrText>
                </w:r>
                <w:r w:rsidRPr="007D4E7E">
                  <w:rPr>
                    <w:rStyle w:val="DefaultParagraphFont"/>
                    <w:rFonts w:ascii="Calibri" w:hAnsi="Calibri"/>
                    <w:color w:val="000000"/>
                    <w:sz w:val="22"/>
                    <w:szCs w:val="22"/>
                  </w:rPr>
                  <w:instrText xml:space="preserve">    \* MERGEFORMAT </w:instrText>
                </w:r>
                <w:r w:rsidRPr="007D4E7E">
                  <w:rPr>
                    <w:rStyle w:val="DefaultParagraphFont"/>
                    <w:rFonts w:ascii="Calibri" w:hAnsi="Calibri"/>
                    <w:color w:val="000000"/>
                    <w:sz w:val="22"/>
                    <w:szCs w:val="22"/>
                  </w:rPr>
                  <w:fldChar w:fldCharType="separate"/>
                </w:r>
                <w:r w:rsidRPr="007D4E7E" w:rsidR="00F61CA3">
                  <w:rPr>
                    <w:rStyle w:val="DefaultParagraphFont"/>
                    <w:rFonts w:ascii="Calibri" w:hAnsi="Calibri" w:cs="Segoe UI Symbol"/>
                    <w:noProof/>
                    <w:color w:val="000000"/>
                    <w:sz w:val="22"/>
                    <w:szCs w:val="22"/>
                  </w:rPr>
                  <w:t>✔</w:t>
                </w:r>
                <w:r w:rsidRPr="007D4E7E">
                  <w:rPr>
                    <w:rStyle w:val="DefaultParagraphFont"/>
                    <w:rFonts w:ascii="Calibri" w:hAnsi="Calibri"/>
                    <w:color w:val="000000"/>
                    <w:sz w:val="22"/>
                    <w:szCs w:val="22"/>
                  </w:rPr>
                  <w:fldChar w:fldCharType="end"/>
                </w:r>
                <w:r w:rsidRPr="007D4E7E">
                  <w:rPr>
                    <w:rStyle w:val="DefaultParagraphFont"/>
                    <w:rFonts w:ascii="Calibri" w:hAnsi="Calibri"/>
                    <w:color w:val="000000"/>
                    <w:sz w:val="22"/>
                    <w:szCs w:val="22"/>
                  </w:rPr>
                  <w:t>] No</w:t>
                </w:r>
              </w:p>
            </w:tc>
          </w:tr>
          <w:tr w:rsidTr="00E14432">
            <w:tblPrEx>
              <w:tblW w:w="10620" w:type="dxa"/>
              <w:tblInd w:w="-720" w:type="dxa"/>
              <w:shd w:val="clear" w:color="auto" w:fill="F7F7F7"/>
              <w:tblLayout w:type="fixed"/>
              <w:tblCellMar>
                <w:left w:w="0" w:type="dxa"/>
                <w:right w:w="101" w:type="dxa"/>
              </w:tblCellMar>
              <w:tblLook w:val="04A0"/>
            </w:tblPrEx>
            <w:trPr>
              <w:trHeight w:val="20"/>
            </w:trPr>
            <w:tc>
              <w:tcPr>
                <w:tcW w:w="10620" w:type="dxa"/>
                <w:shd w:val="clear" w:color="auto" w:fill="F7F7F7"/>
              </w:tcPr>
              <w:p w:rsidR="003615CB" w:rsidRPr="007D4E7E" w:rsidP="003615CB">
                <w:pPr>
                  <w:pStyle w:val="Normal125"/>
                  <w:spacing w:line="276" w:lineRule="auto"/>
                  <w:ind w:left="90" w:right="-198"/>
                  <w:rPr>
                    <w:rStyle w:val="DefaultParagraphFont"/>
                    <w:rFonts w:ascii="Calibri" w:hAnsi="Calibri"/>
                    <w:noProof/>
                    <w:sz w:val="22"/>
                    <w:szCs w:val="22"/>
                  </w:rPr>
                </w:pPr>
              </w:p>
            </w:tc>
          </w:tr>
          <w:tr w:rsidTr="00E14432">
            <w:tblPrEx>
              <w:tblW w:w="10620" w:type="dxa"/>
              <w:tblInd w:w="-720" w:type="dxa"/>
              <w:shd w:val="clear" w:color="auto" w:fill="F7F7F7"/>
              <w:tblLayout w:type="fixed"/>
              <w:tblCellMar>
                <w:left w:w="0" w:type="dxa"/>
                <w:right w:w="101" w:type="dxa"/>
              </w:tblCellMar>
              <w:tblLook w:val="04A0"/>
            </w:tblPrEx>
            <w:trPr>
              <w:trHeight w:val="20"/>
            </w:trPr>
            <w:tc>
              <w:tcPr>
                <w:tcW w:w="10620" w:type="dxa"/>
                <w:shd w:val="clear" w:color="auto" w:fill="F7F7F7"/>
                <w:vAlign w:val="center"/>
              </w:tcPr>
              <w:p w:rsidR="003615CB" w:rsidRPr="007D4E7E" w:rsidP="00C95840">
                <w:pPr>
                  <w:pStyle w:val="Normal125"/>
                  <w:keepNext/>
                  <w:spacing w:line="276" w:lineRule="auto"/>
                  <w:ind w:left="86" w:right="-202"/>
                  <w:rPr>
                    <w:rStyle w:val="DefaultParagraphFont"/>
                    <w:rFonts w:ascii="Calibri" w:hAnsi="Calibri"/>
                    <w:color w:val="7F7F7F" w:themeTint="80"/>
                    <w:sz w:val="22"/>
                    <w:szCs w:val="22"/>
                  </w:rPr>
                </w:pPr>
                <w:r w:rsidRPr="007D4E7E">
                  <w:rPr>
                    <w:rStyle w:val="DefaultParagraphFont"/>
                    <w:rFonts w:ascii="Calibri" w:hAnsi="Calibri"/>
                    <w:color w:val="7F7F7F" w:themeTint="80"/>
                    <w:sz w:val="22"/>
                    <w:szCs w:val="22"/>
                  </w:rPr>
                  <w:t xml:space="preserve">Does the project require any waivers of Bank policies? </w:t>
                </w:r>
              </w:p>
              <w:p w:rsidR="003615CB" w:rsidRPr="007D4E7E" w:rsidP="003615CB">
                <w:pPr>
                  <w:pStyle w:val="Normal125"/>
                  <w:spacing w:line="276" w:lineRule="auto"/>
                  <w:ind w:left="90" w:right="-198"/>
                  <w:rPr>
                    <w:rStyle w:val="DefaultParagraphFont"/>
                    <w:rFonts w:ascii="Calibri" w:hAnsi="Calibri"/>
                    <w:noProof/>
                    <w:sz w:val="22"/>
                    <w:szCs w:val="22"/>
                  </w:rPr>
                </w:pPr>
                <w:r w:rsidRPr="007D4E7E">
                  <w:rPr>
                    <w:rStyle w:val="DefaultParagraphFont"/>
                    <w:rFonts w:ascii="Calibri" w:hAnsi="Calibri"/>
                    <w:color w:val="000000"/>
                    <w:sz w:val="22"/>
                    <w:szCs w:val="22"/>
                  </w:rPr>
                  <w:t>[</w:t>
                </w:r>
                <w:r w:rsidRPr="007D4E7E">
                  <w:rPr>
                    <w:rStyle w:val="DefaultParagraphFont"/>
                    <w:rFonts w:ascii="Calibri" w:hAnsi="Calibri"/>
                    <w:color w:val="000000"/>
                    <w:sz w:val="22"/>
                    <w:szCs w:val="22"/>
                  </w:rPr>
                  <w:fldChar w:fldCharType="begin"/>
                </w:r>
                <w:r w:rsidRPr="007D4E7E">
                  <w:rPr>
                    <w:rStyle w:val="DefaultParagraphFont"/>
                    <w:rFonts w:ascii="Calibri" w:hAnsi="Calibri"/>
                    <w:color w:val="000000"/>
                    <w:sz w:val="22"/>
                    <w:szCs w:val="22"/>
                  </w:rPr>
                  <w:instrText xml:space="preserve"> IF </w:instrText>
                </w:r>
                <w:r w:rsidRPr="007D4E7E">
                  <w:rPr>
                    <w:rStyle w:val="DefaultParagraphFont"/>
                    <w:rFonts w:ascii="Calibri" w:hAnsi="Calibri"/>
                    <w:noProof/>
                    <w:color w:val="000000"/>
                    <w:sz w:val="22"/>
                    <w:szCs w:val="22"/>
                  </w:rPr>
                  <w:instrText>N</w:instrText>
                </w:r>
                <w:r w:rsidRPr="007D4E7E">
                  <w:rPr>
                    <w:rStyle w:val="DefaultParagraphFont"/>
                    <w:rFonts w:ascii="Calibri" w:hAnsi="Calibri"/>
                    <w:color w:val="000000"/>
                    <w:sz w:val="22"/>
                    <w:szCs w:val="22"/>
                  </w:rPr>
                  <w:instrText xml:space="preserve"> ="Y" </w:instrText>
                </w:r>
                <w:r w:rsidRPr="007D4E7E">
                  <w:rPr>
                    <w:rStyle w:val="DefaultParagraphFont"/>
                    <w:rFonts w:ascii="Segoe UI Symbol" w:hAnsi="Segoe UI Symbol" w:cs="Segoe UI Symbol"/>
                    <w:color w:val="000000"/>
                    <w:sz w:val="22"/>
                    <w:szCs w:val="22"/>
                  </w:rPr>
                  <w:instrText>✔</w:instrText>
                </w:r>
                <w:r w:rsidRPr="007D4E7E">
                  <w:rPr>
                    <w:rStyle w:val="DefaultParagraphFont"/>
                    <w:rFonts w:ascii="Calibri" w:hAnsi="Calibri" w:cs="Segoe UI Symbol"/>
                    <w:color w:val="000000"/>
                    <w:sz w:val="22"/>
                    <w:szCs w:val="22"/>
                  </w:rPr>
                  <w:instrText xml:space="preserve"> "  "</w:instrText>
                </w:r>
                <w:r w:rsidRPr="007D4E7E">
                  <w:rPr>
                    <w:rStyle w:val="DefaultParagraphFont"/>
                    <w:rFonts w:ascii="Calibri" w:hAnsi="Calibri"/>
                    <w:color w:val="000000"/>
                    <w:sz w:val="22"/>
                    <w:szCs w:val="22"/>
                  </w:rPr>
                  <w:instrText xml:space="preserve">    \* MERGEFORMAT </w:instrText>
                </w:r>
                <w:r w:rsidRPr="007D4E7E">
                  <w:rPr>
                    <w:rStyle w:val="DefaultParagraphFont"/>
                    <w:rFonts w:ascii="Calibri" w:hAnsi="Calibri"/>
                    <w:color w:val="000000"/>
                    <w:sz w:val="22"/>
                    <w:szCs w:val="22"/>
                  </w:rPr>
                  <w:fldChar w:fldCharType="separate"/>
                </w:r>
                <w:r w:rsidRPr="007D4E7E" w:rsidR="00F61CA3">
                  <w:rPr>
                    <w:rStyle w:val="DefaultParagraphFont"/>
                    <w:rFonts w:ascii="Calibri" w:hAnsi="Calibri" w:cs="Segoe UI Symbol"/>
                    <w:noProof/>
                    <w:color w:val="000000"/>
                    <w:sz w:val="22"/>
                    <w:szCs w:val="22"/>
                  </w:rPr>
                  <w:t xml:space="preserve">  </w:t>
                </w:r>
                <w:r w:rsidRPr="007D4E7E">
                  <w:rPr>
                    <w:rStyle w:val="DefaultParagraphFont"/>
                    <w:rFonts w:ascii="Calibri" w:hAnsi="Calibri"/>
                    <w:color w:val="000000"/>
                    <w:sz w:val="22"/>
                    <w:szCs w:val="22"/>
                  </w:rPr>
                  <w:fldChar w:fldCharType="end"/>
                </w:r>
                <w:r w:rsidRPr="007D4E7E">
                  <w:rPr>
                    <w:rStyle w:val="DefaultParagraphFont"/>
                    <w:rFonts w:ascii="Calibri" w:hAnsi="Calibri"/>
                    <w:color w:val="000000"/>
                    <w:sz w:val="22"/>
                    <w:szCs w:val="22"/>
                  </w:rPr>
                  <w:t xml:space="preserve">] Yes   </w:t>
                </w:r>
                <w:r w:rsidRPr="007D4E7E">
                  <w:rPr>
                    <w:rStyle w:val="DefaultParagraphFont"/>
                    <w:rFonts w:ascii="Calibri" w:hAnsi="Calibri"/>
                    <w:color w:val="000000"/>
                    <w:sz w:val="22"/>
                    <w:szCs w:val="22"/>
                  </w:rPr>
                  <w:t xml:space="preserve">   [</w:t>
                </w:r>
                <w:r w:rsidRPr="007D4E7E">
                  <w:rPr>
                    <w:rStyle w:val="DefaultParagraphFont"/>
                    <w:rFonts w:ascii="Calibri" w:hAnsi="Calibri"/>
                    <w:color w:val="000000"/>
                    <w:sz w:val="22"/>
                    <w:szCs w:val="22"/>
                  </w:rPr>
                  <w:fldChar w:fldCharType="begin"/>
                </w:r>
                <w:r w:rsidRPr="007D4E7E">
                  <w:rPr>
                    <w:rStyle w:val="DefaultParagraphFont"/>
                    <w:rFonts w:ascii="Calibri" w:hAnsi="Calibri"/>
                    <w:color w:val="000000"/>
                    <w:sz w:val="22"/>
                    <w:szCs w:val="22"/>
                  </w:rPr>
                  <w:instrText xml:space="preserve"> IF </w:instrText>
                </w:r>
                <w:r w:rsidRPr="007D4E7E">
                  <w:rPr>
                    <w:rStyle w:val="DefaultParagraphFont"/>
                    <w:rFonts w:ascii="Calibri" w:hAnsi="Calibri"/>
                    <w:noProof/>
                    <w:color w:val="000000"/>
                    <w:sz w:val="22"/>
                    <w:szCs w:val="22"/>
                  </w:rPr>
                  <w:instrText>N</w:instrText>
                </w:r>
                <w:r w:rsidRPr="007D4E7E">
                  <w:rPr>
                    <w:rStyle w:val="DefaultParagraphFont"/>
                    <w:rFonts w:ascii="Calibri" w:hAnsi="Calibri"/>
                    <w:color w:val="000000"/>
                    <w:sz w:val="22"/>
                    <w:szCs w:val="22"/>
                  </w:rPr>
                  <w:instrText xml:space="preserve"> = "N" </w:instrText>
                </w:r>
                <w:r w:rsidRPr="007D4E7E">
                  <w:rPr>
                    <w:rStyle w:val="DefaultParagraphFont"/>
                    <w:rFonts w:ascii="Segoe UI Symbol" w:hAnsi="Segoe UI Symbol" w:cs="Segoe UI Symbol"/>
                    <w:color w:val="000000"/>
                    <w:sz w:val="22"/>
                    <w:szCs w:val="22"/>
                  </w:rPr>
                  <w:instrText>✔</w:instrText>
                </w:r>
                <w:r w:rsidRPr="007D4E7E">
                  <w:rPr>
                    <w:rStyle w:val="DefaultParagraphFont"/>
                    <w:rFonts w:ascii="Calibri" w:hAnsi="Calibri" w:cs="Segoe UI Symbol"/>
                    <w:color w:val="000000"/>
                    <w:sz w:val="22"/>
                    <w:szCs w:val="22"/>
                  </w:rPr>
                  <w:instrText xml:space="preserve"> "  "</w:instrText>
                </w:r>
                <w:r w:rsidRPr="007D4E7E">
                  <w:rPr>
                    <w:rStyle w:val="DefaultParagraphFont"/>
                    <w:rFonts w:ascii="Calibri" w:hAnsi="Calibri"/>
                    <w:color w:val="000000"/>
                    <w:sz w:val="22"/>
                    <w:szCs w:val="22"/>
                  </w:rPr>
                  <w:instrText xml:space="preserve">    \* MERGEFORMAT </w:instrText>
                </w:r>
                <w:r w:rsidRPr="007D4E7E">
                  <w:rPr>
                    <w:rStyle w:val="DefaultParagraphFont"/>
                    <w:rFonts w:ascii="Calibri" w:hAnsi="Calibri"/>
                    <w:color w:val="000000"/>
                    <w:sz w:val="22"/>
                    <w:szCs w:val="22"/>
                  </w:rPr>
                  <w:fldChar w:fldCharType="separate"/>
                </w:r>
                <w:r w:rsidRPr="007D4E7E" w:rsidR="00F61CA3">
                  <w:rPr>
                    <w:rStyle w:val="DefaultParagraphFont"/>
                    <w:rFonts w:ascii="Calibri" w:hAnsi="Calibri" w:cs="Segoe UI Symbol"/>
                    <w:noProof/>
                    <w:color w:val="000000"/>
                    <w:sz w:val="22"/>
                    <w:szCs w:val="22"/>
                  </w:rPr>
                  <w:t>✔</w:t>
                </w:r>
                <w:r w:rsidRPr="007D4E7E">
                  <w:rPr>
                    <w:rStyle w:val="DefaultParagraphFont"/>
                    <w:rFonts w:ascii="Calibri" w:hAnsi="Calibri"/>
                    <w:color w:val="000000"/>
                    <w:sz w:val="22"/>
                    <w:szCs w:val="22"/>
                  </w:rPr>
                  <w:fldChar w:fldCharType="end"/>
                </w:r>
                <w:r w:rsidRPr="007D4E7E">
                  <w:rPr>
                    <w:rStyle w:val="DefaultParagraphFont"/>
                    <w:rFonts w:ascii="Calibri" w:hAnsi="Calibri"/>
                    <w:color w:val="000000"/>
                    <w:sz w:val="22"/>
                    <w:szCs w:val="22"/>
                  </w:rPr>
                  <w:t>] No</w:t>
                </w:r>
              </w:p>
            </w:tc>
          </w:tr>
          <w:tr w:rsidTr="00E14432">
            <w:tblPrEx>
              <w:tblW w:w="10620" w:type="dxa"/>
              <w:tblInd w:w="-720" w:type="dxa"/>
              <w:shd w:val="clear" w:color="auto" w:fill="F7F7F7"/>
              <w:tblLayout w:type="fixed"/>
              <w:tblCellMar>
                <w:left w:w="0" w:type="dxa"/>
                <w:right w:w="101" w:type="dxa"/>
              </w:tblCellMar>
              <w:tblLook w:val="04A0"/>
            </w:tblPrEx>
            <w:trPr>
              <w:trHeight w:val="20"/>
            </w:trPr>
            <w:tc>
              <w:tcPr>
                <w:tcW w:w="10620" w:type="dxa"/>
                <w:shd w:val="clear" w:color="auto" w:fill="F7F7F7"/>
              </w:tcPr>
              <w:p w:rsidR="003615CB" w:rsidRPr="007D4E7E" w:rsidP="003615CB">
                <w:pPr>
                  <w:pStyle w:val="Normal125"/>
                  <w:spacing w:line="276" w:lineRule="auto"/>
                  <w:ind w:left="90" w:right="-198"/>
                  <w:rPr>
                    <w:rStyle w:val="DefaultParagraphFont"/>
                    <w:rFonts w:ascii="Calibri" w:hAnsi="Calibri"/>
                    <w:noProof/>
                    <w:sz w:val="22"/>
                    <w:szCs w:val="22"/>
                  </w:rPr>
                </w:pPr>
              </w:p>
            </w:tc>
          </w:tr>
        </w:tbl>
        <w:p w:rsidR="003615CB" w:rsidRPr="00E14432" w:rsidP="00E14432">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tblPr>
          <w:tblGrid>
            <w:gridCol w:w="8712"/>
            <w:gridCol w:w="900"/>
            <w:gridCol w:w="990"/>
          </w:tblGrid>
          <w:tr w:rsidTr="00E14432">
            <w:tblPrEx>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tblPrEx>
            <w:trPr>
              <w:trHeight w:val="405"/>
            </w:trPr>
            <w:tc>
              <w:tcPr>
                <w:tcW w:w="8712" w:type="dxa"/>
                <w:tcBorders>
                  <w:top w:val="nil"/>
                  <w:left w:val="nil"/>
                  <w:bottom w:val="nil"/>
                  <w:right w:val="nil"/>
                </w:tcBorders>
                <w:shd w:val="clear" w:color="auto" w:fill="F7F7F7"/>
                <w:vAlign w:val="bottom"/>
                <w:hideMark/>
              </w:tcPr>
              <w:p w:rsidR="003615CB" w:rsidRPr="00692E93" w:rsidP="00651CF8">
                <w:pPr>
                  <w:pStyle w:val="Normal125"/>
                  <w:keepNext/>
                  <w:widowControl/>
                  <w:ind w:left="72"/>
                  <w:rPr>
                    <w:rStyle w:val="DefaultParagraphFont"/>
                    <w:rFonts w:ascii="Calibri" w:hAnsi="Calibri"/>
                    <w:b/>
                    <w:sz w:val="22"/>
                    <w:szCs w:val="22"/>
                  </w:rPr>
                </w:pPr>
                <w:r w:rsidRPr="00692E93">
                  <w:rPr>
                    <w:rStyle w:val="DefaultParagraphFont"/>
                    <w:rFonts w:ascii="Calibri" w:hAnsi="Calibri"/>
                    <w:b/>
                    <w:color w:val="7F7F7F" w:themeTint="80"/>
                    <w:sz w:val="22"/>
                    <w:szCs w:val="22"/>
                  </w:rPr>
                  <w:t>Safeguard Policies Triggered by the Project</w:t>
                </w:r>
              </w:p>
            </w:tc>
            <w:tc>
              <w:tcPr>
                <w:tcW w:w="900" w:type="dxa"/>
                <w:tcBorders>
                  <w:top w:val="nil"/>
                  <w:left w:val="nil"/>
                  <w:bottom w:val="nil"/>
                  <w:right w:val="nil"/>
                </w:tcBorders>
                <w:shd w:val="clear" w:color="auto" w:fill="F7F7F7"/>
                <w:vAlign w:val="bottom"/>
                <w:hideMark/>
              </w:tcPr>
              <w:p w:rsidR="003615CB" w:rsidRPr="00692E93" w:rsidP="00651CF8">
                <w:pPr>
                  <w:pStyle w:val="Normal125"/>
                  <w:keepNext/>
                  <w:widowControl/>
                  <w:jc w:val="center"/>
                  <w:rPr>
                    <w:rStyle w:val="DefaultParagraphFont"/>
                    <w:rFonts w:ascii="Calibri" w:hAnsi="Calibri"/>
                    <w:b/>
                    <w:sz w:val="22"/>
                    <w:szCs w:val="22"/>
                  </w:rPr>
                </w:pPr>
                <w:r w:rsidRPr="00692E93">
                  <w:rPr>
                    <w:rStyle w:val="DefaultParagraphFont"/>
                    <w:rFonts w:ascii="Calibri" w:hAnsi="Calibri"/>
                    <w:b/>
                    <w:color w:val="7F7F7F" w:themeTint="80"/>
                    <w:sz w:val="22"/>
                    <w:szCs w:val="22"/>
                  </w:rPr>
                  <w:t>Yes</w:t>
                </w:r>
              </w:p>
            </w:tc>
            <w:tc>
              <w:tcPr>
                <w:tcW w:w="990" w:type="dxa"/>
                <w:tcBorders>
                  <w:top w:val="nil"/>
                  <w:left w:val="nil"/>
                  <w:bottom w:val="nil"/>
                  <w:right w:val="nil"/>
                </w:tcBorders>
                <w:shd w:val="clear" w:color="auto" w:fill="F7F7F7"/>
                <w:vAlign w:val="bottom"/>
                <w:hideMark/>
              </w:tcPr>
              <w:p w:rsidR="003615CB" w:rsidRPr="00692E93" w:rsidP="00651CF8">
                <w:pPr>
                  <w:pStyle w:val="Normal125"/>
                  <w:keepNext/>
                  <w:widowControl/>
                  <w:jc w:val="center"/>
                  <w:rPr>
                    <w:rStyle w:val="DefaultParagraphFont"/>
                    <w:rFonts w:ascii="Calibri" w:hAnsi="Calibri"/>
                    <w:b/>
                    <w:sz w:val="22"/>
                    <w:szCs w:val="22"/>
                  </w:rPr>
                </w:pPr>
                <w:r w:rsidRPr="00692E93">
                  <w:rPr>
                    <w:rStyle w:val="DefaultParagraphFont"/>
                    <w:rFonts w:ascii="Calibri" w:hAnsi="Calibri"/>
                    <w:b/>
                    <w:color w:val="7F7F7F" w:themeTint="80"/>
                    <w:sz w:val="22"/>
                    <w:szCs w:val="22"/>
                  </w:rPr>
                  <w:t>No</w:t>
                </w:r>
              </w:p>
            </w:tc>
          </w:tr>
        </w:tbl>
        <w:p w:rsidR="00C95840" w:rsidP="00651CF8">
          <w:pPr>
            <w:pStyle w:val="Normal125"/>
            <w:keepNext/>
            <w:widowControl/>
            <w:shd w:val="clear" w:color="auto" w:fill="F7F7F7"/>
            <w:ind w:left="-691" w:right="-518"/>
            <w:rPr>
              <w:rStyle w:val="DefaultParagraphFont"/>
              <w:rFonts w:ascii="Calibri" w:hAnsi="Calibri"/>
              <w:color w:val="767171" w:themeShade="80"/>
              <w:sz w:val="22"/>
              <w:szCs w:val="22"/>
            </w:rPr>
          </w:pPr>
        </w:p>
        <w:tbl>
          <w:tblPr>
            <w:tblStyle w:val="TableGrid63"/>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tblPr>
          <w:tblGrid>
            <w:gridCol w:w="8712"/>
            <w:gridCol w:w="900"/>
            <w:gridCol w:w="990"/>
          </w:tblGrid>
          <w:tr w:rsidTr="00E14432">
            <w:tblPrEx>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Environmental Assessment OP</w:t>
                </w:r>
                <w:r w:rsidRPr="00501672">
                  <w:rPr>
                    <w:rStyle w:val="DefaultParagraphFont"/>
                    <w:rFonts w:ascii="Calibri" w:hAnsi="Calibri"/>
                    <w:noProof/>
                    <w:sz w:val="22"/>
                    <w:szCs w:val="22"/>
                  </w:rPr>
                  <w:t>/BP 4.01</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Natural Habitats OP</w:t>
                </w:r>
                <w:r w:rsidRPr="00501672">
                  <w:rPr>
                    <w:rStyle w:val="DefaultParagraphFont"/>
                    <w:rFonts w:ascii="Calibri" w:hAnsi="Calibri"/>
                    <w:noProof/>
                    <w:sz w:val="22"/>
                    <w:szCs w:val="22"/>
                  </w:rPr>
                  <w:t>/BP 4.04</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Forests OP/BP</w:t>
                </w:r>
                <w:r w:rsidRPr="00501672">
                  <w:rPr>
                    <w:rStyle w:val="DefaultParagraphFont"/>
                    <w:rFonts w:ascii="Calibri" w:hAnsi="Calibri"/>
                    <w:noProof/>
                    <w:sz w:val="22"/>
                    <w:szCs w:val="22"/>
                  </w:rPr>
                  <w:t xml:space="preserve"> 4.36</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Pest Management OP</w:t>
                </w:r>
                <w:r w:rsidRPr="00501672">
                  <w:rPr>
                    <w:rStyle w:val="DefaultParagraphFont"/>
                    <w:rFonts w:ascii="Calibri" w:hAnsi="Calibri"/>
                    <w:noProof/>
                    <w:sz w:val="22"/>
                    <w:szCs w:val="22"/>
                  </w:rPr>
                  <w:t xml:space="preserve"> 4.09</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Physical Cultural Resources</w:t>
                </w:r>
                <w:r w:rsidRPr="00501672">
                  <w:rPr>
                    <w:rStyle w:val="DefaultParagraphFont"/>
                    <w:rFonts w:ascii="Calibri" w:hAnsi="Calibri"/>
                    <w:noProof/>
                    <w:sz w:val="22"/>
                    <w:szCs w:val="22"/>
                  </w:rPr>
                  <w:t xml:space="preserve"> OP/BP 4.11</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Indigenous Peoples OP</w:t>
                </w:r>
                <w:r w:rsidRPr="00501672">
                  <w:rPr>
                    <w:rStyle w:val="DefaultParagraphFont"/>
                    <w:rFonts w:ascii="Calibri" w:hAnsi="Calibri"/>
                    <w:noProof/>
                    <w:sz w:val="22"/>
                    <w:szCs w:val="22"/>
                  </w:rPr>
                  <w:t>/BP 4.10</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Involuntary Resettlement OP</w:t>
                </w:r>
                <w:r w:rsidRPr="00501672">
                  <w:rPr>
                    <w:rStyle w:val="DefaultParagraphFont"/>
                    <w:rFonts w:ascii="Calibri" w:hAnsi="Calibri"/>
                    <w:noProof/>
                    <w:sz w:val="22"/>
                    <w:szCs w:val="22"/>
                  </w:rPr>
                  <w:t>/BP 4.12</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Y</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Safety of Dams</w:t>
                </w:r>
                <w:r w:rsidRPr="00501672">
                  <w:rPr>
                    <w:rStyle w:val="DefaultParagraphFont"/>
                    <w:rFonts w:ascii="Calibri" w:hAnsi="Calibri"/>
                    <w:noProof/>
                    <w:sz w:val="22"/>
                    <w:szCs w:val="22"/>
                  </w:rPr>
                  <w:t xml:space="preserve"> OP/BP 4.37</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Projects on International</w:t>
                </w:r>
                <w:r w:rsidRPr="00501672">
                  <w:rPr>
                    <w:rStyle w:val="DefaultParagraphFont"/>
                    <w:rFonts w:ascii="Calibri" w:hAnsi="Calibri"/>
                    <w:noProof/>
                    <w:sz w:val="22"/>
                    <w:szCs w:val="22"/>
                  </w:rPr>
                  <w:t xml:space="preserve"> Waterways OP/BP 7.50</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r>
          <w:tr w:rsidTr="00E14432">
            <w:tblPrEx>
              <w:tblW w:w="10602" w:type="dxa"/>
              <w:tblInd w:w="-702" w:type="dxa"/>
              <w:shd w:val="clear" w:color="auto" w:fill="F7F7F7"/>
              <w:tblLayout w:type="fixed"/>
              <w:tblCellMar>
                <w:left w:w="0" w:type="dxa"/>
                <w:right w:w="115" w:type="dxa"/>
              </w:tblCellMar>
              <w:tblLook w:val="04A0"/>
            </w:tblPrEx>
            <w:trPr>
              <w:trHeight w:val="377"/>
            </w:trPr>
            <w:tc>
              <w:tcPr>
                <w:tcW w:w="8712"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widowControl/>
                  <w:ind w:left="72"/>
                  <w:rPr>
                    <w:rStyle w:val="DefaultParagraphFont"/>
                    <w:rFonts w:ascii="Calibri" w:hAnsi="Calibri"/>
                    <w:sz w:val="22"/>
                    <w:szCs w:val="22"/>
                  </w:rPr>
                </w:pPr>
                <w:r w:rsidRPr="00501672">
                  <w:rPr>
                    <w:rStyle w:val="DefaultParagraphFont"/>
                    <w:rFonts w:ascii="Calibri" w:hAnsi="Calibri"/>
                    <w:noProof/>
                    <w:sz w:val="22"/>
                    <w:szCs w:val="22"/>
                  </w:rPr>
                  <w:t>Projects in Disputed</w:t>
                </w:r>
                <w:r w:rsidRPr="00501672">
                  <w:rPr>
                    <w:rStyle w:val="DefaultParagraphFont"/>
                    <w:rFonts w:ascii="Calibri" w:hAnsi="Calibri"/>
                    <w:noProof/>
                    <w:sz w:val="22"/>
                    <w:szCs w:val="22"/>
                  </w:rPr>
                  <w:t xml:space="preserve"> Areas OP/BP 7.60</w:t>
                </w:r>
              </w:p>
            </w:tc>
            <w:tc>
              <w:tcPr>
                <w:tcW w:w="90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hAnsi="Calibri"/>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="Y"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 xml:space="preserve">  </w:t>
                </w:r>
                <w:r w:rsidRPr="00501672">
                  <w:rPr>
                    <w:rStyle w:val="DefaultParagraphFont"/>
                    <w:rFonts w:ascii="Calibri" w:hAnsi="Calibri"/>
                    <w:noProof/>
                    <w:sz w:val="22"/>
                    <w:szCs w:val="22"/>
                  </w:rPr>
                  <w:fldChar w:fldCharType="end"/>
                </w:r>
              </w:p>
            </w:tc>
            <w:tc>
              <w:tcPr>
                <w:tcW w:w="990" w:type="dxa"/>
                <w:tcBorders>
                  <w:top w:val="single" w:sz="4" w:space="0" w:color="D9D9D9" w:themeColor="background1" w:themeShade="D9"/>
                  <w:left w:val="nil"/>
                  <w:bottom w:val="single" w:sz="4" w:space="0" w:color="D9D9D9" w:themeColor="background1" w:themeShade="D9"/>
                  <w:right w:val="nil"/>
                </w:tcBorders>
                <w:shd w:val="clear" w:color="auto" w:fill="F7F7F7"/>
                <w:vAlign w:val="center"/>
                <w:hideMark/>
              </w:tcPr>
              <w:p w:rsidR="003615CB" w:rsidRPr="00501672" w:rsidP="003615CB">
                <w:pPr>
                  <w:pStyle w:val="Normal125"/>
                  <w:jc w:val="center"/>
                  <w:rPr>
                    <w:rStyle w:val="DefaultParagraphFont"/>
                    <w:rFonts w:ascii="Calibri" w:eastAsia="Calibri" w:hAnsi="Calibri" w:cs="Times New Roman"/>
                    <w:color w:val="auto"/>
                    <w:sz w:val="22"/>
                    <w:szCs w:val="22"/>
                  </w:rPr>
                </w:pPr>
                <w:r w:rsidRPr="00501672">
                  <w:rPr>
                    <w:rStyle w:val="DefaultParagraphFont"/>
                    <w:rFonts w:ascii="Calibri" w:hAnsi="Calibri"/>
                    <w:noProof/>
                    <w:sz w:val="22"/>
                    <w:szCs w:val="22"/>
                  </w:rPr>
                  <w:fldChar w:fldCharType="begin"/>
                </w:r>
                <w:r w:rsidRPr="00501672">
                  <w:rPr>
                    <w:rStyle w:val="DefaultParagraphFont"/>
                    <w:rFonts w:ascii="Calibri" w:hAnsi="Calibri"/>
                    <w:noProof/>
                    <w:sz w:val="22"/>
                    <w:szCs w:val="22"/>
                  </w:rPr>
                  <w:instrText xml:space="preserve"> IF </w:instrText>
                </w:r>
                <w:r w:rsidRPr="00501672">
                  <w:rPr>
                    <w:rStyle w:val="DefaultParagraphFont"/>
                    <w:rFonts w:ascii="Calibri" w:hAnsi="Calibri"/>
                    <w:noProof/>
                    <w:sz w:val="22"/>
                    <w:szCs w:val="22"/>
                  </w:rPr>
                  <w:instrText>N</w:instrText>
                </w:r>
                <w:r w:rsidRPr="00501672">
                  <w:rPr>
                    <w:rStyle w:val="DefaultParagraphFont"/>
                    <w:rFonts w:ascii="Calibri" w:hAnsi="Calibri"/>
                    <w:noProof/>
                    <w:sz w:val="22"/>
                    <w:szCs w:val="22"/>
                  </w:rPr>
                  <w:instrText xml:space="preserve"> ="N" </w:instrText>
                </w:r>
                <w:r w:rsidRPr="00501672">
                  <w:rPr>
                    <w:rStyle w:val="DefaultParagraphFont"/>
                    <w:rFonts w:ascii="Segoe UI Symbol" w:hAnsi="Segoe UI Symbol" w:cs="Segoe UI Symbol"/>
                    <w:noProof/>
                    <w:sz w:val="22"/>
                    <w:szCs w:val="22"/>
                  </w:rPr>
                  <w:instrText>✔</w:instrText>
                </w:r>
                <w:r>
                  <w:rPr>
                    <w:rStyle w:val="DefaultParagraphFont"/>
                    <w:rFonts w:ascii="Segoe UI Symbol" w:hAnsi="Segoe UI Symbol" w:cs="Segoe UI Symbol"/>
                    <w:color w:val="000000"/>
                    <w:sz w:val="22"/>
                    <w:szCs w:val="22"/>
                  </w:rPr>
                  <w:instrText xml:space="preserve"> "  "</w:instrText>
                </w:r>
                <w:r w:rsidRPr="00501672">
                  <w:rPr>
                    <w:rStyle w:val="DefaultParagraphFont"/>
                    <w:rFonts w:ascii="Calibri" w:hAnsi="Calibri"/>
                    <w:noProof/>
                    <w:sz w:val="22"/>
                    <w:szCs w:val="22"/>
                  </w:rPr>
                  <w:instrText xml:space="preserve">    \* MERGEFORMAT </w:instrText>
                </w:r>
                <w:r w:rsidRPr="00501672">
                  <w:rPr>
                    <w:rStyle w:val="DefaultParagraphFont"/>
                    <w:rFonts w:ascii="Calibri" w:hAnsi="Calibri"/>
                    <w:noProof/>
                    <w:sz w:val="22"/>
                    <w:szCs w:val="22"/>
                  </w:rPr>
                  <w:fldChar w:fldCharType="separate"/>
                </w:r>
                <w:r w:rsidR="00F61CA3">
                  <w:rPr>
                    <w:rStyle w:val="DefaultParagraphFont"/>
                    <w:rFonts w:ascii="Segoe UI Symbol" w:hAnsi="Segoe UI Symbol" w:cs="Segoe UI Symbol"/>
                    <w:noProof/>
                    <w:color w:val="000000"/>
                    <w:sz w:val="22"/>
                    <w:szCs w:val="22"/>
                  </w:rPr>
                  <w:t>✔</w:t>
                </w:r>
                <w:r w:rsidRPr="00501672">
                  <w:rPr>
                    <w:rStyle w:val="DefaultParagraphFont"/>
                    <w:rFonts w:ascii="Calibri" w:hAnsi="Calibri"/>
                    <w:noProof/>
                    <w:sz w:val="22"/>
                    <w:szCs w:val="22"/>
                  </w:rPr>
                  <w:fldChar w:fldCharType="end"/>
                </w:r>
              </w:p>
            </w:tc>
          </w:tr>
        </w:tbl>
        <w:p w:rsidR="003615CB" w:rsidRPr="00DF5481" w:rsidP="00DF5481">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
          <w:tblGrid>
            <w:gridCol w:w="10620"/>
          </w:tblGrid>
          <w:tr w:rsidTr="00DF5481">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Ex>
            <w:trPr>
              <w:trHeight w:val="374"/>
            </w:trPr>
            <w:tc>
              <w:tcPr>
                <w:tcW w:w="10620" w:type="dxa"/>
                <w:shd w:val="clear" w:color="auto" w:fill="F7F7F7"/>
              </w:tcPr>
              <w:p w:rsidR="003615CB" w:rsidRPr="00692E93" w:rsidP="00651CF8">
                <w:pPr>
                  <w:pStyle w:val="Normal125"/>
                  <w:keepNext/>
                  <w:widowControl/>
                  <w:spacing w:line="276" w:lineRule="auto"/>
                  <w:ind w:left="90" w:right="-198"/>
                  <w:rPr>
                    <w:rStyle w:val="DefaultParagraphFont"/>
                    <w:rFonts w:ascii="Calibri" w:hAnsi="Calibri"/>
                    <w:color w:val="7F7F7F" w:themeTint="80"/>
                    <w:sz w:val="22"/>
                    <w:szCs w:val="22"/>
                  </w:rPr>
                </w:pPr>
                <w:r w:rsidRPr="00692E93">
                  <w:rPr>
                    <w:rStyle w:val="DefaultParagraphFont"/>
                    <w:rFonts w:ascii="Calibri" w:hAnsi="Calibri"/>
                    <w:b/>
                    <w:color w:val="172D5F"/>
                    <w:sz w:val="22"/>
                    <w:szCs w:val="22"/>
                  </w:rPr>
                  <w:t>Legal Covenants</w:t>
                </w:r>
              </w:p>
            </w:tc>
          </w:tr>
        </w:tbl>
        <w:p w:rsidR="008F0622" w:rsidRPr="00DF5481" w:rsidP="00651CF8">
          <w:pPr>
            <w:pStyle w:val="Normal125"/>
            <w:keepNext/>
            <w:widowControl/>
            <w:shd w:val="clear" w:color="auto" w:fill="F7F7F7"/>
            <w:ind w:left="-691" w:right="-518"/>
            <w:rPr>
              <w:rStyle w:val="DefaultParagraphFont"/>
              <w:rFonts w:ascii="Calibri" w:hAnsi="Calibri"/>
              <w:color w:val="767171" w:themeShade="80"/>
              <w:sz w:val="22"/>
              <w:szCs w:val="22"/>
            </w:rPr>
          </w:pPr>
        </w:p>
        <w:p w:rsidR="003615CB" w:rsidRPr="00DF5481" w:rsidP="00C95840">
          <w:pPr>
            <w:pStyle w:val="Normal125"/>
            <w:shd w:val="clear" w:color="auto" w:fill="F7F7F7"/>
            <w:spacing w:line="14" w:lineRule="exact"/>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
          <w:tblGrid>
            <w:gridCol w:w="5400"/>
          </w:tblGrid>
          <w:tr w:rsidTr="00DF5481">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Ex>
            <w:trPr>
              <w:trHeight w:val="20"/>
            </w:trPr>
            <w:tc>
              <w:tcPr>
                <w:tcW w:w="5400" w:type="dxa"/>
                <w:tcBorders>
                  <w:left w:val="none" w:sz="0" w:space="0" w:color="auto"/>
                </w:tcBorders>
                <w:shd w:val="clear" w:color="auto" w:fill="F7F7F7"/>
              </w:tcPr>
              <w:p w:rsidR="003615CB" w:rsidRPr="00692E93" w:rsidP="008F0622">
                <w:pPr>
                  <w:pStyle w:val="Normal125"/>
                  <w:ind w:right="-198"/>
                  <w:jc w:val="both"/>
                  <w:rPr>
                    <w:rStyle w:val="DefaultParagraphFont"/>
                    <w:rFonts w:ascii="Calibri" w:hAnsi="Calibri"/>
                    <w:color w:val="7F7F7F" w:themeTint="80"/>
                    <w:sz w:val="22"/>
                    <w:szCs w:val="22"/>
                  </w:rPr>
                </w:pPr>
                <w:r>
                  <w:rPr>
                    <w:rStyle w:val="DefaultParagraphFont"/>
                    <w:rFonts w:ascii="Calibri" w:hAnsi="Calibri"/>
                    <w:color w:val="7F7F7F" w:themeTint="80"/>
                    <w:sz w:val="22"/>
                    <w:szCs w:val="22"/>
                  </w:rPr>
                  <w:t xml:space="preserve">  Sections and </w:t>
                </w:r>
                <w:r w:rsidRPr="00692E93">
                  <w:rPr>
                    <w:rStyle w:val="DefaultParagraphFont"/>
                    <w:rFonts w:ascii="Calibri" w:hAnsi="Calibri"/>
                    <w:color w:val="7F7F7F" w:themeTint="80"/>
                    <w:sz w:val="22"/>
                    <w:szCs w:val="22"/>
                  </w:rPr>
                  <w:t>Description</w:t>
                </w:r>
              </w:p>
            </w:tc>
          </w:tr>
          <w:tr w:rsidTr="00DF5481">
            <w:tblPrEx>
              <w:tblW w:w="10620" w:type="dxa"/>
              <w:tblInd w:w="-720" w:type="dxa"/>
              <w:shd w:val="clear" w:color="auto" w:fill="F7F7F7"/>
              <w:tblLayout w:type="fixed"/>
              <w:tblCellMar>
                <w:left w:w="0" w:type="dxa"/>
                <w:right w:w="101" w:type="dxa"/>
              </w:tblCellMar>
              <w:tblLook w:val="04A0"/>
            </w:tblPrEx>
            <w:trPr>
              <w:trHeight w:val="20"/>
            </w:trPr>
            <w:tc>
              <w:tcPr>
                <w:tcW w:w="5400" w:type="dxa"/>
                <w:tcBorders>
                  <w:left w:val="none" w:sz="0" w:space="0" w:color="auto"/>
                </w:tcBorders>
                <w:shd w:val="clear" w:color="auto" w:fill="F7F7F7"/>
              </w:tcPr>
              <w:p w:rsidR="003615CB" w:rsidRPr="008440E9"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noProof/>
                    <w:color w:val="000000"/>
                    <w:sz w:val="22"/>
                    <w:szCs w:val="22"/>
                  </w:rPr>
                  <w:t>Prepare Project</w:t>
                </w:r>
                <w:r>
                  <w:rPr>
                    <w:rStyle w:val="DefaultParagraphFont"/>
                    <w:rFonts w:ascii="Calibri" w:hAnsi="Calibri"/>
                    <w:color w:val="000000"/>
                    <w:sz w:val="22"/>
                    <w:szCs w:val="22"/>
                  </w:rPr>
                  <w:t xml:space="preserve"> Implementation Manual</w:t>
                </w:r>
              </w:p>
              <w:p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color w:val="000000"/>
                    <w:sz w:val="22"/>
                    <w:szCs w:val="22"/>
                  </w:rPr>
                  <w:t>Due Date: 18-August-2017</w:t>
                  <w:tab/>
                </w:r>
              </w:p>
              <w:p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color w:val="000000"/>
                    <w:sz w:val="22"/>
                    <w:szCs w:val="22"/>
                  </w:rPr>
                  <w:t>Description of Covenant:</w:t>
                </w:r>
              </w:p>
              <w:p w:rsidR="003615CB" w:rsidRPr="008440E9"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color w:val="000000"/>
                    <w:sz w:val="22"/>
                    <w:szCs w:val="22"/>
                  </w:rPr>
                  <w:t>No later than two (2) months after the Effective Date, the Borrower shall, and shall cause each Participating State, to adopt the Project Implementation Manual (PIM) in form and substance satisfactory to the World Bank, and, thereafter carry out the Project and cause each Participating State to carry out its respective activities under the Project in accordance with the provisions of the PIM , which shall include: (a) institutional coordination and day-to-day execution of the Project; (b) Project budgeting, disbursement and financial management; (c) procurement; (d) environmental and social safeguard guidelines; (e) monitoring, evaluation, reporting and communication; and (f) such other administrative, financial, technical, and organizational arrangements and procedures as shall be required for the Project.</w:t>
                </w:r>
              </w:p>
            </w:tc>
          </w:tr>
          <w:tr w:rsidTr="00DF5481">
            <w:tblPrEx>
              <w:tblW w:w="10620" w:type="dxa"/>
              <w:tblInd w:w="-720" w:type="dxa"/>
              <w:shd w:val="clear" w:color="auto" w:fill="F7F7F7"/>
              <w:tblLayout w:type="fixed"/>
              <w:tblCellMar>
                <w:left w:w="0" w:type="dxa"/>
                <w:right w:w="101" w:type="dxa"/>
              </w:tblCellMar>
              <w:tblLook w:val="04A0"/>
            </w:tblPrEx>
            <w:trPr>
              <w:trHeight w:val="20"/>
            </w:trPr>
            <w:tc>
              <w:tcPr>
                <w:tcW w:w="5400" w:type="dxa"/>
                <w:tcBorders>
                  <w:left w:val="nil"/>
                  <w:bottom w:val="single" w:sz="4" w:space="0" w:color="D9D9D9" w:themeColor="background1" w:themeShade="D9"/>
                </w:tcBorders>
                <w:shd w:val="clear" w:color="auto" w:fill="F7F7F7"/>
              </w:tcPr>
              <w:p w:rsidR="003615CB" w:rsidP="003615CB">
                <w:pPr>
                  <w:pStyle w:val="Normal125"/>
                  <w:spacing w:line="276" w:lineRule="auto"/>
                  <w:ind w:left="90" w:right="-198"/>
                  <w:rPr>
                    <w:rStyle w:val="DefaultParagraphFont"/>
                    <w:rFonts w:ascii="Calibri" w:hAnsi="Calibri"/>
                    <w:color w:val="000000"/>
                    <w:sz w:val="22"/>
                    <w:szCs w:val="22"/>
                  </w:rPr>
                </w:pPr>
              </w:p>
            </w:tc>
          </w:tr>
        </w:tbl>
        <w:p w:rsidR="003615CB" w:rsidRPr="00DF5481" w:rsidP="00DF5481">
          <w:pPr>
            <w:pStyle w:val="Normal125"/>
            <w:shd w:val="clear" w:color="auto" w:fill="F7F7F7"/>
            <w:spacing w:line="14" w:lineRule="exact"/>
            <w:ind w:left="-691" w:right="-518"/>
            <w:rPr>
              <w:rStyle w:val="DefaultParagraphFont"/>
              <w:rFonts w:ascii="Calibri" w:hAnsi="Calibri"/>
              <w:color w:val="767171" w:themeShade="80"/>
              <w:sz w:val="22"/>
              <w:szCs w:val="22"/>
            </w:rPr>
          </w:pPr>
        </w:p>
        <w:p w:rsidR="003615CB" w:rsidRPr="00DF5481" w:rsidP="00C95840">
          <w:pPr>
            <w:pStyle w:val="Normal125"/>
            <w:shd w:val="clear" w:color="auto" w:fill="F7F7F7"/>
            <w:spacing w:line="14" w:lineRule="exact"/>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
          <w:tblGrid>
            <w:gridCol w:w="5400"/>
          </w:tblGrid>
          <w:tr w:rsidTr="00DF5481">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Ex>
            <w:trPr>
              <w:trHeight w:val="20"/>
            </w:trPr>
            <w:tc>
              <w:tcPr>
                <w:tcW w:w="5400" w:type="dxa"/>
                <w:tcBorders>
                  <w:left w:val="none" w:sz="0" w:space="0" w:color="auto"/>
                </w:tcBorders>
                <w:shd w:val="clear" w:color="auto" w:fill="F7F7F7"/>
              </w:tcPr>
              <w:p w:rsidR="003615CB" w:rsidRPr="00692E93" w:rsidP="008F0622">
                <w:pPr>
                  <w:pStyle w:val="Normal125"/>
                  <w:ind w:right="-198"/>
                  <w:jc w:val="both"/>
                  <w:rPr>
                    <w:rStyle w:val="DefaultParagraphFont"/>
                    <w:rFonts w:ascii="Calibri" w:hAnsi="Calibri"/>
                    <w:color w:val="7F7F7F" w:themeTint="80"/>
                    <w:sz w:val="22"/>
                    <w:szCs w:val="22"/>
                  </w:rPr>
                </w:pPr>
                <w:r>
                  <w:rPr>
                    <w:rStyle w:val="DefaultParagraphFont"/>
                    <w:rFonts w:ascii="Calibri" w:hAnsi="Calibri"/>
                    <w:color w:val="7F7F7F" w:themeTint="80"/>
                    <w:sz w:val="22"/>
                    <w:szCs w:val="22"/>
                  </w:rPr>
                  <w:t xml:space="preserve">  Sections and </w:t>
                </w:r>
                <w:r w:rsidRPr="00692E93">
                  <w:rPr>
                    <w:rStyle w:val="DefaultParagraphFont"/>
                    <w:rFonts w:ascii="Calibri" w:hAnsi="Calibri"/>
                    <w:color w:val="7F7F7F" w:themeTint="80"/>
                    <w:sz w:val="22"/>
                    <w:szCs w:val="22"/>
                  </w:rPr>
                  <w:t>Description</w:t>
                </w:r>
              </w:p>
            </w:tc>
          </w:tr>
          <w:tr w:rsidTr="00DF5481">
            <w:tblPrEx>
              <w:tblW w:w="10620" w:type="dxa"/>
              <w:tblInd w:w="-720" w:type="dxa"/>
              <w:shd w:val="clear" w:color="auto" w:fill="F7F7F7"/>
              <w:tblLayout w:type="fixed"/>
              <w:tblCellMar>
                <w:left w:w="0" w:type="dxa"/>
                <w:right w:w="101" w:type="dxa"/>
              </w:tblCellMar>
              <w:tblLook w:val="04A0"/>
            </w:tblPrEx>
            <w:trPr>
              <w:trHeight w:val="20"/>
            </w:trPr>
            <w:tc>
              <w:tcPr>
                <w:tcW w:w="5400" w:type="dxa"/>
                <w:tcBorders>
                  <w:left w:val="none" w:sz="0" w:space="0" w:color="auto"/>
                </w:tcBorders>
                <w:shd w:val="clear" w:color="auto" w:fill="F7F7F7"/>
              </w:tcPr>
              <w:p w:rsidR="003615CB" w:rsidRPr="008440E9"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noProof/>
                    <w:color w:val="000000"/>
                    <w:sz w:val="22"/>
                    <w:szCs w:val="22"/>
                  </w:rPr>
                  <w:t>Effect institutional</w:t>
                </w:r>
                <w:r>
                  <w:rPr>
                    <w:rStyle w:val="DefaultParagraphFont"/>
                    <w:rFonts w:ascii="Calibri" w:hAnsi="Calibri"/>
                    <w:color w:val="000000"/>
                    <w:sz w:val="22"/>
                    <w:szCs w:val="22"/>
                  </w:rPr>
                  <w:t xml:space="preserve"> arrangements</w:t>
                  <w:tab/>
                  <w:tab/>
                </w:r>
              </w:p>
              <w:p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color w:val="000000"/>
                    <w:sz w:val="22"/>
                    <w:szCs w:val="22"/>
                  </w:rPr>
                  <w:t>Due Date: 18-July-2017</w:t>
                  <w:tab/>
                </w:r>
              </w:p>
              <w:p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color w:val="000000"/>
                    <w:sz w:val="22"/>
                    <w:szCs w:val="22"/>
                  </w:rPr>
                  <w:t>Description of Covenant:</w:t>
                </w:r>
              </w:p>
              <w:p w:rsidR="003615CB" w:rsidRPr="008440E9" w:rsidP="001B3D1C">
                <w:pPr>
                  <w:pStyle w:val="Normal125"/>
                  <w:spacing w:line="276" w:lineRule="auto"/>
                  <w:ind w:left="90" w:right="169"/>
                  <w:rPr>
                    <w:rStyle w:val="DefaultParagraphFont"/>
                    <w:rFonts w:ascii="Calibri" w:hAnsi="Calibri"/>
                    <w:color w:val="000000"/>
                    <w:sz w:val="22"/>
                    <w:szCs w:val="22"/>
                  </w:rPr>
                </w:pPr>
                <w:r>
                  <w:rPr>
                    <w:rStyle w:val="DefaultParagraphFont"/>
                    <w:rFonts w:ascii="Calibri" w:hAnsi="Calibri"/>
                    <w:color w:val="000000"/>
                    <w:sz w:val="22"/>
                    <w:szCs w:val="22"/>
                  </w:rPr>
                  <w:t>The Borrower shall cause each Participating State to establish, not later than one (1) month after the Effective Date, and thereafter maintain, throughout the implementation of the Project, a state project coordination unit (PCU) for said Participating State with functions, staffing and resources satisfactory to the World Bank. The Borrower shall cause each Participating State to ensure that the respective PCU shall be responsible for the administration of overall planning, coordination of the carrying out of activities under its respective activities of the Project, the technical, fiduciary (i.e., procurement and financial management), environmental and social safeguards compliance, monitoring, evaluation, reporting and communication of the activities under the Project in the corresponding Participating State.</w:t>
                </w:r>
              </w:p>
            </w:tc>
          </w:tr>
          <w:tr w:rsidTr="00DF5481">
            <w:tblPrEx>
              <w:tblW w:w="10620" w:type="dxa"/>
              <w:tblInd w:w="-720" w:type="dxa"/>
              <w:shd w:val="clear" w:color="auto" w:fill="F7F7F7"/>
              <w:tblLayout w:type="fixed"/>
              <w:tblCellMar>
                <w:left w:w="0" w:type="dxa"/>
                <w:right w:w="101" w:type="dxa"/>
              </w:tblCellMar>
              <w:tblLook w:val="04A0"/>
            </w:tblPrEx>
            <w:trPr>
              <w:trHeight w:val="20"/>
            </w:trPr>
            <w:tc>
              <w:tcPr>
                <w:tcW w:w="5400" w:type="dxa"/>
                <w:tcBorders>
                  <w:left w:val="nil"/>
                  <w:bottom w:val="single" w:sz="4" w:space="0" w:color="D9D9D9" w:themeColor="background1" w:themeShade="D9"/>
                </w:tcBorders>
                <w:shd w:val="clear" w:color="auto" w:fill="F7F7F7"/>
              </w:tcPr>
              <w:p w:rsidR="003615CB" w:rsidP="003615CB">
                <w:pPr>
                  <w:pStyle w:val="Normal125"/>
                  <w:spacing w:line="276" w:lineRule="auto"/>
                  <w:ind w:left="90" w:right="-198"/>
                  <w:rPr>
                    <w:rStyle w:val="DefaultParagraphFont"/>
                    <w:rFonts w:ascii="Calibri" w:hAnsi="Calibri"/>
                    <w:color w:val="000000"/>
                    <w:sz w:val="22"/>
                    <w:szCs w:val="22"/>
                  </w:rPr>
                </w:pPr>
              </w:p>
            </w:tc>
          </w:tr>
        </w:tbl>
        <w:p w:rsidR="003615CB" w:rsidRPr="00DF5481" w:rsidP="00DF5481">
          <w:pPr>
            <w:pStyle w:val="Normal125"/>
            <w:shd w:val="clear" w:color="auto" w:fill="F7F7F7"/>
            <w:spacing w:line="14" w:lineRule="exact"/>
            <w:ind w:left="-691" w:right="-518"/>
            <w:rPr>
              <w:rStyle w:val="DefaultParagraphFont"/>
              <w:rFonts w:ascii="Calibri" w:hAnsi="Calibri"/>
              <w:color w:val="767171" w:themeShade="80"/>
              <w:sz w:val="22"/>
              <w:szCs w:val="22"/>
            </w:rPr>
          </w:pPr>
        </w:p>
        <w:p w:rsidR="003615CB" w:rsidRPr="00DF5481" w:rsidP="00DF5481">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
          <w:tblGrid>
            <w:gridCol w:w="10620"/>
          </w:tblGrid>
          <w:tr w:rsidTr="00DF5481">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Ex>
            <w:trPr>
              <w:trHeight w:val="144"/>
            </w:trPr>
            <w:tc>
              <w:tcPr>
                <w:tcW w:w="10620" w:type="dxa"/>
                <w:shd w:val="clear" w:color="auto" w:fill="F7F7F7"/>
              </w:tcPr>
              <w:p w:rsidR="003615CB" w:rsidRPr="00692E93" w:rsidP="00651CF8">
                <w:pPr>
                  <w:pStyle w:val="Normal125"/>
                  <w:keepNext/>
                  <w:widowControl/>
                  <w:spacing w:line="276" w:lineRule="auto"/>
                  <w:ind w:left="90" w:right="-198"/>
                  <w:rPr>
                    <w:rStyle w:val="DefaultParagraphFont"/>
                    <w:rFonts w:ascii="Calibri" w:hAnsi="Calibri"/>
                    <w:color w:val="000000"/>
                    <w:sz w:val="22"/>
                    <w:szCs w:val="22"/>
                  </w:rPr>
                </w:pPr>
                <w:r>
                  <w:rPr>
                    <w:rStyle w:val="DefaultParagraphFont"/>
                    <w:rFonts w:ascii="Calibri" w:hAnsi="Calibri"/>
                    <w:b/>
                    <w:color w:val="172D5F"/>
                    <w:sz w:val="22"/>
                    <w:szCs w:val="22"/>
                  </w:rPr>
                  <w:t>Conditions</w:t>
                </w:r>
              </w:p>
            </w:tc>
          </w:tr>
        </w:tbl>
        <w:p w:rsidR="008F0622" w:rsidRPr="00DF5481" w:rsidP="00651CF8">
          <w:pPr>
            <w:pStyle w:val="Normal125"/>
            <w:keepNext/>
            <w:widowControl/>
            <w:shd w:val="clear" w:color="auto" w:fill="F7F7F7"/>
            <w:ind w:left="-691" w:right="-518"/>
            <w:rPr>
              <w:rStyle w:val="DefaultParagraphFont"/>
              <w:rFonts w:ascii="Calibri" w:hAnsi="Calibri"/>
              <w:color w:val="767171" w:themeShade="80"/>
              <w:sz w:val="22"/>
              <w:szCs w:val="22"/>
            </w:rPr>
          </w:pPr>
        </w:p>
        <w:p w:rsidR="003615CB" w:rsidRPr="00DF5481" w:rsidP="00C95840">
          <w:pPr>
            <w:pStyle w:val="Normal125"/>
            <w:shd w:val="clear" w:color="auto" w:fill="F7F7F7"/>
            <w:spacing w:line="14" w:lineRule="exact"/>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0" w:type="dxa"/>
              <w:right w:w="115" w:type="dxa"/>
            </w:tblCellMar>
            <w:tblLook w:val="04A0"/>
          </w:tblPr>
          <w:tblGrid>
            <w:gridCol w:w="2070"/>
            <w:gridCol w:w="5310"/>
          </w:tblGrid>
          <w:tr w:rsidTr="00DF5481">
            <w:tblPrEx>
              <w:tblW w:w="10620" w:type="dxa"/>
              <w:tblInd w:w="-720" w:type="dxa"/>
              <w:tblBorders>
                <w:top w:val="nil"/>
                <w:left w:val="nil"/>
                <w:bottom w:val="nil"/>
                <w:right w:val="nil"/>
                <w:insideH w:val="nil"/>
                <w:insideV w:val="nil"/>
              </w:tblBorders>
              <w:shd w:val="clear" w:color="auto" w:fill="F7F7F7"/>
              <w:tblLayout w:type="fixed"/>
              <w:tblCellMar>
                <w:left w:w="0" w:type="dxa"/>
                <w:right w:w="115" w:type="dxa"/>
              </w:tblCellMar>
              <w:tblLook w:val="04A0"/>
            </w:tblPrEx>
            <w:trPr>
              <w:trHeight w:val="20"/>
            </w:trPr>
            <w:tc>
              <w:tcPr>
                <w:tcW w:w="2070" w:type="dxa"/>
                <w:tcBorders>
                  <w:top w:val="nil"/>
                  <w:left w:val="none" w:sz="0" w:space="0" w:color="auto"/>
                  <w:bottom w:val="nil"/>
                  <w:right w:val="single" w:sz="8" w:space="0" w:color="D9D9D9" w:themeColor="background1" w:themeShade="D9"/>
                </w:tcBorders>
                <w:shd w:val="clear" w:color="auto" w:fill="F7F7F7"/>
                <w:vAlign w:val="center"/>
              </w:tcPr>
              <w:p w:rsidR="003615CB" w:rsidRPr="00692E93" w:rsidP="00651CF8">
                <w:pPr>
                  <w:pStyle w:val="Normal125"/>
                  <w:keepNext/>
                  <w:widowControl/>
                  <w:ind w:left="155" w:hanging="65"/>
                  <w:rPr>
                    <w:rStyle w:val="DefaultParagraphFont"/>
                    <w:rFonts w:ascii="Calibri" w:hAnsi="Calibri"/>
                    <w:color w:val="7F7F7F" w:themeTint="80"/>
                    <w:sz w:val="22"/>
                    <w:szCs w:val="22"/>
                  </w:rPr>
                </w:pPr>
                <w:r w:rsidRPr="00692E93">
                  <w:rPr>
                    <w:rStyle w:val="DefaultParagraphFont"/>
                    <w:rFonts w:ascii="Calibri" w:hAnsi="Calibri"/>
                    <w:color w:val="7F7F7F" w:themeTint="80"/>
                    <w:sz w:val="22"/>
                    <w:szCs w:val="22"/>
                  </w:rPr>
                  <w:t>Type</w:t>
                </w:r>
              </w:p>
            </w:tc>
            <w:tc>
              <w:tcPr>
                <w:tcW w:w="5310" w:type="dxa"/>
                <w:tcBorders>
                  <w:top w:val="nil"/>
                  <w:left w:val="single" w:sz="8" w:space="0" w:color="D9D9D9" w:themeColor="background1" w:themeShade="D9"/>
                  <w:bottom w:val="nil"/>
                </w:tcBorders>
                <w:shd w:val="clear" w:color="auto" w:fill="F7F7F7"/>
                <w:vAlign w:val="center"/>
              </w:tcPr>
              <w:p w:rsidR="003615CB" w:rsidRPr="00692E93" w:rsidP="00651CF8">
                <w:pPr>
                  <w:pStyle w:val="Normal125"/>
                  <w:keepNext/>
                  <w:widowControl/>
                  <w:ind w:left="450" w:hanging="360"/>
                  <w:rPr>
                    <w:rStyle w:val="DefaultParagraphFont"/>
                    <w:rFonts w:ascii="Calibri" w:hAnsi="Calibri"/>
                    <w:sz w:val="22"/>
                    <w:szCs w:val="22"/>
                  </w:rPr>
                </w:pPr>
                <w:r w:rsidRPr="00692E93">
                  <w:rPr>
                    <w:rStyle w:val="DefaultParagraphFont"/>
                    <w:rFonts w:ascii="Calibri" w:hAnsi="Calibri"/>
                    <w:color w:val="7F7F7F" w:themeTint="80"/>
                    <w:sz w:val="22"/>
                    <w:szCs w:val="22"/>
                  </w:rPr>
                  <w:t>Description</w:t>
                </w:r>
              </w:p>
            </w:tc>
          </w:tr>
          <w:tr w:rsidTr="00DF5481">
            <w:tblPrEx>
              <w:tblW w:w="10620" w:type="dxa"/>
              <w:tblInd w:w="-720" w:type="dxa"/>
              <w:shd w:val="clear" w:color="auto" w:fill="F7F7F7"/>
              <w:tblLayout w:type="fixed"/>
              <w:tblCellMar>
                <w:left w:w="0" w:type="dxa"/>
                <w:right w:w="115" w:type="dxa"/>
              </w:tblCellMar>
              <w:tblLook w:val="04A0"/>
            </w:tblPrEx>
            <w:trPr>
              <w:trHeight w:val="110"/>
            </w:trPr>
            <w:tc>
              <w:tcPr>
                <w:tcW w:w="2070" w:type="dxa"/>
                <w:tcBorders>
                  <w:top w:val="nil"/>
                  <w:left w:val="none" w:sz="0" w:space="0" w:color="auto"/>
                  <w:bottom w:val="nil"/>
                  <w:right w:val="single" w:sz="8" w:space="0" w:color="D9D9D9" w:themeColor="background1" w:themeShade="D9"/>
                </w:tcBorders>
                <w:shd w:val="clear" w:color="auto" w:fill="F7F7F7"/>
              </w:tcPr>
              <w:p w:rsidR="003615CB" w:rsidP="003615CB">
                <w:pPr>
                  <w:pStyle w:val="Normal125"/>
                  <w:ind w:left="167" w:hanging="77"/>
                  <w:rPr>
                    <w:rStyle w:val="DefaultParagraphFont"/>
                    <w:rFonts w:ascii="Calibri" w:hAnsi="Calibri"/>
                    <w:color w:val="000000"/>
                    <w:sz w:val="22"/>
                    <w:szCs w:val="22"/>
                  </w:rPr>
                </w:pPr>
                <w:r>
                  <w:rPr>
                    <w:rStyle w:val="DefaultParagraphFont"/>
                    <w:rFonts w:ascii="Calibri" w:hAnsi="Calibri"/>
                    <w:noProof/>
                    <w:sz w:val="22"/>
                    <w:szCs w:val="22"/>
                  </w:rPr>
                  <w:t>Disbursement</w:t>
                </w:r>
              </w:p>
            </w:tc>
            <w:tc>
              <w:tcPr>
                <w:tcW w:w="5310" w:type="dxa"/>
                <w:tcBorders>
                  <w:top w:val="nil"/>
                  <w:left w:val="single" w:sz="8" w:space="0" w:color="D9D9D9" w:themeColor="background1" w:themeShade="D9"/>
                  <w:bottom w:val="nil"/>
                </w:tcBorders>
                <w:shd w:val="clear" w:color="auto" w:fill="F7F7F7"/>
              </w:tcPr>
              <w:p w:rsidR="003615CB" w:rsidRPr="00692E93" w:rsidP="003615CB">
                <w:pPr>
                  <w:pStyle w:val="Normal125"/>
                  <w:ind w:left="90"/>
                  <w:rPr>
                    <w:rStyle w:val="DefaultParagraphFont"/>
                    <w:rFonts w:ascii="Calibri" w:hAnsi="Calibri"/>
                    <w:sz w:val="22"/>
                    <w:szCs w:val="22"/>
                  </w:rPr>
                </w:pPr>
                <w:r>
                  <w:rPr>
                    <w:rStyle w:val="DefaultParagraphFont"/>
                    <w:rFonts w:ascii="Calibri" w:hAnsi="Calibri"/>
                    <w:noProof/>
                    <w:color w:val="000000"/>
                    <w:sz w:val="22"/>
                    <w:szCs w:val="22"/>
                  </w:rPr>
                  <w:t>Financing to</w:t>
                </w:r>
                <w:r>
                  <w:rPr>
                    <w:rStyle w:val="DefaultParagraphFont"/>
                    <w:rFonts w:ascii="Calibri" w:hAnsi="Calibri"/>
                    <w:color w:val="000000"/>
                    <w:sz w:val="22"/>
                    <w:szCs w:val="22"/>
                  </w:rPr>
                  <w:t xml:space="preserve"> Participating States</w:t>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Due Date: Continuous</w:t>
                  <w:tab/>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Description of Condition:</w:t>
                </w:r>
              </w:p>
              <w:p w:rsidR="003615CB" w:rsidRPr="00692E93" w:rsidP="003615CB">
                <w:pPr>
                  <w:pStyle w:val="Normal125"/>
                  <w:ind w:left="90"/>
                  <w:rPr>
                    <w:rStyle w:val="DefaultParagraphFont"/>
                    <w:rFonts w:ascii="Calibri" w:hAnsi="Calibri"/>
                    <w:sz w:val="22"/>
                    <w:szCs w:val="22"/>
                  </w:rPr>
                </w:pPr>
                <w:r>
                  <w:rPr>
                    <w:rStyle w:val="DefaultParagraphFont"/>
                    <w:rFonts w:ascii="Calibri" w:hAnsi="Calibri"/>
                    <w:color w:val="000000"/>
                    <w:sz w:val="22"/>
                    <w:szCs w:val="22"/>
                  </w:rPr>
                  <w:t>No withdrawal shall be made under Components (1), (2) and (3) for payments to any Participating State until and unless: (a) the respective Participating State has entered into a Subsidiary Agreement with the Borrower; and (b) the World Bank has received an opinion satisfactory to it establishing that said Subsidiary Agreement has been duly authorized or ratified by the Borrower and the respective Participating State and is legally binding upon the Borrower and the respective Participating State in accordance with its terms.</w:t>
                </w:r>
              </w:p>
            </w:tc>
          </w:tr>
          <w:tr w:rsidTr="00DF5481">
            <w:tblPrEx>
              <w:tblW w:w="10620" w:type="dxa"/>
              <w:tblInd w:w="-720" w:type="dxa"/>
              <w:shd w:val="clear" w:color="auto" w:fill="F7F7F7"/>
              <w:tblLayout w:type="fixed"/>
              <w:tblCellMar>
                <w:left w:w="0" w:type="dxa"/>
                <w:right w:w="115" w:type="dxa"/>
              </w:tblCellMar>
              <w:tblLook w:val="04A0"/>
            </w:tblPrEx>
            <w:trPr>
              <w:trHeight w:val="110"/>
            </w:trPr>
            <w:tc>
              <w:tcPr>
                <w:tcW w:w="2070" w:type="dxa"/>
                <w:tcBorders>
                  <w:top w:val="nil"/>
                  <w:left w:val="nil"/>
                  <w:bottom w:val="single" w:sz="8" w:space="0" w:color="D9D9D9" w:themeColor="background1" w:themeShade="D9"/>
                  <w:right w:val="nil"/>
                </w:tcBorders>
                <w:shd w:val="clear" w:color="auto" w:fill="F7F7F7"/>
              </w:tcPr>
              <w:p w:rsidR="003615CB" w:rsidP="003615CB">
                <w:pPr>
                  <w:pStyle w:val="Normal125"/>
                  <w:ind w:left="167" w:hanging="77"/>
                  <w:rPr>
                    <w:rStyle w:val="DefaultParagraphFont"/>
                    <w:rFonts w:ascii="Calibri" w:hAnsi="Calibri"/>
                    <w:sz w:val="22"/>
                    <w:szCs w:val="22"/>
                  </w:rPr>
                </w:pPr>
              </w:p>
            </w:tc>
            <w:tc>
              <w:tcPr>
                <w:tcW w:w="5310" w:type="dxa"/>
                <w:tcBorders>
                  <w:top w:val="nil"/>
                  <w:left w:val="nil"/>
                  <w:bottom w:val="single" w:sz="8" w:space="0" w:color="D9D9D9" w:themeColor="background1" w:themeShade="D9"/>
                </w:tcBorders>
                <w:shd w:val="clear" w:color="auto" w:fill="F7F7F7"/>
              </w:tcPr>
              <w:p w:rsidR="003615CB" w:rsidP="003615CB">
                <w:pPr>
                  <w:pStyle w:val="Normal125"/>
                  <w:ind w:left="90"/>
                  <w:rPr>
                    <w:rStyle w:val="DefaultParagraphFont"/>
                    <w:rFonts w:ascii="Calibri" w:hAnsi="Calibri"/>
                    <w:color w:val="000000"/>
                    <w:sz w:val="22"/>
                    <w:szCs w:val="22"/>
                  </w:rPr>
                </w:pPr>
              </w:p>
            </w:tc>
          </w:tr>
        </w:tbl>
        <w:p w:rsidR="003615CB" w:rsidRPr="00DF5481" w:rsidP="00DF5481">
          <w:pPr>
            <w:pStyle w:val="Normal125"/>
            <w:shd w:val="clear" w:color="auto" w:fill="F7F7F7"/>
            <w:spacing w:line="14" w:lineRule="exact"/>
            <w:ind w:left="-691" w:right="-518"/>
            <w:rPr>
              <w:rStyle w:val="DefaultParagraphFont"/>
              <w:rFonts w:ascii="Calibri" w:hAnsi="Calibri"/>
              <w:color w:val="767171" w:themeShade="80"/>
              <w:sz w:val="22"/>
              <w:szCs w:val="22"/>
            </w:rPr>
          </w:pPr>
        </w:p>
        <w:p w:rsidR="003615CB" w:rsidRPr="00DF5481" w:rsidP="00C95840">
          <w:pPr>
            <w:pStyle w:val="Normal125"/>
            <w:shd w:val="clear" w:color="auto" w:fill="F7F7F7"/>
            <w:spacing w:line="14" w:lineRule="exact"/>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0" w:type="dxa"/>
              <w:right w:w="115" w:type="dxa"/>
            </w:tblCellMar>
            <w:tblLook w:val="04A0"/>
          </w:tblPr>
          <w:tblGrid>
            <w:gridCol w:w="2070"/>
            <w:gridCol w:w="5310"/>
          </w:tblGrid>
          <w:tr w:rsidTr="00DF5481">
            <w:tblPrEx>
              <w:tblW w:w="10620" w:type="dxa"/>
              <w:tblInd w:w="-720" w:type="dxa"/>
              <w:tblBorders>
                <w:top w:val="nil"/>
                <w:left w:val="nil"/>
                <w:bottom w:val="nil"/>
                <w:right w:val="nil"/>
                <w:insideH w:val="nil"/>
                <w:insideV w:val="nil"/>
              </w:tblBorders>
              <w:shd w:val="clear" w:color="auto" w:fill="F7F7F7"/>
              <w:tblLayout w:type="fixed"/>
              <w:tblCellMar>
                <w:left w:w="0" w:type="dxa"/>
                <w:right w:w="115" w:type="dxa"/>
              </w:tblCellMar>
              <w:tblLook w:val="04A0"/>
            </w:tblPrEx>
            <w:trPr>
              <w:trHeight w:val="20"/>
            </w:trPr>
            <w:tc>
              <w:tcPr>
                <w:tcW w:w="2070" w:type="dxa"/>
                <w:tcBorders>
                  <w:top w:val="nil"/>
                  <w:left w:val="none" w:sz="0" w:space="0" w:color="auto"/>
                  <w:bottom w:val="nil"/>
                  <w:right w:val="single" w:sz="8" w:space="0" w:color="D9D9D9" w:themeColor="background1" w:themeShade="D9"/>
                </w:tcBorders>
                <w:shd w:val="clear" w:color="auto" w:fill="F7F7F7"/>
                <w:vAlign w:val="center"/>
              </w:tcPr>
              <w:p w:rsidR="003615CB" w:rsidRPr="00692E93" w:rsidP="00651CF8">
                <w:pPr>
                  <w:pStyle w:val="Normal125"/>
                  <w:keepNext/>
                  <w:widowControl/>
                  <w:ind w:left="155" w:hanging="65"/>
                  <w:rPr>
                    <w:rStyle w:val="DefaultParagraphFont"/>
                    <w:rFonts w:ascii="Calibri" w:hAnsi="Calibri"/>
                    <w:color w:val="7F7F7F" w:themeTint="80"/>
                    <w:sz w:val="22"/>
                    <w:szCs w:val="22"/>
                  </w:rPr>
                </w:pPr>
                <w:r w:rsidRPr="00692E93">
                  <w:rPr>
                    <w:rStyle w:val="DefaultParagraphFont"/>
                    <w:rFonts w:ascii="Calibri" w:hAnsi="Calibri"/>
                    <w:color w:val="7F7F7F" w:themeTint="80"/>
                    <w:sz w:val="22"/>
                    <w:szCs w:val="22"/>
                  </w:rPr>
                  <w:t>Type</w:t>
                </w:r>
              </w:p>
            </w:tc>
            <w:tc>
              <w:tcPr>
                <w:tcW w:w="5310" w:type="dxa"/>
                <w:tcBorders>
                  <w:top w:val="nil"/>
                  <w:left w:val="single" w:sz="8" w:space="0" w:color="D9D9D9" w:themeColor="background1" w:themeShade="D9"/>
                  <w:bottom w:val="nil"/>
                </w:tcBorders>
                <w:shd w:val="clear" w:color="auto" w:fill="F7F7F7"/>
                <w:vAlign w:val="center"/>
              </w:tcPr>
              <w:p w:rsidR="003615CB" w:rsidRPr="00692E93" w:rsidP="00651CF8">
                <w:pPr>
                  <w:pStyle w:val="Normal125"/>
                  <w:keepNext/>
                  <w:widowControl/>
                  <w:ind w:left="450" w:hanging="360"/>
                  <w:rPr>
                    <w:rStyle w:val="DefaultParagraphFont"/>
                    <w:rFonts w:ascii="Calibri" w:hAnsi="Calibri"/>
                    <w:sz w:val="22"/>
                    <w:szCs w:val="22"/>
                  </w:rPr>
                </w:pPr>
                <w:r w:rsidRPr="00692E93">
                  <w:rPr>
                    <w:rStyle w:val="DefaultParagraphFont"/>
                    <w:rFonts w:ascii="Calibri" w:hAnsi="Calibri"/>
                    <w:color w:val="7F7F7F" w:themeTint="80"/>
                    <w:sz w:val="22"/>
                    <w:szCs w:val="22"/>
                  </w:rPr>
                  <w:t>Description</w:t>
                </w:r>
              </w:p>
            </w:tc>
          </w:tr>
          <w:tr w:rsidTr="00DF5481">
            <w:tblPrEx>
              <w:tblW w:w="10620" w:type="dxa"/>
              <w:tblInd w:w="-720" w:type="dxa"/>
              <w:shd w:val="clear" w:color="auto" w:fill="F7F7F7"/>
              <w:tblLayout w:type="fixed"/>
              <w:tblCellMar>
                <w:left w:w="0" w:type="dxa"/>
                <w:right w:w="115" w:type="dxa"/>
              </w:tblCellMar>
              <w:tblLook w:val="04A0"/>
            </w:tblPrEx>
            <w:trPr>
              <w:trHeight w:val="110"/>
            </w:trPr>
            <w:tc>
              <w:tcPr>
                <w:tcW w:w="2070" w:type="dxa"/>
                <w:tcBorders>
                  <w:top w:val="nil"/>
                  <w:left w:val="none" w:sz="0" w:space="0" w:color="auto"/>
                  <w:bottom w:val="nil"/>
                  <w:right w:val="single" w:sz="8" w:space="0" w:color="D9D9D9" w:themeColor="background1" w:themeShade="D9"/>
                </w:tcBorders>
                <w:shd w:val="clear" w:color="auto" w:fill="F7F7F7"/>
              </w:tcPr>
              <w:p w:rsidR="003615CB" w:rsidP="003615CB">
                <w:pPr>
                  <w:pStyle w:val="Normal125"/>
                  <w:ind w:left="167" w:hanging="77"/>
                  <w:rPr>
                    <w:rStyle w:val="DefaultParagraphFont"/>
                    <w:rFonts w:ascii="Calibri" w:hAnsi="Calibri"/>
                    <w:color w:val="000000"/>
                    <w:sz w:val="22"/>
                    <w:szCs w:val="22"/>
                  </w:rPr>
                </w:pPr>
                <w:r>
                  <w:rPr>
                    <w:rStyle w:val="DefaultParagraphFont"/>
                    <w:rFonts w:ascii="Calibri" w:hAnsi="Calibri"/>
                    <w:noProof/>
                    <w:sz w:val="22"/>
                    <w:szCs w:val="22"/>
                  </w:rPr>
                  <w:t>Disbursement</w:t>
                </w:r>
              </w:p>
            </w:tc>
            <w:tc>
              <w:tcPr>
                <w:tcW w:w="5310" w:type="dxa"/>
                <w:tcBorders>
                  <w:top w:val="nil"/>
                  <w:left w:val="single" w:sz="8" w:space="0" w:color="D9D9D9" w:themeColor="background1" w:themeShade="D9"/>
                  <w:bottom w:val="nil"/>
                </w:tcBorders>
                <w:shd w:val="clear" w:color="auto" w:fill="F7F7F7"/>
              </w:tcPr>
              <w:p w:rsidR="003615CB" w:rsidRPr="00692E93" w:rsidP="003615CB">
                <w:pPr>
                  <w:pStyle w:val="Normal125"/>
                  <w:ind w:left="90"/>
                  <w:rPr>
                    <w:rStyle w:val="DefaultParagraphFont"/>
                    <w:rFonts w:ascii="Calibri" w:hAnsi="Calibri"/>
                    <w:sz w:val="22"/>
                    <w:szCs w:val="22"/>
                  </w:rPr>
                </w:pPr>
                <w:r>
                  <w:rPr>
                    <w:rStyle w:val="DefaultParagraphFont"/>
                    <w:rFonts w:ascii="Calibri" w:hAnsi="Calibri"/>
                    <w:noProof/>
                    <w:color w:val="000000"/>
                    <w:sz w:val="22"/>
                    <w:szCs w:val="22"/>
                  </w:rPr>
                  <w:t>Contingent Emergency</w:t>
                </w:r>
                <w:r>
                  <w:rPr>
                    <w:rStyle w:val="DefaultParagraphFont"/>
                    <w:rFonts w:ascii="Calibri" w:hAnsi="Calibri"/>
                    <w:color w:val="000000"/>
                    <w:sz w:val="22"/>
                    <w:szCs w:val="22"/>
                  </w:rPr>
                  <w:t xml:space="preserve"> Response Expenditures</w:t>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Due Date: Continuous</w:t>
                  <w:tab/>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Description of Condition:</w:t>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No withdrawal shall be made under Component (4) for Emergency Expenditures unless and until the World Bank is satisfied, and has notified the Borrower of its satisfaction, that all of the following conditions have been met in respect of said Emergency Expenditures:</w:t>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(a)</w:t>
                  <w:tab/>
                  <w:t>the Borrower has determined that an Eligible Crisis or Emergency has occurred, has furnished to the World Bank a request to include said Eligible Crisis or Emergency under Component (4) of the Project in order to respond to said Eligible Crisis or Emergency, and the World Bank has agreed with such determination, accepted said request and notified the Borrower thereof;</w:t>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 xml:space="preserve">(b) </w:t>
                  <w:tab/>
                  <w:t>the Borrower has prepared and disclosed all safeguards instruments required for said Eligible Crisis or Emergency, and the Borrower has implemented any actions which are required to be taken under said instruments; and</w:t>
                </w:r>
              </w:p>
              <w:p w:rsidP="003615CB">
                <w:pPr>
                  <w:pStyle w:val="Normal125"/>
                  <w:ind w:left="90"/>
                  <w:rPr>
                    <w:rStyle w:val="DefaultParagraphFont"/>
                    <w:rFonts w:ascii="Calibri" w:hAnsi="Calibri"/>
                    <w:color w:val="000000"/>
                    <w:sz w:val="22"/>
                    <w:szCs w:val="22"/>
                  </w:rPr>
                </w:pPr>
                <w:r>
                  <w:rPr>
                    <w:rStyle w:val="DefaultParagraphFont"/>
                    <w:rFonts w:ascii="Calibri" w:hAnsi="Calibri"/>
                    <w:color w:val="000000"/>
                    <w:sz w:val="22"/>
                    <w:szCs w:val="22"/>
                  </w:rPr>
                  <w:t xml:space="preserve">(c) </w:t>
                  <w:tab/>
                  <w:t>the Borrower has adopted the Emergency Response Operations Manual in form, substance and manner acceptable to the World Bank so as to be appropriate for the inclusion and implementation of Component (4) of the Project.</w:t>
                </w:r>
              </w:p>
              <w:p w:rsidR="003615CB" w:rsidRPr="00692E93" w:rsidP="003615CB">
                <w:pPr>
                  <w:pStyle w:val="Normal125"/>
                  <w:ind w:left="90"/>
                  <w:rPr>
                    <w:rStyle w:val="DefaultParagraphFont"/>
                    <w:rFonts w:ascii="Calibri" w:hAnsi="Calibri"/>
                    <w:sz w:val="22"/>
                    <w:szCs w:val="22"/>
                  </w:rPr>
                </w:pPr>
              </w:p>
            </w:tc>
          </w:tr>
          <w:tr w:rsidTr="00DF5481">
            <w:tblPrEx>
              <w:tblW w:w="10620" w:type="dxa"/>
              <w:tblInd w:w="-720" w:type="dxa"/>
              <w:shd w:val="clear" w:color="auto" w:fill="F7F7F7"/>
              <w:tblLayout w:type="fixed"/>
              <w:tblCellMar>
                <w:left w:w="0" w:type="dxa"/>
                <w:right w:w="115" w:type="dxa"/>
              </w:tblCellMar>
              <w:tblLook w:val="04A0"/>
            </w:tblPrEx>
            <w:trPr>
              <w:trHeight w:val="110"/>
            </w:trPr>
            <w:tc>
              <w:tcPr>
                <w:tcW w:w="2070" w:type="dxa"/>
                <w:tcBorders>
                  <w:top w:val="nil"/>
                  <w:left w:val="nil"/>
                  <w:bottom w:val="single" w:sz="8" w:space="0" w:color="D9D9D9" w:themeColor="background1" w:themeShade="D9"/>
                  <w:right w:val="nil"/>
                </w:tcBorders>
                <w:shd w:val="clear" w:color="auto" w:fill="F7F7F7"/>
              </w:tcPr>
              <w:p w:rsidR="003615CB" w:rsidP="003615CB">
                <w:pPr>
                  <w:pStyle w:val="Normal125"/>
                  <w:ind w:left="167" w:hanging="77"/>
                  <w:rPr>
                    <w:rStyle w:val="DefaultParagraphFont"/>
                    <w:rFonts w:ascii="Calibri" w:hAnsi="Calibri"/>
                    <w:sz w:val="22"/>
                    <w:szCs w:val="22"/>
                  </w:rPr>
                </w:pPr>
              </w:p>
            </w:tc>
            <w:tc>
              <w:tcPr>
                <w:tcW w:w="5310" w:type="dxa"/>
                <w:tcBorders>
                  <w:top w:val="nil"/>
                  <w:left w:val="nil"/>
                  <w:bottom w:val="single" w:sz="8" w:space="0" w:color="D9D9D9" w:themeColor="background1" w:themeShade="D9"/>
                </w:tcBorders>
                <w:shd w:val="clear" w:color="auto" w:fill="F7F7F7"/>
              </w:tcPr>
              <w:p w:rsidR="003615CB" w:rsidP="003615CB">
                <w:pPr>
                  <w:pStyle w:val="Normal125"/>
                  <w:ind w:left="90"/>
                  <w:rPr>
                    <w:rStyle w:val="DefaultParagraphFont"/>
                    <w:rFonts w:ascii="Calibri" w:hAnsi="Calibri"/>
                    <w:color w:val="000000"/>
                    <w:sz w:val="22"/>
                    <w:szCs w:val="22"/>
                  </w:rPr>
                </w:pPr>
              </w:p>
            </w:tc>
          </w:tr>
        </w:tbl>
        <w:p w:rsidR="003615CB" w:rsidRPr="00DF5481" w:rsidP="00DF5481">
          <w:pPr>
            <w:pStyle w:val="Normal125"/>
            <w:shd w:val="clear" w:color="auto" w:fill="F7F7F7"/>
            <w:spacing w:line="14" w:lineRule="exact"/>
            <w:ind w:left="-691" w:right="-518"/>
            <w:rPr>
              <w:rStyle w:val="DefaultParagraphFont"/>
              <w:rFonts w:ascii="Calibri" w:hAnsi="Calibri"/>
              <w:color w:val="767171" w:themeShade="80"/>
              <w:sz w:val="22"/>
              <w:szCs w:val="22"/>
            </w:rPr>
          </w:pPr>
        </w:p>
        <w:p w:rsidR="003615CB" w:rsidP="00C65966">
          <w:pPr>
            <w:pStyle w:val="Normal125"/>
            <w:shd w:val="clear" w:color="auto" w:fill="F7F7F7"/>
            <w:ind w:left="-691" w:right="-518"/>
            <w:rPr>
              <w:rStyle w:val="DefaultParagraphFont"/>
              <w:rFonts w:ascii="Calibri" w:hAnsi="Calibri"/>
              <w:color w:val="767171" w:themeShade="80"/>
              <w:sz w:val="22"/>
              <w:szCs w:val="22"/>
            </w:rPr>
          </w:pPr>
        </w:p>
        <w:p w:rsidR="00FB2669" w:rsidP="00C65966">
          <w:pPr>
            <w:pStyle w:val="Normal125"/>
            <w:shd w:val="clear" w:color="auto" w:fill="F7F7F7"/>
            <w:ind w:left="-691" w:right="-518"/>
            <w:rPr>
              <w:rStyle w:val="DefaultParagraphFont"/>
              <w:rFonts w:ascii="Calibri" w:hAnsi="Calibri"/>
              <w:color w:val="767171" w:themeShade="80"/>
              <w:sz w:val="22"/>
              <w:szCs w:val="22"/>
            </w:rPr>
          </w:pPr>
        </w:p>
        <w:tbl>
          <w:tblPr>
            <w:tblStyle w:val="TableGrid6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56F5A">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63"/>
                  <w:tblW w:w="10620" w:type="dxa"/>
                  <w:shd w:val="clear" w:color="auto" w:fill="F7F7F7"/>
                  <w:tblLayout w:type="fixed"/>
                  <w:tblLook w:val="04A0"/>
                </w:tblPr>
                <w:tblGrid>
                  <w:gridCol w:w="10620"/>
                </w:tblGrid>
                <w:tr w:rsidTr="00856F5A">
                  <w:tblPrEx>
                    <w:tblW w:w="10620" w:type="dxa"/>
                    <w:shd w:val="clear" w:color="auto" w:fill="F7F7F7"/>
                    <w:tblLayout w:type="fixed"/>
                    <w:tblLook w:val="04A0"/>
                  </w:tblPrEx>
                  <w:trPr>
                    <w:trHeight w:val="378"/>
                  </w:trPr>
                  <w:tc>
                    <w:tcPr>
                      <w:tcW w:w="1062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FB2669" w:rsidRPr="00656279" w:rsidP="00856F5A">
                      <w:pPr>
                        <w:pStyle w:val="Normal125"/>
                        <w:keepNext/>
                        <w:widowControl/>
                        <w:rPr>
                          <w:rStyle w:val="DefaultParagraphFont"/>
                          <w:rFonts w:eastAsia="Times New Roman"/>
                        </w:rPr>
                      </w:pPr>
                      <w:r w:rsidRPr="00692E93">
                        <w:rPr>
                          <w:rStyle w:val="DefaultParagraphFont"/>
                          <w:rFonts w:ascii="Calibri" w:hAnsi="Calibri"/>
                          <w:b/>
                          <w:bCs/>
                          <w:sz w:val="22"/>
                          <w:szCs w:val="22"/>
                        </w:rPr>
                        <w:t>PROJECT TEAM</w:t>
                      </w:r>
                    </w:p>
                  </w:tc>
                </w:tr>
              </w:tbl>
              <w:p w:rsidR="00FB2669" w:rsidRPr="00692E93" w:rsidP="00856F5A">
                <w:pPr>
                  <w:pStyle w:val="Normal125"/>
                  <w:keepNext/>
                  <w:widowControl/>
                  <w:rPr>
                    <w:rStyle w:val="DefaultParagraphFont"/>
                    <w:rFonts w:ascii="Calibri" w:hAnsi="Calibri"/>
                    <w:sz w:val="22"/>
                    <w:szCs w:val="22"/>
                  </w:rPr>
                </w:pPr>
              </w:p>
            </w:tc>
          </w:tr>
        </w:tbl>
        <w:p w:rsidR="003615CB" w:rsidRPr="00DF5481" w:rsidP="00C65966">
          <w:pPr>
            <w:pStyle w:val="Normal125"/>
            <w:keepNext/>
            <w:widowControl/>
            <w:shd w:val="clear" w:color="auto" w:fill="F7F7F7"/>
            <w:ind w:left="-691" w:right="-518"/>
            <w:rPr>
              <w:rStyle w:val="DefaultParagraphFont"/>
              <w:rFonts w:ascii="Calibri" w:hAnsi="Calibri"/>
              <w:color w:val="767171" w:themeShade="80"/>
              <w:sz w:val="22"/>
              <w:szCs w:val="22"/>
            </w:rPr>
          </w:pPr>
        </w:p>
        <w:p w:rsidR="003615CB" w:rsidRPr="00692E93" w:rsidP="00C65966">
          <w:pPr>
            <w:pStyle w:val="Normal125"/>
            <w:keepNext/>
            <w:widowControl/>
            <w:shd w:val="clear" w:color="auto" w:fill="F7F7F7"/>
            <w:ind w:left="-691" w:right="-518" w:firstLine="58"/>
            <w:rPr>
              <w:rStyle w:val="DefaultParagraphFont"/>
              <w:rFonts w:ascii="Calibri" w:hAnsi="Calibri"/>
              <w:b/>
              <w:bCs/>
              <w:color w:val="7F7F7F" w:themeTint="80"/>
              <w:sz w:val="22"/>
              <w:szCs w:val="22"/>
            </w:rPr>
          </w:pPr>
          <w:r w:rsidRPr="00692E93">
            <w:rPr>
              <w:rStyle w:val="DefaultParagraphFont"/>
              <w:rFonts w:ascii="Calibri" w:hAnsi="Calibri"/>
              <w:b/>
              <w:bCs/>
              <w:color w:val="7F7F7F" w:themeTint="80"/>
              <w:sz w:val="22"/>
              <w:szCs w:val="22"/>
            </w:rPr>
            <w:t>Bank Staff</w:t>
          </w:r>
        </w:p>
        <w:tbl>
          <w:tblPr>
            <w:tblStyle w:val="TableGrid63"/>
            <w:tblW w:w="10602" w:type="dxa"/>
            <w:tblInd w:w="-702" w:type="dxa"/>
            <w:tblBorders>
              <w:top w:val="nil"/>
              <w:left w:val="nil"/>
              <w:bottom w:val="nil"/>
              <w:right w:val="nil"/>
              <w:insideH w:val="nil"/>
              <w:insideV w:val="nil"/>
            </w:tblBorders>
            <w:shd w:val="clear" w:color="auto" w:fill="F7F7F7"/>
            <w:tblLayout w:type="fixed"/>
            <w:tblLook w:val="04A0"/>
          </w:tblPr>
          <w:tblGrid>
            <w:gridCol w:w="2675"/>
            <w:gridCol w:w="3067"/>
            <w:gridCol w:w="2970"/>
            <w:gridCol w:w="1890"/>
          </w:tblGrid>
          <w:tr w:rsidTr="00DF5481">
            <w:tblPrEx>
              <w:tblW w:w="10602" w:type="dxa"/>
              <w:tblInd w:w="-702" w:type="dxa"/>
              <w:tblBorders>
                <w:top w:val="nil"/>
                <w:left w:val="nil"/>
                <w:bottom w:val="nil"/>
                <w:right w:val="nil"/>
                <w:insideH w:val="nil"/>
                <w:insideV w:val="nil"/>
              </w:tblBorders>
              <w:shd w:val="clear" w:color="auto" w:fill="F7F7F7"/>
              <w:tblLayout w:type="fixed"/>
              <w:tblLook w:val="04A0"/>
            </w:tblPrEx>
            <w:trPr>
              <w:trHeight w:val="432"/>
            </w:trPr>
            <w:tc>
              <w:tcPr>
                <w:tcW w:w="2675" w:type="dxa"/>
                <w:tcBorders>
                  <w:bottom w:val="single" w:sz="12" w:space="0" w:color="D9D9D9" w:themeColor="background1" w:themeShade="D9"/>
                </w:tcBorders>
                <w:shd w:val="clear" w:color="auto" w:fill="F7F7F7"/>
                <w:vAlign w:val="center"/>
              </w:tcPr>
              <w:p w:rsidR="003615CB" w:rsidRPr="00692E93" w:rsidP="00C65966">
                <w:pPr>
                  <w:pStyle w:val="Normal125"/>
                  <w:keepNext/>
                  <w:widowControl/>
                  <w:ind w:left="-36"/>
                  <w:rPr>
                    <w:rStyle w:val="DefaultParagraphFont"/>
                    <w:rFonts w:ascii="Calibri" w:hAnsi="Calibri"/>
                    <w:b/>
                    <w:sz w:val="22"/>
                    <w:szCs w:val="22"/>
                  </w:rPr>
                </w:pPr>
                <w:r w:rsidRPr="00692E93">
                  <w:rPr>
                    <w:rStyle w:val="DefaultParagraphFont"/>
                    <w:rFonts w:ascii="Calibri" w:hAnsi="Calibri"/>
                    <w:b/>
                    <w:bCs/>
                    <w:color w:val="7F7F7F" w:themeTint="80"/>
                    <w:sz w:val="22"/>
                    <w:szCs w:val="22"/>
                  </w:rPr>
                  <w:t>Name</w:t>
                </w:r>
              </w:p>
            </w:tc>
            <w:tc>
              <w:tcPr>
                <w:tcW w:w="3067" w:type="dxa"/>
                <w:tcBorders>
                  <w:bottom w:val="single" w:sz="12" w:space="0" w:color="D9D9D9" w:themeColor="background1" w:themeShade="D9"/>
                </w:tcBorders>
                <w:shd w:val="clear" w:color="auto" w:fill="F7F7F7"/>
                <w:vAlign w:val="center"/>
              </w:tcPr>
              <w:p w:rsidR="003615CB" w:rsidRPr="00692E93" w:rsidP="00C65966">
                <w:pPr>
                  <w:pStyle w:val="Normal125"/>
                  <w:keepNext/>
                  <w:widowControl/>
                  <w:rPr>
                    <w:rStyle w:val="DefaultParagraphFont"/>
                    <w:rFonts w:ascii="Calibri" w:hAnsi="Calibri"/>
                    <w:b/>
                    <w:sz w:val="22"/>
                    <w:szCs w:val="22"/>
                  </w:rPr>
                </w:pPr>
                <w:r w:rsidRPr="00692E93">
                  <w:rPr>
                    <w:rStyle w:val="DefaultParagraphFont"/>
                    <w:rFonts w:ascii="Calibri" w:hAnsi="Calibri"/>
                    <w:b/>
                    <w:bCs/>
                    <w:color w:val="7F7F7F" w:themeTint="80"/>
                    <w:sz w:val="22"/>
                    <w:szCs w:val="22"/>
                  </w:rPr>
                  <w:t>Role</w:t>
                </w:r>
              </w:p>
            </w:tc>
            <w:tc>
              <w:tcPr>
                <w:tcW w:w="2970" w:type="dxa"/>
                <w:tcBorders>
                  <w:bottom w:val="single" w:sz="12" w:space="0" w:color="D9D9D9" w:themeColor="background1" w:themeShade="D9"/>
                </w:tcBorders>
                <w:shd w:val="clear" w:color="auto" w:fill="F7F7F7"/>
                <w:vAlign w:val="center"/>
              </w:tcPr>
              <w:p w:rsidR="003615CB" w:rsidRPr="00692E93" w:rsidP="00C65966">
                <w:pPr>
                  <w:pStyle w:val="Normal125"/>
                  <w:keepNext/>
                  <w:widowControl/>
                  <w:rPr>
                    <w:rStyle w:val="DefaultParagraphFont"/>
                    <w:rFonts w:ascii="Calibri" w:hAnsi="Calibri"/>
                    <w:b/>
                    <w:sz w:val="22"/>
                    <w:szCs w:val="22"/>
                  </w:rPr>
                </w:pPr>
                <w:r w:rsidRPr="00692E93">
                  <w:rPr>
                    <w:rStyle w:val="DefaultParagraphFont"/>
                    <w:rFonts w:ascii="Calibri" w:hAnsi="Calibri"/>
                    <w:b/>
                    <w:bCs/>
                    <w:color w:val="7F7F7F" w:themeTint="80"/>
                    <w:sz w:val="22"/>
                    <w:szCs w:val="22"/>
                  </w:rPr>
                  <w:t>Specialization</w:t>
                </w:r>
              </w:p>
            </w:tc>
            <w:tc>
              <w:tcPr>
                <w:tcW w:w="1890" w:type="dxa"/>
                <w:tcBorders>
                  <w:bottom w:val="single" w:sz="12" w:space="0" w:color="D9D9D9" w:themeColor="background1" w:themeShade="D9"/>
                </w:tcBorders>
                <w:shd w:val="clear" w:color="auto" w:fill="F7F7F7"/>
                <w:vAlign w:val="center"/>
              </w:tcPr>
              <w:p w:rsidR="003615CB" w:rsidRPr="00692E93" w:rsidP="00C65966">
                <w:pPr>
                  <w:pStyle w:val="Normal125"/>
                  <w:keepNext/>
                  <w:widowControl/>
                  <w:rPr>
                    <w:rStyle w:val="DefaultParagraphFont"/>
                    <w:rFonts w:ascii="Calibri" w:hAnsi="Calibri"/>
                    <w:b/>
                    <w:sz w:val="22"/>
                    <w:szCs w:val="22"/>
                  </w:rPr>
                </w:pPr>
                <w:r w:rsidRPr="00692E93">
                  <w:rPr>
                    <w:rStyle w:val="DefaultParagraphFont"/>
                    <w:rFonts w:ascii="Calibri" w:hAnsi="Calibri"/>
                    <w:b/>
                    <w:bCs/>
                    <w:color w:val="7F7F7F" w:themeTint="80"/>
                    <w:sz w:val="22"/>
                    <w:szCs w:val="22"/>
                  </w:rPr>
                  <w:t>Unit</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Ayaz Parvez</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Leader</w:t>
                </w:r>
                <w:r>
                  <w:rPr>
                    <w:rStyle w:val="DefaultParagraphFont"/>
                    <w:rFonts w:ascii="Calibri" w:hAnsi="Calibri"/>
                    <w:sz w:val="22"/>
                    <w:szCs w:val="22"/>
                  </w:rPr>
                  <w:t>(ADM Responsible)</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GSU13</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Paula Andrea</w:t>
                </w:r>
                <w:r>
                  <w:rPr>
                    <w:rStyle w:val="DefaultParagraphFont"/>
                    <w:rFonts w:ascii="Calibri" w:hAnsi="Calibri"/>
                    <w:sz w:val="22"/>
                    <w:szCs w:val="22"/>
                  </w:rPr>
                  <w:t xml:space="preserve"> Rossiasco Uscategui</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Leader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GSU01</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Daniel Rikichi</w:t>
                </w:r>
                <w:r>
                  <w:rPr>
                    <w:rStyle w:val="DefaultParagraphFont"/>
                    <w:rFonts w:ascii="Calibri" w:hAnsi="Calibri"/>
                    <w:sz w:val="22"/>
                    <w:szCs w:val="22"/>
                  </w:rPr>
                  <w:t xml:space="preserve"> Kajang</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Procurement Specialist</w:t>
                </w:r>
                <w:r>
                  <w:rPr>
                    <w:rStyle w:val="DefaultParagraphFont"/>
                    <w:rFonts w:ascii="Calibri" w:hAnsi="Calibri"/>
                    <w:sz w:val="22"/>
                    <w:szCs w:val="22"/>
                  </w:rPr>
                  <w:t>(ADM Responsible)</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GGO01</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Akinrinmola Oyenuga</w:t>
                </w:r>
                <w:r>
                  <w:rPr>
                    <w:rStyle w:val="DefaultParagraphFont"/>
                    <w:rFonts w:ascii="Calibri" w:hAnsi="Calibri"/>
                    <w:sz w:val="22"/>
                    <w:szCs w:val="22"/>
                  </w:rPr>
                  <w:t xml:space="preserve"> Akinyele</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Financial Management</w:t>
                </w:r>
                <w:r>
                  <w:rPr>
                    <w:rStyle w:val="DefaultParagraphFont"/>
                    <w:rFonts w:ascii="Calibri" w:hAnsi="Calibri"/>
                    <w:sz w:val="22"/>
                    <w:szCs w:val="22"/>
                  </w:rPr>
                  <w:t xml:space="preserve"> Specialist</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GGO25</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Aisha Garba</w:t>
                </w:r>
                <w:r>
                  <w:rPr>
                    <w:rStyle w:val="DefaultParagraphFont"/>
                    <w:rFonts w:ascii="Calibri" w:hAnsi="Calibri"/>
                    <w:sz w:val="22"/>
                    <w:szCs w:val="22"/>
                  </w:rPr>
                  <w:t xml:space="preserve"> Mohammed</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GED13</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Alexander Agosti</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GSU13</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Amos Abu</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Safeguards Specialist</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GEN07</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Ana Besarabic</w:t>
                </w:r>
                <w:r>
                  <w:rPr>
                    <w:rStyle w:val="DefaultParagraphFont"/>
                    <w:rFonts w:ascii="Calibri" w:hAnsi="Calibri"/>
                    <w:sz w:val="22"/>
                    <w:szCs w:val="22"/>
                  </w:rPr>
                  <w:t xml:space="preserve"> Bennett</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GHNGE</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Atishay Abbhi</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GSU13</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Chalida Chararnsuk</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GSU13</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Christoph Pusch</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GSU18</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Chuka J</w:t>
                </w:r>
                <w:r>
                  <w:rPr>
                    <w:rStyle w:val="DefaultParagraphFont"/>
                    <w:rFonts w:ascii="Calibri" w:hAnsi="Calibri"/>
                    <w:sz w:val="22"/>
                    <w:szCs w:val="22"/>
                  </w:rPr>
                  <w:t xml:space="preserve"> Agu</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AFCW2</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Gerard Joseph</w:t>
                </w:r>
                <w:r>
                  <w:rPr>
                    <w:rStyle w:val="DefaultParagraphFont"/>
                    <w:rFonts w:ascii="Calibri" w:hAnsi="Calibri"/>
                    <w:sz w:val="22"/>
                    <w:szCs w:val="22"/>
                  </w:rPr>
                  <w:t xml:space="preserve"> Mataban Jumamil</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LEGDF</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Joyce Chukwuma-Nwachukwu</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AFCW2</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Khairy Al-Jamal</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GWA08</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Luis M</w:t>
                </w:r>
                <w:r>
                  <w:rPr>
                    <w:rStyle w:val="DefaultParagraphFont"/>
                    <w:rFonts w:ascii="Calibri" w:hAnsi="Calibri"/>
                    <w:sz w:val="22"/>
                    <w:szCs w:val="22"/>
                  </w:rPr>
                  <w:t>. Schwarz</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WFALN</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Maria Angelica</w:t>
                </w:r>
                <w:r>
                  <w:rPr>
                    <w:rStyle w:val="DefaultParagraphFont"/>
                    <w:rFonts w:ascii="Calibri" w:hAnsi="Calibri"/>
                    <w:sz w:val="22"/>
                    <w:szCs w:val="22"/>
                  </w:rPr>
                  <w:t xml:space="preserve"> Sotomayor Araujo</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GSU13</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Michael Gboyega</w:t>
                </w:r>
                <w:r>
                  <w:rPr>
                    <w:rStyle w:val="DefaultParagraphFont"/>
                    <w:rFonts w:ascii="Calibri" w:hAnsi="Calibri"/>
                    <w:sz w:val="22"/>
                    <w:szCs w:val="22"/>
                  </w:rPr>
                  <w:t xml:space="preserve"> Ilesanmi</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Safeguards Specialist</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GSU01</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Olatunji Ahmed</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GTI07</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Omezikam Eze</w:t>
                </w:r>
                <w:r>
                  <w:rPr>
                    <w:rStyle w:val="DefaultParagraphFont"/>
                    <w:rFonts w:ascii="Calibri" w:hAnsi="Calibri"/>
                    <w:sz w:val="22"/>
                    <w:szCs w:val="22"/>
                  </w:rPr>
                  <w:t xml:space="preserve"> Onuoha</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GTI01</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Qingyun Shen</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GSU19</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Robert Curle</w:t>
                </w:r>
                <w:r>
                  <w:rPr>
                    <w:rStyle w:val="DefaultParagraphFont"/>
                    <w:rFonts w:ascii="Calibri" w:hAnsi="Calibri"/>
                    <w:sz w:val="22"/>
                    <w:szCs w:val="22"/>
                  </w:rPr>
                  <w:t xml:space="preserve"> Jesse Reid</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GSU19</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Roland Lomme</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GGO27</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Rosa Maria</w:t>
                </w:r>
                <w:r>
                  <w:rPr>
                    <w:rStyle w:val="DefaultParagraphFont"/>
                    <w:rFonts w:ascii="Calibri" w:hAnsi="Calibri"/>
                    <w:sz w:val="22"/>
                    <w:szCs w:val="22"/>
                  </w:rPr>
                  <w:t xml:space="preserve"> Martinez</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GSU01</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Ruth Adetola</w:t>
                </w:r>
                <w:r>
                  <w:rPr>
                    <w:rStyle w:val="DefaultParagraphFont"/>
                    <w:rFonts w:ascii="Calibri" w:hAnsi="Calibri"/>
                    <w:sz w:val="22"/>
                    <w:szCs w:val="22"/>
                  </w:rPr>
                  <w:t xml:space="preserve"> Adeleru</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AFCW2</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Shahrzad Mobasher</w:t>
                </w:r>
                <w:r>
                  <w:rPr>
                    <w:rStyle w:val="DefaultParagraphFont"/>
                    <w:rFonts w:ascii="Calibri" w:hAnsi="Calibri"/>
                    <w:sz w:val="22"/>
                    <w:szCs w:val="22"/>
                  </w:rPr>
                  <w:t xml:space="preserve"> Fard</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GSU19</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Tesfamichael Nahusenay</w:t>
                </w:r>
                <w:r>
                  <w:rPr>
                    <w:rStyle w:val="DefaultParagraphFont"/>
                    <w:rFonts w:ascii="Calibri" w:hAnsi="Calibri"/>
                    <w:sz w:val="22"/>
                    <w:szCs w:val="22"/>
                  </w:rPr>
                  <w:t xml:space="preserve"> Mitiku</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GTI07</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Veronique Morin</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Team Member</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GSU19</w:t>
                </w:r>
              </w:p>
            </w:tc>
          </w:tr>
          <w:tr w:rsidTr="00DF5481">
            <w:tblPrEx>
              <w:tblW w:w="10602" w:type="dxa"/>
              <w:tblInd w:w="-702" w:type="dxa"/>
              <w:shd w:val="clear" w:color="auto" w:fill="F7F7F7"/>
              <w:tblLayout w:type="fixed"/>
              <w:tblLook w:val="04A0"/>
            </w:tblPrEx>
            <w:trPr>
              <w:trHeight w:val="432"/>
            </w:trPr>
            <w:tc>
              <w:tcPr>
                <w:tcW w:w="2675"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Zoe Kolovou</w:t>
                </w:r>
              </w:p>
            </w:tc>
            <w:tc>
              <w:tcPr>
                <w:tcW w:w="3067"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Counsel</w:t>
                </w:r>
              </w:p>
            </w:tc>
            <w:tc>
              <w:tcPr>
                <w:tcW w:w="297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p>
            </w:tc>
            <w:tc>
              <w:tcPr>
                <w:tcW w:w="1890" w:type="dxa"/>
                <w:tcBorders>
                  <w:top w:val="single" w:sz="2" w:space="0" w:color="F2F2F2" w:themeColor="background1" w:themeShade="F2"/>
                  <w:bottom w:val="single" w:sz="2" w:space="0" w:color="F2F2F2" w:themeColor="background1" w:themeShade="F2"/>
                </w:tcBorders>
                <w:shd w:val="clear" w:color="auto" w:fill="F7F7F7"/>
                <w:vAlign w:val="center"/>
              </w:tcPr>
              <w:p w:rsidR="003615CB" w:rsidRPr="00692E93" w:rsidP="003615CB">
                <w:pPr>
                  <w:pStyle w:val="Normal125"/>
                  <w:rPr>
                    <w:rStyle w:val="DefaultParagraphFont"/>
                    <w:rFonts w:ascii="Calibri" w:hAnsi="Calibri"/>
                    <w:sz w:val="22"/>
                    <w:szCs w:val="22"/>
                  </w:rPr>
                </w:pPr>
                <w:r>
                  <w:rPr>
                    <w:rStyle w:val="DefaultParagraphFont"/>
                    <w:rFonts w:ascii="Calibri" w:hAnsi="Calibri"/>
                    <w:noProof/>
                    <w:sz w:val="22"/>
                    <w:szCs w:val="22"/>
                  </w:rPr>
                  <w:t>LEGAM</w:t>
                </w:r>
              </w:p>
            </w:tc>
          </w:tr>
        </w:tbl>
        <w:p w:rsidR="003615CB" w:rsidRPr="00DF5481" w:rsidP="00DF5481">
          <w:pPr>
            <w:pStyle w:val="Normal125"/>
            <w:shd w:val="clear" w:color="auto" w:fill="F7F7F7"/>
            <w:ind w:left="-691" w:right="-518"/>
            <w:rPr>
              <w:rStyle w:val="DefaultParagraphFont"/>
              <w:rFonts w:ascii="Calibri" w:hAnsi="Calibri"/>
              <w:color w:val="767171" w:themeShade="80"/>
              <w:sz w:val="22"/>
              <w:szCs w:val="22"/>
            </w:rPr>
          </w:pPr>
        </w:p>
        <w:p w:rsidR="003615CB" w:rsidP="00DF5481">
          <w:pPr>
            <w:pStyle w:val="Normal125"/>
            <w:keepNext/>
            <w:widowControl/>
            <w:shd w:val="clear" w:color="auto" w:fill="F7F7F7"/>
            <w:ind w:left="-691" w:right="-518" w:firstLine="58"/>
            <w:rPr>
              <w:rStyle w:val="DefaultParagraphFont"/>
              <w:rFonts w:ascii="Calibri" w:hAnsi="Calibri"/>
              <w:b/>
              <w:bCs/>
              <w:color w:val="7F7F7F" w:themeTint="80"/>
              <w:sz w:val="22"/>
              <w:szCs w:val="22"/>
            </w:rPr>
          </w:pPr>
          <w:r w:rsidRPr="00692E93">
            <w:rPr>
              <w:rStyle w:val="DefaultParagraphFont"/>
              <w:rFonts w:ascii="Calibri" w:hAnsi="Calibri"/>
              <w:b/>
              <w:bCs/>
              <w:color w:val="7F7F7F" w:themeTint="80"/>
              <w:sz w:val="22"/>
              <w:szCs w:val="22"/>
            </w:rPr>
            <w:t>Extended Team</w:t>
          </w:r>
        </w:p>
        <w:tbl>
          <w:tblPr>
            <w:tblStyle w:val="TableGrid63"/>
            <w:tblW w:w="10602" w:type="dxa"/>
            <w:tblInd w:w="-702" w:type="dxa"/>
            <w:tblBorders>
              <w:top w:val="nil"/>
              <w:left w:val="nil"/>
              <w:bottom w:val="nil"/>
              <w:right w:val="nil"/>
              <w:insideH w:val="nil"/>
              <w:insideV w:val="nil"/>
            </w:tblBorders>
            <w:shd w:val="clear" w:color="auto" w:fill="F7F7F7"/>
            <w:tblLayout w:type="fixed"/>
            <w:tblLook w:val="04A0"/>
          </w:tblPr>
          <w:tblGrid>
            <w:gridCol w:w="2675"/>
            <w:gridCol w:w="3067"/>
            <w:gridCol w:w="2970"/>
            <w:gridCol w:w="1890"/>
          </w:tblGrid>
          <w:tr w:rsidTr="00DF5481">
            <w:tblPrEx>
              <w:tblW w:w="10602" w:type="dxa"/>
              <w:tblInd w:w="-702" w:type="dxa"/>
              <w:tblBorders>
                <w:top w:val="nil"/>
                <w:left w:val="nil"/>
                <w:bottom w:val="nil"/>
                <w:right w:val="nil"/>
                <w:insideH w:val="nil"/>
                <w:insideV w:val="nil"/>
              </w:tblBorders>
              <w:shd w:val="clear" w:color="auto" w:fill="F7F7F7"/>
              <w:tblLayout w:type="fixed"/>
              <w:tblLook w:val="04A0"/>
            </w:tblPrEx>
            <w:trPr>
              <w:trHeight w:val="432"/>
            </w:trPr>
            <w:tc>
              <w:tcPr>
                <w:tcW w:w="2675" w:type="dxa"/>
                <w:tcBorders>
                  <w:bottom w:val="single" w:sz="12" w:space="0" w:color="D9D9D9" w:themeColor="background1" w:themeShade="D9"/>
                </w:tcBorders>
                <w:shd w:val="clear" w:color="auto" w:fill="F7F7F7"/>
                <w:vAlign w:val="center"/>
              </w:tcPr>
              <w:p w:rsidR="003615CB" w:rsidRPr="00692E93" w:rsidP="003615CB">
                <w:pPr>
                  <w:pStyle w:val="Normal125"/>
                  <w:ind w:left="-36"/>
                  <w:rPr>
                    <w:rStyle w:val="DefaultParagraphFont"/>
                    <w:rFonts w:ascii="Calibri" w:hAnsi="Calibri"/>
                    <w:b/>
                    <w:sz w:val="22"/>
                    <w:szCs w:val="22"/>
                  </w:rPr>
                </w:pPr>
                <w:r w:rsidRPr="00692E93">
                  <w:rPr>
                    <w:rStyle w:val="DefaultParagraphFont"/>
                    <w:rFonts w:ascii="Calibri" w:hAnsi="Calibri"/>
                    <w:b/>
                    <w:bCs/>
                    <w:color w:val="7F7F7F" w:themeTint="80"/>
                    <w:sz w:val="22"/>
                    <w:szCs w:val="22"/>
                  </w:rPr>
                  <w:t>Name</w:t>
                </w:r>
              </w:p>
            </w:tc>
            <w:tc>
              <w:tcPr>
                <w:tcW w:w="3067" w:type="dxa"/>
                <w:tcBorders>
                  <w:bottom w:val="single" w:sz="12" w:space="0" w:color="D9D9D9" w:themeColor="background1" w:themeShade="D9"/>
                </w:tcBorders>
                <w:shd w:val="clear" w:color="auto" w:fill="F7F7F7"/>
                <w:vAlign w:val="center"/>
              </w:tcPr>
              <w:p w:rsidR="003615CB" w:rsidRPr="00692E93" w:rsidP="003615CB">
                <w:pPr>
                  <w:pStyle w:val="Normal125"/>
                  <w:rPr>
                    <w:rStyle w:val="DefaultParagraphFont"/>
                    <w:rFonts w:ascii="Calibri" w:hAnsi="Calibri"/>
                    <w:b/>
                    <w:sz w:val="22"/>
                    <w:szCs w:val="22"/>
                  </w:rPr>
                </w:pPr>
                <w:r>
                  <w:rPr>
                    <w:rStyle w:val="DefaultParagraphFont"/>
                    <w:rFonts w:ascii="Calibri" w:hAnsi="Calibri"/>
                    <w:b/>
                    <w:bCs/>
                    <w:color w:val="7F7F7F" w:themeTint="80"/>
                    <w:sz w:val="22"/>
                    <w:szCs w:val="22"/>
                  </w:rPr>
                  <w:t>Title</w:t>
                </w:r>
              </w:p>
            </w:tc>
            <w:tc>
              <w:tcPr>
                <w:tcW w:w="2970" w:type="dxa"/>
                <w:tcBorders>
                  <w:bottom w:val="single" w:sz="12" w:space="0" w:color="D9D9D9" w:themeColor="background1" w:themeShade="D9"/>
                </w:tcBorders>
                <w:shd w:val="clear" w:color="auto" w:fill="F7F7F7"/>
                <w:vAlign w:val="center"/>
              </w:tcPr>
              <w:p w:rsidR="003615CB" w:rsidRPr="00692E93" w:rsidP="003615CB">
                <w:pPr>
                  <w:pStyle w:val="Normal125"/>
                  <w:rPr>
                    <w:rStyle w:val="DefaultParagraphFont"/>
                    <w:rFonts w:ascii="Calibri" w:hAnsi="Calibri"/>
                    <w:b/>
                    <w:sz w:val="22"/>
                    <w:szCs w:val="22"/>
                  </w:rPr>
                </w:pPr>
                <w:r w:rsidRPr="00EA6E86">
                  <w:rPr>
                    <w:rStyle w:val="DefaultParagraphFont"/>
                    <w:rFonts w:ascii="Calibri" w:hAnsi="Calibri"/>
                    <w:b/>
                    <w:bCs/>
                    <w:color w:val="7F7F7F" w:themeTint="80"/>
                    <w:sz w:val="22"/>
                    <w:szCs w:val="22"/>
                  </w:rPr>
                  <w:t>Organization</w:t>
                </w:r>
              </w:p>
            </w:tc>
            <w:tc>
              <w:tcPr>
                <w:tcW w:w="1890" w:type="dxa"/>
                <w:tcBorders>
                  <w:bottom w:val="single" w:sz="12" w:space="0" w:color="D9D9D9" w:themeColor="background1" w:themeShade="D9"/>
                </w:tcBorders>
                <w:shd w:val="clear" w:color="auto" w:fill="F7F7F7"/>
                <w:vAlign w:val="center"/>
              </w:tcPr>
              <w:p w:rsidR="003615CB" w:rsidRPr="00692E93" w:rsidP="003615CB">
                <w:pPr>
                  <w:pStyle w:val="Normal125"/>
                  <w:rPr>
                    <w:rStyle w:val="DefaultParagraphFont"/>
                    <w:rFonts w:ascii="Calibri" w:hAnsi="Calibri"/>
                    <w:b/>
                    <w:sz w:val="22"/>
                    <w:szCs w:val="22"/>
                  </w:rPr>
                </w:pPr>
                <w:r>
                  <w:rPr>
                    <w:rStyle w:val="DefaultParagraphFont"/>
                    <w:rFonts w:ascii="Calibri" w:hAnsi="Calibri"/>
                    <w:b/>
                    <w:bCs/>
                    <w:color w:val="7F7F7F" w:themeTint="80"/>
                    <w:sz w:val="22"/>
                    <w:szCs w:val="22"/>
                  </w:rPr>
                  <w:t>Location</w:t>
                </w:r>
              </w:p>
            </w:tc>
          </w:tr>
        </w:tbl>
        <w:p w:rsidR="00344412" w:rsidP="001C4803">
          <w:pPr>
            <w:pStyle w:val="Normal337"/>
            <w:widowControl w:val="0"/>
            <w:spacing w:after="0" w:line="14" w:lineRule="exact"/>
            <w:ind w:left="-907"/>
            <w:rPr>
              <w:rStyle w:val="DefaultParagraphFont"/>
            </w:rPr>
          </w:pPr>
        </w:p>
        <w:sdt>
          <w:sdtPr>
            <w:tag w:val="OPS_CORE_SECTION_END_4"/>
            <w:id w:val="302123292"/>
            <w:lock w:val="sdtContentLocked"/>
            <w:placeholder>
              <w:docPart w:val="78ED5D8AF7FB4293B60F728F0F97B4DC"/>
            </w:placeholder>
            <w:richText/>
          </w:sdtPr>
          <w:sdtContent>
            <w:p w:rsidR="007F2DE7" w:rsidP="007F2DE7">
              <w:pPr>
                <w:pStyle w:val="Normal3"/>
                <w:widowControl w:val="0"/>
                <w:spacing w:after="0" w:line="14" w:lineRule="exact"/>
                <w:ind w:left="-907"/>
              </w:pPr>
              <w:r>
                <w:t xml:space="preserve"> </w:t>
              </w:r>
            </w:p>
          </w:sdtContent>
        </w:sdt>
      </w:sdtContent>
    </w:sdt>
    <w:p w:rsidR="007F2DE7" w:rsidP="007F2DE7">
      <w:pPr>
        <w:pStyle w:val="Normal3"/>
        <w:widowControl w:val="0"/>
        <w:spacing w:after="0" w:line="14" w:lineRule="exact"/>
        <w:ind w:left="-907"/>
      </w:pPr>
    </w:p>
    <w:p w:rsidR="007F2DE7" w:rsidP="007F2DE7">
      <w:pPr>
        <w:pStyle w:val="Normal3"/>
        <w:widowControl w:val="0"/>
        <w:spacing w:after="0" w:line="14" w:lineRule="exact"/>
        <w:ind w:left="-907"/>
        <w:sectPr w:rsidSect="007F2DE7">
          <w:type w:val="continuous"/>
          <w:pgSz w:w="12240" w:h="15840" w:code="1"/>
          <w:pgMar w:top="1440" w:right="1440" w:bottom="1440" w:left="1440" w:header="720" w:footer="720" w:gutter="0"/>
          <w:cols w:space="720"/>
          <w:docGrid w:linePitch="360"/>
        </w:sectPr>
      </w:pPr>
    </w:p>
    <w:p w:rsidR="007F2DE7" w:rsidP="007F2DE7">
      <w:pPr>
        <w:pStyle w:val="Normal3"/>
        <w:widowControl w:val="0"/>
        <w:spacing w:after="0" w:line="240" w:lineRule="auto"/>
        <w:ind w:left="-907"/>
      </w:pPr>
      <w:r>
        <w:rPr>
          <w:noProof/>
        </w:rPr>
        <w:pict>
          <v:line id="Straight Connector 22" o:spid="_x0000_s1029" style="mso-width-percent:0;mso-width-relative:margin;mso-wrap-distance-bottom:0;mso-wrap-distance-left:9pt;mso-wrap-distance-right:9pt;mso-wrap-distance-top:0;mso-wrap-style:square;position:absolute;visibility:visible;z-index:251661312" from="-73.9pt,13.4pt" to="540.3pt,13.4pt" strokecolor="gray">
            <v:stroke joinstyle="miter" dashstyle="dash" opacity="26214f"/>
          </v:line>
        </w:pict>
      </w:r>
    </w:p>
    <w:p w:rsidR="007F2DE7" w:rsidP="007F2DE7">
      <w:pPr>
        <w:pStyle w:val="Normal3"/>
        <w:widowControl w:val="0"/>
        <w:spacing w:after="0" w:line="240" w:lineRule="auto"/>
        <w:ind w:left="-907"/>
      </w:pPr>
    </w:p>
    <w:p w:rsidR="007F2DE7" w:rsidP="007F2DE7">
      <w:pPr>
        <w:pStyle w:val="Normal3"/>
        <w:widowControl w:val="0"/>
        <w:spacing w:after="0" w:line="240" w:lineRule="auto"/>
        <w:ind w:left="-720"/>
      </w:pPr>
    </w:p>
    <w:sdt>
      <w:sdtPr>
        <w:id w:val="1017538944"/>
        <w:lock w:val="sdtContentLocked"/>
        <w:placeholder>
          <w:docPart w:val="AA825C0FC63F4FAAB6C17F4EDBC4ECAB"/>
        </w:placeholder>
        <w:showingPlcHdr/>
        <w:richText/>
      </w:sdtPr>
      <w:sdtContent>
        <w:p w:rsidR="007F2DE7" w:rsidRPr="007F0644" w:rsidP="007F2DE7">
          <w:pPr>
            <w:pStyle w:val="Normal3"/>
            <w:widowControl w:val="0"/>
            <w:spacing w:after="0" w:line="20" w:lineRule="exact"/>
            <w:ind w:left="-907"/>
            <w:sectPr w:rsidSect="007F2DE7">
              <w:type w:val="continuous"/>
              <w:pgSz w:w="12240" w:h="15840"/>
              <w:pgMar w:top="1440" w:right="1440" w:bottom="1440" w:left="1440" w:header="720" w:footer="720" w:gutter="0"/>
              <w:cols w:space="720"/>
              <w:docGrid w:linePitch="360"/>
            </w:sectPr>
          </w:pPr>
          <w:r>
            <w:t xml:space="preserve"> </w:t>
          </w:r>
        </w:p>
      </w:sdtContent>
    </w:sdt>
    <w:p w:rsidR="007F2DE7" w:rsidP="007F2DE7">
      <w:pPr>
        <w:pStyle w:val="Normal6"/>
        <w:spacing w:after="0" w:line="14" w:lineRule="exact"/>
      </w:pPr>
    </w:p>
    <w:p w:rsidR="007F2DE7" w:rsidRPr="00E635D9" w:rsidP="007F2DE7">
      <w:pPr>
        <w:ind w:left="-792"/>
        <w:jc w:val="center"/>
        <w:rPr>
          <w:rFonts w:ascii="Calibri" w:eastAsia="Times New Roman" w:hAnsi="Calibri"/>
          <w:b/>
          <w:caps/>
          <w:sz w:val="22"/>
        </w:rPr>
      </w:pPr>
      <w:r w:rsidRPr="00E635D9">
        <w:rPr>
          <w:b/>
          <w:sz w:val="22"/>
        </w:rPr>
        <w:t>Federal Republic of Nigeria</w:t>
      </w:r>
      <w:r w:rsidRPr="00E635D9">
        <w:rPr>
          <w:b/>
          <w:sz w:val="18"/>
          <w:szCs w:val="22"/>
        </w:rPr>
        <w:br/>
      </w:r>
      <w:r w:rsidRPr="00E635D9">
        <w:rPr>
          <w:b/>
          <w:sz w:val="22"/>
        </w:rPr>
        <w:fldChar w:fldCharType="begin"/>
      </w:r>
      <w:r w:rsidRPr="00E635D9">
        <w:rPr>
          <w:b/>
          <w:sz w:val="22"/>
        </w:rPr>
        <w:instrText xml:space="preserve"> IF "Multi-Sectoral Crisis Recovery Project for North Eastern Nigeria" &lt;&gt; "" "Multi-Sectoral Crisis Recovery Project for North Eastern Nigeria" ""</w:instrText>
      </w:r>
      <w:r w:rsidRPr="00E635D9">
        <w:rPr>
          <w:b/>
          <w:sz w:val="22"/>
        </w:rPr>
        <w:fldChar w:fldCharType="separate"/>
      </w:r>
      <w:r w:rsidRPr="00E635D9">
        <w:rPr>
          <w:b/>
          <w:sz w:val="22"/>
        </w:rPr>
        <w:t>Multi-Sectoral Crisis Recovery Project for North Eastern Nigeria</w:t>
      </w:r>
      <w:r w:rsidRPr="00E635D9">
        <w:rPr>
          <w:b/>
          <w:sz w:val="22"/>
        </w:rPr>
        <w:fldChar w:fldCharType="end"/>
      </w:r>
      <w:r w:rsidRPr="00E635D9">
        <w:rPr>
          <w:b/>
        </w:rPr>
        <w:br/>
      </w:r>
      <w:r w:rsidRPr="00E635D9">
        <w:rPr>
          <w:b/>
        </w:rPr>
        <w:br/>
      </w:r>
    </w:p>
    <w:sdt>
      <w:sdtPr>
        <w:rPr>
          <w:rFonts w:ascii="Calibri" w:eastAsia="Times New Roman" w:hAnsi="Calibri"/>
          <w:b/>
          <w:caps/>
          <w:noProof/>
          <w:sz w:val="22"/>
        </w:rPr>
        <w:id w:val="1368668253"/>
        <w:docPartObj>
          <w:docPartGallery w:val="Table of Contents"/>
          <w:docPartUnique/>
        </w:docPartObj>
      </w:sdtPr>
      <w:sdtEndPr>
        <w:rPr>
          <w:sz w:val="24"/>
        </w:rPr>
      </w:sdtEndPr>
      <w:sdtContent>
        <w:p w:rsidR="007F2DE7" w:rsidRPr="00FB6E71" w:rsidP="007F2DE7">
          <w:pPr>
            <w:ind w:left="-792"/>
            <w:jc w:val="center"/>
            <w:rPr>
              <w:rFonts w:ascii="Calibri" w:eastAsia="Times New Roman" w:hAnsi="Calibri"/>
              <w:b/>
              <w:sz w:val="22"/>
            </w:rPr>
          </w:pPr>
          <w:r w:rsidRPr="00FB6E71">
            <w:rPr>
              <w:rFonts w:ascii="Calibri" w:eastAsia="Times New Roman" w:hAnsi="Calibri"/>
              <w:b/>
              <w:sz w:val="22"/>
            </w:rPr>
            <w:t>TABLE OF CONTENTS</w:t>
          </w:r>
        </w:p>
        <w:p w:rsidR="007F2DE7" w:rsidRPr="00FB6E71" w:rsidP="007F2DE7">
          <w:pPr>
            <w:ind w:left="-792"/>
            <w:jc w:val="center"/>
            <w:rPr>
              <w:rFonts w:ascii="Calibri" w:eastAsia="Times New Roman" w:hAnsi="Calibri"/>
              <w:b/>
              <w:caps/>
              <w:sz w:val="22"/>
            </w:rPr>
          </w:pPr>
        </w:p>
        <w:p w:rsidR="00B12117">
          <w:pPr>
            <w:pStyle w:val="TOC1"/>
            <w:rPr>
              <w:rFonts w:asciiTheme="minorHAnsi" w:eastAsiaTheme="minorEastAsia" w:hAnsiTheme="minorHAnsi" w:cstheme="minorBidi"/>
              <w:b w:val="0"/>
              <w:caps w:val="0"/>
              <w:color w:val="auto"/>
              <w:sz w:val="22"/>
              <w:szCs w:val="22"/>
            </w:rPr>
          </w:pPr>
          <w:r w:rsidRPr="00FB6E71">
            <w:rPr>
              <w:noProof w:val="0"/>
            </w:rPr>
            <w:fldChar w:fldCharType="begin"/>
          </w:r>
          <w:r w:rsidRPr="00FB6E71">
            <w:rPr>
              <w:noProof w:val="0"/>
            </w:rPr>
            <w:instrText xml:space="preserve"> TOC \o "1-3" \h \z \u </w:instrText>
          </w:r>
          <w:r w:rsidRPr="00FB6E71">
            <w:rPr>
              <w:noProof w:val="0"/>
            </w:rPr>
            <w:fldChar w:fldCharType="separate"/>
          </w:r>
          <w:bookmarkStart w:id="1" w:name="_GoBack"/>
          <w:bookmarkEnd w:id="1"/>
          <w:r w:rsidRPr="00EA168C">
            <w:rPr>
              <w:rStyle w:val="Hyperlink"/>
            </w:rPr>
            <w:fldChar w:fldCharType="begin"/>
          </w:r>
          <w:r w:rsidRPr="00EA168C">
            <w:rPr>
              <w:rStyle w:val="Hyperlink"/>
            </w:rPr>
            <w:instrText xml:space="preserve"> </w:instrText>
          </w:r>
          <w:r>
            <w:instrText>HYPERLINK \l "_Toc476558102"</w:instrText>
          </w:r>
          <w:r w:rsidRPr="00EA168C">
            <w:rPr>
              <w:rStyle w:val="Hyperlink"/>
            </w:rPr>
            <w:instrText xml:space="preserve"> </w:instrText>
          </w:r>
          <w:r w:rsidRPr="00EA168C">
            <w:rPr>
              <w:rStyle w:val="Hyperlink"/>
            </w:rPr>
            <w:fldChar w:fldCharType="separate"/>
          </w:r>
          <w:r w:rsidRPr="00EA168C">
            <w:rPr>
              <w:rStyle w:val="Hyperlink"/>
            </w:rPr>
            <w:t>I.</w:t>
          </w:r>
          <w:r>
            <w:rPr>
              <w:rFonts w:asciiTheme="minorHAnsi" w:eastAsiaTheme="minorEastAsia" w:hAnsiTheme="minorHAnsi" w:cstheme="minorBidi"/>
              <w:b w:val="0"/>
              <w:caps w:val="0"/>
              <w:color w:val="auto"/>
              <w:sz w:val="22"/>
              <w:szCs w:val="22"/>
            </w:rPr>
            <w:tab/>
          </w:r>
          <w:r w:rsidRPr="00EA168C">
            <w:rPr>
              <w:rStyle w:val="Hyperlink"/>
            </w:rPr>
            <w:t>STRATEGIC CONTEXT</w:t>
          </w:r>
          <w:r>
            <w:rPr>
              <w:webHidden/>
            </w:rPr>
            <w:tab/>
          </w:r>
          <w:r>
            <w:rPr>
              <w:webHidden/>
            </w:rPr>
            <w:fldChar w:fldCharType="begin"/>
          </w:r>
          <w:r>
            <w:rPr>
              <w:webHidden/>
            </w:rPr>
            <w:instrText xml:space="preserve"> PAGEREF _Toc476558102 \h </w:instrText>
          </w:r>
          <w:r>
            <w:rPr>
              <w:webHidden/>
            </w:rPr>
            <w:fldChar w:fldCharType="separate"/>
          </w:r>
          <w:r>
            <w:rPr>
              <w:webHidden/>
            </w:rPr>
            <w:t>11</w:t>
          </w:r>
          <w:r>
            <w:rPr>
              <w:webHidden/>
            </w:rPr>
            <w:fldChar w:fldCharType="end"/>
          </w:r>
          <w:r w:rsidRPr="00EA168C">
            <w:rPr>
              <w:rStyle w:val="Hyperlink"/>
            </w:rP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"_Toc476558103" </w:instrText>
          </w:r>
          <w:r>
            <w:fldChar w:fldCharType="separate"/>
          </w:r>
          <w:r w:rsidRPr="00EA168C">
            <w:rPr>
              <w:rStyle w:val="Hyperlink"/>
              <w:b/>
            </w:rPr>
            <w:t>A. Country Context</w:t>
          </w:r>
          <w:r>
            <w:rPr>
              <w:webHidden/>
            </w:rPr>
            <w:tab/>
          </w:r>
          <w:r>
            <w:rPr>
              <w:webHidden/>
            </w:rPr>
            <w:fldChar w:fldCharType="begin"/>
          </w:r>
          <w:r>
            <w:rPr>
              <w:webHidden/>
            </w:rPr>
            <w:instrText xml:space="preserve"> PAGEREF _Toc476558103 \h </w:instrText>
          </w:r>
          <w:r>
            <w:rPr>
              <w:webHidden/>
            </w:rPr>
            <w:fldChar w:fldCharType="separate"/>
          </w:r>
          <w:r>
            <w:rPr>
              <w:webHidden/>
            </w:rPr>
            <w:t>11</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"_Toc476558104" </w:instrText>
          </w:r>
          <w:r>
            <w:fldChar w:fldCharType="separate"/>
          </w:r>
          <w:r w:rsidRPr="00EA168C">
            <w:rPr>
              <w:rStyle w:val="Hyperlink"/>
              <w:b/>
            </w:rPr>
            <w:t>B. Sectoral and Institutional Context</w:t>
          </w:r>
          <w:r>
            <w:rPr>
              <w:webHidden/>
            </w:rPr>
            <w:tab/>
          </w:r>
          <w:r>
            <w:rPr>
              <w:webHidden/>
            </w:rPr>
            <w:fldChar w:fldCharType="begin"/>
          </w:r>
          <w:r>
            <w:rPr>
              <w:webHidden/>
            </w:rPr>
            <w:instrText xml:space="preserve"> PAGEREF _Toc476558104 \h </w:instrText>
          </w:r>
          <w:r>
            <w:rPr>
              <w:webHidden/>
            </w:rPr>
            <w:fldChar w:fldCharType="separate"/>
          </w:r>
          <w:r>
            <w:rPr>
              <w:webHidden/>
            </w:rPr>
            <w:t>14</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"_Toc476558105" </w:instrText>
          </w:r>
          <w:r>
            <w:fldChar w:fldCharType="separate"/>
          </w:r>
          <w:r w:rsidRPr="00EA168C">
            <w:rPr>
              <w:rStyle w:val="Hyperlink"/>
              <w:b/>
            </w:rPr>
            <w:t>C. Higher-level Objectives to which the Project Contributes</w:t>
          </w:r>
          <w:r>
            <w:rPr>
              <w:webHidden/>
            </w:rPr>
            <w:tab/>
          </w:r>
          <w:r>
            <w:rPr>
              <w:webHidden/>
            </w:rPr>
            <w:fldChar w:fldCharType="begin"/>
          </w:r>
          <w:r>
            <w:rPr>
              <w:webHidden/>
            </w:rPr>
            <w:instrText xml:space="preserve"> PAGEREF _Toc476558105 \h </w:instrText>
          </w:r>
          <w:r>
            <w:rPr>
              <w:webHidden/>
            </w:rPr>
            <w:fldChar w:fldCharType="separate"/>
          </w:r>
          <w:r>
            <w:rPr>
              <w:webHidden/>
            </w:rPr>
            <w:t>17</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"_Toc476558106" </w:instrText>
          </w:r>
          <w:r>
            <w:fldChar w:fldCharType="separate"/>
          </w:r>
          <w:r w:rsidRPr="00EA168C">
            <w:rPr>
              <w:rStyle w:val="Hyperlink"/>
            </w:rPr>
            <w:t>II.</w:t>
          </w:r>
          <w:r>
            <w:rPr>
              <w:rFonts w:asciiTheme="minorHAnsi" w:eastAsiaTheme="minorEastAsia" w:hAnsiTheme="minorHAnsi" w:cstheme="minorBidi"/>
              <w:b w:val="0"/>
              <w:caps w:val="0"/>
              <w:color w:val="auto"/>
              <w:sz w:val="22"/>
              <w:szCs w:val="22"/>
            </w:rPr>
            <w:tab/>
          </w:r>
          <w:r w:rsidRPr="00EA168C">
            <w:rPr>
              <w:rStyle w:val="Hyperlink"/>
            </w:rPr>
            <w:t>PROJECT DEVELOPMENT OBJECTIVES</w:t>
          </w:r>
          <w:r>
            <w:rPr>
              <w:webHidden/>
            </w:rPr>
            <w:tab/>
          </w:r>
          <w:r>
            <w:rPr>
              <w:webHidden/>
            </w:rPr>
            <w:fldChar w:fldCharType="begin"/>
          </w:r>
          <w:r>
            <w:rPr>
              <w:webHidden/>
            </w:rPr>
            <w:instrText xml:space="preserve"> PAGEREF _Toc476558106 \h </w:instrText>
          </w:r>
          <w:r>
            <w:rPr>
              <w:webHidden/>
            </w:rPr>
            <w:fldChar w:fldCharType="separate"/>
          </w:r>
          <w:r>
            <w:rPr>
              <w:webHidden/>
            </w:rPr>
            <w:t>18</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"_Toc476558107" </w:instrText>
          </w:r>
          <w:r>
            <w:fldChar w:fldCharType="separate"/>
          </w:r>
          <w:r w:rsidRPr="00EA168C">
            <w:rPr>
              <w:rStyle w:val="Hyperlink"/>
              <w:b/>
            </w:rPr>
            <w:t>A. PDO</w:t>
          </w:r>
          <w:r>
            <w:rPr>
              <w:webHidden/>
            </w:rPr>
            <w:tab/>
          </w:r>
          <w:r>
            <w:rPr>
              <w:webHidden/>
            </w:rPr>
            <w:fldChar w:fldCharType="begin"/>
          </w:r>
          <w:r>
            <w:rPr>
              <w:webHidden/>
            </w:rPr>
            <w:instrText xml:space="preserve"> PAGEREF _Toc476558107 \h </w:instrText>
          </w:r>
          <w:r>
            <w:rPr>
              <w:webHidden/>
            </w:rPr>
            <w:fldChar w:fldCharType="separate"/>
          </w:r>
          <w:r>
            <w:rPr>
              <w:webHidden/>
            </w:rPr>
            <w:t>18</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"_Toc476558108" </w:instrText>
          </w:r>
          <w:r>
            <w:fldChar w:fldCharType="separate"/>
          </w:r>
          <w:r w:rsidRPr="00EA168C">
            <w:rPr>
              <w:rStyle w:val="Hyperlink"/>
              <w:b/>
            </w:rPr>
            <w:t>B. Project Beneficiaries</w:t>
          </w:r>
          <w:r>
            <w:rPr>
              <w:webHidden/>
            </w:rPr>
            <w:tab/>
          </w:r>
          <w:r>
            <w:rPr>
              <w:webHidden/>
            </w:rPr>
            <w:fldChar w:fldCharType="begin"/>
          </w:r>
          <w:r>
            <w:rPr>
              <w:webHidden/>
            </w:rPr>
            <w:instrText xml:space="preserve"> PAGEREF _Toc476558108 \h </w:instrText>
          </w:r>
          <w:r>
            <w:rPr>
              <w:webHidden/>
            </w:rPr>
            <w:fldChar w:fldCharType="separate"/>
          </w:r>
          <w:r>
            <w:rPr>
              <w:webHidden/>
            </w:rPr>
            <w:t>18</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"_Toc476558109" </w:instrText>
          </w:r>
          <w:r>
            <w:fldChar w:fldCharType="separate"/>
          </w:r>
          <w:r w:rsidRPr="00EA168C">
            <w:rPr>
              <w:rStyle w:val="Hyperlink"/>
              <w:b/>
            </w:rPr>
            <w:t>C. PDO-level Results Indicators</w:t>
          </w:r>
          <w:r>
            <w:rPr>
              <w:webHidden/>
            </w:rPr>
            <w:tab/>
          </w:r>
          <w:r>
            <w:rPr>
              <w:webHidden/>
            </w:rPr>
            <w:fldChar w:fldCharType="begin"/>
          </w:r>
          <w:r>
            <w:rPr>
              <w:webHidden/>
            </w:rPr>
            <w:instrText xml:space="preserve"> PAGEREF _Toc476558109 \h </w:instrText>
          </w:r>
          <w:r>
            <w:rPr>
              <w:webHidden/>
            </w:rPr>
            <w:fldChar w:fldCharType="separate"/>
          </w:r>
          <w:r>
            <w:rPr>
              <w:webHidden/>
            </w:rPr>
            <w:t>19</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"_Toc476558110" </w:instrText>
          </w:r>
          <w:r>
            <w:fldChar w:fldCharType="separate"/>
          </w:r>
          <w:r w:rsidRPr="00EA168C">
            <w:rPr>
              <w:rStyle w:val="Hyperlink"/>
            </w:rPr>
            <w:t>III.</w:t>
          </w:r>
          <w:r>
            <w:rPr>
              <w:rFonts w:asciiTheme="minorHAnsi" w:eastAsiaTheme="minorEastAsia" w:hAnsiTheme="minorHAnsi" w:cstheme="minorBidi"/>
              <w:b w:val="0"/>
              <w:caps w:val="0"/>
              <w:color w:val="auto"/>
              <w:sz w:val="22"/>
              <w:szCs w:val="22"/>
            </w:rPr>
            <w:tab/>
          </w:r>
          <w:r w:rsidRPr="00EA168C">
            <w:rPr>
              <w:rStyle w:val="Hyperlink"/>
            </w:rPr>
            <w:t>PROJECT DESCRIPTION</w:t>
          </w:r>
          <w:r>
            <w:rPr>
              <w:webHidden/>
            </w:rPr>
            <w:tab/>
          </w:r>
          <w:r>
            <w:rPr>
              <w:webHidden/>
            </w:rPr>
            <w:fldChar w:fldCharType="begin"/>
          </w:r>
          <w:r>
            <w:rPr>
              <w:webHidden/>
            </w:rPr>
            <w:instrText xml:space="preserve"> PAGEREF _Toc476558110 \h </w:instrText>
          </w:r>
          <w:r>
            <w:rPr>
              <w:webHidden/>
            </w:rPr>
            <w:fldChar w:fldCharType="separate"/>
          </w:r>
          <w:r>
            <w:rPr>
              <w:webHidden/>
            </w:rPr>
            <w:t>19</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"_Toc476558111" </w:instrText>
          </w:r>
          <w:r>
            <w:fldChar w:fldCharType="separate"/>
          </w:r>
          <w:r w:rsidRPr="00EA168C">
            <w:rPr>
              <w:rStyle w:val="Hyperlink"/>
              <w:b/>
            </w:rPr>
            <w:t>A. Project Components</w:t>
          </w:r>
          <w:r>
            <w:rPr>
              <w:webHidden/>
            </w:rPr>
            <w:tab/>
          </w:r>
          <w:r>
            <w:rPr>
              <w:webHidden/>
            </w:rPr>
            <w:fldChar w:fldCharType="begin"/>
          </w:r>
          <w:r>
            <w:rPr>
              <w:webHidden/>
            </w:rPr>
            <w:instrText xml:space="preserve"> PAGEREF _Toc476558111 \h </w:instrText>
          </w:r>
          <w:r>
            <w:rPr>
              <w:webHidden/>
            </w:rPr>
            <w:fldChar w:fldCharType="separate"/>
          </w:r>
          <w:r>
            <w:rPr>
              <w:webHidden/>
            </w:rPr>
            <w:t>21</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"_Toc476558112" </w:instrText>
          </w:r>
          <w:r>
            <w:fldChar w:fldCharType="separate"/>
          </w:r>
          <w:r w:rsidRPr="00EA168C">
            <w:rPr>
              <w:rStyle w:val="Hyperlink"/>
              <w:b/>
            </w:rPr>
            <w:t>B. Project Cost and Financing</w:t>
          </w:r>
          <w:r>
            <w:rPr>
              <w:webHidden/>
            </w:rPr>
            <w:tab/>
          </w:r>
          <w:r>
            <w:rPr>
              <w:webHidden/>
            </w:rPr>
            <w:fldChar w:fldCharType="begin"/>
          </w:r>
          <w:r>
            <w:rPr>
              <w:webHidden/>
            </w:rPr>
            <w:instrText xml:space="preserve"> PAGEREF _Toc476558112 \h </w:instrText>
          </w:r>
          <w:r>
            <w:rPr>
              <w:webHidden/>
            </w:rPr>
            <w:fldChar w:fldCharType="separate"/>
          </w:r>
          <w:r>
            <w:rPr>
              <w:webHidden/>
            </w:rPr>
            <w:t>23</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"_Toc476558113" </w:instrText>
          </w:r>
          <w:r>
            <w:fldChar w:fldCharType="separate"/>
          </w:r>
          <w:r w:rsidRPr="00EA168C">
            <w:rPr>
              <w:rStyle w:val="Hyperlink"/>
              <w:b/>
            </w:rPr>
            <w:t>C. Lessons Learned and Reflected in the Project Design</w:t>
          </w:r>
          <w:r>
            <w:rPr>
              <w:webHidden/>
            </w:rPr>
            <w:tab/>
          </w:r>
          <w:r>
            <w:rPr>
              <w:webHidden/>
            </w:rPr>
            <w:fldChar w:fldCharType="begin"/>
          </w:r>
          <w:r>
            <w:rPr>
              <w:webHidden/>
            </w:rPr>
            <w:instrText xml:space="preserve"> PAGEREF _Toc476558113 \h </w:instrText>
          </w:r>
          <w:r>
            <w:rPr>
              <w:webHidden/>
            </w:rPr>
            <w:fldChar w:fldCharType="separate"/>
          </w:r>
          <w:r>
            <w:rPr>
              <w:webHidden/>
            </w:rPr>
            <w:t>24</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"_Toc476558114" </w:instrText>
          </w:r>
          <w:r>
            <w:fldChar w:fldCharType="separate"/>
          </w:r>
          <w:r w:rsidRPr="00EA168C">
            <w:rPr>
              <w:rStyle w:val="Hyperlink"/>
            </w:rPr>
            <w:t>IV.</w:t>
          </w:r>
          <w:r>
            <w:rPr>
              <w:rFonts w:asciiTheme="minorHAnsi" w:eastAsiaTheme="minorEastAsia" w:hAnsiTheme="minorHAnsi" w:cstheme="minorBidi"/>
              <w:b w:val="0"/>
              <w:caps w:val="0"/>
              <w:color w:val="auto"/>
              <w:sz w:val="22"/>
              <w:szCs w:val="22"/>
            </w:rPr>
            <w:tab/>
          </w:r>
          <w:r w:rsidRPr="00EA168C">
            <w:rPr>
              <w:rStyle w:val="Hyperlink"/>
            </w:rPr>
            <w:t>IMPLEMENTATION</w:t>
          </w:r>
          <w:r>
            <w:rPr>
              <w:webHidden/>
            </w:rPr>
            <w:tab/>
          </w:r>
          <w:r>
            <w:rPr>
              <w:webHidden/>
            </w:rPr>
            <w:fldChar w:fldCharType="begin"/>
          </w:r>
          <w:r>
            <w:rPr>
              <w:webHidden/>
            </w:rPr>
            <w:instrText xml:space="preserve"> PAGEREF _Toc476558114 \h </w:instrText>
          </w:r>
          <w:r>
            <w:rPr>
              <w:webHidden/>
            </w:rPr>
            <w:fldChar w:fldCharType="separate"/>
          </w:r>
          <w:r>
            <w:rPr>
              <w:webHidden/>
            </w:rPr>
            <w:t>25</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"_Toc476558115" </w:instrText>
          </w:r>
          <w:r>
            <w:fldChar w:fldCharType="separate"/>
          </w:r>
          <w:r w:rsidRPr="00EA168C">
            <w:rPr>
              <w:rStyle w:val="Hyperlink"/>
              <w:b/>
            </w:rPr>
            <w:t>A. Institutional and Implementation Arrangements</w:t>
          </w:r>
          <w:r>
            <w:rPr>
              <w:webHidden/>
            </w:rPr>
            <w:tab/>
          </w:r>
          <w:r>
            <w:rPr>
              <w:webHidden/>
            </w:rPr>
            <w:fldChar w:fldCharType="begin"/>
          </w:r>
          <w:r>
            <w:rPr>
              <w:webHidden/>
            </w:rPr>
            <w:instrText xml:space="preserve"> PAGEREF _Toc476558115 \h </w:instrText>
          </w:r>
          <w:r>
            <w:rPr>
              <w:webHidden/>
            </w:rPr>
            <w:fldChar w:fldCharType="separate"/>
          </w:r>
          <w:r>
            <w:rPr>
              <w:webHidden/>
            </w:rPr>
            <w:t>25</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"_Toc476558116" </w:instrText>
          </w:r>
          <w:r>
            <w:fldChar w:fldCharType="separate"/>
          </w:r>
          <w:r w:rsidRPr="00EA168C">
            <w:rPr>
              <w:rStyle w:val="Hyperlink"/>
              <w:b/>
            </w:rPr>
            <w:t>B. Results Monitoring and Evaluation</w:t>
          </w:r>
          <w:r>
            <w:rPr>
              <w:webHidden/>
            </w:rPr>
            <w:tab/>
          </w:r>
          <w:r>
            <w:rPr>
              <w:webHidden/>
            </w:rPr>
            <w:fldChar w:fldCharType="begin"/>
          </w:r>
          <w:r>
            <w:rPr>
              <w:webHidden/>
            </w:rPr>
            <w:instrText xml:space="preserve"> PAGEREF _Toc476558116 \h </w:instrText>
          </w:r>
          <w:r>
            <w:rPr>
              <w:webHidden/>
            </w:rPr>
            <w:fldChar w:fldCharType="separate"/>
          </w:r>
          <w:r>
            <w:rPr>
              <w:webHidden/>
            </w:rPr>
            <w:t>27</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"_Toc476558117" </w:instrText>
          </w:r>
          <w:r>
            <w:fldChar w:fldCharType="separate"/>
          </w:r>
          <w:r w:rsidRPr="00EA168C">
            <w:rPr>
              <w:rStyle w:val="Hyperlink"/>
              <w:b/>
            </w:rPr>
            <w:t>C. Sustainability</w:t>
          </w:r>
          <w:r>
            <w:rPr>
              <w:webHidden/>
            </w:rPr>
            <w:tab/>
          </w:r>
          <w:r>
            <w:rPr>
              <w:webHidden/>
            </w:rPr>
            <w:fldChar w:fldCharType="begin"/>
          </w:r>
          <w:r>
            <w:rPr>
              <w:webHidden/>
            </w:rPr>
            <w:instrText xml:space="preserve"> PAGEREF _Toc476558117 \h </w:instrText>
          </w:r>
          <w:r>
            <w:rPr>
              <w:webHidden/>
            </w:rPr>
            <w:fldChar w:fldCharType="separate"/>
          </w:r>
          <w:r>
            <w:rPr>
              <w:webHidden/>
            </w:rPr>
            <w:t>28</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"_Toc476558118" </w:instrText>
          </w:r>
          <w:r>
            <w:fldChar w:fldCharType="separate"/>
          </w:r>
          <w:r w:rsidRPr="00EA168C">
            <w:rPr>
              <w:rStyle w:val="Hyperlink"/>
              <w:b/>
            </w:rPr>
            <w:t>D. Role of Partners</w:t>
          </w:r>
          <w:r>
            <w:rPr>
              <w:webHidden/>
            </w:rPr>
            <w:tab/>
          </w:r>
          <w:r>
            <w:rPr>
              <w:webHidden/>
            </w:rPr>
            <w:fldChar w:fldCharType="begin"/>
          </w:r>
          <w:r>
            <w:rPr>
              <w:webHidden/>
            </w:rPr>
            <w:instrText xml:space="preserve"> PAGEREF _Toc476558118 \h </w:instrText>
          </w:r>
          <w:r>
            <w:rPr>
              <w:webHidden/>
            </w:rPr>
            <w:fldChar w:fldCharType="separate"/>
          </w:r>
          <w:r>
            <w:rPr>
              <w:webHidden/>
            </w:rPr>
            <w:t>29</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"_Toc476558119" </w:instrText>
          </w:r>
          <w:r>
            <w:fldChar w:fldCharType="separate"/>
          </w:r>
          <w:r w:rsidRPr="00EA168C">
            <w:rPr>
              <w:rStyle w:val="Hyperlink"/>
            </w:rPr>
            <w:t>V.</w:t>
          </w:r>
          <w:r>
            <w:rPr>
              <w:rFonts w:asciiTheme="minorHAnsi" w:eastAsiaTheme="minorEastAsia" w:hAnsiTheme="minorHAnsi" w:cstheme="minorBidi"/>
              <w:b w:val="0"/>
              <w:caps w:val="0"/>
              <w:color w:val="auto"/>
              <w:sz w:val="22"/>
              <w:szCs w:val="22"/>
            </w:rPr>
            <w:tab/>
          </w:r>
          <w:r w:rsidRPr="00EA168C">
            <w:rPr>
              <w:rStyle w:val="Hyperlink"/>
            </w:rPr>
            <w:t>KEY RISKS</w:t>
          </w:r>
          <w:r>
            <w:rPr>
              <w:webHidden/>
            </w:rPr>
            <w:tab/>
          </w:r>
          <w:r>
            <w:rPr>
              <w:webHidden/>
            </w:rPr>
            <w:fldChar w:fldCharType="begin"/>
          </w:r>
          <w:r>
            <w:rPr>
              <w:webHidden/>
            </w:rPr>
            <w:instrText xml:space="preserve"> PAGEREF _Toc476558119 \h </w:instrText>
          </w:r>
          <w:r>
            <w:rPr>
              <w:webHidden/>
            </w:rPr>
            <w:fldChar w:fldCharType="separate"/>
          </w:r>
          <w:r>
            <w:rPr>
              <w:webHidden/>
            </w:rPr>
            <w:t>30</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"_Toc476558120" </w:instrText>
          </w:r>
          <w:r>
            <w:fldChar w:fldCharType="separate"/>
          </w:r>
          <w:r w:rsidRPr="00EA168C">
            <w:rPr>
              <w:rStyle w:val="Hyperlink"/>
              <w:b/>
            </w:rPr>
            <w:t>A. Overall Risk Rating and Explanation of Key Risks</w:t>
          </w:r>
          <w:r>
            <w:rPr>
              <w:webHidden/>
            </w:rPr>
            <w:tab/>
          </w:r>
          <w:r>
            <w:rPr>
              <w:webHidden/>
            </w:rPr>
            <w:fldChar w:fldCharType="begin"/>
          </w:r>
          <w:r>
            <w:rPr>
              <w:webHidden/>
            </w:rPr>
            <w:instrText xml:space="preserve"> PAGEREF _Toc476558120 \h </w:instrText>
          </w:r>
          <w:r>
            <w:rPr>
              <w:webHidden/>
            </w:rPr>
            <w:fldChar w:fldCharType="separate"/>
          </w:r>
          <w:r>
            <w:rPr>
              <w:webHidden/>
            </w:rPr>
            <w:t>30</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"_Toc476558121" </w:instrText>
          </w:r>
          <w:r>
            <w:fldChar w:fldCharType="separate"/>
          </w:r>
          <w:r w:rsidRPr="00EA168C">
            <w:rPr>
              <w:rStyle w:val="Hyperlink"/>
            </w:rPr>
            <w:t>VI.</w:t>
          </w:r>
          <w:r>
            <w:rPr>
              <w:rFonts w:asciiTheme="minorHAnsi" w:eastAsiaTheme="minorEastAsia" w:hAnsiTheme="minorHAnsi" w:cstheme="minorBidi"/>
              <w:b w:val="0"/>
              <w:caps w:val="0"/>
              <w:color w:val="auto"/>
              <w:sz w:val="22"/>
              <w:szCs w:val="22"/>
            </w:rPr>
            <w:tab/>
          </w:r>
          <w:r w:rsidRPr="00EA168C">
            <w:rPr>
              <w:rStyle w:val="Hyperlink"/>
            </w:rPr>
            <w:t>APPRAISAL SUMMARY</w:t>
          </w:r>
          <w:r>
            <w:rPr>
              <w:webHidden/>
            </w:rPr>
            <w:tab/>
          </w:r>
          <w:r>
            <w:rPr>
              <w:webHidden/>
            </w:rPr>
            <w:fldChar w:fldCharType="begin"/>
          </w:r>
          <w:r>
            <w:rPr>
              <w:webHidden/>
            </w:rPr>
            <w:instrText xml:space="preserve"> PAGEREF _Toc476558121 \h </w:instrText>
          </w:r>
          <w:r>
            <w:rPr>
              <w:webHidden/>
            </w:rPr>
            <w:fldChar w:fldCharType="separate"/>
          </w:r>
          <w:r>
            <w:rPr>
              <w:webHidden/>
            </w:rPr>
            <w:t>33</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"_Toc476558122" </w:instrText>
          </w:r>
          <w:r>
            <w:fldChar w:fldCharType="separate"/>
          </w:r>
          <w:r w:rsidRPr="00EA168C">
            <w:rPr>
              <w:rStyle w:val="Hyperlink"/>
              <w:b/>
            </w:rPr>
            <w:t>A. Economic and Financial (if applicable) Analysis</w:t>
          </w:r>
          <w:r>
            <w:rPr>
              <w:webHidden/>
            </w:rPr>
            <w:tab/>
          </w:r>
          <w:r>
            <w:rPr>
              <w:webHidden/>
            </w:rPr>
            <w:fldChar w:fldCharType="begin"/>
          </w:r>
          <w:r>
            <w:rPr>
              <w:webHidden/>
            </w:rPr>
            <w:instrText xml:space="preserve"> PAGEREF _Toc476558122 \h </w:instrText>
          </w:r>
          <w:r>
            <w:rPr>
              <w:webHidden/>
            </w:rPr>
            <w:fldChar w:fldCharType="separate"/>
          </w:r>
          <w:r>
            <w:rPr>
              <w:webHidden/>
            </w:rPr>
            <w:t>33</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"_Toc476558123" </w:instrText>
          </w:r>
          <w:r>
            <w:fldChar w:fldCharType="separate"/>
          </w:r>
          <w:r w:rsidRPr="00EA168C">
            <w:rPr>
              <w:rStyle w:val="Hyperlink"/>
              <w:b/>
            </w:rPr>
            <w:t>B. Technical</w:t>
          </w:r>
          <w:r>
            <w:rPr>
              <w:webHidden/>
            </w:rPr>
            <w:tab/>
          </w:r>
          <w:r>
            <w:rPr>
              <w:webHidden/>
            </w:rPr>
            <w:fldChar w:fldCharType="begin"/>
          </w:r>
          <w:r>
            <w:rPr>
              <w:webHidden/>
            </w:rPr>
            <w:instrText xml:space="preserve"> PAGEREF _Toc476558123 \h </w:instrText>
          </w:r>
          <w:r>
            <w:rPr>
              <w:webHidden/>
            </w:rPr>
            <w:fldChar w:fldCharType="separate"/>
          </w:r>
          <w:r>
            <w:rPr>
              <w:webHidden/>
            </w:rPr>
            <w:t>34</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"_Toc476558124" </w:instrText>
          </w:r>
          <w:r>
            <w:fldChar w:fldCharType="separate"/>
          </w:r>
          <w:r w:rsidRPr="00EA168C">
            <w:rPr>
              <w:rStyle w:val="Hyperlink"/>
              <w:b/>
            </w:rPr>
            <w:t>C. Financial Management</w:t>
          </w:r>
          <w:r>
            <w:rPr>
              <w:webHidden/>
            </w:rPr>
            <w:tab/>
          </w:r>
          <w:r>
            <w:rPr>
              <w:webHidden/>
            </w:rPr>
            <w:fldChar w:fldCharType="begin"/>
          </w:r>
          <w:r>
            <w:rPr>
              <w:webHidden/>
            </w:rPr>
            <w:instrText xml:space="preserve"> PAGEREF _Toc476558124 \h </w:instrText>
          </w:r>
          <w:r>
            <w:rPr>
              <w:webHidden/>
            </w:rPr>
            <w:fldChar w:fldCharType="separate"/>
          </w:r>
          <w:r>
            <w:rPr>
              <w:webHidden/>
            </w:rPr>
            <w:t>35</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"_Toc476558125" </w:instrText>
          </w:r>
          <w:r>
            <w:fldChar w:fldCharType="separate"/>
          </w:r>
          <w:r w:rsidRPr="00EA168C">
            <w:rPr>
              <w:rStyle w:val="Hyperlink"/>
              <w:b/>
            </w:rPr>
            <w:t>D. Procurement</w:t>
          </w:r>
          <w:r>
            <w:rPr>
              <w:webHidden/>
            </w:rPr>
            <w:tab/>
          </w:r>
          <w:r>
            <w:rPr>
              <w:webHidden/>
            </w:rPr>
            <w:fldChar w:fldCharType="begin"/>
          </w:r>
          <w:r>
            <w:rPr>
              <w:webHidden/>
            </w:rPr>
            <w:instrText xml:space="preserve"> PAGEREF _Toc476558125 \h </w:instrText>
          </w:r>
          <w:r>
            <w:rPr>
              <w:webHidden/>
            </w:rPr>
            <w:fldChar w:fldCharType="separate"/>
          </w:r>
          <w:r>
            <w:rPr>
              <w:webHidden/>
            </w:rPr>
            <w:t>35</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"_Toc476558126" </w:instrText>
          </w:r>
          <w:r>
            <w:fldChar w:fldCharType="separate"/>
          </w:r>
          <w:r w:rsidRPr="00EA168C">
            <w:rPr>
              <w:rStyle w:val="Hyperlink"/>
              <w:b/>
            </w:rPr>
            <w:t>E. Social (including Safeguards)</w:t>
          </w:r>
          <w:r>
            <w:rPr>
              <w:webHidden/>
            </w:rPr>
            <w:tab/>
          </w:r>
          <w:r>
            <w:rPr>
              <w:webHidden/>
            </w:rPr>
            <w:fldChar w:fldCharType="begin"/>
          </w:r>
          <w:r>
            <w:rPr>
              <w:webHidden/>
            </w:rPr>
            <w:instrText xml:space="preserve"> PAGEREF _Toc476558126 \h </w:instrText>
          </w:r>
          <w:r>
            <w:rPr>
              <w:webHidden/>
            </w:rPr>
            <w:fldChar w:fldCharType="separate"/>
          </w:r>
          <w:r>
            <w:rPr>
              <w:webHidden/>
            </w:rPr>
            <w:t>36</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"_Toc476558127" </w:instrText>
          </w:r>
          <w:r>
            <w:fldChar w:fldCharType="separate"/>
          </w:r>
          <w:r w:rsidRPr="00EA168C">
            <w:rPr>
              <w:rStyle w:val="Hyperlink"/>
              <w:b/>
            </w:rPr>
            <w:t>F. Environment (including Safeguards)</w:t>
          </w:r>
          <w:r>
            <w:rPr>
              <w:webHidden/>
            </w:rPr>
            <w:tab/>
          </w:r>
          <w:r>
            <w:rPr>
              <w:webHidden/>
            </w:rPr>
            <w:fldChar w:fldCharType="begin"/>
          </w:r>
          <w:r>
            <w:rPr>
              <w:webHidden/>
            </w:rPr>
            <w:instrText xml:space="preserve"> PAGEREF _Toc476558127 \h </w:instrText>
          </w:r>
          <w:r>
            <w:rPr>
              <w:webHidden/>
            </w:rPr>
            <w:fldChar w:fldCharType="separate"/>
          </w:r>
          <w:r>
            <w:rPr>
              <w:webHidden/>
            </w:rPr>
            <w:t>37</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"_Toc476558128" </w:instrText>
          </w:r>
          <w:r>
            <w:fldChar w:fldCharType="separate"/>
          </w:r>
          <w:r w:rsidRPr="00EA168C">
            <w:rPr>
              <w:rStyle w:val="Hyperlink"/>
              <w:b/>
            </w:rPr>
            <w:t>G. Other Safeguard Policies (if applicable)</w:t>
          </w:r>
          <w:r>
            <w:rPr>
              <w:webHidden/>
            </w:rPr>
            <w:tab/>
          </w:r>
          <w:r>
            <w:rPr>
              <w:webHidden/>
            </w:rPr>
            <w:fldChar w:fldCharType="begin"/>
          </w:r>
          <w:r>
            <w:rPr>
              <w:webHidden/>
            </w:rPr>
            <w:instrText xml:space="preserve"> PAGEREF _Toc476558128 \h </w:instrText>
          </w:r>
          <w:r>
            <w:rPr>
              <w:webHidden/>
            </w:rPr>
            <w:fldChar w:fldCharType="separate"/>
          </w:r>
          <w:r>
            <w:rPr>
              <w:webHidden/>
            </w:rPr>
            <w:t>38</w:t>
          </w:r>
          <w:r>
            <w:rPr>
              <w:webHidden/>
            </w:rPr>
            <w:fldChar w:fldCharType="end"/>
          </w:r>
          <w:r>
            <w:fldChar w:fldCharType="end"/>
          </w:r>
        </w:p>
        <w:p w:rsidR="00B12117">
          <w:pPr>
            <w:pStyle w:val="TOC2"/>
            <w:rPr>
              <w:rFonts w:asciiTheme="minorHAnsi" w:hAnsiTheme="minorHAnsi" w:cstheme="minorBidi"/>
              <w:bCs w:val="0"/>
              <w:sz w:val="22"/>
              <w:szCs w:val="22"/>
            </w:rPr>
          </w:pPr>
          <w:r>
            <w:fldChar w:fldCharType="begin"/>
          </w:r>
          <w:r>
            <w:instrText xml:space="preserve"> HYPERLINK \l "_Toc476558129" </w:instrText>
          </w:r>
          <w:r>
            <w:fldChar w:fldCharType="separate"/>
          </w:r>
          <w:r w:rsidRPr="00EA168C">
            <w:rPr>
              <w:rStyle w:val="Hyperlink"/>
              <w:b/>
            </w:rPr>
            <w:t>H. World Bank Grievance Redress</w:t>
          </w:r>
          <w:r>
            <w:rPr>
              <w:webHidden/>
            </w:rPr>
            <w:tab/>
          </w:r>
          <w:r>
            <w:rPr>
              <w:webHidden/>
            </w:rPr>
            <w:fldChar w:fldCharType="begin"/>
          </w:r>
          <w:r>
            <w:rPr>
              <w:webHidden/>
            </w:rPr>
            <w:instrText xml:space="preserve"> PAGEREF _Toc476558129 \h </w:instrText>
          </w:r>
          <w:r>
            <w:rPr>
              <w:webHidden/>
            </w:rPr>
            <w:fldChar w:fldCharType="separate"/>
          </w:r>
          <w:r>
            <w:rPr>
              <w:webHidden/>
            </w:rPr>
            <w:t>38</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"_Toc476558130" </w:instrText>
          </w:r>
          <w:r>
            <w:fldChar w:fldCharType="separate"/>
          </w:r>
          <w:r w:rsidRPr="00EA168C">
            <w:rPr>
              <w:rStyle w:val="Hyperlink"/>
            </w:rPr>
            <w:t>VII.</w:t>
          </w:r>
          <w:r>
            <w:rPr>
              <w:rFonts w:asciiTheme="minorHAnsi" w:eastAsiaTheme="minorEastAsia" w:hAnsiTheme="minorHAnsi" w:cstheme="minorBidi"/>
              <w:b w:val="0"/>
              <w:caps w:val="0"/>
              <w:color w:val="auto"/>
              <w:sz w:val="22"/>
              <w:szCs w:val="22"/>
            </w:rPr>
            <w:tab/>
          </w:r>
          <w:r w:rsidRPr="00EA168C">
            <w:rPr>
              <w:rStyle w:val="Hyperlink"/>
            </w:rPr>
            <w:t>RESULTS FRAMEWORK AND MONITORING</w:t>
          </w:r>
          <w:r>
            <w:rPr>
              <w:webHidden/>
            </w:rPr>
            <w:tab/>
          </w:r>
          <w:r>
            <w:rPr>
              <w:webHidden/>
            </w:rPr>
            <w:fldChar w:fldCharType="begin"/>
          </w:r>
          <w:r>
            <w:rPr>
              <w:webHidden/>
            </w:rPr>
            <w:instrText xml:space="preserve"> PAGEREF _Toc476558130 \h </w:instrText>
          </w:r>
          <w:r>
            <w:rPr>
              <w:webHidden/>
            </w:rPr>
            <w:fldChar w:fldCharType="separate"/>
          </w:r>
          <w:r>
            <w:rPr>
              <w:webHidden/>
            </w:rPr>
            <w:t>39</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"_Toc476558131" </w:instrText>
          </w:r>
          <w:r>
            <w:fldChar w:fldCharType="separate"/>
          </w:r>
          <w:r w:rsidRPr="00EA168C">
            <w:rPr>
              <w:rStyle w:val="Hyperlink"/>
            </w:rPr>
            <w:t>ANNEX 1: DETAILED PROJECT DESCRIPTION</w:t>
          </w:r>
          <w:r>
            <w:rPr>
              <w:webHidden/>
            </w:rPr>
            <w:tab/>
          </w:r>
          <w:r>
            <w:rPr>
              <w:webHidden/>
            </w:rPr>
            <w:fldChar w:fldCharType="begin"/>
          </w:r>
          <w:r>
            <w:rPr>
              <w:webHidden/>
            </w:rPr>
            <w:instrText xml:space="preserve"> PAGEREF _Toc476558131 \h </w:instrText>
          </w:r>
          <w:r>
            <w:rPr>
              <w:webHidden/>
            </w:rPr>
            <w:fldChar w:fldCharType="separate"/>
          </w:r>
          <w:r>
            <w:rPr>
              <w:webHidden/>
            </w:rPr>
            <w:t>50</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"_Toc476558132" </w:instrText>
          </w:r>
          <w:r>
            <w:fldChar w:fldCharType="separate"/>
          </w:r>
          <w:r w:rsidRPr="00EA168C">
            <w:rPr>
              <w:rStyle w:val="Hyperlink"/>
            </w:rPr>
            <w:t>ANNEX 2: IMPLEMENTATION ARRANGEMENTS</w:t>
          </w:r>
          <w:r>
            <w:rPr>
              <w:webHidden/>
            </w:rPr>
            <w:tab/>
          </w:r>
          <w:r>
            <w:rPr>
              <w:webHidden/>
            </w:rPr>
            <w:fldChar w:fldCharType="begin"/>
          </w:r>
          <w:r>
            <w:rPr>
              <w:webHidden/>
            </w:rPr>
            <w:instrText xml:space="preserve"> PAGEREF _Toc476558132 \h </w:instrText>
          </w:r>
          <w:r>
            <w:rPr>
              <w:webHidden/>
            </w:rPr>
            <w:fldChar w:fldCharType="separate"/>
          </w:r>
          <w:r>
            <w:rPr>
              <w:webHidden/>
            </w:rPr>
            <w:t>63</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"_Toc476558133" </w:instrText>
          </w:r>
          <w:r>
            <w:fldChar w:fldCharType="separate"/>
          </w:r>
          <w:r w:rsidRPr="00EA168C">
            <w:rPr>
              <w:rStyle w:val="Hyperlink"/>
            </w:rPr>
            <w:t>ANNEX 3: IMPLEMENTATION SUPPORT PLAN</w:t>
          </w:r>
          <w:r>
            <w:rPr>
              <w:webHidden/>
            </w:rPr>
            <w:tab/>
          </w:r>
          <w:r>
            <w:rPr>
              <w:webHidden/>
            </w:rPr>
            <w:fldChar w:fldCharType="begin"/>
          </w:r>
          <w:r>
            <w:rPr>
              <w:webHidden/>
            </w:rPr>
            <w:instrText xml:space="preserve"> PAGEREF _Toc476558133 \h </w:instrText>
          </w:r>
          <w:r>
            <w:rPr>
              <w:webHidden/>
            </w:rPr>
            <w:fldChar w:fldCharType="separate"/>
          </w:r>
          <w:r>
            <w:rPr>
              <w:webHidden/>
            </w:rPr>
            <w:t>101</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"_Toc476558134" </w:instrText>
          </w:r>
          <w:r>
            <w:fldChar w:fldCharType="separate"/>
          </w:r>
          <w:r w:rsidRPr="00EA168C">
            <w:rPr>
              <w:rStyle w:val="Hyperlink"/>
            </w:rPr>
            <w:t>ANNEX 4: Economic Analysis</w:t>
          </w:r>
          <w:r>
            <w:rPr>
              <w:webHidden/>
            </w:rPr>
            <w:tab/>
          </w:r>
          <w:r>
            <w:rPr>
              <w:webHidden/>
            </w:rPr>
            <w:fldChar w:fldCharType="begin"/>
          </w:r>
          <w:r>
            <w:rPr>
              <w:webHidden/>
            </w:rPr>
            <w:instrText xml:space="preserve"> PAGEREF _Toc476558134 \h </w:instrText>
          </w:r>
          <w:r>
            <w:rPr>
              <w:webHidden/>
            </w:rPr>
            <w:fldChar w:fldCharType="separate"/>
          </w:r>
          <w:r>
            <w:rPr>
              <w:webHidden/>
            </w:rPr>
            <w:t>107</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"_Toc476558135" </w:instrText>
          </w:r>
          <w:r>
            <w:fldChar w:fldCharType="separate"/>
          </w:r>
          <w:r w:rsidRPr="00EA168C">
            <w:rPr>
              <w:rStyle w:val="Hyperlink"/>
            </w:rPr>
            <w:t>ANNEX 5: Complementarity with Other Interventions in North East Nigeria</w:t>
          </w:r>
          <w:r>
            <w:rPr>
              <w:webHidden/>
            </w:rPr>
            <w:tab/>
          </w:r>
          <w:r>
            <w:rPr>
              <w:webHidden/>
            </w:rPr>
            <w:fldChar w:fldCharType="begin"/>
          </w:r>
          <w:r>
            <w:rPr>
              <w:webHidden/>
            </w:rPr>
            <w:instrText xml:space="preserve"> PAGEREF _Toc476558135 \h </w:instrText>
          </w:r>
          <w:r>
            <w:rPr>
              <w:webHidden/>
            </w:rPr>
            <w:fldChar w:fldCharType="separate"/>
          </w:r>
          <w:r>
            <w:rPr>
              <w:webHidden/>
            </w:rPr>
            <w:t>110</w:t>
          </w:r>
          <w:r>
            <w:rPr>
              <w:webHidden/>
            </w:rPr>
            <w:fldChar w:fldCharType="end"/>
          </w:r>
          <w:r>
            <w:fldChar w:fldCharType="end"/>
          </w:r>
        </w:p>
        <w:p w:rsidR="00B12117">
          <w:pPr>
            <w:pStyle w:val="TOC1"/>
            <w:rPr>
              <w:rFonts w:asciiTheme="minorHAnsi" w:eastAsiaTheme="minorEastAsia" w:hAnsiTheme="minorHAnsi" w:cstheme="minorBidi"/>
              <w:b w:val="0"/>
              <w:caps w:val="0"/>
              <w:color w:val="auto"/>
              <w:sz w:val="22"/>
              <w:szCs w:val="22"/>
            </w:rPr>
          </w:pPr>
          <w:r>
            <w:fldChar w:fldCharType="begin"/>
          </w:r>
          <w:r>
            <w:instrText xml:space="preserve"> HYPERLINK \l "_Toc476558136" </w:instrText>
          </w:r>
          <w:r>
            <w:fldChar w:fldCharType="separate"/>
          </w:r>
          <w:r w:rsidRPr="00EA168C">
            <w:rPr>
              <w:rStyle w:val="Hyperlink"/>
            </w:rPr>
            <w:t>ANNEX 6: Map of the Target States in Nigeria</w:t>
          </w:r>
          <w:r>
            <w:rPr>
              <w:webHidden/>
            </w:rPr>
            <w:tab/>
          </w:r>
          <w:r>
            <w:rPr>
              <w:webHidden/>
            </w:rPr>
            <w:fldChar w:fldCharType="begin"/>
          </w:r>
          <w:r>
            <w:rPr>
              <w:webHidden/>
            </w:rPr>
            <w:instrText xml:space="preserve"> PAGEREF _Toc476558136 \h </w:instrText>
          </w:r>
          <w:r>
            <w:rPr>
              <w:webHidden/>
            </w:rPr>
            <w:fldChar w:fldCharType="separate"/>
          </w:r>
          <w:r>
            <w:rPr>
              <w:webHidden/>
            </w:rPr>
            <w:t>122</w:t>
          </w:r>
          <w:r>
            <w:rPr>
              <w:webHidden/>
            </w:rPr>
            <w:fldChar w:fldCharType="end"/>
          </w:r>
          <w:r>
            <w:fldChar w:fldCharType="end"/>
          </w:r>
        </w:p>
        <w:p w:rsidR="007F2DE7" w:rsidRPr="00FB6E71" w:rsidP="007F2DE7">
          <w:pPr>
            <w:pStyle w:val="TOC1"/>
            <w:rPr>
              <w:noProof w:val="0"/>
            </w:rPr>
          </w:pPr>
          <w:r w:rsidRPr="00FB6E71">
            <w:rPr>
              <w:noProof w:val="0"/>
            </w:rPr>
            <w:fldChar w:fldCharType="end"/>
          </w:r>
        </w:p>
      </w:sdtContent>
    </w:sdt>
    <w:p w:rsidR="007F2DE7" w:rsidRPr="00FB6E71" w:rsidP="007F2DE7">
      <w:pPr>
        <w:ind w:left="-792"/>
        <w:rPr>
          <w:rFonts w:ascii="Calibri" w:eastAsia="Times New Roman" w:hAnsi="Calibri"/>
          <w:caps/>
        </w:rPr>
      </w:pPr>
    </w:p>
    <w:p w:rsidR="007F2DE7" w:rsidRPr="00FB6E71" w:rsidP="007F2DE7">
      <w:pPr>
        <w:ind w:left="-792"/>
        <w:rPr>
          <w:rFonts w:asciiTheme="minorHAnsi" w:hAnsiTheme="minorHAnsi"/>
          <w:b/>
          <w:bCs/>
          <w:color w:val="7F7F7F" w:themeColor="text1" w:themeTint="80"/>
          <w:sz w:val="22"/>
          <w:szCs w:val="22"/>
        </w:rPr>
      </w:pPr>
    </w:p>
    <w:p w:rsidR="007F2DE7" w:rsidRPr="00FB6E71" w:rsidP="007F2DE7">
      <w:pPr>
        <w:ind w:left="-792"/>
        <w:rPr>
          <w:rFonts w:asciiTheme="minorHAnsi" w:hAnsiTheme="minorHAnsi"/>
          <w:b/>
          <w:bCs/>
          <w:color w:val="7F7F7F" w:themeColor="text1" w:themeTint="80"/>
          <w:sz w:val="22"/>
          <w:szCs w:val="22"/>
        </w:rPr>
      </w:pPr>
    </w:p>
    <w:p w:rsidR="007F2DE7" w:rsidRPr="00FB6E71" w:rsidP="007F2DE7">
      <w:pPr>
        <w:pStyle w:val="Normal7"/>
        <w:spacing w:after="0" w:line="20" w:lineRule="exact"/>
        <w:sectPr w:rsidSect="007F2DE7">
          <w:pgSz w:w="12240" w:h="15840" w:code="1"/>
          <w:pgMar w:top="1440" w:right="1440" w:bottom="1440" w:left="1440" w:header="720" w:footer="720" w:gutter="0"/>
          <w:cols w:space="720"/>
          <w:docGrid w:linePitch="360"/>
        </w:sectPr>
      </w:pPr>
      <w:r w:rsidRPr="00FB6E71">
        <w:t xml:space="preserve"> </w:t>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962"/>
      </w:tblGrid>
      <w:tr w:rsidTr="007F2DE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432"/>
        </w:trPr>
        <w:tc>
          <w:tcPr>
            <w:tcW w:w="10962" w:type="dxa"/>
            <w:shd w:val="clear" w:color="auto" w:fill="F2F2F2"/>
            <w:vAlign w:val="center"/>
          </w:tcPr>
          <w:p w:rsidR="007F2DE7" w:rsidRPr="00FB6E71" w:rsidP="007F2DE7">
            <w:pPr>
              <w:pStyle w:val="NoSpacing"/>
              <w:keepNext/>
              <w:keepLines/>
              <w:widowControl/>
              <w:numPr>
                <w:ilvl w:val="0"/>
                <w:numId w:val="1"/>
              </w:numPr>
              <w:ind w:left="288" w:hanging="288"/>
              <w:outlineLvl w:val="0"/>
              <w:rPr>
                <w:rFonts w:asciiTheme="minorHAnsi" w:hAnsiTheme="minorHAnsi"/>
                <w:b/>
                <w:sz w:val="22"/>
                <w:szCs w:val="22"/>
              </w:rPr>
            </w:pPr>
            <w:bookmarkStart w:id="2" w:name="_Toc256000000"/>
            <w:bookmarkStart w:id="3" w:name="_Toc433982404"/>
            <w:bookmarkStart w:id="4" w:name="_Toc460509187"/>
            <w:bookmarkStart w:id="5" w:name="_Toc476558102"/>
            <w:r w:rsidRPr="00FB6E71">
              <w:rPr>
                <w:rFonts w:asciiTheme="minorHAnsi" w:hAnsiTheme="minorHAnsi"/>
                <w:b/>
                <w:sz w:val="22"/>
                <w:szCs w:val="22"/>
              </w:rPr>
              <w:t>STRATEGIC CONTEXT</w:t>
            </w:r>
            <w:bookmarkEnd w:id="2"/>
            <w:bookmarkEnd w:id="3"/>
            <w:bookmarkEnd w:id="4"/>
            <w:bookmarkEnd w:id="5"/>
          </w:p>
        </w:tc>
      </w:tr>
    </w:tbl>
    <w:p w:rsidR="007F2DE7" w:rsidRPr="00FB6E71" w:rsidP="007F2DE7">
      <w:pPr>
        <w:keepNext/>
        <w:keepLines/>
        <w:widowControl/>
        <w:ind w:left="-634"/>
        <w:rPr>
          <w:rFonts w:asciiTheme="minorHAnsi" w:hAnsiTheme="minorHAnsi"/>
          <w:b/>
          <w:bCs/>
          <w:color w:val="7F7F7F" w:themeColor="text1" w:themeTint="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b/>
                <w:bCs/>
                <w:color w:val="172D5F"/>
                <w:sz w:val="22"/>
                <w:szCs w:val="22"/>
              </w:rPr>
            </w:pPr>
            <w:bookmarkStart w:id="6" w:name="_Toc256000001"/>
            <w:bookmarkStart w:id="7" w:name="_Toc433982405"/>
            <w:bookmarkStart w:id="8" w:name="_Toc460509188"/>
            <w:bookmarkStart w:id="9" w:name="_Toc476558103"/>
            <w:r w:rsidRPr="00FB6E71">
              <w:rPr>
                <w:rFonts w:asciiTheme="minorHAnsi" w:hAnsiTheme="minorHAnsi"/>
                <w:b/>
                <w:bCs/>
                <w:color w:val="172D5F"/>
                <w:sz w:val="22"/>
                <w:szCs w:val="22"/>
              </w:rPr>
              <w:t>A.</w:t>
            </w:r>
            <w:r w:rsidRPr="00FB6E71">
              <w:rPr>
                <w:rFonts w:asciiTheme="minorHAnsi" w:hAnsiTheme="minorHAnsi"/>
                <w:b/>
                <w:color w:val="172D5F"/>
                <w:sz w:val="22"/>
                <w:szCs w:val="22"/>
              </w:rPr>
              <w:t xml:space="preserve"> </w:t>
            </w:r>
            <w:r w:rsidRPr="00FB6E71">
              <w:rPr>
                <w:rFonts w:asciiTheme="minorHAnsi" w:hAnsiTheme="minorHAnsi"/>
                <w:b/>
                <w:bCs/>
                <w:color w:val="172D5F"/>
                <w:sz w:val="22"/>
                <w:szCs w:val="22"/>
              </w:rPr>
              <w:t>Country Context</w:t>
            </w:r>
            <w:bookmarkEnd w:id="6"/>
            <w:bookmarkEnd w:id="7"/>
            <w:bookmarkEnd w:id="8"/>
            <w:bookmarkEnd w:id="9"/>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Calibri" w:hAnsi="Calibri"/>
          <w:b/>
          <w:bCs/>
          <w:color w:val="auto"/>
          <w:sz w:val="22"/>
          <w:szCs w:val="22"/>
        </w:rPr>
        <w:t xml:space="preserve">The Buhari administration took office </w:t>
      </w:r>
      <w:r>
        <w:rPr>
          <w:rFonts w:ascii="Calibri" w:hAnsi="Calibri"/>
          <w:b/>
          <w:bCs/>
          <w:color w:val="auto"/>
          <w:sz w:val="22"/>
          <w:szCs w:val="22"/>
        </w:rPr>
        <w:t>in</w:t>
      </w:r>
      <w:r w:rsidRPr="00FB6E71">
        <w:rPr>
          <w:rFonts w:ascii="Calibri" w:hAnsi="Calibri"/>
          <w:b/>
          <w:bCs/>
          <w:color w:val="auto"/>
          <w:sz w:val="22"/>
          <w:szCs w:val="22"/>
        </w:rPr>
        <w:t xml:space="preserve"> May 2015 in the context of a severely weakened economy, large infrastructure gaps</w:t>
      </w:r>
      <w:r>
        <w:rPr>
          <w:rFonts w:ascii="Calibri" w:hAnsi="Calibri"/>
          <w:b/>
          <w:bCs/>
          <w:color w:val="auto"/>
          <w:sz w:val="22"/>
          <w:szCs w:val="22"/>
        </w:rPr>
        <w:t>,</w:t>
      </w:r>
      <w:r w:rsidRPr="00FB6E71">
        <w:rPr>
          <w:rFonts w:ascii="Calibri" w:hAnsi="Calibri"/>
          <w:b/>
          <w:bCs/>
          <w:color w:val="auto"/>
          <w:sz w:val="22"/>
          <w:szCs w:val="22"/>
        </w:rPr>
        <w:t xml:space="preserve"> and poor service delivery that accumulated over the years.</w:t>
      </w:r>
      <w:r w:rsidRPr="00FB6E71">
        <w:rPr>
          <w:rFonts w:ascii="Calibri" w:hAnsi="Calibri"/>
          <w:color w:val="auto"/>
          <w:sz w:val="22"/>
          <w:szCs w:val="22"/>
        </w:rPr>
        <w:t xml:space="preserve"> </w:t>
      </w:r>
      <w:r w:rsidRPr="00FB6E71">
        <w:rPr>
          <w:rFonts w:asciiTheme="minorHAnsi" w:hAnsiTheme="minorHAnsi"/>
          <w:bCs/>
          <w:color w:val="auto"/>
          <w:sz w:val="22"/>
          <w:szCs w:val="22"/>
        </w:rPr>
        <w:t>Three major economic transitions</w:t>
      </w:r>
      <w:r>
        <w:rPr>
          <w:rFonts w:asciiTheme="minorHAnsi" w:hAnsiTheme="minorHAnsi"/>
          <w:bCs/>
          <w:color w:val="auto"/>
          <w:sz w:val="22"/>
          <w:szCs w:val="22"/>
        </w:rPr>
        <w:t>—</w:t>
      </w:r>
      <w:r w:rsidRPr="00FB6E71">
        <w:rPr>
          <w:rFonts w:asciiTheme="minorHAnsi" w:hAnsiTheme="minorHAnsi"/>
          <w:bCs/>
          <w:color w:val="auto"/>
          <w:sz w:val="22"/>
          <w:szCs w:val="22"/>
        </w:rPr>
        <w:t xml:space="preserve">the slowdown and rebalancing of the global economy;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lower commodity prices, especially the sharp drop in oil prices; and </w:t>
      </w:r>
      <w:r>
        <w:rPr>
          <w:rFonts w:asciiTheme="minorHAnsi" w:hAnsiTheme="minorHAnsi"/>
          <w:bCs/>
          <w:color w:val="auto"/>
          <w:sz w:val="22"/>
          <w:szCs w:val="22"/>
        </w:rPr>
        <w:t xml:space="preserve">the </w:t>
      </w:r>
      <w:r w:rsidRPr="00FB6E71">
        <w:rPr>
          <w:rFonts w:asciiTheme="minorHAnsi" w:hAnsiTheme="minorHAnsi"/>
          <w:bCs/>
          <w:color w:val="auto"/>
          <w:sz w:val="22"/>
          <w:szCs w:val="22"/>
        </w:rPr>
        <w:t>tightening financial conditions and risk aversion of international investors</w:t>
      </w:r>
      <w:r>
        <w:rPr>
          <w:rFonts w:asciiTheme="minorHAnsi" w:hAnsiTheme="minorHAnsi"/>
          <w:bCs/>
          <w:color w:val="auto"/>
          <w:sz w:val="22"/>
          <w:szCs w:val="22"/>
        </w:rPr>
        <w:t>—</w:t>
      </w:r>
      <w:r w:rsidRPr="00FB6E71">
        <w:rPr>
          <w:rFonts w:asciiTheme="minorHAnsi" w:hAnsiTheme="minorHAnsi"/>
          <w:bCs/>
          <w:color w:val="auto"/>
          <w:sz w:val="22"/>
          <w:szCs w:val="22"/>
        </w:rPr>
        <w:t>have had a significant impact on the Nigerian economy. These shocks have compounded an already challenging development environment. Due to declining oil revenues, revenues declined from 10.5 percent of gross domestic product (GDP) in 2014 to 7.8 percent of GDP—with an even more negative outlook for 2016. In 2015</w:t>
      </w:r>
      <w:r>
        <w:rPr>
          <w:rFonts w:asciiTheme="minorHAnsi" w:hAnsiTheme="minorHAnsi"/>
          <w:bCs/>
          <w:color w:val="auto"/>
          <w:sz w:val="22"/>
          <w:szCs w:val="22"/>
        </w:rPr>
        <w:t>,</w:t>
      </w:r>
      <w:r w:rsidRPr="00FB6E71">
        <w:rPr>
          <w:rFonts w:asciiTheme="minorHAnsi" w:hAnsiTheme="minorHAnsi"/>
          <w:bCs/>
          <w:color w:val="auto"/>
          <w:sz w:val="22"/>
          <w:szCs w:val="22"/>
        </w:rPr>
        <w:t xml:space="preserve"> the collapse of Nigeria’s terms of trade resulted in Nigeria being for the first time in decades a net importer of savings from the rest of the world. From generating an average </w:t>
      </w:r>
      <w:r>
        <w:rPr>
          <w:rFonts w:asciiTheme="minorHAnsi" w:hAnsiTheme="minorHAnsi"/>
          <w:bCs/>
          <w:color w:val="auto"/>
          <w:sz w:val="22"/>
          <w:szCs w:val="22"/>
        </w:rPr>
        <w:t>c</w:t>
      </w:r>
      <w:r w:rsidRPr="00FB6E71">
        <w:rPr>
          <w:rFonts w:asciiTheme="minorHAnsi" w:hAnsiTheme="minorHAnsi"/>
          <w:bCs/>
          <w:color w:val="auto"/>
          <w:sz w:val="22"/>
          <w:szCs w:val="22"/>
        </w:rPr>
        <w:t xml:space="preserve">urrent </w:t>
      </w:r>
      <w:r>
        <w:rPr>
          <w:rFonts w:asciiTheme="minorHAnsi" w:hAnsiTheme="minorHAnsi"/>
          <w:bCs/>
          <w:color w:val="auto"/>
          <w:sz w:val="22"/>
          <w:szCs w:val="22"/>
        </w:rPr>
        <w:t>a</w:t>
      </w:r>
      <w:r w:rsidRPr="00FB6E71">
        <w:rPr>
          <w:rFonts w:asciiTheme="minorHAnsi" w:hAnsiTheme="minorHAnsi"/>
          <w:bCs/>
          <w:color w:val="auto"/>
          <w:sz w:val="22"/>
          <w:szCs w:val="22"/>
        </w:rPr>
        <w:t xml:space="preserve">ccount surplus of 3.5 percent of GDP in 2012–2014, the </w:t>
      </w:r>
      <w:r>
        <w:rPr>
          <w:rFonts w:asciiTheme="minorHAnsi" w:hAnsiTheme="minorHAnsi"/>
          <w:bCs/>
          <w:color w:val="auto"/>
          <w:sz w:val="22"/>
          <w:szCs w:val="22"/>
        </w:rPr>
        <w:t>current account</w:t>
      </w:r>
      <w:r w:rsidRPr="00FB6E71">
        <w:rPr>
          <w:rFonts w:asciiTheme="minorHAnsi" w:hAnsiTheme="minorHAnsi"/>
          <w:bCs/>
          <w:color w:val="auto"/>
          <w:sz w:val="22"/>
          <w:szCs w:val="22"/>
        </w:rPr>
        <w:t xml:space="preserve"> deficit reached around 3 percent in 2015. Inflation has been accelerating and reached 16.5 percent in June 2016 (year on year). In this context, GDP growth fell from 6.3 percent in 2014 to 2.7 percent in 2015 and further into negative territory in 2016. The economy is now in recession.</w:t>
      </w:r>
      <w:r w:rsidRPr="00FB6E71">
        <w:rPr>
          <w:rFonts w:ascii="Calibri" w:hAnsi="Calibri"/>
          <w:sz w:val="22"/>
          <w:szCs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Calibri" w:hAnsi="Calibri"/>
          <w:b/>
          <w:bCs/>
          <w:color w:val="auto"/>
          <w:sz w:val="22"/>
          <w:szCs w:val="22"/>
        </w:rPr>
        <w:t>The new administration also took office in the context of pronounced security challenges</w:t>
      </w:r>
      <w:r w:rsidRPr="003F200B">
        <w:rPr>
          <w:rFonts w:ascii="Calibri" w:hAnsi="Calibri"/>
          <w:b/>
          <w:color w:val="auto"/>
          <w:sz w:val="22"/>
          <w:szCs w:val="22"/>
        </w:rPr>
        <w:t>.</w:t>
      </w:r>
      <w:r w:rsidRPr="00FB6E71">
        <w:rPr>
          <w:rFonts w:ascii="Calibri" w:hAnsi="Calibri"/>
          <w:color w:val="auto"/>
          <w:sz w:val="22"/>
          <w:szCs w:val="22"/>
        </w:rPr>
        <w:t xml:space="preserve"> </w:t>
      </w:r>
      <w:r w:rsidRPr="00FB6E71">
        <w:rPr>
          <w:rFonts w:ascii="Calibri" w:hAnsi="Calibri"/>
          <w:sz w:val="22"/>
          <w:szCs w:val="22"/>
        </w:rPr>
        <w:t xml:space="preserve">The Boko Haram (BH) insurgency in the North East (NE) has proved a considerable challenge </w:t>
      </w:r>
      <w:r>
        <w:rPr>
          <w:rFonts w:ascii="Calibri" w:hAnsi="Calibri"/>
          <w:sz w:val="22"/>
          <w:szCs w:val="22"/>
        </w:rPr>
        <w:t>for</w:t>
      </w:r>
      <w:r w:rsidRPr="00FB6E71">
        <w:rPr>
          <w:rFonts w:ascii="Calibri" w:hAnsi="Calibri"/>
          <w:sz w:val="22"/>
          <w:szCs w:val="22"/>
        </w:rPr>
        <w:t xml:space="preserve"> the country’s security forces and has led to the loss of more than 20,000 lives</w:t>
      </w:r>
      <w:r>
        <w:rPr>
          <w:rFonts w:ascii="Calibri" w:hAnsi="Calibri"/>
          <w:sz w:val="22"/>
          <w:szCs w:val="22"/>
        </w:rPr>
        <w:t xml:space="preserve"> and</w:t>
      </w:r>
      <w:r w:rsidRPr="00FB6E71">
        <w:rPr>
          <w:rFonts w:ascii="Calibri" w:hAnsi="Calibri"/>
          <w:sz w:val="22"/>
          <w:szCs w:val="22"/>
        </w:rPr>
        <w:t xml:space="preserve"> the displacement of 2 million people and has negatively affected the livelihoods of 6 million more people. The impact of the insurgency has transcended the geographic borders of the country, imposing economic and security costs on neighboring countries. In parallel, the attacks by Fulani herdsmen on farmers have intensified as they move south across Nigeria’s </w:t>
      </w:r>
      <w:r>
        <w:rPr>
          <w:rFonts w:ascii="Calibri" w:hAnsi="Calibri"/>
          <w:sz w:val="22"/>
          <w:szCs w:val="22"/>
        </w:rPr>
        <w:t>‘</w:t>
      </w:r>
      <w:r w:rsidRPr="00FB6E71">
        <w:rPr>
          <w:rFonts w:ascii="Calibri" w:hAnsi="Calibri"/>
          <w:sz w:val="22"/>
          <w:szCs w:val="22"/>
        </w:rPr>
        <w:t>middle belt</w:t>
      </w:r>
      <w:r>
        <w:rPr>
          <w:rFonts w:ascii="Calibri" w:hAnsi="Calibri"/>
          <w:sz w:val="22"/>
          <w:szCs w:val="22"/>
        </w:rPr>
        <w:t>’</w:t>
      </w:r>
      <w:r w:rsidRPr="00FB6E71">
        <w:rPr>
          <w:rFonts w:ascii="Calibri" w:hAnsi="Calibri"/>
          <w:sz w:val="22"/>
          <w:szCs w:val="22"/>
        </w:rPr>
        <w:t xml:space="preserve"> as the Sahel encroaches their pastures. Other security challenges include crime and kidnapping, particularly in urban areas</w:t>
      </w:r>
      <w:r>
        <w:rPr>
          <w:rFonts w:ascii="Calibri" w:hAnsi="Calibri"/>
          <w:sz w:val="22"/>
          <w:szCs w:val="22"/>
        </w:rPr>
        <w:t>;</w:t>
      </w:r>
      <w:r w:rsidRPr="00FB6E71">
        <w:rPr>
          <w:rFonts w:ascii="Calibri" w:hAnsi="Calibri"/>
          <w:sz w:val="22"/>
          <w:szCs w:val="22"/>
        </w:rPr>
        <w:t xml:space="preserve"> attacks on oil and gas infrastructure</w:t>
      </w:r>
      <w:r>
        <w:rPr>
          <w:rFonts w:ascii="Calibri" w:hAnsi="Calibri"/>
          <w:sz w:val="22"/>
          <w:szCs w:val="22"/>
        </w:rPr>
        <w:t>;</w:t>
      </w:r>
      <w:r w:rsidRPr="00FB6E71">
        <w:rPr>
          <w:rFonts w:ascii="Calibri" w:hAnsi="Calibri"/>
          <w:sz w:val="22"/>
          <w:szCs w:val="22"/>
        </w:rPr>
        <w:t xml:space="preserve"> and threats of renewed militancy in the Niger Delta. There is also some simmering </w:t>
      </w:r>
      <w:r w:rsidRPr="00FB6E71">
        <w:rPr>
          <w:rStyle w:val="Strong"/>
          <w:rFonts w:ascii="Calibri" w:hAnsi="Calibri"/>
          <w:b w:val="0"/>
          <w:bCs w:val="0"/>
          <w:sz w:val="22"/>
          <w:szCs w:val="22"/>
        </w:rPr>
        <w:t xml:space="preserve">discontent in Biafra in the South East. At the root of the security challenges are high levels of poverty, joblessness, growing numbers of frustrated youth, </w:t>
      </w:r>
      <w:r>
        <w:rPr>
          <w:rStyle w:val="Strong"/>
          <w:rFonts w:ascii="Calibri" w:hAnsi="Calibri"/>
          <w:b w:val="0"/>
          <w:bCs w:val="0"/>
          <w:sz w:val="22"/>
          <w:szCs w:val="22"/>
        </w:rPr>
        <w:t>and</w:t>
      </w:r>
      <w:r w:rsidRPr="00FB6E71">
        <w:rPr>
          <w:rStyle w:val="Strong"/>
          <w:rFonts w:ascii="Calibri" w:hAnsi="Calibri"/>
          <w:b w:val="0"/>
          <w:bCs w:val="0"/>
          <w:sz w:val="22"/>
          <w:szCs w:val="22"/>
        </w:rPr>
        <w:t xml:space="preserve"> natural resources degradation and climate stressors.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Calibri" w:hAnsi="Calibri"/>
          <w:b/>
          <w:bCs/>
          <w:color w:val="auto"/>
          <w:sz w:val="22"/>
          <w:szCs w:val="22"/>
        </w:rPr>
        <w:t xml:space="preserve">Nigeria suffers from severe subnational disparities, with the NE and North West </w:t>
      </w:r>
      <w:r>
        <w:rPr>
          <w:rFonts w:ascii="Calibri" w:hAnsi="Calibri"/>
          <w:b/>
          <w:bCs/>
          <w:color w:val="auto"/>
          <w:sz w:val="22"/>
          <w:szCs w:val="22"/>
        </w:rPr>
        <w:t xml:space="preserve">(NW) </w:t>
      </w:r>
      <w:r w:rsidRPr="00FB6E71">
        <w:rPr>
          <w:rFonts w:ascii="Calibri" w:hAnsi="Calibri"/>
          <w:b/>
          <w:bCs/>
          <w:color w:val="auto"/>
          <w:sz w:val="22"/>
          <w:szCs w:val="22"/>
        </w:rPr>
        <w:t xml:space="preserve">regions lagging behind in a number of key indicators. </w:t>
      </w:r>
      <w:r w:rsidRPr="00FB6E71">
        <w:rPr>
          <w:rFonts w:ascii="Calibri" w:hAnsi="Calibri"/>
          <w:color w:val="auto"/>
          <w:sz w:val="22"/>
          <w:szCs w:val="22"/>
        </w:rPr>
        <w:t xml:space="preserve">Compared to the wealthier southern states that benefit from oil production, the NE and NW are heavily dependent on agriculture, with roughly 80 percent of the population engaged in farming. Over the past two decades, the pace of </w:t>
      </w:r>
      <w:r w:rsidRPr="00FB6E71">
        <w:rPr>
          <w:rFonts w:asciiTheme="minorHAnsi" w:hAnsiTheme="minorHAnsi"/>
          <w:bCs/>
          <w:color w:val="auto"/>
          <w:sz w:val="22"/>
          <w:szCs w:val="22"/>
        </w:rPr>
        <w:t>development</w:t>
      </w:r>
      <w:r w:rsidRPr="00FB6E71">
        <w:rPr>
          <w:rFonts w:ascii="Calibri" w:hAnsi="Calibri"/>
          <w:color w:val="auto"/>
          <w:sz w:val="22"/>
          <w:szCs w:val="22"/>
        </w:rPr>
        <w:t xml:space="preserve"> of the NE has been </w:t>
      </w:r>
      <w:r>
        <w:rPr>
          <w:rFonts w:ascii="Calibri" w:hAnsi="Calibri"/>
          <w:color w:val="auto"/>
          <w:sz w:val="22"/>
          <w:szCs w:val="22"/>
        </w:rPr>
        <w:t>s</w:t>
      </w:r>
      <w:r w:rsidRPr="00FB6E71">
        <w:rPr>
          <w:rFonts w:ascii="Calibri" w:hAnsi="Calibri"/>
          <w:color w:val="auto"/>
          <w:sz w:val="22"/>
          <w:szCs w:val="22"/>
        </w:rPr>
        <w:t>lower than the rest of the country with persistently lower education levels and limited access to healthcare and other b</w:t>
      </w:r>
      <w:r w:rsidRPr="00FB6E71">
        <w:rPr>
          <w:rFonts w:ascii="Calibri" w:eastAsia="Times New Roman" w:hAnsi="Calibri" w:cs="Times New Roman"/>
          <w:color w:val="auto"/>
          <w:sz w:val="22"/>
          <w:szCs w:val="22"/>
        </w:rPr>
        <w:t>asic services and infrastructure.</w:t>
      </w:r>
      <w:r w:rsidRPr="00FB6E71">
        <w:rPr>
          <w:rFonts w:ascii="Calibri" w:hAnsi="Calibri"/>
          <w:color w:val="auto"/>
          <w:sz w:val="22"/>
          <w:szCs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Calibri" w:hAnsi="Calibri"/>
          <w:b/>
          <w:bCs/>
          <w:color w:val="auto"/>
          <w:sz w:val="22"/>
          <w:szCs w:val="22"/>
        </w:rPr>
        <w:t>While the total number of the poor in the south declined by almost 6 million since 2004, it increased by almost 7 million in the north.</w:t>
      </w:r>
      <w:r w:rsidRPr="00FB6E71">
        <w:rPr>
          <w:rFonts w:ascii="Calibri" w:hAnsi="Calibri"/>
          <w:color w:val="auto"/>
          <w:sz w:val="22"/>
          <w:szCs w:val="22"/>
        </w:rPr>
        <w:t xml:space="preserve"> The number of the poor nationwide is thus the outcome of two completely opposite trends: substantial poverty reduction in the southern zones (except for the South East) and a substantial increase in poverty in two of the three northern zones; in North Central, the number of the poor decreased by about a million. The number of the poor residing in the NE and North West was 29 million in 2004, and it had risen to 37 million by 2013 (</w:t>
      </w:r>
      <w:r>
        <w:rPr>
          <w:rFonts w:ascii="Calibri" w:hAnsi="Calibri"/>
          <w:color w:val="auto"/>
          <w:sz w:val="22"/>
          <w:szCs w:val="22"/>
        </w:rPr>
        <w:fldChar w:fldCharType="begin"/>
      </w:r>
      <w:r>
        <w:rPr>
          <w:rFonts w:ascii="Calibri" w:hAnsi="Calibri"/>
          <w:color w:val="auto"/>
          <w:sz w:val="22"/>
          <w:szCs w:val="22"/>
        </w:rPr>
        <w:instrText xml:space="preserve"> REF _Ref475614578 \h  \* MERGEFORMAT </w:instrText>
      </w:r>
      <w:r>
        <w:rPr>
          <w:rFonts w:ascii="Calibri" w:hAnsi="Calibri"/>
          <w:color w:val="auto"/>
          <w:sz w:val="22"/>
          <w:szCs w:val="22"/>
        </w:rPr>
        <w:fldChar w:fldCharType="separate"/>
      </w:r>
      <w:r w:rsidRPr="00A811CB">
        <w:rPr>
          <w:rFonts w:ascii="Calibri" w:hAnsi="Calibri"/>
          <w:color w:val="auto"/>
          <w:sz w:val="22"/>
          <w:szCs w:val="22"/>
        </w:rPr>
        <w:t>figure 1</w:t>
      </w:r>
      <w:r>
        <w:rPr>
          <w:rFonts w:ascii="Calibri" w:hAnsi="Calibri"/>
          <w:color w:val="auto"/>
          <w:sz w:val="22"/>
          <w:szCs w:val="22"/>
        </w:rPr>
        <w:fldChar w:fldCharType="end"/>
      </w:r>
      <w:r w:rsidRPr="00FB6E71">
        <w:rPr>
          <w:rFonts w:ascii="Calibri" w:hAnsi="Calibri"/>
          <w:color w:val="auto"/>
          <w:sz w:val="22"/>
          <w:szCs w:val="22"/>
        </w:rPr>
        <w:t xml:space="preserve">). These additional 8 million poor people were equally split between the NE, the area most affected by </w:t>
      </w:r>
      <w:r>
        <w:rPr>
          <w:rFonts w:ascii="Calibri" w:hAnsi="Calibri"/>
          <w:color w:val="auto"/>
          <w:sz w:val="22"/>
          <w:szCs w:val="22"/>
        </w:rPr>
        <w:t xml:space="preserve">the </w:t>
      </w:r>
      <w:r w:rsidRPr="00FB6E71">
        <w:rPr>
          <w:rFonts w:ascii="Calibri" w:hAnsi="Calibri"/>
          <w:color w:val="auto"/>
          <w:sz w:val="22"/>
          <w:szCs w:val="22"/>
        </w:rPr>
        <w:t xml:space="preserve">recent conflict, and the </w:t>
      </w:r>
      <w:r w:rsidRPr="00FB6E71">
        <w:rPr>
          <w:rFonts w:ascii="Calibri" w:hAnsi="Calibri"/>
          <w:color w:val="auto"/>
          <w:sz w:val="22"/>
          <w:szCs w:val="22"/>
        </w:rPr>
        <w:t>North West. Among the southern zones, the South West benefited from the lion’s share of poverty reduction, 4 million fewer poor.</w:t>
      </w:r>
    </w:p>
    <w:p w:rsidR="007F2DE7" w:rsidRPr="00FB6E71" w:rsidP="007F2DE7">
      <w:pPr>
        <w:pStyle w:val="Caption"/>
        <w:keepNext/>
        <w:keepLines/>
        <w:widowControl/>
        <w:spacing w:before="120" w:after="120"/>
        <w:jc w:val="center"/>
        <w:rPr>
          <w:rFonts w:asciiTheme="minorHAnsi" w:hAnsiTheme="minorHAnsi"/>
          <w:b/>
          <w:i w:val="0"/>
          <w:color w:val="auto"/>
        </w:rPr>
      </w:pPr>
      <w:bookmarkStart w:id="10" w:name="_Toc449637112"/>
      <w:bookmarkStart w:id="11" w:name="_Ref475614578"/>
      <w:bookmarkStart w:id="12" w:name="_Toc454275204"/>
      <w:bookmarkEnd w:id="10"/>
      <w:r w:rsidRPr="00A811CB">
        <w:rPr>
          <w:rFonts w:asciiTheme="minorHAnsi" w:hAnsiTheme="minorHAnsi"/>
          <w:b/>
          <w:i w:val="0"/>
          <w:color w:val="auto"/>
        </w:rPr>
        <w:t xml:space="preserve">Figure </w:t>
      </w:r>
      <w:r w:rsidRPr="00A811CB">
        <w:rPr>
          <w:rFonts w:asciiTheme="minorHAnsi" w:hAnsiTheme="minorHAnsi"/>
          <w:b/>
          <w:i w:val="0"/>
          <w:color w:val="auto"/>
        </w:rPr>
        <w:fldChar w:fldCharType="begin"/>
      </w:r>
      <w:r w:rsidRPr="00A811CB">
        <w:rPr>
          <w:rFonts w:asciiTheme="minorHAnsi" w:hAnsiTheme="minorHAnsi"/>
          <w:b/>
          <w:i w:val="0"/>
          <w:color w:val="auto"/>
        </w:rPr>
        <w:instrText xml:space="preserve"> SEQ Figure \* ARABIC </w:instrText>
      </w:r>
      <w:r w:rsidRPr="00A811CB">
        <w:rPr>
          <w:rFonts w:asciiTheme="minorHAnsi" w:hAnsiTheme="minorHAnsi"/>
          <w:b/>
          <w:i w:val="0"/>
          <w:color w:val="auto"/>
        </w:rPr>
        <w:fldChar w:fldCharType="separate"/>
      </w:r>
      <w:r w:rsidRPr="00A811CB">
        <w:rPr>
          <w:rFonts w:asciiTheme="minorHAnsi" w:hAnsiTheme="minorHAnsi"/>
          <w:b/>
          <w:i w:val="0"/>
          <w:color w:val="auto"/>
        </w:rPr>
        <w:t>1</w:t>
      </w:r>
      <w:r w:rsidRPr="00A811CB">
        <w:rPr>
          <w:rFonts w:asciiTheme="minorHAnsi" w:hAnsiTheme="minorHAnsi"/>
          <w:b/>
          <w:i w:val="0"/>
          <w:color w:val="auto"/>
        </w:rPr>
        <w:fldChar w:fldCharType="end"/>
      </w:r>
      <w:bookmarkEnd w:id="11"/>
      <w:r>
        <w:rPr>
          <w:rFonts w:asciiTheme="minorHAnsi" w:hAnsiTheme="minorHAnsi"/>
          <w:b/>
          <w:i w:val="0"/>
          <w:color w:val="auto"/>
        </w:rPr>
        <w:t>.</w:t>
      </w:r>
      <w:r w:rsidRPr="00FB6E71">
        <w:rPr>
          <w:rFonts w:asciiTheme="minorHAnsi" w:hAnsiTheme="minorHAnsi"/>
          <w:b/>
          <w:i w:val="0"/>
          <w:color w:val="auto"/>
        </w:rPr>
        <w:t xml:space="preserve"> Poverty Incidence by Region in Nigeria</w:t>
      </w:r>
    </w:p>
    <w:p w:rsidR="007F2DE7" w:rsidRPr="00FB6E71" w:rsidP="007F2DE7">
      <w:pPr>
        <w:pStyle w:val="Normal64"/>
        <w:widowControl/>
        <w:spacing w:after="240"/>
        <w:ind w:left="180"/>
        <w:rPr>
          <w:rFonts w:asciiTheme="minorHAnsi" w:hAnsiTheme="minorHAnsi"/>
          <w:bCs/>
          <w:color w:val="auto"/>
          <w:sz w:val="18"/>
          <w:szCs w:val="18"/>
        </w:rPr>
      </w:pPr>
      <w:bookmarkEnd w:id="12"/>
      <w:r w:rsidRPr="0064756D">
        <w:rPr>
          <w:rFonts w:asciiTheme="minorHAnsi" w:hAnsiTheme="minorHAnsi"/>
          <w:bCs/>
          <w:i/>
          <w:noProof/>
          <w:color w:val="auto"/>
          <w:sz w:val="18"/>
          <w:szCs w:val="18"/>
        </w:rPr>
        <w:drawing>
          <wp:anchor distT="0" distB="0" distL="114300" distR="114300" simplePos="0" relativeHeight="251666432" behindDoc="0" locked="1" layoutInCell="1" allowOverlap="0">
            <wp:simplePos x="0" y="0"/>
            <wp:positionH relativeFrom="margin">
              <wp:align>center</wp:align>
            </wp:positionH>
            <wp:positionV relativeFrom="paragraph">
              <wp:posOffset>0</wp:posOffset>
            </wp:positionV>
            <wp:extent cx="5705856" cy="2304288"/>
            <wp:effectExtent l="0" t="0" r="0" b="1270"/>
            <wp:wrapTopAndBottom/>
            <wp:docPr id="5" name="Picture 5" descr="cid:image006.png@01D23503.DB89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06.png@01D23503.DB890610"/>
                    <pic:cNvPicPr>
                      <a:picLocks noChangeAspect="1" noChangeArrowheads="1"/>
                    </pic:cNvPicPr>
                  </pic:nvPicPr>
                  <pic:blipFill>
                    <a:blip xmlns:r="http://schemas.openxmlformats.org/officeDocument/2006/relationships" r:embed="rId13" r:link="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5856" cy="2304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56D">
        <w:rPr>
          <w:rFonts w:asciiTheme="minorHAnsi" w:hAnsiTheme="minorHAnsi"/>
          <w:bCs/>
          <w:i/>
          <w:color w:val="auto"/>
          <w:sz w:val="18"/>
          <w:szCs w:val="18"/>
        </w:rPr>
        <w:t>Source:</w:t>
      </w:r>
      <w:r>
        <w:rPr>
          <w:rFonts w:asciiTheme="minorHAnsi" w:hAnsiTheme="minorHAnsi"/>
          <w:bCs/>
          <w:color w:val="auto"/>
          <w:sz w:val="18"/>
          <w:szCs w:val="18"/>
        </w:rPr>
        <w:t xml:space="preserve"> </w:t>
      </w:r>
      <w:r w:rsidRPr="00640EC9">
        <w:rPr>
          <w:rFonts w:asciiTheme="minorHAnsi" w:hAnsiTheme="minorHAnsi"/>
          <w:sz w:val="18"/>
          <w:szCs w:val="18"/>
        </w:rPr>
        <w:t>World Bank</w:t>
      </w:r>
      <w:r>
        <w:rPr>
          <w:rFonts w:asciiTheme="minorHAnsi" w:hAnsiTheme="minorHAnsi"/>
          <w:sz w:val="18"/>
          <w:szCs w:val="18"/>
        </w:rPr>
        <w:t>. 2016.</w:t>
      </w:r>
      <w:r w:rsidRPr="00640EC9">
        <w:rPr>
          <w:rFonts w:asciiTheme="minorHAnsi" w:hAnsiTheme="minorHAnsi"/>
          <w:sz w:val="18"/>
          <w:szCs w:val="18"/>
        </w:rPr>
        <w:t xml:space="preserve"> </w:t>
      </w:r>
      <w:r w:rsidRPr="00640EC9">
        <w:rPr>
          <w:rFonts w:asciiTheme="minorHAnsi" w:hAnsiTheme="minorHAnsi"/>
          <w:bCs/>
          <w:i/>
          <w:sz w:val="18"/>
          <w:szCs w:val="18"/>
        </w:rPr>
        <w:t>Poverty Reduction in Nigeria in the Last Decade</w:t>
      </w:r>
      <w:r w:rsidRPr="00640EC9">
        <w:rPr>
          <w:rFonts w:asciiTheme="minorHAnsi" w:hAnsiTheme="minorHAnsi"/>
          <w:bCs/>
          <w:sz w:val="18"/>
          <w:szCs w:val="18"/>
        </w:rPr>
        <w:t>.</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President Buhari has acted decisively to tackle the challenges of insecurity. </w:t>
      </w:r>
      <w:r w:rsidRPr="00FB6E71">
        <w:rPr>
          <w:rFonts w:asciiTheme="minorHAnsi" w:hAnsiTheme="minorHAnsi"/>
          <w:bCs/>
          <w:color w:val="auto"/>
          <w:sz w:val="22"/>
          <w:szCs w:val="22"/>
        </w:rPr>
        <w:t xml:space="preserve">Steps have been taken to build a more efficient and effective coalition with Nigeria’s neighbors against the BH. An offensive in late 2015 drove the BH from much of the territory it held in the NE. Since then, the militants have relied on terrorist attacks against civilians, including suicide bombings. The Government’s response to the crisis in the NE has focused largely on security, </w:t>
      </w:r>
      <w:r>
        <w:rPr>
          <w:rFonts w:asciiTheme="minorHAnsi" w:hAnsiTheme="minorHAnsi"/>
          <w:bCs/>
          <w:color w:val="auto"/>
          <w:sz w:val="22"/>
          <w:szCs w:val="22"/>
        </w:rPr>
        <w:t xml:space="preserve">on </w:t>
      </w:r>
      <w:r w:rsidRPr="00FB6E71">
        <w:rPr>
          <w:rFonts w:asciiTheme="minorHAnsi" w:hAnsiTheme="minorHAnsi"/>
          <w:bCs/>
          <w:color w:val="auto"/>
          <w:sz w:val="22"/>
          <w:szCs w:val="22"/>
        </w:rPr>
        <w:t>humanitarian support, and</w:t>
      </w:r>
      <w:r>
        <w:rPr>
          <w:rFonts w:asciiTheme="minorHAnsi" w:hAnsiTheme="minorHAnsi"/>
          <w:bCs/>
          <w:color w:val="auto"/>
          <w:sz w:val="22"/>
          <w:szCs w:val="22"/>
        </w:rPr>
        <w:t>,</w:t>
      </w:r>
      <w:r w:rsidRPr="00FB6E71">
        <w:rPr>
          <w:rFonts w:asciiTheme="minorHAnsi" w:hAnsiTheme="minorHAnsi"/>
          <w:bCs/>
          <w:color w:val="auto"/>
          <w:sz w:val="22"/>
          <w:szCs w:val="22"/>
        </w:rPr>
        <w:t xml:space="preserve"> to a lesser degree, on restoring service delivery. The critical and immediate challenge facing the Government is to secure peace and stability, following its military gains, by ensuring the welfare of internally displaced </w:t>
      </w:r>
      <w:r>
        <w:rPr>
          <w:rFonts w:asciiTheme="minorHAnsi" w:hAnsiTheme="minorHAnsi"/>
          <w:bCs/>
          <w:color w:val="auto"/>
          <w:sz w:val="22"/>
          <w:szCs w:val="22"/>
        </w:rPr>
        <w:t>persons</w:t>
      </w:r>
      <w:r w:rsidRPr="00FB6E71">
        <w:rPr>
          <w:rFonts w:asciiTheme="minorHAnsi" w:hAnsiTheme="minorHAnsi"/>
          <w:bCs/>
          <w:color w:val="auto"/>
          <w:sz w:val="22"/>
          <w:szCs w:val="22"/>
        </w:rPr>
        <w:t xml:space="preserve"> (IDP), the host communities, and the population in the NE.</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Government of Nigeria (GoN) seeks to implement stabilization and recovery measures addressing the medium</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long-term development agenda, while making parallel efforts to combat corruption. </w:t>
      </w:r>
      <w:r w:rsidRPr="00FB6E71">
        <w:rPr>
          <w:rFonts w:asciiTheme="minorHAnsi" w:hAnsiTheme="minorHAnsi"/>
          <w:bCs/>
          <w:color w:val="auto"/>
          <w:sz w:val="22"/>
          <w:szCs w:val="22"/>
        </w:rPr>
        <w:t>The stabilization and recovery measures focus on (a) restoring macroeconomic resilience and growth and (b) improving security in the NE and Niger Delta. Restoring macroeconomic resilience and growth will be critical not only for Nigeria but</w:t>
      </w:r>
      <w:r>
        <w:rPr>
          <w:rFonts w:asciiTheme="minorHAnsi" w:hAnsiTheme="minorHAnsi"/>
          <w:bCs/>
          <w:color w:val="auto"/>
          <w:sz w:val="22"/>
          <w:szCs w:val="22"/>
        </w:rPr>
        <w:t xml:space="preserve"> also</w:t>
      </w:r>
      <w:r w:rsidRPr="00FB6E71">
        <w:rPr>
          <w:rFonts w:asciiTheme="minorHAnsi" w:hAnsiTheme="minorHAnsi"/>
          <w:bCs/>
          <w:color w:val="auto"/>
          <w:sz w:val="22"/>
          <w:szCs w:val="22"/>
        </w:rPr>
        <w:t xml:space="preserve"> for West Africa as a whole, given the strong links between Nigeria and </w:t>
      </w:r>
      <w:r>
        <w:rPr>
          <w:rFonts w:asciiTheme="minorHAnsi" w:hAnsiTheme="minorHAnsi"/>
          <w:bCs/>
          <w:color w:val="auto"/>
          <w:sz w:val="22"/>
          <w:szCs w:val="22"/>
        </w:rPr>
        <w:t xml:space="preserve">the </w:t>
      </w:r>
      <w:r w:rsidRPr="00FB6E71">
        <w:rPr>
          <w:rFonts w:asciiTheme="minorHAnsi" w:hAnsiTheme="minorHAnsi"/>
          <w:bCs/>
          <w:color w:val="auto"/>
          <w:sz w:val="22"/>
          <w:szCs w:val="22"/>
        </w:rPr>
        <w:t>neighboring countries in trade and capital flows. The medium- and long-term agenda is to promote job creation and build an economy led by a strong and responsible private sector; provide physical and economic infrastructure; enact social policies that w</w:t>
      </w:r>
      <w:r>
        <w:rPr>
          <w:rFonts w:asciiTheme="minorHAnsi" w:hAnsiTheme="minorHAnsi"/>
          <w:bCs/>
          <w:color w:val="auto"/>
          <w:sz w:val="22"/>
          <w:szCs w:val="22"/>
        </w:rPr>
        <w:t>ill</w:t>
      </w:r>
      <w:r w:rsidRPr="00FB6E71">
        <w:rPr>
          <w:rFonts w:asciiTheme="minorHAnsi" w:hAnsiTheme="minorHAnsi"/>
          <w:bCs/>
          <w:color w:val="auto"/>
          <w:sz w:val="22"/>
          <w:szCs w:val="22"/>
        </w:rPr>
        <w:t xml:space="preserve"> increase opportunities for the poor and vulnerable; and address climate change and other stressors.</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 xml:space="preserve">Situation of Urgent Need of Assistance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Since 2009, the NE has been affected by the BH conflict and the resulting military operations, </w:t>
      </w:r>
      <w:r>
        <w:rPr>
          <w:rFonts w:asciiTheme="minorHAnsi" w:hAnsiTheme="minorHAnsi"/>
          <w:b/>
          <w:bCs/>
          <w:color w:val="auto"/>
          <w:sz w:val="22"/>
          <w:szCs w:val="22"/>
        </w:rPr>
        <w:t>affecting</w:t>
      </w:r>
      <w:r w:rsidRPr="00FB6E71">
        <w:rPr>
          <w:rFonts w:asciiTheme="minorHAnsi" w:hAnsiTheme="minorHAnsi"/>
          <w:b/>
          <w:bCs/>
          <w:color w:val="auto"/>
          <w:sz w:val="22"/>
          <w:szCs w:val="22"/>
        </w:rPr>
        <w:t xml:space="preserve"> the lives of over 15 million people. </w:t>
      </w:r>
      <w:r w:rsidRPr="00FB6E71">
        <w:rPr>
          <w:rFonts w:asciiTheme="minorHAnsi" w:hAnsiTheme="minorHAnsi"/>
          <w:bCs/>
          <w:color w:val="auto"/>
          <w:sz w:val="22"/>
          <w:szCs w:val="22"/>
        </w:rPr>
        <w:t xml:space="preserve">The ongoing conflict takes place in a setting characterized by deep poverty, poor social and economic conditions, lack of infrastructure and basic services, poor governance, weak institutions, and high income inequality. All these complex and long-standing factors contributed to the emergence of the conflict by stoking frustration and a sense of injustice among citizens. </w:t>
      </w:r>
      <w:r w:rsidRPr="00FB6E71">
        <w:rPr>
          <w:rFonts w:asciiTheme="minorHAnsi" w:hAnsiTheme="minorHAnsi"/>
          <w:bCs/>
          <w:color w:val="auto"/>
          <w:sz w:val="22"/>
          <w:szCs w:val="22"/>
        </w:rPr>
        <w:t>A number of incidents acted as triggers, while the abovementioned structural drivers provided fertile ground for the emergence and rapid spread of violence. The BH conflict was characterized by extreme levels of violence and destruction. The fighting became particularly intense in 2014, leading to the loss of at least 20,000 lives and the displacement of 2.5 million people internally and across international borders. About 84 percent of the forcibly displaced people have remained within the three conflict-affected states of Borno, Adamawa, and Yobe (BAY), while 8 percent are scattered through northern and central Nigeria, and the remaining 8 percent are in neighboring countries such as Cameroon, Chad</w:t>
      </w:r>
      <w:r>
        <w:rPr>
          <w:rFonts w:asciiTheme="minorHAnsi" w:hAnsiTheme="minorHAnsi"/>
          <w:bCs/>
          <w:color w:val="auto"/>
          <w:sz w:val="22"/>
          <w:szCs w:val="22"/>
        </w:rPr>
        <w:t>,</w:t>
      </w:r>
      <w:r w:rsidRPr="00FB6E71">
        <w:rPr>
          <w:rFonts w:asciiTheme="minorHAnsi" w:hAnsiTheme="minorHAnsi"/>
          <w:bCs/>
          <w:color w:val="auto"/>
          <w:sz w:val="22"/>
          <w:szCs w:val="22"/>
        </w:rPr>
        <w:t xml:space="preserve"> and Niger.</w:t>
      </w:r>
      <w:r>
        <w:rPr>
          <w:rStyle w:val="FootnoteReference"/>
          <w:rFonts w:asciiTheme="minorHAnsi" w:hAnsiTheme="minorHAnsi"/>
          <w:bCs/>
          <w:color w:val="auto"/>
          <w:sz w:val="22"/>
          <w:szCs w:val="22"/>
        </w:rPr>
        <w:footnoteReference w:id="2"/>
      </w:r>
      <w:r w:rsidRPr="00FB6E71">
        <w:rPr>
          <w:rFonts w:asciiTheme="minorHAnsi" w:hAnsiTheme="minorHAnsi"/>
          <w:bCs/>
          <w:color w:val="auto"/>
          <w:sz w:val="22"/>
          <w:szCs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BH conflict has triggered</w:t>
      </w:r>
      <w:r w:rsidRPr="00FB6E71">
        <w:rPr>
          <w:b/>
        </w:rPr>
        <w:t xml:space="preserve"> </w:t>
      </w:r>
      <w:r w:rsidRPr="00FB6E71">
        <w:rPr>
          <w:rFonts w:asciiTheme="minorHAnsi" w:hAnsiTheme="minorHAnsi"/>
          <w:b/>
          <w:bCs/>
          <w:color w:val="auto"/>
          <w:sz w:val="22"/>
          <w:szCs w:val="22"/>
        </w:rPr>
        <w:t>an acute humanitarian and forced displacement crisis, with devastating social and economic impacts on the population, further deepening poverty and fragility in the NE region.</w:t>
      </w:r>
      <w:r w:rsidRPr="00FB6E71">
        <w:rPr>
          <w:rFonts w:asciiTheme="minorHAnsi" w:hAnsiTheme="minorHAnsi"/>
          <w:bCs/>
          <w:color w:val="auto"/>
          <w:sz w:val="22"/>
          <w:szCs w:val="22"/>
        </w:rPr>
        <w:t xml:space="preserve"> Across the six states of the NE</w:t>
      </w:r>
      <w:r>
        <w:rPr>
          <w:rFonts w:asciiTheme="minorHAnsi" w:hAnsiTheme="minorHAnsi"/>
          <w:bCs/>
          <w:color w:val="auto"/>
          <w:sz w:val="22"/>
          <w:szCs w:val="22"/>
        </w:rPr>
        <w:t>—</w:t>
      </w:r>
      <w:r w:rsidRPr="00FB6E71">
        <w:rPr>
          <w:rFonts w:asciiTheme="minorHAnsi" w:hAnsiTheme="minorHAnsi"/>
          <w:bCs/>
          <w:color w:val="auto"/>
          <w:sz w:val="22"/>
          <w:szCs w:val="22"/>
        </w:rPr>
        <w:t>Borno, Yobe, Adamawa, Bauchi, Gombe, and Taraba</w:t>
      </w:r>
      <w:r>
        <w:rPr>
          <w:rFonts w:asciiTheme="minorHAnsi" w:hAnsiTheme="minorHAnsi"/>
          <w:bCs/>
          <w:color w:val="auto"/>
          <w:sz w:val="22"/>
          <w:szCs w:val="22"/>
        </w:rPr>
        <w:t>—</w:t>
      </w:r>
      <w:r w:rsidRPr="00FB6E71">
        <w:rPr>
          <w:rFonts w:asciiTheme="minorHAnsi" w:hAnsiTheme="minorHAnsi"/>
          <w:bCs/>
          <w:color w:val="auto"/>
          <w:sz w:val="22"/>
          <w:szCs w:val="22"/>
        </w:rPr>
        <w:t xml:space="preserve">there has been </w:t>
      </w:r>
      <w:r>
        <w:rPr>
          <w:rFonts w:asciiTheme="minorHAnsi" w:hAnsiTheme="minorHAnsi"/>
          <w:bCs/>
          <w:color w:val="auto"/>
          <w:sz w:val="22"/>
          <w:szCs w:val="22"/>
        </w:rPr>
        <w:t xml:space="preserve">an </w:t>
      </w:r>
      <w:r w:rsidRPr="00FB6E71">
        <w:rPr>
          <w:rFonts w:asciiTheme="minorHAnsi" w:hAnsiTheme="minorHAnsi"/>
          <w:bCs/>
          <w:color w:val="auto"/>
          <w:sz w:val="22"/>
          <w:szCs w:val="22"/>
        </w:rPr>
        <w:t>estimated infrastructure damage of US$9.2 billion and accumulated output losses of US$8.3 billion.</w:t>
      </w:r>
      <w:r>
        <w:rPr>
          <w:rStyle w:val="FootnoteReference"/>
          <w:rFonts w:asciiTheme="minorHAnsi" w:hAnsiTheme="minorHAnsi"/>
          <w:bCs/>
          <w:color w:val="auto"/>
          <w:sz w:val="22"/>
          <w:szCs w:val="22"/>
        </w:rPr>
        <w:footnoteReference w:id="3"/>
      </w:r>
      <w:r w:rsidRPr="00FB6E71">
        <w:rPr>
          <w:rFonts w:asciiTheme="minorHAnsi" w:hAnsiTheme="minorHAnsi"/>
          <w:bCs/>
          <w:color w:val="auto"/>
          <w:sz w:val="22"/>
          <w:szCs w:val="22"/>
        </w:rPr>
        <w:t xml:space="preserve"> Such extensive damage exacerbated the existing deficit in socioeconomic development in the NE, further straining a vulnerable population already among the poorest in the country. Social cohesion was deeply eroded, with social interaction among various social groups and ethnicities becoming increasingly challenging in an atmosphere characterized by mistrust, property and interpersonal disputes</w:t>
      </w:r>
      <w:r>
        <w:rPr>
          <w:rFonts w:asciiTheme="minorHAnsi" w:hAnsiTheme="minorHAnsi"/>
          <w:bCs/>
          <w:color w:val="auto"/>
          <w:sz w:val="22"/>
          <w:szCs w:val="22"/>
        </w:rPr>
        <w:t>,</w:t>
      </w:r>
      <w:r w:rsidRPr="00FB6E71">
        <w:rPr>
          <w:rFonts w:asciiTheme="minorHAnsi" w:hAnsiTheme="minorHAnsi"/>
          <w:bCs/>
          <w:color w:val="auto"/>
          <w:sz w:val="22"/>
          <w:szCs w:val="22"/>
        </w:rPr>
        <w:t xml:space="preserve"> and retaliation.</w:t>
      </w:r>
      <w:r w:rsidRPr="00FB6E71">
        <w:rPr>
          <w:rFonts w:asciiTheme="minorHAnsi" w:hAnsiTheme="minorHAnsi"/>
          <w:sz w:val="22"/>
        </w:rPr>
        <w:t xml:space="preserve"> </w:t>
      </w:r>
      <w:r w:rsidRPr="00FB6E71">
        <w:rPr>
          <w:rFonts w:asciiTheme="minorHAnsi" w:hAnsiTheme="minorHAnsi"/>
          <w:bCs/>
          <w:color w:val="auto"/>
          <w:sz w:val="22"/>
          <w:szCs w:val="22"/>
        </w:rPr>
        <w:t>Conflict and insecurity have also affected regular economic activities, bringing the already weak local economies to a virtual standstill. In the most directly and heavily affected BAY states, hundreds of thousands of households are living without access to basic infrastructure and social services. These pressing conditions demand immediate action to be taken as a response to recover from the damages and losses in the conflict-affected areas and to help the conflict-affected population restore their lives.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In July 2015, after a series of successful military efforts that led to the recovery and stabilization of </w:t>
      </w:r>
      <w:r>
        <w:rPr>
          <w:rFonts w:asciiTheme="minorHAnsi" w:hAnsiTheme="minorHAnsi"/>
          <w:b/>
          <w:bCs/>
          <w:color w:val="auto"/>
          <w:sz w:val="22"/>
          <w:szCs w:val="22"/>
        </w:rPr>
        <w:t xml:space="preserve">a </w:t>
      </w:r>
      <w:r w:rsidRPr="00FB6E71">
        <w:rPr>
          <w:rFonts w:asciiTheme="minorHAnsi" w:hAnsiTheme="minorHAnsi"/>
          <w:b/>
          <w:bCs/>
          <w:color w:val="auto"/>
          <w:sz w:val="22"/>
          <w:szCs w:val="22"/>
        </w:rPr>
        <w:t xml:space="preserve">part of the territory once controlled by the BH, the GoN requested the World Bank’s support in the recovery efforts in the NE. </w:t>
      </w:r>
      <w:r w:rsidRPr="00FB6E71">
        <w:rPr>
          <w:rFonts w:asciiTheme="minorHAnsi" w:hAnsiTheme="minorHAnsi"/>
          <w:bCs/>
          <w:color w:val="auto"/>
          <w:sz w:val="22"/>
          <w:szCs w:val="22"/>
        </w:rPr>
        <w:t xml:space="preserve">In response to this request, the World Bank in partnership with the European Union (EU) and United Nations (UN) conducted a Recovery and Peace Building Assessment (RPBA) from January to April 2016, which identified and measured crisis recovery needs in the NE. The RPBA involved extensive data collection, dialogue and stakeholder consultation, and the quantification of recovery and peace building needs across </w:t>
      </w:r>
      <w:r>
        <w:rPr>
          <w:rFonts w:asciiTheme="minorHAnsi" w:hAnsiTheme="minorHAnsi"/>
          <w:bCs/>
          <w:color w:val="auto"/>
          <w:sz w:val="22"/>
          <w:szCs w:val="22"/>
        </w:rPr>
        <w:t xml:space="preserve">the </w:t>
      </w:r>
      <w:r w:rsidRPr="00FB6E71">
        <w:rPr>
          <w:rFonts w:asciiTheme="minorHAnsi" w:hAnsiTheme="minorHAnsi"/>
          <w:bCs/>
          <w:color w:val="auto"/>
          <w:sz w:val="22"/>
          <w:szCs w:val="22"/>
        </w:rPr>
        <w:t>affected states. It estimated the total needs for recovery and peace building at US$6.7 billion across the three strategic areas of intervention</w:t>
      </w:r>
      <w:r>
        <w:rPr>
          <w:rFonts w:asciiTheme="minorHAnsi" w:hAnsiTheme="minorHAnsi"/>
          <w:bCs/>
          <w:color w:val="auto"/>
          <w:sz w:val="22"/>
          <w:szCs w:val="22"/>
        </w:rPr>
        <w:t>—</w:t>
      </w:r>
      <w:r w:rsidRPr="00FB6E71">
        <w:rPr>
          <w:rFonts w:asciiTheme="minorHAnsi" w:hAnsiTheme="minorHAnsi"/>
          <w:bCs/>
          <w:color w:val="auto"/>
          <w:sz w:val="22"/>
          <w:szCs w:val="22"/>
        </w:rPr>
        <w:t>US$150.5 million for peace building, stability</w:t>
      </w:r>
      <w:r>
        <w:rPr>
          <w:rFonts w:asciiTheme="minorHAnsi" w:hAnsiTheme="minorHAnsi"/>
          <w:bCs/>
          <w:color w:val="auto"/>
          <w:sz w:val="22"/>
          <w:szCs w:val="22"/>
        </w:rPr>
        <w:t>,</w:t>
      </w:r>
      <w:r w:rsidRPr="00FB6E71">
        <w:rPr>
          <w:rFonts w:asciiTheme="minorHAnsi" w:hAnsiTheme="minorHAnsi"/>
          <w:bCs/>
          <w:color w:val="auto"/>
          <w:sz w:val="22"/>
          <w:szCs w:val="22"/>
        </w:rPr>
        <w:t xml:space="preserve"> and social cohesion; US$6.0 billion for infrastructure and social services; and US$473.5 million for economic recovery. These needs are spread across the initial stabilization and early recovery phase (</w:t>
      </w:r>
      <w:r>
        <w:rPr>
          <w:rFonts w:asciiTheme="minorHAnsi" w:hAnsiTheme="minorHAnsi"/>
          <w:bCs/>
          <w:color w:val="auto"/>
          <w:sz w:val="22"/>
          <w:szCs w:val="22"/>
        </w:rPr>
        <w:t>Y</w:t>
      </w:r>
      <w:r w:rsidRPr="00FB6E71">
        <w:rPr>
          <w:rFonts w:asciiTheme="minorHAnsi" w:hAnsiTheme="minorHAnsi"/>
          <w:bCs/>
          <w:color w:val="auto"/>
          <w:sz w:val="22"/>
          <w:szCs w:val="22"/>
        </w:rPr>
        <w:t>ears 1–2) and the subsequent medium-term recovery phase (</w:t>
      </w:r>
      <w:r>
        <w:rPr>
          <w:rFonts w:asciiTheme="minorHAnsi" w:hAnsiTheme="minorHAnsi"/>
          <w:bCs/>
          <w:color w:val="auto"/>
          <w:sz w:val="22"/>
          <w:szCs w:val="22"/>
        </w:rPr>
        <w:t>Y</w:t>
      </w:r>
      <w:r w:rsidRPr="00FB6E71">
        <w:rPr>
          <w:rFonts w:asciiTheme="minorHAnsi" w:hAnsiTheme="minorHAnsi"/>
          <w:bCs/>
          <w:color w:val="auto"/>
          <w:sz w:val="22"/>
          <w:szCs w:val="22"/>
        </w:rPr>
        <w:t xml:space="preserve">ears 3–4). The overall needs in BAY states by sector according to the RPBA are summarized in </w:t>
      </w:r>
      <w:r>
        <w:rPr>
          <w:rFonts w:asciiTheme="minorHAnsi" w:hAnsiTheme="minorHAnsi"/>
          <w:bCs/>
          <w:color w:val="auto"/>
          <w:sz w:val="22"/>
          <w:szCs w:val="22"/>
        </w:rPr>
        <w:t>a</w:t>
      </w:r>
      <w:r w:rsidRPr="00FB6E71">
        <w:rPr>
          <w:rFonts w:asciiTheme="minorHAnsi" w:hAnsiTheme="minorHAnsi"/>
          <w:bCs/>
          <w:color w:val="auto"/>
          <w:sz w:val="22"/>
          <w:szCs w:val="22"/>
        </w:rPr>
        <w:t>nnex 1. The GoN has also requested the support of the World Bank, EU</w:t>
      </w:r>
      <w:r>
        <w:rPr>
          <w:rFonts w:asciiTheme="minorHAnsi" w:hAnsiTheme="minorHAnsi"/>
          <w:bCs/>
          <w:color w:val="auto"/>
          <w:sz w:val="22"/>
          <w:szCs w:val="22"/>
        </w:rPr>
        <w:t>,</w:t>
      </w:r>
      <w:r w:rsidRPr="00FB6E71">
        <w:rPr>
          <w:rFonts w:asciiTheme="minorHAnsi" w:hAnsiTheme="minorHAnsi"/>
          <w:bCs/>
          <w:color w:val="auto"/>
          <w:sz w:val="22"/>
          <w:szCs w:val="22"/>
        </w:rPr>
        <w:t xml:space="preserve"> and UN in implementing the recommendations provided </w:t>
      </w:r>
      <w:r>
        <w:rPr>
          <w:rFonts w:asciiTheme="minorHAnsi" w:hAnsiTheme="minorHAnsi"/>
          <w:bCs/>
          <w:color w:val="auto"/>
          <w:sz w:val="22"/>
          <w:szCs w:val="22"/>
        </w:rPr>
        <w:t>by</w:t>
      </w:r>
      <w:r w:rsidRPr="00FB6E71">
        <w:rPr>
          <w:rFonts w:asciiTheme="minorHAnsi" w:hAnsiTheme="minorHAnsi"/>
          <w:bCs/>
          <w:color w:val="auto"/>
          <w:sz w:val="22"/>
          <w:szCs w:val="22"/>
        </w:rPr>
        <w:t xml:space="preserve"> the RPBA, including the adoption of a programmatic approach for stabilization and recovery. As such, a post-RPBA process has been agreed with the GoN, under which the World Bank and other partners will provide technical assistance</w:t>
      </w:r>
      <w:r>
        <w:rPr>
          <w:rFonts w:asciiTheme="minorHAnsi" w:hAnsiTheme="minorHAnsi"/>
          <w:bCs/>
          <w:color w:val="auto"/>
          <w:sz w:val="22"/>
          <w:szCs w:val="22"/>
        </w:rPr>
        <w:t xml:space="preserve"> (TA)</w:t>
      </w:r>
      <w:r w:rsidRPr="00FB6E71">
        <w:rPr>
          <w:rFonts w:asciiTheme="minorHAnsi" w:hAnsiTheme="minorHAnsi"/>
          <w:bCs/>
          <w:color w:val="auto"/>
          <w:sz w:val="22"/>
          <w:szCs w:val="22"/>
        </w:rPr>
        <w:t xml:space="preserve"> to strengthen the institutional and legal frameworks for recovery, the prioritization and monitoring and evaluation (M&amp;E) mechanisms</w:t>
      </w:r>
      <w:r>
        <w:rPr>
          <w:rFonts w:asciiTheme="minorHAnsi" w:hAnsiTheme="minorHAnsi"/>
          <w:bCs/>
          <w:color w:val="auto"/>
          <w:sz w:val="22"/>
          <w:szCs w:val="22"/>
        </w:rPr>
        <w:t>,</w:t>
      </w:r>
      <w:r w:rsidRPr="00FB6E71">
        <w:rPr>
          <w:rFonts w:asciiTheme="minorHAnsi" w:hAnsiTheme="minorHAnsi"/>
          <w:bCs/>
          <w:color w:val="auto"/>
          <w:sz w:val="22"/>
          <w:szCs w:val="22"/>
        </w:rPr>
        <w:t xml:space="preserve"> and a financing strategy for the NE.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GoN has demonstrated strong commitment to address the recovery and development challenges in the NE and requested financial support for its crisis recovery program. </w:t>
      </w:r>
      <w:r w:rsidRPr="00FB6E71">
        <w:rPr>
          <w:rFonts w:asciiTheme="minorHAnsi" w:hAnsiTheme="minorHAnsi"/>
          <w:bCs/>
          <w:color w:val="auto"/>
          <w:sz w:val="22"/>
          <w:szCs w:val="22"/>
        </w:rPr>
        <w:t>The initial World Bank response, totaling US$775 million</w:t>
      </w:r>
      <w:r>
        <w:rPr>
          <w:rFonts w:asciiTheme="minorHAnsi" w:hAnsiTheme="minorHAnsi"/>
          <w:bCs/>
          <w:color w:val="auto"/>
          <w:sz w:val="22"/>
          <w:szCs w:val="22"/>
        </w:rPr>
        <w:t>,</w:t>
      </w:r>
      <w:r w:rsidRPr="00FB6E71">
        <w:rPr>
          <w:rFonts w:asciiTheme="minorHAnsi" w:hAnsiTheme="minorHAnsi"/>
          <w:bCs/>
          <w:color w:val="auto"/>
          <w:sz w:val="22"/>
          <w:szCs w:val="22"/>
        </w:rPr>
        <w:t xml:space="preserve"> includes (a) the development of this proposed US$200 million </w:t>
      </w:r>
      <w:r w:rsidRPr="00FB6E71">
        <w:rPr>
          <w:rFonts w:asciiTheme="minorHAnsi" w:hAnsiTheme="minorHAnsi"/>
          <w:bCs/>
          <w:color w:val="auto"/>
          <w:sz w:val="22"/>
          <w:szCs w:val="22"/>
        </w:rPr>
        <w:t>Multi-Sector Crisis Recovery Project (MCRP) for NE Nigeria, which serves as a node of convergence in supporting the overall recovery efforts in the NE</w:t>
      </w:r>
      <w:r>
        <w:rPr>
          <w:rFonts w:asciiTheme="minorHAnsi" w:hAnsiTheme="minorHAnsi"/>
          <w:bCs/>
          <w:color w:val="auto"/>
          <w:sz w:val="22"/>
          <w:szCs w:val="22"/>
        </w:rPr>
        <w:t>,</w:t>
      </w:r>
      <w:r w:rsidRPr="00FB6E71">
        <w:rPr>
          <w:rFonts w:asciiTheme="minorHAnsi" w:hAnsiTheme="minorHAnsi"/>
          <w:bCs/>
          <w:color w:val="auto"/>
          <w:sz w:val="22"/>
          <w:szCs w:val="22"/>
        </w:rPr>
        <w:t xml:space="preserve"> and (b) a US$575 million additional financing (AF) program to six existing projects, already approved by the World Bank Board, to address service delivery gaps. The World Bank program targets short- and medium-term recovery, stabilization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peace building through coordinated emergency transition and stabilization activities in the six NE states.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Now that significant portions of the territory formerly controlled by the BH are under </w:t>
      </w:r>
      <w:r w:rsidRPr="00E15285">
        <w:rPr>
          <w:rFonts w:asciiTheme="minorHAnsi" w:hAnsiTheme="minorHAnsi"/>
          <w:b/>
          <w:bCs/>
          <w:color w:val="auto"/>
          <w:sz w:val="22"/>
          <w:szCs w:val="22"/>
        </w:rPr>
        <w:t>Gov</w:t>
      </w:r>
      <w:r w:rsidRPr="00FB6E71">
        <w:rPr>
          <w:rFonts w:asciiTheme="minorHAnsi" w:hAnsiTheme="minorHAnsi"/>
          <w:b/>
          <w:bCs/>
          <w:color w:val="auto"/>
          <w:sz w:val="22"/>
          <w:szCs w:val="22"/>
        </w:rPr>
        <w:t>ernment control, it is of critical importance to support the GoN to immediately secure, consolidate</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translate these gains into developmental progress. </w:t>
      </w:r>
      <w:r w:rsidRPr="00FB6E71">
        <w:rPr>
          <w:rFonts w:asciiTheme="minorHAnsi" w:hAnsiTheme="minorHAnsi"/>
          <w:bCs/>
          <w:color w:val="auto"/>
          <w:sz w:val="22"/>
          <w:szCs w:val="22"/>
        </w:rPr>
        <w:t xml:space="preserve">Given the limited window of opportunity created by improved security, combined with a high-level authorizing environment, there is a critical need for immediate action on early recovery. The significant scale of the crisis triggered by the conflict has overwhelmed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Government’s response systems. This, combined with the fact that the BH heavily targeted service delivery infrastructure and government offices during the conflict, has further limited the capacity of the Government to address the basic needs of the population. The </w:t>
      </w:r>
      <w:r>
        <w:rPr>
          <w:rFonts w:asciiTheme="minorHAnsi" w:hAnsiTheme="minorHAnsi"/>
          <w:bCs/>
          <w:color w:val="auto"/>
          <w:sz w:val="22"/>
          <w:szCs w:val="22"/>
        </w:rPr>
        <w:t>p</w:t>
      </w:r>
      <w:r w:rsidRPr="00FB6E71">
        <w:rPr>
          <w:rFonts w:asciiTheme="minorHAnsi" w:hAnsiTheme="minorHAnsi"/>
          <w:bCs/>
          <w:color w:val="auto"/>
          <w:sz w:val="22"/>
          <w:szCs w:val="22"/>
        </w:rPr>
        <w:t>roject is therefore being processed under paragraph 12 (Situations of Urgent Need of Assistance) of OP 10.00 (Investment Project Financing) and is being prepared using condensed procedures</w:t>
      </w:r>
      <w:r>
        <w:rPr>
          <w:rFonts w:asciiTheme="minorHAnsi" w:hAnsiTheme="minorHAnsi"/>
          <w:bCs/>
          <w:color w:val="auto"/>
          <w:sz w:val="22"/>
          <w:szCs w:val="22"/>
        </w:rPr>
        <w:t>,</w:t>
      </w:r>
      <w:r w:rsidRPr="00FB6E71">
        <w:rPr>
          <w:rFonts w:asciiTheme="minorHAnsi" w:hAnsiTheme="minorHAnsi"/>
          <w:bCs/>
          <w:color w:val="auto"/>
          <w:sz w:val="22"/>
          <w:szCs w:val="22"/>
        </w:rPr>
        <w:t xml:space="preserve"> including deferral of environmental and social requirements to the project implementation phase.</w:t>
      </w:r>
      <w:r w:rsidRPr="00FB6E71">
        <w:rPr>
          <w:rFonts w:asciiTheme="minorHAnsi" w:hAnsiTheme="minorHAnsi"/>
          <w:sz w:val="22"/>
          <w:szCs w:val="22"/>
        </w:rPr>
        <w:t xml:space="preserve">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b/>
                <w:color w:val="172D5F"/>
                <w:sz w:val="22"/>
                <w:szCs w:val="22"/>
              </w:rPr>
            </w:pPr>
            <w:bookmarkStart w:id="13" w:name="_Toc256000002"/>
            <w:bookmarkStart w:id="14" w:name="_Toc433982407"/>
            <w:bookmarkStart w:id="15" w:name="_Toc460509189"/>
            <w:bookmarkStart w:id="16" w:name="_Toc476558104"/>
            <w:r w:rsidRPr="00FB6E71">
              <w:rPr>
                <w:rFonts w:asciiTheme="minorHAnsi" w:hAnsiTheme="minorHAnsi"/>
                <w:b/>
                <w:bCs/>
                <w:color w:val="172D5F"/>
                <w:sz w:val="22"/>
                <w:szCs w:val="22"/>
              </w:rPr>
              <w:t>B. Sectoral and Institutional Context</w:t>
            </w:r>
            <w:bookmarkEnd w:id="13"/>
            <w:bookmarkEnd w:id="14"/>
            <w:bookmarkEnd w:id="15"/>
            <w:bookmarkEnd w:id="16"/>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Dynamics of the BH Conflict and Impacts on Social Cohesion</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Besides the socioeconomic disparities, the lagging NE states suffer from deep governance and institutional issues that contribute to the BH conflict</w:t>
      </w:r>
      <w:r w:rsidRPr="00DD5344">
        <w:rPr>
          <w:rFonts w:asciiTheme="minorHAnsi" w:hAnsiTheme="minorHAnsi"/>
          <w:b/>
          <w:bCs/>
          <w:color w:val="auto"/>
          <w:sz w:val="22"/>
          <w:szCs w:val="22"/>
        </w:rPr>
        <w:t>.</w:t>
      </w:r>
      <w:r w:rsidRPr="00FB6E71">
        <w:rPr>
          <w:rFonts w:asciiTheme="minorHAnsi" w:hAnsiTheme="minorHAnsi"/>
          <w:bCs/>
          <w:color w:val="auto"/>
          <w:sz w:val="22"/>
          <w:szCs w:val="22"/>
        </w:rPr>
        <w:t xml:space="preserve"> The state’s limited presence has given rise to an array of non-state institutions and actors—traditional, community, private, and sometimes criminal</w:t>
      </w:r>
      <w:r>
        <w:rPr>
          <w:rFonts w:asciiTheme="minorHAnsi" w:hAnsiTheme="minorHAnsi"/>
          <w:bCs/>
          <w:color w:val="auto"/>
          <w:sz w:val="22"/>
          <w:szCs w:val="22"/>
        </w:rPr>
        <w:t>—</w:t>
      </w:r>
      <w:r w:rsidRPr="00FB6E71">
        <w:rPr>
          <w:rFonts w:asciiTheme="minorHAnsi" w:hAnsiTheme="minorHAnsi"/>
          <w:bCs/>
          <w:color w:val="auto"/>
          <w:sz w:val="22"/>
          <w:szCs w:val="22"/>
        </w:rPr>
        <w:t>that have grown to fill the governance void in areas such as security, service provision, and justice. A series of incidents</w:t>
      </w:r>
      <w:r>
        <w:rPr>
          <w:rFonts w:asciiTheme="minorHAnsi" w:hAnsiTheme="minorHAnsi"/>
          <w:bCs/>
          <w:color w:val="auto"/>
          <w:sz w:val="22"/>
          <w:szCs w:val="22"/>
        </w:rPr>
        <w:t>—</w:t>
      </w:r>
      <w:r w:rsidRPr="00FB6E71">
        <w:rPr>
          <w:rFonts w:asciiTheme="minorHAnsi" w:hAnsiTheme="minorHAnsi"/>
          <w:bCs/>
          <w:color w:val="auto"/>
          <w:sz w:val="22"/>
          <w:szCs w:val="22"/>
        </w:rPr>
        <w:t>the most pivotal being the detention and death of the movement’s leader, Mohammed Yusuf, while in custody in 2009</w:t>
      </w:r>
      <w:r>
        <w:rPr>
          <w:rFonts w:asciiTheme="minorHAnsi" w:hAnsiTheme="minorHAnsi"/>
          <w:bCs/>
          <w:color w:val="auto"/>
          <w:sz w:val="22"/>
          <w:szCs w:val="22"/>
        </w:rPr>
        <w:t>—</w:t>
      </w:r>
      <w:r w:rsidRPr="00FB6E71">
        <w:rPr>
          <w:rFonts w:asciiTheme="minorHAnsi" w:hAnsiTheme="minorHAnsi"/>
          <w:bCs/>
          <w:color w:val="auto"/>
          <w:sz w:val="22"/>
          <w:szCs w:val="22"/>
        </w:rPr>
        <w:t>were factors that caused the violent radicalization of the BH members. These issues combined with social and economic disparities and lack</w:t>
      </w:r>
      <w:r>
        <w:rPr>
          <w:rFonts w:asciiTheme="minorHAnsi" w:hAnsiTheme="minorHAnsi"/>
          <w:bCs/>
          <w:color w:val="auto"/>
          <w:sz w:val="22"/>
          <w:szCs w:val="22"/>
        </w:rPr>
        <w:t xml:space="preserve"> of</w:t>
      </w:r>
      <w:r w:rsidRPr="00FB6E71">
        <w:rPr>
          <w:rFonts w:asciiTheme="minorHAnsi" w:hAnsiTheme="minorHAnsi"/>
          <w:bCs/>
          <w:color w:val="auto"/>
          <w:sz w:val="22"/>
          <w:szCs w:val="22"/>
        </w:rPr>
        <w:t xml:space="preserve"> opportunities for the youth created conditions for the emergence and spread of the conflict.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BH’s extremist ideology and its heavy reliance on tactics of indiscriminate terror, perpetrated against a wide array of targets, have significantly </w:t>
      </w:r>
      <w:r>
        <w:rPr>
          <w:rFonts w:asciiTheme="minorHAnsi" w:hAnsiTheme="minorHAnsi"/>
          <w:b/>
          <w:bCs/>
          <w:color w:val="auto"/>
          <w:sz w:val="22"/>
          <w:szCs w:val="22"/>
        </w:rPr>
        <w:t>affected</w:t>
      </w:r>
      <w:r w:rsidRPr="00FB6E71">
        <w:rPr>
          <w:rFonts w:asciiTheme="minorHAnsi" w:hAnsiTheme="minorHAnsi"/>
          <w:b/>
          <w:bCs/>
          <w:color w:val="auto"/>
          <w:sz w:val="22"/>
          <w:szCs w:val="22"/>
        </w:rPr>
        <w:t xml:space="preserve"> social relations, further dividing and polarizing an already fragmented society.</w:t>
      </w:r>
      <w:r w:rsidRPr="00FB6E71">
        <w:rPr>
          <w:rFonts w:asciiTheme="minorHAnsi" w:hAnsiTheme="minorHAnsi"/>
          <w:bCs/>
          <w:color w:val="auto"/>
          <w:sz w:val="22"/>
          <w:szCs w:val="22"/>
        </w:rPr>
        <w:t xml:space="preserve"> The group was identified as the single deadliest terrorist group globally in 2014.</w:t>
      </w:r>
      <w:r>
        <w:rPr>
          <w:rStyle w:val="FootnoteReference"/>
          <w:rFonts w:asciiTheme="minorHAnsi" w:hAnsiTheme="minorHAnsi"/>
          <w:bCs/>
          <w:color w:val="auto"/>
          <w:sz w:val="22"/>
          <w:szCs w:val="22"/>
        </w:rPr>
        <w:footnoteReference w:id="4"/>
      </w:r>
      <w:r w:rsidRPr="00FB6E71">
        <w:rPr>
          <w:rFonts w:asciiTheme="minorHAnsi" w:hAnsiTheme="minorHAnsi"/>
          <w:bCs/>
          <w:color w:val="auto"/>
          <w:sz w:val="22"/>
          <w:szCs w:val="22"/>
        </w:rPr>
        <w:t xml:space="preserve"> The repeated but unpredictable incidences of violence have created widespread suspicion, mistrust, and apprehension, leading to fragmentation along religious, ethnic, and other cultural fault lines and undermining the social contract between the Government and its citizens. Traditional institutions and community-level conflict management mechanisms (such as local government councils, local courts, and religious institutions) have been undermined by the conflict, leaving significant gaps in the capacity of these institutions to mediate and manage conflicts.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potential for increased tension between host communities and IDPs is also a concern, as the coping mechanisms and services in host communities are largely stretched by the influx of 2 million displaced people.</w:t>
      </w:r>
      <w:r w:rsidRPr="00FB6E71">
        <w:rPr>
          <w:rFonts w:asciiTheme="minorHAnsi" w:hAnsiTheme="minorHAnsi"/>
          <w:bCs/>
          <w:color w:val="auto"/>
          <w:sz w:val="22"/>
          <w:szCs w:val="22"/>
        </w:rPr>
        <w:t xml:space="preserve"> The majority (81 percent) of Nigerian IDP currently live in host communities, while the remaining 19 percent live in camps or camp-like settings,</w:t>
      </w:r>
      <w:r>
        <w:rPr>
          <w:rStyle w:val="FootnoteReference"/>
          <w:rFonts w:asciiTheme="minorHAnsi" w:hAnsiTheme="minorHAnsi"/>
          <w:bCs/>
          <w:color w:val="auto"/>
          <w:sz w:val="22"/>
          <w:szCs w:val="22"/>
        </w:rPr>
        <w:footnoteReference w:id="5"/>
      </w:r>
      <w:r w:rsidRPr="00FB6E71">
        <w:rPr>
          <w:rFonts w:asciiTheme="minorHAnsi" w:hAnsiTheme="minorHAnsi"/>
          <w:bCs/>
          <w:color w:val="auto"/>
          <w:sz w:val="22"/>
          <w:szCs w:val="22"/>
        </w:rPr>
        <w:t xml:space="preserve"> adding to the strain of already overstretched service delivery systems available in urban areas. </w:t>
      </w:r>
      <w:r w:rsidRPr="00FB6E71">
        <w:rPr>
          <w:rFonts w:asciiTheme="minorHAnsi" w:hAnsiTheme="minorHAnsi"/>
          <w:sz w:val="22"/>
        </w:rPr>
        <w:t>Services and livelihoods previously available in their places of origin are also affected, limiting prospects of return.</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rPr>
        <w:t>The conflict has had disproportionate impacts along gender lines, making this a factor that should be taken into account when planning and implementing recovery efforts</w:t>
      </w:r>
      <w:r w:rsidRPr="008A493E">
        <w:rPr>
          <w:rFonts w:asciiTheme="minorHAnsi" w:hAnsiTheme="minorHAnsi"/>
          <w:b/>
          <w:sz w:val="22"/>
        </w:rPr>
        <w:t>.</w:t>
      </w:r>
      <w:r w:rsidRPr="00FB6E71">
        <w:rPr>
          <w:rFonts w:asciiTheme="minorHAnsi" w:hAnsiTheme="minorHAnsi"/>
          <w:sz w:val="22"/>
        </w:rPr>
        <w:t xml:space="preserve"> As in other armed conflicts, casualties in NE Nigeria are predominantly young men. This, together with the separation of families and the systematic migration of men toward larger and safer cities to be able to provide for their families back home, ha</w:t>
      </w:r>
      <w:r>
        <w:rPr>
          <w:rFonts w:asciiTheme="minorHAnsi" w:hAnsiTheme="minorHAnsi"/>
          <w:sz w:val="22"/>
        </w:rPr>
        <w:t>s</w:t>
      </w:r>
      <w:r w:rsidRPr="00FB6E71">
        <w:rPr>
          <w:rFonts w:asciiTheme="minorHAnsi" w:hAnsiTheme="minorHAnsi"/>
          <w:sz w:val="22"/>
        </w:rPr>
        <w:t xml:space="preserve"> translated into a significant increase of </w:t>
      </w:r>
      <w:r>
        <w:rPr>
          <w:rFonts w:asciiTheme="minorHAnsi" w:hAnsiTheme="minorHAnsi"/>
          <w:sz w:val="22"/>
        </w:rPr>
        <w:t>‘</w:t>
      </w:r>
      <w:r w:rsidRPr="00FB6E71">
        <w:rPr>
          <w:rFonts w:asciiTheme="minorHAnsi" w:hAnsiTheme="minorHAnsi"/>
          <w:sz w:val="22"/>
        </w:rPr>
        <w:t>unconventional</w:t>
      </w:r>
      <w:r>
        <w:rPr>
          <w:rFonts w:asciiTheme="minorHAnsi" w:hAnsiTheme="minorHAnsi"/>
          <w:sz w:val="22"/>
        </w:rPr>
        <w:t>’</w:t>
      </w:r>
      <w:r w:rsidRPr="00FB6E71">
        <w:rPr>
          <w:rFonts w:asciiTheme="minorHAnsi" w:hAnsiTheme="minorHAnsi"/>
          <w:sz w:val="22"/>
        </w:rPr>
        <w:t xml:space="preserve"> households, with women, elders</w:t>
      </w:r>
      <w:r>
        <w:rPr>
          <w:rFonts w:asciiTheme="minorHAnsi" w:hAnsiTheme="minorHAnsi"/>
          <w:sz w:val="22"/>
        </w:rPr>
        <w:t>,</w:t>
      </w:r>
      <w:r w:rsidRPr="00FB6E71">
        <w:rPr>
          <w:rFonts w:asciiTheme="minorHAnsi" w:hAnsiTheme="minorHAnsi"/>
          <w:sz w:val="22"/>
        </w:rPr>
        <w:t xml:space="preserve"> and even youth and children as their main breadwinners. Women have also become targets of violence during the conflict, being victims of sexual and gender-based violence and abduction, and have been disproportionately affected by forced displacement, being overrepresented among the most vulnerable. </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The Urgent Need to Rehabilitate Basic Service Delivery Infrastructure</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One of the furthest-reaching effects of the conflict is the vast scale of forced displacement that it has caused, overstretching the capacity of the host communities in resources and service delivery.</w:t>
      </w:r>
      <w:r w:rsidRPr="00FB6E71">
        <w:rPr>
          <w:rFonts w:asciiTheme="minorHAnsi" w:hAnsiTheme="minorHAnsi"/>
          <w:bCs/>
          <w:color w:val="auto"/>
          <w:sz w:val="22"/>
          <w:szCs w:val="22"/>
        </w:rPr>
        <w:t xml:space="preserve"> </w:t>
      </w:r>
      <w:r w:rsidRPr="00FB6E71">
        <w:rPr>
          <w:rFonts w:asciiTheme="minorHAnsi" w:hAnsiTheme="minorHAnsi"/>
          <w:sz w:val="22"/>
        </w:rPr>
        <w:t>Displacement has drastically affected the living conditions</w:t>
      </w:r>
      <w:r w:rsidRPr="00FB6E71">
        <w:rPr>
          <w:rFonts w:asciiTheme="minorHAnsi" w:hAnsiTheme="minorHAnsi"/>
          <w:sz w:val="22"/>
          <w:szCs w:val="22"/>
        </w:rPr>
        <w:t xml:space="preserve">, </w:t>
      </w:r>
      <w:r w:rsidRPr="00FB6E71">
        <w:rPr>
          <w:rFonts w:asciiTheme="minorHAnsi" w:hAnsiTheme="minorHAnsi"/>
          <w:sz w:val="22"/>
        </w:rPr>
        <w:t>poverty status</w:t>
      </w:r>
      <w:r>
        <w:rPr>
          <w:rFonts w:asciiTheme="minorHAnsi" w:hAnsiTheme="minorHAnsi"/>
          <w:sz w:val="22"/>
        </w:rPr>
        <w:t>,</w:t>
      </w:r>
      <w:r w:rsidRPr="00FB6E71">
        <w:rPr>
          <w:rFonts w:asciiTheme="minorHAnsi" w:hAnsiTheme="minorHAnsi"/>
          <w:sz w:val="22"/>
        </w:rPr>
        <w:t xml:space="preserve"> </w:t>
      </w:r>
      <w:r w:rsidRPr="00FB6E71">
        <w:rPr>
          <w:rFonts w:asciiTheme="minorHAnsi" w:hAnsiTheme="minorHAnsi"/>
          <w:sz w:val="22"/>
          <w:szCs w:val="22"/>
        </w:rPr>
        <w:t xml:space="preserve">and social cohesion </w:t>
      </w:r>
      <w:r w:rsidRPr="00FB6E71">
        <w:rPr>
          <w:rFonts w:asciiTheme="minorHAnsi" w:hAnsiTheme="minorHAnsi"/>
          <w:sz w:val="22"/>
        </w:rPr>
        <w:t xml:space="preserve">of the </w:t>
      </w:r>
      <w:r w:rsidRPr="00FB6E71">
        <w:rPr>
          <w:rFonts w:asciiTheme="minorHAnsi" w:hAnsiTheme="minorHAnsi"/>
          <w:sz w:val="22"/>
          <w:szCs w:val="22"/>
        </w:rPr>
        <w:t>affected population and communities</w:t>
      </w:r>
      <w:r w:rsidRPr="008A493E">
        <w:rPr>
          <w:rFonts w:asciiTheme="minorHAnsi" w:hAnsiTheme="minorHAnsi"/>
          <w:sz w:val="22"/>
          <w:szCs w:val="22"/>
        </w:rPr>
        <w:t>.</w:t>
      </w:r>
      <w:r w:rsidRPr="00FB6E71">
        <w:rPr>
          <w:rFonts w:asciiTheme="minorHAnsi" w:hAnsiTheme="minorHAnsi"/>
          <w:sz w:val="22"/>
        </w:rPr>
        <w:t xml:space="preserve"> Individuals and families fled from conflict and lost all their productive assets, homes, and possessions. In the process of displacement, families and communities became separated, severing crucial social ties and safety nets, all of this translating into an increased level of vulnerability, particularly on the part of unaccompanied children, women heads o</w:t>
      </w:r>
      <w:r w:rsidRPr="00FB6E71">
        <w:rPr>
          <w:rFonts w:ascii="Calibri" w:eastAsia="Times New Roman" w:hAnsi="Calibri" w:cs="Times New Roman"/>
          <w:color w:val="auto"/>
          <w:sz w:val="22"/>
          <w:szCs w:val="22"/>
        </w:rPr>
        <w:t>f household</w:t>
      </w:r>
      <w:r>
        <w:rPr>
          <w:rFonts w:ascii="Calibri" w:eastAsia="Times New Roman" w:hAnsi="Calibri" w:cs="Times New Roman"/>
          <w:color w:val="auto"/>
          <w:sz w:val="22"/>
          <w:szCs w:val="22"/>
        </w:rPr>
        <w:t>s</w:t>
      </w:r>
      <w:r w:rsidRPr="00FB6E71">
        <w:rPr>
          <w:rFonts w:ascii="Calibri" w:eastAsia="Times New Roman" w:hAnsi="Calibri" w:cs="Times New Roman"/>
          <w:color w:val="auto"/>
          <w:sz w:val="22"/>
          <w:szCs w:val="22"/>
        </w:rPr>
        <w:t>, and older people.</w:t>
      </w:r>
      <w:r w:rsidRPr="00FB6E71">
        <w:rPr>
          <w:rFonts w:asciiTheme="minorHAnsi" w:hAnsiTheme="minorHAnsi"/>
          <w:sz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BH conflict has inflicted huge damages and losses on the physical infrastructure in the NE states, and social services have been interrupted or deteriorated in many places.</w:t>
      </w:r>
      <w:r w:rsidRPr="00FB6E71">
        <w:rPr>
          <w:rFonts w:asciiTheme="minorHAnsi" w:hAnsiTheme="minorHAnsi"/>
          <w:bCs/>
          <w:color w:val="auto"/>
          <w:sz w:val="22"/>
          <w:szCs w:val="22"/>
        </w:rPr>
        <w:t xml:space="preserve"> </w:t>
      </w:r>
      <w:r>
        <w:rPr>
          <w:rFonts w:asciiTheme="minorHAnsi" w:hAnsiTheme="minorHAnsi"/>
          <w:bCs/>
          <w:color w:val="auto"/>
          <w:sz w:val="22"/>
          <w:szCs w:val="22"/>
        </w:rPr>
        <w:t>More than t</w:t>
      </w:r>
      <w:r w:rsidRPr="00FB6E71">
        <w:rPr>
          <w:rFonts w:asciiTheme="minorHAnsi" w:hAnsiTheme="minorHAnsi"/>
          <w:bCs/>
          <w:color w:val="auto"/>
          <w:sz w:val="22"/>
          <w:szCs w:val="22"/>
        </w:rPr>
        <w:t xml:space="preserve">hree-quarters of the damages are in Borno (US$6.9 billion), followed by Yobe (US$1.2 billion) and Adamawa (US$828 million). The combined impact on the physical and social sectors has been so substantial that access to basic services has become a major issue for the residents of the conflict-affected areas. </w:t>
      </w:r>
      <w:r w:rsidRPr="00FB6E71">
        <w:rPr>
          <w:rFonts w:asciiTheme="minorHAnsi" w:hAnsiTheme="minorHAnsi"/>
          <w:color w:val="auto"/>
          <w:sz w:val="22"/>
        </w:rPr>
        <w:t>Damages and recovery needs are the highest among some of the following key public service delivery sectors:</w:t>
      </w:r>
    </w:p>
    <w:p w:rsidR="007F2DE7" w:rsidRPr="00FB6E71" w:rsidP="00302E0C">
      <w:pPr>
        <w:pStyle w:val="ListParagraph"/>
        <w:widowControl/>
        <w:numPr>
          <w:ilvl w:val="1"/>
          <w:numId w:val="26"/>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Transport</w:t>
      </w:r>
      <w:r>
        <w:rPr>
          <w:rFonts w:asciiTheme="minorHAnsi" w:hAnsiTheme="minorHAnsi"/>
          <w:b/>
          <w:bCs/>
          <w:color w:val="auto"/>
          <w:sz w:val="22"/>
          <w:szCs w:val="22"/>
        </w:rPr>
        <w:t>.</w:t>
      </w:r>
      <w:r w:rsidRPr="00FB6E71">
        <w:rPr>
          <w:rFonts w:asciiTheme="minorHAnsi" w:hAnsiTheme="minorHAnsi"/>
          <w:bCs/>
          <w:color w:val="auto"/>
          <w:sz w:val="22"/>
          <w:szCs w:val="22"/>
        </w:rPr>
        <w:t xml:space="preserve"> Roads and bridges have been damaged extensively by explosive devices and the unprecedented movement of military vehicles, seriously affecting the mobility of goods, services</w:t>
      </w:r>
      <w:r>
        <w:rPr>
          <w:rFonts w:asciiTheme="minorHAnsi" w:hAnsiTheme="minorHAnsi"/>
          <w:bCs/>
          <w:color w:val="auto"/>
          <w:sz w:val="22"/>
          <w:szCs w:val="22"/>
        </w:rPr>
        <w:t>,</w:t>
      </w:r>
      <w:r w:rsidRPr="00FB6E71">
        <w:rPr>
          <w:rFonts w:asciiTheme="minorHAnsi" w:hAnsiTheme="minorHAnsi"/>
          <w:bCs/>
          <w:color w:val="auto"/>
          <w:sz w:val="22"/>
          <w:szCs w:val="22"/>
        </w:rPr>
        <w:t xml:space="preserve"> and people. Destroyed and damaged local roads have limited residents’ access to markets, schools, health facilities, and other community services.</w:t>
      </w:r>
    </w:p>
    <w:p w:rsidR="007F2DE7" w:rsidRPr="00FB6E71" w:rsidP="00302E0C">
      <w:pPr>
        <w:pStyle w:val="ListParagraph"/>
        <w:widowControl/>
        <w:numPr>
          <w:ilvl w:val="1"/>
          <w:numId w:val="26"/>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Education</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The conflict has particularly affected the education and vocational systems, which were heavily targeted by the BH. Schools were damaged and destroyed, teachers were threatened and in some cases killed, and schools were transformed into shelters for IDP. Schools that are in operation across the three BAY states are overcrowded and are largely unable to meet the needs of the host population and IDP. </w:t>
      </w:r>
    </w:p>
    <w:p w:rsidR="007F2DE7" w:rsidRPr="00FB6E71" w:rsidP="00302E0C">
      <w:pPr>
        <w:pStyle w:val="ListParagraph"/>
        <w:widowControl/>
        <w:numPr>
          <w:ilvl w:val="1"/>
          <w:numId w:val="26"/>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Health</w:t>
      </w:r>
      <w:r>
        <w:rPr>
          <w:rFonts w:asciiTheme="minorHAnsi" w:hAnsiTheme="minorHAnsi"/>
          <w:b/>
          <w:bCs/>
          <w:color w:val="auto"/>
          <w:sz w:val="22"/>
          <w:szCs w:val="22"/>
        </w:rPr>
        <w:t>.</w:t>
      </w:r>
      <w:r w:rsidRPr="00FB6E71">
        <w:rPr>
          <w:rFonts w:asciiTheme="minorHAnsi" w:hAnsiTheme="minorHAnsi"/>
          <w:bCs/>
          <w:color w:val="auto"/>
          <w:sz w:val="22"/>
          <w:szCs w:val="22"/>
        </w:rPr>
        <w:t xml:space="preserve"> Health facilities have also been systematically targeted, leading to damage and destruction of hospitals, health centers</w:t>
      </w:r>
      <w:r>
        <w:rPr>
          <w:rFonts w:asciiTheme="minorHAnsi" w:hAnsiTheme="minorHAnsi"/>
          <w:bCs/>
          <w:color w:val="auto"/>
          <w:sz w:val="22"/>
          <w:szCs w:val="22"/>
        </w:rPr>
        <w:t>,</w:t>
      </w:r>
      <w:r w:rsidRPr="00FB6E71">
        <w:rPr>
          <w:rFonts w:asciiTheme="minorHAnsi" w:hAnsiTheme="minorHAnsi"/>
          <w:bCs/>
          <w:color w:val="auto"/>
          <w:sz w:val="22"/>
          <w:szCs w:val="22"/>
        </w:rPr>
        <w:t xml:space="preserve"> and nonpermanent facilities. As a result, the already weak health infrastructure in these states has further deteriorated. Even in communities where health facilities are functioning, lack of medicine</w:t>
      </w:r>
      <w:r>
        <w:rPr>
          <w:rFonts w:asciiTheme="minorHAnsi" w:hAnsiTheme="minorHAnsi"/>
          <w:bCs/>
          <w:color w:val="auto"/>
          <w:sz w:val="22"/>
          <w:szCs w:val="22"/>
        </w:rPr>
        <w:t>s</w:t>
      </w:r>
      <w:r w:rsidRPr="00FB6E71">
        <w:rPr>
          <w:rFonts w:asciiTheme="minorHAnsi" w:hAnsiTheme="minorHAnsi"/>
          <w:bCs/>
          <w:color w:val="auto"/>
          <w:sz w:val="22"/>
          <w:szCs w:val="22"/>
        </w:rPr>
        <w:t xml:space="preserve"> and the cost of treatment are key factors preventing IDP from accessing health services. </w:t>
      </w:r>
    </w:p>
    <w:p w:rsidR="007F2DE7" w:rsidRPr="00FB6E71" w:rsidP="00302E0C">
      <w:pPr>
        <w:pStyle w:val="ListParagraph"/>
        <w:widowControl/>
        <w:numPr>
          <w:ilvl w:val="1"/>
          <w:numId w:val="26"/>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 xml:space="preserve">Water and </w:t>
      </w:r>
      <w:r>
        <w:rPr>
          <w:rFonts w:asciiTheme="minorHAnsi" w:hAnsiTheme="minorHAnsi"/>
          <w:b/>
          <w:bCs/>
          <w:color w:val="auto"/>
          <w:sz w:val="22"/>
          <w:szCs w:val="22"/>
        </w:rPr>
        <w:t>s</w:t>
      </w:r>
      <w:r w:rsidRPr="00FB6E71">
        <w:rPr>
          <w:rFonts w:asciiTheme="minorHAnsi" w:hAnsiTheme="minorHAnsi"/>
          <w:b/>
          <w:bCs/>
          <w:color w:val="auto"/>
          <w:sz w:val="22"/>
          <w:szCs w:val="22"/>
        </w:rPr>
        <w:t>anitation</w:t>
      </w:r>
      <w:r>
        <w:rPr>
          <w:rFonts w:asciiTheme="minorHAnsi" w:hAnsiTheme="minorHAnsi"/>
          <w:b/>
          <w:bCs/>
          <w:color w:val="auto"/>
          <w:sz w:val="22"/>
          <w:szCs w:val="22"/>
        </w:rPr>
        <w:t>.</w:t>
      </w:r>
      <w:r w:rsidRPr="00FB6E71">
        <w:rPr>
          <w:rFonts w:asciiTheme="minorHAnsi" w:hAnsiTheme="minorHAnsi"/>
          <w:bCs/>
          <w:color w:val="auto"/>
          <w:sz w:val="22"/>
          <w:szCs w:val="22"/>
        </w:rPr>
        <w:t xml:space="preserve"> The conflict has seriously damaged water and sanitation infrastructure, and the increase in population due to the inflow of IDP has placed an additional burden on already strained water and sanitation facilities. The provision of sufficient water points and sanitation facilities is a priority need in locations where an influx of IDP has led to overcrowding and saturation of such facilities.</w:t>
      </w:r>
    </w:p>
    <w:p w:rsidR="007F2DE7" w:rsidRPr="00FB6E71" w:rsidP="00302E0C">
      <w:pPr>
        <w:pStyle w:val="ListParagraph"/>
        <w:widowControl/>
        <w:numPr>
          <w:ilvl w:val="1"/>
          <w:numId w:val="26"/>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 xml:space="preserve">Public </w:t>
      </w:r>
      <w:r>
        <w:rPr>
          <w:rFonts w:asciiTheme="minorHAnsi" w:hAnsiTheme="minorHAnsi"/>
          <w:b/>
          <w:bCs/>
          <w:color w:val="auto"/>
          <w:sz w:val="22"/>
          <w:szCs w:val="22"/>
        </w:rPr>
        <w:t>b</w:t>
      </w:r>
      <w:r w:rsidRPr="00FB6E71">
        <w:rPr>
          <w:rFonts w:asciiTheme="minorHAnsi" w:hAnsiTheme="minorHAnsi"/>
          <w:b/>
          <w:bCs/>
          <w:color w:val="auto"/>
          <w:sz w:val="22"/>
          <w:szCs w:val="22"/>
        </w:rPr>
        <w:t>uildings</w:t>
      </w:r>
      <w:r>
        <w:rPr>
          <w:rFonts w:asciiTheme="minorHAnsi" w:hAnsiTheme="minorHAnsi"/>
          <w:b/>
          <w:bCs/>
          <w:color w:val="auto"/>
          <w:sz w:val="22"/>
          <w:szCs w:val="22"/>
        </w:rPr>
        <w:t>.</w:t>
      </w:r>
      <w:r w:rsidRPr="00FB6E71">
        <w:rPr>
          <w:rFonts w:asciiTheme="minorHAnsi" w:hAnsiTheme="minorHAnsi"/>
          <w:bCs/>
          <w:color w:val="auto"/>
          <w:sz w:val="22"/>
          <w:szCs w:val="22"/>
        </w:rPr>
        <w:t xml:space="preserve"> In the conflict</w:t>
      </w:r>
      <w:r>
        <w:rPr>
          <w:rFonts w:asciiTheme="minorHAnsi" w:hAnsiTheme="minorHAnsi"/>
          <w:bCs/>
          <w:color w:val="auto"/>
          <w:sz w:val="22"/>
          <w:szCs w:val="22"/>
        </w:rPr>
        <w:t>-</w:t>
      </w:r>
      <w:r w:rsidRPr="00FB6E71">
        <w:rPr>
          <w:rFonts w:asciiTheme="minorHAnsi" w:hAnsiTheme="minorHAnsi"/>
          <w:bCs/>
          <w:color w:val="auto"/>
          <w:sz w:val="22"/>
          <w:szCs w:val="22"/>
        </w:rPr>
        <w:t>affected areas, nearly 700 public buildings were destroyed or rendered dysfunctional including police stations, jails, post offices</w:t>
      </w:r>
      <w:r>
        <w:rPr>
          <w:rFonts w:asciiTheme="minorHAnsi" w:hAnsiTheme="minorHAnsi"/>
          <w:bCs/>
          <w:color w:val="auto"/>
          <w:sz w:val="22"/>
          <w:szCs w:val="22"/>
        </w:rPr>
        <w:t>,</w:t>
      </w:r>
      <w:r w:rsidRPr="00FB6E71">
        <w:rPr>
          <w:rFonts w:asciiTheme="minorHAnsi" w:hAnsiTheme="minorHAnsi"/>
          <w:bCs/>
          <w:color w:val="auto"/>
          <w:sz w:val="22"/>
          <w:szCs w:val="22"/>
        </w:rPr>
        <w:t xml:space="preserve"> and other state and local administrative buildings which provided key municipal services to the residents. Recovering these services and rehabilitating these public buildings also</w:t>
      </w:r>
      <w:r>
        <w:rPr>
          <w:rFonts w:asciiTheme="minorHAnsi" w:hAnsiTheme="minorHAnsi"/>
          <w:bCs/>
          <w:color w:val="auto"/>
          <w:sz w:val="22"/>
          <w:szCs w:val="22"/>
        </w:rPr>
        <w:t>,</w:t>
      </w:r>
      <w:r w:rsidRPr="00FB6E71">
        <w:rPr>
          <w:rFonts w:asciiTheme="minorHAnsi" w:hAnsiTheme="minorHAnsi"/>
          <w:bCs/>
          <w:color w:val="auto"/>
          <w:sz w:val="22"/>
          <w:szCs w:val="22"/>
        </w:rPr>
        <w:t xml:space="preserve"> therefore</w:t>
      </w:r>
      <w:r>
        <w:rPr>
          <w:rFonts w:asciiTheme="minorHAnsi" w:hAnsiTheme="minorHAnsi"/>
          <w:bCs/>
          <w:color w:val="auto"/>
          <w:sz w:val="22"/>
          <w:szCs w:val="22"/>
        </w:rPr>
        <w:t>,</w:t>
      </w:r>
      <w:r w:rsidRPr="00FB6E71">
        <w:rPr>
          <w:rFonts w:asciiTheme="minorHAnsi" w:hAnsiTheme="minorHAnsi"/>
          <w:bCs/>
          <w:color w:val="auto"/>
          <w:sz w:val="22"/>
          <w:szCs w:val="22"/>
        </w:rPr>
        <w:t xml:space="preserve"> represents an urgent need and challenge for the affected states.</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Institutional Context</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federal and state governments have formulated several initiatives and plans for recovery and development in the NE.</w:t>
      </w:r>
      <w:r w:rsidRPr="00FB6E71">
        <w:rPr>
          <w:rFonts w:asciiTheme="minorHAnsi" w:hAnsiTheme="minorHAnsi"/>
          <w:bCs/>
          <w:color w:val="auto"/>
          <w:sz w:val="22"/>
          <w:szCs w:val="22"/>
        </w:rPr>
        <w:t xml:space="preserve"> Historically</w:t>
      </w:r>
      <w:r>
        <w:rPr>
          <w:rFonts w:asciiTheme="minorHAnsi" w:hAnsiTheme="minorHAnsi"/>
          <w:bCs/>
          <w:color w:val="auto"/>
          <w:sz w:val="22"/>
          <w:szCs w:val="22"/>
        </w:rPr>
        <w:t>,</w:t>
      </w:r>
      <w:r w:rsidRPr="00FB6E71">
        <w:rPr>
          <w:rFonts w:asciiTheme="minorHAnsi" w:hAnsiTheme="minorHAnsi"/>
          <w:bCs/>
          <w:color w:val="auto"/>
          <w:sz w:val="22"/>
          <w:szCs w:val="22"/>
        </w:rPr>
        <w:t xml:space="preserve"> these have included the Presidential Initiative for the N</w:t>
      </w:r>
      <w:r>
        <w:rPr>
          <w:rFonts w:asciiTheme="minorHAnsi" w:hAnsiTheme="minorHAnsi"/>
          <w:bCs/>
          <w:color w:val="auto"/>
          <w:sz w:val="22"/>
          <w:szCs w:val="22"/>
        </w:rPr>
        <w:t xml:space="preserve">orth </w:t>
      </w:r>
      <w:r w:rsidRPr="00FB6E71">
        <w:rPr>
          <w:rFonts w:asciiTheme="minorHAnsi" w:hAnsiTheme="minorHAnsi"/>
          <w:bCs/>
          <w:color w:val="auto"/>
          <w:sz w:val="22"/>
          <w:szCs w:val="22"/>
        </w:rPr>
        <w:t>E</w:t>
      </w:r>
      <w:r>
        <w:rPr>
          <w:rFonts w:asciiTheme="minorHAnsi" w:hAnsiTheme="minorHAnsi"/>
          <w:bCs/>
          <w:color w:val="auto"/>
          <w:sz w:val="22"/>
          <w:szCs w:val="22"/>
        </w:rPr>
        <w:t>ast</w:t>
      </w:r>
      <w:r w:rsidRPr="00FB6E71">
        <w:rPr>
          <w:rFonts w:asciiTheme="minorHAnsi" w:hAnsiTheme="minorHAnsi"/>
          <w:bCs/>
          <w:color w:val="auto"/>
          <w:sz w:val="22"/>
          <w:szCs w:val="22"/>
        </w:rPr>
        <w:t xml:space="preserve"> (PINE)</w:t>
      </w:r>
      <w:r>
        <w:rPr>
          <w:rFonts w:asciiTheme="minorHAnsi" w:hAnsiTheme="minorHAnsi"/>
          <w:bCs/>
          <w:color w:val="auto"/>
          <w:sz w:val="22"/>
          <w:szCs w:val="22"/>
        </w:rPr>
        <w:t xml:space="preserve"> and</w:t>
      </w:r>
      <w:r w:rsidRPr="00FB6E71">
        <w:rPr>
          <w:rFonts w:asciiTheme="minorHAnsi" w:hAnsiTheme="minorHAnsi"/>
          <w:bCs/>
          <w:color w:val="auto"/>
          <w:sz w:val="22"/>
          <w:szCs w:val="22"/>
        </w:rPr>
        <w:t xml:space="preserve"> the North East States Transformation Strategy (NESTS), and more recently, these have galvanized in the form of </w:t>
      </w:r>
      <w:r>
        <w:rPr>
          <w:rFonts w:asciiTheme="minorHAnsi" w:hAnsiTheme="minorHAnsi"/>
          <w:bCs/>
          <w:color w:val="auto"/>
          <w:sz w:val="22"/>
          <w:szCs w:val="22"/>
        </w:rPr>
        <w:t>t</w:t>
      </w:r>
      <w:r w:rsidRPr="00FB6E71">
        <w:rPr>
          <w:rFonts w:asciiTheme="minorHAnsi" w:hAnsiTheme="minorHAnsi"/>
          <w:bCs/>
          <w:color w:val="auto"/>
          <w:sz w:val="22"/>
          <w:szCs w:val="22"/>
        </w:rPr>
        <w:t xml:space="preserve">he Buhari Plan for NE Interventions. The Buhari Plan is an amalgamation of a number of plans focused on the NE, including the RPBA. At the same time, state-level prioritized Strategic Plans of Actions for Recovery and Stabilization (SPARS) are being developed by the BAY states to prioritize immediate needs and identify financing gaps. These are being developed based on extensive consultations with affected communities, ensuring a bottom-up and state-driven approach, to complement the implementation frameworks recommended in the Government’s RPBA and Buhari Plan.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Buhari Plan and the RPBA provide the analytical underpinnings for developing and operationalizing an overall programmatic implementation framework of crisis recovery for the NE.</w:t>
      </w:r>
      <w:r w:rsidRPr="00FB6E71">
        <w:rPr>
          <w:rFonts w:asciiTheme="minorHAnsi" w:hAnsiTheme="minorHAnsi"/>
          <w:bCs/>
          <w:color w:val="auto"/>
          <w:sz w:val="22"/>
          <w:szCs w:val="22"/>
        </w:rPr>
        <w:t xml:space="preserve"> The GoN, World Bank, and key development partners agreed that such an implementation framework w</w:t>
      </w:r>
      <w:r>
        <w:rPr>
          <w:rFonts w:asciiTheme="minorHAnsi" w:hAnsiTheme="minorHAnsi"/>
          <w:bCs/>
          <w:color w:val="auto"/>
          <w:sz w:val="22"/>
          <w:szCs w:val="22"/>
        </w:rPr>
        <w:t>ill</w:t>
      </w:r>
      <w:r w:rsidRPr="00FB6E71">
        <w:rPr>
          <w:rFonts w:asciiTheme="minorHAnsi" w:hAnsiTheme="minorHAnsi"/>
          <w:bCs/>
          <w:color w:val="auto"/>
          <w:sz w:val="22"/>
          <w:szCs w:val="22"/>
        </w:rPr>
        <w:t xml:space="preserve"> comprise the following five elements: (a) policy development; (b) prioritization and sequencing of recovery; (c) institutional framework and implementation strategy; (d) recovery financing strategy; and (e) program oversight and M&amp;E. This approach will allow the prioritization of both the immediate and medium-term needs identified in the RPBA, which will pave the way for incrementally addressing the longstanding developmental deficits identified in the Buhari Plan, </w:t>
      </w:r>
      <w:r>
        <w:rPr>
          <w:rFonts w:asciiTheme="minorHAnsi" w:hAnsiTheme="minorHAnsi"/>
          <w:bCs/>
          <w:color w:val="auto"/>
          <w:sz w:val="22"/>
          <w:szCs w:val="22"/>
        </w:rPr>
        <w:t xml:space="preserve">the </w:t>
      </w:r>
      <w:r w:rsidRPr="00FB6E71">
        <w:rPr>
          <w:rFonts w:asciiTheme="minorHAnsi" w:hAnsiTheme="minorHAnsi"/>
          <w:bCs/>
          <w:color w:val="auto"/>
          <w:sz w:val="22"/>
          <w:szCs w:val="22"/>
        </w:rPr>
        <w:t>PINE</w:t>
      </w:r>
      <w:r>
        <w:rPr>
          <w:rFonts w:asciiTheme="minorHAnsi" w:hAnsiTheme="minorHAnsi"/>
          <w:bCs/>
          <w:color w:val="auto"/>
          <w:sz w:val="22"/>
          <w:szCs w:val="22"/>
        </w:rPr>
        <w:t>,</w:t>
      </w:r>
      <w:r w:rsidRPr="00FB6E71">
        <w:rPr>
          <w:rFonts w:asciiTheme="minorHAnsi" w:hAnsiTheme="minorHAnsi"/>
          <w:bCs/>
          <w:color w:val="auto"/>
          <w:sz w:val="22"/>
          <w:szCs w:val="22"/>
        </w:rPr>
        <w:t xml:space="preserve"> and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NESTS.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auto"/>
          <w:sz w:val="22"/>
        </w:rPr>
        <w:t>At</w:t>
      </w:r>
      <w:r w:rsidRPr="00FB6E71">
        <w:rPr>
          <w:rFonts w:asciiTheme="minorHAnsi" w:hAnsiTheme="minorHAnsi"/>
          <w:color w:val="auto"/>
          <w:sz w:val="22"/>
        </w:rPr>
        <w:t xml:space="preserve"> </w:t>
      </w:r>
      <w:r w:rsidRPr="00FB6E71">
        <w:rPr>
          <w:rFonts w:asciiTheme="minorHAnsi" w:hAnsiTheme="minorHAnsi"/>
          <w:b/>
          <w:color w:val="auto"/>
          <w:sz w:val="22"/>
        </w:rPr>
        <w:t>the federal level, the institutional landscape for the coordination and oversight of the Government’s NE recovery program is firming up.</w:t>
      </w:r>
      <w:r w:rsidRPr="00FB6E71">
        <w:rPr>
          <w:rFonts w:asciiTheme="minorHAnsi" w:hAnsiTheme="minorHAnsi"/>
          <w:color w:val="auto"/>
          <w:sz w:val="22"/>
        </w:rPr>
        <w:t xml:space="preserve"> </w:t>
      </w:r>
      <w:r w:rsidRPr="00FB6E71">
        <w:rPr>
          <w:rFonts w:asciiTheme="minorHAnsi" w:hAnsiTheme="minorHAnsi"/>
          <w:bCs/>
          <w:color w:val="auto"/>
          <w:sz w:val="22"/>
          <w:szCs w:val="22"/>
        </w:rPr>
        <w:t>T</w:t>
      </w:r>
      <w:r w:rsidRPr="00FB6E71">
        <w:rPr>
          <w:rFonts w:asciiTheme="minorHAnsi" w:hAnsiTheme="minorHAnsi"/>
          <w:color w:val="auto"/>
          <w:sz w:val="22"/>
        </w:rPr>
        <w:t xml:space="preserve">he </w:t>
      </w:r>
      <w:r w:rsidRPr="00FB6E71">
        <w:rPr>
          <w:rFonts w:asciiTheme="minorHAnsi" w:hAnsiTheme="minorHAnsi"/>
          <w:bCs/>
          <w:color w:val="auto"/>
          <w:sz w:val="22"/>
          <w:szCs w:val="22"/>
        </w:rPr>
        <w:t xml:space="preserve">mandate for the Presidential Committee for the North East Initiative (PCNI) was formalized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Presidential Executive Order from President Buhari in September 2016. </w:t>
      </w:r>
      <w:r>
        <w:rPr>
          <w:rFonts w:asciiTheme="minorHAnsi" w:hAnsiTheme="minorHAnsi"/>
          <w:bCs/>
          <w:color w:val="auto"/>
          <w:sz w:val="22"/>
          <w:szCs w:val="22"/>
        </w:rPr>
        <w:t xml:space="preserve">The </w:t>
      </w:r>
      <w:r w:rsidRPr="00FB6E71">
        <w:rPr>
          <w:rFonts w:asciiTheme="minorHAnsi" w:hAnsiTheme="minorHAnsi"/>
          <w:bCs/>
          <w:color w:val="auto"/>
          <w:sz w:val="22"/>
          <w:szCs w:val="22"/>
        </w:rPr>
        <w:t>PCNI will serve as the primary national strategy, coordination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advisory body in the </w:t>
      </w:r>
      <w:r>
        <w:rPr>
          <w:rFonts w:asciiTheme="minorHAnsi" w:hAnsiTheme="minorHAnsi"/>
          <w:bCs/>
          <w:color w:val="auto"/>
          <w:sz w:val="22"/>
          <w:szCs w:val="22"/>
        </w:rPr>
        <w:t>f</w:t>
      </w:r>
      <w:r w:rsidRPr="00FB6E71">
        <w:rPr>
          <w:rFonts w:asciiTheme="minorHAnsi" w:hAnsiTheme="minorHAnsi"/>
          <w:bCs/>
          <w:color w:val="auto"/>
          <w:sz w:val="22"/>
          <w:szCs w:val="22"/>
        </w:rPr>
        <w:t>ederation for the transformational and developmental efforts in the NE to achieve peace, stability, socioeconomic rehabilitation, reconstruction</w:t>
      </w:r>
      <w:r>
        <w:rPr>
          <w:rFonts w:asciiTheme="minorHAnsi" w:hAnsiTheme="minorHAnsi"/>
          <w:bCs/>
          <w:color w:val="auto"/>
          <w:sz w:val="22"/>
          <w:szCs w:val="22"/>
        </w:rPr>
        <w:t>,</w:t>
      </w:r>
      <w:r w:rsidRPr="00FB6E71">
        <w:rPr>
          <w:rFonts w:asciiTheme="minorHAnsi" w:hAnsiTheme="minorHAnsi"/>
          <w:bCs/>
          <w:color w:val="auto"/>
          <w:sz w:val="22"/>
          <w:szCs w:val="22"/>
        </w:rPr>
        <w:t xml:space="preserve"> and long-term sustainable development of the region</w:t>
      </w:r>
      <w:r w:rsidRPr="00FB6E71">
        <w:rPr>
          <w:rFonts w:asciiTheme="minorHAnsi" w:hAnsiTheme="minorHAnsi"/>
          <w:color w:val="auto"/>
          <w:sz w:val="22"/>
        </w:rPr>
        <w:t>.</w:t>
      </w:r>
      <w:r>
        <w:rPr>
          <w:rStyle w:val="FootnoteReference"/>
          <w:rFonts w:asciiTheme="minorHAnsi" w:hAnsiTheme="minorHAnsi"/>
          <w:color w:val="auto"/>
          <w:sz w:val="22"/>
        </w:rPr>
        <w:footnoteReference w:id="6"/>
      </w:r>
      <w:r w:rsidRPr="00FB6E71">
        <w:rPr>
          <w:rFonts w:asciiTheme="minorHAnsi" w:hAnsiTheme="minorHAnsi"/>
          <w:bCs/>
          <w:color w:val="auto"/>
          <w:sz w:val="22"/>
          <w:szCs w:val="22"/>
        </w:rPr>
        <w:t xml:space="preserve"> This mandate will focus on coordination and oversight and not </w:t>
      </w:r>
      <w:r>
        <w:rPr>
          <w:rFonts w:asciiTheme="minorHAnsi" w:hAnsiTheme="minorHAnsi"/>
          <w:bCs/>
          <w:color w:val="auto"/>
          <w:sz w:val="22"/>
          <w:szCs w:val="22"/>
        </w:rPr>
        <w:t xml:space="preserve">on </w:t>
      </w:r>
      <w:r w:rsidRPr="00FB6E71">
        <w:rPr>
          <w:rFonts w:asciiTheme="minorHAnsi" w:hAnsiTheme="minorHAnsi"/>
          <w:bCs/>
          <w:color w:val="auto"/>
          <w:sz w:val="22"/>
          <w:szCs w:val="22"/>
        </w:rPr>
        <w:t>implementation. According to the Presidential Executive Order, the PCNI will have a tenure of three years, by which time</w:t>
      </w:r>
      <w:r>
        <w:rPr>
          <w:rFonts w:asciiTheme="minorHAnsi" w:hAnsiTheme="minorHAnsi"/>
          <w:bCs/>
          <w:color w:val="auto"/>
          <w:sz w:val="22"/>
          <w:szCs w:val="22"/>
        </w:rPr>
        <w:t>,</w:t>
      </w:r>
      <w:r w:rsidRPr="00FB6E71">
        <w:rPr>
          <w:rFonts w:asciiTheme="minorHAnsi" w:hAnsiTheme="minorHAnsi"/>
          <w:bCs/>
          <w:color w:val="auto"/>
          <w:sz w:val="22"/>
          <w:szCs w:val="22"/>
        </w:rPr>
        <w:t xml:space="preserve"> a long-term regional development framework or entity is expected to be designed and formalized to drive the long-term development of the NE region. In parallel, the Federal Ministry of Budget and National Planning (FMBNP) is leading a high-level task force on the coordination of humanitarian relief efforts in the NE.</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auto"/>
          <w:sz w:val="22"/>
        </w:rPr>
        <w:t xml:space="preserve">At the state level, multi-sector coordination forums are needed, or existing coordination mechanisms should be strengthened to manage recovery and stabilization programs. </w:t>
      </w:r>
      <w:r w:rsidRPr="00FB6E71">
        <w:rPr>
          <w:rFonts w:asciiTheme="minorHAnsi" w:hAnsiTheme="minorHAnsi"/>
          <w:color w:val="auto"/>
          <w:sz w:val="22"/>
        </w:rPr>
        <w:t>Borno and Adamawa already have some mechanisms in place that can provide a starting basis for the evolution of such state-level coordinating bodies, including the establishment of a Ministry of Reconstruction, Rehabilitation</w:t>
      </w:r>
      <w:r>
        <w:rPr>
          <w:rFonts w:asciiTheme="minorHAnsi" w:hAnsiTheme="minorHAnsi"/>
          <w:color w:val="auto"/>
          <w:sz w:val="22"/>
        </w:rPr>
        <w:t>,</w:t>
      </w:r>
      <w:r w:rsidRPr="00FB6E71">
        <w:rPr>
          <w:rFonts w:asciiTheme="minorHAnsi" w:hAnsiTheme="minorHAnsi"/>
          <w:color w:val="auto"/>
          <w:sz w:val="22"/>
        </w:rPr>
        <w:t xml:space="preserve"> and Resettlement in Borno and a state-level committee in Adamawa. Yobe is in the process of setting up structures to perform these functions. These coordination bodies are expected to play a critical role in coordinating</w:t>
      </w:r>
      <w:r>
        <w:rPr>
          <w:rFonts w:asciiTheme="minorHAnsi" w:hAnsiTheme="minorHAnsi"/>
          <w:color w:val="auto"/>
          <w:sz w:val="22"/>
        </w:rPr>
        <w:t xml:space="preserve"> with</w:t>
      </w:r>
      <w:r w:rsidRPr="00FB6E71">
        <w:rPr>
          <w:rFonts w:asciiTheme="minorHAnsi" w:hAnsiTheme="minorHAnsi"/>
          <w:color w:val="auto"/>
          <w:sz w:val="22"/>
        </w:rPr>
        <w:t xml:space="preserve"> the World Bank and other development partner projects at the state level.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b/>
                <w:color w:val="172D5F"/>
                <w:sz w:val="22"/>
                <w:szCs w:val="22"/>
              </w:rPr>
            </w:pPr>
            <w:bookmarkStart w:id="17" w:name="_Toc256000003"/>
            <w:bookmarkStart w:id="18" w:name="_Toc433982408"/>
            <w:bookmarkStart w:id="19" w:name="_Toc460509190"/>
            <w:bookmarkStart w:id="20" w:name="_Toc476558105"/>
            <w:r w:rsidRPr="00FB6E71">
              <w:rPr>
                <w:rFonts w:asciiTheme="minorHAnsi" w:hAnsiTheme="minorHAnsi"/>
                <w:b/>
                <w:bCs/>
                <w:color w:val="172D5F"/>
                <w:sz w:val="22"/>
                <w:szCs w:val="22"/>
              </w:rPr>
              <w:t>C. Higher-level Objectives to which the Project Contributes</w:t>
            </w:r>
            <w:bookmarkEnd w:id="17"/>
            <w:bookmarkEnd w:id="18"/>
            <w:bookmarkEnd w:id="19"/>
            <w:bookmarkEnd w:id="20"/>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proposed operation will contribute to the World Bank’s global twin goals of eliminating extreme poverty and boosting shared prosperity.</w:t>
      </w:r>
      <w:r w:rsidRPr="00FB6E71">
        <w:rPr>
          <w:rFonts w:asciiTheme="minorHAnsi" w:hAnsiTheme="minorHAnsi"/>
          <w:bCs/>
          <w:color w:val="auto"/>
          <w:sz w:val="22"/>
          <w:szCs w:val="22"/>
        </w:rPr>
        <w:t xml:space="preserve"> By rehabilitating basic service delivery infrastructure in the affected areas and by providing support to rebuild social cohesion at the community level, the proposed MCRP interventions aim to improve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living conditions of the residents of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affected areas, provide the means for reducing extreme poverty, and strengthen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social platforms necessary for them to enjoy </w:t>
      </w:r>
      <w:r w:rsidRPr="00FB6E71">
        <w:rPr>
          <w:rFonts w:asciiTheme="minorHAnsi" w:hAnsiTheme="minorHAnsi"/>
          <w:color w:val="auto"/>
          <w:sz w:val="22"/>
        </w:rPr>
        <w:t>the</w:t>
      </w:r>
      <w:r w:rsidRPr="00FB6E71">
        <w:rPr>
          <w:rFonts w:asciiTheme="minorHAnsi" w:hAnsiTheme="minorHAnsi"/>
          <w:bCs/>
          <w:color w:val="auto"/>
          <w:sz w:val="22"/>
          <w:szCs w:val="22"/>
        </w:rPr>
        <w:t xml:space="preserve"> benefits of shared prosperity. Given that this project is supporting the BAY states in the NE region, where the country’s highest concentration of poor population resides,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will, through providing substantial support to rehabilitate the services and restore the lives and livelihoods, contribute to mitigate the severe poverty situation in the NE region as well as in the country as a whole.</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operation is also fully aligned with the World Bank’s Country Partnership Strategy for Nigeria.</w:t>
      </w:r>
      <w:r w:rsidRPr="00FB6E71">
        <w:rPr>
          <w:rFonts w:asciiTheme="minorHAnsi" w:hAnsiTheme="minorHAnsi"/>
          <w:bCs/>
          <w:color w:val="auto"/>
          <w:sz w:val="22"/>
          <w:szCs w:val="22"/>
        </w:rPr>
        <w:t xml:space="preserve"> The Country Partnership Strategy for FY14–FY17</w:t>
      </w:r>
      <w:r>
        <w:rPr>
          <w:rFonts w:asciiTheme="minorHAnsi" w:hAnsiTheme="minorHAnsi"/>
          <w:bCs/>
          <w:color w:val="auto"/>
          <w:sz w:val="22"/>
          <w:szCs w:val="22"/>
        </w:rPr>
        <w:t xml:space="preserve"> (Report No. 82501-NG)</w:t>
      </w:r>
      <w:r w:rsidRPr="00FB6E71">
        <w:rPr>
          <w:rFonts w:asciiTheme="minorHAnsi" w:hAnsiTheme="minorHAnsi"/>
          <w:bCs/>
          <w:color w:val="auto"/>
          <w:sz w:val="22"/>
          <w:szCs w:val="22"/>
        </w:rPr>
        <w:t xml:space="preserve"> is structured around three strategic priorities: </w:t>
      </w:r>
      <w:r>
        <w:rPr>
          <w:rFonts w:asciiTheme="minorHAnsi" w:hAnsiTheme="minorHAnsi"/>
          <w:bCs/>
          <w:color w:val="auto"/>
          <w:sz w:val="22"/>
          <w:szCs w:val="22"/>
        </w:rPr>
        <w:t>(a</w:t>
      </w:r>
      <w:r w:rsidRPr="00FB6E71">
        <w:rPr>
          <w:rFonts w:asciiTheme="minorHAnsi" w:hAnsiTheme="minorHAnsi"/>
          <w:bCs/>
          <w:color w:val="auto"/>
          <w:sz w:val="22"/>
          <w:szCs w:val="22"/>
        </w:rPr>
        <w:t>) promoting diversified growth and job creation</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(b</w:t>
      </w:r>
      <w:r w:rsidRPr="00FB6E71">
        <w:rPr>
          <w:rFonts w:asciiTheme="minorHAnsi" w:hAnsiTheme="minorHAnsi"/>
          <w:bCs/>
          <w:color w:val="auto"/>
          <w:sz w:val="22"/>
          <w:szCs w:val="22"/>
        </w:rPr>
        <w:t>) improving the quality and efficiency of social service delivery at the state level to promote social inclusion</w:t>
      </w:r>
      <w:r>
        <w:rPr>
          <w:rFonts w:asciiTheme="minorHAnsi" w:hAnsiTheme="minorHAnsi"/>
          <w:bCs/>
          <w:color w:val="auto"/>
          <w:sz w:val="22"/>
          <w:szCs w:val="22"/>
        </w:rPr>
        <w:t>,</w:t>
      </w:r>
      <w:r w:rsidRPr="00FB6E71">
        <w:rPr>
          <w:rFonts w:asciiTheme="minorHAnsi" w:hAnsiTheme="minorHAnsi"/>
          <w:bCs/>
          <w:color w:val="auto"/>
          <w:sz w:val="22"/>
          <w:szCs w:val="22"/>
        </w:rPr>
        <w:t xml:space="preserve"> and </w:t>
      </w:r>
      <w:r>
        <w:rPr>
          <w:rFonts w:asciiTheme="minorHAnsi" w:hAnsiTheme="minorHAnsi"/>
          <w:bCs/>
          <w:color w:val="auto"/>
          <w:sz w:val="22"/>
          <w:szCs w:val="22"/>
        </w:rPr>
        <w:t>(c</w:t>
      </w:r>
      <w:r w:rsidRPr="00FB6E71">
        <w:rPr>
          <w:rFonts w:asciiTheme="minorHAnsi" w:hAnsiTheme="minorHAnsi"/>
          <w:bCs/>
          <w:color w:val="auto"/>
          <w:sz w:val="22"/>
          <w:szCs w:val="22"/>
        </w:rPr>
        <w:t xml:space="preserve">) strengthening governance and public sector management with gender equity and conflict sensitivity. The proposed operation lies at the heart of the second priority in that it will significantly improve social services in three NE states by recovering and rebuilding infrastructure and social service facilities with the </w:t>
      </w:r>
      <w:r>
        <w:rPr>
          <w:rFonts w:asciiTheme="minorHAnsi" w:hAnsiTheme="minorHAnsi"/>
          <w:bCs/>
          <w:color w:val="auto"/>
          <w:sz w:val="22"/>
          <w:szCs w:val="22"/>
        </w:rPr>
        <w:t>‘</w:t>
      </w:r>
      <w:r w:rsidRPr="00FB6E71">
        <w:rPr>
          <w:rFonts w:asciiTheme="minorHAnsi" w:hAnsiTheme="minorHAnsi"/>
          <w:bCs/>
          <w:color w:val="auto"/>
          <w:sz w:val="22"/>
          <w:szCs w:val="22"/>
        </w:rPr>
        <w:t>building back better</w:t>
      </w:r>
      <w:r>
        <w:rPr>
          <w:rFonts w:asciiTheme="minorHAnsi" w:hAnsiTheme="minorHAnsi"/>
          <w:bCs/>
          <w:color w:val="auto"/>
          <w:sz w:val="22"/>
          <w:szCs w:val="22"/>
        </w:rPr>
        <w:t>’</w:t>
      </w:r>
      <w:r w:rsidRPr="00FB6E71">
        <w:rPr>
          <w:rFonts w:asciiTheme="minorHAnsi" w:hAnsiTheme="minorHAnsi"/>
          <w:bCs/>
          <w:color w:val="auto"/>
          <w:sz w:val="22"/>
          <w:szCs w:val="22"/>
        </w:rPr>
        <w:t xml:space="preserve"> principle. It also responds to the third priority by providing technical support to the states for social cohesion and peace building efforts while promoting gender equity and conflict sensitivity as key guiding principles for project design and implementation.</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MCRP fully aligns with and is an integral part of the broader recovery strategic framework outlined in the RPBA toward the GoN’s priority agenda of affecting sustainable and resilient crisis recovery in the NE region. </w:t>
      </w:r>
      <w:r w:rsidRPr="00FB6E71">
        <w:rPr>
          <w:rFonts w:asciiTheme="minorHAnsi" w:hAnsiTheme="minorHAnsi"/>
          <w:bCs/>
          <w:color w:val="auto"/>
          <w:sz w:val="22"/>
          <w:szCs w:val="22"/>
        </w:rPr>
        <w:t>The proposed objectives of the MCRP are aligned with the four strategic outcomes for recovery and peace building set out by the RPBA, including (a) safe, voluntary</w:t>
      </w:r>
      <w:r>
        <w:rPr>
          <w:rFonts w:asciiTheme="minorHAnsi" w:hAnsiTheme="minorHAnsi"/>
          <w:bCs/>
          <w:color w:val="auto"/>
          <w:sz w:val="22"/>
          <w:szCs w:val="22"/>
        </w:rPr>
        <w:t>,</w:t>
      </w:r>
      <w:r w:rsidRPr="00FB6E71">
        <w:rPr>
          <w:rFonts w:asciiTheme="minorHAnsi" w:hAnsiTheme="minorHAnsi"/>
          <w:bCs/>
          <w:color w:val="auto"/>
          <w:sz w:val="22"/>
          <w:szCs w:val="22"/>
        </w:rPr>
        <w:t xml:space="preserve"> and dignified return resettlement of displaced populations; (b) improved human security, reconciliation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violence prevention; (c) enhanced government accountability and citizen engagement in service delivery; and (d) increased equity in the provision of basic services and employment opportunities.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MCRP has been designed in a complementary manner with the World Bank AF operations, becoming an integral part of the World Bank response to the NE. </w:t>
      </w:r>
      <w:r w:rsidRPr="00FB6E71">
        <w:rPr>
          <w:rFonts w:asciiTheme="minorHAnsi" w:hAnsiTheme="minorHAnsi"/>
          <w:bCs/>
          <w:color w:val="auto"/>
          <w:sz w:val="22"/>
          <w:szCs w:val="22"/>
        </w:rPr>
        <w:t xml:space="preserve">The immediate World Bank response includes the following Board-approved AF projects: the Community and Social Development </w:t>
      </w:r>
      <w:r>
        <w:rPr>
          <w:rFonts w:asciiTheme="minorHAnsi" w:hAnsiTheme="minorHAnsi"/>
          <w:bCs/>
          <w:color w:val="auto"/>
          <w:sz w:val="22"/>
          <w:szCs w:val="22"/>
        </w:rPr>
        <w:t>AF-2</w:t>
      </w:r>
      <w:r w:rsidRPr="00FB6E71">
        <w:rPr>
          <w:rFonts w:asciiTheme="minorHAnsi" w:hAnsiTheme="minorHAnsi"/>
          <w:bCs/>
          <w:color w:val="auto"/>
          <w:sz w:val="22"/>
          <w:szCs w:val="22"/>
        </w:rPr>
        <w:t xml:space="preserve"> (CSDP - P157898), the Youth Employment and Social Support </w:t>
      </w:r>
      <w:r>
        <w:rPr>
          <w:rFonts w:asciiTheme="minorHAnsi" w:hAnsiTheme="minorHAnsi"/>
          <w:bCs/>
          <w:color w:val="auto"/>
          <w:sz w:val="22"/>
          <w:szCs w:val="22"/>
        </w:rPr>
        <w:t>AF</w:t>
      </w:r>
      <w:r w:rsidRPr="00FB6E71">
        <w:rPr>
          <w:rFonts w:asciiTheme="minorHAnsi" w:hAnsiTheme="minorHAnsi"/>
          <w:bCs/>
          <w:color w:val="auto"/>
          <w:sz w:val="22"/>
          <w:szCs w:val="22"/>
        </w:rPr>
        <w:t xml:space="preserve"> (YESSO - </w:t>
      </w:r>
      <w:r w:rsidRPr="00FB6E71">
        <w:rPr>
          <w:rFonts w:asciiTheme="minorHAnsi" w:hAnsiTheme="minorHAnsi"/>
          <w:bCs/>
          <w:iCs/>
          <w:color w:val="auto"/>
          <w:sz w:val="22"/>
          <w:szCs w:val="22"/>
        </w:rPr>
        <w:t>P157899</w:t>
      </w:r>
      <w:r w:rsidRPr="00FB6E71">
        <w:rPr>
          <w:rFonts w:asciiTheme="minorHAnsi" w:hAnsiTheme="minorHAnsi"/>
          <w:bCs/>
          <w:color w:val="auto"/>
          <w:sz w:val="22"/>
          <w:szCs w:val="22"/>
        </w:rPr>
        <w:t xml:space="preserve">), the </w:t>
      </w:r>
      <w:r>
        <w:rPr>
          <w:rFonts w:asciiTheme="minorHAnsi" w:hAnsiTheme="minorHAnsi"/>
          <w:bCs/>
          <w:color w:val="auto"/>
          <w:sz w:val="22"/>
          <w:szCs w:val="22"/>
        </w:rPr>
        <w:t xml:space="preserve">Additional Financing </w:t>
      </w:r>
      <w:r w:rsidRPr="00FB6E71">
        <w:rPr>
          <w:rFonts w:asciiTheme="minorHAnsi" w:hAnsiTheme="minorHAnsi"/>
          <w:bCs/>
          <w:color w:val="auto"/>
          <w:sz w:val="22"/>
          <w:szCs w:val="22"/>
        </w:rPr>
        <w:t>Nigeria State Health Investment Pro</w:t>
      </w:r>
      <w:r>
        <w:rPr>
          <w:rFonts w:asciiTheme="minorHAnsi" w:hAnsiTheme="minorHAnsi"/>
          <w:bCs/>
          <w:color w:val="auto"/>
          <w:sz w:val="22"/>
          <w:szCs w:val="22"/>
        </w:rPr>
        <w:t>ject</w:t>
      </w:r>
      <w:r w:rsidRPr="00FB6E71">
        <w:rPr>
          <w:rFonts w:asciiTheme="minorHAnsi" w:hAnsiTheme="minorHAnsi"/>
          <w:bCs/>
          <w:color w:val="auto"/>
          <w:sz w:val="22"/>
          <w:szCs w:val="22"/>
        </w:rPr>
        <w:t xml:space="preserve"> (NSHIP - </w:t>
      </w:r>
      <w:r w:rsidRPr="00FB6E71">
        <w:rPr>
          <w:rFonts w:asciiTheme="minorHAnsi" w:hAnsiTheme="minorHAnsi"/>
          <w:bCs/>
          <w:iCs/>
          <w:color w:val="auto"/>
          <w:sz w:val="22"/>
          <w:szCs w:val="22"/>
        </w:rPr>
        <w:t>P157977</w:t>
      </w:r>
      <w:r w:rsidRPr="00FB6E71">
        <w:rPr>
          <w:rFonts w:asciiTheme="minorHAnsi" w:hAnsiTheme="minorHAnsi"/>
          <w:bCs/>
          <w:color w:val="auto"/>
          <w:sz w:val="22"/>
          <w:szCs w:val="22"/>
        </w:rPr>
        <w:t xml:space="preserve">), the Additional </w:t>
      </w:r>
      <w:r>
        <w:rPr>
          <w:rFonts w:asciiTheme="minorHAnsi" w:hAnsiTheme="minorHAnsi"/>
          <w:bCs/>
          <w:color w:val="auto"/>
          <w:sz w:val="22"/>
          <w:szCs w:val="22"/>
        </w:rPr>
        <w:t>Financing NG-</w:t>
      </w:r>
      <w:r w:rsidRPr="00FB6E71">
        <w:rPr>
          <w:rFonts w:asciiTheme="minorHAnsi" w:hAnsiTheme="minorHAnsi"/>
          <w:bCs/>
          <w:color w:val="auto"/>
          <w:sz w:val="22"/>
          <w:szCs w:val="22"/>
        </w:rPr>
        <w:t xml:space="preserve"> Polio Eradication Support Project (P158557), </w:t>
      </w:r>
      <w:r>
        <w:rPr>
          <w:rFonts w:asciiTheme="minorHAnsi" w:hAnsiTheme="minorHAnsi"/>
          <w:bCs/>
          <w:color w:val="auto"/>
          <w:sz w:val="22"/>
          <w:szCs w:val="22"/>
        </w:rPr>
        <w:t>AF -</w:t>
      </w:r>
      <w:r w:rsidRPr="00FB6E71">
        <w:rPr>
          <w:rFonts w:asciiTheme="minorHAnsi" w:hAnsiTheme="minorHAnsi"/>
          <w:bCs/>
          <w:color w:val="auto"/>
          <w:sz w:val="22"/>
          <w:szCs w:val="22"/>
        </w:rPr>
        <w:t xml:space="preserve"> State Education Program Investment Project (SEPIP - </w:t>
      </w:r>
      <w:r w:rsidRPr="00FB6E71">
        <w:rPr>
          <w:rFonts w:asciiTheme="minorHAnsi" w:hAnsiTheme="minorHAnsi"/>
          <w:bCs/>
          <w:iCs/>
          <w:color w:val="auto"/>
          <w:sz w:val="22"/>
          <w:szCs w:val="22"/>
        </w:rPr>
        <w:t>P157890</w:t>
      </w:r>
      <w:r w:rsidRPr="00FB6E71">
        <w:rPr>
          <w:rFonts w:asciiTheme="minorHAnsi" w:hAnsiTheme="minorHAnsi"/>
          <w:bCs/>
          <w:color w:val="auto"/>
          <w:sz w:val="22"/>
          <w:szCs w:val="22"/>
        </w:rPr>
        <w:t>)</w:t>
      </w:r>
      <w:r>
        <w:rPr>
          <w:rFonts w:asciiTheme="minorHAnsi" w:hAnsiTheme="minorHAnsi"/>
          <w:bCs/>
          <w:color w:val="auto"/>
          <w:sz w:val="22"/>
          <w:szCs w:val="22"/>
        </w:rPr>
        <w:t>,</w:t>
      </w:r>
      <w:r w:rsidRPr="00FB6E71">
        <w:rPr>
          <w:rFonts w:asciiTheme="minorHAnsi" w:hAnsiTheme="minorHAnsi"/>
          <w:bCs/>
          <w:color w:val="auto"/>
          <w:sz w:val="22"/>
          <w:szCs w:val="22"/>
        </w:rPr>
        <w:t xml:space="preserve"> and the Third National Fadama Development Project (FADAMA III - P096572).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proposed MCRP approach is also aligned with the analytical conclusions and guidelines provided by the recent study of forced displacement in the Lake Chad region</w:t>
      </w:r>
      <w:r>
        <w:rPr>
          <w:rFonts w:asciiTheme="minorHAnsi" w:hAnsiTheme="minorHAnsi"/>
          <w:b/>
          <w:bCs/>
          <w:color w:val="auto"/>
          <w:sz w:val="22"/>
          <w:szCs w:val="22"/>
        </w:rPr>
        <w:t xml:space="preserve"> conducted by the </w:t>
      </w:r>
      <w:r w:rsidRPr="00FB6E71">
        <w:rPr>
          <w:rFonts w:asciiTheme="minorHAnsi" w:hAnsiTheme="minorHAnsi"/>
          <w:b/>
          <w:bCs/>
          <w:color w:val="auto"/>
          <w:sz w:val="22"/>
          <w:szCs w:val="22"/>
        </w:rPr>
        <w:t>United Nations High Commissioner for Refugees (UNHCR)-World Bank.</w:t>
      </w:r>
      <w:r>
        <w:rPr>
          <w:rFonts w:asciiTheme="minorHAnsi" w:hAnsiTheme="minorHAnsi"/>
          <w:b/>
          <w:bCs/>
          <w:sz w:val="22"/>
          <w:szCs w:val="22"/>
          <w:vertAlign w:val="superscript"/>
        </w:rPr>
        <w:footnoteReference w:id="7"/>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This entails the incorporation of the principle of providing integral and holistic responses to forced displacement, focusing on the needs of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displaced population and host communities in a joint and comprehensive manner, between </w:t>
      </w:r>
      <w:r>
        <w:rPr>
          <w:rFonts w:asciiTheme="minorHAnsi" w:hAnsiTheme="minorHAnsi"/>
          <w:bCs/>
          <w:color w:val="auto"/>
          <w:sz w:val="22"/>
          <w:szCs w:val="22"/>
        </w:rPr>
        <w:t>the G</w:t>
      </w:r>
      <w:r w:rsidRPr="00FB6E71">
        <w:rPr>
          <w:rFonts w:asciiTheme="minorHAnsi" w:hAnsiTheme="minorHAnsi"/>
          <w:bCs/>
          <w:color w:val="auto"/>
          <w:sz w:val="22"/>
          <w:szCs w:val="22"/>
        </w:rPr>
        <w:t>overnment, communities, and development partners.</w:t>
      </w:r>
      <w:r>
        <w:rPr>
          <w:rFonts w:asciiTheme="minorHAnsi" w:hAnsiTheme="minorHAnsi"/>
          <w:bCs/>
          <w:sz w:val="22"/>
          <w:szCs w:val="22"/>
          <w:vertAlign w:val="superscript"/>
        </w:rPr>
        <w:footnoteReference w:id="8"/>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962"/>
      </w:tblGrid>
      <w:tr w:rsidTr="007F2DE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432"/>
        </w:trPr>
        <w:tc>
          <w:tcPr>
            <w:tcW w:w="10962" w:type="dxa"/>
            <w:shd w:val="clear" w:color="auto" w:fill="F2F2F2"/>
            <w:vAlign w:val="center"/>
          </w:tcPr>
          <w:p w:rsidR="007F2DE7" w:rsidRPr="00FB6E71" w:rsidP="007F2DE7">
            <w:pPr>
              <w:pStyle w:val="NoSpacing"/>
              <w:keepNext/>
              <w:keepLines/>
              <w:widowControl/>
              <w:numPr>
                <w:ilvl w:val="0"/>
                <w:numId w:val="1"/>
              </w:numPr>
              <w:ind w:left="288" w:hanging="288"/>
              <w:outlineLvl w:val="0"/>
              <w:rPr>
                <w:sz w:val="22"/>
                <w:szCs w:val="22"/>
              </w:rPr>
            </w:pPr>
            <w:bookmarkStart w:id="21" w:name="_Toc256000004"/>
            <w:bookmarkStart w:id="22" w:name="_Toc433982409"/>
            <w:bookmarkStart w:id="23" w:name="_Toc460509191"/>
            <w:bookmarkStart w:id="24" w:name="_Toc476558106"/>
            <w:r w:rsidRPr="00FB6E71">
              <w:rPr>
                <w:rFonts w:asciiTheme="minorHAnsi" w:hAnsiTheme="minorHAnsi"/>
                <w:b/>
                <w:sz w:val="22"/>
                <w:szCs w:val="22"/>
              </w:rPr>
              <w:t>PROJECT DEVELOPMENT OBJECTIVES</w:t>
            </w:r>
            <w:bookmarkEnd w:id="21"/>
            <w:bookmarkEnd w:id="22"/>
            <w:bookmarkEnd w:id="23"/>
            <w:bookmarkEnd w:id="24"/>
          </w:p>
        </w:tc>
      </w:tr>
    </w:tbl>
    <w:p w:rsidR="007F2DE7" w:rsidRPr="00FB6E71" w:rsidP="007F2DE7">
      <w:pPr>
        <w:keepNext/>
        <w:keepLines/>
        <w:widowControl/>
        <w:ind w:left="-634"/>
        <w:rPr>
          <w:rFonts w:asciiTheme="minorHAnsi" w:hAnsiTheme="minorHAnsi"/>
          <w:b/>
          <w:bCs/>
          <w:color w:val="7F7F7F" w:themeColor="text1" w:themeTint="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62"/>
        </w:trPr>
        <w:tc>
          <w:tcPr>
            <w:tcW w:w="10710" w:type="dxa"/>
          </w:tcPr>
          <w:p w:rsidR="007F2DE7" w:rsidRPr="00FB6E71" w:rsidP="007F2DE7">
            <w:pPr>
              <w:pStyle w:val="Heading2"/>
              <w:widowControl/>
              <w:outlineLvl w:val="1"/>
              <w:rPr>
                <w:sz w:val="22"/>
                <w:szCs w:val="22"/>
              </w:rPr>
            </w:pPr>
            <w:bookmarkStart w:id="25" w:name="_Toc256000005"/>
            <w:bookmarkStart w:id="26" w:name="_Toc433982410"/>
            <w:bookmarkStart w:id="27" w:name="_Toc460509192"/>
            <w:bookmarkStart w:id="28" w:name="_Toc476558107"/>
            <w:r w:rsidRPr="00FB6E71">
              <w:rPr>
                <w:rFonts w:asciiTheme="minorHAnsi" w:hAnsiTheme="minorHAnsi"/>
                <w:b/>
                <w:bCs/>
                <w:color w:val="172D5F"/>
                <w:sz w:val="22"/>
                <w:szCs w:val="22"/>
              </w:rPr>
              <w:t>A. PDO</w:t>
            </w:r>
            <w:bookmarkEnd w:id="25"/>
            <w:bookmarkEnd w:id="26"/>
            <w:bookmarkEnd w:id="27"/>
            <w:bookmarkEnd w:id="28"/>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580C9B">
        <w:rPr>
          <w:rFonts w:asciiTheme="minorHAnsi" w:hAnsiTheme="minorHAnsi"/>
          <w:bCs/>
          <w:color w:val="auto"/>
          <w:sz w:val="22"/>
          <w:szCs w:val="22"/>
        </w:rPr>
        <w:t>The proposed Project Development Objective (PDO) is</w:t>
      </w:r>
      <w:r>
        <w:rPr>
          <w:rFonts w:asciiTheme="minorHAnsi" w:hAnsiTheme="minorHAnsi"/>
          <w:bCs/>
          <w:color w:val="auto"/>
          <w:sz w:val="22"/>
          <w:szCs w:val="22"/>
        </w:rPr>
        <w:t xml:space="preserve"> to </w:t>
      </w:r>
      <w:r w:rsidRPr="00580C9B">
        <w:rPr>
          <w:rFonts w:ascii="Calibri" w:hAnsi="Calibri"/>
          <w:noProof/>
          <w:sz w:val="22"/>
          <w:szCs w:val="18"/>
        </w:rPr>
        <w:t>(a) support the Government of Nigeria towards rehabilitating and improving critical service delivery infrastructure, improve the livelihood opportunities of conflict and displacement-affected communities, and strengthen social cohesion in the North East Participating States of Borno, Yobe and Adamawa; and (b) in the event of an Eligible Crisis or Emergency, to provide immediate and effective response to said Eligible Crisis or Emergency</w:t>
      </w:r>
      <w:r>
        <w:rPr>
          <w:rFonts w:ascii="Calibri" w:hAnsi="Calibri"/>
          <w:noProof/>
          <w:sz w:val="22"/>
          <w:szCs w:val="18"/>
        </w:rPr>
        <w:t xml:space="preserve">, </w:t>
      </w:r>
      <w:r w:rsidRPr="00580C9B">
        <w:rPr>
          <w:rFonts w:asciiTheme="minorHAnsi" w:hAnsiTheme="minorHAnsi"/>
          <w:bCs/>
          <w:color w:val="auto"/>
          <w:sz w:val="22"/>
          <w:szCs w:val="22"/>
        </w:rPr>
        <w:t>through the proposed Contingent Emergency Response Component.</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sz w:val="22"/>
                <w:szCs w:val="22"/>
              </w:rPr>
            </w:pPr>
            <w:bookmarkStart w:id="29" w:name="_Toc256000006"/>
            <w:bookmarkStart w:id="30" w:name="_Toc433982411"/>
            <w:bookmarkStart w:id="31" w:name="_Toc460509193"/>
            <w:bookmarkStart w:id="32" w:name="_Toc476558108"/>
            <w:r w:rsidRPr="00FB6E71">
              <w:rPr>
                <w:rFonts w:asciiTheme="minorHAnsi" w:hAnsiTheme="minorHAnsi"/>
                <w:b/>
                <w:bCs/>
                <w:color w:val="172D5F"/>
                <w:sz w:val="22"/>
                <w:szCs w:val="22"/>
              </w:rPr>
              <w:t>B. Project Beneficiaries</w:t>
            </w:r>
            <w:bookmarkEnd w:id="29"/>
            <w:bookmarkEnd w:id="30"/>
            <w:bookmarkEnd w:id="31"/>
            <w:bookmarkEnd w:id="32"/>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Project beneficiaries will include forcibly displaced populations, host communities</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other conflict-affected communities in the BAY states, across urban and rural areas.</w:t>
      </w:r>
      <w:r w:rsidRPr="00FB6E71">
        <w:rPr>
          <w:rFonts w:asciiTheme="minorHAnsi" w:hAnsiTheme="minorHAnsi"/>
          <w:bCs/>
          <w:color w:val="auto"/>
          <w:sz w:val="22"/>
          <w:szCs w:val="22"/>
        </w:rPr>
        <w:t xml:space="preserve"> Accordingly, the project </w:t>
      </w:r>
      <w:r w:rsidRPr="005E798F">
        <w:rPr>
          <w:rFonts w:asciiTheme="minorHAnsi" w:hAnsiTheme="minorHAnsi"/>
          <w:bCs/>
          <w:color w:val="auto"/>
          <w:sz w:val="22"/>
          <w:szCs w:val="22"/>
        </w:rPr>
        <w:t>results monitoring system</w:t>
      </w:r>
      <w:r w:rsidRPr="00FB6E71">
        <w:rPr>
          <w:rFonts w:asciiTheme="minorHAnsi" w:hAnsiTheme="minorHAnsi"/>
          <w:bCs/>
          <w:color w:val="auto"/>
          <w:sz w:val="22"/>
          <w:szCs w:val="22"/>
        </w:rPr>
        <w:t xml:space="preserve"> will track support provided to individual beneficiaries from the IDP, host</w:t>
      </w:r>
      <w:r>
        <w:rPr>
          <w:rFonts w:asciiTheme="minorHAnsi" w:hAnsiTheme="minorHAnsi"/>
          <w:bCs/>
          <w:color w:val="auto"/>
          <w:sz w:val="22"/>
          <w:szCs w:val="22"/>
        </w:rPr>
        <w:t>,</w:t>
      </w:r>
      <w:r w:rsidRPr="00FB6E71">
        <w:rPr>
          <w:rFonts w:asciiTheme="minorHAnsi" w:hAnsiTheme="minorHAnsi"/>
          <w:bCs/>
          <w:color w:val="auto"/>
          <w:sz w:val="22"/>
          <w:szCs w:val="22"/>
        </w:rPr>
        <w:t xml:space="preserve"> and other affected communities. While </w:t>
      </w:r>
      <w:r w:rsidRPr="00FB6E71">
        <w:rPr>
          <w:rFonts w:asciiTheme="minorHAnsi" w:hAnsiTheme="minorHAnsi"/>
          <w:color w:val="auto"/>
          <w:sz w:val="22"/>
        </w:rPr>
        <w:t>the project is designed to directly benefit conflict</w:t>
      </w:r>
      <w:r>
        <w:rPr>
          <w:rFonts w:asciiTheme="minorHAnsi" w:hAnsiTheme="minorHAnsi"/>
          <w:color w:val="auto"/>
          <w:sz w:val="22"/>
        </w:rPr>
        <w:t>-</w:t>
      </w:r>
      <w:r w:rsidRPr="00FB6E71">
        <w:rPr>
          <w:rFonts w:asciiTheme="minorHAnsi" w:hAnsiTheme="minorHAnsi"/>
          <w:color w:val="auto"/>
          <w:sz w:val="22"/>
        </w:rPr>
        <w:t xml:space="preserve"> and displacement-affected populations in </w:t>
      </w:r>
      <w:r>
        <w:rPr>
          <w:rFonts w:asciiTheme="minorHAnsi" w:hAnsiTheme="minorHAnsi"/>
          <w:color w:val="auto"/>
          <w:sz w:val="22"/>
        </w:rPr>
        <w:t xml:space="preserve">the </w:t>
      </w:r>
      <w:r w:rsidRPr="00FB6E71">
        <w:rPr>
          <w:rFonts w:asciiTheme="minorHAnsi" w:hAnsiTheme="minorHAnsi"/>
          <w:color w:val="auto"/>
          <w:sz w:val="22"/>
        </w:rPr>
        <w:t xml:space="preserve">BAY states, the total number of direct beneficiaries will depend on the </w:t>
      </w:r>
      <w:r>
        <w:rPr>
          <w:rFonts w:asciiTheme="minorHAnsi" w:hAnsiTheme="minorHAnsi"/>
          <w:color w:val="auto"/>
          <w:sz w:val="22"/>
        </w:rPr>
        <w:t>s</w:t>
      </w:r>
      <w:r w:rsidRPr="00FB6E71">
        <w:rPr>
          <w:rFonts w:asciiTheme="minorHAnsi" w:hAnsiTheme="minorHAnsi"/>
          <w:color w:val="auto"/>
          <w:sz w:val="22"/>
        </w:rPr>
        <w:t>tates’ annual investment plans. It is expected that</w:t>
      </w:r>
      <w:r>
        <w:rPr>
          <w:rFonts w:asciiTheme="minorHAnsi" w:hAnsiTheme="minorHAnsi"/>
          <w:color w:val="auto"/>
          <w:sz w:val="22"/>
        </w:rPr>
        <w:t>,</w:t>
      </w:r>
      <w:r w:rsidRPr="00FB6E71">
        <w:rPr>
          <w:rFonts w:asciiTheme="minorHAnsi" w:hAnsiTheme="minorHAnsi"/>
          <w:color w:val="auto"/>
          <w:sz w:val="22"/>
        </w:rPr>
        <w:t xml:space="preserve"> given the existing budget, approximately 150,000 people </w:t>
      </w:r>
      <w:r>
        <w:rPr>
          <w:rFonts w:asciiTheme="minorHAnsi" w:hAnsiTheme="minorHAnsi"/>
          <w:color w:val="auto"/>
          <w:sz w:val="22"/>
        </w:rPr>
        <w:t>(</w:t>
      </w:r>
      <w:r w:rsidRPr="00FB6E71">
        <w:rPr>
          <w:rFonts w:asciiTheme="minorHAnsi" w:hAnsiTheme="minorHAnsi"/>
          <w:color w:val="auto"/>
          <w:sz w:val="22"/>
        </w:rPr>
        <w:t>including forcibly displaced and host community members) will benefit from interventions supporting stabilization, social cohesion, infrastructure rehabilitation, and service delivery restoration and improvement. The proposed operation will pay special attention to the needs of the most vulnerable groups, such as widows and orphans, to ensure that they benefit from the proposed interventions.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auto"/>
          <w:sz w:val="22"/>
        </w:rPr>
        <w:t>In addition to the aforementioned direct beneficiaries of the project, a major proportion of the overall crisis</w:t>
      </w:r>
      <w:r>
        <w:rPr>
          <w:rFonts w:asciiTheme="minorHAnsi" w:hAnsiTheme="minorHAnsi"/>
          <w:color w:val="auto"/>
          <w:sz w:val="22"/>
        </w:rPr>
        <w:t>-</w:t>
      </w:r>
      <w:r w:rsidRPr="00FB6E71">
        <w:rPr>
          <w:rFonts w:asciiTheme="minorHAnsi" w:hAnsiTheme="minorHAnsi"/>
          <w:color w:val="auto"/>
          <w:sz w:val="22"/>
        </w:rPr>
        <w:t>affected population of the BAY states will benefit from efforts to strengthen the Government’s capacity to respond to and manage the recovery process.</w:t>
      </w:r>
      <w:r w:rsidRPr="00FB6E71">
        <w:rPr>
          <w:rFonts w:asciiTheme="minorHAnsi" w:hAnsiTheme="minorHAnsi"/>
          <w:bCs/>
          <w:color w:val="auto"/>
          <w:sz w:val="22"/>
          <w:szCs w:val="22"/>
        </w:rPr>
        <w:t xml:space="preserve"> The people of Nigeria in general will also indirectly benefit from stabilized security and improved development outcomes in the NE region.</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b/>
                <w:bCs/>
                <w:color w:val="172D5F"/>
                <w:sz w:val="22"/>
                <w:szCs w:val="22"/>
              </w:rPr>
            </w:pPr>
            <w:bookmarkStart w:id="33" w:name="_Toc256000007"/>
            <w:bookmarkStart w:id="34" w:name="_Toc433982412"/>
            <w:bookmarkStart w:id="35" w:name="_Toc460509194"/>
            <w:bookmarkStart w:id="36" w:name="_Toc476558109"/>
            <w:r w:rsidRPr="00FB6E71">
              <w:rPr>
                <w:rFonts w:asciiTheme="minorHAnsi" w:hAnsiTheme="minorHAnsi"/>
                <w:b/>
                <w:bCs/>
                <w:color w:val="172D5F"/>
                <w:sz w:val="22"/>
                <w:szCs w:val="22"/>
              </w:rPr>
              <w:t>C. PDO-level Results Indicators</w:t>
            </w:r>
            <w:bookmarkEnd w:id="33"/>
            <w:bookmarkEnd w:id="34"/>
            <w:bookmarkEnd w:id="35"/>
            <w:bookmarkEnd w:id="36"/>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Achievement of the intended PDO will be monitored by the following indicators: </w:t>
      </w:r>
    </w:p>
    <w:p w:rsidR="007F2DE7" w:rsidRPr="001075F0" w:rsidP="00302E0C">
      <w:pPr>
        <w:pStyle w:val="ListParagraph"/>
        <w:widowControl/>
        <w:numPr>
          <w:ilvl w:val="0"/>
          <w:numId w:val="25"/>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Cs/>
          <w:color w:val="auto"/>
          <w:sz w:val="22"/>
          <w:szCs w:val="22"/>
        </w:rPr>
        <w:t>Number of direct project beneficiaries</w:t>
      </w:r>
      <w:r w:rsidRPr="00FB6E71">
        <w:rPr>
          <w:rFonts w:asciiTheme="minorHAnsi" w:hAnsiTheme="minorHAnsi"/>
          <w:bCs/>
          <w:i/>
          <w:color w:val="auto"/>
          <w:sz w:val="22"/>
          <w:szCs w:val="22"/>
        </w:rPr>
        <w:t xml:space="preserve"> </w:t>
      </w:r>
      <w:r w:rsidRPr="00FB6E71">
        <w:rPr>
          <w:rFonts w:asciiTheme="minorHAnsi" w:hAnsiTheme="minorHAnsi"/>
          <w:bCs/>
          <w:color w:val="auto"/>
          <w:sz w:val="22"/>
          <w:szCs w:val="22"/>
        </w:rPr>
        <w:t>(percent</w:t>
      </w:r>
      <w:r>
        <w:rPr>
          <w:rFonts w:asciiTheme="minorHAnsi" w:hAnsiTheme="minorHAnsi"/>
          <w:bCs/>
          <w:color w:val="auto"/>
          <w:sz w:val="22"/>
          <w:szCs w:val="22"/>
        </w:rPr>
        <w:t>age</w:t>
      </w:r>
      <w:r w:rsidRPr="00FB6E71">
        <w:rPr>
          <w:rFonts w:asciiTheme="minorHAnsi" w:hAnsiTheme="minorHAnsi"/>
          <w:bCs/>
          <w:color w:val="auto"/>
          <w:sz w:val="22"/>
          <w:szCs w:val="22"/>
        </w:rPr>
        <w:t xml:space="preserve"> of which are women)</w:t>
      </w:r>
    </w:p>
    <w:p w:rsidR="007F2DE7" w:rsidRPr="00FB6E71" w:rsidP="00302E0C">
      <w:pPr>
        <w:pStyle w:val="ListParagraph"/>
        <w:widowControl/>
        <w:numPr>
          <w:ilvl w:val="0"/>
          <w:numId w:val="25"/>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Cs/>
          <w:color w:val="auto"/>
          <w:sz w:val="22"/>
          <w:szCs w:val="22"/>
        </w:rPr>
        <w:t>Number of beneficiaries that have improved livelihood opportunities with project support</w:t>
      </w:r>
    </w:p>
    <w:p w:rsidR="007F2DE7" w:rsidRPr="00FB6E71" w:rsidP="00302E0C">
      <w:pPr>
        <w:pStyle w:val="ListParagraph"/>
        <w:widowControl/>
        <w:numPr>
          <w:ilvl w:val="0"/>
          <w:numId w:val="25"/>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Cs/>
          <w:color w:val="auto"/>
          <w:sz w:val="22"/>
          <w:szCs w:val="22"/>
        </w:rPr>
        <w:t>Number of beneficiaries with additional or improved access to service delivery infrastructure</w:t>
      </w:r>
      <w:r>
        <w:rPr>
          <w:rFonts w:asciiTheme="minorHAnsi" w:hAnsiTheme="minorHAnsi"/>
          <w:bCs/>
          <w:color w:val="auto"/>
          <w:sz w:val="22"/>
          <w:szCs w:val="22"/>
        </w:rPr>
        <w:t xml:space="preserve"> </w:t>
      </w:r>
      <w:r w:rsidRPr="00FB6E71">
        <w:rPr>
          <w:rFonts w:asciiTheme="minorHAnsi" w:hAnsiTheme="minorHAnsi"/>
          <w:bCs/>
          <w:color w:val="auto"/>
          <w:sz w:val="22"/>
          <w:szCs w:val="22"/>
        </w:rPr>
        <w:t>(percent</w:t>
      </w:r>
      <w:r>
        <w:rPr>
          <w:rFonts w:asciiTheme="minorHAnsi" w:hAnsiTheme="minorHAnsi"/>
          <w:bCs/>
          <w:color w:val="auto"/>
          <w:sz w:val="22"/>
          <w:szCs w:val="22"/>
        </w:rPr>
        <w:t>age</w:t>
      </w:r>
      <w:r w:rsidRPr="00FB6E71">
        <w:rPr>
          <w:rFonts w:asciiTheme="minorHAnsi" w:hAnsiTheme="minorHAnsi"/>
          <w:bCs/>
          <w:color w:val="auto"/>
          <w:sz w:val="22"/>
          <w:szCs w:val="22"/>
        </w:rPr>
        <w:t xml:space="preserve"> of which are women)</w:t>
      </w:r>
    </w:p>
    <w:p w:rsidR="007F2DE7" w:rsidRPr="00FB6E71" w:rsidP="00302E0C">
      <w:pPr>
        <w:pStyle w:val="ListParagraph"/>
        <w:widowControl/>
        <w:numPr>
          <w:ilvl w:val="0"/>
          <w:numId w:val="25"/>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Cs/>
          <w:color w:val="auto"/>
          <w:sz w:val="22"/>
          <w:szCs w:val="22"/>
        </w:rPr>
        <w:t>Percentage of beneficiaries satisfied with project activities towards increased social cohesion</w:t>
      </w:r>
      <w:r>
        <w:rPr>
          <w:rFonts w:asciiTheme="minorHAnsi" w:hAnsiTheme="minorHAnsi"/>
          <w:bCs/>
          <w:color w:val="auto"/>
          <w:sz w:val="22"/>
          <w:szCs w:val="22"/>
        </w:rPr>
        <w:t xml:space="preserve"> </w:t>
      </w:r>
      <w:r w:rsidRPr="00FB6E71">
        <w:rPr>
          <w:rFonts w:asciiTheme="minorHAnsi" w:hAnsiTheme="minorHAnsi"/>
          <w:bCs/>
          <w:color w:val="auto"/>
          <w:sz w:val="22"/>
          <w:szCs w:val="22"/>
        </w:rPr>
        <w:t>(percent</w:t>
      </w:r>
      <w:r>
        <w:rPr>
          <w:rFonts w:asciiTheme="minorHAnsi" w:hAnsiTheme="minorHAnsi"/>
          <w:bCs/>
          <w:color w:val="auto"/>
          <w:sz w:val="22"/>
          <w:szCs w:val="22"/>
        </w:rPr>
        <w:t>age</w:t>
      </w:r>
      <w:r w:rsidRPr="00FB6E71">
        <w:rPr>
          <w:rFonts w:asciiTheme="minorHAnsi" w:hAnsiTheme="minorHAnsi"/>
          <w:bCs/>
          <w:color w:val="auto"/>
          <w:sz w:val="22"/>
          <w:szCs w:val="22"/>
        </w:rPr>
        <w:t xml:space="preserve"> of which are women)</w:t>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962"/>
      </w:tblGrid>
      <w:tr w:rsidTr="007F2DE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432"/>
        </w:trPr>
        <w:tc>
          <w:tcPr>
            <w:tcW w:w="10962" w:type="dxa"/>
            <w:shd w:val="clear" w:color="auto" w:fill="F2F2F2"/>
            <w:vAlign w:val="center"/>
          </w:tcPr>
          <w:p w:rsidR="007F2DE7" w:rsidRPr="00FB6E71" w:rsidP="007F2DE7">
            <w:pPr>
              <w:pStyle w:val="NoSpacing"/>
              <w:keepNext/>
              <w:keepLines/>
              <w:widowControl/>
              <w:numPr>
                <w:ilvl w:val="0"/>
                <w:numId w:val="1"/>
              </w:numPr>
              <w:ind w:left="288" w:hanging="288"/>
              <w:outlineLvl w:val="0"/>
              <w:rPr>
                <w:rFonts w:asciiTheme="minorHAnsi" w:hAnsiTheme="minorHAnsi"/>
                <w:b/>
                <w:color w:val="000000" w:themeColor="text1"/>
                <w:sz w:val="22"/>
                <w:szCs w:val="22"/>
              </w:rPr>
            </w:pPr>
            <w:bookmarkStart w:id="37" w:name="_Toc256000008"/>
            <w:bookmarkStart w:id="38" w:name="_Toc433982413"/>
            <w:bookmarkStart w:id="39" w:name="_Toc460509195"/>
            <w:bookmarkStart w:id="40" w:name="_Toc476558110"/>
            <w:r w:rsidRPr="00FB6E71">
              <w:rPr>
                <w:rFonts w:asciiTheme="minorHAnsi" w:hAnsiTheme="minorHAnsi"/>
                <w:b/>
                <w:sz w:val="22"/>
                <w:szCs w:val="22"/>
              </w:rPr>
              <w:t>PROJECT DESCRIPTION</w:t>
            </w:r>
            <w:bookmarkEnd w:id="37"/>
            <w:bookmarkEnd w:id="38"/>
            <w:bookmarkEnd w:id="39"/>
            <w:bookmarkEnd w:id="40"/>
          </w:p>
        </w:tc>
      </w:tr>
    </w:tbl>
    <w:p w:rsidR="007F2DE7" w:rsidRPr="00FB6E71" w:rsidP="007F2DE7">
      <w:pPr>
        <w:keepNext/>
        <w:keepLines/>
        <w:widowControl/>
        <w:ind w:left="-634"/>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project bridges the gap between humanitarian and development activities. </w:t>
      </w:r>
      <w:r w:rsidRPr="00FB6E71">
        <w:rPr>
          <w:rFonts w:asciiTheme="minorHAnsi" w:hAnsiTheme="minorHAnsi"/>
          <w:bCs/>
          <w:color w:val="auto"/>
          <w:sz w:val="22"/>
          <w:szCs w:val="22"/>
        </w:rPr>
        <w:t>It takes a gradual, phased, and two-pronged approach that includes</w:t>
      </w:r>
      <w:r>
        <w:rPr>
          <w:rFonts w:asciiTheme="minorHAnsi" w:hAnsiTheme="minorHAnsi"/>
          <w:bCs/>
          <w:color w:val="auto"/>
          <w:sz w:val="22"/>
          <w:szCs w:val="22"/>
        </w:rPr>
        <w:t>:</w:t>
      </w:r>
      <w:r w:rsidRPr="00FB6E71">
        <w:rPr>
          <w:rFonts w:asciiTheme="minorHAnsi" w:hAnsiTheme="minorHAnsi"/>
          <w:bCs/>
          <w:color w:val="auto"/>
          <w:sz w:val="22"/>
          <w:szCs w:val="22"/>
        </w:rPr>
        <w:t xml:space="preserve"> (a) a surge of high-impact, early recovery interventions in the period of stabilization for rebuilding lives and livelihoods while humanitarian operations continue in tandem</w:t>
      </w:r>
      <w:r>
        <w:rPr>
          <w:rFonts w:asciiTheme="minorHAnsi" w:hAnsiTheme="minorHAnsi"/>
          <w:bCs/>
          <w:color w:val="auto"/>
          <w:sz w:val="22"/>
          <w:szCs w:val="22"/>
        </w:rPr>
        <w:t>;</w:t>
      </w:r>
      <w:r w:rsidRPr="00FB6E71">
        <w:rPr>
          <w:rFonts w:asciiTheme="minorHAnsi" w:hAnsiTheme="minorHAnsi"/>
          <w:bCs/>
          <w:color w:val="auto"/>
          <w:sz w:val="22"/>
          <w:szCs w:val="22"/>
        </w:rPr>
        <w:t xml:space="preserve"> and (b) a gradual transition toward medium-term recovery and resilience building through investments in social cohesion, productive capital</w:t>
      </w:r>
      <w:r>
        <w:rPr>
          <w:rFonts w:asciiTheme="minorHAnsi" w:hAnsiTheme="minorHAnsi"/>
          <w:bCs/>
          <w:color w:val="auto"/>
          <w:sz w:val="22"/>
          <w:szCs w:val="22"/>
        </w:rPr>
        <w:t>,</w:t>
      </w:r>
      <w:r w:rsidRPr="00FB6E71">
        <w:rPr>
          <w:rFonts w:asciiTheme="minorHAnsi" w:hAnsiTheme="minorHAnsi"/>
          <w:bCs/>
          <w:color w:val="auto"/>
          <w:sz w:val="22"/>
          <w:szCs w:val="22"/>
        </w:rPr>
        <w:t xml:space="preserve"> and social infrastructure.</w:t>
      </w:r>
      <w:r w:rsidRPr="003602E9">
        <w:rPr>
          <w:rFonts w:asciiTheme="minorHAnsi" w:hAnsiTheme="minorHAnsi"/>
          <w:bCs/>
          <w:color w:val="auto"/>
          <w:sz w:val="22"/>
          <w:szCs w:val="22"/>
        </w:rPr>
        <w:t xml:space="preserve"> </w:t>
      </w:r>
      <w:r w:rsidRPr="00FB6E71">
        <w:rPr>
          <w:rFonts w:asciiTheme="minorHAnsi" w:hAnsiTheme="minorHAnsi"/>
          <w:bCs/>
          <w:color w:val="auto"/>
          <w:sz w:val="22"/>
          <w:szCs w:val="22"/>
        </w:rPr>
        <w:t>The</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key elements of the proposed approach are </w:t>
      </w:r>
      <w:r>
        <w:rPr>
          <w:rFonts w:asciiTheme="minorHAnsi" w:hAnsiTheme="minorHAnsi"/>
          <w:bCs/>
          <w:color w:val="auto"/>
          <w:sz w:val="22"/>
          <w:szCs w:val="22"/>
        </w:rPr>
        <w:t>the following</w:t>
      </w:r>
      <w:r w:rsidRPr="00FB6E71">
        <w:rPr>
          <w:rFonts w:asciiTheme="minorHAnsi" w:hAnsiTheme="minorHAnsi"/>
          <w:bCs/>
          <w:color w:val="auto"/>
          <w:sz w:val="22"/>
          <w:szCs w:val="22"/>
        </w:rPr>
        <w:t>:</w:t>
      </w:r>
    </w:p>
    <w:p w:rsidR="007F2DE7" w:rsidRPr="00FB6E71" w:rsidP="00302E0C">
      <w:pPr>
        <w:widowControl/>
        <w:numPr>
          <w:ilvl w:val="1"/>
          <w:numId w:val="24"/>
        </w:numPr>
        <w:spacing w:after="240"/>
        <w:ind w:left="1195" w:hanging="475"/>
        <w:jc w:val="both"/>
        <w:rPr>
          <w:rFonts w:asciiTheme="minorHAnsi" w:hAnsiTheme="minorHAnsi"/>
          <w:b/>
          <w:bCs/>
          <w:color w:val="auto"/>
          <w:sz w:val="22"/>
          <w:szCs w:val="22"/>
        </w:rPr>
      </w:pPr>
      <w:r w:rsidRPr="00FB6E71">
        <w:rPr>
          <w:rFonts w:asciiTheme="minorHAnsi" w:hAnsiTheme="minorHAnsi"/>
          <w:bCs/>
          <w:color w:val="auto"/>
          <w:sz w:val="22"/>
          <w:szCs w:val="22"/>
        </w:rPr>
        <w:t xml:space="preserve">Respond to the immediate needs of forcibly displaced populations and host communities to bridge the gap between humanitarian support and medium-term development in areas that remain largely underserved. While focusing primarily on medium-term multi-sector recovery and strengthening of social cohesion,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will facilitate the transition from humanitarian operations to early recovery. In this regard, the project will help scale up the provision of basic necessity kits and livelihood assistance to vulnerable populations. </w:t>
      </w:r>
    </w:p>
    <w:p w:rsidR="007F2DE7" w:rsidRPr="00FB6E71" w:rsidP="00302E0C">
      <w:pPr>
        <w:widowControl/>
        <w:numPr>
          <w:ilvl w:val="1"/>
          <w:numId w:val="24"/>
        </w:numPr>
        <w:spacing w:after="240"/>
        <w:ind w:left="1195" w:hanging="475"/>
        <w:jc w:val="both"/>
        <w:rPr>
          <w:rFonts w:asciiTheme="minorHAnsi" w:hAnsiTheme="minorHAnsi"/>
          <w:b/>
          <w:bCs/>
          <w:color w:val="auto"/>
          <w:sz w:val="22"/>
          <w:szCs w:val="22"/>
        </w:rPr>
      </w:pPr>
      <w:r w:rsidRPr="00FB6E71">
        <w:rPr>
          <w:rFonts w:asciiTheme="minorHAnsi" w:hAnsiTheme="minorHAnsi"/>
          <w:bCs/>
          <w:color w:val="auto"/>
          <w:sz w:val="22"/>
          <w:szCs w:val="22"/>
        </w:rPr>
        <w:t xml:space="preserve">Facilitate the restoration of the social fabric and the social contract between the Government and its citizens, by bringing different groups together, and supporting initiatives that address some of the root causes of the conflict, as well as providing psychosocial support to those affected by the conflict. </w:t>
      </w:r>
    </w:p>
    <w:p w:rsidR="007F2DE7" w:rsidRPr="00FB6E71" w:rsidP="00302E0C">
      <w:pPr>
        <w:widowControl/>
        <w:numPr>
          <w:ilvl w:val="1"/>
          <w:numId w:val="24"/>
        </w:numPr>
        <w:spacing w:after="240"/>
        <w:ind w:left="1195" w:hanging="475"/>
        <w:jc w:val="both"/>
        <w:rPr>
          <w:rFonts w:asciiTheme="minorHAnsi" w:hAnsiTheme="minorHAnsi"/>
          <w:b/>
          <w:bCs/>
          <w:color w:val="auto"/>
          <w:sz w:val="22"/>
          <w:szCs w:val="22"/>
        </w:rPr>
      </w:pPr>
      <w:r w:rsidRPr="00FB6E71">
        <w:rPr>
          <w:rFonts w:asciiTheme="minorHAnsi" w:hAnsiTheme="minorHAnsi"/>
          <w:bCs/>
          <w:color w:val="auto"/>
          <w:sz w:val="22"/>
          <w:szCs w:val="22"/>
        </w:rPr>
        <w:t>Sustainably restore and improve service delivery and economic livelihood opportunities across sectors, through reconstruction, rehabilitation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improvement of service delivery infrastructure in affected areas.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proposed MCRP will adopt a programmatic approach to recovery and peace building as recommended by the RPBA. </w:t>
      </w:r>
      <w:r w:rsidRPr="00FB6E71">
        <w:rPr>
          <w:rFonts w:asciiTheme="minorHAnsi" w:hAnsiTheme="minorHAnsi"/>
          <w:bCs/>
          <w:color w:val="auto"/>
          <w:sz w:val="22"/>
          <w:szCs w:val="22"/>
        </w:rPr>
        <w:t xml:space="preserve">Under this approach, the MCRP is seen as a subset of a larger multi-sector and multi-partner solution to crisis recovery, addressing the service delivery and social cohesion needs identified in the RPBA. The MCRP is intended to serve as a central node of convergence, promoting a platform for coordinating among related interventions from the Government, development partners, and other World Bank projects. This will help deliver mutually complementary multi-sector outcomes while following the key guiding principles and synchronized implementation modalities described below.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Flexibility</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9B0948">
        <w:rPr>
          <w:rFonts w:asciiTheme="minorHAnsi" w:hAnsiTheme="minorHAnsi"/>
          <w:bCs/>
          <w:color w:val="auto"/>
          <w:sz w:val="22"/>
          <w:szCs w:val="22"/>
        </w:rPr>
        <w:t>The</w:t>
      </w:r>
      <w:r>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MCRP will allow flexibility in resource allocation across various project components and various geographic locations in the BAY states. Such flexibility is necessary to avoid risks of disruption and/or destruction of project investments </w:t>
      </w:r>
      <w:r>
        <w:rPr>
          <w:rFonts w:asciiTheme="minorHAnsi" w:hAnsiTheme="minorHAnsi"/>
          <w:bCs/>
          <w:color w:val="auto"/>
          <w:sz w:val="22"/>
          <w:szCs w:val="22"/>
        </w:rPr>
        <w:t>because of</w:t>
      </w:r>
      <w:r w:rsidRPr="00FB6E71">
        <w:rPr>
          <w:rFonts w:asciiTheme="minorHAnsi" w:hAnsiTheme="minorHAnsi"/>
          <w:bCs/>
          <w:color w:val="auto"/>
          <w:sz w:val="22"/>
          <w:szCs w:val="22"/>
        </w:rPr>
        <w:t xml:space="preserve"> security reasons and to avoid overlaps and maximize complementarity with other projects as they materialize in the coming years. Taking such a flexible approach also requires building flexibility in the project </w:t>
      </w:r>
      <w:r>
        <w:rPr>
          <w:rFonts w:asciiTheme="minorHAnsi" w:hAnsiTheme="minorHAnsi"/>
          <w:bCs/>
          <w:color w:val="auto"/>
          <w:sz w:val="22"/>
          <w:szCs w:val="22"/>
        </w:rPr>
        <w:t>R</w:t>
      </w:r>
      <w:r w:rsidRPr="00FB6E71">
        <w:rPr>
          <w:rFonts w:asciiTheme="minorHAnsi" w:hAnsiTheme="minorHAnsi"/>
          <w:bCs/>
          <w:color w:val="auto"/>
          <w:sz w:val="22"/>
          <w:szCs w:val="22"/>
        </w:rPr>
        <w:t xml:space="preserve">esults </w:t>
      </w:r>
      <w:r>
        <w:rPr>
          <w:rFonts w:asciiTheme="minorHAnsi" w:hAnsiTheme="minorHAnsi"/>
          <w:bCs/>
          <w:color w:val="auto"/>
          <w:sz w:val="22"/>
          <w:szCs w:val="22"/>
        </w:rPr>
        <w:t>F</w:t>
      </w:r>
      <w:r w:rsidRPr="00FB6E71">
        <w:rPr>
          <w:rFonts w:asciiTheme="minorHAnsi" w:hAnsiTheme="minorHAnsi"/>
          <w:bCs/>
          <w:color w:val="auto"/>
          <w:sz w:val="22"/>
          <w:szCs w:val="22"/>
        </w:rPr>
        <w:t>ramework and other related aspects.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Flexibility in the project design is reflected in the following aspects: (a) the PDO allows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selection of interventions across multiple sectors and is not confined to specific sectors; (b) the infrastructure component retains flexibility to allocate resources across subcomponents progressively during implementation, based on specific </w:t>
      </w:r>
      <w:r>
        <w:rPr>
          <w:rFonts w:asciiTheme="minorHAnsi" w:hAnsiTheme="minorHAnsi"/>
          <w:bCs/>
          <w:color w:val="auto"/>
          <w:sz w:val="22"/>
          <w:szCs w:val="22"/>
        </w:rPr>
        <w:t>annual</w:t>
      </w:r>
      <w:r w:rsidRPr="00FB6E71">
        <w:rPr>
          <w:rFonts w:asciiTheme="minorHAnsi" w:hAnsiTheme="minorHAnsi"/>
          <w:bCs/>
          <w:color w:val="auto"/>
          <w:sz w:val="22"/>
          <w:szCs w:val="22"/>
        </w:rPr>
        <w:t xml:space="preserve"> investment plans prepared by the states; and (c) about 20 percent of the project amount will remain unallocated and distributed to the three states based on their relative implementation performance.</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Systematic and </w:t>
      </w:r>
      <w:r>
        <w:rPr>
          <w:rFonts w:asciiTheme="minorHAnsi" w:hAnsiTheme="minorHAnsi"/>
          <w:b/>
          <w:bCs/>
          <w:color w:val="auto"/>
          <w:sz w:val="22"/>
          <w:szCs w:val="22"/>
        </w:rPr>
        <w:t>p</w:t>
      </w:r>
      <w:r w:rsidRPr="00FB6E71">
        <w:rPr>
          <w:rFonts w:asciiTheme="minorHAnsi" w:hAnsiTheme="minorHAnsi"/>
          <w:b/>
          <w:bCs/>
          <w:color w:val="auto"/>
          <w:sz w:val="22"/>
          <w:szCs w:val="22"/>
        </w:rPr>
        <w:t xml:space="preserve">rogressive </w:t>
      </w:r>
      <w:r>
        <w:rPr>
          <w:rFonts w:asciiTheme="minorHAnsi" w:hAnsiTheme="minorHAnsi"/>
          <w:b/>
          <w:bCs/>
          <w:color w:val="auto"/>
          <w:sz w:val="22"/>
          <w:szCs w:val="22"/>
        </w:rPr>
        <w:t>p</w:t>
      </w:r>
      <w:r w:rsidRPr="00FB6E71">
        <w:rPr>
          <w:rFonts w:asciiTheme="minorHAnsi" w:hAnsiTheme="minorHAnsi"/>
          <w:b/>
          <w:bCs/>
          <w:color w:val="auto"/>
          <w:sz w:val="22"/>
          <w:szCs w:val="22"/>
        </w:rPr>
        <w:t>rioritization</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Given the gaps between the overall needs identified by the RPBA and the available resources from both domestic and international sources, there will be a need for systematic, criteria-based</w:t>
      </w:r>
      <w:r>
        <w:rPr>
          <w:rFonts w:asciiTheme="minorHAnsi" w:hAnsiTheme="minorHAnsi"/>
          <w:bCs/>
          <w:color w:val="auto"/>
          <w:sz w:val="22"/>
          <w:szCs w:val="22"/>
        </w:rPr>
        <w:t>,</w:t>
      </w:r>
      <w:r w:rsidRPr="00FB6E71">
        <w:rPr>
          <w:rFonts w:asciiTheme="minorHAnsi" w:hAnsiTheme="minorHAnsi"/>
          <w:bCs/>
          <w:color w:val="auto"/>
          <w:sz w:val="22"/>
          <w:szCs w:val="22"/>
        </w:rPr>
        <w:t xml:space="preserve"> and progressive prioritization of needs across and within various sectors and the affected states. Such an approach will increase the likelihood of a smoother transition from immediate to medium-term recovery as well as ensure the deepening, consolidation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sustainability of the expected project impact. The proposed prioritization process comprises three dimensions:</w:t>
      </w:r>
    </w:p>
    <w:p w:rsidR="007F2DE7" w:rsidRPr="009B0948" w:rsidP="00302E0C">
      <w:pPr>
        <w:widowControl/>
        <w:numPr>
          <w:ilvl w:val="0"/>
          <w:numId w:val="23"/>
        </w:numPr>
        <w:spacing w:after="240"/>
        <w:ind w:left="1195" w:hanging="475"/>
        <w:jc w:val="both"/>
        <w:rPr>
          <w:rFonts w:asciiTheme="minorHAnsi" w:hAnsiTheme="minorHAnsi"/>
          <w:bCs/>
          <w:color w:val="auto"/>
          <w:sz w:val="22"/>
          <w:szCs w:val="22"/>
        </w:rPr>
      </w:pPr>
      <w:r w:rsidRPr="009B0948">
        <w:rPr>
          <w:rFonts w:asciiTheme="minorHAnsi" w:hAnsiTheme="minorHAnsi"/>
          <w:bCs/>
          <w:color w:val="auto"/>
          <w:sz w:val="22"/>
          <w:szCs w:val="22"/>
        </w:rPr>
        <w:t>Geographic prioritization, based on a bottom-up consultative approach led by the states using multiple prioritization criteria and conflict</w:t>
      </w:r>
      <w:r>
        <w:rPr>
          <w:rFonts w:asciiTheme="minorHAnsi" w:hAnsiTheme="minorHAnsi"/>
          <w:bCs/>
          <w:color w:val="auto"/>
          <w:sz w:val="22"/>
          <w:szCs w:val="22"/>
        </w:rPr>
        <w:t>-</w:t>
      </w:r>
      <w:r w:rsidRPr="009B0948">
        <w:rPr>
          <w:rFonts w:asciiTheme="minorHAnsi" w:hAnsiTheme="minorHAnsi"/>
          <w:bCs/>
          <w:color w:val="auto"/>
          <w:sz w:val="22"/>
          <w:szCs w:val="22"/>
        </w:rPr>
        <w:t>sensitive programming</w:t>
      </w:r>
    </w:p>
    <w:p w:rsidR="007F2DE7" w:rsidRPr="009B0948" w:rsidP="00302E0C">
      <w:pPr>
        <w:widowControl/>
        <w:numPr>
          <w:ilvl w:val="0"/>
          <w:numId w:val="23"/>
        </w:numPr>
        <w:spacing w:after="240"/>
        <w:ind w:left="1195" w:hanging="475"/>
        <w:jc w:val="both"/>
        <w:rPr>
          <w:rFonts w:asciiTheme="minorHAnsi" w:hAnsiTheme="minorHAnsi"/>
          <w:bCs/>
          <w:color w:val="auto"/>
          <w:sz w:val="22"/>
          <w:szCs w:val="22"/>
        </w:rPr>
      </w:pPr>
      <w:r w:rsidRPr="009B0948">
        <w:rPr>
          <w:rFonts w:asciiTheme="minorHAnsi" w:hAnsiTheme="minorHAnsi"/>
          <w:bCs/>
          <w:color w:val="auto"/>
          <w:sz w:val="22"/>
          <w:szCs w:val="22"/>
        </w:rPr>
        <w:t xml:space="preserve">Sectoral and </w:t>
      </w:r>
      <w:r>
        <w:rPr>
          <w:rFonts w:asciiTheme="minorHAnsi" w:hAnsiTheme="minorHAnsi"/>
          <w:bCs/>
          <w:color w:val="auto"/>
          <w:sz w:val="22"/>
          <w:szCs w:val="22"/>
        </w:rPr>
        <w:t>s</w:t>
      </w:r>
      <w:r w:rsidRPr="009B0948">
        <w:rPr>
          <w:rFonts w:asciiTheme="minorHAnsi" w:hAnsiTheme="minorHAnsi"/>
          <w:bCs/>
          <w:color w:val="auto"/>
          <w:sz w:val="22"/>
          <w:szCs w:val="22"/>
        </w:rPr>
        <w:t xml:space="preserve">ubsectoral </w:t>
      </w:r>
      <w:r>
        <w:rPr>
          <w:rFonts w:asciiTheme="minorHAnsi" w:hAnsiTheme="minorHAnsi"/>
          <w:bCs/>
          <w:color w:val="auto"/>
          <w:sz w:val="22"/>
          <w:szCs w:val="22"/>
        </w:rPr>
        <w:t>p</w:t>
      </w:r>
      <w:r w:rsidRPr="009B0948">
        <w:rPr>
          <w:rFonts w:asciiTheme="minorHAnsi" w:hAnsiTheme="minorHAnsi"/>
          <w:bCs/>
          <w:color w:val="auto"/>
          <w:sz w:val="22"/>
          <w:szCs w:val="22"/>
        </w:rPr>
        <w:t xml:space="preserve">rioritization, based on the results of a prioritization exercise conducted together with these </w:t>
      </w:r>
      <w:r>
        <w:rPr>
          <w:rFonts w:asciiTheme="minorHAnsi" w:hAnsiTheme="minorHAnsi"/>
          <w:bCs/>
          <w:color w:val="auto"/>
          <w:sz w:val="22"/>
          <w:szCs w:val="22"/>
        </w:rPr>
        <w:t>s</w:t>
      </w:r>
      <w:r w:rsidRPr="009B0948">
        <w:rPr>
          <w:rFonts w:asciiTheme="minorHAnsi" w:hAnsiTheme="minorHAnsi"/>
          <w:bCs/>
          <w:color w:val="auto"/>
          <w:sz w:val="22"/>
          <w:szCs w:val="22"/>
        </w:rPr>
        <w:t xml:space="preserve">tates and the relevant development partners (see </w:t>
      </w:r>
      <w:r>
        <w:rPr>
          <w:rFonts w:asciiTheme="minorHAnsi" w:hAnsiTheme="minorHAnsi"/>
          <w:bCs/>
          <w:color w:val="auto"/>
          <w:sz w:val="22"/>
          <w:szCs w:val="22"/>
        </w:rPr>
        <w:t xml:space="preserve">Section D. Role of </w:t>
      </w:r>
      <w:r w:rsidRPr="009B0948">
        <w:rPr>
          <w:rFonts w:asciiTheme="minorHAnsi" w:hAnsiTheme="minorHAnsi"/>
          <w:bCs/>
          <w:color w:val="auto"/>
          <w:sz w:val="22"/>
          <w:szCs w:val="22"/>
        </w:rPr>
        <w:t>Partners)</w:t>
      </w:r>
    </w:p>
    <w:p w:rsidR="007F2DE7" w:rsidRPr="009B0948" w:rsidP="00302E0C">
      <w:pPr>
        <w:widowControl/>
        <w:numPr>
          <w:ilvl w:val="0"/>
          <w:numId w:val="23"/>
        </w:numPr>
        <w:spacing w:after="240"/>
        <w:ind w:left="1195" w:hanging="475"/>
        <w:jc w:val="both"/>
        <w:rPr>
          <w:rFonts w:asciiTheme="minorHAnsi" w:hAnsiTheme="minorHAnsi"/>
          <w:b/>
          <w:bCs/>
          <w:color w:val="auto"/>
          <w:sz w:val="22"/>
          <w:szCs w:val="22"/>
        </w:rPr>
      </w:pPr>
      <w:r w:rsidRPr="009B0948">
        <w:rPr>
          <w:rFonts w:asciiTheme="minorHAnsi" w:hAnsiTheme="minorHAnsi"/>
          <w:bCs/>
          <w:color w:val="auto"/>
          <w:sz w:val="22"/>
          <w:szCs w:val="22"/>
        </w:rPr>
        <w:t xml:space="preserve">Temporal </w:t>
      </w:r>
      <w:r>
        <w:rPr>
          <w:rFonts w:asciiTheme="minorHAnsi" w:hAnsiTheme="minorHAnsi"/>
          <w:bCs/>
          <w:color w:val="auto"/>
          <w:sz w:val="22"/>
          <w:szCs w:val="22"/>
        </w:rPr>
        <w:t>p</w:t>
      </w:r>
      <w:r w:rsidRPr="009B0948">
        <w:rPr>
          <w:rFonts w:asciiTheme="minorHAnsi" w:hAnsiTheme="minorHAnsi"/>
          <w:bCs/>
          <w:color w:val="auto"/>
          <w:sz w:val="22"/>
          <w:szCs w:val="22"/>
        </w:rPr>
        <w:t>rioritization, premised on a combination of support to address both immediate and medium-term needs for stabilization and recovery as proposed by the RPBA</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Conflict </w:t>
      </w:r>
      <w:r>
        <w:rPr>
          <w:rFonts w:asciiTheme="minorHAnsi" w:hAnsiTheme="minorHAnsi"/>
          <w:b/>
          <w:bCs/>
          <w:color w:val="auto"/>
          <w:sz w:val="22"/>
          <w:szCs w:val="22"/>
        </w:rPr>
        <w:t>s</w:t>
      </w:r>
      <w:r w:rsidRPr="00FB6E71">
        <w:rPr>
          <w:rFonts w:asciiTheme="minorHAnsi" w:hAnsiTheme="minorHAnsi"/>
          <w:b/>
          <w:bCs/>
          <w:color w:val="auto"/>
          <w:sz w:val="22"/>
          <w:szCs w:val="22"/>
        </w:rPr>
        <w:t>ensitivity</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The prioritization process, along with overall project preparation and implementation, w</w:t>
      </w:r>
      <w:r>
        <w:rPr>
          <w:rFonts w:asciiTheme="minorHAnsi" w:hAnsiTheme="minorHAnsi"/>
          <w:bCs/>
          <w:color w:val="auto"/>
          <w:sz w:val="22"/>
          <w:szCs w:val="22"/>
        </w:rPr>
        <w:t>ill</w:t>
      </w:r>
      <w:r w:rsidRPr="00FB6E71">
        <w:rPr>
          <w:rFonts w:asciiTheme="minorHAnsi" w:hAnsiTheme="minorHAnsi"/>
          <w:bCs/>
          <w:color w:val="auto"/>
          <w:sz w:val="22"/>
          <w:szCs w:val="22"/>
        </w:rPr>
        <w:t xml:space="preserve"> be conducted adopting a bottom-up approach led by the states and informed by community consultations. Conflict sensitivity will be central to this project, ensuring proper identification and mitigation of conflict risks, supporting conflict resilience</w:t>
      </w:r>
      <w:r>
        <w:rPr>
          <w:rFonts w:asciiTheme="minorHAnsi" w:hAnsiTheme="minorHAnsi"/>
          <w:bCs/>
          <w:color w:val="auto"/>
          <w:sz w:val="22"/>
          <w:szCs w:val="22"/>
        </w:rPr>
        <w:t>,</w:t>
      </w:r>
      <w:r w:rsidRPr="00FB6E71">
        <w:rPr>
          <w:rFonts w:asciiTheme="minorHAnsi" w:hAnsiTheme="minorHAnsi"/>
          <w:bCs/>
          <w:color w:val="auto"/>
          <w:sz w:val="22"/>
          <w:szCs w:val="22"/>
        </w:rPr>
        <w:t xml:space="preserve"> and addressing key drivers of conflict.</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Maximizing </w:t>
      </w:r>
      <w:r>
        <w:rPr>
          <w:rFonts w:asciiTheme="minorHAnsi" w:hAnsiTheme="minorHAnsi"/>
          <w:b/>
          <w:bCs/>
          <w:color w:val="auto"/>
          <w:sz w:val="22"/>
          <w:szCs w:val="22"/>
        </w:rPr>
        <w:t>c</w:t>
      </w:r>
      <w:r w:rsidRPr="00FB6E71">
        <w:rPr>
          <w:rFonts w:asciiTheme="minorHAnsi" w:hAnsiTheme="minorHAnsi"/>
          <w:b/>
          <w:bCs/>
          <w:color w:val="auto"/>
          <w:sz w:val="22"/>
          <w:szCs w:val="22"/>
        </w:rPr>
        <w:t xml:space="preserve">omplementarity and </w:t>
      </w:r>
      <w:r>
        <w:rPr>
          <w:rFonts w:asciiTheme="minorHAnsi" w:hAnsiTheme="minorHAnsi"/>
          <w:b/>
          <w:bCs/>
          <w:color w:val="auto"/>
          <w:sz w:val="22"/>
          <w:szCs w:val="22"/>
        </w:rPr>
        <w:t>a</w:t>
      </w:r>
      <w:r w:rsidRPr="00FB6E71">
        <w:rPr>
          <w:rFonts w:asciiTheme="minorHAnsi" w:hAnsiTheme="minorHAnsi"/>
          <w:b/>
          <w:bCs/>
          <w:color w:val="auto"/>
          <w:sz w:val="22"/>
          <w:szCs w:val="22"/>
        </w:rPr>
        <w:t xml:space="preserve">voiding </w:t>
      </w:r>
      <w:r>
        <w:rPr>
          <w:rFonts w:asciiTheme="minorHAnsi" w:hAnsiTheme="minorHAnsi"/>
          <w:b/>
          <w:bCs/>
          <w:color w:val="auto"/>
          <w:sz w:val="22"/>
          <w:szCs w:val="22"/>
        </w:rPr>
        <w:t>o</w:t>
      </w:r>
      <w:r w:rsidRPr="00FB6E71">
        <w:rPr>
          <w:rFonts w:asciiTheme="minorHAnsi" w:hAnsiTheme="minorHAnsi"/>
          <w:b/>
          <w:bCs/>
          <w:color w:val="auto"/>
          <w:sz w:val="22"/>
          <w:szCs w:val="22"/>
        </w:rPr>
        <w:t>verlaps</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The programmatic-framework approach adopted by the MCRP ensures complementarity and reduces the risk of duplications across the range of interventions proposed or undertaken by government institutions and development partners. The MCRP has been designed based on a rigorous gap analysis, ensuring complementarity with all known responses in the NE including the World Bank AF projects, the proposed African Development Bank (AfDB) and Islamic Development Bank (IsDB) projects, and </w:t>
      </w:r>
      <w:r>
        <w:rPr>
          <w:rFonts w:asciiTheme="minorHAnsi" w:hAnsiTheme="minorHAnsi"/>
          <w:bCs/>
          <w:color w:val="auto"/>
          <w:sz w:val="22"/>
          <w:szCs w:val="22"/>
        </w:rPr>
        <w:t xml:space="preserve">the </w:t>
      </w:r>
      <w:r w:rsidRPr="00FB6E71">
        <w:rPr>
          <w:rFonts w:asciiTheme="minorHAnsi" w:hAnsiTheme="minorHAnsi"/>
          <w:bCs/>
          <w:color w:val="auto"/>
          <w:sz w:val="22"/>
          <w:szCs w:val="22"/>
        </w:rPr>
        <w:t>EU-supported interventions (</w:t>
      </w:r>
      <w:r>
        <w:rPr>
          <w:rFonts w:asciiTheme="minorHAnsi" w:hAnsiTheme="minorHAnsi"/>
          <w:bCs/>
          <w:color w:val="auto"/>
          <w:sz w:val="22"/>
          <w:szCs w:val="22"/>
        </w:rPr>
        <w:t>s</w:t>
      </w:r>
      <w:r w:rsidRPr="00FB6E71">
        <w:rPr>
          <w:rFonts w:asciiTheme="minorHAnsi" w:hAnsiTheme="minorHAnsi"/>
          <w:bCs/>
          <w:color w:val="auto"/>
          <w:sz w:val="22"/>
          <w:szCs w:val="22"/>
        </w:rPr>
        <w:t xml:space="preserve">ee </w:t>
      </w:r>
      <w:r>
        <w:rPr>
          <w:rFonts w:asciiTheme="minorHAnsi" w:hAnsiTheme="minorHAnsi"/>
          <w:bCs/>
          <w:color w:val="auto"/>
          <w:sz w:val="22"/>
          <w:szCs w:val="22"/>
        </w:rPr>
        <w:t>a</w:t>
      </w:r>
      <w:r w:rsidRPr="00FB6E71">
        <w:rPr>
          <w:rFonts w:asciiTheme="minorHAnsi" w:hAnsiTheme="minorHAnsi"/>
          <w:bCs/>
          <w:color w:val="auto"/>
          <w:sz w:val="22"/>
          <w:szCs w:val="22"/>
        </w:rPr>
        <w:t xml:space="preserve">nnex </w:t>
      </w:r>
      <w:r>
        <w:rPr>
          <w:rFonts w:asciiTheme="minorHAnsi" w:hAnsiTheme="minorHAnsi"/>
          <w:bCs/>
          <w:color w:val="auto"/>
          <w:sz w:val="22"/>
          <w:szCs w:val="22"/>
        </w:rPr>
        <w:t>5</w:t>
      </w:r>
      <w:r w:rsidRPr="00FB6E71">
        <w:rPr>
          <w:rFonts w:asciiTheme="minorHAnsi" w:hAnsiTheme="minorHAnsi"/>
          <w:bCs/>
          <w:color w:val="auto"/>
          <w:sz w:val="22"/>
          <w:szCs w:val="22"/>
        </w:rPr>
        <w:t xml:space="preserve">). Institutional strengthening will be provided to enhance the Government’s capacity to coordinate among relevant actors in the region and ensure ongoing activities are mutually supportive (see </w:t>
      </w:r>
      <w:r>
        <w:rPr>
          <w:rFonts w:asciiTheme="minorHAnsi" w:hAnsiTheme="minorHAnsi"/>
          <w:bCs/>
          <w:color w:val="auto"/>
          <w:sz w:val="22"/>
          <w:szCs w:val="22"/>
        </w:rPr>
        <w:t>Section IV.A - I</w:t>
      </w:r>
      <w:r w:rsidRPr="00FB6E71">
        <w:rPr>
          <w:rFonts w:asciiTheme="minorHAnsi" w:hAnsiTheme="minorHAnsi"/>
          <w:bCs/>
          <w:color w:val="auto"/>
          <w:sz w:val="22"/>
          <w:szCs w:val="22"/>
        </w:rPr>
        <w:t xml:space="preserve">nstitutional </w:t>
      </w:r>
      <w:r>
        <w:rPr>
          <w:rFonts w:asciiTheme="minorHAnsi" w:hAnsiTheme="minorHAnsi"/>
          <w:bCs/>
          <w:color w:val="auto"/>
          <w:sz w:val="22"/>
          <w:szCs w:val="22"/>
        </w:rPr>
        <w:t>and Implementation A</w:t>
      </w:r>
      <w:r w:rsidRPr="00FB6E71">
        <w:rPr>
          <w:rFonts w:asciiTheme="minorHAnsi" w:hAnsiTheme="minorHAnsi"/>
          <w:bCs/>
          <w:color w:val="auto"/>
          <w:sz w:val="22"/>
          <w:szCs w:val="22"/>
        </w:rPr>
        <w:t>rrangements for further details).</w:t>
      </w:r>
      <w:r w:rsidRPr="00FB6E71">
        <w:rPr>
          <w:rFonts w:asciiTheme="minorHAnsi" w:hAnsiTheme="minorHAnsi"/>
          <w:b/>
          <w:bCs/>
          <w:color w:val="auto"/>
          <w:sz w:val="22"/>
          <w:szCs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Selectivity and impact maximization</w:t>
      </w:r>
      <w:r>
        <w:rPr>
          <w:rFonts w:asciiTheme="minorHAnsi" w:hAnsiTheme="minorHAnsi"/>
          <w:b/>
          <w:bCs/>
          <w:color w:val="auto"/>
          <w:sz w:val="22"/>
          <w:szCs w:val="22"/>
        </w:rPr>
        <w:t>.</w:t>
      </w:r>
      <w:r w:rsidRPr="00FB6E71">
        <w:rPr>
          <w:rFonts w:asciiTheme="minorHAnsi" w:hAnsiTheme="minorHAnsi"/>
          <w:bCs/>
          <w:color w:val="auto"/>
          <w:sz w:val="22"/>
          <w:szCs w:val="22"/>
        </w:rPr>
        <w:t xml:space="preserve"> The project resource allocation is only a fraction of the overall needs estimate of the RPBA</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T</w:t>
      </w:r>
      <w:r w:rsidRPr="00FB6E71">
        <w:rPr>
          <w:rFonts w:asciiTheme="minorHAnsi" w:hAnsiTheme="minorHAnsi"/>
          <w:bCs/>
          <w:color w:val="auto"/>
          <w:sz w:val="22"/>
          <w:szCs w:val="22"/>
        </w:rPr>
        <w:t xml:space="preserve">he project will only target the three most heavily and directly </w:t>
      </w:r>
      <w:r>
        <w:rPr>
          <w:rFonts w:asciiTheme="minorHAnsi" w:hAnsiTheme="minorHAnsi"/>
          <w:bCs/>
          <w:color w:val="auto"/>
          <w:sz w:val="22"/>
          <w:szCs w:val="22"/>
        </w:rPr>
        <w:t>affected</w:t>
      </w:r>
      <w:r w:rsidRPr="00FB6E71">
        <w:rPr>
          <w:rFonts w:asciiTheme="minorHAnsi" w:hAnsiTheme="minorHAnsi"/>
          <w:bCs/>
          <w:color w:val="auto"/>
          <w:sz w:val="22"/>
          <w:szCs w:val="22"/>
        </w:rPr>
        <w:t xml:space="preserve"> BAY states to concentrate and deepen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project impact in fewer states rather than spreading it thin across the six affected states. Hence, the selection of the project states, and subsequent project resource allocation across these states, is based largely on the principles of </w:t>
      </w:r>
      <w:r>
        <w:rPr>
          <w:rFonts w:asciiTheme="minorHAnsi" w:hAnsiTheme="minorHAnsi"/>
          <w:bCs/>
          <w:color w:val="auto"/>
          <w:sz w:val="22"/>
          <w:szCs w:val="22"/>
        </w:rPr>
        <w:t>‘</w:t>
      </w:r>
      <w:r w:rsidRPr="00FB6E71">
        <w:rPr>
          <w:rFonts w:asciiTheme="minorHAnsi" w:hAnsiTheme="minorHAnsi"/>
          <w:bCs/>
          <w:color w:val="auto"/>
          <w:sz w:val="22"/>
          <w:szCs w:val="22"/>
        </w:rPr>
        <w:t>impact proportionality</w:t>
      </w:r>
      <w:r>
        <w:rPr>
          <w:rFonts w:asciiTheme="minorHAnsi" w:hAnsiTheme="minorHAnsi"/>
          <w:bCs/>
          <w:color w:val="auto"/>
          <w:sz w:val="22"/>
          <w:szCs w:val="22"/>
        </w:rPr>
        <w:t>’</w:t>
      </w:r>
      <w:r w:rsidRPr="00FB6E71">
        <w:rPr>
          <w:rFonts w:asciiTheme="minorHAnsi" w:hAnsiTheme="minorHAnsi"/>
          <w:bCs/>
          <w:color w:val="auto"/>
          <w:sz w:val="22"/>
          <w:szCs w:val="22"/>
        </w:rPr>
        <w:t xml:space="preserve"> and </w:t>
      </w:r>
      <w:r>
        <w:rPr>
          <w:rFonts w:asciiTheme="minorHAnsi" w:hAnsiTheme="minorHAnsi"/>
          <w:bCs/>
          <w:color w:val="auto"/>
          <w:sz w:val="22"/>
          <w:szCs w:val="22"/>
        </w:rPr>
        <w:t>‘</w:t>
      </w:r>
      <w:r w:rsidRPr="00FB6E71">
        <w:rPr>
          <w:rFonts w:asciiTheme="minorHAnsi" w:hAnsiTheme="minorHAnsi"/>
          <w:bCs/>
          <w:color w:val="auto"/>
          <w:sz w:val="22"/>
          <w:szCs w:val="22"/>
        </w:rPr>
        <w:t>impact maximization</w:t>
      </w:r>
      <w:r>
        <w:rPr>
          <w:rFonts w:asciiTheme="minorHAnsi" w:hAnsiTheme="minorHAnsi"/>
          <w:bCs/>
          <w:color w:val="auto"/>
          <w:sz w:val="22"/>
          <w:szCs w:val="22"/>
        </w:rPr>
        <w:t>’</w:t>
      </w:r>
      <w:r w:rsidRPr="00FB6E71">
        <w:rPr>
          <w:rFonts w:asciiTheme="minorHAnsi" w:hAnsiTheme="minorHAnsi"/>
          <w:bCs/>
          <w:color w:val="auto"/>
          <w:sz w:val="22"/>
          <w:szCs w:val="22"/>
        </w:rPr>
        <w:t xml:space="preserve">. The AfDB and IsDB infrastructure interventions are being spread across the six affected states, which also allows the World Bank project to place focus on the BAY states.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Build-back-better principle</w:t>
      </w:r>
      <w:r>
        <w:rPr>
          <w:rFonts w:asciiTheme="minorHAnsi" w:hAnsiTheme="minorHAnsi"/>
          <w:b/>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 xml:space="preserve">This principle </w:t>
      </w:r>
      <w:r w:rsidRPr="00FB6E71">
        <w:rPr>
          <w:rFonts w:asciiTheme="minorHAnsi" w:hAnsiTheme="minorHAnsi"/>
          <w:bCs/>
          <w:color w:val="auto"/>
          <w:sz w:val="22"/>
          <w:szCs w:val="22"/>
        </w:rPr>
        <w:t>will be adhered to, taking into account both the drivers of conflict (as mentioned above)</w:t>
      </w:r>
      <w:r>
        <w:rPr>
          <w:rFonts w:asciiTheme="minorHAnsi" w:hAnsiTheme="minorHAnsi"/>
          <w:bCs/>
          <w:color w:val="auto"/>
          <w:sz w:val="22"/>
          <w:szCs w:val="22"/>
        </w:rPr>
        <w:t xml:space="preserve"> and</w:t>
      </w:r>
      <w:r w:rsidRPr="00FB6E71">
        <w:rPr>
          <w:rFonts w:asciiTheme="minorHAnsi" w:hAnsiTheme="minorHAnsi"/>
          <w:bCs/>
          <w:color w:val="auto"/>
          <w:sz w:val="22"/>
          <w:szCs w:val="22"/>
        </w:rPr>
        <w:t xml:space="preserve"> climate and disaster risks. Extreme climate events could negatively </w:t>
      </w:r>
      <w:r>
        <w:rPr>
          <w:rFonts w:asciiTheme="minorHAnsi" w:hAnsiTheme="minorHAnsi"/>
          <w:bCs/>
          <w:color w:val="auto"/>
          <w:sz w:val="22"/>
          <w:szCs w:val="22"/>
        </w:rPr>
        <w:t>affect</w:t>
      </w:r>
      <w:r w:rsidRPr="00FB6E71">
        <w:rPr>
          <w:rFonts w:asciiTheme="minorHAnsi" w:hAnsiTheme="minorHAnsi"/>
          <w:bCs/>
          <w:color w:val="auto"/>
          <w:sz w:val="22"/>
          <w:szCs w:val="22"/>
        </w:rPr>
        <w:t xml:space="preserve"> the project outcomes</w:t>
      </w:r>
      <w:r>
        <w:rPr>
          <w:rFonts w:asciiTheme="minorHAnsi" w:hAnsiTheme="minorHAnsi"/>
          <w:bCs/>
          <w:color w:val="auto"/>
          <w:sz w:val="22"/>
          <w:szCs w:val="22"/>
        </w:rPr>
        <w:t>,</w:t>
      </w:r>
      <w:r w:rsidRPr="00FB6E71">
        <w:rPr>
          <w:rFonts w:asciiTheme="minorHAnsi" w:hAnsiTheme="minorHAnsi"/>
          <w:bCs/>
          <w:color w:val="auto"/>
          <w:sz w:val="22"/>
          <w:szCs w:val="22"/>
        </w:rPr>
        <w:t xml:space="preserve"> and therefore</w:t>
      </w:r>
      <w:r>
        <w:rPr>
          <w:rFonts w:asciiTheme="minorHAnsi" w:hAnsiTheme="minorHAnsi"/>
          <w:bCs/>
          <w:color w:val="auto"/>
          <w:sz w:val="22"/>
          <w:szCs w:val="22"/>
        </w:rPr>
        <w:t>,</w:t>
      </w:r>
      <w:r w:rsidRPr="00FB6E71">
        <w:rPr>
          <w:rFonts w:asciiTheme="minorHAnsi" w:hAnsiTheme="minorHAnsi"/>
          <w:bCs/>
          <w:color w:val="auto"/>
          <w:sz w:val="22"/>
          <w:szCs w:val="22"/>
        </w:rPr>
        <w:t xml:space="preserve"> all assets and services financed under the </w:t>
      </w:r>
      <w:r>
        <w:rPr>
          <w:rFonts w:asciiTheme="minorHAnsi" w:hAnsiTheme="minorHAnsi"/>
          <w:bCs/>
          <w:color w:val="auto"/>
          <w:sz w:val="22"/>
          <w:szCs w:val="22"/>
        </w:rPr>
        <w:t>p</w:t>
      </w:r>
      <w:r w:rsidRPr="00FB6E71">
        <w:rPr>
          <w:rFonts w:asciiTheme="minorHAnsi" w:hAnsiTheme="minorHAnsi"/>
          <w:bCs/>
          <w:color w:val="auto"/>
          <w:sz w:val="22"/>
          <w:szCs w:val="22"/>
        </w:rPr>
        <w:t>roject will be designed to improved build-back-better standards</w:t>
      </w:r>
      <w:r>
        <w:rPr>
          <w:rFonts w:asciiTheme="minorHAnsi" w:hAnsiTheme="minorHAnsi"/>
          <w:bCs/>
          <w:color w:val="auto"/>
          <w:sz w:val="22"/>
          <w:szCs w:val="22"/>
        </w:rPr>
        <w:t xml:space="preserve">, </w:t>
      </w:r>
      <w:r w:rsidRPr="00FB6E71">
        <w:rPr>
          <w:rFonts w:asciiTheme="minorHAnsi" w:hAnsiTheme="minorHAnsi"/>
          <w:bCs/>
          <w:color w:val="auto"/>
          <w:sz w:val="22"/>
          <w:szCs w:val="22"/>
        </w:rPr>
        <w:t xml:space="preserve">taking into account climate and disaster risks, which will come at an added cost. It is estimated that adaptation to climate and disaster risks will add approximately 10 percent to reconstruction costs.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60"/>
        </w:trPr>
        <w:tc>
          <w:tcPr>
            <w:tcW w:w="10710" w:type="dxa"/>
          </w:tcPr>
          <w:p w:rsidR="007F2DE7" w:rsidRPr="00FB6E71" w:rsidP="007F2DE7">
            <w:pPr>
              <w:pStyle w:val="Heading2"/>
              <w:widowControl/>
              <w:outlineLvl w:val="1"/>
              <w:rPr>
                <w:rFonts w:asciiTheme="minorHAnsi" w:hAnsiTheme="minorHAnsi"/>
                <w:b/>
                <w:color w:val="172D5F"/>
                <w:sz w:val="22"/>
                <w:szCs w:val="22"/>
              </w:rPr>
            </w:pPr>
            <w:bookmarkStart w:id="41" w:name="_Toc256000009"/>
            <w:bookmarkStart w:id="42" w:name="_Toc433982414"/>
            <w:bookmarkStart w:id="43" w:name="_Toc460509196"/>
            <w:bookmarkStart w:id="44" w:name="_Toc476558111"/>
            <w:r w:rsidRPr="00FB6E71">
              <w:rPr>
                <w:rFonts w:asciiTheme="minorHAnsi" w:hAnsiTheme="minorHAnsi"/>
                <w:b/>
                <w:bCs/>
                <w:color w:val="172D5F"/>
                <w:sz w:val="22"/>
                <w:szCs w:val="22"/>
              </w:rPr>
              <w:t>A. Project Components</w:t>
            </w:r>
            <w:bookmarkEnd w:id="41"/>
            <w:bookmarkEnd w:id="42"/>
            <w:bookmarkEnd w:id="43"/>
            <w:bookmarkEnd w:id="44"/>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Component 1: Strengthening Peace Building, Stability, and Social Cohesion</w:t>
      </w:r>
      <w:r>
        <w:rPr>
          <w:rStyle w:val="FootnoteReference"/>
          <w:rFonts w:asciiTheme="minorHAnsi" w:hAnsiTheme="minorHAnsi"/>
          <w:b/>
          <w:bCs/>
          <w:color w:val="auto"/>
          <w:sz w:val="22"/>
          <w:szCs w:val="22"/>
        </w:rPr>
        <w:footnoteReference w:id="9"/>
      </w:r>
      <w:r w:rsidRPr="00FB6E71">
        <w:rPr>
          <w:rFonts w:asciiTheme="minorHAnsi" w:hAnsiTheme="minorHAnsi"/>
          <w:b/>
          <w:bCs/>
          <w:color w:val="auto"/>
          <w:sz w:val="22"/>
          <w:szCs w:val="22"/>
        </w:rPr>
        <w:t xml:space="preserve"> </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Pr>
          <w:rFonts w:asciiTheme="minorHAnsi" w:hAnsiTheme="minorHAnsi"/>
          <w:b/>
          <w:bCs/>
          <w:color w:val="auto"/>
          <w:sz w:val="22"/>
          <w:szCs w:val="22"/>
        </w:rPr>
        <w:t>SDR 22.3 million (</w:t>
      </w:r>
      <w:r w:rsidRPr="00FB6E71">
        <w:rPr>
          <w:rFonts w:asciiTheme="minorHAnsi" w:hAnsiTheme="minorHAnsi"/>
          <w:b/>
          <w:bCs/>
          <w:color w:val="auto"/>
          <w:sz w:val="22"/>
          <w:szCs w:val="22"/>
        </w:rPr>
        <w:t>US$30 million</w:t>
      </w:r>
      <w:r>
        <w:rPr>
          <w:rFonts w:asciiTheme="minorHAnsi" w:hAnsiTheme="minorHAnsi"/>
          <w:b/>
          <w:bCs/>
          <w:color w:val="auto"/>
          <w:sz w:val="22"/>
          <w:szCs w:val="22"/>
        </w:rPr>
        <w:t xml:space="preserve"> equivalent)</w:t>
      </w:r>
      <w:r w:rsidRPr="00FB6E71">
        <w:rPr>
          <w:rFonts w:asciiTheme="minorHAnsi" w:hAnsiTheme="minorHAnsi"/>
          <w:b/>
          <w:bCs/>
          <w:color w:val="auto"/>
          <w:sz w:val="22"/>
          <w:szCs w:val="22"/>
        </w:rPr>
        <w:t>.</w:t>
      </w:r>
      <w:r w:rsidRPr="00FB6E71">
        <w:rPr>
          <w:rFonts w:asciiTheme="minorHAnsi" w:hAnsiTheme="minorHAnsi"/>
          <w:bCs/>
          <w:color w:val="auto"/>
          <w:sz w:val="22"/>
          <w:szCs w:val="22"/>
        </w:rPr>
        <w:t xml:space="preserve"> The focus is on:</w:t>
      </w:r>
    </w:p>
    <w:p w:rsidR="007F2DE7" w:rsidP="00302E0C">
      <w:pPr>
        <w:pStyle w:val="ListParagraph"/>
        <w:widowControl/>
        <w:numPr>
          <w:ilvl w:val="3"/>
          <w:numId w:val="22"/>
        </w:numPr>
        <w:spacing w:after="240"/>
        <w:ind w:left="1195" w:hanging="475"/>
        <w:contextualSpacing w:val="0"/>
        <w:jc w:val="both"/>
        <w:rPr>
          <w:rFonts w:asciiTheme="minorHAnsi" w:hAnsiTheme="minorHAnsi"/>
          <w:bCs/>
          <w:color w:val="auto"/>
          <w:sz w:val="22"/>
          <w:szCs w:val="22"/>
        </w:rPr>
      </w:pPr>
      <w:r w:rsidRPr="005415AB">
        <w:rPr>
          <w:rFonts w:asciiTheme="minorHAnsi" w:hAnsiTheme="minorHAnsi"/>
          <w:bCs/>
          <w:color w:val="auto"/>
          <w:sz w:val="22"/>
          <w:szCs w:val="22"/>
        </w:rPr>
        <w:t xml:space="preserve">Transitional support toward stabilization and self-reliance by </w:t>
      </w:r>
    </w:p>
    <w:p w:rsidR="007F2DE7" w:rsidP="00302E0C">
      <w:pPr>
        <w:pStyle w:val="ListParagraph"/>
        <w:widowControl/>
        <w:numPr>
          <w:ilvl w:val="3"/>
          <w:numId w:val="52"/>
        </w:numPr>
        <w:spacing w:after="240"/>
        <w:ind w:left="1670" w:hanging="475"/>
        <w:contextualSpacing w:val="0"/>
        <w:jc w:val="both"/>
        <w:rPr>
          <w:rFonts w:asciiTheme="minorHAnsi" w:hAnsiTheme="minorHAnsi"/>
          <w:bCs/>
          <w:color w:val="auto"/>
          <w:sz w:val="22"/>
          <w:szCs w:val="22"/>
        </w:rPr>
      </w:pPr>
      <w:r>
        <w:rPr>
          <w:rFonts w:asciiTheme="minorHAnsi" w:hAnsiTheme="minorHAnsi"/>
          <w:bCs/>
          <w:color w:val="auto"/>
          <w:sz w:val="22"/>
          <w:szCs w:val="22"/>
        </w:rPr>
        <w:t>I</w:t>
      </w:r>
      <w:r w:rsidRPr="005415AB">
        <w:rPr>
          <w:rFonts w:asciiTheme="minorHAnsi" w:hAnsiTheme="minorHAnsi"/>
          <w:bCs/>
          <w:color w:val="auto"/>
          <w:sz w:val="22"/>
          <w:szCs w:val="22"/>
        </w:rPr>
        <w:t>ncreasing and improving the access to basic necessity kits</w:t>
      </w:r>
      <w:r>
        <w:rPr>
          <w:rFonts w:asciiTheme="minorHAnsi" w:hAnsiTheme="minorHAnsi"/>
          <w:sz w:val="22"/>
          <w:szCs w:val="22"/>
          <w:vertAlign w:val="superscript"/>
        </w:rPr>
        <w:footnoteReference w:id="10"/>
      </w:r>
      <w:r w:rsidRPr="005415AB">
        <w:rPr>
          <w:rFonts w:asciiTheme="minorHAnsi" w:hAnsiTheme="minorHAnsi"/>
          <w:bCs/>
          <w:color w:val="auto"/>
          <w:sz w:val="22"/>
          <w:szCs w:val="22"/>
        </w:rPr>
        <w:t xml:space="preserve"> and </w:t>
      </w:r>
    </w:p>
    <w:p w:rsidR="007F2DE7" w:rsidRPr="005415AB" w:rsidP="00302E0C">
      <w:pPr>
        <w:pStyle w:val="ListParagraph"/>
        <w:widowControl/>
        <w:numPr>
          <w:ilvl w:val="3"/>
          <w:numId w:val="52"/>
        </w:numPr>
        <w:spacing w:after="240"/>
        <w:ind w:left="1670" w:hanging="475"/>
        <w:contextualSpacing w:val="0"/>
        <w:jc w:val="both"/>
        <w:rPr>
          <w:rFonts w:asciiTheme="minorHAnsi" w:hAnsiTheme="minorHAnsi"/>
          <w:bCs/>
          <w:color w:val="auto"/>
          <w:sz w:val="22"/>
          <w:szCs w:val="22"/>
        </w:rPr>
      </w:pPr>
      <w:r>
        <w:rPr>
          <w:rFonts w:asciiTheme="minorHAnsi" w:hAnsiTheme="minorHAnsi"/>
          <w:bCs/>
          <w:color w:val="auto"/>
          <w:sz w:val="22"/>
          <w:szCs w:val="22"/>
        </w:rPr>
        <w:t>R</w:t>
      </w:r>
      <w:r w:rsidRPr="005415AB">
        <w:rPr>
          <w:rFonts w:asciiTheme="minorHAnsi" w:hAnsiTheme="minorHAnsi"/>
          <w:bCs/>
          <w:color w:val="auto"/>
          <w:sz w:val="22"/>
          <w:szCs w:val="22"/>
        </w:rPr>
        <w:t>estoring immediate access to productive assets</w:t>
      </w:r>
      <w:r w:rsidRPr="005415AB">
        <w:rPr>
          <w:rFonts w:asciiTheme="minorHAnsi" w:hAnsiTheme="minorHAnsi"/>
          <w:color w:val="auto"/>
          <w:sz w:val="22"/>
        </w:rPr>
        <w:t xml:space="preserve"> by providing agricultural inputs</w:t>
      </w:r>
      <w:r>
        <w:rPr>
          <w:rStyle w:val="FootnoteReference"/>
          <w:rFonts w:asciiTheme="minorHAnsi" w:hAnsiTheme="minorHAnsi"/>
          <w:color w:val="auto"/>
          <w:sz w:val="22"/>
        </w:rPr>
        <w:footnoteReference w:id="11"/>
      </w:r>
      <w:r w:rsidRPr="005415AB">
        <w:rPr>
          <w:rFonts w:asciiTheme="minorHAnsi" w:hAnsiTheme="minorHAnsi"/>
          <w:color w:val="auto"/>
          <w:sz w:val="22"/>
        </w:rPr>
        <w:t xml:space="preserve"> and livestock for farming families and trading commodities for non-farmers</w:t>
      </w:r>
      <w:r>
        <w:rPr>
          <w:rFonts w:asciiTheme="minorHAnsi" w:hAnsiTheme="minorHAnsi"/>
          <w:color w:val="auto"/>
          <w:sz w:val="22"/>
        </w:rPr>
        <w:t>.</w:t>
      </w:r>
      <w:r w:rsidRPr="005415AB">
        <w:rPr>
          <w:rFonts w:asciiTheme="minorHAnsi" w:hAnsiTheme="minorHAnsi"/>
          <w:bCs/>
          <w:color w:val="auto"/>
          <w:sz w:val="22"/>
          <w:szCs w:val="22"/>
        </w:rPr>
        <w:t xml:space="preserve"> </w:t>
      </w:r>
    </w:p>
    <w:p w:rsidR="007F2DE7" w:rsidP="00302E0C">
      <w:pPr>
        <w:pStyle w:val="ListParagraph"/>
        <w:widowControl/>
        <w:numPr>
          <w:ilvl w:val="3"/>
          <w:numId w:val="22"/>
        </w:numPr>
        <w:spacing w:after="240"/>
        <w:ind w:left="1195" w:hanging="475"/>
        <w:contextualSpacing w:val="0"/>
        <w:jc w:val="both"/>
        <w:rPr>
          <w:rFonts w:asciiTheme="minorHAnsi" w:hAnsiTheme="minorHAnsi"/>
          <w:bCs/>
          <w:color w:val="auto"/>
          <w:sz w:val="22"/>
          <w:szCs w:val="22"/>
        </w:rPr>
      </w:pPr>
      <w:r w:rsidRPr="005415AB">
        <w:rPr>
          <w:rFonts w:asciiTheme="minorHAnsi" w:hAnsiTheme="minorHAnsi"/>
          <w:bCs/>
          <w:color w:val="auto"/>
          <w:sz w:val="22"/>
          <w:szCs w:val="22"/>
        </w:rPr>
        <w:t>Increas</w:t>
      </w:r>
      <w:r>
        <w:rPr>
          <w:rFonts w:asciiTheme="minorHAnsi" w:hAnsiTheme="minorHAnsi"/>
          <w:bCs/>
          <w:color w:val="auto"/>
          <w:sz w:val="22"/>
          <w:szCs w:val="22"/>
        </w:rPr>
        <w:t>ing</w:t>
      </w:r>
      <w:r w:rsidRPr="005415AB">
        <w:rPr>
          <w:rFonts w:asciiTheme="minorHAnsi" w:hAnsiTheme="minorHAnsi"/>
          <w:bCs/>
          <w:color w:val="auto"/>
          <w:sz w:val="22"/>
          <w:szCs w:val="22"/>
        </w:rPr>
        <w:t xml:space="preserve"> community resilience and cohesion by </w:t>
      </w:r>
    </w:p>
    <w:p w:rsidR="007F2DE7" w:rsidP="00302E0C">
      <w:pPr>
        <w:pStyle w:val="ListParagraph"/>
        <w:widowControl/>
        <w:numPr>
          <w:ilvl w:val="3"/>
          <w:numId w:val="53"/>
        </w:numPr>
        <w:spacing w:after="240"/>
        <w:ind w:left="1670" w:hanging="475"/>
        <w:contextualSpacing w:val="0"/>
        <w:jc w:val="both"/>
        <w:rPr>
          <w:rFonts w:asciiTheme="minorHAnsi" w:hAnsiTheme="minorHAnsi"/>
          <w:bCs/>
          <w:color w:val="auto"/>
          <w:sz w:val="22"/>
          <w:szCs w:val="22"/>
        </w:rPr>
      </w:pPr>
      <w:r>
        <w:rPr>
          <w:rFonts w:asciiTheme="minorHAnsi" w:hAnsiTheme="minorHAnsi"/>
          <w:bCs/>
          <w:color w:val="auto"/>
          <w:sz w:val="22"/>
          <w:szCs w:val="22"/>
        </w:rPr>
        <w:t>S</w:t>
      </w:r>
      <w:r w:rsidRPr="005415AB">
        <w:rPr>
          <w:rFonts w:asciiTheme="minorHAnsi" w:hAnsiTheme="minorHAnsi"/>
          <w:bCs/>
          <w:color w:val="auto"/>
          <w:sz w:val="22"/>
          <w:szCs w:val="22"/>
        </w:rPr>
        <w:t>etting up local peace groups that bring together local authorities (government, traditional</w:t>
      </w:r>
      <w:r>
        <w:rPr>
          <w:rFonts w:asciiTheme="minorHAnsi" w:hAnsiTheme="minorHAnsi"/>
          <w:bCs/>
          <w:color w:val="auto"/>
          <w:sz w:val="22"/>
          <w:szCs w:val="22"/>
        </w:rPr>
        <w:t>,</w:t>
      </w:r>
      <w:r w:rsidRPr="005415AB">
        <w:rPr>
          <w:rFonts w:asciiTheme="minorHAnsi" w:hAnsiTheme="minorHAnsi"/>
          <w:bCs/>
          <w:color w:val="auto"/>
          <w:sz w:val="22"/>
          <w:szCs w:val="22"/>
        </w:rPr>
        <w:t xml:space="preserve"> and religious) and representatives of different segments of the population; </w:t>
      </w:r>
    </w:p>
    <w:p w:rsidR="007F2DE7" w:rsidP="00302E0C">
      <w:pPr>
        <w:pStyle w:val="ListParagraph"/>
        <w:widowControl/>
        <w:numPr>
          <w:ilvl w:val="3"/>
          <w:numId w:val="53"/>
        </w:numPr>
        <w:spacing w:after="240"/>
        <w:ind w:left="1670" w:hanging="475"/>
        <w:contextualSpacing w:val="0"/>
        <w:jc w:val="both"/>
        <w:rPr>
          <w:rFonts w:asciiTheme="minorHAnsi" w:hAnsiTheme="minorHAnsi"/>
          <w:bCs/>
          <w:color w:val="auto"/>
          <w:sz w:val="22"/>
          <w:szCs w:val="22"/>
        </w:rPr>
      </w:pPr>
      <w:r>
        <w:rPr>
          <w:rFonts w:asciiTheme="minorHAnsi" w:hAnsiTheme="minorHAnsi"/>
          <w:bCs/>
          <w:color w:val="auto"/>
          <w:sz w:val="22"/>
          <w:szCs w:val="22"/>
        </w:rPr>
        <w:t>F</w:t>
      </w:r>
      <w:r w:rsidRPr="005415AB">
        <w:rPr>
          <w:rFonts w:asciiTheme="minorHAnsi" w:hAnsiTheme="minorHAnsi"/>
          <w:bCs/>
          <w:color w:val="auto"/>
          <w:sz w:val="22"/>
          <w:szCs w:val="22"/>
        </w:rPr>
        <w:t xml:space="preserve">inancing social cohesion initiatives that address </w:t>
      </w:r>
      <w:r>
        <w:rPr>
          <w:rFonts w:asciiTheme="minorHAnsi" w:hAnsiTheme="minorHAnsi"/>
          <w:bCs/>
          <w:color w:val="auto"/>
          <w:sz w:val="22"/>
          <w:szCs w:val="22"/>
        </w:rPr>
        <w:t xml:space="preserve">the </w:t>
      </w:r>
      <w:r w:rsidRPr="005415AB">
        <w:rPr>
          <w:rFonts w:asciiTheme="minorHAnsi" w:hAnsiTheme="minorHAnsi"/>
          <w:bCs/>
          <w:color w:val="auto"/>
          <w:sz w:val="22"/>
          <w:szCs w:val="22"/>
        </w:rPr>
        <w:t xml:space="preserve">key drivers of the conflict and </w:t>
      </w:r>
      <w:r>
        <w:rPr>
          <w:rFonts w:asciiTheme="minorHAnsi" w:hAnsiTheme="minorHAnsi"/>
          <w:bCs/>
          <w:color w:val="auto"/>
          <w:sz w:val="22"/>
          <w:szCs w:val="22"/>
        </w:rPr>
        <w:t xml:space="preserve">the </w:t>
      </w:r>
      <w:r w:rsidRPr="005415AB">
        <w:rPr>
          <w:rFonts w:asciiTheme="minorHAnsi" w:hAnsiTheme="minorHAnsi"/>
          <w:bCs/>
          <w:color w:val="auto"/>
          <w:sz w:val="22"/>
          <w:szCs w:val="22"/>
        </w:rPr>
        <w:t>acute needs emerging from it, such as social integration of out-of-school children and youth at risk</w:t>
      </w:r>
      <w:r>
        <w:rPr>
          <w:rFonts w:asciiTheme="minorHAnsi" w:hAnsiTheme="minorHAnsi"/>
          <w:bCs/>
          <w:color w:val="auto"/>
          <w:sz w:val="22"/>
          <w:szCs w:val="22"/>
        </w:rPr>
        <w:t>;</w:t>
      </w:r>
      <w:r w:rsidRPr="005415AB">
        <w:rPr>
          <w:rFonts w:asciiTheme="minorHAnsi" w:hAnsiTheme="minorHAnsi"/>
          <w:bCs/>
          <w:color w:val="auto"/>
          <w:sz w:val="22"/>
          <w:szCs w:val="22"/>
        </w:rPr>
        <w:t xml:space="preserve"> provision of life and soft skills for collective action</w:t>
      </w:r>
      <w:r>
        <w:rPr>
          <w:rFonts w:asciiTheme="minorHAnsi" w:hAnsiTheme="minorHAnsi"/>
          <w:bCs/>
          <w:color w:val="auto"/>
          <w:sz w:val="22"/>
          <w:szCs w:val="22"/>
        </w:rPr>
        <w:t>;</w:t>
      </w:r>
      <w:r w:rsidRPr="005415AB">
        <w:rPr>
          <w:rFonts w:asciiTheme="minorHAnsi" w:hAnsiTheme="minorHAnsi"/>
          <w:bCs/>
          <w:color w:val="auto"/>
          <w:sz w:val="22"/>
          <w:szCs w:val="22"/>
        </w:rPr>
        <w:t xml:space="preserve"> </w:t>
      </w:r>
      <w:r>
        <w:rPr>
          <w:rFonts w:asciiTheme="minorHAnsi" w:hAnsiTheme="minorHAnsi"/>
          <w:bCs/>
          <w:color w:val="auto"/>
          <w:sz w:val="22"/>
          <w:szCs w:val="22"/>
        </w:rPr>
        <w:t>conduct</w:t>
      </w:r>
      <w:r w:rsidRPr="005415AB">
        <w:rPr>
          <w:rFonts w:asciiTheme="minorHAnsi" w:hAnsiTheme="minorHAnsi"/>
          <w:bCs/>
          <w:color w:val="auto"/>
          <w:sz w:val="22"/>
          <w:szCs w:val="22"/>
        </w:rPr>
        <w:t xml:space="preserve"> of cultural, sport</w:t>
      </w:r>
      <w:r>
        <w:rPr>
          <w:rFonts w:asciiTheme="minorHAnsi" w:hAnsiTheme="minorHAnsi"/>
          <w:bCs/>
          <w:color w:val="auto"/>
          <w:sz w:val="22"/>
          <w:szCs w:val="22"/>
        </w:rPr>
        <w:t>,</w:t>
      </w:r>
      <w:r w:rsidRPr="005415AB">
        <w:rPr>
          <w:rFonts w:asciiTheme="minorHAnsi" w:hAnsiTheme="minorHAnsi"/>
          <w:bCs/>
          <w:color w:val="auto"/>
          <w:sz w:val="22"/>
          <w:szCs w:val="22"/>
        </w:rPr>
        <w:t xml:space="preserve"> and social activities that promote common identities and intergroup interaction</w:t>
      </w:r>
      <w:r>
        <w:rPr>
          <w:rFonts w:asciiTheme="minorHAnsi" w:hAnsiTheme="minorHAnsi"/>
          <w:bCs/>
          <w:color w:val="auto"/>
          <w:sz w:val="22"/>
          <w:szCs w:val="22"/>
        </w:rPr>
        <w:t>;</w:t>
      </w:r>
      <w:r w:rsidRPr="005415AB">
        <w:rPr>
          <w:rFonts w:asciiTheme="minorHAnsi" w:hAnsiTheme="minorHAnsi"/>
          <w:bCs/>
          <w:color w:val="auto"/>
          <w:sz w:val="22"/>
          <w:szCs w:val="22"/>
        </w:rPr>
        <w:t xml:space="preserve"> </w:t>
      </w:r>
      <w:r>
        <w:rPr>
          <w:rFonts w:asciiTheme="minorHAnsi" w:hAnsiTheme="minorHAnsi"/>
          <w:bCs/>
          <w:color w:val="auto"/>
          <w:sz w:val="22"/>
          <w:szCs w:val="22"/>
        </w:rPr>
        <w:t>and</w:t>
      </w:r>
      <w:r w:rsidRPr="005415AB">
        <w:rPr>
          <w:rFonts w:asciiTheme="minorHAnsi" w:hAnsiTheme="minorHAnsi"/>
          <w:bCs/>
          <w:color w:val="auto"/>
          <w:sz w:val="22"/>
          <w:szCs w:val="22"/>
        </w:rPr>
        <w:t xml:space="preserve"> </w:t>
      </w:r>
      <w:r>
        <w:rPr>
          <w:rFonts w:asciiTheme="minorHAnsi" w:hAnsiTheme="minorHAnsi"/>
          <w:bCs/>
          <w:color w:val="auto"/>
          <w:sz w:val="22"/>
          <w:szCs w:val="22"/>
        </w:rPr>
        <w:t>conduct</w:t>
      </w:r>
      <w:r w:rsidRPr="005415AB">
        <w:rPr>
          <w:rFonts w:asciiTheme="minorHAnsi" w:hAnsiTheme="minorHAnsi"/>
          <w:bCs/>
          <w:color w:val="auto"/>
          <w:sz w:val="22"/>
          <w:szCs w:val="22"/>
        </w:rPr>
        <w:t xml:space="preserve"> of various violence-prevention and de-stigmatization campaigns; and </w:t>
      </w:r>
    </w:p>
    <w:p w:rsidR="007F2DE7" w:rsidRPr="005415AB" w:rsidP="00302E0C">
      <w:pPr>
        <w:pStyle w:val="ListParagraph"/>
        <w:widowControl/>
        <w:numPr>
          <w:ilvl w:val="3"/>
          <w:numId w:val="53"/>
        </w:numPr>
        <w:spacing w:after="240"/>
        <w:ind w:left="1670" w:hanging="475"/>
        <w:contextualSpacing w:val="0"/>
        <w:jc w:val="both"/>
        <w:rPr>
          <w:rFonts w:asciiTheme="minorHAnsi" w:hAnsiTheme="minorHAnsi"/>
          <w:bCs/>
          <w:color w:val="auto"/>
          <w:sz w:val="22"/>
          <w:szCs w:val="22"/>
        </w:rPr>
      </w:pPr>
      <w:r>
        <w:rPr>
          <w:rFonts w:asciiTheme="minorHAnsi" w:hAnsiTheme="minorHAnsi"/>
          <w:bCs/>
          <w:color w:val="auto"/>
          <w:sz w:val="22"/>
          <w:szCs w:val="22"/>
        </w:rPr>
        <w:t>P</w:t>
      </w:r>
      <w:r w:rsidRPr="005415AB">
        <w:rPr>
          <w:rFonts w:asciiTheme="minorHAnsi" w:hAnsiTheme="minorHAnsi"/>
          <w:bCs/>
          <w:color w:val="auto"/>
          <w:sz w:val="22"/>
          <w:szCs w:val="22"/>
        </w:rPr>
        <w:t>rovi</w:t>
      </w:r>
      <w:r>
        <w:rPr>
          <w:rFonts w:asciiTheme="minorHAnsi" w:hAnsiTheme="minorHAnsi"/>
          <w:bCs/>
          <w:color w:val="auto"/>
          <w:sz w:val="22"/>
          <w:szCs w:val="22"/>
        </w:rPr>
        <w:t>ding</w:t>
      </w:r>
      <w:r w:rsidRPr="005415AB">
        <w:rPr>
          <w:rFonts w:asciiTheme="minorHAnsi" w:hAnsiTheme="minorHAnsi"/>
          <w:bCs/>
          <w:color w:val="auto"/>
          <w:sz w:val="22"/>
          <w:szCs w:val="22"/>
        </w:rPr>
        <w:t xml:space="preserve"> community-based psychosocial support</w:t>
      </w:r>
      <w:r>
        <w:rPr>
          <w:rFonts w:asciiTheme="minorHAnsi" w:hAnsiTheme="minorHAnsi"/>
          <w:bCs/>
          <w:color w:val="auto"/>
          <w:sz w:val="22"/>
          <w:szCs w:val="22"/>
        </w:rPr>
        <w:t>.</w:t>
      </w:r>
      <w:r w:rsidRPr="005415AB">
        <w:rPr>
          <w:rFonts w:asciiTheme="minorHAnsi" w:hAnsiTheme="minorHAnsi"/>
          <w:bCs/>
          <w:color w:val="auto"/>
          <w:sz w:val="22"/>
          <w:szCs w:val="22"/>
        </w:rPr>
        <w:t xml:space="preserve"> </w:t>
      </w:r>
    </w:p>
    <w:p w:rsidR="007F2DE7" w:rsidRPr="005415AB" w:rsidP="00302E0C">
      <w:pPr>
        <w:pStyle w:val="ListParagraph"/>
        <w:widowControl/>
        <w:numPr>
          <w:ilvl w:val="3"/>
          <w:numId w:val="22"/>
        </w:numPr>
        <w:spacing w:after="240"/>
        <w:ind w:left="1195" w:hanging="475"/>
        <w:contextualSpacing w:val="0"/>
        <w:jc w:val="both"/>
        <w:rPr>
          <w:rFonts w:asciiTheme="minorHAnsi" w:hAnsiTheme="minorHAnsi"/>
          <w:bCs/>
          <w:color w:val="auto"/>
          <w:sz w:val="22"/>
          <w:szCs w:val="22"/>
        </w:rPr>
      </w:pPr>
      <w:r w:rsidRPr="005415AB">
        <w:rPr>
          <w:rFonts w:asciiTheme="minorHAnsi" w:hAnsiTheme="minorHAnsi"/>
          <w:bCs/>
          <w:color w:val="auto"/>
          <w:sz w:val="22"/>
          <w:szCs w:val="22"/>
        </w:rPr>
        <w:t>Citizen-government relationship building for recovery by strengthening government capacity to consult stakeholders at local and ward levels and support them in planning for recovery and peace building.</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Component 2: Infrastructure Rehabilitation and Service Delivery Restoration and Improvement </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Pr>
          <w:rFonts w:asciiTheme="minorHAnsi" w:hAnsiTheme="minorHAnsi"/>
          <w:b/>
          <w:bCs/>
          <w:color w:val="auto"/>
          <w:sz w:val="22"/>
          <w:szCs w:val="22"/>
        </w:rPr>
        <w:t>SDR 111.6 million (</w:t>
      </w:r>
      <w:r w:rsidRPr="00FB6E71">
        <w:rPr>
          <w:rFonts w:asciiTheme="minorHAnsi" w:hAnsiTheme="minorHAnsi"/>
          <w:b/>
          <w:bCs/>
          <w:color w:val="auto"/>
          <w:sz w:val="22"/>
          <w:szCs w:val="22"/>
        </w:rPr>
        <w:t>US$150 million</w:t>
      </w:r>
      <w:r>
        <w:rPr>
          <w:rFonts w:asciiTheme="minorHAnsi" w:hAnsiTheme="minorHAnsi"/>
          <w:b/>
          <w:bCs/>
          <w:color w:val="auto"/>
          <w:sz w:val="22"/>
          <w:szCs w:val="22"/>
        </w:rPr>
        <w:t xml:space="preserve"> equivalent)</w:t>
      </w:r>
      <w:r w:rsidRPr="00FB6E71">
        <w:rPr>
          <w:rFonts w:asciiTheme="minorHAnsi" w:hAnsiTheme="minorHAnsi"/>
          <w:b/>
          <w:bCs/>
          <w:color w:val="auto"/>
          <w:sz w:val="22"/>
          <w:szCs w:val="22"/>
        </w:rPr>
        <w:t>.</w:t>
      </w:r>
      <w:r w:rsidRPr="00FB6E71">
        <w:rPr>
          <w:rFonts w:asciiTheme="minorHAnsi" w:hAnsiTheme="minorHAnsi"/>
          <w:bCs/>
          <w:color w:val="auto"/>
          <w:sz w:val="22"/>
          <w:szCs w:val="22"/>
        </w:rPr>
        <w:t xml:space="preserve"> This component will include the rehabilitation of critical physical infrastructure and the sustainable restoration of service delivery. Interventions under this component will be spread across the following sectors:</w:t>
      </w:r>
    </w:p>
    <w:p w:rsidR="007F2DE7" w:rsidRPr="00FB6E71" w:rsidP="00302E0C">
      <w:pPr>
        <w:pStyle w:val="ListParagraph"/>
        <w:widowControl/>
        <w:numPr>
          <w:ilvl w:val="3"/>
          <w:numId w:val="21"/>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Transport</w:t>
      </w:r>
      <w:r>
        <w:rPr>
          <w:rFonts w:asciiTheme="minorHAnsi" w:hAnsiTheme="minorHAnsi"/>
          <w:b/>
          <w:bCs/>
          <w:color w:val="auto"/>
          <w:sz w:val="22"/>
          <w:szCs w:val="22"/>
        </w:rPr>
        <w:t>.</w:t>
      </w:r>
      <w:r w:rsidRPr="00FB6E71">
        <w:rPr>
          <w:rFonts w:asciiTheme="minorHAnsi" w:hAnsiTheme="minorHAnsi"/>
          <w:bCs/>
          <w:color w:val="auto"/>
          <w:sz w:val="22"/>
          <w:szCs w:val="22"/>
        </w:rPr>
        <w:t xml:space="preserve"> R</w:t>
      </w:r>
      <w:r w:rsidRPr="00FB6E71">
        <w:rPr>
          <w:rFonts w:ascii="Calibri" w:eastAsia="MS Mincho" w:hAnsi="Calibri" w:cs="Times New Roman"/>
          <w:bCs/>
          <w:color w:val="auto"/>
          <w:sz w:val="22"/>
          <w:szCs w:val="22"/>
        </w:rPr>
        <w:t>ehabilitation and improvement of critical state and local transport infrastructure, including reconstruction and repair of damaged bridges and state and local roads</w:t>
      </w:r>
    </w:p>
    <w:p w:rsidR="007F2DE7" w:rsidRPr="00FB6E71" w:rsidP="00302E0C">
      <w:pPr>
        <w:pStyle w:val="ListParagraph"/>
        <w:widowControl/>
        <w:numPr>
          <w:ilvl w:val="3"/>
          <w:numId w:val="21"/>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Restoration of municipal services</w:t>
      </w:r>
      <w:r>
        <w:rPr>
          <w:rFonts w:asciiTheme="minorHAnsi" w:hAnsiTheme="minorHAnsi"/>
          <w:b/>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R</w:t>
      </w:r>
      <w:r w:rsidRPr="00FB6E71">
        <w:rPr>
          <w:rFonts w:asciiTheme="minorHAnsi" w:hAnsiTheme="minorHAnsi"/>
          <w:bCs/>
          <w:color w:val="auto"/>
          <w:sz w:val="22"/>
          <w:szCs w:val="22"/>
        </w:rPr>
        <w:t>econstruction and rehabilitation of water supply facilities, sanitation, and solid waste management infrastructure and service delivery</w:t>
      </w:r>
    </w:p>
    <w:p w:rsidR="007F2DE7" w:rsidRPr="00FB6E71" w:rsidP="00302E0C">
      <w:pPr>
        <w:pStyle w:val="ListParagraph"/>
        <w:widowControl/>
        <w:numPr>
          <w:ilvl w:val="3"/>
          <w:numId w:val="21"/>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Education</w:t>
      </w:r>
      <w:r>
        <w:rPr>
          <w:rFonts w:asciiTheme="minorHAnsi" w:hAnsiTheme="minorHAnsi"/>
          <w:b/>
          <w:bCs/>
          <w:color w:val="auto"/>
          <w:sz w:val="22"/>
          <w:szCs w:val="22"/>
        </w:rPr>
        <w:t>.</w:t>
      </w:r>
      <w:r w:rsidRPr="00FB6E71">
        <w:rPr>
          <w:rFonts w:asciiTheme="minorHAnsi" w:hAnsiTheme="minorHAnsi"/>
          <w:bCs/>
          <w:color w:val="auto"/>
          <w:sz w:val="22"/>
          <w:szCs w:val="22"/>
        </w:rPr>
        <w:t xml:space="preserve"> Reconstruction and repair of damaged school infrastructure such as classrooms, offices, fences, playground</w:t>
      </w:r>
      <w:r>
        <w:rPr>
          <w:rFonts w:asciiTheme="minorHAnsi" w:hAnsiTheme="minorHAnsi"/>
          <w:bCs/>
          <w:color w:val="auto"/>
          <w:sz w:val="22"/>
          <w:szCs w:val="22"/>
        </w:rPr>
        <w:t>s</w:t>
      </w:r>
      <w:r w:rsidRPr="00FB6E71">
        <w:rPr>
          <w:rFonts w:asciiTheme="minorHAnsi" w:hAnsiTheme="minorHAnsi"/>
          <w:bCs/>
          <w:color w:val="auto"/>
          <w:sz w:val="22"/>
          <w:szCs w:val="22"/>
        </w:rPr>
        <w:t>, latrines, labs, and other associated service delivery interventions</w:t>
      </w:r>
    </w:p>
    <w:p w:rsidR="007F2DE7" w:rsidRPr="00FB6E71" w:rsidP="00302E0C">
      <w:pPr>
        <w:pStyle w:val="ListParagraph"/>
        <w:widowControl/>
        <w:numPr>
          <w:ilvl w:val="3"/>
          <w:numId w:val="21"/>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Health</w:t>
      </w:r>
      <w:r>
        <w:rPr>
          <w:rFonts w:asciiTheme="minorHAnsi" w:hAnsiTheme="minorHAnsi"/>
          <w:b/>
          <w:bCs/>
          <w:color w:val="auto"/>
          <w:sz w:val="22"/>
          <w:szCs w:val="22"/>
        </w:rPr>
        <w:t>.</w:t>
      </w:r>
      <w:r w:rsidRPr="00FB6E71">
        <w:rPr>
          <w:rFonts w:asciiTheme="minorHAnsi" w:hAnsiTheme="minorHAnsi"/>
          <w:bCs/>
          <w:color w:val="auto"/>
          <w:sz w:val="22"/>
          <w:szCs w:val="22"/>
        </w:rPr>
        <w:t xml:space="preserve"> Reconstruction or rehabilitation of health center buildings and other associated service delivery interventions in respect of staff, furniture</w:t>
      </w:r>
      <w:r>
        <w:rPr>
          <w:rFonts w:asciiTheme="minorHAnsi" w:hAnsiTheme="minorHAnsi"/>
          <w:bCs/>
          <w:color w:val="auto"/>
          <w:sz w:val="22"/>
          <w:szCs w:val="22"/>
        </w:rPr>
        <w:t>,</w:t>
      </w:r>
      <w:r w:rsidRPr="00FB6E71">
        <w:rPr>
          <w:rFonts w:asciiTheme="minorHAnsi" w:hAnsiTheme="minorHAnsi"/>
          <w:bCs/>
          <w:color w:val="auto"/>
          <w:sz w:val="22"/>
          <w:szCs w:val="22"/>
        </w:rPr>
        <w:t xml:space="preserve"> and supplies</w:t>
      </w:r>
    </w:p>
    <w:p w:rsidR="007F2DE7" w:rsidRPr="00FB6E71" w:rsidP="00302E0C">
      <w:pPr>
        <w:pStyle w:val="ListParagraph"/>
        <w:widowControl/>
        <w:numPr>
          <w:ilvl w:val="3"/>
          <w:numId w:val="21"/>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Public buildings</w:t>
      </w:r>
      <w:r>
        <w:rPr>
          <w:rFonts w:asciiTheme="minorHAnsi" w:hAnsiTheme="minorHAnsi"/>
          <w:b/>
          <w:bCs/>
          <w:color w:val="auto"/>
          <w:sz w:val="22"/>
          <w:szCs w:val="22"/>
        </w:rPr>
        <w:t>.</w:t>
      </w:r>
      <w:r w:rsidRPr="00FB6E71">
        <w:rPr>
          <w:rFonts w:asciiTheme="minorHAnsi" w:hAnsiTheme="minorHAnsi"/>
          <w:bCs/>
          <w:color w:val="auto"/>
          <w:sz w:val="22"/>
          <w:szCs w:val="22"/>
        </w:rPr>
        <w:t xml:space="preserve"> Rehabilitation and reconstruction of damaged local government buildings particularly those seen as critical for restoring service delivery functionality across multiple sectors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Component 3: Technical Assistance and Program Management Support </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Pr>
          <w:rFonts w:asciiTheme="minorHAnsi" w:hAnsiTheme="minorHAnsi"/>
          <w:b/>
          <w:bCs/>
          <w:color w:val="auto"/>
          <w:sz w:val="22"/>
          <w:szCs w:val="22"/>
        </w:rPr>
        <w:t>SDR 14.9 million (</w:t>
      </w:r>
      <w:r w:rsidRPr="00FB6E71">
        <w:rPr>
          <w:rFonts w:asciiTheme="minorHAnsi" w:hAnsiTheme="minorHAnsi"/>
          <w:b/>
          <w:bCs/>
          <w:color w:val="auto"/>
          <w:sz w:val="22"/>
          <w:szCs w:val="22"/>
        </w:rPr>
        <w:t>US$20 million</w:t>
      </w:r>
      <w:r>
        <w:rPr>
          <w:rFonts w:asciiTheme="minorHAnsi" w:hAnsiTheme="minorHAnsi"/>
          <w:b/>
          <w:bCs/>
          <w:color w:val="auto"/>
          <w:sz w:val="22"/>
          <w:szCs w:val="22"/>
        </w:rPr>
        <w:t xml:space="preserve"> equivalent)</w:t>
      </w:r>
      <w:r w:rsidRPr="00FB6E71">
        <w:rPr>
          <w:rFonts w:asciiTheme="minorHAnsi" w:hAnsiTheme="minorHAnsi"/>
          <w:b/>
          <w:bCs/>
          <w:color w:val="auto"/>
          <w:sz w:val="22"/>
          <w:szCs w:val="22"/>
        </w:rPr>
        <w:t>.</w:t>
      </w:r>
      <w:r w:rsidRPr="00FB6E71">
        <w:rPr>
          <w:rFonts w:asciiTheme="minorHAnsi" w:hAnsiTheme="minorHAnsi"/>
          <w:bCs/>
          <w:color w:val="auto"/>
          <w:sz w:val="22"/>
          <w:szCs w:val="22"/>
        </w:rPr>
        <w:t xml:space="preserve"> This component w</w:t>
      </w:r>
      <w:r>
        <w:rPr>
          <w:rFonts w:asciiTheme="minorHAnsi" w:hAnsiTheme="minorHAnsi"/>
          <w:bCs/>
          <w:color w:val="auto"/>
          <w:sz w:val="22"/>
          <w:szCs w:val="22"/>
        </w:rPr>
        <w:t>ill</w:t>
      </w:r>
      <w:r w:rsidRPr="00FB6E71">
        <w:rPr>
          <w:rFonts w:asciiTheme="minorHAnsi" w:hAnsiTheme="minorHAnsi"/>
          <w:bCs/>
          <w:color w:val="auto"/>
          <w:sz w:val="22"/>
          <w:szCs w:val="22"/>
        </w:rPr>
        <w:t xml:space="preserve"> include TA for (a) strengthening </w:t>
      </w:r>
      <w:r>
        <w:rPr>
          <w:rFonts w:asciiTheme="minorHAnsi" w:hAnsiTheme="minorHAnsi"/>
          <w:bCs/>
          <w:color w:val="auto"/>
          <w:sz w:val="22"/>
          <w:szCs w:val="22"/>
        </w:rPr>
        <w:t xml:space="preserve">the </w:t>
      </w:r>
      <w:r w:rsidRPr="00FB6E71">
        <w:rPr>
          <w:rFonts w:asciiTheme="minorHAnsi" w:hAnsiTheme="minorHAnsi"/>
          <w:bCs/>
          <w:color w:val="auto"/>
          <w:sz w:val="22"/>
          <w:szCs w:val="22"/>
        </w:rPr>
        <w:t>institutional capacity for the coordination of the programmatic recovery program, in line with the Buhari Plan and the RPBA and (b) strengthen</w:t>
      </w:r>
      <w:r>
        <w:rPr>
          <w:rFonts w:asciiTheme="minorHAnsi" w:hAnsiTheme="minorHAnsi"/>
          <w:bCs/>
          <w:color w:val="auto"/>
          <w:sz w:val="22"/>
          <w:szCs w:val="22"/>
        </w:rPr>
        <w:t>ing</w:t>
      </w:r>
      <w:r w:rsidRPr="00FB6E71">
        <w:rPr>
          <w:rFonts w:asciiTheme="minorHAnsi" w:hAnsiTheme="minorHAnsi"/>
          <w:bCs/>
          <w:color w:val="auto"/>
          <w:sz w:val="22"/>
          <w:szCs w:val="22"/>
        </w:rPr>
        <w:t xml:space="preserve">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implementation capacity. Support for overall programmatic and policy coordination at the federal, interstate</w:t>
      </w:r>
      <w:r>
        <w:rPr>
          <w:rFonts w:asciiTheme="minorHAnsi" w:hAnsiTheme="minorHAnsi"/>
          <w:bCs/>
          <w:color w:val="auto"/>
          <w:sz w:val="22"/>
          <w:szCs w:val="22"/>
        </w:rPr>
        <w:t>,</w:t>
      </w:r>
      <w:r w:rsidRPr="00FB6E71">
        <w:rPr>
          <w:rFonts w:asciiTheme="minorHAnsi" w:hAnsiTheme="minorHAnsi"/>
          <w:bCs/>
          <w:color w:val="auto"/>
          <w:sz w:val="22"/>
          <w:szCs w:val="22"/>
        </w:rPr>
        <w:t xml:space="preserve"> and intrastate levels will include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provision of </w:t>
      </w:r>
      <w:r>
        <w:rPr>
          <w:rFonts w:asciiTheme="minorHAnsi" w:hAnsiTheme="minorHAnsi"/>
          <w:bCs/>
          <w:color w:val="auto"/>
          <w:sz w:val="22"/>
          <w:szCs w:val="22"/>
        </w:rPr>
        <w:t>TA</w:t>
      </w:r>
      <w:r w:rsidRPr="00FB6E71">
        <w:rPr>
          <w:rFonts w:asciiTheme="minorHAnsi" w:hAnsiTheme="minorHAnsi"/>
          <w:bCs/>
          <w:color w:val="auto"/>
          <w:sz w:val="22"/>
          <w:szCs w:val="22"/>
        </w:rPr>
        <w:t xml:space="preserve"> for the development of implementation and performance management frameworks for programmatic recovery. Project implementation support will include (a) program management costs, including the engagement of a project management firm</w:t>
      </w:r>
      <w:r>
        <w:rPr>
          <w:rFonts w:asciiTheme="minorHAnsi" w:hAnsiTheme="minorHAnsi"/>
          <w:bCs/>
          <w:color w:val="auto"/>
          <w:sz w:val="22"/>
          <w:szCs w:val="22"/>
        </w:rPr>
        <w:t>;</w:t>
      </w:r>
      <w:r w:rsidRPr="00FB6E71">
        <w:rPr>
          <w:rFonts w:asciiTheme="minorHAnsi" w:hAnsiTheme="minorHAnsi"/>
          <w:bCs/>
          <w:color w:val="auto"/>
          <w:sz w:val="22"/>
          <w:szCs w:val="22"/>
        </w:rPr>
        <w:t xml:space="preserve"> project M&amp;E</w:t>
      </w:r>
      <w:r>
        <w:rPr>
          <w:rFonts w:asciiTheme="minorHAnsi" w:hAnsiTheme="minorHAnsi"/>
          <w:bCs/>
          <w:color w:val="auto"/>
          <w:sz w:val="22"/>
          <w:szCs w:val="22"/>
        </w:rPr>
        <w:t>;</w:t>
      </w:r>
      <w:r w:rsidRPr="00FB6E71">
        <w:rPr>
          <w:rFonts w:asciiTheme="minorHAnsi" w:hAnsiTheme="minorHAnsi"/>
          <w:bCs/>
          <w:color w:val="auto"/>
          <w:sz w:val="22"/>
          <w:szCs w:val="22"/>
        </w:rPr>
        <w:t xml:space="preserve"> contract management</w:t>
      </w:r>
      <w:r>
        <w:rPr>
          <w:rFonts w:asciiTheme="minorHAnsi" w:hAnsiTheme="minorHAnsi"/>
          <w:bCs/>
          <w:color w:val="auto"/>
          <w:sz w:val="22"/>
          <w:szCs w:val="22"/>
        </w:rPr>
        <w:t>;</w:t>
      </w:r>
      <w:r w:rsidRPr="00FB6E71">
        <w:rPr>
          <w:rFonts w:asciiTheme="minorHAnsi" w:hAnsiTheme="minorHAnsi"/>
          <w:bCs/>
          <w:color w:val="auto"/>
          <w:sz w:val="22"/>
          <w:szCs w:val="22"/>
        </w:rPr>
        <w:t xml:space="preserve"> financial management (FM) and procurement</w:t>
      </w:r>
      <w:r>
        <w:rPr>
          <w:rFonts w:asciiTheme="minorHAnsi" w:hAnsiTheme="minorHAnsi"/>
          <w:bCs/>
          <w:color w:val="auto"/>
          <w:sz w:val="22"/>
          <w:szCs w:val="22"/>
        </w:rPr>
        <w:t>;</w:t>
      </w:r>
      <w:r w:rsidRPr="00FB6E71">
        <w:rPr>
          <w:rFonts w:asciiTheme="minorHAnsi" w:hAnsiTheme="minorHAnsi"/>
          <w:bCs/>
          <w:color w:val="auto"/>
          <w:sz w:val="22"/>
          <w:szCs w:val="22"/>
        </w:rPr>
        <w:t xml:space="preserve"> and safeguards implementation, monitoring, and management; (b) immediate and medium-term support and capacity building for project implementation in the </w:t>
      </w:r>
      <w:r>
        <w:rPr>
          <w:rFonts w:asciiTheme="minorHAnsi" w:hAnsiTheme="minorHAnsi"/>
          <w:bCs/>
          <w:color w:val="auto"/>
          <w:sz w:val="22"/>
          <w:szCs w:val="22"/>
        </w:rPr>
        <w:t>Project Coordination Units (</w:t>
      </w:r>
      <w:r w:rsidRPr="00FB6E71">
        <w:rPr>
          <w:rFonts w:asciiTheme="minorHAnsi" w:hAnsiTheme="minorHAnsi"/>
          <w:bCs/>
          <w:color w:val="auto"/>
          <w:sz w:val="22"/>
          <w:szCs w:val="22"/>
        </w:rPr>
        <w:t>PCUs</w:t>
      </w:r>
      <w:r>
        <w:rPr>
          <w:rFonts w:asciiTheme="minorHAnsi" w:hAnsiTheme="minorHAnsi"/>
          <w:bCs/>
          <w:color w:val="auto"/>
          <w:sz w:val="22"/>
          <w:szCs w:val="22"/>
        </w:rPr>
        <w:t>)</w:t>
      </w:r>
      <w:r w:rsidRPr="00FB6E71">
        <w:rPr>
          <w:rFonts w:asciiTheme="minorHAnsi" w:hAnsiTheme="minorHAnsi"/>
          <w:bCs/>
          <w:color w:val="auto"/>
          <w:sz w:val="22"/>
          <w:szCs w:val="22"/>
        </w:rPr>
        <w:t xml:space="preserve"> and sectoral line agencies; and (c) setting up</w:t>
      </w:r>
      <w:r>
        <w:rPr>
          <w:rFonts w:asciiTheme="minorHAnsi" w:hAnsiTheme="minorHAnsi"/>
          <w:bCs/>
          <w:color w:val="auto"/>
          <w:sz w:val="22"/>
          <w:szCs w:val="22"/>
        </w:rPr>
        <w:t xml:space="preserve"> of</w:t>
      </w:r>
      <w:r w:rsidRPr="00FB6E71">
        <w:rPr>
          <w:rFonts w:asciiTheme="minorHAnsi" w:hAnsiTheme="minorHAnsi"/>
          <w:bCs/>
          <w:color w:val="auto"/>
          <w:sz w:val="22"/>
          <w:szCs w:val="22"/>
        </w:rPr>
        <w:t xml:space="preserve"> citizen engagem</w:t>
      </w:r>
      <w:r w:rsidRPr="00FB6E71">
        <w:rPr>
          <w:rFonts w:ascii="Calibri" w:eastAsia="Times New Roman" w:hAnsi="Calibri" w:cs="Times New Roman"/>
          <w:color w:val="auto"/>
          <w:sz w:val="22"/>
          <w:szCs w:val="22"/>
        </w:rPr>
        <w:t>ent and third-party monitoring mechanisms.</w:t>
      </w:r>
      <w:r w:rsidRPr="00FB6E71">
        <w:rPr>
          <w:rFonts w:asciiTheme="minorHAnsi" w:hAnsiTheme="minorHAnsi"/>
          <w:bCs/>
          <w:color w:val="auto"/>
          <w:sz w:val="22"/>
          <w:szCs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Component 4: Contingent Emergency Response </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Pr>
          <w:rFonts w:asciiTheme="minorHAnsi" w:hAnsiTheme="minorHAnsi"/>
          <w:b/>
          <w:bCs/>
          <w:color w:val="auto"/>
          <w:sz w:val="22"/>
          <w:szCs w:val="22"/>
        </w:rPr>
        <w:t>SDR 0 million (</w:t>
      </w:r>
      <w:r w:rsidRPr="00FB6E71">
        <w:rPr>
          <w:rFonts w:asciiTheme="minorHAnsi" w:hAnsiTheme="minorHAnsi"/>
          <w:b/>
          <w:bCs/>
          <w:color w:val="auto"/>
          <w:sz w:val="22"/>
          <w:szCs w:val="22"/>
        </w:rPr>
        <w:t>US$0 million</w:t>
      </w:r>
      <w:r>
        <w:rPr>
          <w:rFonts w:asciiTheme="minorHAnsi" w:hAnsiTheme="minorHAnsi"/>
          <w:b/>
          <w:bCs/>
          <w:color w:val="auto"/>
          <w:sz w:val="22"/>
          <w:szCs w:val="22"/>
        </w:rPr>
        <w:t xml:space="preserve"> equivalent)</w:t>
      </w:r>
      <w:r w:rsidRPr="00FB6E71">
        <w:rPr>
          <w:rFonts w:asciiTheme="minorHAnsi" w:hAnsiTheme="minorHAnsi"/>
          <w:b/>
          <w:bCs/>
          <w:color w:val="auto"/>
          <w:sz w:val="22"/>
          <w:szCs w:val="22"/>
        </w:rPr>
        <w:t xml:space="preserve">. </w:t>
      </w:r>
      <w:r w:rsidRPr="00FB6E71">
        <w:rPr>
          <w:rFonts w:asciiTheme="minorHAnsi" w:hAnsiTheme="minorHAnsi"/>
          <w:color w:val="auto"/>
          <w:sz w:val="22"/>
        </w:rPr>
        <w:t xml:space="preserve">This contingent emergency response component (CERC) is included under the project in accordance with OP/BP 10.00, paragraphs 12 and 13, for </w:t>
      </w:r>
      <w:r w:rsidRPr="00FB6E71">
        <w:rPr>
          <w:rFonts w:asciiTheme="minorHAnsi" w:hAnsiTheme="minorHAnsi"/>
          <w:bCs/>
          <w:color w:val="auto"/>
          <w:sz w:val="22"/>
          <w:szCs w:val="22"/>
        </w:rPr>
        <w:t>situations</w:t>
      </w:r>
      <w:r w:rsidRPr="00FB6E71">
        <w:rPr>
          <w:rFonts w:asciiTheme="minorHAnsi" w:hAnsiTheme="minorHAnsi"/>
          <w:color w:val="auto"/>
          <w:sz w:val="22"/>
        </w:rPr>
        <w:t xml:space="preserve"> of urgent need of assistance, as a project-specific CERC. This will allow for rapid reallocation of project funds in the event of a natural or man</w:t>
      </w:r>
      <w:r>
        <w:rPr>
          <w:rFonts w:asciiTheme="minorHAnsi" w:hAnsiTheme="minorHAnsi"/>
          <w:color w:val="auto"/>
          <w:sz w:val="22"/>
        </w:rPr>
        <w:t>-</w:t>
      </w:r>
      <w:r w:rsidRPr="00FB6E71">
        <w:rPr>
          <w:rFonts w:asciiTheme="minorHAnsi" w:hAnsiTheme="minorHAnsi"/>
          <w:color w:val="auto"/>
          <w:sz w:val="22"/>
        </w:rPr>
        <w:t xml:space="preserve">made crisis in the future, during the implementation of the project, </w:t>
      </w:r>
      <w:r w:rsidRPr="00FB6E71">
        <w:rPr>
          <w:rFonts w:asciiTheme="minorHAnsi" w:hAnsiTheme="minorHAnsi"/>
          <w:bCs/>
          <w:color w:val="auto"/>
          <w:sz w:val="22"/>
        </w:rPr>
        <w:t>to address eligible emergency needs under the conditions established in its operations manual</w:t>
      </w:r>
      <w:r w:rsidRPr="00FB6E71">
        <w:rPr>
          <w:rFonts w:asciiTheme="minorHAnsi" w:hAnsiTheme="minorHAnsi"/>
          <w:color w:val="auto"/>
          <w:sz w:val="22"/>
        </w:rPr>
        <w:t>. This component will have no funding allocation initially and will draw resources from the unallocated expenditure category in the case of activation. If an Immediate Response Mechanism</w:t>
      </w:r>
      <w:r>
        <w:rPr>
          <w:rFonts w:asciiTheme="minorHAnsi" w:hAnsiTheme="minorHAnsi"/>
          <w:color w:val="auto"/>
          <w:sz w:val="22"/>
        </w:rPr>
        <w:t xml:space="preserve"> (IRM)</w:t>
      </w:r>
      <w:r w:rsidRPr="00FB6E71">
        <w:rPr>
          <w:rFonts w:asciiTheme="minorHAnsi" w:hAnsiTheme="minorHAnsi"/>
          <w:color w:val="auto"/>
          <w:sz w:val="22"/>
        </w:rPr>
        <w:t xml:space="preserve"> is established, this component will serve as an IRM CERC to allow the reallocation of uncommitted funds from the project portfolio to the IRM </w:t>
      </w:r>
      <w:r>
        <w:rPr>
          <w:rFonts w:asciiTheme="minorHAnsi" w:hAnsiTheme="minorHAnsi"/>
          <w:color w:val="auto"/>
          <w:sz w:val="22"/>
        </w:rPr>
        <w:t>D</w:t>
      </w:r>
      <w:r w:rsidRPr="00FB6E71">
        <w:rPr>
          <w:rFonts w:asciiTheme="minorHAnsi" w:hAnsiTheme="minorHAnsi"/>
          <w:color w:val="auto"/>
          <w:sz w:val="22"/>
        </w:rPr>
        <w:t xml:space="preserve">esignated </w:t>
      </w:r>
      <w:r>
        <w:rPr>
          <w:rFonts w:asciiTheme="minorHAnsi" w:hAnsiTheme="minorHAnsi"/>
          <w:color w:val="auto"/>
          <w:sz w:val="22"/>
        </w:rPr>
        <w:t>A</w:t>
      </w:r>
      <w:r w:rsidRPr="00FB6E71">
        <w:rPr>
          <w:rFonts w:asciiTheme="minorHAnsi" w:hAnsiTheme="minorHAnsi"/>
          <w:color w:val="auto"/>
          <w:sz w:val="22"/>
        </w:rPr>
        <w:t>ccount</w:t>
      </w:r>
      <w:r>
        <w:rPr>
          <w:rFonts w:asciiTheme="minorHAnsi" w:hAnsiTheme="minorHAnsi"/>
          <w:color w:val="auto"/>
          <w:sz w:val="22"/>
        </w:rPr>
        <w:t xml:space="preserve"> (DA)</w:t>
      </w:r>
      <w:r w:rsidRPr="00FB6E71">
        <w:rPr>
          <w:rFonts w:asciiTheme="minorHAnsi" w:hAnsiTheme="minorHAnsi"/>
          <w:color w:val="auto"/>
          <w:sz w:val="22"/>
        </w:rPr>
        <w:t xml:space="preserve"> to address emergency response and recovery costs, if approved by the World Bank.</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53"/>
        </w:trPr>
        <w:tc>
          <w:tcPr>
            <w:tcW w:w="10710" w:type="dxa"/>
          </w:tcPr>
          <w:p w:rsidR="007F2DE7" w:rsidRPr="00FB6E71" w:rsidP="007F2DE7">
            <w:pPr>
              <w:pStyle w:val="Heading2"/>
              <w:widowControl/>
              <w:outlineLvl w:val="1"/>
              <w:rPr>
                <w:rFonts w:asciiTheme="minorHAnsi" w:hAnsiTheme="minorHAnsi"/>
                <w:sz w:val="22"/>
                <w:szCs w:val="22"/>
              </w:rPr>
            </w:pPr>
            <w:bookmarkStart w:id="45" w:name="_Toc256000010"/>
            <w:bookmarkStart w:id="46" w:name="_Toc433982415"/>
            <w:bookmarkStart w:id="47" w:name="_Toc460509197"/>
            <w:bookmarkStart w:id="48" w:name="_Toc476558112"/>
            <w:r w:rsidRPr="00FB6E71">
              <w:rPr>
                <w:rFonts w:asciiTheme="minorHAnsi" w:hAnsiTheme="minorHAnsi"/>
                <w:b/>
                <w:bCs/>
                <w:color w:val="172D5F"/>
                <w:sz w:val="22"/>
                <w:szCs w:val="22"/>
              </w:rPr>
              <w:t>B. Project Cost and Financing</w:t>
            </w:r>
            <w:bookmarkEnd w:id="45"/>
            <w:bookmarkEnd w:id="46"/>
            <w:bookmarkEnd w:id="47"/>
            <w:bookmarkEnd w:id="48"/>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Project cost and implementation period. </w:t>
      </w:r>
      <w:r w:rsidRPr="00FB6E71">
        <w:rPr>
          <w:rFonts w:asciiTheme="minorHAnsi" w:hAnsiTheme="minorHAnsi"/>
          <w:bCs/>
          <w:color w:val="auto"/>
          <w:sz w:val="22"/>
          <w:szCs w:val="22"/>
        </w:rPr>
        <w:t xml:space="preserve">The total </w:t>
      </w:r>
      <w:r>
        <w:rPr>
          <w:rFonts w:asciiTheme="minorHAnsi" w:hAnsiTheme="minorHAnsi"/>
          <w:bCs/>
          <w:color w:val="auto"/>
          <w:sz w:val="22"/>
          <w:szCs w:val="22"/>
        </w:rPr>
        <w:t>p</w:t>
      </w:r>
      <w:r w:rsidRPr="00FB6E71">
        <w:rPr>
          <w:rFonts w:asciiTheme="minorHAnsi" w:hAnsiTheme="minorHAnsi"/>
          <w:bCs/>
          <w:color w:val="auto"/>
          <w:sz w:val="22"/>
          <w:szCs w:val="22"/>
        </w:rPr>
        <w:t xml:space="preserve">roject cost is </w:t>
      </w:r>
      <w:r>
        <w:rPr>
          <w:rFonts w:asciiTheme="minorHAnsi" w:hAnsiTheme="minorHAnsi"/>
          <w:bCs/>
          <w:color w:val="auto"/>
          <w:sz w:val="22"/>
          <w:szCs w:val="22"/>
        </w:rPr>
        <w:t>SDR 148.8 million (</w:t>
      </w:r>
      <w:r w:rsidRPr="00FB6E71">
        <w:rPr>
          <w:rFonts w:asciiTheme="minorHAnsi" w:hAnsiTheme="minorHAnsi"/>
          <w:bCs/>
          <w:color w:val="auto"/>
          <w:sz w:val="22"/>
          <w:szCs w:val="22"/>
        </w:rPr>
        <w:t>US$200 million</w:t>
      </w:r>
      <w:r>
        <w:rPr>
          <w:rFonts w:asciiTheme="minorHAnsi" w:hAnsiTheme="minorHAnsi"/>
          <w:bCs/>
          <w:color w:val="auto"/>
          <w:sz w:val="22"/>
          <w:szCs w:val="22"/>
        </w:rPr>
        <w:t xml:space="preserve"> equivalent)</w:t>
      </w:r>
      <w:r w:rsidRPr="00FB6E71">
        <w:rPr>
          <w:rFonts w:asciiTheme="minorHAnsi" w:hAnsiTheme="minorHAnsi"/>
          <w:bCs/>
          <w:color w:val="auto"/>
          <w:sz w:val="22"/>
          <w:szCs w:val="22"/>
        </w:rPr>
        <w:t xml:space="preserve">, which will be financed by an IDA Credit. The distribution of costs across the proposed components is provided in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_Ref475624311 \h  \* MERGEFORMAT </w:instrText>
      </w:r>
      <w:r>
        <w:rPr>
          <w:rFonts w:asciiTheme="minorHAnsi" w:hAnsiTheme="minorHAnsi"/>
          <w:bCs/>
          <w:color w:val="auto"/>
          <w:sz w:val="22"/>
          <w:szCs w:val="22"/>
        </w:rPr>
        <w:fldChar w:fldCharType="separate"/>
      </w:r>
      <w:r w:rsidRPr="00F43DF3">
        <w:rPr>
          <w:rFonts w:asciiTheme="minorHAnsi" w:hAnsiTheme="minorHAnsi"/>
          <w:bCs/>
          <w:color w:val="auto"/>
          <w:sz w:val="22"/>
          <w:szCs w:val="22"/>
        </w:rPr>
        <w:t>table 1</w:t>
      </w:r>
      <w:r>
        <w:rPr>
          <w:rFonts w:asciiTheme="minorHAnsi" w:hAnsiTheme="minorHAnsi"/>
          <w:bCs/>
          <w:color w:val="auto"/>
          <w:sz w:val="22"/>
          <w:szCs w:val="22"/>
        </w:rPr>
        <w:fldChar w:fldCharType="end"/>
      </w:r>
      <w:r w:rsidRPr="00FB6E71">
        <w:rPr>
          <w:rFonts w:asciiTheme="minorHAnsi" w:hAnsiTheme="minorHAnsi"/>
          <w:bCs/>
          <w:color w:val="auto"/>
          <w:sz w:val="22"/>
          <w:szCs w:val="22"/>
        </w:rPr>
        <w:t xml:space="preserve">. The implementation period for the project is proposed to be </w:t>
      </w:r>
      <w:r>
        <w:rPr>
          <w:rFonts w:asciiTheme="minorHAnsi" w:hAnsiTheme="minorHAnsi"/>
          <w:bCs/>
          <w:color w:val="auto"/>
          <w:sz w:val="22"/>
          <w:szCs w:val="22"/>
        </w:rPr>
        <w:t>four</w:t>
      </w:r>
      <w:r w:rsidRPr="00FB6E71">
        <w:rPr>
          <w:rFonts w:asciiTheme="minorHAnsi" w:hAnsiTheme="minorHAnsi"/>
          <w:bCs/>
          <w:color w:val="auto"/>
          <w:sz w:val="22"/>
          <w:szCs w:val="22"/>
        </w:rPr>
        <w:t xml:space="preserve"> years.</w:t>
      </w:r>
    </w:p>
    <w:p w:rsidR="007F2DE7" w:rsidRPr="00FB6E71" w:rsidP="007F2DE7">
      <w:pPr>
        <w:pStyle w:val="Caption"/>
        <w:keepNext/>
        <w:keepLines/>
        <w:widowControl/>
        <w:spacing w:before="120" w:after="120"/>
        <w:jc w:val="center"/>
        <w:rPr>
          <w:rFonts w:asciiTheme="minorHAnsi" w:hAnsiTheme="minorHAnsi"/>
          <w:b/>
          <w:i w:val="0"/>
          <w:color w:val="auto"/>
        </w:rPr>
      </w:pPr>
      <w:bookmarkStart w:id="49" w:name="_Ref475624311"/>
      <w:r w:rsidRPr="00BF592E">
        <w:rPr>
          <w:rFonts w:asciiTheme="minorHAnsi" w:hAnsiTheme="minorHAnsi"/>
          <w:b/>
          <w:i w:val="0"/>
          <w:color w:val="auto"/>
        </w:rPr>
        <w:t xml:space="preserve">Table </w:t>
      </w:r>
      <w:r w:rsidRPr="00BF592E">
        <w:rPr>
          <w:rFonts w:asciiTheme="minorHAnsi" w:hAnsiTheme="minorHAnsi"/>
          <w:b/>
          <w:i w:val="0"/>
          <w:color w:val="auto"/>
        </w:rPr>
        <w:fldChar w:fldCharType="begin"/>
      </w:r>
      <w:r w:rsidRPr="00BF592E">
        <w:rPr>
          <w:rFonts w:asciiTheme="minorHAnsi" w:hAnsiTheme="minorHAnsi"/>
          <w:b/>
          <w:i w:val="0"/>
          <w:color w:val="auto"/>
        </w:rPr>
        <w:instrText xml:space="preserve"> SEQ Table \* ARABIC </w:instrText>
      </w:r>
      <w:r w:rsidRPr="00BF592E">
        <w:rPr>
          <w:rFonts w:asciiTheme="minorHAnsi" w:hAnsiTheme="minorHAnsi"/>
          <w:b/>
          <w:i w:val="0"/>
          <w:color w:val="auto"/>
        </w:rPr>
        <w:fldChar w:fldCharType="separate"/>
      </w:r>
      <w:r>
        <w:rPr>
          <w:rFonts w:asciiTheme="minorHAnsi" w:hAnsiTheme="minorHAnsi"/>
          <w:b/>
          <w:i w:val="0"/>
          <w:noProof/>
          <w:color w:val="auto"/>
        </w:rPr>
        <w:t>1</w:t>
      </w:r>
      <w:r w:rsidRPr="00BF592E">
        <w:rPr>
          <w:rFonts w:asciiTheme="minorHAnsi" w:hAnsiTheme="minorHAnsi"/>
          <w:b/>
          <w:i w:val="0"/>
          <w:color w:val="auto"/>
        </w:rPr>
        <w:fldChar w:fldCharType="end"/>
      </w:r>
      <w:bookmarkEnd w:id="49"/>
      <w:r w:rsidRPr="00FB6E71">
        <w:rPr>
          <w:rFonts w:asciiTheme="minorHAnsi" w:hAnsiTheme="minorHAnsi"/>
          <w:b/>
          <w:i w:val="0"/>
          <w:color w:val="auto"/>
        </w:rPr>
        <w:t>: Project Cost and Financing by Component</w:t>
      </w:r>
    </w:p>
    <w:tbl>
      <w:tblPr>
        <w:tblStyle w:val="TableGrid"/>
        <w:tblW w:w="5000" w:type="pct"/>
        <w:jc w:val="center"/>
        <w:tblLayout w:type="fixed"/>
        <w:tblCellMar>
          <w:top w:w="72" w:type="dxa"/>
          <w:left w:w="115" w:type="dxa"/>
          <w:bottom w:w="72" w:type="dxa"/>
          <w:right w:w="115" w:type="dxa"/>
        </w:tblCellMar>
        <w:tblLook w:val="04A0"/>
      </w:tblPr>
      <w:tblGrid>
        <w:gridCol w:w="6475"/>
        <w:gridCol w:w="720"/>
        <w:gridCol w:w="630"/>
        <w:gridCol w:w="720"/>
        <w:gridCol w:w="805"/>
      </w:tblGrid>
      <w:tr w:rsidTr="007F2DE7">
        <w:tblPrEx>
          <w:tblW w:w="5000" w:type="pct"/>
          <w:jc w:val="center"/>
          <w:tblLayout w:type="fixed"/>
          <w:tblCellMar>
            <w:top w:w="72" w:type="dxa"/>
            <w:left w:w="115" w:type="dxa"/>
            <w:bottom w:w="72" w:type="dxa"/>
            <w:right w:w="115" w:type="dxa"/>
          </w:tblCellMar>
          <w:tblLook w:val="04A0"/>
        </w:tblPrEx>
        <w:trPr>
          <w:cantSplit/>
          <w:trHeight w:val="255"/>
          <w:tblHeader/>
          <w:jc w:val="center"/>
        </w:trPr>
        <w:tc>
          <w:tcPr>
            <w:tcW w:w="6475" w:type="dxa"/>
            <w:vMerge w:val="restart"/>
            <w:shd w:val="clear" w:color="auto" w:fill="auto"/>
            <w:vAlign w:val="center"/>
          </w:tcPr>
          <w:p w:rsidR="007F2DE7" w:rsidRPr="00FB6E71" w:rsidP="007F2DE7">
            <w:pPr>
              <w:keepNext/>
              <w:jc w:val="center"/>
              <w:rPr>
                <w:rFonts w:asciiTheme="minorHAnsi" w:hAnsiTheme="minorHAnsi"/>
                <w:b/>
                <w:color w:val="auto"/>
                <w:sz w:val="18"/>
                <w:szCs w:val="18"/>
              </w:rPr>
            </w:pPr>
            <w:r w:rsidRPr="00FB6E71">
              <w:rPr>
                <w:rFonts w:asciiTheme="minorHAnsi" w:hAnsiTheme="minorHAnsi"/>
                <w:b/>
                <w:color w:val="auto"/>
                <w:sz w:val="18"/>
                <w:szCs w:val="18"/>
              </w:rPr>
              <w:t>Project Components</w:t>
            </w:r>
          </w:p>
        </w:tc>
        <w:tc>
          <w:tcPr>
            <w:tcW w:w="1350" w:type="dxa"/>
            <w:gridSpan w:val="2"/>
            <w:shd w:val="clear" w:color="auto" w:fill="auto"/>
            <w:vAlign w:val="center"/>
          </w:tcPr>
          <w:p w:rsidR="007F2DE7" w:rsidP="007F2DE7">
            <w:pPr>
              <w:keepNext/>
              <w:jc w:val="center"/>
              <w:rPr>
                <w:rFonts w:asciiTheme="minorHAnsi" w:hAnsiTheme="minorHAnsi"/>
                <w:b/>
                <w:color w:val="auto"/>
                <w:sz w:val="18"/>
                <w:szCs w:val="18"/>
              </w:rPr>
            </w:pPr>
            <w:r w:rsidRPr="00FB6E71">
              <w:rPr>
                <w:rFonts w:asciiTheme="minorHAnsi" w:hAnsiTheme="minorHAnsi"/>
                <w:b/>
                <w:color w:val="auto"/>
                <w:sz w:val="18"/>
                <w:szCs w:val="18"/>
              </w:rPr>
              <w:t xml:space="preserve">Project Cost </w:t>
            </w:r>
          </w:p>
          <w:p w:rsidR="007F2DE7" w:rsidRPr="00FB6E71" w:rsidP="007F2DE7">
            <w:pPr>
              <w:keepNext/>
              <w:jc w:val="center"/>
              <w:rPr>
                <w:rFonts w:asciiTheme="minorHAnsi" w:hAnsiTheme="minorHAnsi"/>
                <w:b/>
                <w:color w:val="auto"/>
                <w:sz w:val="18"/>
                <w:szCs w:val="18"/>
              </w:rPr>
            </w:pPr>
            <w:r>
              <w:rPr>
                <w:rFonts w:asciiTheme="minorHAnsi" w:hAnsiTheme="minorHAnsi"/>
                <w:b/>
                <w:color w:val="auto"/>
                <w:sz w:val="18"/>
                <w:szCs w:val="18"/>
              </w:rPr>
              <w:t>(millions)</w:t>
            </w:r>
          </w:p>
        </w:tc>
        <w:tc>
          <w:tcPr>
            <w:tcW w:w="1525" w:type="dxa"/>
            <w:gridSpan w:val="2"/>
            <w:shd w:val="clear" w:color="auto" w:fill="auto"/>
            <w:vAlign w:val="center"/>
          </w:tcPr>
          <w:p w:rsidR="007F2DE7" w:rsidP="007F2DE7">
            <w:pPr>
              <w:keepNext/>
              <w:jc w:val="center"/>
              <w:rPr>
                <w:rFonts w:asciiTheme="minorHAnsi" w:hAnsiTheme="minorHAnsi"/>
                <w:b/>
                <w:color w:val="auto"/>
                <w:sz w:val="18"/>
                <w:szCs w:val="18"/>
              </w:rPr>
            </w:pPr>
            <w:r w:rsidRPr="00FB6E71">
              <w:rPr>
                <w:rFonts w:asciiTheme="minorHAnsi" w:hAnsiTheme="minorHAnsi"/>
                <w:b/>
                <w:color w:val="auto"/>
                <w:sz w:val="18"/>
                <w:szCs w:val="18"/>
              </w:rPr>
              <w:t xml:space="preserve">IDA Financing </w:t>
            </w:r>
          </w:p>
          <w:p w:rsidR="007F2DE7" w:rsidRPr="00FB6E71" w:rsidP="007F2DE7">
            <w:pPr>
              <w:keepNext/>
              <w:jc w:val="center"/>
              <w:rPr>
                <w:rFonts w:asciiTheme="minorHAnsi" w:hAnsiTheme="minorHAnsi"/>
                <w:b/>
                <w:color w:val="auto"/>
                <w:sz w:val="18"/>
                <w:szCs w:val="18"/>
              </w:rPr>
            </w:pPr>
            <w:r>
              <w:rPr>
                <w:rFonts w:asciiTheme="minorHAnsi" w:hAnsiTheme="minorHAnsi"/>
                <w:b/>
                <w:color w:val="auto"/>
                <w:sz w:val="18"/>
                <w:szCs w:val="18"/>
              </w:rPr>
              <w:t>(millions)</w:t>
            </w:r>
          </w:p>
        </w:tc>
      </w:tr>
      <w:tr w:rsidTr="007F2DE7">
        <w:tblPrEx>
          <w:tblW w:w="5000" w:type="pct"/>
          <w:jc w:val="center"/>
          <w:tblLayout w:type="fixed"/>
          <w:tblCellMar>
            <w:top w:w="72" w:type="dxa"/>
            <w:left w:w="115" w:type="dxa"/>
            <w:bottom w:w="72" w:type="dxa"/>
            <w:right w:w="115" w:type="dxa"/>
          </w:tblCellMar>
          <w:tblLook w:val="04A0"/>
        </w:tblPrEx>
        <w:trPr>
          <w:cantSplit/>
          <w:trHeight w:val="315"/>
          <w:tblHeader/>
          <w:jc w:val="center"/>
        </w:trPr>
        <w:tc>
          <w:tcPr>
            <w:tcW w:w="6475" w:type="dxa"/>
            <w:vMerge/>
            <w:shd w:val="clear" w:color="auto" w:fill="auto"/>
            <w:vAlign w:val="center"/>
          </w:tcPr>
          <w:p w:rsidR="007F2DE7" w:rsidRPr="00FB6E71" w:rsidP="007F2DE7">
            <w:pPr>
              <w:keepNext/>
              <w:jc w:val="center"/>
              <w:rPr>
                <w:rFonts w:asciiTheme="minorHAnsi" w:hAnsiTheme="minorHAnsi"/>
                <w:b/>
                <w:color w:val="auto"/>
                <w:sz w:val="18"/>
                <w:szCs w:val="18"/>
              </w:rPr>
            </w:pPr>
          </w:p>
        </w:tc>
        <w:tc>
          <w:tcPr>
            <w:tcW w:w="720" w:type="dxa"/>
            <w:shd w:val="clear" w:color="auto" w:fill="auto"/>
            <w:vAlign w:val="center"/>
          </w:tcPr>
          <w:p w:rsidR="007F2DE7" w:rsidRPr="00FB6E71" w:rsidP="007F2DE7">
            <w:pPr>
              <w:keepNext/>
              <w:jc w:val="center"/>
              <w:rPr>
                <w:rFonts w:asciiTheme="minorHAnsi" w:hAnsiTheme="minorHAnsi"/>
                <w:b/>
                <w:color w:val="auto"/>
                <w:sz w:val="18"/>
                <w:szCs w:val="18"/>
              </w:rPr>
            </w:pPr>
            <w:r>
              <w:rPr>
                <w:rFonts w:asciiTheme="minorHAnsi" w:hAnsiTheme="minorHAnsi"/>
                <w:b/>
                <w:color w:val="auto"/>
                <w:sz w:val="18"/>
                <w:szCs w:val="18"/>
              </w:rPr>
              <w:t>SDR</w:t>
            </w:r>
          </w:p>
        </w:tc>
        <w:tc>
          <w:tcPr>
            <w:tcW w:w="630" w:type="dxa"/>
            <w:shd w:val="clear" w:color="auto" w:fill="auto"/>
            <w:vAlign w:val="center"/>
          </w:tcPr>
          <w:p w:rsidR="007F2DE7" w:rsidRPr="00FB6E71" w:rsidP="007F2DE7">
            <w:pPr>
              <w:keepNext/>
              <w:jc w:val="center"/>
              <w:rPr>
                <w:rFonts w:asciiTheme="minorHAnsi" w:hAnsiTheme="minorHAnsi"/>
                <w:b/>
                <w:color w:val="auto"/>
                <w:sz w:val="18"/>
                <w:szCs w:val="18"/>
              </w:rPr>
            </w:pPr>
            <w:r>
              <w:rPr>
                <w:rFonts w:asciiTheme="minorHAnsi" w:hAnsiTheme="minorHAnsi"/>
                <w:b/>
                <w:color w:val="auto"/>
                <w:sz w:val="18"/>
                <w:szCs w:val="18"/>
              </w:rPr>
              <w:t>US$</w:t>
            </w:r>
          </w:p>
        </w:tc>
        <w:tc>
          <w:tcPr>
            <w:tcW w:w="720" w:type="dxa"/>
            <w:shd w:val="clear" w:color="auto" w:fill="auto"/>
            <w:vAlign w:val="center"/>
          </w:tcPr>
          <w:p w:rsidR="007F2DE7" w:rsidRPr="00FB6E71" w:rsidP="007F2DE7">
            <w:pPr>
              <w:keepNext/>
              <w:jc w:val="center"/>
              <w:rPr>
                <w:rFonts w:asciiTheme="minorHAnsi" w:hAnsiTheme="minorHAnsi"/>
                <w:b/>
                <w:color w:val="auto"/>
                <w:sz w:val="18"/>
                <w:szCs w:val="18"/>
              </w:rPr>
            </w:pPr>
            <w:r>
              <w:rPr>
                <w:rFonts w:asciiTheme="minorHAnsi" w:hAnsiTheme="minorHAnsi"/>
                <w:b/>
                <w:color w:val="auto"/>
                <w:sz w:val="18"/>
                <w:szCs w:val="18"/>
              </w:rPr>
              <w:t>SDR</w:t>
            </w:r>
          </w:p>
        </w:tc>
        <w:tc>
          <w:tcPr>
            <w:tcW w:w="805" w:type="dxa"/>
            <w:shd w:val="clear" w:color="auto" w:fill="auto"/>
            <w:vAlign w:val="center"/>
          </w:tcPr>
          <w:p w:rsidR="007F2DE7" w:rsidRPr="00FB6E71" w:rsidP="007F2DE7">
            <w:pPr>
              <w:keepNext/>
              <w:jc w:val="center"/>
              <w:rPr>
                <w:rFonts w:asciiTheme="minorHAnsi" w:hAnsiTheme="minorHAnsi"/>
                <w:b/>
                <w:color w:val="auto"/>
                <w:sz w:val="18"/>
                <w:szCs w:val="18"/>
              </w:rPr>
            </w:pPr>
            <w:r>
              <w:rPr>
                <w:rFonts w:asciiTheme="minorHAnsi" w:hAnsiTheme="minorHAnsi"/>
                <w:b/>
                <w:color w:val="auto"/>
                <w:sz w:val="18"/>
                <w:szCs w:val="18"/>
              </w:rPr>
              <w:t>US$</w:t>
            </w:r>
          </w:p>
        </w:tc>
      </w:tr>
      <w:tr w:rsidTr="007F2DE7">
        <w:tblPrEx>
          <w:tblW w:w="5000" w:type="pct"/>
          <w:jc w:val="center"/>
          <w:tblLayout w:type="fixed"/>
          <w:tblCellMar>
            <w:top w:w="72" w:type="dxa"/>
            <w:left w:w="115" w:type="dxa"/>
            <w:bottom w:w="72" w:type="dxa"/>
            <w:right w:w="115" w:type="dxa"/>
          </w:tblCellMar>
          <w:tblLook w:val="04A0"/>
        </w:tblPrEx>
        <w:trPr>
          <w:cantSplit/>
          <w:trHeight w:val="20"/>
          <w:jc w:val="center"/>
        </w:trPr>
        <w:tc>
          <w:tcPr>
            <w:tcW w:w="6475" w:type="dxa"/>
            <w:shd w:val="clear" w:color="auto" w:fill="auto"/>
            <w:vAlign w:val="center"/>
          </w:tcPr>
          <w:p w:rsidR="007F2DE7" w:rsidRPr="00FB6E71" w:rsidP="007F2DE7">
            <w:pPr>
              <w:rPr>
                <w:rFonts w:asciiTheme="minorHAnsi" w:hAnsiTheme="minorHAnsi"/>
                <w:color w:val="auto"/>
                <w:sz w:val="18"/>
                <w:szCs w:val="18"/>
              </w:rPr>
            </w:pPr>
            <w:r w:rsidRPr="00FB6E71">
              <w:rPr>
                <w:rFonts w:asciiTheme="minorHAnsi" w:hAnsiTheme="minorHAnsi"/>
                <w:color w:val="auto"/>
                <w:sz w:val="18"/>
                <w:szCs w:val="18"/>
              </w:rPr>
              <w:t>Component 1: Strengthening Peace Building, Stability, and Social Cohesion</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22.3</w:t>
            </w:r>
          </w:p>
        </w:tc>
        <w:tc>
          <w:tcPr>
            <w:tcW w:w="630"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30</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22.3</w:t>
            </w:r>
          </w:p>
        </w:tc>
        <w:tc>
          <w:tcPr>
            <w:tcW w:w="805"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30</w:t>
            </w:r>
          </w:p>
        </w:tc>
      </w:tr>
      <w:tr w:rsidTr="007F2DE7">
        <w:tblPrEx>
          <w:tblW w:w="5000" w:type="pct"/>
          <w:jc w:val="center"/>
          <w:tblLayout w:type="fixed"/>
          <w:tblCellMar>
            <w:top w:w="72" w:type="dxa"/>
            <w:left w:w="115" w:type="dxa"/>
            <w:bottom w:w="72" w:type="dxa"/>
            <w:right w:w="115" w:type="dxa"/>
          </w:tblCellMar>
          <w:tblLook w:val="04A0"/>
        </w:tblPrEx>
        <w:trPr>
          <w:cantSplit/>
          <w:trHeight w:val="20"/>
          <w:jc w:val="center"/>
        </w:trPr>
        <w:tc>
          <w:tcPr>
            <w:tcW w:w="6475" w:type="dxa"/>
            <w:shd w:val="clear" w:color="auto" w:fill="auto"/>
            <w:vAlign w:val="center"/>
          </w:tcPr>
          <w:p w:rsidR="007F2DE7" w:rsidRPr="00FB6E71" w:rsidP="007F2DE7">
            <w:pPr>
              <w:rPr>
                <w:rFonts w:asciiTheme="minorHAnsi" w:hAnsiTheme="minorHAnsi"/>
                <w:color w:val="auto"/>
                <w:sz w:val="18"/>
                <w:szCs w:val="18"/>
              </w:rPr>
            </w:pPr>
            <w:r w:rsidRPr="00FB6E71">
              <w:rPr>
                <w:rFonts w:asciiTheme="minorHAnsi" w:hAnsiTheme="minorHAnsi"/>
                <w:color w:val="auto"/>
                <w:sz w:val="18"/>
                <w:szCs w:val="18"/>
              </w:rPr>
              <w:t xml:space="preserve">Component 2: Infrastructure Rehabilitation and Service Delivery Restoration and Improvement </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111.6</w:t>
            </w:r>
          </w:p>
        </w:tc>
        <w:tc>
          <w:tcPr>
            <w:tcW w:w="630"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150</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111.6</w:t>
            </w:r>
          </w:p>
        </w:tc>
        <w:tc>
          <w:tcPr>
            <w:tcW w:w="805"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150</w:t>
            </w:r>
          </w:p>
        </w:tc>
      </w:tr>
      <w:tr w:rsidTr="007F2DE7">
        <w:tblPrEx>
          <w:tblW w:w="5000" w:type="pct"/>
          <w:jc w:val="center"/>
          <w:tblLayout w:type="fixed"/>
          <w:tblCellMar>
            <w:top w:w="72" w:type="dxa"/>
            <w:left w:w="115" w:type="dxa"/>
            <w:bottom w:w="72" w:type="dxa"/>
            <w:right w:w="115" w:type="dxa"/>
          </w:tblCellMar>
          <w:tblLook w:val="04A0"/>
        </w:tblPrEx>
        <w:trPr>
          <w:cantSplit/>
          <w:trHeight w:val="20"/>
          <w:jc w:val="center"/>
        </w:trPr>
        <w:tc>
          <w:tcPr>
            <w:tcW w:w="6475" w:type="dxa"/>
            <w:shd w:val="clear" w:color="auto" w:fill="auto"/>
            <w:vAlign w:val="center"/>
          </w:tcPr>
          <w:p w:rsidR="007F2DE7" w:rsidRPr="00FB6E71" w:rsidP="007F2DE7">
            <w:pPr>
              <w:rPr>
                <w:rFonts w:asciiTheme="minorHAnsi" w:hAnsiTheme="minorHAnsi"/>
                <w:color w:val="auto"/>
                <w:sz w:val="18"/>
                <w:szCs w:val="18"/>
              </w:rPr>
            </w:pPr>
            <w:r w:rsidRPr="00FB6E71">
              <w:rPr>
                <w:rFonts w:asciiTheme="minorHAnsi" w:hAnsiTheme="minorHAnsi"/>
                <w:color w:val="auto"/>
                <w:sz w:val="18"/>
                <w:szCs w:val="18"/>
              </w:rPr>
              <w:t>Component 3: Technical Assistance and Program Management Support</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14.9</w:t>
            </w:r>
          </w:p>
        </w:tc>
        <w:tc>
          <w:tcPr>
            <w:tcW w:w="630"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20</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14.9</w:t>
            </w:r>
          </w:p>
        </w:tc>
        <w:tc>
          <w:tcPr>
            <w:tcW w:w="805"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20</w:t>
            </w:r>
          </w:p>
        </w:tc>
      </w:tr>
      <w:tr w:rsidTr="007F2DE7">
        <w:tblPrEx>
          <w:tblW w:w="5000" w:type="pct"/>
          <w:jc w:val="center"/>
          <w:tblLayout w:type="fixed"/>
          <w:tblCellMar>
            <w:top w:w="72" w:type="dxa"/>
            <w:left w:w="115" w:type="dxa"/>
            <w:bottom w:w="72" w:type="dxa"/>
            <w:right w:w="115" w:type="dxa"/>
          </w:tblCellMar>
          <w:tblLook w:val="04A0"/>
        </w:tblPrEx>
        <w:trPr>
          <w:cantSplit/>
          <w:trHeight w:val="20"/>
          <w:jc w:val="center"/>
        </w:trPr>
        <w:tc>
          <w:tcPr>
            <w:tcW w:w="6475" w:type="dxa"/>
            <w:shd w:val="clear" w:color="auto" w:fill="auto"/>
            <w:vAlign w:val="center"/>
          </w:tcPr>
          <w:p w:rsidR="007F2DE7" w:rsidRPr="00FB6E71" w:rsidP="007F2DE7">
            <w:pPr>
              <w:rPr>
                <w:rFonts w:asciiTheme="minorHAnsi" w:hAnsiTheme="minorHAnsi"/>
                <w:color w:val="auto"/>
                <w:sz w:val="18"/>
                <w:szCs w:val="18"/>
              </w:rPr>
            </w:pPr>
            <w:r w:rsidRPr="00FB6E71">
              <w:rPr>
                <w:rFonts w:asciiTheme="minorHAnsi" w:hAnsiTheme="minorHAnsi"/>
                <w:color w:val="auto"/>
                <w:sz w:val="18"/>
                <w:szCs w:val="18"/>
              </w:rPr>
              <w:t>Component 4: Contingent Emergency Response</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0</w:t>
            </w:r>
          </w:p>
        </w:tc>
        <w:tc>
          <w:tcPr>
            <w:tcW w:w="630"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0</w:t>
            </w:r>
          </w:p>
        </w:tc>
        <w:tc>
          <w:tcPr>
            <w:tcW w:w="720" w:type="dxa"/>
            <w:shd w:val="clear" w:color="auto" w:fill="auto"/>
            <w:vAlign w:val="center"/>
          </w:tcPr>
          <w:p w:rsidR="007F2DE7" w:rsidRPr="00FB6E71" w:rsidP="007F2DE7">
            <w:pPr>
              <w:jc w:val="center"/>
              <w:rPr>
                <w:rFonts w:asciiTheme="minorHAnsi" w:hAnsiTheme="minorHAnsi"/>
                <w:color w:val="auto"/>
                <w:sz w:val="18"/>
                <w:szCs w:val="18"/>
              </w:rPr>
            </w:pPr>
            <w:r>
              <w:rPr>
                <w:rFonts w:asciiTheme="minorHAnsi" w:hAnsiTheme="minorHAnsi"/>
                <w:color w:val="auto"/>
                <w:sz w:val="18"/>
                <w:szCs w:val="18"/>
              </w:rPr>
              <w:t>0</w:t>
            </w:r>
          </w:p>
        </w:tc>
        <w:tc>
          <w:tcPr>
            <w:tcW w:w="805" w:type="dxa"/>
            <w:shd w:val="clear" w:color="auto" w:fill="auto"/>
            <w:vAlign w:val="center"/>
          </w:tcPr>
          <w:p w:rsidR="007F2DE7" w:rsidRPr="00FB6E71" w:rsidP="007F2DE7">
            <w:pPr>
              <w:jc w:val="center"/>
              <w:rPr>
                <w:rFonts w:asciiTheme="minorHAnsi" w:hAnsiTheme="minorHAnsi"/>
                <w:color w:val="auto"/>
                <w:sz w:val="18"/>
                <w:szCs w:val="18"/>
              </w:rPr>
            </w:pPr>
            <w:r w:rsidRPr="00FB6E71">
              <w:rPr>
                <w:rFonts w:asciiTheme="minorHAnsi" w:hAnsiTheme="minorHAnsi"/>
                <w:color w:val="auto"/>
                <w:sz w:val="18"/>
                <w:szCs w:val="18"/>
              </w:rPr>
              <w:t>0</w:t>
            </w:r>
          </w:p>
        </w:tc>
      </w:tr>
      <w:tr w:rsidTr="007F2DE7">
        <w:tblPrEx>
          <w:tblW w:w="5000" w:type="pct"/>
          <w:jc w:val="center"/>
          <w:tblLayout w:type="fixed"/>
          <w:tblCellMar>
            <w:top w:w="0" w:type="dxa"/>
            <w:left w:w="108" w:type="dxa"/>
            <w:bottom w:w="0" w:type="dxa"/>
            <w:right w:w="108" w:type="dxa"/>
          </w:tblCellMar>
          <w:tblLook w:val="04A0"/>
        </w:tblPrEx>
        <w:trPr>
          <w:cantSplit/>
          <w:trHeight w:val="20"/>
          <w:jc w:val="center"/>
        </w:trPr>
        <w:tc>
          <w:tcPr>
            <w:tcW w:w="6475" w:type="dxa"/>
            <w:shd w:val="clear" w:color="auto" w:fill="auto"/>
            <w:vAlign w:val="center"/>
          </w:tcPr>
          <w:p w:rsidR="007F2DE7" w:rsidRPr="00D4368C" w:rsidP="007F2DE7">
            <w:pPr>
              <w:rPr>
                <w:rFonts w:asciiTheme="minorHAnsi" w:hAnsiTheme="minorHAnsi"/>
                <w:b/>
                <w:bCs/>
                <w:color w:val="auto"/>
                <w:sz w:val="18"/>
                <w:szCs w:val="18"/>
              </w:rPr>
            </w:pPr>
            <w:r w:rsidRPr="00D4368C">
              <w:rPr>
                <w:rFonts w:asciiTheme="minorHAnsi" w:hAnsiTheme="minorHAnsi"/>
                <w:b/>
                <w:bCs/>
                <w:color w:val="auto"/>
                <w:sz w:val="18"/>
                <w:szCs w:val="18"/>
              </w:rPr>
              <w:t>Total Project Costs</w:t>
            </w:r>
          </w:p>
        </w:tc>
        <w:tc>
          <w:tcPr>
            <w:tcW w:w="720" w:type="dxa"/>
            <w:shd w:val="clear" w:color="auto" w:fill="auto"/>
            <w:vAlign w:val="center"/>
          </w:tcPr>
          <w:p w:rsidR="007F2DE7" w:rsidRPr="00D4368C" w:rsidP="007F2DE7">
            <w:pPr>
              <w:jc w:val="center"/>
              <w:rPr>
                <w:rFonts w:asciiTheme="minorHAnsi" w:hAnsiTheme="minorHAnsi"/>
                <w:b/>
                <w:bCs/>
                <w:color w:val="auto"/>
                <w:sz w:val="18"/>
                <w:szCs w:val="18"/>
              </w:rPr>
            </w:pPr>
            <w:r>
              <w:rPr>
                <w:rFonts w:asciiTheme="minorHAnsi" w:hAnsiTheme="minorHAnsi"/>
                <w:b/>
                <w:bCs/>
                <w:color w:val="auto"/>
                <w:sz w:val="18"/>
                <w:szCs w:val="18"/>
              </w:rPr>
              <w:t>148.8</w:t>
            </w:r>
          </w:p>
        </w:tc>
        <w:tc>
          <w:tcPr>
            <w:tcW w:w="630" w:type="dxa"/>
            <w:shd w:val="clear" w:color="auto" w:fill="auto"/>
            <w:vAlign w:val="center"/>
          </w:tcPr>
          <w:p w:rsidR="007F2DE7" w:rsidRPr="00D4368C" w:rsidP="007F2DE7">
            <w:pPr>
              <w:jc w:val="center"/>
              <w:rPr>
                <w:rFonts w:asciiTheme="minorHAnsi" w:hAnsiTheme="minorHAnsi"/>
                <w:b/>
                <w:bCs/>
                <w:color w:val="auto"/>
                <w:sz w:val="18"/>
                <w:szCs w:val="18"/>
              </w:rPr>
            </w:pPr>
            <w:r w:rsidRPr="00D4368C">
              <w:rPr>
                <w:rFonts w:asciiTheme="minorHAnsi" w:hAnsiTheme="minorHAnsi"/>
                <w:b/>
                <w:bCs/>
                <w:color w:val="auto"/>
                <w:sz w:val="18"/>
                <w:szCs w:val="18"/>
              </w:rPr>
              <w:t>200</w:t>
            </w:r>
          </w:p>
        </w:tc>
        <w:tc>
          <w:tcPr>
            <w:tcW w:w="720" w:type="dxa"/>
            <w:shd w:val="clear" w:color="auto" w:fill="auto"/>
            <w:vAlign w:val="center"/>
          </w:tcPr>
          <w:p w:rsidR="007F2DE7" w:rsidRPr="00D4368C" w:rsidP="007F2DE7">
            <w:pPr>
              <w:jc w:val="center"/>
              <w:rPr>
                <w:rFonts w:asciiTheme="minorHAnsi" w:hAnsiTheme="minorHAnsi"/>
                <w:b/>
                <w:bCs/>
                <w:color w:val="auto"/>
                <w:sz w:val="18"/>
                <w:szCs w:val="18"/>
              </w:rPr>
            </w:pPr>
            <w:r>
              <w:rPr>
                <w:rFonts w:asciiTheme="minorHAnsi" w:hAnsiTheme="minorHAnsi"/>
                <w:b/>
                <w:bCs/>
                <w:color w:val="auto"/>
                <w:sz w:val="18"/>
                <w:szCs w:val="18"/>
              </w:rPr>
              <w:t>148.8</w:t>
            </w:r>
          </w:p>
        </w:tc>
        <w:tc>
          <w:tcPr>
            <w:tcW w:w="805" w:type="dxa"/>
            <w:shd w:val="clear" w:color="auto" w:fill="auto"/>
            <w:vAlign w:val="center"/>
          </w:tcPr>
          <w:p w:rsidR="007F2DE7" w:rsidRPr="00D4368C" w:rsidP="007F2DE7">
            <w:pPr>
              <w:jc w:val="center"/>
              <w:rPr>
                <w:rFonts w:asciiTheme="minorHAnsi" w:hAnsiTheme="minorHAnsi"/>
                <w:b/>
                <w:bCs/>
                <w:color w:val="auto"/>
                <w:sz w:val="18"/>
                <w:szCs w:val="18"/>
              </w:rPr>
            </w:pPr>
            <w:r w:rsidRPr="00D4368C">
              <w:rPr>
                <w:rFonts w:asciiTheme="minorHAnsi" w:hAnsiTheme="minorHAnsi"/>
                <w:b/>
                <w:bCs/>
                <w:color w:val="auto"/>
                <w:sz w:val="18"/>
                <w:szCs w:val="18"/>
              </w:rPr>
              <w:t>200</w:t>
            </w:r>
          </w:p>
        </w:tc>
      </w:tr>
    </w:tbl>
    <w:p w:rsidR="007F2DE7" w:rsidRPr="00FB6E71" w:rsidP="007F2DE7">
      <w:pPr>
        <w:pStyle w:val="Normal64"/>
        <w:widowControl/>
        <w:jc w:val="center"/>
        <w:rPr>
          <w:rFonts w:asciiTheme="minorHAnsi" w:hAnsiTheme="minorHAnsi"/>
          <w:bCs/>
          <w:color w:val="auto"/>
          <w:sz w:val="18"/>
          <w:szCs w:val="18"/>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Project funds are proposed to be apportioned to the three BAY states based on a combination of factors including relative level of needs, implementation readiness and absorption capacity, and prevailing and expected security levels and risks.</w:t>
      </w:r>
      <w:r w:rsidRPr="00FB6E71">
        <w:rPr>
          <w:rFonts w:asciiTheme="minorHAnsi" w:hAnsiTheme="minorHAnsi"/>
          <w:bCs/>
          <w:color w:val="auto"/>
          <w:sz w:val="22"/>
          <w:szCs w:val="22"/>
        </w:rPr>
        <w:t xml:space="preserve"> The total current overall allocation of US$155 million to the </w:t>
      </w:r>
      <w:r>
        <w:rPr>
          <w:rFonts w:asciiTheme="minorHAnsi" w:hAnsiTheme="minorHAnsi"/>
          <w:bCs/>
          <w:color w:val="auto"/>
          <w:sz w:val="22"/>
          <w:szCs w:val="22"/>
        </w:rPr>
        <w:t>s</w:t>
      </w:r>
      <w:r w:rsidRPr="00FB6E71">
        <w:rPr>
          <w:rFonts w:asciiTheme="minorHAnsi" w:hAnsiTheme="minorHAnsi"/>
          <w:bCs/>
          <w:color w:val="auto"/>
          <w:sz w:val="22"/>
          <w:szCs w:val="22"/>
        </w:rPr>
        <w:t>tates includes US$65 million for Borno (3</w:t>
      </w:r>
      <w:r>
        <w:rPr>
          <w:rFonts w:asciiTheme="minorHAnsi" w:hAnsiTheme="minorHAnsi"/>
          <w:bCs/>
          <w:color w:val="auto"/>
          <w:sz w:val="22"/>
          <w:szCs w:val="22"/>
        </w:rPr>
        <w:t>2</w:t>
      </w:r>
      <w:r w:rsidRPr="00FB6E71">
        <w:rPr>
          <w:rFonts w:asciiTheme="minorHAnsi" w:hAnsiTheme="minorHAnsi"/>
          <w:bCs/>
          <w:color w:val="auto"/>
          <w:sz w:val="22"/>
          <w:szCs w:val="22"/>
        </w:rPr>
        <w:t>.5 percent of total project resources) and US$45 million (22.5 percent of total project resources) each for Yobe and Adamawa. The Federal Government will receive US$5 million (2.5 percent of total project resources) in TA and project management. Each component amount will be distributed according to the same percentages, with the possible exception of any components that require the use of common resources such as certain types of project management costs, which w</w:t>
      </w:r>
      <w:r>
        <w:rPr>
          <w:rFonts w:asciiTheme="minorHAnsi" w:hAnsiTheme="minorHAnsi"/>
          <w:bCs/>
          <w:color w:val="auto"/>
          <w:sz w:val="22"/>
          <w:szCs w:val="22"/>
        </w:rPr>
        <w:t>ill</w:t>
      </w:r>
      <w:r w:rsidRPr="00FB6E71">
        <w:rPr>
          <w:rFonts w:asciiTheme="minorHAnsi" w:hAnsiTheme="minorHAnsi"/>
          <w:bCs/>
          <w:color w:val="auto"/>
          <w:sz w:val="22"/>
          <w:szCs w:val="22"/>
        </w:rPr>
        <w:t xml:space="preserve"> be handled through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The Project Management Consultancy (PMC), for example, is expected to be hired and managed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on behalf of the three </w:t>
      </w:r>
      <w:r>
        <w:rPr>
          <w:rFonts w:asciiTheme="minorHAnsi" w:hAnsiTheme="minorHAnsi"/>
          <w:bCs/>
          <w:color w:val="auto"/>
          <w:sz w:val="22"/>
          <w:szCs w:val="22"/>
        </w:rPr>
        <w:t>s</w:t>
      </w:r>
      <w:r w:rsidRPr="00FB6E71">
        <w:rPr>
          <w:rFonts w:asciiTheme="minorHAnsi" w:hAnsiTheme="minorHAnsi"/>
          <w:bCs/>
          <w:color w:val="auto"/>
          <w:sz w:val="22"/>
          <w:szCs w:val="22"/>
        </w:rPr>
        <w:t>tates.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remaining US$40 million will remain unallocated</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its distribution will be decided at the project midterm stage, based on a set of agreed criteria.</w:t>
      </w:r>
      <w:r w:rsidRPr="00FB6E71">
        <w:rPr>
          <w:rFonts w:asciiTheme="minorHAnsi" w:hAnsiTheme="minorHAnsi"/>
          <w:bCs/>
          <w:color w:val="auto"/>
          <w:sz w:val="22"/>
          <w:szCs w:val="22"/>
        </w:rPr>
        <w:t xml:space="preserve"> This is due to the very fluid situation in the country, with regard to the security situation, the movement of displaced persons, </w:t>
      </w:r>
      <w:r>
        <w:rPr>
          <w:rFonts w:asciiTheme="minorHAnsi" w:hAnsiTheme="minorHAnsi"/>
          <w:bCs/>
          <w:color w:val="auto"/>
          <w:sz w:val="22"/>
          <w:szCs w:val="22"/>
        </w:rPr>
        <w:t xml:space="preserve">and the </w:t>
      </w:r>
      <w:r w:rsidRPr="00FB6E71">
        <w:rPr>
          <w:rFonts w:asciiTheme="minorHAnsi" w:hAnsiTheme="minorHAnsi"/>
          <w:bCs/>
          <w:color w:val="auto"/>
          <w:sz w:val="22"/>
          <w:szCs w:val="22"/>
        </w:rPr>
        <w:t xml:space="preserve">available financing from the Government’s budget and donors for specific sectors in the respective </w:t>
      </w:r>
      <w:r>
        <w:rPr>
          <w:rFonts w:asciiTheme="minorHAnsi" w:hAnsiTheme="minorHAnsi"/>
          <w:bCs/>
          <w:color w:val="auto"/>
          <w:sz w:val="22"/>
          <w:szCs w:val="22"/>
        </w:rPr>
        <w:t>s</w:t>
      </w:r>
      <w:r w:rsidRPr="00FB6E71">
        <w:rPr>
          <w:rFonts w:asciiTheme="minorHAnsi" w:hAnsiTheme="minorHAnsi"/>
          <w:bCs/>
          <w:color w:val="auto"/>
          <w:sz w:val="22"/>
          <w:szCs w:val="22"/>
        </w:rPr>
        <w:t xml:space="preserve">tates. This will also provide an incentive for the </w:t>
      </w:r>
      <w:r>
        <w:rPr>
          <w:rFonts w:asciiTheme="minorHAnsi" w:hAnsiTheme="minorHAnsi"/>
          <w:bCs/>
          <w:color w:val="auto"/>
          <w:sz w:val="22"/>
          <w:szCs w:val="22"/>
        </w:rPr>
        <w:t>s</w:t>
      </w:r>
      <w:r w:rsidRPr="00FB6E71">
        <w:rPr>
          <w:rFonts w:asciiTheme="minorHAnsi" w:hAnsiTheme="minorHAnsi"/>
          <w:bCs/>
          <w:color w:val="auto"/>
          <w:sz w:val="22"/>
          <w:szCs w:val="22"/>
        </w:rPr>
        <w:t>tates to demonstrate their absorptive capacity and not delay disbursements and will mainly affect Component 2. Criteria will</w:t>
      </w:r>
      <w:r>
        <w:rPr>
          <w:rFonts w:asciiTheme="minorHAnsi" w:hAnsiTheme="minorHAnsi"/>
          <w:bCs/>
          <w:color w:val="auto"/>
          <w:sz w:val="22"/>
          <w:szCs w:val="22"/>
        </w:rPr>
        <w:t>,</w:t>
      </w:r>
      <w:r w:rsidRPr="00FB6E71">
        <w:rPr>
          <w:rFonts w:asciiTheme="minorHAnsi" w:hAnsiTheme="minorHAnsi"/>
          <w:bCs/>
          <w:color w:val="auto"/>
          <w:sz w:val="22"/>
          <w:szCs w:val="22"/>
        </w:rPr>
        <w:t xml:space="preserve"> therefore</w:t>
      </w:r>
      <w:r>
        <w:rPr>
          <w:rFonts w:asciiTheme="minorHAnsi" w:hAnsiTheme="minorHAnsi"/>
          <w:bCs/>
          <w:color w:val="auto"/>
          <w:sz w:val="22"/>
          <w:szCs w:val="22"/>
        </w:rPr>
        <w:t>,</w:t>
      </w:r>
      <w:r w:rsidRPr="00FB6E71">
        <w:rPr>
          <w:rFonts w:asciiTheme="minorHAnsi" w:hAnsiTheme="minorHAnsi"/>
          <w:bCs/>
          <w:color w:val="auto"/>
          <w:sz w:val="22"/>
          <w:szCs w:val="22"/>
        </w:rPr>
        <w:t xml:space="preserve"> consider factors such as implementation performance, level of support from other development partners and associated financing gaps in the project sectors, and a reassessment of the security situation. Such allocation shall be done through the Federal Ministry of Finance (FMoF) in consultation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and the BAY states. Once this allocation is decided, this remaining balance will be allocated to the respective </w:t>
      </w:r>
      <w:r>
        <w:rPr>
          <w:rFonts w:asciiTheme="minorHAnsi" w:hAnsiTheme="minorHAnsi"/>
          <w:bCs/>
          <w:color w:val="auto"/>
          <w:sz w:val="22"/>
          <w:szCs w:val="22"/>
        </w:rPr>
        <w:t>s</w:t>
      </w:r>
      <w:r w:rsidRPr="00FB6E71">
        <w:rPr>
          <w:rFonts w:asciiTheme="minorHAnsi" w:hAnsiTheme="minorHAnsi"/>
          <w:bCs/>
          <w:color w:val="auto"/>
          <w:sz w:val="22"/>
          <w:szCs w:val="22"/>
        </w:rPr>
        <w:t xml:space="preserve">tates’ </w:t>
      </w:r>
      <w:r>
        <w:rPr>
          <w:rFonts w:asciiTheme="minorHAnsi" w:hAnsiTheme="minorHAnsi"/>
          <w:bCs/>
          <w:color w:val="auto"/>
          <w:sz w:val="22"/>
          <w:szCs w:val="22"/>
        </w:rPr>
        <w:t>DAs</w:t>
      </w:r>
      <w:r w:rsidRPr="00FB6E71">
        <w:rPr>
          <w:rFonts w:asciiTheme="minorHAnsi" w:hAnsiTheme="minorHAnsi"/>
          <w:bCs/>
          <w:color w:val="auto"/>
          <w:sz w:val="22"/>
          <w:szCs w:val="22"/>
        </w:rPr>
        <w:t>.</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25"/>
        </w:trPr>
        <w:tc>
          <w:tcPr>
            <w:tcW w:w="10710" w:type="dxa"/>
          </w:tcPr>
          <w:p w:rsidR="007F2DE7" w:rsidRPr="00FB6E71" w:rsidP="007F2DE7">
            <w:pPr>
              <w:pStyle w:val="Heading2"/>
              <w:widowControl/>
              <w:outlineLvl w:val="1"/>
              <w:rPr>
                <w:rFonts w:asciiTheme="minorHAnsi" w:hAnsiTheme="minorHAnsi"/>
                <w:sz w:val="22"/>
                <w:szCs w:val="22"/>
              </w:rPr>
            </w:pPr>
            <w:bookmarkStart w:id="50" w:name="_Toc256000011"/>
            <w:bookmarkStart w:id="51" w:name="_Toc433982418"/>
            <w:bookmarkStart w:id="52" w:name="_Toc460509198"/>
            <w:bookmarkStart w:id="53" w:name="_Toc476558113"/>
            <w:r w:rsidRPr="00FB6E71">
              <w:rPr>
                <w:rFonts w:asciiTheme="minorHAnsi" w:hAnsiTheme="minorHAnsi"/>
                <w:b/>
                <w:bCs/>
                <w:color w:val="172D5F"/>
                <w:sz w:val="22"/>
                <w:szCs w:val="22"/>
              </w:rPr>
              <w:t>C. Lessons Learned and Reflected in the Project Design</w:t>
            </w:r>
            <w:bookmarkEnd w:id="50"/>
            <w:bookmarkEnd w:id="51"/>
            <w:bookmarkEnd w:id="52"/>
            <w:bookmarkEnd w:id="53"/>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proposed project design builds upon and </w:t>
      </w:r>
      <w:r>
        <w:rPr>
          <w:rFonts w:asciiTheme="minorHAnsi" w:hAnsiTheme="minorHAnsi"/>
          <w:b/>
          <w:bCs/>
          <w:color w:val="auto"/>
          <w:sz w:val="22"/>
          <w:szCs w:val="22"/>
        </w:rPr>
        <w:t xml:space="preserve">has </w:t>
      </w:r>
      <w:r w:rsidRPr="00FB6E71">
        <w:rPr>
          <w:rFonts w:asciiTheme="minorHAnsi" w:hAnsiTheme="minorHAnsi"/>
          <w:b/>
          <w:bCs/>
          <w:color w:val="auto"/>
          <w:sz w:val="22"/>
          <w:szCs w:val="22"/>
        </w:rPr>
        <w:t>benefited from experiences and lessons learned from similar emergency and/or crisis recovery situations nationally and internationally</w:t>
      </w:r>
      <w:r w:rsidRPr="004C3DD9">
        <w:rPr>
          <w:rFonts w:asciiTheme="minorHAnsi" w:hAnsiTheme="minorHAnsi"/>
          <w:b/>
          <w:bCs/>
          <w:color w:val="auto"/>
          <w:sz w:val="22"/>
          <w:szCs w:val="22"/>
        </w:rPr>
        <w:t>.</w:t>
      </w:r>
      <w:r w:rsidRPr="00FB6E71">
        <w:rPr>
          <w:rFonts w:asciiTheme="minorHAnsi" w:hAnsiTheme="minorHAnsi"/>
          <w:bCs/>
          <w:color w:val="auto"/>
          <w:sz w:val="22"/>
          <w:szCs w:val="22"/>
        </w:rPr>
        <w:t xml:space="preserve"> These include the 2015 Iraq Emergency Operation, the 2016 Malawi Drought Recovery and Resilience Project, ongoing lending activities in NE Nigeria by the World Bank and other </w:t>
      </w:r>
      <w:r>
        <w:rPr>
          <w:rFonts w:asciiTheme="minorHAnsi" w:hAnsiTheme="minorHAnsi"/>
          <w:bCs/>
          <w:color w:val="auto"/>
          <w:sz w:val="22"/>
          <w:szCs w:val="22"/>
        </w:rPr>
        <w:t>d</w:t>
      </w:r>
      <w:r w:rsidRPr="00FB6E71">
        <w:rPr>
          <w:rFonts w:asciiTheme="minorHAnsi" w:hAnsiTheme="minorHAnsi"/>
          <w:bCs/>
          <w:color w:val="auto"/>
          <w:sz w:val="22"/>
          <w:szCs w:val="22"/>
        </w:rPr>
        <w:t xml:space="preserve">evelopment </w:t>
      </w:r>
      <w:r>
        <w:rPr>
          <w:rFonts w:asciiTheme="minorHAnsi" w:hAnsiTheme="minorHAnsi"/>
          <w:bCs/>
          <w:color w:val="auto"/>
          <w:sz w:val="22"/>
          <w:szCs w:val="22"/>
        </w:rPr>
        <w:t>p</w:t>
      </w:r>
      <w:r w:rsidRPr="00FB6E71">
        <w:rPr>
          <w:rFonts w:asciiTheme="minorHAnsi" w:hAnsiTheme="minorHAnsi"/>
          <w:bCs/>
          <w:color w:val="auto"/>
          <w:sz w:val="22"/>
          <w:szCs w:val="22"/>
        </w:rPr>
        <w:t xml:space="preserve">artners, and the Development Response to Displacement Impacts Project in the Horn of Arica. Key lessons learned include issues related to flexibility and conflict sensitivity of the project design to adapt to the evolving security context.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Holistic multi-sectoral programming and progressive prioritization </w:t>
      </w:r>
      <w:r>
        <w:rPr>
          <w:rFonts w:asciiTheme="minorHAnsi" w:hAnsiTheme="minorHAnsi"/>
          <w:b/>
          <w:bCs/>
          <w:color w:val="auto"/>
          <w:sz w:val="22"/>
          <w:szCs w:val="22"/>
        </w:rPr>
        <w:t>are</w:t>
      </w:r>
      <w:r w:rsidRPr="00FB6E71">
        <w:rPr>
          <w:rFonts w:asciiTheme="minorHAnsi" w:hAnsiTheme="minorHAnsi"/>
          <w:b/>
          <w:bCs/>
          <w:color w:val="auto"/>
          <w:sz w:val="22"/>
          <w:szCs w:val="22"/>
        </w:rPr>
        <w:t xml:space="preserve"> necessary for an effective and sustainable response to crisis and displacement.</w:t>
      </w:r>
      <w:r w:rsidRPr="00FB6E71">
        <w:rPr>
          <w:rFonts w:asciiTheme="minorHAnsi" w:hAnsiTheme="minorHAnsi"/>
          <w:bCs/>
          <w:color w:val="auto"/>
          <w:sz w:val="22"/>
          <w:szCs w:val="22"/>
        </w:rPr>
        <w:t xml:space="preserve"> The RPBA highlights that interventions aimed at the physical reconstruction and rehabilitation of social, physical</w:t>
      </w:r>
      <w:r>
        <w:rPr>
          <w:rFonts w:asciiTheme="minorHAnsi" w:hAnsiTheme="minorHAnsi"/>
          <w:bCs/>
          <w:color w:val="auto"/>
          <w:sz w:val="22"/>
          <w:szCs w:val="22"/>
        </w:rPr>
        <w:t>,</w:t>
      </w:r>
      <w:r w:rsidRPr="00FB6E71">
        <w:rPr>
          <w:rFonts w:asciiTheme="minorHAnsi" w:hAnsiTheme="minorHAnsi"/>
          <w:bCs/>
          <w:color w:val="auto"/>
          <w:sz w:val="22"/>
          <w:szCs w:val="22"/>
        </w:rPr>
        <w:t xml:space="preserve"> and productive assets need to be paired with peace building and social cohesion activities to ensure the sustainability of the recovery efforts. In addition, a framework project resource allocation and implementation approach is necessary in such situations as it provides room for periodic course corrections and relies on progressive prioritization exercises throughout the project implementation period. This takes into account the need to encourage other development partners to use the same programmatic approach and ensure complementarity with existing initiatives.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Building back better and smarter through community-level activities.</w:t>
      </w:r>
      <w:r w:rsidRPr="00FB6E71">
        <w:rPr>
          <w:rFonts w:asciiTheme="minorHAnsi" w:hAnsiTheme="minorHAnsi"/>
          <w:bCs/>
          <w:color w:val="auto"/>
          <w:sz w:val="22"/>
          <w:szCs w:val="22"/>
        </w:rPr>
        <w:t xml:space="preserve"> Based on the World Bank’s experience in postcrisis engagement worldwide and in view of the socioeconomic situation in NE Nigeria, </w:t>
      </w:r>
      <w:r>
        <w:rPr>
          <w:rFonts w:asciiTheme="minorHAnsi" w:hAnsiTheme="minorHAnsi"/>
          <w:bCs/>
          <w:color w:val="auto"/>
          <w:sz w:val="22"/>
          <w:szCs w:val="22"/>
        </w:rPr>
        <w:t xml:space="preserve">a </w:t>
      </w:r>
      <w:r w:rsidRPr="00FB6E71">
        <w:rPr>
          <w:rFonts w:asciiTheme="minorHAnsi" w:hAnsiTheme="minorHAnsi"/>
          <w:bCs/>
          <w:color w:val="auto"/>
          <w:sz w:val="22"/>
          <w:szCs w:val="22"/>
        </w:rPr>
        <w:t>sustainable response to crisis recovery requires not only the restoration of physical, productive</w:t>
      </w:r>
      <w:r>
        <w:rPr>
          <w:rFonts w:asciiTheme="minorHAnsi" w:hAnsiTheme="minorHAnsi"/>
          <w:bCs/>
          <w:color w:val="auto"/>
          <w:sz w:val="22"/>
          <w:szCs w:val="22"/>
        </w:rPr>
        <w:t>,</w:t>
      </w:r>
      <w:r w:rsidRPr="00FB6E71">
        <w:rPr>
          <w:rFonts w:asciiTheme="minorHAnsi" w:hAnsiTheme="minorHAnsi"/>
          <w:bCs/>
          <w:color w:val="auto"/>
          <w:sz w:val="22"/>
          <w:szCs w:val="22"/>
        </w:rPr>
        <w:t xml:space="preserve"> and social assets to improved standards, but also the rebuilding of the social fabric at the local level to address the root causes of conflicts and generate inclusive benefits for the broader population. This will require developing and implementing adequate bottom-up and participatory community engagement mechanisms for the design and implementation of the project interventions.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State-led investment planning and subprojects.</w:t>
      </w:r>
      <w:r w:rsidRPr="00FB6E71">
        <w:rPr>
          <w:rFonts w:asciiTheme="minorHAnsi" w:hAnsiTheme="minorHAnsi"/>
          <w:bCs/>
          <w:color w:val="auto"/>
          <w:sz w:val="22"/>
          <w:szCs w:val="22"/>
        </w:rPr>
        <w:t xml:space="preserve"> Given the overwhelming needs for recovery, peace building</w:t>
      </w:r>
      <w:r>
        <w:rPr>
          <w:rFonts w:asciiTheme="minorHAnsi" w:hAnsiTheme="minorHAnsi"/>
          <w:bCs/>
          <w:color w:val="auto"/>
          <w:sz w:val="22"/>
          <w:szCs w:val="22"/>
        </w:rPr>
        <w:t>,</w:t>
      </w:r>
      <w:r w:rsidRPr="00FB6E71">
        <w:rPr>
          <w:rFonts w:asciiTheme="minorHAnsi" w:hAnsiTheme="minorHAnsi"/>
          <w:bCs/>
          <w:color w:val="auto"/>
          <w:sz w:val="22"/>
          <w:szCs w:val="22"/>
        </w:rPr>
        <w:t xml:space="preserve"> and reconstruction revealed by the RPBA and the available resources from both domestic and international sources,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needs and corresponding responses should be prioritized for actual implementation. The prioritization and sequencing of intervention activities will be led by the respective </w:t>
      </w:r>
      <w:r>
        <w:rPr>
          <w:rFonts w:asciiTheme="minorHAnsi" w:hAnsiTheme="minorHAnsi"/>
          <w:bCs/>
          <w:color w:val="auto"/>
          <w:sz w:val="22"/>
          <w:szCs w:val="22"/>
        </w:rPr>
        <w:t>s</w:t>
      </w:r>
      <w:r w:rsidRPr="00FB6E71">
        <w:rPr>
          <w:rFonts w:asciiTheme="minorHAnsi" w:hAnsiTheme="minorHAnsi"/>
          <w:bCs/>
          <w:color w:val="auto"/>
          <w:sz w:val="22"/>
          <w:szCs w:val="22"/>
        </w:rPr>
        <w:t xml:space="preserve">tates, with involvement of key stakeholders and in consultation with local population. These will be reflected in the preparation of state-level </w:t>
      </w:r>
      <w:r>
        <w:rPr>
          <w:rFonts w:asciiTheme="minorHAnsi" w:hAnsiTheme="minorHAnsi"/>
          <w:bCs/>
          <w:color w:val="auto"/>
          <w:sz w:val="22"/>
          <w:szCs w:val="22"/>
        </w:rPr>
        <w:t>a</w:t>
      </w:r>
      <w:r w:rsidRPr="00FB6E71">
        <w:rPr>
          <w:rFonts w:asciiTheme="minorHAnsi" w:hAnsiTheme="minorHAnsi"/>
          <w:bCs/>
          <w:color w:val="auto"/>
          <w:sz w:val="22"/>
          <w:szCs w:val="22"/>
        </w:rPr>
        <w:t xml:space="preserve">nnual </w:t>
      </w:r>
      <w:r>
        <w:rPr>
          <w:rFonts w:asciiTheme="minorHAnsi" w:hAnsiTheme="minorHAnsi"/>
          <w:bCs/>
          <w:color w:val="auto"/>
          <w:sz w:val="22"/>
          <w:szCs w:val="22"/>
        </w:rPr>
        <w:t>i</w:t>
      </w:r>
      <w:r w:rsidRPr="00FB6E71">
        <w:rPr>
          <w:rFonts w:asciiTheme="minorHAnsi" w:hAnsiTheme="minorHAnsi"/>
          <w:bCs/>
          <w:color w:val="auto"/>
          <w:sz w:val="22"/>
          <w:szCs w:val="22"/>
        </w:rPr>
        <w:t xml:space="preserve">nvestment </w:t>
      </w:r>
      <w:r>
        <w:rPr>
          <w:rFonts w:asciiTheme="minorHAnsi" w:hAnsiTheme="minorHAnsi"/>
          <w:bCs/>
          <w:color w:val="auto"/>
          <w:sz w:val="22"/>
          <w:szCs w:val="22"/>
        </w:rPr>
        <w:t>p</w:t>
      </w:r>
      <w:r w:rsidRPr="00FB6E71">
        <w:rPr>
          <w:rFonts w:asciiTheme="minorHAnsi" w:hAnsiTheme="minorHAnsi"/>
          <w:bCs/>
          <w:color w:val="auto"/>
          <w:sz w:val="22"/>
          <w:szCs w:val="22"/>
        </w:rPr>
        <w:t xml:space="preserve">lans based on clear and objectively verifiable prioritization criteria and </w:t>
      </w:r>
      <w:r>
        <w:rPr>
          <w:rFonts w:asciiTheme="minorHAnsi" w:hAnsiTheme="minorHAnsi"/>
          <w:bCs/>
          <w:color w:val="auto"/>
          <w:sz w:val="22"/>
          <w:szCs w:val="22"/>
        </w:rPr>
        <w:t xml:space="preserve">will </w:t>
      </w:r>
      <w:r w:rsidRPr="00FB6E71">
        <w:rPr>
          <w:rFonts w:asciiTheme="minorHAnsi" w:hAnsiTheme="minorHAnsi"/>
          <w:bCs/>
          <w:color w:val="auto"/>
          <w:sz w:val="22"/>
          <w:szCs w:val="22"/>
        </w:rPr>
        <w:t xml:space="preserve">be aligned with the Buhari Plan and the RPBA Strategic Framework and </w:t>
      </w:r>
      <w:r>
        <w:rPr>
          <w:rFonts w:asciiTheme="minorHAnsi" w:hAnsiTheme="minorHAnsi"/>
          <w:bCs/>
          <w:color w:val="auto"/>
          <w:sz w:val="22"/>
          <w:szCs w:val="22"/>
        </w:rPr>
        <w:t xml:space="preserve">will </w:t>
      </w:r>
      <w:r w:rsidRPr="00FB6E71">
        <w:rPr>
          <w:rFonts w:asciiTheme="minorHAnsi" w:hAnsiTheme="minorHAnsi"/>
          <w:bCs/>
          <w:color w:val="auto"/>
          <w:sz w:val="22"/>
          <w:szCs w:val="22"/>
        </w:rPr>
        <w:t>also take into account ongoing and proposed projects and programs by other development partners.</w:t>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962"/>
      </w:tblGrid>
      <w:tr w:rsidTr="007F2DE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432"/>
        </w:trPr>
        <w:tc>
          <w:tcPr>
            <w:tcW w:w="10962" w:type="dxa"/>
            <w:shd w:val="clear" w:color="auto" w:fill="F2F2F2"/>
            <w:vAlign w:val="center"/>
          </w:tcPr>
          <w:p w:rsidR="007F2DE7" w:rsidRPr="00FB6E71" w:rsidP="007F2DE7">
            <w:pPr>
              <w:pStyle w:val="NoSpacing"/>
              <w:keepNext/>
              <w:keepLines/>
              <w:widowControl/>
              <w:numPr>
                <w:ilvl w:val="0"/>
                <w:numId w:val="1"/>
              </w:numPr>
              <w:ind w:left="288" w:hanging="288"/>
              <w:outlineLvl w:val="0"/>
              <w:rPr>
                <w:rFonts w:asciiTheme="minorHAnsi" w:hAnsiTheme="minorHAnsi"/>
                <w:b/>
                <w:sz w:val="22"/>
                <w:szCs w:val="22"/>
              </w:rPr>
            </w:pPr>
            <w:bookmarkStart w:id="54" w:name="_Toc256000012"/>
            <w:bookmarkStart w:id="55" w:name="_Toc433982419"/>
            <w:bookmarkStart w:id="56" w:name="_Toc460509199"/>
            <w:bookmarkStart w:id="57" w:name="_Toc476558114"/>
            <w:r w:rsidRPr="00FB6E71">
              <w:rPr>
                <w:rFonts w:asciiTheme="minorHAnsi" w:hAnsiTheme="minorHAnsi"/>
                <w:b/>
                <w:sz w:val="22"/>
                <w:szCs w:val="22"/>
              </w:rPr>
              <w:t>IMPLEMENTATION</w:t>
            </w:r>
            <w:bookmarkEnd w:id="54"/>
            <w:bookmarkEnd w:id="55"/>
            <w:bookmarkEnd w:id="56"/>
            <w:bookmarkEnd w:id="57"/>
          </w:p>
        </w:tc>
      </w:tr>
    </w:tbl>
    <w:p w:rsidR="007F2DE7" w:rsidRPr="00FB6E71" w:rsidP="007F2DE7">
      <w:pPr>
        <w:keepNext/>
        <w:keepLines/>
        <w:widowControl/>
        <w:ind w:left="-634"/>
        <w:rPr>
          <w:rFonts w:asciiTheme="minorHAnsi" w:hAnsiTheme="minorHAnsi"/>
          <w:b/>
          <w:bCs/>
          <w:color w:val="7F7F7F" w:themeColor="text1" w:themeTint="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58" w:name="_Toc256000013"/>
            <w:bookmarkStart w:id="59" w:name="_Toc433982420"/>
            <w:bookmarkStart w:id="60" w:name="_Toc460509200"/>
            <w:bookmarkStart w:id="61" w:name="_Toc476558115"/>
            <w:r w:rsidRPr="00FB6E71">
              <w:rPr>
                <w:rFonts w:asciiTheme="minorHAnsi" w:hAnsiTheme="minorHAnsi"/>
                <w:b/>
                <w:bCs/>
                <w:color w:val="172D5F"/>
                <w:sz w:val="22"/>
                <w:szCs w:val="22"/>
              </w:rPr>
              <w:t>A. Institutional and Implementation Arrangements</w:t>
            </w:r>
            <w:bookmarkEnd w:id="58"/>
            <w:bookmarkEnd w:id="59"/>
            <w:bookmarkEnd w:id="60"/>
            <w:bookmarkEnd w:id="61"/>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proposed </w:t>
      </w:r>
      <w:r>
        <w:rPr>
          <w:rFonts w:asciiTheme="minorHAnsi" w:hAnsiTheme="minorHAnsi"/>
          <w:b/>
          <w:bCs/>
          <w:color w:val="auto"/>
          <w:sz w:val="22"/>
          <w:szCs w:val="22"/>
        </w:rPr>
        <w:t>p</w:t>
      </w:r>
      <w:r w:rsidRPr="00FB6E71">
        <w:rPr>
          <w:rFonts w:asciiTheme="minorHAnsi" w:hAnsiTheme="minorHAnsi"/>
          <w:b/>
          <w:bCs/>
          <w:color w:val="auto"/>
          <w:sz w:val="22"/>
          <w:szCs w:val="22"/>
        </w:rPr>
        <w:t xml:space="preserve">roject will build on existing institutional structures and </w:t>
      </w:r>
      <w:r>
        <w:rPr>
          <w:rFonts w:asciiTheme="minorHAnsi" w:hAnsiTheme="minorHAnsi"/>
          <w:b/>
          <w:bCs/>
          <w:color w:val="auto"/>
          <w:sz w:val="22"/>
          <w:szCs w:val="22"/>
        </w:rPr>
        <w:t xml:space="preserve">will </w:t>
      </w:r>
      <w:r w:rsidRPr="00FB6E71">
        <w:rPr>
          <w:rFonts w:asciiTheme="minorHAnsi" w:hAnsiTheme="minorHAnsi"/>
          <w:b/>
          <w:bCs/>
          <w:color w:val="auto"/>
          <w:sz w:val="22"/>
          <w:szCs w:val="22"/>
        </w:rPr>
        <w:t xml:space="preserve">establish new bodies only where needed, with specific and time-bound mandates. </w:t>
      </w:r>
      <w:r w:rsidRPr="00FB6E71">
        <w:rPr>
          <w:rFonts w:asciiTheme="minorHAnsi" w:hAnsiTheme="minorHAnsi"/>
          <w:bCs/>
          <w:color w:val="auto"/>
          <w:sz w:val="22"/>
          <w:szCs w:val="22"/>
        </w:rPr>
        <w:t>Given the unprecedented nature of this conflict, new bodies for the coordination of the recovery program in the NE have been established at the federal and state levels, including the PCNI and the Ministry of Reconstruction, Rehabilitation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Resettlement in Borno State. Yet, some of these institutions will evolve with time, and possibly new and more permanent ones will emerge, including the possible creation of the North East Development Commission (NEDC). The project is hence proposing to (a) strengthen existing institutions such as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to perform roles such as coordination at the federal and state levels and (b) strengthen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implementation capacity. To this end, the GoN will develop and maintain a detailed Project Implementation Manual (PIM) to further elaborate the roles and responsibilities of the project’s implementation apparatus as well as lay out detailed technical and operational decision</w:t>
      </w:r>
      <w:r>
        <w:rPr>
          <w:rFonts w:asciiTheme="minorHAnsi" w:hAnsiTheme="minorHAnsi"/>
          <w:bCs/>
          <w:color w:val="auto"/>
          <w:sz w:val="22"/>
          <w:szCs w:val="22"/>
        </w:rPr>
        <w:t>-</w:t>
      </w:r>
      <w:r w:rsidRPr="00FB6E71">
        <w:rPr>
          <w:rFonts w:asciiTheme="minorHAnsi" w:hAnsiTheme="minorHAnsi"/>
          <w:bCs/>
          <w:color w:val="auto"/>
          <w:sz w:val="22"/>
          <w:szCs w:val="22"/>
        </w:rPr>
        <w:t>making processes.</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 xml:space="preserve">Recovery Program Coordination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 xml:space="preserve">The MCRP activities will align with the overall recovery and stabilization program for the NE proposed by the RPBA and Buhari </w:t>
      </w:r>
      <w:r>
        <w:rPr>
          <w:rFonts w:asciiTheme="minorHAnsi" w:hAnsiTheme="minorHAnsi"/>
          <w:b/>
          <w:sz w:val="22"/>
          <w:szCs w:val="22"/>
        </w:rPr>
        <w:t>P</w:t>
      </w:r>
      <w:r w:rsidRPr="00FB6E71">
        <w:rPr>
          <w:rFonts w:asciiTheme="minorHAnsi" w:hAnsiTheme="minorHAnsi"/>
          <w:b/>
          <w:sz w:val="22"/>
          <w:szCs w:val="22"/>
        </w:rPr>
        <w:t>lan, coordinated by a federal-level apex committee.</w:t>
      </w:r>
      <w:r w:rsidRPr="00FB6E71">
        <w:rPr>
          <w:rFonts w:asciiTheme="minorHAnsi" w:hAnsiTheme="minorHAnsi"/>
          <w:sz w:val="22"/>
          <w:szCs w:val="22"/>
        </w:rPr>
        <w:t xml:space="preserve"> According to the Presidential mandate establishing </w:t>
      </w:r>
      <w:r>
        <w:rPr>
          <w:rFonts w:asciiTheme="minorHAnsi" w:hAnsiTheme="minorHAnsi"/>
          <w:sz w:val="22"/>
          <w:szCs w:val="22"/>
        </w:rPr>
        <w:t xml:space="preserve">the </w:t>
      </w:r>
      <w:r w:rsidRPr="00FB6E71">
        <w:rPr>
          <w:rFonts w:asciiTheme="minorHAnsi" w:hAnsiTheme="minorHAnsi"/>
          <w:sz w:val="22"/>
          <w:szCs w:val="22"/>
        </w:rPr>
        <w:t>PCNI, t</w:t>
      </w:r>
      <w:r w:rsidRPr="00FB6E71">
        <w:rPr>
          <w:rFonts w:asciiTheme="minorHAnsi" w:hAnsiTheme="minorHAnsi"/>
          <w:bCs/>
          <w:color w:val="auto"/>
          <w:sz w:val="22"/>
          <w:szCs w:val="22"/>
        </w:rPr>
        <w:t xml:space="preserve">his will be initially convened by the PCNI and anchored within the Vice President’s office. The committee will include representatives from the Vice President’s </w:t>
      </w:r>
      <w:r>
        <w:rPr>
          <w:rFonts w:asciiTheme="minorHAnsi" w:hAnsiTheme="minorHAnsi"/>
          <w:bCs/>
          <w:color w:val="auto"/>
          <w:sz w:val="22"/>
          <w:szCs w:val="22"/>
        </w:rPr>
        <w:t>o</w:t>
      </w:r>
      <w:r w:rsidRPr="00FB6E71">
        <w:rPr>
          <w:rFonts w:asciiTheme="minorHAnsi" w:hAnsiTheme="minorHAnsi"/>
          <w:bCs/>
          <w:color w:val="auto"/>
          <w:sz w:val="22"/>
          <w:szCs w:val="22"/>
        </w:rPr>
        <w:t xml:space="preserve">ffice,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the Secretary to the Government, the FMoF, the FMBNP, and the BAY State Governors. This committee is also envisioned to provide oversight of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recovery program activities in the NE, as well as central policy guidance and standard-setting as required on a periodic basis to ensure effective coordination and harmonization of recovery and peace building initiatives in the NE, supported by the Government as well as </w:t>
      </w:r>
      <w:r>
        <w:rPr>
          <w:rFonts w:asciiTheme="minorHAnsi" w:hAnsiTheme="minorHAnsi"/>
          <w:bCs/>
          <w:color w:val="auto"/>
          <w:sz w:val="22"/>
          <w:szCs w:val="22"/>
        </w:rPr>
        <w:t xml:space="preserve">the </w:t>
      </w:r>
      <w:r w:rsidRPr="00FB6E71">
        <w:rPr>
          <w:rFonts w:asciiTheme="minorHAnsi" w:hAnsiTheme="minorHAnsi"/>
          <w:bCs/>
          <w:color w:val="auto"/>
          <w:sz w:val="22"/>
          <w:szCs w:val="22"/>
        </w:rPr>
        <w:t>development partners.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Institutional coordination necessary at the programmatic level include</w:t>
      </w:r>
      <w:r>
        <w:rPr>
          <w:rFonts w:asciiTheme="minorHAnsi" w:hAnsiTheme="minorHAnsi"/>
          <w:b/>
          <w:bCs/>
          <w:color w:val="auto"/>
          <w:sz w:val="22"/>
          <w:szCs w:val="22"/>
        </w:rPr>
        <w:t>s</w:t>
      </w:r>
      <w:r w:rsidRPr="00FB6E71">
        <w:rPr>
          <w:rFonts w:asciiTheme="minorHAnsi" w:hAnsiTheme="minorHAnsi"/>
          <w:b/>
          <w:bCs/>
          <w:color w:val="auto"/>
          <w:sz w:val="22"/>
          <w:szCs w:val="22"/>
        </w:rPr>
        <w:t xml:space="preserve"> the setup of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Nodes of Strategic and Operational Convergence for the NE Program</w:t>
      </w:r>
      <w:r w:rsidRPr="00460174">
        <w:rPr>
          <w:rFonts w:asciiTheme="minorHAnsi" w:hAnsiTheme="minorHAnsi"/>
          <w:b/>
          <w:bCs/>
          <w:color w:val="auto"/>
          <w:sz w:val="22"/>
          <w:szCs w:val="22"/>
        </w:rPr>
        <w:t>.</w:t>
      </w:r>
      <w:r w:rsidRPr="00FB6E71">
        <w:rPr>
          <w:rFonts w:asciiTheme="minorHAnsi" w:hAnsiTheme="minorHAnsi"/>
          <w:bCs/>
          <w:color w:val="auto"/>
          <w:sz w:val="22"/>
          <w:szCs w:val="22"/>
        </w:rPr>
        <w:t xml:space="preserve"> As explained earlier, the project will promote coordination across various development partner programs for the NE by supporting the establishment and activation of three critical nodes of strategic and operational convergence: </w:t>
      </w:r>
    </w:p>
    <w:p w:rsidR="007F2DE7" w:rsidRPr="00FB6E71" w:rsidP="00302E0C">
      <w:pPr>
        <w:pStyle w:val="ListParagraph"/>
        <w:widowControl/>
        <w:numPr>
          <w:ilvl w:val="0"/>
          <w:numId w:val="20"/>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Cs/>
          <w:color w:val="auto"/>
          <w:sz w:val="22"/>
          <w:szCs w:val="22"/>
        </w:rPr>
        <w:t xml:space="preserve">Federal-level coordination will be carried out through an apex body (the PCNI and, possibly in the future, the NEDC), facilitating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recovery program coordination between federal government entities, development partners, </w:t>
      </w:r>
      <w:r>
        <w:rPr>
          <w:rFonts w:asciiTheme="minorHAnsi" w:hAnsiTheme="minorHAnsi"/>
          <w:bCs/>
          <w:color w:val="auto"/>
          <w:sz w:val="22"/>
          <w:szCs w:val="22"/>
        </w:rPr>
        <w:t>and</w:t>
      </w:r>
      <w:r w:rsidRPr="00FB6E71">
        <w:rPr>
          <w:rFonts w:asciiTheme="minorHAnsi" w:hAnsiTheme="minorHAnsi"/>
          <w:bCs/>
          <w:color w:val="auto"/>
          <w:sz w:val="22"/>
          <w:szCs w:val="22"/>
        </w:rPr>
        <w:t xml:space="preserve"> state governments</w:t>
      </w:r>
      <w:r>
        <w:rPr>
          <w:rFonts w:asciiTheme="minorHAnsi" w:hAnsiTheme="minorHAnsi"/>
          <w:bCs/>
          <w:color w:val="auto"/>
          <w:sz w:val="22"/>
          <w:szCs w:val="22"/>
        </w:rPr>
        <w:t>,</w:t>
      </w:r>
      <w:r w:rsidRPr="00FB6E71">
        <w:rPr>
          <w:rFonts w:asciiTheme="minorHAnsi" w:hAnsiTheme="minorHAnsi"/>
          <w:bCs/>
          <w:color w:val="auto"/>
          <w:sz w:val="22"/>
          <w:szCs w:val="22"/>
        </w:rPr>
        <w:t xml:space="preserve"> monitoring progress toward the overall recovery and peace building plans of the GoN, and facilitating coordination with humanitarian efforts</w:t>
      </w:r>
      <w:r>
        <w:rPr>
          <w:rFonts w:asciiTheme="minorHAnsi" w:hAnsiTheme="minorHAnsi"/>
          <w:bCs/>
          <w:color w:val="auto"/>
          <w:sz w:val="22"/>
          <w:szCs w:val="22"/>
        </w:rPr>
        <w:t>.</w:t>
      </w:r>
    </w:p>
    <w:p w:rsidR="007F2DE7" w:rsidRPr="00FB6E71" w:rsidP="00302E0C">
      <w:pPr>
        <w:pStyle w:val="ListParagraph"/>
        <w:widowControl/>
        <w:numPr>
          <w:ilvl w:val="0"/>
          <w:numId w:val="20"/>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Cs/>
          <w:color w:val="auto"/>
          <w:sz w:val="22"/>
          <w:szCs w:val="22"/>
        </w:rPr>
        <w:t xml:space="preserve">Interstate coordination will be carried out on a regular basis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ensuring consistency of recovery policy and programming across different </w:t>
      </w:r>
      <w:r>
        <w:rPr>
          <w:rFonts w:asciiTheme="minorHAnsi" w:hAnsiTheme="minorHAnsi"/>
          <w:bCs/>
          <w:color w:val="auto"/>
          <w:sz w:val="22"/>
          <w:szCs w:val="22"/>
        </w:rPr>
        <w:t>s</w:t>
      </w:r>
      <w:r w:rsidRPr="00FB6E71">
        <w:rPr>
          <w:rFonts w:asciiTheme="minorHAnsi" w:hAnsiTheme="minorHAnsi"/>
          <w:bCs/>
          <w:color w:val="auto"/>
          <w:sz w:val="22"/>
          <w:szCs w:val="22"/>
        </w:rPr>
        <w:t xml:space="preserve">tates and regular dialogue between the </w:t>
      </w:r>
      <w:r>
        <w:rPr>
          <w:rFonts w:asciiTheme="minorHAnsi" w:hAnsiTheme="minorHAnsi"/>
          <w:bCs/>
          <w:color w:val="auto"/>
          <w:sz w:val="22"/>
          <w:szCs w:val="22"/>
        </w:rPr>
        <w:t>s</w:t>
      </w:r>
      <w:r w:rsidRPr="00FB6E71">
        <w:rPr>
          <w:rFonts w:asciiTheme="minorHAnsi" w:hAnsiTheme="minorHAnsi"/>
          <w:bCs/>
          <w:color w:val="auto"/>
          <w:sz w:val="22"/>
          <w:szCs w:val="22"/>
        </w:rPr>
        <w:t>tates to ensure effective policy coordination and alignment of implementation arrangements. Interstate meetings w</w:t>
      </w:r>
      <w:r>
        <w:rPr>
          <w:rFonts w:asciiTheme="minorHAnsi" w:hAnsiTheme="minorHAnsi"/>
          <w:bCs/>
          <w:color w:val="auto"/>
          <w:sz w:val="22"/>
          <w:szCs w:val="22"/>
        </w:rPr>
        <w:t>ill</w:t>
      </w:r>
      <w:r w:rsidRPr="00FB6E71">
        <w:rPr>
          <w:rFonts w:asciiTheme="minorHAnsi" w:hAnsiTheme="minorHAnsi"/>
          <w:bCs/>
          <w:color w:val="auto"/>
          <w:sz w:val="22"/>
          <w:szCs w:val="22"/>
        </w:rPr>
        <w:t xml:space="preserve"> take place at least on a six monthly or needs basis.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PCNI’s state officers will also pay a key role in facilitating coordination across </w:t>
      </w:r>
      <w:r>
        <w:rPr>
          <w:rFonts w:asciiTheme="minorHAnsi" w:hAnsiTheme="minorHAnsi"/>
          <w:bCs/>
          <w:color w:val="auto"/>
          <w:sz w:val="22"/>
          <w:szCs w:val="22"/>
        </w:rPr>
        <w:t>the s</w:t>
      </w:r>
      <w:r w:rsidRPr="00FB6E71">
        <w:rPr>
          <w:rFonts w:asciiTheme="minorHAnsi" w:hAnsiTheme="minorHAnsi"/>
          <w:bCs/>
          <w:color w:val="auto"/>
          <w:sz w:val="22"/>
          <w:szCs w:val="22"/>
        </w:rPr>
        <w:t xml:space="preserve">tates and between </w:t>
      </w:r>
      <w:r>
        <w:rPr>
          <w:rFonts w:asciiTheme="minorHAnsi" w:hAnsiTheme="minorHAnsi"/>
          <w:bCs/>
          <w:color w:val="auto"/>
          <w:sz w:val="22"/>
          <w:szCs w:val="22"/>
        </w:rPr>
        <w:t>the s</w:t>
      </w:r>
      <w:r w:rsidRPr="00FB6E71">
        <w:rPr>
          <w:rFonts w:asciiTheme="minorHAnsi" w:hAnsiTheme="minorHAnsi"/>
          <w:bCs/>
          <w:color w:val="auto"/>
          <w:sz w:val="22"/>
          <w:szCs w:val="22"/>
        </w:rPr>
        <w:t>tates and the Federal Government.</w:t>
      </w:r>
    </w:p>
    <w:p w:rsidR="007F2DE7" w:rsidRPr="00FB6E71" w:rsidP="00302E0C">
      <w:pPr>
        <w:pStyle w:val="ListParagraph"/>
        <w:widowControl/>
        <w:numPr>
          <w:ilvl w:val="0"/>
          <w:numId w:val="20"/>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Cs/>
          <w:color w:val="auto"/>
          <w:sz w:val="22"/>
          <w:szCs w:val="22"/>
        </w:rPr>
        <w:t xml:space="preserve">Intrastate steering committees will be in charge of the overall coordination of recovery and peace building activities within each </w:t>
      </w:r>
      <w:r>
        <w:rPr>
          <w:rFonts w:asciiTheme="minorHAnsi" w:hAnsiTheme="minorHAnsi"/>
          <w:bCs/>
          <w:color w:val="auto"/>
          <w:sz w:val="22"/>
          <w:szCs w:val="22"/>
        </w:rPr>
        <w:t>s</w:t>
      </w:r>
      <w:r w:rsidRPr="00FB6E71">
        <w:rPr>
          <w:rFonts w:asciiTheme="minorHAnsi" w:hAnsiTheme="minorHAnsi"/>
          <w:bCs/>
          <w:color w:val="auto"/>
          <w:sz w:val="22"/>
          <w:szCs w:val="22"/>
        </w:rPr>
        <w:t xml:space="preserve">tate and collective decision making among line ministries, departments, and agencies (MDAs) involved in the recovery and peace building process through the setup of a recovery and peace building steering committee. The </w:t>
      </w:r>
      <w:r>
        <w:rPr>
          <w:rFonts w:asciiTheme="minorHAnsi" w:hAnsiTheme="minorHAnsi"/>
          <w:bCs/>
          <w:color w:val="auto"/>
          <w:sz w:val="22"/>
          <w:szCs w:val="22"/>
        </w:rPr>
        <w:t>s</w:t>
      </w:r>
      <w:r w:rsidRPr="00FB6E71">
        <w:rPr>
          <w:rFonts w:asciiTheme="minorHAnsi" w:hAnsiTheme="minorHAnsi"/>
          <w:bCs/>
          <w:color w:val="auto"/>
          <w:sz w:val="22"/>
          <w:szCs w:val="22"/>
        </w:rPr>
        <w:t xml:space="preserve">tate steering committees will coordinate and oversee the implementation of recovery and peace building efforts at the state level, ensuring synergies across initiatives supported by different development partners.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Two additional nodes of convergence over and above the project</w:t>
      </w:r>
      <w:r>
        <w:rPr>
          <w:rFonts w:asciiTheme="minorHAnsi" w:hAnsiTheme="minorHAnsi"/>
          <w:bCs/>
          <w:color w:val="auto"/>
          <w:sz w:val="22"/>
          <w:szCs w:val="22"/>
        </w:rPr>
        <w:t>-</w:t>
      </w:r>
      <w:r w:rsidRPr="00FB6E71">
        <w:rPr>
          <w:rFonts w:asciiTheme="minorHAnsi" w:hAnsiTheme="minorHAnsi"/>
          <w:bCs/>
          <w:color w:val="auto"/>
          <w:sz w:val="22"/>
          <w:szCs w:val="22"/>
        </w:rPr>
        <w:t>supported mechanisms are envisioned for development partner coordination. This includes the North East Development Coordination Group, currently led by the United Kingdom’s Department for International Development (DFID), as well as an internal coordination mechanism for all World Bank initiatives in the NE.</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Project Implementation</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In line with the overall recovery program for the region, the MCRP implementation is designed to be adaptive to the evolving situation and</w:t>
      </w:r>
      <w:r>
        <w:rPr>
          <w:rFonts w:asciiTheme="minorHAnsi" w:hAnsiTheme="minorHAnsi"/>
          <w:bCs/>
          <w:color w:val="auto"/>
          <w:sz w:val="22"/>
          <w:szCs w:val="22"/>
        </w:rPr>
        <w:t>,</w:t>
      </w:r>
      <w:r w:rsidRPr="00FB6E71">
        <w:rPr>
          <w:rFonts w:asciiTheme="minorHAnsi" w:hAnsiTheme="minorHAnsi"/>
          <w:bCs/>
          <w:color w:val="auto"/>
          <w:sz w:val="22"/>
          <w:szCs w:val="22"/>
        </w:rPr>
        <w:t xml:space="preserve"> therefore</w:t>
      </w:r>
      <w:r>
        <w:rPr>
          <w:rFonts w:asciiTheme="minorHAnsi" w:hAnsiTheme="minorHAnsi"/>
          <w:bCs/>
          <w:color w:val="auto"/>
          <w:sz w:val="22"/>
          <w:szCs w:val="22"/>
        </w:rPr>
        <w:t>,</w:t>
      </w:r>
      <w:r w:rsidRPr="00FB6E71">
        <w:rPr>
          <w:rFonts w:asciiTheme="minorHAnsi" w:hAnsiTheme="minorHAnsi"/>
          <w:bCs/>
          <w:color w:val="auto"/>
          <w:sz w:val="22"/>
          <w:szCs w:val="22"/>
        </w:rPr>
        <w:t xml:space="preserve"> will also require a high degree of multi-sectoral coordination across all recovery and peace building initiatives.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State-level PCUs</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The PCUs will focus on quality and process oversight, FM, procurement, reporting, contract management, </w:t>
      </w:r>
      <w:r>
        <w:rPr>
          <w:rFonts w:asciiTheme="minorHAnsi" w:hAnsiTheme="minorHAnsi"/>
          <w:bCs/>
          <w:color w:val="auto"/>
          <w:sz w:val="22"/>
          <w:szCs w:val="22"/>
        </w:rPr>
        <w:t xml:space="preserve">and </w:t>
      </w:r>
      <w:r w:rsidRPr="00FB6E71">
        <w:rPr>
          <w:rFonts w:asciiTheme="minorHAnsi" w:hAnsiTheme="minorHAnsi"/>
          <w:bCs/>
          <w:color w:val="auto"/>
          <w:sz w:val="22"/>
          <w:szCs w:val="22"/>
        </w:rPr>
        <w:t xml:space="preserve">M&amp;E and </w:t>
      </w:r>
      <w:r>
        <w:rPr>
          <w:rFonts w:asciiTheme="minorHAnsi" w:hAnsiTheme="minorHAnsi"/>
          <w:bCs/>
          <w:color w:val="auto"/>
          <w:sz w:val="22"/>
          <w:szCs w:val="22"/>
        </w:rPr>
        <w:t xml:space="preserve">on </w:t>
      </w:r>
      <w:r w:rsidRPr="00FB6E71">
        <w:rPr>
          <w:rFonts w:asciiTheme="minorHAnsi" w:hAnsiTheme="minorHAnsi"/>
          <w:bCs/>
          <w:color w:val="auto"/>
          <w:sz w:val="22"/>
          <w:szCs w:val="22"/>
        </w:rPr>
        <w:t xml:space="preserve">ensuring social and environmental safeguards compliance. In addition to coordination upwards to ensure the project responds to the evolving recovery needs of the </w:t>
      </w:r>
      <w:r>
        <w:rPr>
          <w:rFonts w:asciiTheme="minorHAnsi" w:hAnsiTheme="minorHAnsi"/>
          <w:bCs/>
          <w:color w:val="auto"/>
          <w:sz w:val="22"/>
          <w:szCs w:val="22"/>
        </w:rPr>
        <w:t>s</w:t>
      </w:r>
      <w:r w:rsidRPr="00FB6E71">
        <w:rPr>
          <w:rFonts w:asciiTheme="minorHAnsi" w:hAnsiTheme="minorHAnsi"/>
          <w:bCs/>
          <w:color w:val="auto"/>
          <w:sz w:val="22"/>
          <w:szCs w:val="22"/>
        </w:rPr>
        <w:t xml:space="preserve">tate, the PCUs will also coordinate across different sectoral line agencies to implement the multi-sectoral project activities. To develop economies of scale and a coherent state-led crisis recovery program, the PCUs will also ensure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MCRP coordination with related infrastructure projects supported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IsDB and AfDB.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Sector-specific activities will build on existing institutional capacity and structures of the MDAs. </w:t>
      </w:r>
      <w:r w:rsidRPr="00FB6E71">
        <w:rPr>
          <w:rFonts w:asciiTheme="minorHAnsi" w:hAnsiTheme="minorHAnsi"/>
          <w:bCs/>
          <w:color w:val="auto"/>
          <w:sz w:val="22"/>
          <w:szCs w:val="22"/>
        </w:rPr>
        <w:t xml:space="preserve">For Component 1, project implementation will be carried out by the </w:t>
      </w:r>
      <w:r>
        <w:rPr>
          <w:rFonts w:asciiTheme="minorHAnsi" w:hAnsiTheme="minorHAnsi"/>
          <w:bCs/>
          <w:color w:val="auto"/>
          <w:sz w:val="22"/>
          <w:szCs w:val="22"/>
        </w:rPr>
        <w:t>s</w:t>
      </w:r>
      <w:r w:rsidRPr="00FB6E71">
        <w:rPr>
          <w:rFonts w:asciiTheme="minorHAnsi" w:hAnsiTheme="minorHAnsi"/>
          <w:bCs/>
          <w:color w:val="auto"/>
          <w:sz w:val="22"/>
          <w:szCs w:val="22"/>
        </w:rPr>
        <w:t>tate PCUs, given</w:t>
      </w:r>
      <w:r w:rsidRPr="00FB6E71">
        <w:rPr>
          <w:rFonts w:asciiTheme="minorHAnsi" w:hAnsiTheme="minorHAnsi"/>
          <w:sz w:val="22"/>
          <w:szCs w:val="22"/>
        </w:rPr>
        <w:t xml:space="preserve"> the intersectoral nature of the component and that functions such as return and reintegration of forcibly displaced population or social cohesion fall beyond the mandate of a single </w:t>
      </w:r>
      <w:r>
        <w:rPr>
          <w:rFonts w:asciiTheme="minorHAnsi" w:hAnsiTheme="minorHAnsi"/>
          <w:sz w:val="22"/>
          <w:szCs w:val="22"/>
        </w:rPr>
        <w:t>m</w:t>
      </w:r>
      <w:r w:rsidRPr="00FB6E71">
        <w:rPr>
          <w:rFonts w:asciiTheme="minorHAnsi" w:hAnsiTheme="minorHAnsi"/>
          <w:sz w:val="22"/>
          <w:szCs w:val="22"/>
        </w:rPr>
        <w:t xml:space="preserve">inistry. In this case, while </w:t>
      </w:r>
      <w:r>
        <w:rPr>
          <w:rFonts w:asciiTheme="minorHAnsi" w:hAnsiTheme="minorHAnsi"/>
          <w:sz w:val="22"/>
          <w:szCs w:val="22"/>
        </w:rPr>
        <w:t xml:space="preserve">the </w:t>
      </w:r>
      <w:r w:rsidRPr="00FB6E71">
        <w:rPr>
          <w:rFonts w:asciiTheme="minorHAnsi" w:hAnsiTheme="minorHAnsi"/>
          <w:sz w:val="22"/>
          <w:szCs w:val="22"/>
        </w:rPr>
        <w:t xml:space="preserve">activity implementation will be outsourced to specialized service providers (as few as possible to ensure consistency), the </w:t>
      </w:r>
      <w:r>
        <w:rPr>
          <w:rFonts w:asciiTheme="minorHAnsi" w:hAnsiTheme="minorHAnsi"/>
          <w:sz w:val="22"/>
          <w:szCs w:val="22"/>
        </w:rPr>
        <w:t>s</w:t>
      </w:r>
      <w:r w:rsidRPr="00FB6E71">
        <w:rPr>
          <w:rFonts w:asciiTheme="minorHAnsi" w:hAnsiTheme="minorHAnsi"/>
          <w:sz w:val="22"/>
          <w:szCs w:val="22"/>
        </w:rPr>
        <w:t xml:space="preserve">tate PCUs will be responsible for carrying out technical functions </w:t>
      </w:r>
      <w:r w:rsidRPr="00FB6E71">
        <w:rPr>
          <w:rFonts w:asciiTheme="minorHAnsi" w:hAnsiTheme="minorHAnsi"/>
          <w:bCs/>
          <w:color w:val="auto"/>
          <w:sz w:val="22"/>
          <w:szCs w:val="22"/>
        </w:rPr>
        <w:t>of</w:t>
      </w:r>
      <w:r w:rsidRPr="00FB6E71">
        <w:rPr>
          <w:rFonts w:asciiTheme="minorHAnsi" w:hAnsiTheme="minorHAnsi"/>
          <w:sz w:val="22"/>
          <w:szCs w:val="22"/>
        </w:rPr>
        <w:t xml:space="preserve"> site identification, development of bidding documents, technical assurance</w:t>
      </w:r>
      <w:r>
        <w:rPr>
          <w:rFonts w:asciiTheme="minorHAnsi" w:hAnsiTheme="minorHAnsi"/>
          <w:sz w:val="22"/>
          <w:szCs w:val="22"/>
        </w:rPr>
        <w:t>,</w:t>
      </w:r>
      <w:r w:rsidRPr="00FB6E71">
        <w:rPr>
          <w:rFonts w:asciiTheme="minorHAnsi" w:hAnsiTheme="minorHAnsi"/>
          <w:sz w:val="22"/>
          <w:szCs w:val="22"/>
        </w:rPr>
        <w:t xml:space="preserve"> and other necessary oversight. For Component 2, </w:t>
      </w:r>
      <w:r w:rsidRPr="00FB6E71">
        <w:rPr>
          <w:rFonts w:asciiTheme="minorHAnsi" w:hAnsiTheme="minorHAnsi"/>
          <w:bCs/>
          <w:color w:val="auto"/>
          <w:sz w:val="22"/>
          <w:szCs w:val="22"/>
        </w:rPr>
        <w:t xml:space="preserve">project implementation will be carried out by the relevant sectoral/technical MDAs in each </w:t>
      </w:r>
      <w:r>
        <w:rPr>
          <w:rFonts w:asciiTheme="minorHAnsi" w:hAnsiTheme="minorHAnsi"/>
          <w:bCs/>
          <w:color w:val="auto"/>
          <w:sz w:val="22"/>
          <w:szCs w:val="22"/>
        </w:rPr>
        <w:t>s</w:t>
      </w:r>
      <w:r w:rsidRPr="00FB6E71">
        <w:rPr>
          <w:rFonts w:asciiTheme="minorHAnsi" w:hAnsiTheme="minorHAnsi"/>
          <w:bCs/>
          <w:color w:val="auto"/>
          <w:sz w:val="22"/>
          <w:szCs w:val="22"/>
        </w:rPr>
        <w:t xml:space="preserve">tate. The project will finance the operating costs of the respective project teams in these MDAs to ensure that existing capacity and organizational structures are used and enhanced where necessary. The staff working on the project will report to </w:t>
      </w:r>
      <w:r>
        <w:rPr>
          <w:rFonts w:asciiTheme="minorHAnsi" w:hAnsiTheme="minorHAnsi"/>
          <w:bCs/>
          <w:color w:val="auto"/>
          <w:sz w:val="22"/>
          <w:szCs w:val="22"/>
        </w:rPr>
        <w:t xml:space="preserve">the </w:t>
      </w:r>
      <w:r w:rsidRPr="00FB6E71">
        <w:rPr>
          <w:rFonts w:asciiTheme="minorHAnsi" w:hAnsiTheme="minorHAnsi"/>
          <w:bCs/>
          <w:color w:val="auto"/>
          <w:sz w:val="22"/>
          <w:szCs w:val="22"/>
        </w:rPr>
        <w:t>respective line agency hierarchy on a da</w:t>
      </w:r>
      <w:r>
        <w:rPr>
          <w:rFonts w:asciiTheme="minorHAnsi" w:hAnsiTheme="minorHAnsi"/>
          <w:bCs/>
          <w:color w:val="auto"/>
          <w:sz w:val="22"/>
          <w:szCs w:val="22"/>
        </w:rPr>
        <w:t>il</w:t>
      </w:r>
      <w:r w:rsidRPr="00FB6E71">
        <w:rPr>
          <w:rFonts w:asciiTheme="minorHAnsi" w:hAnsiTheme="minorHAnsi"/>
          <w:bCs/>
          <w:color w:val="auto"/>
          <w:sz w:val="22"/>
          <w:szCs w:val="22"/>
        </w:rPr>
        <w:t xml:space="preserve">y basis for technical implementation and </w:t>
      </w:r>
      <w:r>
        <w:rPr>
          <w:rFonts w:asciiTheme="minorHAnsi" w:hAnsiTheme="minorHAnsi"/>
          <w:bCs/>
          <w:color w:val="auto"/>
          <w:sz w:val="22"/>
          <w:szCs w:val="22"/>
        </w:rPr>
        <w:t xml:space="preserve">will </w:t>
      </w:r>
      <w:r w:rsidRPr="00FB6E71">
        <w:rPr>
          <w:rFonts w:asciiTheme="minorHAnsi" w:hAnsiTheme="minorHAnsi"/>
          <w:bCs/>
          <w:color w:val="auto"/>
          <w:sz w:val="22"/>
          <w:szCs w:val="22"/>
        </w:rPr>
        <w:t>report back to the PCUs on a regular basis on overall project implementation progress.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three </w:t>
      </w:r>
      <w:r>
        <w:rPr>
          <w:rFonts w:asciiTheme="minorHAnsi" w:hAnsiTheme="minorHAnsi"/>
          <w:b/>
          <w:bCs/>
          <w:color w:val="auto"/>
          <w:sz w:val="22"/>
          <w:szCs w:val="22"/>
        </w:rPr>
        <w:t>s</w:t>
      </w:r>
      <w:r w:rsidRPr="00FB6E71">
        <w:rPr>
          <w:rFonts w:asciiTheme="minorHAnsi" w:hAnsiTheme="minorHAnsi"/>
          <w:b/>
          <w:bCs/>
          <w:color w:val="auto"/>
          <w:sz w:val="22"/>
          <w:szCs w:val="22"/>
        </w:rPr>
        <w:t>tate PCUs will be reinforced by a PMC that will provide timely and quality support in technical, fiduciary</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safeguards areas and </w:t>
      </w:r>
      <w:r>
        <w:rPr>
          <w:rFonts w:asciiTheme="minorHAnsi" w:hAnsiTheme="minorHAnsi"/>
          <w:b/>
          <w:bCs/>
          <w:color w:val="auto"/>
          <w:sz w:val="22"/>
          <w:szCs w:val="22"/>
        </w:rPr>
        <w:t xml:space="preserve">will be </w:t>
      </w:r>
      <w:r w:rsidRPr="00FB6E71">
        <w:rPr>
          <w:rFonts w:asciiTheme="minorHAnsi" w:hAnsiTheme="minorHAnsi"/>
          <w:b/>
          <w:bCs/>
          <w:color w:val="auto"/>
          <w:sz w:val="22"/>
          <w:szCs w:val="22"/>
        </w:rPr>
        <w:t>supported by local partners for synergy of cooperation</w:t>
      </w:r>
      <w:r w:rsidRPr="00EB00EE">
        <w:rPr>
          <w:rFonts w:asciiTheme="minorHAnsi" w:hAnsiTheme="minorHAnsi"/>
          <w:b/>
          <w:bCs/>
          <w:color w:val="auto"/>
          <w:sz w:val="22"/>
          <w:szCs w:val="22"/>
        </w:rPr>
        <w:t>.</w:t>
      </w:r>
      <w:r w:rsidRPr="00FB6E71">
        <w:rPr>
          <w:rFonts w:asciiTheme="minorHAnsi" w:hAnsiTheme="minorHAnsi"/>
          <w:bCs/>
          <w:color w:val="auto"/>
          <w:sz w:val="22"/>
          <w:szCs w:val="22"/>
        </w:rPr>
        <w:t xml:space="preserve"> The PMC will provide implementation support to the PCUs on a phased basis. This will include intensive support in the first year to build the capacity of the PCUs and then gradually phase out over the lifetime of the project. The PMC shall be expected to provide the PCUs with intensive </w:t>
      </w:r>
      <w:r>
        <w:rPr>
          <w:rFonts w:asciiTheme="minorHAnsi" w:hAnsiTheme="minorHAnsi"/>
          <w:bCs/>
          <w:color w:val="auto"/>
          <w:sz w:val="22"/>
          <w:szCs w:val="22"/>
        </w:rPr>
        <w:t>‘</w:t>
      </w:r>
      <w:r w:rsidRPr="00FB6E71">
        <w:rPr>
          <w:rFonts w:asciiTheme="minorHAnsi" w:hAnsiTheme="minorHAnsi"/>
          <w:bCs/>
          <w:color w:val="auto"/>
          <w:sz w:val="22"/>
          <w:szCs w:val="22"/>
        </w:rPr>
        <w:t>on the job</w:t>
      </w:r>
      <w:r>
        <w:rPr>
          <w:rFonts w:asciiTheme="minorHAnsi" w:hAnsiTheme="minorHAnsi"/>
          <w:bCs/>
          <w:color w:val="auto"/>
          <w:sz w:val="22"/>
          <w:szCs w:val="22"/>
        </w:rPr>
        <w:t>’</w:t>
      </w:r>
      <w:r w:rsidRPr="00FB6E71">
        <w:rPr>
          <w:rFonts w:asciiTheme="minorHAnsi" w:hAnsiTheme="minorHAnsi"/>
          <w:bCs/>
          <w:color w:val="auto"/>
          <w:sz w:val="22"/>
          <w:szCs w:val="22"/>
        </w:rPr>
        <w:t xml:space="preserve"> training during the first phase of the project. The PMC will ensure that the management of all aspects of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implementation, including fiduciary, safeguards</w:t>
      </w:r>
      <w:r>
        <w:rPr>
          <w:rFonts w:asciiTheme="minorHAnsi" w:hAnsiTheme="minorHAnsi"/>
          <w:bCs/>
          <w:color w:val="auto"/>
          <w:sz w:val="22"/>
          <w:szCs w:val="22"/>
        </w:rPr>
        <w:t>,</w:t>
      </w:r>
      <w:r w:rsidRPr="00FB6E71">
        <w:rPr>
          <w:rFonts w:asciiTheme="minorHAnsi" w:hAnsiTheme="minorHAnsi"/>
          <w:bCs/>
          <w:color w:val="auto"/>
          <w:sz w:val="22"/>
          <w:szCs w:val="22"/>
        </w:rPr>
        <w:t xml:space="preserve"> and technical, is done in accordance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guidelines of the World Bank and within procedures of the State Governments. </w:t>
      </w:r>
      <w:r>
        <w:rPr>
          <w:rFonts w:asciiTheme="minorHAnsi" w:hAnsiTheme="minorHAnsi"/>
          <w:bCs/>
          <w:color w:val="auto"/>
          <w:sz w:val="22"/>
          <w:szCs w:val="22"/>
        </w:rPr>
        <w:t>A single</w:t>
      </w:r>
      <w:r w:rsidRPr="00FB6E71">
        <w:rPr>
          <w:rFonts w:asciiTheme="minorHAnsi" w:hAnsiTheme="minorHAnsi"/>
          <w:bCs/>
          <w:color w:val="auto"/>
          <w:sz w:val="22"/>
          <w:szCs w:val="22"/>
        </w:rPr>
        <w:t xml:space="preserve"> PMC supporting the three states could create economies of scale and enhance learning, cooperation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harmonization between the different </w:t>
      </w:r>
      <w:r>
        <w:rPr>
          <w:rFonts w:asciiTheme="minorHAnsi" w:hAnsiTheme="minorHAnsi"/>
          <w:bCs/>
          <w:color w:val="auto"/>
          <w:sz w:val="22"/>
          <w:szCs w:val="22"/>
        </w:rPr>
        <w:t>s</w:t>
      </w:r>
      <w:r w:rsidRPr="00FB6E71">
        <w:rPr>
          <w:rFonts w:asciiTheme="minorHAnsi" w:hAnsiTheme="minorHAnsi"/>
          <w:bCs/>
          <w:color w:val="auto"/>
          <w:sz w:val="22"/>
          <w:szCs w:val="22"/>
        </w:rPr>
        <w:t xml:space="preserve">tates. In addition, the project will link with local partners such as universities and civil society organizations (CSOs) to fully mobilize available resources to improve the implementation capacity of the PCUs and to synergize cooperation from all partners under this project as a whole.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62" w:name="_Toc256000014"/>
            <w:bookmarkStart w:id="63" w:name="_Toc433982421"/>
            <w:bookmarkStart w:id="64" w:name="_Toc460509201"/>
            <w:bookmarkStart w:id="65" w:name="_Toc476558116"/>
            <w:r w:rsidRPr="00FB6E71">
              <w:rPr>
                <w:rFonts w:asciiTheme="minorHAnsi" w:hAnsiTheme="minorHAnsi"/>
                <w:b/>
                <w:bCs/>
                <w:color w:val="172D5F"/>
                <w:sz w:val="22"/>
                <w:szCs w:val="22"/>
              </w:rPr>
              <w:t>B. Results Monitoring and Evaluation</w:t>
            </w:r>
            <w:bookmarkEnd w:id="62"/>
            <w:bookmarkEnd w:id="63"/>
            <w:bookmarkEnd w:id="64"/>
            <w:bookmarkEnd w:id="65"/>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212121"/>
          <w:sz w:val="22"/>
          <w:szCs w:val="22"/>
        </w:rPr>
        <w:t xml:space="preserve">The </w:t>
      </w:r>
      <w:r>
        <w:rPr>
          <w:rFonts w:asciiTheme="minorHAnsi" w:hAnsiTheme="minorHAnsi"/>
          <w:b/>
          <w:bCs/>
          <w:color w:val="212121"/>
          <w:sz w:val="22"/>
          <w:szCs w:val="22"/>
        </w:rPr>
        <w:t>p</w:t>
      </w:r>
      <w:r w:rsidRPr="00FB6E71">
        <w:rPr>
          <w:rFonts w:asciiTheme="minorHAnsi" w:hAnsiTheme="minorHAnsi"/>
          <w:b/>
          <w:bCs/>
          <w:color w:val="212121"/>
          <w:sz w:val="22"/>
          <w:szCs w:val="22"/>
        </w:rPr>
        <w:t>roject will put in place a multitier quality oversight and control and results monitoring mechanism</w:t>
      </w:r>
      <w:r w:rsidRPr="001E5534">
        <w:rPr>
          <w:rFonts w:asciiTheme="minorHAnsi" w:hAnsiTheme="minorHAnsi"/>
          <w:b/>
          <w:bCs/>
          <w:color w:val="212121"/>
          <w:sz w:val="22"/>
          <w:szCs w:val="22"/>
        </w:rPr>
        <w:t xml:space="preserve"> entailing</w:t>
      </w:r>
      <w:r w:rsidRPr="00FB6E71">
        <w:rPr>
          <w:rFonts w:asciiTheme="minorHAnsi" w:hAnsiTheme="minorHAnsi"/>
          <w:bCs/>
          <w:color w:val="212121"/>
          <w:sz w:val="22"/>
          <w:szCs w:val="22"/>
        </w:rPr>
        <w:t xml:space="preserve"> (a) physical quality control and supervision</w:t>
      </w:r>
      <w:r>
        <w:rPr>
          <w:rFonts w:asciiTheme="minorHAnsi" w:hAnsiTheme="minorHAnsi"/>
          <w:bCs/>
          <w:color w:val="212121"/>
          <w:sz w:val="22"/>
          <w:szCs w:val="22"/>
        </w:rPr>
        <w:t>,</w:t>
      </w:r>
      <w:r w:rsidRPr="00FB6E71">
        <w:rPr>
          <w:rFonts w:asciiTheme="minorHAnsi" w:hAnsiTheme="minorHAnsi"/>
          <w:bCs/>
          <w:color w:val="212121"/>
          <w:sz w:val="22"/>
          <w:szCs w:val="22"/>
        </w:rPr>
        <w:t xml:space="preserve"> (b) result</w:t>
      </w:r>
      <w:r>
        <w:rPr>
          <w:rFonts w:asciiTheme="minorHAnsi" w:hAnsiTheme="minorHAnsi"/>
          <w:bCs/>
          <w:color w:val="212121"/>
          <w:sz w:val="22"/>
          <w:szCs w:val="22"/>
        </w:rPr>
        <w:t>s</w:t>
      </w:r>
      <w:r w:rsidRPr="00FB6E71">
        <w:rPr>
          <w:rFonts w:asciiTheme="minorHAnsi" w:hAnsiTheme="minorHAnsi"/>
          <w:bCs/>
          <w:color w:val="212121"/>
          <w:sz w:val="22"/>
          <w:szCs w:val="22"/>
        </w:rPr>
        <w:t xml:space="preserve"> M&amp;E system</w:t>
      </w:r>
      <w:r>
        <w:rPr>
          <w:rFonts w:asciiTheme="minorHAnsi" w:hAnsiTheme="minorHAnsi"/>
          <w:bCs/>
          <w:color w:val="212121"/>
          <w:sz w:val="22"/>
          <w:szCs w:val="22"/>
        </w:rPr>
        <w:t>,</w:t>
      </w:r>
      <w:r w:rsidRPr="00FB6E71">
        <w:rPr>
          <w:rFonts w:asciiTheme="minorHAnsi" w:hAnsiTheme="minorHAnsi"/>
          <w:bCs/>
          <w:color w:val="212121"/>
          <w:sz w:val="22"/>
          <w:szCs w:val="22"/>
        </w:rPr>
        <w:t xml:space="preserve"> (c) social accountability and grievance redress systems, and (d) periodic third</w:t>
      </w:r>
      <w:r>
        <w:rPr>
          <w:rFonts w:asciiTheme="minorHAnsi" w:hAnsiTheme="minorHAnsi"/>
          <w:bCs/>
          <w:color w:val="212121"/>
          <w:sz w:val="22"/>
          <w:szCs w:val="22"/>
        </w:rPr>
        <w:t>-party</w:t>
      </w:r>
      <w:r w:rsidRPr="00FB6E71">
        <w:rPr>
          <w:rFonts w:asciiTheme="minorHAnsi" w:hAnsiTheme="minorHAnsi"/>
          <w:bCs/>
          <w:color w:val="212121"/>
          <w:sz w:val="22"/>
          <w:szCs w:val="22"/>
        </w:rPr>
        <w:t xml:space="preserve"> performance verification and audits by independent parties. This is shown in detail in </w:t>
      </w:r>
      <w:r>
        <w:rPr>
          <w:rFonts w:asciiTheme="minorHAnsi" w:hAnsiTheme="minorHAnsi"/>
          <w:bCs/>
          <w:color w:val="212121"/>
          <w:sz w:val="22"/>
          <w:szCs w:val="22"/>
        </w:rPr>
        <w:fldChar w:fldCharType="begin"/>
      </w:r>
      <w:r>
        <w:rPr>
          <w:rFonts w:asciiTheme="minorHAnsi" w:hAnsiTheme="minorHAnsi"/>
          <w:bCs/>
          <w:color w:val="212121"/>
          <w:sz w:val="22"/>
          <w:szCs w:val="22"/>
        </w:rPr>
        <w:instrText xml:space="preserve"> REF _Ref475626609 \h  \* MERGEFORMAT </w:instrText>
      </w:r>
      <w:r>
        <w:rPr>
          <w:rFonts w:asciiTheme="minorHAnsi" w:hAnsiTheme="minorHAnsi"/>
          <w:bCs/>
          <w:color w:val="212121"/>
          <w:sz w:val="22"/>
          <w:szCs w:val="22"/>
        </w:rPr>
        <w:fldChar w:fldCharType="separate"/>
      </w:r>
      <w:r w:rsidRPr="00544088">
        <w:rPr>
          <w:rFonts w:asciiTheme="minorHAnsi" w:hAnsiTheme="minorHAnsi"/>
          <w:bCs/>
          <w:color w:val="212121"/>
          <w:sz w:val="22"/>
          <w:szCs w:val="22"/>
        </w:rPr>
        <w:t>figure 2.1</w:t>
      </w:r>
      <w:r>
        <w:rPr>
          <w:rFonts w:asciiTheme="minorHAnsi" w:hAnsiTheme="minorHAnsi"/>
          <w:bCs/>
          <w:color w:val="212121"/>
          <w:sz w:val="22"/>
          <w:szCs w:val="22"/>
        </w:rPr>
        <w:fldChar w:fldCharType="end"/>
      </w:r>
      <w:r w:rsidRPr="00FB6E71">
        <w:rPr>
          <w:rFonts w:asciiTheme="minorHAnsi" w:hAnsiTheme="minorHAnsi"/>
          <w:bCs/>
          <w:color w:val="212121"/>
          <w:sz w:val="22"/>
          <w:szCs w:val="22"/>
        </w:rPr>
        <w:t xml:space="preserve"> in </w:t>
      </w:r>
      <w:r>
        <w:rPr>
          <w:rFonts w:asciiTheme="minorHAnsi" w:hAnsiTheme="minorHAnsi"/>
          <w:bCs/>
          <w:color w:val="212121"/>
          <w:sz w:val="22"/>
          <w:szCs w:val="22"/>
        </w:rPr>
        <w:t>a</w:t>
      </w:r>
      <w:r w:rsidRPr="00FB6E71">
        <w:rPr>
          <w:rFonts w:asciiTheme="minorHAnsi" w:hAnsiTheme="minorHAnsi"/>
          <w:bCs/>
          <w:color w:val="212121"/>
          <w:sz w:val="22"/>
          <w:szCs w:val="22"/>
        </w:rPr>
        <w:t>nnex 2, which also proposes the information flow and reporting mechanisms across multiple agencies.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212121"/>
          <w:sz w:val="22"/>
          <w:szCs w:val="22"/>
        </w:rPr>
        <w:t xml:space="preserve">The target values of the indicators listed in the </w:t>
      </w:r>
      <w:r>
        <w:rPr>
          <w:rFonts w:asciiTheme="minorHAnsi" w:hAnsiTheme="minorHAnsi"/>
          <w:b/>
          <w:bCs/>
          <w:color w:val="212121"/>
          <w:sz w:val="22"/>
          <w:szCs w:val="22"/>
        </w:rPr>
        <w:t>R</w:t>
      </w:r>
      <w:r w:rsidRPr="00FB6E71">
        <w:rPr>
          <w:rFonts w:asciiTheme="minorHAnsi" w:hAnsiTheme="minorHAnsi"/>
          <w:b/>
          <w:bCs/>
          <w:color w:val="212121"/>
          <w:sz w:val="22"/>
          <w:szCs w:val="22"/>
        </w:rPr>
        <w:t xml:space="preserve">esults </w:t>
      </w:r>
      <w:r>
        <w:rPr>
          <w:rFonts w:asciiTheme="minorHAnsi" w:hAnsiTheme="minorHAnsi"/>
          <w:b/>
          <w:bCs/>
          <w:color w:val="212121"/>
          <w:sz w:val="22"/>
          <w:szCs w:val="22"/>
        </w:rPr>
        <w:t>F</w:t>
      </w:r>
      <w:r w:rsidRPr="00FB6E71">
        <w:rPr>
          <w:rFonts w:asciiTheme="minorHAnsi" w:hAnsiTheme="minorHAnsi"/>
          <w:b/>
          <w:bCs/>
          <w:color w:val="212121"/>
          <w:sz w:val="22"/>
          <w:szCs w:val="22"/>
        </w:rPr>
        <w:t>ramework were estimated based on preliminary assumptions surrounding the proposed budget allocation among the subsectors included in the proposed project components.</w:t>
      </w:r>
      <w:r w:rsidRPr="00FB6E71">
        <w:rPr>
          <w:rFonts w:asciiTheme="minorHAnsi" w:hAnsiTheme="minorHAnsi"/>
          <w:bCs/>
          <w:color w:val="212121"/>
          <w:sz w:val="22"/>
          <w:szCs w:val="22"/>
        </w:rPr>
        <w:t xml:space="preserve"> These targets may need to be adjusted during project implementation, based on possible variances in actual resource distribution across these subsectors </w:t>
      </w:r>
      <w:r>
        <w:rPr>
          <w:rFonts w:asciiTheme="minorHAnsi" w:hAnsiTheme="minorHAnsi"/>
          <w:bCs/>
          <w:color w:val="212121"/>
          <w:sz w:val="22"/>
          <w:szCs w:val="22"/>
        </w:rPr>
        <w:t>because of</w:t>
      </w:r>
      <w:r w:rsidRPr="00FB6E71">
        <w:rPr>
          <w:rFonts w:asciiTheme="minorHAnsi" w:hAnsiTheme="minorHAnsi"/>
          <w:bCs/>
          <w:color w:val="212121"/>
          <w:sz w:val="22"/>
          <w:szCs w:val="22"/>
        </w:rPr>
        <w:t xml:space="preserve"> the flexibilities requested under the proposed framework approach for this project. Under the framework approach, while priority sectors have been identified for financing under the project, the actual annual resources allocation to the sectors will depend on the results of the planned annual joint prioritization and work programming conducted by the </w:t>
      </w:r>
      <w:r>
        <w:rPr>
          <w:rFonts w:asciiTheme="minorHAnsi" w:hAnsiTheme="minorHAnsi"/>
          <w:bCs/>
          <w:color w:val="212121"/>
          <w:sz w:val="22"/>
          <w:szCs w:val="22"/>
        </w:rPr>
        <w:t>s</w:t>
      </w:r>
      <w:r w:rsidRPr="00FB6E71">
        <w:rPr>
          <w:rFonts w:asciiTheme="minorHAnsi" w:hAnsiTheme="minorHAnsi"/>
          <w:bCs/>
          <w:color w:val="212121"/>
          <w:sz w:val="22"/>
          <w:szCs w:val="22"/>
        </w:rPr>
        <w:t>tates for the World Bank and other development partner projects. In addition, given the complexity of the context and project design, the project’s Midterm Review (MTR) will be undertaken after 18 months of project implementation.</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212121"/>
          <w:sz w:val="22"/>
          <w:szCs w:val="22"/>
        </w:rPr>
        <w:t>Outcome M&amp;E.</w:t>
      </w:r>
      <w:r w:rsidRPr="00FB6E71">
        <w:rPr>
          <w:rFonts w:asciiTheme="minorHAnsi" w:hAnsiTheme="minorHAnsi"/>
          <w:color w:val="212121"/>
          <w:sz w:val="22"/>
          <w:szCs w:val="22"/>
        </w:rPr>
        <w:t xml:space="preserve"> The </w:t>
      </w:r>
      <w:r>
        <w:rPr>
          <w:rFonts w:asciiTheme="minorHAnsi" w:hAnsiTheme="minorHAnsi"/>
          <w:color w:val="212121"/>
          <w:sz w:val="22"/>
          <w:szCs w:val="22"/>
        </w:rPr>
        <w:t>s</w:t>
      </w:r>
      <w:r w:rsidRPr="00FB6E71">
        <w:rPr>
          <w:rFonts w:asciiTheme="minorHAnsi" w:hAnsiTheme="minorHAnsi"/>
          <w:color w:val="212121"/>
          <w:sz w:val="22"/>
          <w:szCs w:val="22"/>
        </w:rPr>
        <w:t xml:space="preserve">tate PCUs will be responsible for operationalizing the state-level Results Frameworks and </w:t>
      </w:r>
      <w:r>
        <w:rPr>
          <w:rFonts w:asciiTheme="minorHAnsi" w:hAnsiTheme="minorHAnsi"/>
          <w:color w:val="212121"/>
          <w:sz w:val="22"/>
          <w:szCs w:val="22"/>
        </w:rPr>
        <w:t>r</w:t>
      </w:r>
      <w:r w:rsidRPr="00FB6E71">
        <w:rPr>
          <w:rFonts w:asciiTheme="minorHAnsi" w:hAnsiTheme="minorHAnsi"/>
          <w:color w:val="212121"/>
          <w:sz w:val="22"/>
          <w:szCs w:val="22"/>
        </w:rPr>
        <w:t xml:space="preserve">esults </w:t>
      </w:r>
      <w:r>
        <w:rPr>
          <w:rFonts w:asciiTheme="minorHAnsi" w:hAnsiTheme="minorHAnsi"/>
          <w:color w:val="212121"/>
          <w:sz w:val="22"/>
          <w:szCs w:val="22"/>
        </w:rPr>
        <w:t>m</w:t>
      </w:r>
      <w:r w:rsidRPr="00FB6E71">
        <w:rPr>
          <w:rFonts w:asciiTheme="minorHAnsi" w:hAnsiTheme="minorHAnsi"/>
          <w:color w:val="212121"/>
          <w:sz w:val="22"/>
          <w:szCs w:val="22"/>
        </w:rPr>
        <w:t xml:space="preserve">onitoring </w:t>
      </w:r>
      <w:r>
        <w:rPr>
          <w:rFonts w:asciiTheme="minorHAnsi" w:hAnsiTheme="minorHAnsi"/>
          <w:color w:val="212121"/>
          <w:sz w:val="22"/>
          <w:szCs w:val="22"/>
        </w:rPr>
        <w:t>s</w:t>
      </w:r>
      <w:r w:rsidRPr="00FB6E71">
        <w:rPr>
          <w:rFonts w:asciiTheme="minorHAnsi" w:hAnsiTheme="minorHAnsi"/>
          <w:color w:val="212121"/>
          <w:sz w:val="22"/>
          <w:szCs w:val="22"/>
        </w:rPr>
        <w:t xml:space="preserve">ystem. The state PCU M&amp;E reports will be centrally consolidated and maintained by </w:t>
      </w:r>
      <w:r>
        <w:rPr>
          <w:rFonts w:asciiTheme="minorHAnsi" w:hAnsiTheme="minorHAnsi"/>
          <w:color w:val="212121"/>
          <w:sz w:val="22"/>
          <w:szCs w:val="22"/>
        </w:rPr>
        <w:t xml:space="preserve">the </w:t>
      </w:r>
      <w:r w:rsidRPr="00FB6E71">
        <w:rPr>
          <w:rFonts w:asciiTheme="minorHAnsi" w:hAnsiTheme="minorHAnsi"/>
          <w:color w:val="212121"/>
          <w:sz w:val="22"/>
          <w:szCs w:val="22"/>
        </w:rPr>
        <w:t xml:space="preserve">PCNI in the form of a project-level results M&amp;E system. </w:t>
      </w:r>
      <w:r>
        <w:rPr>
          <w:rFonts w:asciiTheme="minorHAnsi" w:hAnsiTheme="minorHAnsi"/>
          <w:color w:val="212121"/>
          <w:sz w:val="22"/>
          <w:szCs w:val="22"/>
        </w:rPr>
        <w:t xml:space="preserve">The </w:t>
      </w:r>
      <w:r w:rsidRPr="00FB6E71">
        <w:rPr>
          <w:rFonts w:asciiTheme="minorHAnsi" w:hAnsiTheme="minorHAnsi"/>
          <w:color w:val="212121"/>
          <w:sz w:val="22"/>
          <w:szCs w:val="22"/>
        </w:rPr>
        <w:t xml:space="preserve">PCNI will be responsible for the overall M&amp;E of the </w:t>
      </w:r>
      <w:r>
        <w:rPr>
          <w:rFonts w:asciiTheme="minorHAnsi" w:hAnsiTheme="minorHAnsi"/>
          <w:color w:val="212121"/>
          <w:sz w:val="22"/>
          <w:szCs w:val="22"/>
        </w:rPr>
        <w:t>p</w:t>
      </w:r>
      <w:r w:rsidRPr="00FB6E71">
        <w:rPr>
          <w:rFonts w:asciiTheme="minorHAnsi" w:hAnsiTheme="minorHAnsi"/>
          <w:color w:val="212121"/>
          <w:sz w:val="22"/>
          <w:szCs w:val="22"/>
        </w:rPr>
        <w:t xml:space="preserve">roject by maintaining an </w:t>
      </w:r>
      <w:r>
        <w:rPr>
          <w:rFonts w:asciiTheme="minorHAnsi" w:hAnsiTheme="minorHAnsi"/>
          <w:color w:val="212121"/>
          <w:sz w:val="22"/>
          <w:szCs w:val="22"/>
        </w:rPr>
        <w:t>o</w:t>
      </w:r>
      <w:r w:rsidRPr="00FB6E71">
        <w:rPr>
          <w:rFonts w:asciiTheme="minorHAnsi" w:hAnsiTheme="minorHAnsi"/>
          <w:color w:val="212121"/>
          <w:sz w:val="22"/>
          <w:szCs w:val="22"/>
        </w:rPr>
        <w:t xml:space="preserve">verall </w:t>
      </w:r>
      <w:r>
        <w:rPr>
          <w:rFonts w:asciiTheme="minorHAnsi" w:hAnsiTheme="minorHAnsi"/>
          <w:color w:val="212121"/>
          <w:sz w:val="22"/>
          <w:szCs w:val="22"/>
        </w:rPr>
        <w:t>p</w:t>
      </w:r>
      <w:r w:rsidRPr="00FB6E71">
        <w:rPr>
          <w:rFonts w:asciiTheme="minorHAnsi" w:hAnsiTheme="minorHAnsi"/>
          <w:color w:val="212121"/>
          <w:sz w:val="22"/>
          <w:szCs w:val="22"/>
        </w:rPr>
        <w:t xml:space="preserve">roject-level </w:t>
      </w:r>
      <w:r>
        <w:rPr>
          <w:rFonts w:asciiTheme="minorHAnsi" w:hAnsiTheme="minorHAnsi"/>
          <w:color w:val="212121"/>
          <w:sz w:val="22"/>
          <w:szCs w:val="22"/>
        </w:rPr>
        <w:t>r</w:t>
      </w:r>
      <w:r w:rsidRPr="00FB6E71">
        <w:rPr>
          <w:rFonts w:asciiTheme="minorHAnsi" w:hAnsiTheme="minorHAnsi"/>
          <w:color w:val="212121"/>
          <w:sz w:val="22"/>
          <w:szCs w:val="22"/>
        </w:rPr>
        <w:t xml:space="preserve">esults </w:t>
      </w:r>
      <w:r>
        <w:rPr>
          <w:rFonts w:asciiTheme="minorHAnsi" w:hAnsiTheme="minorHAnsi"/>
          <w:color w:val="212121"/>
          <w:sz w:val="22"/>
          <w:szCs w:val="22"/>
        </w:rPr>
        <w:t>m</w:t>
      </w:r>
      <w:r w:rsidRPr="00FB6E71">
        <w:rPr>
          <w:rFonts w:asciiTheme="minorHAnsi" w:hAnsiTheme="minorHAnsi"/>
          <w:color w:val="212121"/>
          <w:sz w:val="22"/>
          <w:szCs w:val="22"/>
        </w:rPr>
        <w:t xml:space="preserve">onitoring </w:t>
      </w:r>
      <w:r>
        <w:rPr>
          <w:rFonts w:asciiTheme="minorHAnsi" w:hAnsiTheme="minorHAnsi"/>
          <w:color w:val="212121"/>
          <w:sz w:val="22"/>
          <w:szCs w:val="22"/>
        </w:rPr>
        <w:t>s</w:t>
      </w:r>
      <w:r w:rsidRPr="00FB6E71">
        <w:rPr>
          <w:rFonts w:asciiTheme="minorHAnsi" w:hAnsiTheme="minorHAnsi"/>
          <w:color w:val="212121"/>
          <w:sz w:val="22"/>
          <w:szCs w:val="22"/>
        </w:rPr>
        <w:t>ystem to issue quarterly updates on the overall project implementation to all concerned quarters and the project’s constituent agencies at the federal and state levels.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auto"/>
          <w:sz w:val="22"/>
          <w:szCs w:val="22"/>
        </w:rPr>
        <w:t>Implementation support will entail both routine and ad hoc quality checks at various stages of implementation.</w:t>
      </w:r>
      <w:r w:rsidRPr="00FB6E71">
        <w:rPr>
          <w:rFonts w:asciiTheme="minorHAnsi" w:hAnsiTheme="minorHAnsi"/>
          <w:color w:val="auto"/>
          <w:sz w:val="22"/>
          <w:szCs w:val="22"/>
        </w:rPr>
        <w:t xml:space="preserve"> Periodic monitoring will include process reviews, reporting of outputs</w:t>
      </w:r>
      <w:r>
        <w:rPr>
          <w:rFonts w:asciiTheme="minorHAnsi" w:hAnsiTheme="minorHAnsi"/>
          <w:color w:val="auto"/>
          <w:sz w:val="22"/>
          <w:szCs w:val="22"/>
        </w:rPr>
        <w:t>,</w:t>
      </w:r>
      <w:r w:rsidRPr="00FB6E71">
        <w:rPr>
          <w:rFonts w:asciiTheme="minorHAnsi" w:hAnsiTheme="minorHAnsi"/>
          <w:color w:val="auto"/>
          <w:sz w:val="22"/>
          <w:szCs w:val="22"/>
        </w:rPr>
        <w:t xml:space="preserve"> and maintaining </w:t>
      </w:r>
      <w:r>
        <w:rPr>
          <w:rFonts w:asciiTheme="minorHAnsi" w:hAnsiTheme="minorHAnsi"/>
          <w:color w:val="auto"/>
          <w:sz w:val="22"/>
          <w:szCs w:val="22"/>
        </w:rPr>
        <w:t xml:space="preserve">of </w:t>
      </w:r>
      <w:r w:rsidRPr="00FB6E71">
        <w:rPr>
          <w:rFonts w:asciiTheme="minorHAnsi" w:hAnsiTheme="minorHAnsi"/>
          <w:color w:val="auto"/>
          <w:sz w:val="22"/>
          <w:szCs w:val="22"/>
        </w:rPr>
        <w:t xml:space="preserve">updated records. This will include the following: (a) </w:t>
      </w:r>
      <w:r>
        <w:rPr>
          <w:rFonts w:asciiTheme="minorHAnsi" w:hAnsiTheme="minorHAnsi"/>
          <w:color w:val="auto"/>
          <w:sz w:val="22"/>
          <w:szCs w:val="22"/>
        </w:rPr>
        <w:t>s</w:t>
      </w:r>
      <w:r w:rsidRPr="00FB6E71">
        <w:rPr>
          <w:rFonts w:asciiTheme="minorHAnsi" w:hAnsiTheme="minorHAnsi"/>
          <w:color w:val="auto"/>
          <w:sz w:val="22"/>
          <w:szCs w:val="22"/>
        </w:rPr>
        <w:t xml:space="preserve">ocial and </w:t>
      </w:r>
      <w:r>
        <w:rPr>
          <w:rFonts w:asciiTheme="minorHAnsi" w:hAnsiTheme="minorHAnsi"/>
          <w:color w:val="auto"/>
          <w:sz w:val="22"/>
          <w:szCs w:val="22"/>
        </w:rPr>
        <w:t>e</w:t>
      </w:r>
      <w:r w:rsidRPr="00FB6E71">
        <w:rPr>
          <w:rFonts w:asciiTheme="minorHAnsi" w:hAnsiTheme="minorHAnsi"/>
          <w:color w:val="auto"/>
          <w:sz w:val="22"/>
          <w:szCs w:val="22"/>
        </w:rPr>
        <w:t xml:space="preserve">nvironmental </w:t>
      </w:r>
      <w:r>
        <w:rPr>
          <w:rFonts w:asciiTheme="minorHAnsi" w:hAnsiTheme="minorHAnsi"/>
          <w:color w:val="auto"/>
          <w:sz w:val="22"/>
          <w:szCs w:val="22"/>
        </w:rPr>
        <w:t>m</w:t>
      </w:r>
      <w:r w:rsidRPr="00FB6E71">
        <w:rPr>
          <w:rFonts w:asciiTheme="minorHAnsi" w:hAnsiTheme="minorHAnsi"/>
          <w:color w:val="auto"/>
          <w:sz w:val="22"/>
          <w:szCs w:val="22"/>
        </w:rPr>
        <w:t xml:space="preserve">onitoring, (b) </w:t>
      </w:r>
      <w:r>
        <w:rPr>
          <w:rFonts w:asciiTheme="minorHAnsi" w:hAnsiTheme="minorHAnsi"/>
          <w:color w:val="auto"/>
          <w:sz w:val="22"/>
          <w:szCs w:val="22"/>
        </w:rPr>
        <w:t>r</w:t>
      </w:r>
      <w:r w:rsidRPr="00FB6E71">
        <w:rPr>
          <w:rFonts w:asciiTheme="minorHAnsi" w:hAnsiTheme="minorHAnsi"/>
          <w:color w:val="auto"/>
          <w:sz w:val="22"/>
          <w:szCs w:val="22"/>
        </w:rPr>
        <w:t xml:space="preserve">egular </w:t>
      </w:r>
      <w:r>
        <w:rPr>
          <w:rFonts w:asciiTheme="minorHAnsi" w:hAnsiTheme="minorHAnsi"/>
          <w:color w:val="auto"/>
          <w:sz w:val="22"/>
          <w:szCs w:val="22"/>
        </w:rPr>
        <w:t>q</w:t>
      </w:r>
      <w:r w:rsidRPr="00FB6E71">
        <w:rPr>
          <w:rFonts w:asciiTheme="minorHAnsi" w:hAnsiTheme="minorHAnsi"/>
          <w:color w:val="auto"/>
          <w:sz w:val="22"/>
          <w:szCs w:val="22"/>
        </w:rPr>
        <w:t xml:space="preserve">uality </w:t>
      </w:r>
      <w:r>
        <w:rPr>
          <w:rFonts w:asciiTheme="minorHAnsi" w:hAnsiTheme="minorHAnsi"/>
          <w:color w:val="auto"/>
          <w:sz w:val="22"/>
          <w:szCs w:val="22"/>
        </w:rPr>
        <w:t>s</w:t>
      </w:r>
      <w:r w:rsidRPr="00FB6E71">
        <w:rPr>
          <w:rFonts w:asciiTheme="minorHAnsi" w:hAnsiTheme="minorHAnsi"/>
          <w:color w:val="auto"/>
          <w:sz w:val="22"/>
          <w:szCs w:val="22"/>
        </w:rPr>
        <w:t xml:space="preserve">upervision </w:t>
      </w:r>
      <w:r>
        <w:rPr>
          <w:rFonts w:asciiTheme="minorHAnsi" w:hAnsiTheme="minorHAnsi"/>
          <w:color w:val="auto"/>
          <w:sz w:val="22"/>
          <w:szCs w:val="22"/>
        </w:rPr>
        <w:t>and</w:t>
      </w:r>
      <w:r w:rsidRPr="00FB6E71">
        <w:rPr>
          <w:rFonts w:asciiTheme="minorHAnsi" w:hAnsiTheme="minorHAnsi"/>
          <w:color w:val="auto"/>
          <w:sz w:val="22"/>
          <w:szCs w:val="22"/>
        </w:rPr>
        <w:t xml:space="preserve"> </w:t>
      </w:r>
      <w:r>
        <w:rPr>
          <w:rFonts w:asciiTheme="minorHAnsi" w:hAnsiTheme="minorHAnsi"/>
          <w:color w:val="auto"/>
          <w:sz w:val="22"/>
          <w:szCs w:val="22"/>
        </w:rPr>
        <w:t>c</w:t>
      </w:r>
      <w:r w:rsidRPr="00FB6E71">
        <w:rPr>
          <w:rFonts w:asciiTheme="minorHAnsi" w:hAnsiTheme="minorHAnsi"/>
          <w:color w:val="auto"/>
          <w:sz w:val="22"/>
          <w:szCs w:val="22"/>
        </w:rPr>
        <w:t xml:space="preserve">ertification, (c) </w:t>
      </w:r>
      <w:r>
        <w:rPr>
          <w:rFonts w:asciiTheme="minorHAnsi" w:hAnsiTheme="minorHAnsi"/>
          <w:color w:val="auto"/>
          <w:sz w:val="22"/>
          <w:szCs w:val="22"/>
        </w:rPr>
        <w:t>p</w:t>
      </w:r>
      <w:r w:rsidRPr="00FB6E71">
        <w:rPr>
          <w:rFonts w:asciiTheme="minorHAnsi" w:hAnsiTheme="minorHAnsi"/>
          <w:color w:val="auto"/>
          <w:sz w:val="22"/>
          <w:szCs w:val="22"/>
        </w:rPr>
        <w:t xml:space="preserve">eriodic </w:t>
      </w:r>
      <w:r>
        <w:rPr>
          <w:rFonts w:asciiTheme="minorHAnsi" w:hAnsiTheme="minorHAnsi"/>
          <w:color w:val="auto"/>
          <w:sz w:val="22"/>
          <w:szCs w:val="22"/>
        </w:rPr>
        <w:t>p</w:t>
      </w:r>
      <w:r w:rsidRPr="00FB6E71">
        <w:rPr>
          <w:rFonts w:asciiTheme="minorHAnsi" w:hAnsiTheme="minorHAnsi"/>
          <w:color w:val="auto"/>
          <w:sz w:val="22"/>
          <w:szCs w:val="22"/>
        </w:rPr>
        <w:t xml:space="preserve">hysical </w:t>
      </w:r>
      <w:r>
        <w:rPr>
          <w:rFonts w:asciiTheme="minorHAnsi" w:hAnsiTheme="minorHAnsi"/>
          <w:color w:val="auto"/>
          <w:sz w:val="22"/>
          <w:szCs w:val="22"/>
        </w:rPr>
        <w:t>p</w:t>
      </w:r>
      <w:r w:rsidRPr="00FB6E71">
        <w:rPr>
          <w:rFonts w:asciiTheme="minorHAnsi" w:hAnsiTheme="minorHAnsi"/>
          <w:color w:val="auto"/>
          <w:sz w:val="22"/>
          <w:szCs w:val="22"/>
        </w:rPr>
        <w:t xml:space="preserve">rogress and </w:t>
      </w:r>
      <w:r>
        <w:rPr>
          <w:rFonts w:asciiTheme="minorHAnsi" w:hAnsiTheme="minorHAnsi"/>
          <w:color w:val="auto"/>
          <w:sz w:val="22"/>
          <w:szCs w:val="22"/>
        </w:rPr>
        <w:t>p</w:t>
      </w:r>
      <w:r w:rsidRPr="00FB6E71">
        <w:rPr>
          <w:rFonts w:asciiTheme="minorHAnsi" w:hAnsiTheme="minorHAnsi"/>
          <w:color w:val="auto"/>
          <w:sz w:val="22"/>
          <w:szCs w:val="22"/>
        </w:rPr>
        <w:t xml:space="preserve">rocess </w:t>
      </w:r>
      <w:r>
        <w:rPr>
          <w:rFonts w:asciiTheme="minorHAnsi" w:hAnsiTheme="minorHAnsi"/>
          <w:color w:val="auto"/>
          <w:sz w:val="22"/>
          <w:szCs w:val="22"/>
        </w:rPr>
        <w:t>m</w:t>
      </w:r>
      <w:r w:rsidRPr="00FB6E71">
        <w:rPr>
          <w:rFonts w:asciiTheme="minorHAnsi" w:hAnsiTheme="minorHAnsi"/>
          <w:color w:val="auto"/>
          <w:sz w:val="22"/>
          <w:szCs w:val="22"/>
        </w:rPr>
        <w:t xml:space="preserve">onitoring, (d) </w:t>
      </w:r>
      <w:r>
        <w:rPr>
          <w:rFonts w:asciiTheme="minorHAnsi" w:hAnsiTheme="minorHAnsi"/>
          <w:color w:val="auto"/>
          <w:sz w:val="22"/>
          <w:szCs w:val="22"/>
        </w:rPr>
        <w:t>t</w:t>
      </w:r>
      <w:r w:rsidRPr="00FB6E71">
        <w:rPr>
          <w:rFonts w:asciiTheme="minorHAnsi" w:hAnsiTheme="minorHAnsi"/>
          <w:color w:val="auto"/>
          <w:sz w:val="22"/>
          <w:szCs w:val="22"/>
        </w:rPr>
        <w:t xml:space="preserve">hird-party </w:t>
      </w:r>
      <w:r>
        <w:rPr>
          <w:rFonts w:asciiTheme="minorHAnsi" w:hAnsiTheme="minorHAnsi"/>
          <w:color w:val="auto"/>
          <w:sz w:val="22"/>
          <w:szCs w:val="22"/>
        </w:rPr>
        <w:t>m</w:t>
      </w:r>
      <w:r w:rsidRPr="00FB6E71">
        <w:rPr>
          <w:rFonts w:asciiTheme="minorHAnsi" w:hAnsiTheme="minorHAnsi"/>
          <w:color w:val="auto"/>
          <w:sz w:val="22"/>
          <w:szCs w:val="22"/>
        </w:rPr>
        <w:t xml:space="preserve">onitoring, and (e) </w:t>
      </w:r>
      <w:r>
        <w:rPr>
          <w:rFonts w:asciiTheme="minorHAnsi" w:hAnsiTheme="minorHAnsi"/>
          <w:color w:val="auto"/>
          <w:sz w:val="22"/>
          <w:szCs w:val="22"/>
        </w:rPr>
        <w:t>r</w:t>
      </w:r>
      <w:r w:rsidRPr="00FB6E71">
        <w:rPr>
          <w:rFonts w:asciiTheme="minorHAnsi" w:hAnsiTheme="minorHAnsi"/>
          <w:color w:val="auto"/>
          <w:sz w:val="22"/>
          <w:szCs w:val="22"/>
        </w:rPr>
        <w:t xml:space="preserve">esults M&amp;E. Third-party independent performance verification will be conducted on an annual basis to complement the above internal quality oversight mechanisms, particularly in remote locations that are difficult to reach, in addition to the World Bank’s routine implementation support, with clear guidelines for the contracting and conduct of such activities to ensure the independence of such assessments.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Social </w:t>
      </w:r>
      <w:r>
        <w:rPr>
          <w:rFonts w:asciiTheme="minorHAnsi" w:hAnsiTheme="minorHAnsi"/>
          <w:b/>
          <w:bCs/>
          <w:color w:val="auto"/>
          <w:sz w:val="22"/>
          <w:szCs w:val="22"/>
        </w:rPr>
        <w:t>a</w:t>
      </w:r>
      <w:r w:rsidRPr="00FB6E71">
        <w:rPr>
          <w:rFonts w:asciiTheme="minorHAnsi" w:hAnsiTheme="minorHAnsi"/>
          <w:b/>
          <w:bCs/>
          <w:color w:val="auto"/>
          <w:sz w:val="22"/>
          <w:szCs w:val="22"/>
        </w:rPr>
        <w:t xml:space="preserve">ccountability and </w:t>
      </w:r>
      <w:r>
        <w:rPr>
          <w:rFonts w:asciiTheme="minorHAnsi" w:hAnsiTheme="minorHAnsi"/>
          <w:b/>
          <w:bCs/>
          <w:color w:val="auto"/>
          <w:sz w:val="22"/>
          <w:szCs w:val="22"/>
        </w:rPr>
        <w:t>c</w:t>
      </w:r>
      <w:r w:rsidRPr="00FB6E71">
        <w:rPr>
          <w:rFonts w:asciiTheme="minorHAnsi" w:hAnsiTheme="minorHAnsi"/>
          <w:b/>
          <w:bCs/>
          <w:color w:val="auto"/>
          <w:sz w:val="22"/>
          <w:szCs w:val="22"/>
        </w:rPr>
        <w:t xml:space="preserve">ommunity </w:t>
      </w:r>
      <w:r>
        <w:rPr>
          <w:rFonts w:asciiTheme="minorHAnsi" w:hAnsiTheme="minorHAnsi"/>
          <w:b/>
          <w:bCs/>
          <w:color w:val="auto"/>
          <w:sz w:val="22"/>
          <w:szCs w:val="22"/>
        </w:rPr>
        <w:t>e</w:t>
      </w:r>
      <w:r w:rsidRPr="00FB6E71">
        <w:rPr>
          <w:rFonts w:asciiTheme="minorHAnsi" w:hAnsiTheme="minorHAnsi"/>
          <w:b/>
          <w:bCs/>
          <w:color w:val="auto"/>
          <w:sz w:val="22"/>
          <w:szCs w:val="22"/>
        </w:rPr>
        <w:t xml:space="preserve">ngagement mechanisms will be enhanced through project initiatives. </w:t>
      </w:r>
      <w:r w:rsidRPr="00FB6E71">
        <w:rPr>
          <w:rFonts w:asciiTheme="minorHAnsi" w:hAnsiTheme="minorHAnsi"/>
          <w:bCs/>
          <w:color w:val="auto"/>
          <w:sz w:val="22"/>
          <w:szCs w:val="22"/>
        </w:rPr>
        <w:t>First, Component 1 of the project includes a foundational principle of citizen involvement in the investment decisions. This will be done through the financing of community-based approaches that will focus on engaging those affected by the conflict (forcibly displaced population and host communities) and local government authorities (LGAs). Second, the project will focus on strengthening local governance through the reconstruction and repair of buildings where local authorities operate and the improvement of participatory mechanisms for recovery planning. Third, citizen feedback mechanisms will be put in place to gather the feedback of beneficiaries in communities benefiting from investments in infrastructure and service delivery (Component 2 of the project). Feedback tools will include conflict-sensitive indicators to provide early warning of potentially negative impacts of interventions, which may necessitate further mitigation strategies and adaptation. Community involvement could be enhanced by including community-based mapping of results, for example, using simple cell phone based applications. This requires the active mobilization of the communities in NE Nigeria, presence in the field</w:t>
      </w:r>
      <w:r>
        <w:rPr>
          <w:rFonts w:asciiTheme="minorHAnsi" w:hAnsiTheme="minorHAnsi"/>
          <w:bCs/>
          <w:color w:val="auto"/>
          <w:sz w:val="22"/>
          <w:szCs w:val="22"/>
        </w:rPr>
        <w:t>,</w:t>
      </w:r>
      <w:r w:rsidRPr="00FB6E71">
        <w:rPr>
          <w:rFonts w:asciiTheme="minorHAnsi" w:hAnsiTheme="minorHAnsi"/>
          <w:bCs/>
          <w:color w:val="auto"/>
          <w:sz w:val="22"/>
          <w:szCs w:val="22"/>
        </w:rPr>
        <w:t xml:space="preserve"> and communication in local language. A dedicated M&amp;E team that works closely with the communities will therefore be required.</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08"/>
        </w:trPr>
        <w:tc>
          <w:tcPr>
            <w:tcW w:w="10710" w:type="dxa"/>
          </w:tcPr>
          <w:p w:rsidR="007F2DE7" w:rsidRPr="00FB6E71" w:rsidP="007F2DE7">
            <w:pPr>
              <w:pStyle w:val="Heading2"/>
              <w:widowControl/>
              <w:outlineLvl w:val="1"/>
              <w:rPr>
                <w:rFonts w:asciiTheme="minorHAnsi" w:hAnsiTheme="minorHAnsi"/>
                <w:sz w:val="22"/>
                <w:szCs w:val="22"/>
              </w:rPr>
            </w:pPr>
            <w:bookmarkStart w:id="66" w:name="_Toc256000015"/>
            <w:bookmarkStart w:id="67" w:name="_Toc433982422"/>
            <w:bookmarkStart w:id="68" w:name="_Toc460509202"/>
            <w:bookmarkStart w:id="69" w:name="_Toc476558117"/>
            <w:r w:rsidRPr="00FB6E71">
              <w:rPr>
                <w:rFonts w:asciiTheme="minorHAnsi" w:hAnsiTheme="minorHAnsi"/>
                <w:b/>
                <w:bCs/>
                <w:color w:val="172D5F"/>
                <w:sz w:val="22"/>
                <w:szCs w:val="22"/>
              </w:rPr>
              <w:t>C. Sustainability</w:t>
            </w:r>
            <w:bookmarkEnd w:id="66"/>
            <w:bookmarkEnd w:id="67"/>
            <w:bookmarkEnd w:id="68"/>
            <w:bookmarkEnd w:id="69"/>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The MCRP seeks to achieve sustainability by adhering to the following principles in the design and implementation of the project:</w:t>
      </w:r>
    </w:p>
    <w:p w:rsidR="007F2DE7" w:rsidRPr="00FB6E71" w:rsidP="00302E0C">
      <w:pPr>
        <w:pStyle w:val="ListParagraph"/>
        <w:widowControl/>
        <w:numPr>
          <w:ilvl w:val="0"/>
          <w:numId w:val="19"/>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Multi-sector, multi-partner, programmatic approach</w:t>
      </w:r>
      <w:r>
        <w:rPr>
          <w:rFonts w:asciiTheme="minorHAnsi" w:hAnsiTheme="minorHAnsi"/>
          <w:b/>
          <w:bCs/>
          <w:color w:val="auto"/>
          <w:sz w:val="22"/>
          <w:szCs w:val="22"/>
        </w:rPr>
        <w:t>.</w:t>
      </w:r>
      <w:r w:rsidRPr="00FB6E71">
        <w:rPr>
          <w:rFonts w:asciiTheme="minorHAnsi" w:hAnsiTheme="minorHAnsi"/>
          <w:bCs/>
          <w:color w:val="auto"/>
          <w:sz w:val="22"/>
          <w:szCs w:val="22"/>
        </w:rPr>
        <w:t xml:space="preserve"> Sustainable response to crisis recovery requires not only the reconstruction, rehabilitation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restoration of physical, productive</w:t>
      </w:r>
      <w:r>
        <w:rPr>
          <w:rFonts w:asciiTheme="minorHAnsi" w:hAnsiTheme="minorHAnsi"/>
          <w:bCs/>
          <w:color w:val="auto"/>
          <w:sz w:val="22"/>
          <w:szCs w:val="22"/>
        </w:rPr>
        <w:t>,</w:t>
      </w:r>
      <w:r w:rsidRPr="00FB6E71">
        <w:rPr>
          <w:rFonts w:asciiTheme="minorHAnsi" w:hAnsiTheme="minorHAnsi"/>
          <w:bCs/>
          <w:color w:val="auto"/>
          <w:sz w:val="22"/>
          <w:szCs w:val="22"/>
        </w:rPr>
        <w:t xml:space="preserve"> and human assets to improved standards but also the rebuilding of the social fabric at the local level to address root causes of conflicts and generate inclusive benefits for the broader population. </w:t>
      </w:r>
    </w:p>
    <w:p w:rsidR="007F2DE7" w:rsidRPr="00FB6E71" w:rsidP="00302E0C">
      <w:pPr>
        <w:pStyle w:val="ListParagraph"/>
        <w:widowControl/>
        <w:numPr>
          <w:ilvl w:val="0"/>
          <w:numId w:val="19"/>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Area-based, phased approach</w:t>
      </w:r>
      <w:r>
        <w:rPr>
          <w:rFonts w:asciiTheme="minorHAnsi" w:hAnsiTheme="minorHAnsi"/>
          <w:b/>
          <w:bCs/>
          <w:color w:val="auto"/>
          <w:sz w:val="22"/>
          <w:szCs w:val="22"/>
        </w:rPr>
        <w:t>.</w:t>
      </w:r>
      <w:r w:rsidRPr="00FB6E71">
        <w:rPr>
          <w:rFonts w:asciiTheme="minorHAnsi" w:hAnsiTheme="minorHAnsi"/>
          <w:bCs/>
          <w:color w:val="auto"/>
          <w:sz w:val="22"/>
          <w:szCs w:val="22"/>
        </w:rPr>
        <w:t xml:space="preserve"> As the project matures, a gradual shift will be effected toward a more area-based recovery planning approach, including through bottom-up and participatory community-level engagement processes and civil society involvement, to create and sustain ownership of the interventions carried out and the impacts generated under the project.</w:t>
      </w:r>
    </w:p>
    <w:p w:rsidR="007F2DE7" w:rsidRPr="00FB6E71" w:rsidP="00302E0C">
      <w:pPr>
        <w:pStyle w:val="ListParagraph"/>
        <w:widowControl/>
        <w:numPr>
          <w:ilvl w:val="0"/>
          <w:numId w:val="19"/>
        </w:numPr>
        <w:spacing w:after="240"/>
        <w:ind w:left="1195" w:hanging="475"/>
        <w:contextualSpacing w:val="0"/>
        <w:jc w:val="both"/>
        <w:rPr>
          <w:rFonts w:asciiTheme="minorHAnsi" w:hAnsiTheme="minorHAnsi"/>
          <w:b/>
          <w:bCs/>
          <w:color w:val="auto"/>
          <w:sz w:val="22"/>
          <w:szCs w:val="22"/>
        </w:rPr>
      </w:pPr>
      <w:r w:rsidRPr="00FB6E71">
        <w:rPr>
          <w:rFonts w:asciiTheme="minorHAnsi" w:hAnsiTheme="minorHAnsi"/>
          <w:b/>
          <w:bCs/>
          <w:color w:val="auto"/>
          <w:sz w:val="22"/>
          <w:szCs w:val="22"/>
        </w:rPr>
        <w:t>Build back better</w:t>
      </w:r>
      <w:r>
        <w:rPr>
          <w:rFonts w:asciiTheme="minorHAnsi" w:hAnsiTheme="minorHAnsi"/>
          <w:b/>
          <w:bCs/>
          <w:color w:val="auto"/>
          <w:sz w:val="22"/>
          <w:szCs w:val="22"/>
        </w:rPr>
        <w:t>.</w:t>
      </w:r>
      <w:r w:rsidRPr="00FB6E71">
        <w:rPr>
          <w:rFonts w:asciiTheme="minorHAnsi" w:hAnsiTheme="minorHAnsi"/>
          <w:bCs/>
          <w:color w:val="auto"/>
          <w:sz w:val="22"/>
          <w:szCs w:val="22"/>
        </w:rPr>
        <w:t xml:space="preserve"> All assets and services will be designed to improved, build-back-better standards. This could entail elements such as right-sizing, right-siting, structural improvements, improved quality control and service delivery regulation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strengthened operation and maintenance standards</w:t>
      </w:r>
      <w:r w:rsidRPr="00FB6E71">
        <w:rPr>
          <w:rFonts w:asciiTheme="minorHAnsi" w:hAnsiTheme="minorHAnsi"/>
          <w:b/>
          <w:bCs/>
          <w:color w:val="auto"/>
          <w:sz w:val="22"/>
          <w:szCs w:val="22"/>
        </w:rPr>
        <w:t>.</w:t>
      </w:r>
      <w:r w:rsidRPr="00FB6E71">
        <w:rPr>
          <w:rFonts w:asciiTheme="minorHAnsi" w:hAnsiTheme="minorHAnsi"/>
          <w:bCs/>
          <w:color w:val="auto"/>
          <w:sz w:val="22"/>
          <w:szCs w:val="22"/>
        </w:rPr>
        <w:t xml:space="preserve"> </w:t>
      </w:r>
    </w:p>
    <w:p w:rsidR="007F2DE7" w:rsidRPr="00FB6E71" w:rsidP="00302E0C">
      <w:pPr>
        <w:pStyle w:val="ListParagraph"/>
        <w:widowControl/>
        <w:numPr>
          <w:ilvl w:val="0"/>
          <w:numId w:val="19"/>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Capacity building</w:t>
      </w:r>
      <w:r>
        <w:rPr>
          <w:rFonts w:asciiTheme="minorHAnsi" w:hAnsiTheme="minorHAnsi"/>
          <w:b/>
          <w:bCs/>
          <w:color w:val="auto"/>
          <w:sz w:val="22"/>
          <w:szCs w:val="22"/>
        </w:rPr>
        <w:t>.</w:t>
      </w:r>
      <w:r w:rsidRPr="00FB6E71">
        <w:rPr>
          <w:rFonts w:asciiTheme="minorHAnsi" w:hAnsiTheme="minorHAnsi"/>
          <w:bCs/>
          <w:color w:val="auto"/>
          <w:sz w:val="22"/>
          <w:szCs w:val="22"/>
        </w:rPr>
        <w:t xml:space="preserve"> Given the considerable capacity limitations after years of conflict, substantial support will be provided under the project to strengthen the capacity of the states. Hence</w:t>
      </w:r>
      <w:r>
        <w:rPr>
          <w:rFonts w:asciiTheme="minorHAnsi" w:hAnsiTheme="minorHAnsi"/>
          <w:bCs/>
          <w:color w:val="auto"/>
          <w:sz w:val="22"/>
          <w:szCs w:val="22"/>
        </w:rPr>
        <w:t>,</w:t>
      </w:r>
      <w:r w:rsidRPr="00FB6E71">
        <w:rPr>
          <w:rFonts w:asciiTheme="minorHAnsi" w:hAnsiTheme="minorHAnsi"/>
          <w:bCs/>
          <w:color w:val="auto"/>
          <w:sz w:val="22"/>
          <w:szCs w:val="22"/>
        </w:rPr>
        <w:t xml:space="preserve"> the project will make adequate resource allocation for project management, capacity and skills enhancement, and TA, along with partners such as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AfDB and IsDB.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08"/>
        </w:trPr>
        <w:tc>
          <w:tcPr>
            <w:tcW w:w="10710" w:type="dxa"/>
          </w:tcPr>
          <w:p w:rsidR="007F2DE7" w:rsidRPr="00FB6E71" w:rsidP="007F2DE7">
            <w:pPr>
              <w:pStyle w:val="Heading2"/>
              <w:widowControl/>
              <w:outlineLvl w:val="1"/>
              <w:rPr>
                <w:rFonts w:asciiTheme="minorHAnsi" w:hAnsiTheme="minorHAnsi"/>
                <w:sz w:val="22"/>
                <w:szCs w:val="22"/>
              </w:rPr>
            </w:pPr>
            <w:bookmarkStart w:id="70" w:name="_Toc256000016"/>
            <w:bookmarkStart w:id="71" w:name="_Toc460509203"/>
            <w:bookmarkStart w:id="72" w:name="_Toc476558118"/>
            <w:r w:rsidRPr="00FB6E71">
              <w:rPr>
                <w:rFonts w:asciiTheme="minorHAnsi" w:hAnsiTheme="minorHAnsi"/>
                <w:b/>
                <w:bCs/>
                <w:color w:val="172D5F"/>
                <w:sz w:val="22"/>
                <w:szCs w:val="22"/>
              </w:rPr>
              <w:t>D. Role of Partners</w:t>
            </w:r>
            <w:bookmarkEnd w:id="70"/>
            <w:bookmarkEnd w:id="71"/>
            <w:bookmarkEnd w:id="72"/>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Given the overwhelming and urgent needs in the NE and the dozens of government and development partners engaged in meeting those needs, the </w:t>
      </w:r>
      <w:r>
        <w:rPr>
          <w:rFonts w:asciiTheme="minorHAnsi" w:hAnsiTheme="minorHAnsi"/>
          <w:b/>
          <w:bCs/>
          <w:color w:val="auto"/>
          <w:sz w:val="22"/>
          <w:szCs w:val="22"/>
        </w:rPr>
        <w:t>p</w:t>
      </w:r>
      <w:r w:rsidRPr="00FB6E71">
        <w:rPr>
          <w:rFonts w:asciiTheme="minorHAnsi" w:hAnsiTheme="minorHAnsi"/>
          <w:b/>
          <w:bCs/>
          <w:color w:val="auto"/>
          <w:sz w:val="22"/>
          <w:szCs w:val="22"/>
        </w:rPr>
        <w:t>roject team has put a premium on coordination.</w:t>
      </w:r>
      <w:r w:rsidRPr="00FB6E71">
        <w:rPr>
          <w:rFonts w:asciiTheme="minorHAnsi" w:hAnsiTheme="minorHAnsi"/>
          <w:bCs/>
          <w:color w:val="auto"/>
          <w:sz w:val="22"/>
          <w:szCs w:val="22"/>
        </w:rPr>
        <w:t xml:space="preserve"> On the government side, these include the PCNI, FMBNP, FMoF, Office of the Secretary to the Government, Office of the Vice President, National Emergency Management Agency (NEMA)</w:t>
      </w:r>
      <w:r>
        <w:rPr>
          <w:rFonts w:asciiTheme="minorHAnsi" w:hAnsiTheme="minorHAnsi"/>
          <w:bCs/>
          <w:color w:val="auto"/>
          <w:sz w:val="22"/>
          <w:szCs w:val="22"/>
        </w:rPr>
        <w:t>,</w:t>
      </w:r>
      <w:r w:rsidRPr="00FB6E71">
        <w:rPr>
          <w:rFonts w:asciiTheme="minorHAnsi" w:hAnsiTheme="minorHAnsi"/>
          <w:bCs/>
          <w:color w:val="auto"/>
          <w:sz w:val="22"/>
          <w:szCs w:val="22"/>
        </w:rPr>
        <w:t xml:space="preserve"> and the representatives of the state governments of BAY. From development partners, these include the EU, the UN, DFID, the United States Agency for International Development (USAID), the German Agency for International Cooperation (GIZ), the IsDB, and the AfDB. The World Bank convened these partners at a workshop in Abuja on August 17</w:t>
      </w:r>
      <w:r>
        <w:rPr>
          <w:rFonts w:asciiTheme="minorHAnsi" w:hAnsiTheme="minorHAnsi"/>
          <w:bCs/>
          <w:color w:val="auto"/>
          <w:sz w:val="22"/>
          <w:szCs w:val="22"/>
        </w:rPr>
        <w:t>, 2016,</w:t>
      </w:r>
      <w:r w:rsidRPr="00FB6E71">
        <w:rPr>
          <w:rFonts w:asciiTheme="minorHAnsi" w:hAnsiTheme="minorHAnsi"/>
          <w:bCs/>
          <w:color w:val="auto"/>
          <w:sz w:val="22"/>
          <w:szCs w:val="22"/>
        </w:rPr>
        <w:t xml:space="preserve"> to support the Government in the implementation of the recovery and stabilization program for the NE proposed by the RPBA and Buhari Plan.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A number of development partners are supporting immediate humanitarian interventions </w:t>
      </w:r>
      <w:r>
        <w:rPr>
          <w:rFonts w:asciiTheme="minorHAnsi" w:hAnsiTheme="minorHAnsi"/>
          <w:b/>
          <w:bCs/>
          <w:color w:val="auto"/>
          <w:sz w:val="22"/>
          <w:szCs w:val="22"/>
        </w:rPr>
        <w:t>and are</w:t>
      </w:r>
      <w:r w:rsidRPr="00FB6E71">
        <w:rPr>
          <w:rFonts w:asciiTheme="minorHAnsi" w:hAnsiTheme="minorHAnsi"/>
          <w:b/>
          <w:bCs/>
          <w:color w:val="auto"/>
          <w:sz w:val="22"/>
          <w:szCs w:val="22"/>
        </w:rPr>
        <w:t xml:space="preserve"> planning to provide assistance for stabilization and medium-term recovery. </w:t>
      </w:r>
      <w:r w:rsidRPr="00FB6E71">
        <w:rPr>
          <w:rFonts w:asciiTheme="minorHAnsi" w:hAnsiTheme="minorHAnsi"/>
          <w:bCs/>
          <w:color w:val="auto"/>
          <w:sz w:val="22"/>
          <w:szCs w:val="22"/>
        </w:rPr>
        <w:t xml:space="preserve">In addition to humanitarian responses and joint efforts on physical recovery, interventions that address critical social cohesion and service delivery needs of all affected population (including both IDP and host community members) are key in preventing conflict relapse in areas recently secured, as well as </w:t>
      </w:r>
      <w:r>
        <w:rPr>
          <w:rFonts w:asciiTheme="minorHAnsi" w:hAnsiTheme="minorHAnsi"/>
          <w:bCs/>
          <w:color w:val="auto"/>
          <w:sz w:val="22"/>
          <w:szCs w:val="22"/>
        </w:rPr>
        <w:t xml:space="preserve">in </w:t>
      </w:r>
      <w:r w:rsidRPr="00FB6E71">
        <w:rPr>
          <w:rFonts w:asciiTheme="minorHAnsi" w:hAnsiTheme="minorHAnsi"/>
          <w:bCs/>
          <w:color w:val="auto"/>
          <w:sz w:val="22"/>
          <w:szCs w:val="22"/>
        </w:rPr>
        <w:t>tackling root causes of conflicts in a sustainable manner. Currently, over 62 partners are providing urgent multi-sectoral humanitarian assistance to conflict-affected people in BAY. The UN has developed a US$248 million Humanitarian Response Plan for the NE supported by key bilateral donors, multilateral agencies</w:t>
      </w:r>
      <w:r>
        <w:rPr>
          <w:rFonts w:asciiTheme="minorHAnsi" w:hAnsiTheme="minorHAnsi"/>
          <w:bCs/>
          <w:color w:val="auto"/>
          <w:sz w:val="22"/>
          <w:szCs w:val="22"/>
        </w:rPr>
        <w:t>,</w:t>
      </w:r>
      <w:r w:rsidRPr="00FB6E71">
        <w:rPr>
          <w:rFonts w:asciiTheme="minorHAnsi" w:hAnsiTheme="minorHAnsi"/>
          <w:bCs/>
          <w:color w:val="auto"/>
          <w:sz w:val="22"/>
          <w:szCs w:val="22"/>
        </w:rPr>
        <w:t xml:space="preserve"> and the Red Cross. Multilateral Development Banks (MDBs) such as the AfDB and IsDB are also preparing to support medium-term recovery and reconstruction in collaboration with the World Bank and other partners.</w:t>
      </w:r>
      <w:r w:rsidRPr="00FB6E71">
        <w:rPr>
          <w:rFonts w:asciiTheme="minorHAnsi" w:hAnsiTheme="minorHAnsi"/>
          <w:b/>
          <w:bCs/>
          <w:color w:val="auto"/>
          <w:sz w:val="22"/>
          <w:szCs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Project implementation will also follow an inclusive and consultative process with key development partners through existing donor coordination mechanisms and new coordination mechanisms as necessary.</w:t>
      </w:r>
      <w:r w:rsidRPr="00FB6E71">
        <w:rPr>
          <w:rFonts w:asciiTheme="minorHAnsi" w:hAnsiTheme="minorHAnsi"/>
          <w:bCs/>
          <w:color w:val="auto"/>
          <w:sz w:val="22"/>
          <w:szCs w:val="22"/>
        </w:rPr>
        <w:t xml:space="preserve"> This will help ensure close strategic harmonization and operational coordination across the interrelated interventions under various development partner programs under</w:t>
      </w:r>
      <w:r>
        <w:rPr>
          <w:rFonts w:asciiTheme="minorHAnsi" w:hAnsiTheme="minorHAnsi"/>
          <w:bCs/>
          <w:color w:val="auto"/>
          <w:sz w:val="22"/>
          <w:szCs w:val="22"/>
        </w:rPr>
        <w:t xml:space="preserve"> </w:t>
      </w:r>
      <w:r w:rsidRPr="00FB6E71">
        <w:rPr>
          <w:rFonts w:asciiTheme="minorHAnsi" w:hAnsiTheme="minorHAnsi"/>
          <w:bCs/>
          <w:color w:val="auto"/>
          <w:sz w:val="22"/>
          <w:szCs w:val="22"/>
        </w:rPr>
        <w:t xml:space="preserve">way or in the planning stages to contribute toward the broader crisis recovery program.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team will also continue to leverage and promote the recovery and peace building strategy agreed under </w:t>
      </w:r>
      <w:r w:rsidRPr="00FB6E71">
        <w:rPr>
          <w:rFonts w:ascii="Calibri" w:eastAsia="Times New Roman" w:hAnsi="Calibri" w:cs="Times New Roman"/>
          <w:color w:val="auto"/>
          <w:sz w:val="22"/>
          <w:szCs w:val="22"/>
        </w:rPr>
        <w:t>the RPBA to influence the crisis recovery planning and implementation of various development partners.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Alignment with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MDBs</w:t>
      </w:r>
      <w:r w:rsidRPr="00363FCB">
        <w:rPr>
          <w:rFonts w:asciiTheme="minorHAnsi" w:hAnsiTheme="minorHAnsi"/>
          <w:b/>
          <w:bCs/>
          <w:color w:val="auto"/>
          <w:sz w:val="22"/>
          <w:szCs w:val="22"/>
        </w:rPr>
        <w:t>.</w:t>
      </w:r>
      <w:r w:rsidRPr="00FB6E71">
        <w:rPr>
          <w:rFonts w:asciiTheme="minorHAnsi" w:hAnsiTheme="minorHAnsi"/>
          <w:bCs/>
          <w:color w:val="auto"/>
          <w:sz w:val="22"/>
          <w:szCs w:val="22"/>
        </w:rPr>
        <w:t xml:space="preserve">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team has discussed and agreed on the key elements of a common programmatic approach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IsDB and AfDB, which are also developing similar infrastructure-focused recovery projects for the NE using the RPBA findings as a basis for project design. It has been agreed that the three states will work closely with the three MDBs to ensure that their respective projects are not designed and implemented as three separate interventions but as independent yet synchronized parts of a common programmatic framework. The AfDB has noted that its US$250 million project on </w:t>
      </w:r>
      <w:r>
        <w:rPr>
          <w:rFonts w:asciiTheme="minorHAnsi" w:hAnsiTheme="minorHAnsi"/>
          <w:bCs/>
          <w:color w:val="auto"/>
          <w:sz w:val="22"/>
          <w:szCs w:val="22"/>
        </w:rPr>
        <w:t>‘</w:t>
      </w:r>
      <w:r w:rsidRPr="00FB6E71">
        <w:rPr>
          <w:rFonts w:asciiTheme="minorHAnsi" w:hAnsiTheme="minorHAnsi"/>
          <w:bCs/>
          <w:color w:val="auto"/>
          <w:sz w:val="22"/>
          <w:szCs w:val="22"/>
        </w:rPr>
        <w:t>Inclusive Basic Social Service Delivery and Livelihood Improvement</w:t>
      </w:r>
      <w:r>
        <w:rPr>
          <w:rFonts w:asciiTheme="minorHAnsi" w:hAnsiTheme="minorHAnsi"/>
          <w:bCs/>
          <w:color w:val="auto"/>
          <w:sz w:val="22"/>
          <w:szCs w:val="22"/>
        </w:rPr>
        <w:t>’</w:t>
      </w:r>
      <w:r w:rsidRPr="00FB6E71">
        <w:rPr>
          <w:rFonts w:asciiTheme="minorHAnsi" w:hAnsiTheme="minorHAnsi"/>
          <w:bCs/>
          <w:color w:val="auto"/>
          <w:sz w:val="22"/>
          <w:szCs w:val="22"/>
        </w:rPr>
        <w:t xml:space="preserve"> has been realigned to the RPBA findings. The IsDB has noted that it is developing an investment package for the NE and has agreed to align with the joint programmatic approach.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It was agreed that common implementation modalities and institutional arrangements w</w:t>
      </w:r>
      <w:r>
        <w:rPr>
          <w:rFonts w:asciiTheme="minorHAnsi" w:hAnsiTheme="minorHAnsi"/>
          <w:b/>
          <w:bCs/>
          <w:color w:val="auto"/>
          <w:sz w:val="22"/>
          <w:szCs w:val="22"/>
        </w:rPr>
        <w:t>ill</w:t>
      </w:r>
      <w:r w:rsidRPr="00FB6E71">
        <w:rPr>
          <w:rFonts w:asciiTheme="minorHAnsi" w:hAnsiTheme="minorHAnsi"/>
          <w:b/>
          <w:bCs/>
          <w:color w:val="auto"/>
          <w:sz w:val="22"/>
          <w:szCs w:val="22"/>
        </w:rPr>
        <w:t xml:space="preserve"> achieve economies of scale and empower the </w:t>
      </w:r>
      <w:r>
        <w:rPr>
          <w:rFonts w:asciiTheme="minorHAnsi" w:hAnsiTheme="minorHAnsi"/>
          <w:b/>
          <w:bCs/>
          <w:color w:val="auto"/>
          <w:sz w:val="22"/>
          <w:szCs w:val="22"/>
        </w:rPr>
        <w:t>s</w:t>
      </w:r>
      <w:r w:rsidRPr="00FB6E71">
        <w:rPr>
          <w:rFonts w:asciiTheme="minorHAnsi" w:hAnsiTheme="minorHAnsi"/>
          <w:b/>
          <w:bCs/>
          <w:color w:val="auto"/>
          <w:sz w:val="22"/>
          <w:szCs w:val="22"/>
        </w:rPr>
        <w:t>tates to coordinate a sizeable MDB investment program for the NE.</w:t>
      </w:r>
      <w:r w:rsidRPr="00FB6E71">
        <w:rPr>
          <w:rFonts w:asciiTheme="minorHAnsi" w:hAnsiTheme="minorHAnsi"/>
          <w:bCs/>
          <w:color w:val="auto"/>
          <w:sz w:val="22"/>
          <w:szCs w:val="22"/>
        </w:rPr>
        <w:t xml:space="preserve"> Going forward, this will entail close collaboration between the World Bank, AfDB</w:t>
      </w:r>
      <w:r>
        <w:rPr>
          <w:rFonts w:asciiTheme="minorHAnsi" w:hAnsiTheme="minorHAnsi"/>
          <w:bCs/>
          <w:color w:val="auto"/>
          <w:sz w:val="22"/>
          <w:szCs w:val="22"/>
        </w:rPr>
        <w:t>,</w:t>
      </w:r>
      <w:r w:rsidRPr="00FB6E71">
        <w:rPr>
          <w:rFonts w:asciiTheme="minorHAnsi" w:hAnsiTheme="minorHAnsi"/>
          <w:bCs/>
          <w:color w:val="auto"/>
          <w:sz w:val="22"/>
          <w:szCs w:val="22"/>
        </w:rPr>
        <w:t xml:space="preserve"> and IsDB in the areas of (a) prioritization and sequencing of interventions and gap analysis to determine how to allocate resources in key infrastructure sectors across the three projects; (b) capacity assessment of the three states to determine how to provide coordinated capacity-building support for efficient and effective program implementation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(c) maximizing</w:t>
      </w:r>
      <w:r>
        <w:rPr>
          <w:rFonts w:asciiTheme="minorHAnsi" w:hAnsiTheme="minorHAnsi"/>
          <w:bCs/>
          <w:color w:val="auto"/>
          <w:sz w:val="22"/>
          <w:szCs w:val="22"/>
        </w:rPr>
        <w:t xml:space="preserve"> of</w:t>
      </w:r>
      <w:r w:rsidRPr="00FB6E71">
        <w:rPr>
          <w:rFonts w:asciiTheme="minorHAnsi" w:hAnsiTheme="minorHAnsi"/>
          <w:bCs/>
          <w:color w:val="auto"/>
          <w:sz w:val="22"/>
          <w:szCs w:val="22"/>
        </w:rPr>
        <w:t xml:space="preserve"> the use of common implementation resources, consistent technical design processes, and harmonized FM, procurement</w:t>
      </w:r>
      <w:r>
        <w:rPr>
          <w:rFonts w:asciiTheme="minorHAnsi" w:hAnsiTheme="minorHAnsi"/>
          <w:bCs/>
          <w:color w:val="auto"/>
          <w:sz w:val="22"/>
          <w:szCs w:val="22"/>
        </w:rPr>
        <w:t>,</w:t>
      </w:r>
      <w:r w:rsidRPr="00FB6E71">
        <w:rPr>
          <w:rFonts w:asciiTheme="minorHAnsi" w:hAnsiTheme="minorHAnsi"/>
          <w:bCs/>
          <w:color w:val="auto"/>
          <w:sz w:val="22"/>
          <w:szCs w:val="22"/>
        </w:rPr>
        <w:t xml:space="preserve"> and safeguards compliance processes and procedures.</w:t>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962"/>
      </w:tblGrid>
      <w:tr w:rsidTr="007F2DE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432"/>
        </w:trPr>
        <w:tc>
          <w:tcPr>
            <w:tcW w:w="10962" w:type="dxa"/>
            <w:shd w:val="clear" w:color="auto" w:fill="F2F2F2"/>
            <w:vAlign w:val="center"/>
          </w:tcPr>
          <w:p w:rsidR="007F2DE7" w:rsidRPr="00FB6E71" w:rsidP="007F2DE7">
            <w:pPr>
              <w:pStyle w:val="NoSpacing"/>
              <w:keepNext/>
              <w:keepLines/>
              <w:widowControl/>
              <w:numPr>
                <w:ilvl w:val="0"/>
                <w:numId w:val="1"/>
              </w:numPr>
              <w:ind w:left="288" w:hanging="288"/>
              <w:outlineLvl w:val="0"/>
              <w:rPr>
                <w:rFonts w:asciiTheme="minorHAnsi" w:hAnsiTheme="minorHAnsi"/>
                <w:b/>
                <w:sz w:val="22"/>
                <w:szCs w:val="22"/>
              </w:rPr>
            </w:pPr>
            <w:bookmarkStart w:id="73" w:name="_Toc256000017"/>
            <w:bookmarkStart w:id="74" w:name="_Toc433982423"/>
            <w:bookmarkStart w:id="75" w:name="_Toc460509204"/>
            <w:bookmarkStart w:id="76" w:name="_Toc476558119"/>
            <w:r w:rsidRPr="00FB6E71">
              <w:rPr>
                <w:rFonts w:asciiTheme="minorHAnsi" w:hAnsiTheme="minorHAnsi"/>
                <w:b/>
                <w:sz w:val="22"/>
                <w:szCs w:val="22"/>
              </w:rPr>
              <w:t>KEY RISKS</w:t>
            </w:r>
            <w:bookmarkEnd w:id="73"/>
            <w:bookmarkEnd w:id="74"/>
            <w:bookmarkEnd w:id="75"/>
            <w:bookmarkEnd w:id="76"/>
          </w:p>
        </w:tc>
      </w:tr>
    </w:tbl>
    <w:p w:rsidR="007F2DE7" w:rsidRPr="00FB6E71" w:rsidP="007F2DE7">
      <w:pPr>
        <w:keepNext/>
        <w:keepLines/>
        <w:widowControl/>
        <w:ind w:left="-634"/>
        <w:rPr>
          <w:rFonts w:asciiTheme="minorHAnsi" w:hAnsiTheme="minorHAnsi"/>
          <w:b/>
          <w:bCs/>
          <w:color w:val="7F7F7F" w:themeColor="text1" w:themeTint="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b/>
                <w:bCs/>
                <w:color w:val="172D5F"/>
                <w:sz w:val="22"/>
                <w:szCs w:val="22"/>
              </w:rPr>
            </w:pPr>
            <w:bookmarkStart w:id="77" w:name="_Toc256000018"/>
            <w:bookmarkStart w:id="78" w:name="_Toc460509205"/>
            <w:bookmarkStart w:id="79" w:name="_Toc476558120"/>
            <w:r w:rsidRPr="00FB6E71">
              <w:rPr>
                <w:rFonts w:asciiTheme="minorHAnsi" w:hAnsiTheme="minorHAnsi"/>
                <w:b/>
                <w:bCs/>
                <w:color w:val="172D5F"/>
                <w:sz w:val="22"/>
                <w:szCs w:val="22"/>
              </w:rPr>
              <w:t>A. Overall Risk Rating and Explanation of Key Risks</w:t>
            </w:r>
            <w:bookmarkEnd w:id="77"/>
            <w:bookmarkEnd w:id="78"/>
            <w:bookmarkEnd w:id="79"/>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overall risk for achieving the PDO is rated Substantial</w:t>
      </w:r>
      <w:r w:rsidRPr="00140A9C">
        <w:rPr>
          <w:rFonts w:asciiTheme="minorHAnsi" w:hAnsiTheme="minorHAnsi"/>
          <w:b/>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The r</w:t>
      </w:r>
      <w:r w:rsidRPr="00FB6E71">
        <w:rPr>
          <w:rFonts w:asciiTheme="minorHAnsi" w:hAnsiTheme="minorHAnsi"/>
          <w:bCs/>
          <w:color w:val="auto"/>
          <w:sz w:val="22"/>
          <w:szCs w:val="22"/>
        </w:rPr>
        <w:t xml:space="preserve">ating for each category is listed in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_Ref475628011 \h  \* MERGEFORMAT </w:instrText>
      </w:r>
      <w:r>
        <w:rPr>
          <w:rFonts w:asciiTheme="minorHAnsi" w:hAnsiTheme="minorHAnsi"/>
          <w:bCs/>
          <w:color w:val="auto"/>
          <w:sz w:val="22"/>
          <w:szCs w:val="22"/>
        </w:rPr>
        <w:fldChar w:fldCharType="separate"/>
      </w:r>
      <w:r w:rsidRPr="00140A9C">
        <w:rPr>
          <w:rFonts w:asciiTheme="minorHAnsi" w:hAnsiTheme="minorHAnsi"/>
          <w:bCs/>
          <w:color w:val="auto"/>
          <w:sz w:val="22"/>
          <w:szCs w:val="22"/>
        </w:rPr>
        <w:t>table 2</w:t>
      </w:r>
      <w:r>
        <w:rPr>
          <w:rFonts w:asciiTheme="minorHAnsi" w:hAnsiTheme="minorHAnsi"/>
          <w:bCs/>
          <w:color w:val="auto"/>
          <w:sz w:val="22"/>
          <w:szCs w:val="22"/>
        </w:rPr>
        <w:fldChar w:fldCharType="end"/>
      </w:r>
      <w:r w:rsidRPr="00FB6E71">
        <w:rPr>
          <w:rFonts w:asciiTheme="minorHAnsi" w:hAnsiTheme="minorHAnsi"/>
          <w:bCs/>
          <w:color w:val="auto"/>
          <w:sz w:val="22"/>
          <w:szCs w:val="22"/>
        </w:rPr>
        <w:t>, with explanations underneath.</w:t>
      </w:r>
    </w:p>
    <w:p w:rsidR="007F2DE7" w:rsidRPr="00FB6E71" w:rsidP="007F2DE7">
      <w:pPr>
        <w:pStyle w:val="Caption"/>
        <w:keepNext/>
        <w:keepLines/>
        <w:widowControl/>
        <w:spacing w:before="120" w:after="120"/>
        <w:jc w:val="center"/>
        <w:rPr>
          <w:rFonts w:asciiTheme="minorHAnsi" w:hAnsiTheme="minorHAnsi"/>
          <w:b/>
          <w:i w:val="0"/>
          <w:color w:val="auto"/>
        </w:rPr>
      </w:pPr>
      <w:bookmarkStart w:id="80" w:name="_Ref475628011"/>
      <w:r w:rsidRPr="00FB6E71">
        <w:rPr>
          <w:rFonts w:asciiTheme="minorHAnsi" w:hAnsiTheme="minorHAnsi"/>
          <w:b/>
          <w:i w:val="0"/>
          <w:color w:val="auto"/>
        </w:rPr>
        <w:t xml:space="preserve">Table </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 \* ARABIC </w:instrText>
      </w:r>
      <w:r w:rsidRPr="00FB6E71">
        <w:rPr>
          <w:rFonts w:asciiTheme="minorHAnsi" w:hAnsiTheme="minorHAnsi"/>
          <w:b/>
          <w:i w:val="0"/>
          <w:color w:val="auto"/>
        </w:rPr>
        <w:fldChar w:fldCharType="separate"/>
      </w:r>
      <w:r>
        <w:rPr>
          <w:rFonts w:asciiTheme="minorHAnsi" w:hAnsiTheme="minorHAnsi"/>
          <w:b/>
          <w:i w:val="0"/>
          <w:noProof/>
          <w:color w:val="auto"/>
        </w:rPr>
        <w:t>2</w:t>
      </w:r>
      <w:r w:rsidRPr="00FB6E71">
        <w:rPr>
          <w:rFonts w:asciiTheme="minorHAnsi" w:hAnsiTheme="minorHAnsi"/>
          <w:b/>
          <w:i w:val="0"/>
          <w:color w:val="auto"/>
        </w:rPr>
        <w:fldChar w:fldCharType="end"/>
      </w:r>
      <w:bookmarkEnd w:id="80"/>
      <w:r>
        <w:rPr>
          <w:rFonts w:asciiTheme="minorHAnsi" w:hAnsiTheme="minorHAnsi"/>
          <w:b/>
          <w:i w:val="0"/>
          <w:color w:val="auto"/>
        </w:rPr>
        <w:t>.</w:t>
      </w:r>
      <w:r w:rsidRPr="00FB6E71">
        <w:rPr>
          <w:rFonts w:asciiTheme="minorHAnsi" w:hAnsiTheme="minorHAnsi"/>
          <w:b/>
          <w:i w:val="0"/>
          <w:color w:val="auto"/>
        </w:rPr>
        <w:t xml:space="preserve"> MCRP Risk Ratings by Category</w:t>
      </w:r>
    </w:p>
    <w:tbl>
      <w:tblPr>
        <w:tblStyle w:val="TableGrid"/>
        <w:tblW w:w="3992" w:type="pct"/>
        <w:jc w:val="center"/>
        <w:tblLook w:val="04A0"/>
      </w:tblPr>
      <w:tblGrid>
        <w:gridCol w:w="5117"/>
        <w:gridCol w:w="2348"/>
      </w:tblGrid>
      <w:tr w:rsidTr="007F2DE7">
        <w:tblPrEx>
          <w:tblW w:w="3992" w:type="pct"/>
          <w:jc w:val="center"/>
          <w:tblLook w:val="04A0"/>
        </w:tblPrEx>
        <w:trPr>
          <w:cantSplit/>
          <w:trHeight w:val="20"/>
          <w:tblHeader/>
          <w:jc w:val="center"/>
        </w:trPr>
        <w:tc>
          <w:tcPr>
            <w:tcW w:w="5117" w:type="dxa"/>
            <w:vAlign w:val="center"/>
          </w:tcPr>
          <w:p w:rsidR="007F2DE7" w:rsidRPr="00FB6E71" w:rsidP="007F2DE7">
            <w:pPr>
              <w:ind w:left="288"/>
              <w:jc w:val="center"/>
              <w:rPr>
                <w:rFonts w:asciiTheme="minorHAnsi" w:hAnsiTheme="minorHAnsi"/>
                <w:b/>
                <w:color w:val="000000" w:themeColor="text1"/>
                <w:sz w:val="18"/>
                <w:szCs w:val="18"/>
              </w:rPr>
            </w:pPr>
            <w:r w:rsidRPr="00FB6E71">
              <w:rPr>
                <w:rFonts w:asciiTheme="minorHAnsi" w:hAnsiTheme="minorHAnsi"/>
                <w:b/>
                <w:color w:val="000000" w:themeColor="text1"/>
                <w:sz w:val="18"/>
                <w:szCs w:val="18"/>
              </w:rPr>
              <w:t>Risk Categories</w:t>
            </w:r>
          </w:p>
        </w:tc>
        <w:tc>
          <w:tcPr>
            <w:tcW w:w="2348" w:type="dxa"/>
            <w:vAlign w:val="center"/>
          </w:tcPr>
          <w:p w:rsidR="007F2DE7" w:rsidRPr="00FB6E71" w:rsidP="007F2DE7">
            <w:pPr>
              <w:pStyle w:val="Default"/>
              <w:ind w:left="288"/>
              <w:jc w:val="center"/>
              <w:rPr>
                <w:rFonts w:asciiTheme="minorHAnsi" w:hAnsiTheme="minorHAnsi" w:cs="Arial"/>
                <w:color w:val="000000" w:themeColor="text1"/>
                <w:sz w:val="18"/>
                <w:szCs w:val="18"/>
              </w:rPr>
            </w:pPr>
            <w:r w:rsidRPr="00FB6E71">
              <w:rPr>
                <w:rFonts w:asciiTheme="minorHAnsi" w:hAnsiTheme="minorHAnsi" w:cs="Arial"/>
                <w:b/>
                <w:bCs/>
                <w:color w:val="000000" w:themeColor="text1"/>
                <w:sz w:val="18"/>
                <w:szCs w:val="18"/>
              </w:rPr>
              <w:t>Rating (H, S, M</w:t>
            </w:r>
            <w:r>
              <w:rPr>
                <w:rFonts w:asciiTheme="minorHAnsi" w:hAnsiTheme="minorHAnsi" w:cs="Arial"/>
                <w:b/>
                <w:bCs/>
                <w:color w:val="000000" w:themeColor="text1"/>
                <w:sz w:val="18"/>
                <w:szCs w:val="18"/>
              </w:rPr>
              <w:t>,</w:t>
            </w:r>
            <w:r w:rsidRPr="00FB6E71">
              <w:rPr>
                <w:rFonts w:asciiTheme="minorHAnsi" w:hAnsiTheme="minorHAnsi" w:cs="Arial"/>
                <w:b/>
                <w:bCs/>
                <w:color w:val="000000" w:themeColor="text1"/>
                <w:sz w:val="18"/>
                <w:szCs w:val="18"/>
              </w:rPr>
              <w:t xml:space="preserve"> or L)</w:t>
            </w:r>
          </w:p>
        </w:tc>
      </w:tr>
      <w:tr w:rsidTr="007F2DE7">
        <w:tblPrEx>
          <w:tblW w:w="3992" w:type="pct"/>
          <w:jc w:val="center"/>
          <w:tblLook w:val="04A0"/>
        </w:tblPrEx>
        <w:trPr>
          <w:cantSplit/>
          <w:trHeight w:val="20"/>
          <w:jc w:val="center"/>
        </w:trPr>
        <w:tc>
          <w:tcPr>
            <w:tcW w:w="5117" w:type="dxa"/>
          </w:tcPr>
          <w:p w:rsidR="007F2DE7" w:rsidRPr="00FB6E71" w:rsidP="007F2DE7">
            <w:pPr>
              <w:pStyle w:val="Default"/>
              <w:rPr>
                <w:rFonts w:asciiTheme="minorHAnsi" w:hAnsiTheme="minorHAnsi" w:cs="Arial"/>
                <w:color w:val="000000" w:themeColor="text1"/>
                <w:sz w:val="18"/>
                <w:szCs w:val="18"/>
              </w:rPr>
            </w:pPr>
            <w:r w:rsidRPr="00FB6E71">
              <w:rPr>
                <w:rFonts w:asciiTheme="minorHAnsi" w:hAnsiTheme="minorHAnsi" w:cs="Arial"/>
                <w:color w:val="000000" w:themeColor="text1"/>
                <w:sz w:val="18"/>
                <w:szCs w:val="18"/>
              </w:rPr>
              <w:t xml:space="preserve">1. Political and governance </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H</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2. Macroeconomic</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S</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3. Sector strategies and policies</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M</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 xml:space="preserve">4. Technical design of project </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S</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5. Institutional capacity for implementation and sustainability</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H</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6. Fiduciary</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H</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7. Environmental and social</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M</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8. Stakeholders</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M</w:t>
            </w:r>
          </w:p>
        </w:tc>
      </w:tr>
      <w:tr w:rsidTr="007F2DE7">
        <w:tblPrEx>
          <w:tblW w:w="3992" w:type="pct"/>
          <w:jc w:val="center"/>
          <w:tblLook w:val="04A0"/>
        </w:tblPrEx>
        <w:trPr>
          <w:cantSplit/>
          <w:trHeight w:val="20"/>
          <w:jc w:val="center"/>
        </w:trPr>
        <w:tc>
          <w:tcPr>
            <w:tcW w:w="5117" w:type="dxa"/>
          </w:tcPr>
          <w:p w:rsidR="007F2DE7" w:rsidRPr="00FB6E71" w:rsidP="007F2DE7">
            <w:pPr>
              <w:rPr>
                <w:rFonts w:asciiTheme="minorHAnsi" w:hAnsiTheme="minorHAnsi"/>
                <w:color w:val="000000" w:themeColor="text1"/>
                <w:sz w:val="18"/>
                <w:szCs w:val="18"/>
              </w:rPr>
            </w:pPr>
            <w:r w:rsidRPr="00FB6E71">
              <w:rPr>
                <w:rFonts w:asciiTheme="minorHAnsi" w:hAnsiTheme="minorHAnsi"/>
                <w:color w:val="000000" w:themeColor="text1"/>
                <w:sz w:val="18"/>
                <w:szCs w:val="18"/>
              </w:rPr>
              <w:t>9. Others (Security)</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H</w:t>
            </w:r>
          </w:p>
        </w:tc>
      </w:tr>
      <w:tr w:rsidTr="007F2DE7">
        <w:tblPrEx>
          <w:tblW w:w="3992" w:type="pct"/>
          <w:jc w:val="center"/>
          <w:tblLook w:val="04A0"/>
        </w:tblPrEx>
        <w:trPr>
          <w:cantSplit/>
          <w:trHeight w:val="20"/>
          <w:jc w:val="center"/>
        </w:trPr>
        <w:tc>
          <w:tcPr>
            <w:tcW w:w="5117" w:type="dxa"/>
          </w:tcPr>
          <w:p w:rsidR="007F2DE7" w:rsidRPr="00FB6E71" w:rsidP="007F2DE7">
            <w:pPr>
              <w:ind w:left="288"/>
              <w:rPr>
                <w:rFonts w:asciiTheme="minorHAnsi" w:hAnsiTheme="minorHAnsi"/>
                <w:b/>
                <w:color w:val="000000" w:themeColor="text1"/>
                <w:sz w:val="18"/>
                <w:szCs w:val="18"/>
              </w:rPr>
            </w:pPr>
            <w:r w:rsidRPr="00FB6E71">
              <w:rPr>
                <w:rFonts w:asciiTheme="minorHAnsi" w:hAnsiTheme="minorHAnsi"/>
                <w:b/>
                <w:color w:val="000000" w:themeColor="text1"/>
                <w:sz w:val="18"/>
                <w:szCs w:val="18"/>
              </w:rPr>
              <w:t>Overall</w:t>
            </w:r>
          </w:p>
        </w:tc>
        <w:tc>
          <w:tcPr>
            <w:tcW w:w="2348" w:type="dxa"/>
          </w:tcPr>
          <w:p w:rsidR="007F2DE7" w:rsidRPr="00FB6E71" w:rsidP="007F2DE7">
            <w:pPr>
              <w:ind w:left="288"/>
              <w:jc w:val="center"/>
              <w:rPr>
                <w:rFonts w:asciiTheme="minorHAnsi" w:hAnsiTheme="minorHAnsi"/>
                <w:color w:val="000000" w:themeColor="text1"/>
                <w:sz w:val="18"/>
                <w:szCs w:val="18"/>
              </w:rPr>
            </w:pPr>
            <w:r w:rsidRPr="00FB6E71">
              <w:rPr>
                <w:rFonts w:asciiTheme="minorHAnsi" w:hAnsiTheme="minorHAnsi"/>
                <w:color w:val="000000" w:themeColor="text1"/>
                <w:sz w:val="18"/>
                <w:szCs w:val="18"/>
              </w:rPr>
              <w:t>H</w:t>
            </w:r>
          </w:p>
        </w:tc>
      </w:tr>
    </w:tbl>
    <w:p w:rsidR="007F2DE7" w:rsidRPr="00FB6E71" w:rsidP="007F2DE7">
      <w:pPr>
        <w:pStyle w:val="Normal64"/>
        <w:widowControl/>
        <w:jc w:val="center"/>
        <w:rPr>
          <w:rFonts w:asciiTheme="minorHAnsi" w:hAnsiTheme="minorHAnsi"/>
          <w:bCs/>
          <w:color w:val="auto"/>
          <w:sz w:val="18"/>
          <w:szCs w:val="18"/>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Political and governance risks are rated </w:t>
      </w:r>
      <w:r>
        <w:rPr>
          <w:rFonts w:asciiTheme="minorHAnsi" w:hAnsiTheme="minorHAnsi"/>
          <w:b/>
          <w:bCs/>
          <w:color w:val="auto"/>
          <w:sz w:val="22"/>
          <w:szCs w:val="22"/>
        </w:rPr>
        <w:t>H</w:t>
      </w:r>
      <w:r w:rsidRPr="00FB6E71">
        <w:rPr>
          <w:rFonts w:asciiTheme="minorHAnsi" w:hAnsiTheme="minorHAnsi"/>
          <w:b/>
          <w:bCs/>
          <w:color w:val="auto"/>
          <w:sz w:val="22"/>
          <w:szCs w:val="22"/>
        </w:rPr>
        <w:t>igh.</w:t>
      </w:r>
      <w:r w:rsidRPr="00FB6E71">
        <w:rPr>
          <w:rFonts w:asciiTheme="minorHAnsi" w:hAnsiTheme="minorHAnsi"/>
          <w:bCs/>
          <w:color w:val="auto"/>
          <w:sz w:val="22"/>
          <w:szCs w:val="22"/>
        </w:rPr>
        <w:t xml:space="preserve"> The unprecedented nature of the issues leading to the emergency in the NE </w:t>
      </w:r>
      <w:r>
        <w:rPr>
          <w:rFonts w:asciiTheme="minorHAnsi" w:hAnsiTheme="minorHAnsi"/>
          <w:bCs/>
          <w:color w:val="auto"/>
          <w:sz w:val="22"/>
          <w:szCs w:val="22"/>
        </w:rPr>
        <w:t>s</w:t>
      </w:r>
      <w:r w:rsidRPr="00FB6E71">
        <w:rPr>
          <w:rFonts w:asciiTheme="minorHAnsi" w:hAnsiTheme="minorHAnsi"/>
          <w:bCs/>
          <w:color w:val="auto"/>
          <w:sz w:val="22"/>
          <w:szCs w:val="22"/>
        </w:rPr>
        <w:t>tates poses a number of challenges for successful project implementation. Clear government policies related to the emergency transition and stabilization phases are needed, as well as mechanisms for federal and state government convergence of recovery and peace building priorities. The project</w:t>
      </w:r>
      <w:r>
        <w:rPr>
          <w:rFonts w:asciiTheme="minorHAnsi" w:hAnsiTheme="minorHAnsi"/>
          <w:bCs/>
          <w:color w:val="auto"/>
          <w:sz w:val="22"/>
          <w:szCs w:val="22"/>
        </w:rPr>
        <w:t>,</w:t>
      </w:r>
      <w:r w:rsidRPr="00FB6E71">
        <w:rPr>
          <w:rFonts w:asciiTheme="minorHAnsi" w:hAnsiTheme="minorHAnsi"/>
          <w:bCs/>
          <w:color w:val="auto"/>
          <w:sz w:val="22"/>
          <w:szCs w:val="22"/>
        </w:rPr>
        <w:t xml:space="preserve"> therefore</w:t>
      </w:r>
      <w:r>
        <w:rPr>
          <w:rFonts w:asciiTheme="minorHAnsi" w:hAnsiTheme="minorHAnsi"/>
          <w:bCs/>
          <w:color w:val="auto"/>
          <w:sz w:val="22"/>
          <w:szCs w:val="22"/>
        </w:rPr>
        <w:t>,</w:t>
      </w:r>
      <w:r w:rsidRPr="00FB6E71">
        <w:rPr>
          <w:rFonts w:asciiTheme="minorHAnsi" w:hAnsiTheme="minorHAnsi"/>
          <w:bCs/>
          <w:color w:val="auto"/>
          <w:sz w:val="22"/>
          <w:szCs w:val="22"/>
        </w:rPr>
        <w:t xml:space="preserve"> proposes the provision of TA at the federal and state levels for the formulation of consistent government policies on recovery and peace building. In light of the multi-sectoral nature of the MCRP, there are multiple actors at the state and federal levels that need to be involved in </w:t>
      </w:r>
      <w:r>
        <w:rPr>
          <w:rFonts w:asciiTheme="minorHAnsi" w:hAnsiTheme="minorHAnsi"/>
          <w:bCs/>
          <w:color w:val="auto"/>
          <w:sz w:val="22"/>
          <w:szCs w:val="22"/>
        </w:rPr>
        <w:t xml:space="preserve">the </w:t>
      </w:r>
      <w:r w:rsidRPr="00FB6E71">
        <w:rPr>
          <w:rFonts w:asciiTheme="minorHAnsi" w:hAnsiTheme="minorHAnsi"/>
          <w:bCs/>
          <w:color w:val="auto"/>
          <w:sz w:val="22"/>
          <w:szCs w:val="22"/>
        </w:rPr>
        <w:t>recovery and stabilization efforts in the NE. The project will put a lot of emphasis on designing effective institutional arrangements necessary to ensure effective coordination among relevant government, civil society</w:t>
      </w:r>
      <w:r>
        <w:rPr>
          <w:rFonts w:asciiTheme="minorHAnsi" w:hAnsiTheme="minorHAnsi"/>
          <w:bCs/>
          <w:color w:val="auto"/>
          <w:sz w:val="22"/>
          <w:szCs w:val="22"/>
        </w:rPr>
        <w:t>,</w:t>
      </w:r>
      <w:r w:rsidRPr="00FB6E71">
        <w:rPr>
          <w:rFonts w:asciiTheme="minorHAnsi" w:hAnsiTheme="minorHAnsi"/>
          <w:bCs/>
          <w:color w:val="auto"/>
          <w:sz w:val="22"/>
          <w:szCs w:val="22"/>
        </w:rPr>
        <w:t xml:space="preserve"> and development partner stakeholders. Further, the nature of project interventions, targeting criteria</w:t>
      </w:r>
      <w:r>
        <w:rPr>
          <w:rFonts w:asciiTheme="minorHAnsi" w:hAnsiTheme="minorHAnsi"/>
          <w:bCs/>
          <w:color w:val="auto"/>
          <w:sz w:val="22"/>
          <w:szCs w:val="22"/>
        </w:rPr>
        <w:t>,</w:t>
      </w:r>
      <w:r w:rsidRPr="00FB6E71">
        <w:rPr>
          <w:rFonts w:asciiTheme="minorHAnsi" w:hAnsiTheme="minorHAnsi"/>
          <w:bCs/>
          <w:color w:val="auto"/>
          <w:sz w:val="22"/>
          <w:szCs w:val="22"/>
        </w:rPr>
        <w:t xml:space="preserve"> and geographical coverage are also politically sensitive.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will make use of the </w:t>
      </w:r>
      <w:r>
        <w:rPr>
          <w:rFonts w:asciiTheme="minorHAnsi" w:hAnsiTheme="minorHAnsi"/>
          <w:bCs/>
          <w:color w:val="auto"/>
          <w:sz w:val="22"/>
          <w:szCs w:val="22"/>
        </w:rPr>
        <w:t>Project Steering Committee</w:t>
      </w:r>
      <w:r w:rsidRPr="00FB6E71">
        <w:rPr>
          <w:rFonts w:asciiTheme="minorHAnsi" w:hAnsiTheme="minorHAnsi"/>
          <w:bCs/>
          <w:color w:val="auto"/>
          <w:sz w:val="22"/>
          <w:szCs w:val="22"/>
        </w:rPr>
        <w:t xml:space="preserve"> and State Coordination Body for decision making and criteria setting to ensure multi-sector information flow is systematic and robust. Furthermore, the </w:t>
      </w:r>
      <w:r>
        <w:rPr>
          <w:rFonts w:asciiTheme="minorHAnsi" w:hAnsiTheme="minorHAnsi"/>
          <w:bCs/>
          <w:color w:val="auto"/>
          <w:sz w:val="22"/>
          <w:szCs w:val="22"/>
        </w:rPr>
        <w:t>p</w:t>
      </w:r>
      <w:r w:rsidRPr="00FB6E71">
        <w:rPr>
          <w:rFonts w:asciiTheme="minorHAnsi" w:hAnsiTheme="minorHAnsi"/>
          <w:bCs/>
          <w:color w:val="auto"/>
          <w:sz w:val="22"/>
          <w:szCs w:val="22"/>
        </w:rPr>
        <w:t>roject will maximize opportunities for joint activity planning and implementation for activities that cut across various stakeholders and development partner programs.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Macroeconomic risks are rated </w:t>
      </w:r>
      <w:r>
        <w:rPr>
          <w:rFonts w:asciiTheme="minorHAnsi" w:hAnsiTheme="minorHAnsi"/>
          <w:b/>
          <w:bCs/>
          <w:color w:val="auto"/>
          <w:sz w:val="22"/>
          <w:szCs w:val="22"/>
        </w:rPr>
        <w:t>S</w:t>
      </w:r>
      <w:r w:rsidRPr="00FB6E71">
        <w:rPr>
          <w:rFonts w:asciiTheme="minorHAnsi" w:hAnsiTheme="minorHAnsi"/>
          <w:b/>
          <w:bCs/>
          <w:color w:val="auto"/>
          <w:sz w:val="22"/>
          <w:szCs w:val="22"/>
        </w:rPr>
        <w:t>ubstantial.</w:t>
      </w:r>
      <w:r w:rsidRPr="00FB6E71">
        <w:rPr>
          <w:rFonts w:asciiTheme="minorHAnsi" w:hAnsiTheme="minorHAnsi"/>
          <w:bCs/>
          <w:color w:val="auto"/>
          <w:sz w:val="22"/>
          <w:szCs w:val="22"/>
        </w:rPr>
        <w:t xml:space="preserve"> Falling oil prices have undermined economic growth in the country and remain a major source of risk, which may be exacerbated further by natural disasters and climate change. With reliance on a few primary exports and a relatively undiversified economy, Nigeria remains vulnerable to external demand and price shocks. The macroeconomic instability is compounded by pressures from weak fiscal management. The BH conflict in the NE continues to threaten economic stability across the country</w:t>
      </w:r>
      <w:r>
        <w:rPr>
          <w:rFonts w:asciiTheme="minorHAnsi" w:hAnsiTheme="minorHAnsi"/>
          <w:bCs/>
          <w:color w:val="auto"/>
          <w:sz w:val="22"/>
          <w:szCs w:val="22"/>
        </w:rPr>
        <w:t>,</w:t>
      </w:r>
      <w:r w:rsidRPr="00FB6E71">
        <w:rPr>
          <w:rFonts w:asciiTheme="minorHAnsi" w:hAnsiTheme="minorHAnsi"/>
          <w:bCs/>
          <w:color w:val="auto"/>
          <w:sz w:val="22"/>
          <w:szCs w:val="22"/>
        </w:rPr>
        <w:t xml:space="preserve"> and so</w:t>
      </w:r>
      <w:r>
        <w:rPr>
          <w:rFonts w:asciiTheme="minorHAnsi" w:hAnsiTheme="minorHAnsi"/>
          <w:bCs/>
          <w:color w:val="auto"/>
          <w:sz w:val="22"/>
          <w:szCs w:val="22"/>
        </w:rPr>
        <w:t>,</w:t>
      </w:r>
      <w:r w:rsidRPr="00FB6E71">
        <w:rPr>
          <w:rFonts w:asciiTheme="minorHAnsi" w:hAnsiTheme="minorHAnsi"/>
          <w:bCs/>
          <w:color w:val="auto"/>
          <w:sz w:val="22"/>
          <w:szCs w:val="22"/>
        </w:rPr>
        <w:t xml:space="preserve"> the Government will need to continue to ensure a strong security presence in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years to come to combat future BH attacks.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Risks related to technical design of the project are rated </w:t>
      </w:r>
      <w:r>
        <w:rPr>
          <w:rFonts w:asciiTheme="minorHAnsi" w:hAnsiTheme="minorHAnsi"/>
          <w:b/>
          <w:bCs/>
          <w:color w:val="auto"/>
          <w:sz w:val="22"/>
          <w:szCs w:val="22"/>
        </w:rPr>
        <w:t>S</w:t>
      </w:r>
      <w:r w:rsidRPr="00FB6E71">
        <w:rPr>
          <w:rFonts w:asciiTheme="minorHAnsi" w:hAnsiTheme="minorHAnsi"/>
          <w:b/>
          <w:bCs/>
          <w:color w:val="auto"/>
          <w:sz w:val="22"/>
          <w:szCs w:val="22"/>
        </w:rPr>
        <w:t>ubstantial.</w:t>
      </w:r>
      <w:r w:rsidRPr="00FB6E71">
        <w:rPr>
          <w:rFonts w:asciiTheme="minorHAnsi" w:hAnsiTheme="minorHAnsi"/>
          <w:bCs/>
          <w:color w:val="auto"/>
          <w:sz w:val="22"/>
          <w:szCs w:val="22"/>
        </w:rPr>
        <w:t xml:space="preserve"> This project is designed to implement recovery interventions</w:t>
      </w:r>
      <w:r>
        <w:rPr>
          <w:rFonts w:asciiTheme="minorHAnsi" w:hAnsiTheme="minorHAnsi"/>
          <w:bCs/>
          <w:color w:val="auto"/>
          <w:sz w:val="22"/>
          <w:szCs w:val="22"/>
        </w:rPr>
        <w:t>,</w:t>
      </w:r>
      <w:r w:rsidRPr="00FB6E71">
        <w:rPr>
          <w:rFonts w:asciiTheme="minorHAnsi" w:hAnsiTheme="minorHAnsi"/>
          <w:bCs/>
          <w:color w:val="auto"/>
          <w:sz w:val="22"/>
          <w:szCs w:val="22"/>
        </w:rPr>
        <w:t xml:space="preserve"> which will involve multiple sectors in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three states, engaging different levels of government. Such complexity could lead to challenges related to resource allocation, prioritization, beneficiary targeting, and project implementation. To mitigate these risks, substantial </w:t>
      </w:r>
      <w:r>
        <w:rPr>
          <w:rFonts w:asciiTheme="minorHAnsi" w:hAnsiTheme="minorHAnsi"/>
          <w:bCs/>
          <w:color w:val="auto"/>
          <w:sz w:val="22"/>
          <w:szCs w:val="22"/>
        </w:rPr>
        <w:t>TA</w:t>
      </w:r>
      <w:r w:rsidRPr="00FB6E71">
        <w:rPr>
          <w:rFonts w:asciiTheme="minorHAnsi" w:hAnsiTheme="minorHAnsi"/>
          <w:bCs/>
          <w:color w:val="auto"/>
          <w:sz w:val="22"/>
          <w:szCs w:val="22"/>
        </w:rPr>
        <w:t xml:space="preserve"> and capacity-building support will be provided in the design and implementation of the activities at the federal and state levels to ensure these issues are considered up front. An additional technical design risk for this project is the potential rising of social tensions between IDP and host communities due to perceived inequalities </w:t>
      </w:r>
      <w:r>
        <w:rPr>
          <w:rFonts w:asciiTheme="minorHAnsi" w:hAnsiTheme="minorHAnsi"/>
          <w:bCs/>
          <w:color w:val="auto"/>
          <w:sz w:val="22"/>
          <w:szCs w:val="22"/>
        </w:rPr>
        <w:t>arising from the</w:t>
      </w:r>
      <w:r w:rsidRPr="00FB6E71">
        <w:rPr>
          <w:rFonts w:asciiTheme="minorHAnsi" w:hAnsiTheme="minorHAnsi"/>
          <w:bCs/>
          <w:color w:val="auto"/>
          <w:sz w:val="22"/>
          <w:szCs w:val="22"/>
        </w:rPr>
        <w:t xml:space="preserve"> project activities. To avoid this, activities under this project have been designed to address the needs of both groups. Beneficiary targeting mechanisms will be publicly disclosed</w:t>
      </w:r>
      <w:r>
        <w:rPr>
          <w:rFonts w:asciiTheme="minorHAnsi" w:hAnsiTheme="minorHAnsi"/>
          <w:bCs/>
          <w:color w:val="auto"/>
          <w:sz w:val="22"/>
          <w:szCs w:val="22"/>
        </w:rPr>
        <w:t>,</w:t>
      </w:r>
      <w:r w:rsidRPr="00FB6E71">
        <w:rPr>
          <w:rFonts w:asciiTheme="minorHAnsi" w:hAnsiTheme="minorHAnsi"/>
          <w:bCs/>
          <w:color w:val="auto"/>
          <w:sz w:val="22"/>
          <w:szCs w:val="22"/>
        </w:rPr>
        <w:t xml:space="preserve"> and communication and outreach strategies will be implemented to engage communities in the planning and oversight of project activities.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Risks related to institutional capacity for implementation and sustainability are </w:t>
      </w:r>
      <w:r>
        <w:rPr>
          <w:rFonts w:asciiTheme="minorHAnsi" w:hAnsiTheme="minorHAnsi"/>
          <w:b/>
          <w:bCs/>
          <w:color w:val="auto"/>
          <w:sz w:val="22"/>
          <w:szCs w:val="22"/>
        </w:rPr>
        <w:t>rated H</w:t>
      </w:r>
      <w:r w:rsidRPr="00FB6E71">
        <w:rPr>
          <w:rFonts w:asciiTheme="minorHAnsi" w:hAnsiTheme="minorHAnsi"/>
          <w:b/>
          <w:bCs/>
          <w:color w:val="auto"/>
          <w:sz w:val="22"/>
          <w:szCs w:val="22"/>
        </w:rPr>
        <w:t>igh.</w:t>
      </w:r>
      <w:r w:rsidRPr="00FB6E71">
        <w:rPr>
          <w:rFonts w:asciiTheme="minorHAnsi" w:hAnsiTheme="minorHAnsi"/>
          <w:bCs/>
          <w:color w:val="auto"/>
          <w:sz w:val="22"/>
          <w:szCs w:val="22"/>
        </w:rPr>
        <w:t xml:space="preserve"> </w:t>
      </w:r>
      <w:r>
        <w:rPr>
          <w:rFonts w:asciiTheme="minorHAnsi" w:hAnsiTheme="minorHAnsi"/>
          <w:bCs/>
          <w:color w:val="auto"/>
          <w:sz w:val="22"/>
          <w:szCs w:val="22"/>
        </w:rPr>
        <w:t>The r</w:t>
      </w:r>
      <w:r w:rsidRPr="00FB6E71">
        <w:rPr>
          <w:rFonts w:asciiTheme="minorHAnsi" w:hAnsiTheme="minorHAnsi"/>
          <w:bCs/>
          <w:color w:val="auto"/>
          <w:sz w:val="22"/>
          <w:szCs w:val="22"/>
        </w:rPr>
        <w:t xml:space="preserve">esponsibility for project implementation will rely heavily on the </w:t>
      </w:r>
      <w:r>
        <w:rPr>
          <w:rFonts w:asciiTheme="minorHAnsi" w:hAnsiTheme="minorHAnsi"/>
          <w:bCs/>
          <w:color w:val="auto"/>
          <w:sz w:val="22"/>
          <w:szCs w:val="22"/>
        </w:rPr>
        <w:t>s</w:t>
      </w:r>
      <w:r w:rsidRPr="00FB6E71">
        <w:rPr>
          <w:rFonts w:asciiTheme="minorHAnsi" w:hAnsiTheme="minorHAnsi"/>
          <w:bCs/>
          <w:color w:val="auto"/>
          <w:sz w:val="22"/>
          <w:szCs w:val="22"/>
        </w:rPr>
        <w:t>tates, whose capacity is weak, especially in the NE. Due to the dichotomi</w:t>
      </w:r>
      <w:r>
        <w:rPr>
          <w:rFonts w:asciiTheme="minorHAnsi" w:hAnsiTheme="minorHAnsi"/>
          <w:bCs/>
          <w:color w:val="auto"/>
          <w:sz w:val="22"/>
          <w:szCs w:val="22"/>
        </w:rPr>
        <w:t>z</w:t>
      </w:r>
      <w:r w:rsidRPr="00FB6E71">
        <w:rPr>
          <w:rFonts w:asciiTheme="minorHAnsi" w:hAnsiTheme="minorHAnsi"/>
          <w:bCs/>
          <w:color w:val="auto"/>
          <w:sz w:val="22"/>
          <w:szCs w:val="22"/>
        </w:rPr>
        <w:t xml:space="preserve">ed nature of institutional capacity and investment commitments, it is very challenging to commit large investments when the capacity of local institutions is inadequate. One of the ways to overcome this issue is to prioritize investments that could be implemented within the existing capacity and with adequate oversights of the state and federal program M&amp;E structures. </w:t>
      </w:r>
      <w:r>
        <w:rPr>
          <w:rFonts w:asciiTheme="minorHAnsi" w:hAnsiTheme="minorHAnsi"/>
          <w:bCs/>
          <w:color w:val="auto"/>
          <w:sz w:val="22"/>
          <w:szCs w:val="22"/>
        </w:rPr>
        <w:t>Because</w:t>
      </w:r>
      <w:r w:rsidRPr="00FB6E71">
        <w:rPr>
          <w:rFonts w:asciiTheme="minorHAnsi" w:hAnsiTheme="minorHAnsi"/>
          <w:bCs/>
          <w:color w:val="auto"/>
          <w:sz w:val="22"/>
          <w:szCs w:val="22"/>
        </w:rPr>
        <w:t xml:space="preserve"> capacity building is a time-consuming activity, it is important to initiate this as part of the technical support subcomponent of the program in the immediate term and to streamline the project implementation processes in the medium and long terms. Substantial support will be used to strengthen the capacity of the PCUs. In addition to specific technical and fiduciary functions to be supported by individual consultants, a consulting firm is also being considered to support the Government in project management. Detailed definition</w:t>
      </w:r>
      <w:r>
        <w:rPr>
          <w:rFonts w:asciiTheme="minorHAnsi" w:hAnsiTheme="minorHAnsi"/>
          <w:bCs/>
          <w:color w:val="auto"/>
          <w:sz w:val="22"/>
          <w:szCs w:val="22"/>
        </w:rPr>
        <w:t>s</w:t>
      </w:r>
      <w:r w:rsidRPr="00FB6E71">
        <w:rPr>
          <w:rFonts w:asciiTheme="minorHAnsi" w:hAnsiTheme="minorHAnsi"/>
          <w:bCs/>
          <w:color w:val="auto"/>
          <w:sz w:val="22"/>
          <w:szCs w:val="22"/>
        </w:rPr>
        <w:t xml:space="preserve"> of respective roles and responsibilities of implementing partners will be clarified in the PIM.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Implementation </w:t>
      </w:r>
      <w:r>
        <w:rPr>
          <w:rFonts w:asciiTheme="minorHAnsi" w:hAnsiTheme="minorHAnsi"/>
          <w:b/>
          <w:bCs/>
          <w:color w:val="auto"/>
          <w:sz w:val="22"/>
          <w:szCs w:val="22"/>
        </w:rPr>
        <w:t>r</w:t>
      </w:r>
      <w:r w:rsidRPr="00FB6E71">
        <w:rPr>
          <w:rFonts w:asciiTheme="minorHAnsi" w:hAnsiTheme="minorHAnsi"/>
          <w:b/>
          <w:bCs/>
          <w:color w:val="auto"/>
          <w:sz w:val="22"/>
          <w:szCs w:val="22"/>
        </w:rPr>
        <w:t xml:space="preserve">eadiness of the </w:t>
      </w:r>
      <w:r>
        <w:rPr>
          <w:rFonts w:asciiTheme="minorHAnsi" w:hAnsiTheme="minorHAnsi"/>
          <w:b/>
          <w:bCs/>
          <w:color w:val="auto"/>
          <w:sz w:val="22"/>
          <w:szCs w:val="22"/>
        </w:rPr>
        <w:t>s</w:t>
      </w:r>
      <w:r w:rsidRPr="00FB6E71">
        <w:rPr>
          <w:rFonts w:asciiTheme="minorHAnsi" w:hAnsiTheme="minorHAnsi"/>
          <w:b/>
          <w:bCs/>
          <w:color w:val="auto"/>
          <w:sz w:val="22"/>
          <w:szCs w:val="22"/>
        </w:rPr>
        <w:t>tates</w:t>
      </w:r>
      <w:r>
        <w:rPr>
          <w:rFonts w:asciiTheme="minorHAnsi" w:hAnsiTheme="minorHAnsi"/>
          <w:b/>
          <w:bCs/>
          <w:color w:val="auto"/>
          <w:sz w:val="22"/>
          <w:szCs w:val="22"/>
        </w:rPr>
        <w:t>.</w:t>
      </w:r>
      <w:r w:rsidRPr="00FB6E71">
        <w:rPr>
          <w:rFonts w:asciiTheme="minorHAnsi" w:hAnsiTheme="minorHAnsi"/>
          <w:bCs/>
          <w:color w:val="auto"/>
          <w:sz w:val="22"/>
          <w:szCs w:val="22"/>
        </w:rPr>
        <w:t xml:space="preserve"> While implementation readiness seems to vary across the three targeted states, state ownership of the objectives and design of the proposed </w:t>
      </w:r>
      <w:r>
        <w:rPr>
          <w:rFonts w:asciiTheme="minorHAnsi" w:hAnsiTheme="minorHAnsi"/>
          <w:bCs/>
          <w:color w:val="auto"/>
          <w:sz w:val="22"/>
          <w:szCs w:val="22"/>
        </w:rPr>
        <w:t>p</w:t>
      </w:r>
      <w:r w:rsidRPr="00FB6E71">
        <w:rPr>
          <w:rFonts w:asciiTheme="minorHAnsi" w:hAnsiTheme="minorHAnsi"/>
          <w:bCs/>
          <w:color w:val="auto"/>
          <w:sz w:val="22"/>
          <w:szCs w:val="22"/>
        </w:rPr>
        <w:t>roject remains high. This is manifested by their agreement to strengthen their existing institutional capacity on an urgent basis by setting up the PCUs agreed during appraisal. The states have also started providing their first</w:t>
      </w:r>
      <w:r>
        <w:rPr>
          <w:rFonts w:asciiTheme="minorHAnsi" w:hAnsiTheme="minorHAnsi"/>
          <w:bCs/>
          <w:color w:val="auto"/>
          <w:sz w:val="22"/>
          <w:szCs w:val="22"/>
        </w:rPr>
        <w:t>-</w:t>
      </w:r>
      <w:r w:rsidRPr="00FB6E71">
        <w:rPr>
          <w:rFonts w:asciiTheme="minorHAnsi" w:hAnsiTheme="minorHAnsi"/>
          <w:bCs/>
          <w:color w:val="auto"/>
          <w:sz w:val="22"/>
          <w:szCs w:val="22"/>
        </w:rPr>
        <w:t>year specific investment plans across multiple sectors based on the prioritization process and criteria agreed with the World Bank team. The states will be utilizing the services of the existing Project Financial Management Units (PFMUs) at the state level and have also begun working on developing the project procurement strategy and plans. However, given the emergency nature of the project, the states have agreed to engage the services of the PMC that will provide services to help the states kick</w:t>
      </w:r>
      <w:r>
        <w:rPr>
          <w:rFonts w:asciiTheme="minorHAnsi" w:hAnsiTheme="minorHAnsi"/>
          <w:bCs/>
          <w:color w:val="auto"/>
          <w:sz w:val="22"/>
          <w:szCs w:val="22"/>
        </w:rPr>
        <w:t>-</w:t>
      </w:r>
      <w:r w:rsidRPr="00FB6E71">
        <w:rPr>
          <w:rFonts w:asciiTheme="minorHAnsi" w:hAnsiTheme="minorHAnsi"/>
          <w:bCs/>
          <w:color w:val="auto"/>
          <w:sz w:val="22"/>
          <w:szCs w:val="22"/>
        </w:rPr>
        <w:t xml:space="preserve">start and maintain </w:t>
      </w:r>
      <w:r>
        <w:rPr>
          <w:rFonts w:asciiTheme="minorHAnsi" w:hAnsiTheme="minorHAnsi"/>
          <w:bCs/>
          <w:color w:val="auto"/>
          <w:sz w:val="22"/>
          <w:szCs w:val="22"/>
        </w:rPr>
        <w:t xml:space="preserve">the </w:t>
      </w:r>
      <w:r w:rsidRPr="00FB6E71">
        <w:rPr>
          <w:rFonts w:asciiTheme="minorHAnsi" w:hAnsiTheme="minorHAnsi"/>
          <w:bCs/>
          <w:color w:val="auto"/>
          <w:sz w:val="22"/>
          <w:szCs w:val="22"/>
        </w:rPr>
        <w:t>project implementation momentum during the first two years of the project while their own capacity is gradually built.</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project fiduciary risk is rated </w:t>
      </w:r>
      <w:r>
        <w:rPr>
          <w:rFonts w:asciiTheme="minorHAnsi" w:hAnsiTheme="minorHAnsi"/>
          <w:b/>
          <w:bCs/>
          <w:color w:val="auto"/>
          <w:sz w:val="22"/>
          <w:szCs w:val="22"/>
        </w:rPr>
        <w:t>H</w:t>
      </w:r>
      <w:r w:rsidRPr="00FB6E71">
        <w:rPr>
          <w:rFonts w:asciiTheme="minorHAnsi" w:hAnsiTheme="minorHAnsi"/>
          <w:b/>
          <w:bCs/>
          <w:color w:val="auto"/>
          <w:sz w:val="22"/>
          <w:szCs w:val="22"/>
        </w:rPr>
        <w:t>igh.</w:t>
      </w:r>
      <w:r w:rsidRPr="00FB6E71">
        <w:rPr>
          <w:rFonts w:asciiTheme="minorHAnsi" w:hAnsiTheme="minorHAnsi"/>
          <w:bCs/>
          <w:color w:val="auto"/>
          <w:sz w:val="22"/>
          <w:szCs w:val="22"/>
        </w:rPr>
        <w:t xml:space="preserve"> All states of the </w:t>
      </w:r>
      <w:r>
        <w:rPr>
          <w:rFonts w:asciiTheme="minorHAnsi" w:hAnsiTheme="minorHAnsi"/>
          <w:bCs/>
          <w:color w:val="auto"/>
          <w:sz w:val="22"/>
          <w:szCs w:val="22"/>
        </w:rPr>
        <w:t>f</w:t>
      </w:r>
      <w:r w:rsidRPr="00FB6E71">
        <w:rPr>
          <w:rFonts w:asciiTheme="minorHAnsi" w:hAnsiTheme="minorHAnsi"/>
          <w:bCs/>
          <w:color w:val="auto"/>
          <w:sz w:val="22"/>
          <w:szCs w:val="22"/>
        </w:rPr>
        <w:t>ederation have a PFMU. However, with the level of devastation in the NE, the FM Unit of the World Bank is committed to ensur</w:t>
      </w:r>
      <w:r>
        <w:rPr>
          <w:rFonts w:asciiTheme="minorHAnsi" w:hAnsiTheme="minorHAnsi"/>
          <w:bCs/>
          <w:color w:val="auto"/>
          <w:sz w:val="22"/>
          <w:szCs w:val="22"/>
        </w:rPr>
        <w:t>e</w:t>
      </w:r>
      <w:r w:rsidRPr="00FB6E71">
        <w:rPr>
          <w:rFonts w:asciiTheme="minorHAnsi" w:hAnsiTheme="minorHAnsi"/>
          <w:bCs/>
          <w:color w:val="auto"/>
          <w:sz w:val="22"/>
          <w:szCs w:val="22"/>
        </w:rPr>
        <w:t xml:space="preserve"> that the required support is rendered to the project units. The current FM risk ratings for projects in Adamawa, Borno, and Yobe are Modest, Substantial, and Substantial, respectively. </w:t>
      </w:r>
      <w:r>
        <w:rPr>
          <w:rFonts w:asciiTheme="minorHAnsi" w:hAnsiTheme="minorHAnsi"/>
          <w:bCs/>
          <w:color w:val="auto"/>
          <w:sz w:val="22"/>
          <w:szCs w:val="22"/>
        </w:rPr>
        <w:t xml:space="preserve">However, given the conflict situation of the project areas and the overstretched capacity of the financial management and procurement staff in the three states, it is estimated that the fiduciary risk associated with this project would be higher than regular operations in the three states. Therefore the project fiduciary risk is rated High. </w:t>
      </w:r>
      <w:r w:rsidRPr="00FB6E71">
        <w:rPr>
          <w:rFonts w:asciiTheme="minorHAnsi" w:hAnsiTheme="minorHAnsi"/>
          <w:bCs/>
          <w:color w:val="auto"/>
          <w:sz w:val="22"/>
          <w:szCs w:val="22"/>
        </w:rPr>
        <w:t>Since 2003</w:t>
      </w:r>
      <w:r>
        <w:rPr>
          <w:rFonts w:asciiTheme="minorHAnsi" w:hAnsiTheme="minorHAnsi"/>
          <w:bCs/>
          <w:color w:val="auto"/>
          <w:sz w:val="22"/>
          <w:szCs w:val="22"/>
        </w:rPr>
        <w:t>,</w:t>
      </w:r>
      <w:r w:rsidRPr="00FB6E71">
        <w:rPr>
          <w:rFonts w:asciiTheme="minorHAnsi" w:hAnsiTheme="minorHAnsi"/>
          <w:bCs/>
          <w:color w:val="auto"/>
          <w:sz w:val="22"/>
          <w:szCs w:val="22"/>
        </w:rPr>
        <w:t xml:space="preserve"> the World Bank’s assisted projects in Nigeria have benefited immensely from the PFMU, which is a platform of the FMoF, with assistance from the World Bank, to attend to the fiduciary responsibilities of the project at both the state and federal levels. The staff of this unit are usually the accountants and internal auditors seconded from the Offices of the State Accountants General or the Office of the Accountant General of the Federation. In this way, ready capacity is available for new projects at reduced cost and low risk. The PFMU ensures that all accounting information </w:t>
      </w:r>
      <w:r>
        <w:rPr>
          <w:rFonts w:asciiTheme="minorHAnsi" w:hAnsiTheme="minorHAnsi"/>
          <w:bCs/>
          <w:color w:val="auto"/>
          <w:sz w:val="22"/>
          <w:szCs w:val="22"/>
        </w:rPr>
        <w:t>is</w:t>
      </w:r>
      <w:r w:rsidRPr="00FB6E71">
        <w:rPr>
          <w:rFonts w:asciiTheme="minorHAnsi" w:hAnsiTheme="minorHAnsi"/>
          <w:bCs/>
          <w:color w:val="auto"/>
          <w:sz w:val="22"/>
          <w:szCs w:val="22"/>
        </w:rPr>
        <w:t xml:space="preserve"> properly captured and reported </w:t>
      </w:r>
      <w:r>
        <w:rPr>
          <w:rFonts w:asciiTheme="minorHAnsi" w:hAnsiTheme="minorHAnsi"/>
          <w:bCs/>
          <w:color w:val="auto"/>
          <w:sz w:val="22"/>
          <w:szCs w:val="22"/>
        </w:rPr>
        <w:t>on</w:t>
      </w:r>
      <w:r w:rsidRPr="00FB6E71">
        <w:rPr>
          <w:rFonts w:asciiTheme="minorHAnsi" w:hAnsiTheme="minorHAnsi"/>
          <w:bCs/>
          <w:color w:val="auto"/>
          <w:sz w:val="22"/>
          <w:szCs w:val="22"/>
        </w:rPr>
        <w:t xml:space="preserve"> time to the stakeholders through the required reports. </w:t>
      </w:r>
      <w:r>
        <w:rPr>
          <w:rFonts w:asciiTheme="minorHAnsi" w:hAnsiTheme="minorHAnsi"/>
          <w:bCs/>
          <w:color w:val="auto"/>
          <w:sz w:val="22"/>
          <w:szCs w:val="22"/>
        </w:rPr>
        <w:t>Because</w:t>
      </w:r>
      <w:r w:rsidRPr="00FB6E71">
        <w:rPr>
          <w:rFonts w:asciiTheme="minorHAnsi" w:hAnsiTheme="minorHAnsi"/>
          <w:bCs/>
          <w:color w:val="auto"/>
          <w:sz w:val="22"/>
          <w:szCs w:val="22"/>
        </w:rPr>
        <w:t xml:space="preserve"> building materials such as cement, roofing</w:t>
      </w:r>
      <w:r>
        <w:rPr>
          <w:rFonts w:asciiTheme="minorHAnsi" w:hAnsiTheme="minorHAnsi"/>
          <w:bCs/>
          <w:color w:val="auto"/>
          <w:sz w:val="22"/>
          <w:szCs w:val="22"/>
        </w:rPr>
        <w:t>,</w:t>
      </w:r>
      <w:r w:rsidRPr="00FB6E71">
        <w:rPr>
          <w:rFonts w:asciiTheme="minorHAnsi" w:hAnsiTheme="minorHAnsi"/>
          <w:bCs/>
          <w:color w:val="auto"/>
          <w:sz w:val="22"/>
          <w:szCs w:val="22"/>
        </w:rPr>
        <w:t xml:space="preserve"> and equipment and machinery are affected by the exchange rates, the cost of construction and rehabilitation of facilities could experience serious cost and time overruns. This means that physical and financial contingencies should be adequately provisioned in the investment plans.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Security risks are rated </w:t>
      </w:r>
      <w:r>
        <w:rPr>
          <w:rFonts w:asciiTheme="minorHAnsi" w:hAnsiTheme="minorHAnsi"/>
          <w:b/>
          <w:bCs/>
          <w:color w:val="auto"/>
          <w:sz w:val="22"/>
          <w:szCs w:val="22"/>
        </w:rPr>
        <w:t>H</w:t>
      </w:r>
      <w:r w:rsidRPr="00FB6E71">
        <w:rPr>
          <w:rFonts w:asciiTheme="minorHAnsi" w:hAnsiTheme="minorHAnsi"/>
          <w:b/>
          <w:bCs/>
          <w:color w:val="auto"/>
          <w:sz w:val="22"/>
          <w:szCs w:val="22"/>
        </w:rPr>
        <w:t>igh</w:t>
      </w:r>
      <w:r w:rsidRPr="00FB6E71">
        <w:rPr>
          <w:rFonts w:asciiTheme="minorHAnsi" w:hAnsiTheme="minorHAnsi"/>
          <w:bCs/>
          <w:color w:val="auto"/>
          <w:sz w:val="22"/>
          <w:szCs w:val="22"/>
        </w:rPr>
        <w:t>. The dynamic nature of the conflict poses significant implementation and supervision risk</w:t>
      </w:r>
      <w:r>
        <w:rPr>
          <w:rFonts w:asciiTheme="minorHAnsi" w:hAnsiTheme="minorHAnsi"/>
          <w:bCs/>
          <w:color w:val="auto"/>
          <w:sz w:val="22"/>
          <w:szCs w:val="22"/>
        </w:rPr>
        <w:t>s</w:t>
      </w:r>
      <w:r w:rsidRPr="00FB6E71">
        <w:rPr>
          <w:rFonts w:asciiTheme="minorHAnsi" w:hAnsiTheme="minorHAnsi"/>
          <w:bCs/>
          <w:color w:val="auto"/>
          <w:sz w:val="22"/>
          <w:szCs w:val="22"/>
        </w:rPr>
        <w:t xml:space="preserve"> for the project. All project interventions will be carried out in moderate</w:t>
      </w:r>
      <w:r>
        <w:rPr>
          <w:rFonts w:asciiTheme="minorHAnsi" w:hAnsiTheme="minorHAnsi"/>
          <w:bCs/>
          <w:color w:val="auto"/>
          <w:sz w:val="22"/>
          <w:szCs w:val="22"/>
        </w:rPr>
        <w:t>-</w:t>
      </w:r>
      <w:r w:rsidRPr="00FB6E71">
        <w:rPr>
          <w:rFonts w:asciiTheme="minorHAnsi" w:hAnsiTheme="minorHAnsi"/>
          <w:bCs/>
          <w:color w:val="auto"/>
          <w:sz w:val="22"/>
          <w:szCs w:val="22"/>
        </w:rPr>
        <w:t xml:space="preserve"> to high</w:t>
      </w:r>
      <w:r>
        <w:rPr>
          <w:rFonts w:asciiTheme="minorHAnsi" w:hAnsiTheme="minorHAnsi"/>
          <w:bCs/>
          <w:color w:val="auto"/>
          <w:sz w:val="22"/>
          <w:szCs w:val="22"/>
        </w:rPr>
        <w:t>-</w:t>
      </w:r>
      <w:r w:rsidRPr="00FB6E71">
        <w:rPr>
          <w:rFonts w:asciiTheme="minorHAnsi" w:hAnsiTheme="minorHAnsi"/>
          <w:bCs/>
          <w:color w:val="auto"/>
          <w:sz w:val="22"/>
          <w:szCs w:val="22"/>
        </w:rPr>
        <w:t xml:space="preserve">risk security environments, given that the BH still maintains the ability to launch periodic attacks in some parts of Borno and Yobe. This can put both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project implementation staff and the assets created under the project at medium to high risk. </w:t>
      </w:r>
      <w:r>
        <w:rPr>
          <w:rFonts w:asciiTheme="minorHAnsi" w:hAnsiTheme="minorHAnsi"/>
          <w:bCs/>
          <w:color w:val="auto"/>
          <w:sz w:val="22"/>
          <w:szCs w:val="22"/>
        </w:rPr>
        <w:t>For</w:t>
      </w:r>
      <w:r w:rsidRPr="00FB6E71">
        <w:rPr>
          <w:rFonts w:asciiTheme="minorHAnsi" w:hAnsiTheme="minorHAnsi"/>
          <w:bCs/>
          <w:color w:val="auto"/>
          <w:sz w:val="22"/>
          <w:szCs w:val="22"/>
        </w:rPr>
        <w:t xml:space="preserve"> mitigation, the use of third-party monitors, local nongovernmental organizations (NGOs), and other civil society groups for supervision</w:t>
      </w:r>
      <w:r>
        <w:rPr>
          <w:rFonts w:asciiTheme="minorHAnsi" w:hAnsiTheme="minorHAnsi"/>
          <w:bCs/>
          <w:color w:val="auto"/>
          <w:sz w:val="22"/>
          <w:szCs w:val="22"/>
        </w:rPr>
        <w:t xml:space="preserve"> and</w:t>
      </w:r>
      <w:r w:rsidRPr="00FB6E71">
        <w:rPr>
          <w:rFonts w:asciiTheme="minorHAnsi" w:hAnsiTheme="minorHAnsi"/>
          <w:bCs/>
          <w:color w:val="auto"/>
          <w:sz w:val="22"/>
          <w:szCs w:val="22"/>
        </w:rPr>
        <w:t xml:space="preserve"> </w:t>
      </w:r>
      <w:r>
        <w:rPr>
          <w:rFonts w:asciiTheme="minorHAnsi" w:hAnsiTheme="minorHAnsi"/>
          <w:bCs/>
          <w:color w:val="auto"/>
          <w:sz w:val="22"/>
          <w:szCs w:val="22"/>
        </w:rPr>
        <w:t>M&amp;E</w:t>
      </w:r>
      <w:r w:rsidRPr="00FB6E71">
        <w:rPr>
          <w:rFonts w:asciiTheme="minorHAnsi" w:hAnsiTheme="minorHAnsi"/>
          <w:bCs/>
          <w:color w:val="auto"/>
          <w:sz w:val="22"/>
          <w:szCs w:val="22"/>
        </w:rPr>
        <w:t xml:space="preserve"> will be explored. To further mitigate this risk, </w:t>
      </w:r>
      <w:r>
        <w:rPr>
          <w:rFonts w:asciiTheme="minorHAnsi" w:hAnsiTheme="minorHAnsi"/>
          <w:bCs/>
          <w:color w:val="auto"/>
          <w:sz w:val="22"/>
          <w:szCs w:val="22"/>
        </w:rPr>
        <w:t xml:space="preserve">the </w:t>
      </w:r>
      <w:r w:rsidRPr="00FB6E71">
        <w:rPr>
          <w:rFonts w:asciiTheme="minorHAnsi" w:hAnsiTheme="minorHAnsi"/>
          <w:bCs/>
          <w:color w:val="auto"/>
          <w:sz w:val="22"/>
          <w:szCs w:val="22"/>
        </w:rPr>
        <w:t>subproject selection criteria under the strategic action planning exercise will consider security factors and avoid high</w:t>
      </w:r>
      <w:r>
        <w:rPr>
          <w:rFonts w:asciiTheme="minorHAnsi" w:hAnsiTheme="minorHAnsi"/>
          <w:bCs/>
          <w:color w:val="auto"/>
          <w:sz w:val="22"/>
          <w:szCs w:val="22"/>
        </w:rPr>
        <w:t>-</w:t>
      </w:r>
      <w:r w:rsidRPr="00FB6E71">
        <w:rPr>
          <w:rFonts w:asciiTheme="minorHAnsi" w:hAnsiTheme="minorHAnsi"/>
          <w:bCs/>
          <w:color w:val="auto"/>
          <w:sz w:val="22"/>
          <w:szCs w:val="22"/>
        </w:rPr>
        <w:t>risk areas based on periodic security assessments. Flexibility and adaptability of the project design has also been built in the project, allowing it to adapt to the situation in case of an escalation of the conflict. Also, security premiums have been factored into the project cost estimates</w:t>
      </w:r>
      <w:r>
        <w:rPr>
          <w:rFonts w:asciiTheme="minorHAnsi" w:hAnsiTheme="minorHAnsi"/>
          <w:bCs/>
          <w:color w:val="auto"/>
          <w:sz w:val="22"/>
          <w:szCs w:val="22"/>
        </w:rPr>
        <w:t>,</w:t>
      </w:r>
      <w:r w:rsidRPr="00FB6E71">
        <w:rPr>
          <w:rFonts w:asciiTheme="minorHAnsi" w:hAnsiTheme="minorHAnsi"/>
          <w:bCs/>
          <w:color w:val="auto"/>
          <w:sz w:val="22"/>
          <w:szCs w:val="22"/>
        </w:rPr>
        <w:t xml:space="preserve"> and bidders of works and services contracts will be required to </w:t>
      </w:r>
      <w:r>
        <w:rPr>
          <w:rFonts w:asciiTheme="minorHAnsi" w:hAnsiTheme="minorHAnsi"/>
          <w:bCs/>
          <w:color w:val="auto"/>
          <w:sz w:val="22"/>
          <w:szCs w:val="22"/>
        </w:rPr>
        <w:t>include</w:t>
      </w:r>
      <w:r w:rsidRPr="00FB6E71">
        <w:rPr>
          <w:rFonts w:asciiTheme="minorHAnsi" w:hAnsiTheme="minorHAnsi"/>
          <w:bCs/>
          <w:color w:val="auto"/>
          <w:sz w:val="22"/>
          <w:szCs w:val="22"/>
        </w:rPr>
        <w:t xml:space="preserve"> security costs into their bid prices. Additionally, the World Bank and other development partners will also work with the Federal Government to set up a mechanism for receiving regular security assessments and updates. Under such a mechanism, any upcoming security risks could be brought up by the states and the development partners and mitigation measures accordingly agreed and put in place by the federal and respective state governments.</w:t>
      </w:r>
      <w:r>
        <w:rPr>
          <w:rFonts w:asciiTheme="minorHAnsi" w:hAnsiTheme="minorHAnsi"/>
          <w:bCs/>
          <w:color w:val="auto"/>
          <w:sz w:val="22"/>
          <w:szCs w:val="22"/>
        </w:rPr>
        <w:t xml:space="preserve"> Meanwhile, to mitigate the security risks associated with explosive remnants which might be found in the three BAY states, all subproject activities will only be conducted in the areas that have been declared safe and clear of explosive remnants of war. The GoN and the governments of the three BAY states are responsible to ensure that any area in which the Project will be implemented has been cleared, by providing a confirmation in form and substance satisfactory to the World Bank. Detailed process and requirements regarding this matter will be included in the PIM.</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Climate risk.</w:t>
      </w:r>
      <w:r w:rsidRPr="00FB6E71">
        <w:rPr>
          <w:rFonts w:asciiTheme="minorHAnsi" w:hAnsiTheme="minorHAnsi"/>
          <w:bCs/>
          <w:color w:val="auto"/>
          <w:sz w:val="22"/>
          <w:szCs w:val="22"/>
        </w:rPr>
        <w:t xml:space="preserve"> Nigeria is registering changes in its climate patterns. Average maximum temperatures have been increasing</w:t>
      </w:r>
      <w:r>
        <w:rPr>
          <w:rFonts w:asciiTheme="minorHAnsi" w:hAnsiTheme="minorHAnsi"/>
          <w:bCs/>
          <w:color w:val="auto"/>
          <w:sz w:val="22"/>
          <w:szCs w:val="22"/>
        </w:rPr>
        <w:t>,</w:t>
      </w:r>
      <w:r w:rsidRPr="00FB6E71">
        <w:rPr>
          <w:rFonts w:asciiTheme="minorHAnsi" w:hAnsiTheme="minorHAnsi"/>
          <w:bCs/>
          <w:color w:val="auto"/>
          <w:sz w:val="22"/>
          <w:szCs w:val="22"/>
        </w:rPr>
        <w:t xml:space="preserve"> with maximum temperatures ranging between 31</w:t>
      </w:r>
      <w:r>
        <w:rPr>
          <w:rFonts w:asciiTheme="minorHAnsi" w:hAnsiTheme="minorHAnsi"/>
          <w:bCs/>
          <w:color w:val="auto"/>
          <w:sz w:val="22"/>
          <w:szCs w:val="22"/>
        </w:rPr>
        <w:t>°C</w:t>
      </w:r>
      <w:r w:rsidRPr="00FB6E71">
        <w:rPr>
          <w:rFonts w:asciiTheme="minorHAnsi" w:hAnsiTheme="minorHAnsi"/>
          <w:bCs/>
          <w:color w:val="auto"/>
          <w:sz w:val="22"/>
          <w:szCs w:val="22"/>
        </w:rPr>
        <w:t xml:space="preserve"> and 33</w:t>
      </w:r>
      <w:r>
        <w:rPr>
          <w:rFonts w:asciiTheme="minorHAnsi" w:hAnsiTheme="minorHAnsi"/>
          <w:bCs/>
          <w:color w:val="auto"/>
          <w:sz w:val="22"/>
          <w:szCs w:val="22"/>
        </w:rPr>
        <w:t>°C</w:t>
      </w:r>
      <w:r w:rsidRPr="00FB6E71">
        <w:rPr>
          <w:rFonts w:asciiTheme="minorHAnsi" w:hAnsiTheme="minorHAnsi"/>
          <w:bCs/>
          <w:color w:val="auto"/>
          <w:sz w:val="22"/>
          <w:szCs w:val="22"/>
        </w:rPr>
        <w:t xml:space="preserve">. Average precipitation per year has decreased significantly in Nigeria by 3.5 </w:t>
      </w:r>
      <w:r>
        <w:rPr>
          <w:rFonts w:asciiTheme="minorHAnsi" w:hAnsiTheme="minorHAnsi"/>
          <w:bCs/>
          <w:color w:val="auto"/>
          <w:sz w:val="22"/>
          <w:szCs w:val="22"/>
        </w:rPr>
        <w:t>mm</w:t>
      </w:r>
      <w:r w:rsidRPr="00FB6E71">
        <w:rPr>
          <w:rFonts w:asciiTheme="minorHAnsi" w:hAnsiTheme="minorHAnsi"/>
          <w:bCs/>
          <w:color w:val="auto"/>
          <w:sz w:val="22"/>
          <w:szCs w:val="22"/>
        </w:rPr>
        <w:t xml:space="preserve"> per month</w:t>
      </w:r>
      <w:r>
        <w:rPr>
          <w:rFonts w:asciiTheme="minorHAnsi" w:hAnsiTheme="minorHAnsi"/>
          <w:bCs/>
          <w:color w:val="auto"/>
          <w:sz w:val="22"/>
          <w:szCs w:val="22"/>
        </w:rPr>
        <w:t>,</w:t>
      </w:r>
      <w:r w:rsidRPr="00FB6E71">
        <w:rPr>
          <w:rFonts w:asciiTheme="minorHAnsi" w:hAnsiTheme="minorHAnsi"/>
          <w:bCs/>
          <w:color w:val="auto"/>
          <w:sz w:val="22"/>
          <w:szCs w:val="22"/>
        </w:rPr>
        <w:t xml:space="preserve"> and desertification has been intensifying in the northern areas of Nigeria, with deserts migrating southward. Flooding is also becoming more frequent throughout the country. Projections indicate an increase in the </w:t>
      </w:r>
      <w:r>
        <w:rPr>
          <w:rFonts w:asciiTheme="minorHAnsi" w:hAnsiTheme="minorHAnsi"/>
          <w:bCs/>
          <w:color w:val="auto"/>
          <w:sz w:val="22"/>
          <w:szCs w:val="22"/>
        </w:rPr>
        <w:t>number</w:t>
      </w:r>
      <w:r w:rsidRPr="00FB6E71">
        <w:rPr>
          <w:rFonts w:asciiTheme="minorHAnsi" w:hAnsiTheme="minorHAnsi"/>
          <w:bCs/>
          <w:color w:val="auto"/>
          <w:sz w:val="22"/>
          <w:szCs w:val="22"/>
        </w:rPr>
        <w:t xml:space="preserve"> of days with ‘extreme’ rainfall.</w:t>
      </w:r>
      <w:r>
        <w:rPr>
          <w:rStyle w:val="FootnoteReference"/>
          <w:rFonts w:asciiTheme="minorHAnsi" w:hAnsiTheme="minorHAnsi"/>
          <w:bCs/>
          <w:color w:val="auto"/>
          <w:sz w:val="22"/>
          <w:szCs w:val="22"/>
        </w:rPr>
        <w:footnoteReference w:id="12"/>
      </w:r>
      <w:r w:rsidRPr="00FB6E71">
        <w:rPr>
          <w:rFonts w:asciiTheme="minorHAnsi" w:hAnsiTheme="minorHAnsi"/>
          <w:bCs/>
          <w:color w:val="auto"/>
          <w:sz w:val="22"/>
          <w:szCs w:val="22"/>
        </w:rPr>
        <w:t xml:space="preserve"> Extreme climate events could negatively </w:t>
      </w:r>
      <w:r>
        <w:rPr>
          <w:rFonts w:asciiTheme="minorHAnsi" w:hAnsiTheme="minorHAnsi"/>
          <w:bCs/>
          <w:color w:val="auto"/>
          <w:sz w:val="22"/>
          <w:szCs w:val="22"/>
        </w:rPr>
        <w:t>affect</w:t>
      </w:r>
      <w:r w:rsidRPr="00FB6E71">
        <w:rPr>
          <w:rFonts w:asciiTheme="minorHAnsi" w:hAnsiTheme="minorHAnsi"/>
          <w:bCs/>
          <w:color w:val="auto"/>
          <w:sz w:val="22"/>
          <w:szCs w:val="22"/>
        </w:rPr>
        <w:t xml:space="preserve"> resilience</w:t>
      </w:r>
      <w:r>
        <w:rPr>
          <w:rFonts w:asciiTheme="minorHAnsi" w:hAnsiTheme="minorHAnsi"/>
          <w:bCs/>
          <w:color w:val="auto"/>
          <w:sz w:val="22"/>
          <w:szCs w:val="22"/>
        </w:rPr>
        <w:t>-</w:t>
      </w:r>
      <w:r w:rsidRPr="00FB6E71">
        <w:rPr>
          <w:rFonts w:asciiTheme="minorHAnsi" w:hAnsiTheme="minorHAnsi"/>
          <w:bCs/>
          <w:color w:val="auto"/>
          <w:sz w:val="22"/>
          <w:szCs w:val="22"/>
        </w:rPr>
        <w:t xml:space="preserve">building efforts. In view of these challenges, all assets and services financed under the </w:t>
      </w:r>
      <w:r>
        <w:rPr>
          <w:rFonts w:asciiTheme="minorHAnsi" w:hAnsiTheme="minorHAnsi"/>
          <w:bCs/>
          <w:color w:val="auto"/>
          <w:sz w:val="22"/>
          <w:szCs w:val="22"/>
        </w:rPr>
        <w:t>p</w:t>
      </w:r>
      <w:r w:rsidRPr="00FB6E71">
        <w:rPr>
          <w:rFonts w:asciiTheme="minorHAnsi" w:hAnsiTheme="minorHAnsi"/>
          <w:bCs/>
          <w:color w:val="auto"/>
          <w:sz w:val="22"/>
          <w:szCs w:val="22"/>
        </w:rPr>
        <w:t>roject will be designed to improved, build-back-better standards that take into account climate and disaster risk</w:t>
      </w:r>
      <w:r>
        <w:rPr>
          <w:rFonts w:asciiTheme="minorHAnsi" w:hAnsiTheme="minorHAnsi"/>
          <w:bCs/>
          <w:color w:val="auto"/>
          <w:sz w:val="22"/>
          <w:szCs w:val="22"/>
        </w:rPr>
        <w:t>s</w:t>
      </w:r>
      <w:r w:rsidRPr="00FB6E71">
        <w:rPr>
          <w:rFonts w:asciiTheme="minorHAnsi" w:hAnsiTheme="minorHAnsi"/>
          <w:bCs/>
          <w:color w:val="auto"/>
          <w:sz w:val="22"/>
          <w:szCs w:val="22"/>
        </w:rPr>
        <w:t xml:space="preserve">. </w:t>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962"/>
      </w:tblGrid>
      <w:tr w:rsidTr="007F2DE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432"/>
        </w:trPr>
        <w:tc>
          <w:tcPr>
            <w:tcW w:w="10962" w:type="dxa"/>
            <w:shd w:val="clear" w:color="auto" w:fill="F2F2F2"/>
            <w:vAlign w:val="center"/>
          </w:tcPr>
          <w:p w:rsidR="007F2DE7" w:rsidRPr="00FB6E71" w:rsidP="007F2DE7">
            <w:pPr>
              <w:pStyle w:val="NoSpacing"/>
              <w:keepNext/>
              <w:keepLines/>
              <w:widowControl/>
              <w:numPr>
                <w:ilvl w:val="0"/>
                <w:numId w:val="1"/>
              </w:numPr>
              <w:ind w:left="288" w:hanging="288"/>
              <w:outlineLvl w:val="0"/>
              <w:rPr>
                <w:rFonts w:asciiTheme="minorHAnsi" w:hAnsiTheme="minorHAnsi"/>
                <w:b/>
                <w:sz w:val="22"/>
                <w:szCs w:val="22"/>
              </w:rPr>
            </w:pPr>
            <w:bookmarkStart w:id="81" w:name="_Toc256000019"/>
            <w:bookmarkStart w:id="82" w:name="_Toc433982425"/>
            <w:bookmarkStart w:id="83" w:name="_Toc460509206"/>
            <w:bookmarkStart w:id="84" w:name="_Toc476558121"/>
            <w:r w:rsidRPr="00FB6E71">
              <w:rPr>
                <w:rFonts w:asciiTheme="minorHAnsi" w:hAnsiTheme="minorHAnsi"/>
                <w:b/>
                <w:sz w:val="22"/>
                <w:szCs w:val="22"/>
              </w:rPr>
              <w:t>APPRAISAL SUMMARY</w:t>
            </w:r>
            <w:bookmarkEnd w:id="81"/>
            <w:bookmarkEnd w:id="82"/>
            <w:bookmarkEnd w:id="83"/>
            <w:bookmarkEnd w:id="84"/>
          </w:p>
        </w:tc>
      </w:tr>
    </w:tbl>
    <w:p w:rsidR="007F2DE7" w:rsidRPr="00FB6E71" w:rsidP="007F2DE7">
      <w:pPr>
        <w:keepNext/>
        <w:keepLines/>
        <w:widowControl/>
        <w:ind w:left="-634"/>
        <w:rPr>
          <w:rFonts w:asciiTheme="minorHAnsi" w:hAnsiTheme="minorHAnsi"/>
          <w:b/>
          <w:bCs/>
          <w:color w:val="7F7F7F" w:themeColor="text1" w:themeTint="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85" w:name="_Toc256000020"/>
            <w:bookmarkStart w:id="86" w:name="_Toc433982426"/>
            <w:bookmarkStart w:id="87" w:name="_Toc460509207"/>
            <w:bookmarkStart w:id="88" w:name="_Toc476558122"/>
            <w:r w:rsidRPr="00FB6E71">
              <w:rPr>
                <w:rFonts w:asciiTheme="minorHAnsi" w:hAnsiTheme="minorHAnsi"/>
                <w:b/>
                <w:bCs/>
                <w:color w:val="172D5F"/>
                <w:sz w:val="22"/>
                <w:szCs w:val="22"/>
              </w:rPr>
              <w:t>A. Economic and Financial (if applicable) Analysis</w:t>
            </w:r>
            <w:bookmarkEnd w:id="85"/>
            <w:bookmarkEnd w:id="86"/>
            <w:bookmarkEnd w:id="87"/>
            <w:bookmarkEnd w:id="88"/>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economic analysis conducted as part of the project preparation process indicates that the proposed interventions are economically feasible.</w:t>
      </w:r>
      <w:r w:rsidRPr="00FB6E71">
        <w:rPr>
          <w:rFonts w:asciiTheme="minorHAnsi" w:hAnsiTheme="minorHAnsi"/>
          <w:bCs/>
          <w:color w:val="auto"/>
          <w:sz w:val="22"/>
          <w:szCs w:val="22"/>
        </w:rPr>
        <w:t xml:space="preserve"> The main focus of the economic analysis was around Component 2, </w:t>
      </w:r>
      <w:r>
        <w:rPr>
          <w:rFonts w:asciiTheme="minorHAnsi" w:hAnsiTheme="minorHAnsi"/>
          <w:bCs/>
          <w:color w:val="auto"/>
          <w:sz w:val="22"/>
          <w:szCs w:val="22"/>
        </w:rPr>
        <w:t>because</w:t>
      </w:r>
      <w:r w:rsidRPr="00FB6E71">
        <w:rPr>
          <w:rFonts w:asciiTheme="minorHAnsi" w:hAnsiTheme="minorHAnsi"/>
          <w:bCs/>
          <w:color w:val="auto"/>
          <w:sz w:val="22"/>
          <w:szCs w:val="22"/>
        </w:rPr>
        <w:t xml:space="preserve"> the majority of investments are dedicated to that component. The typology of interventions is expected to lead to positive economic rates of return, largely in excess of the discount rate of </w:t>
      </w:r>
      <w:r>
        <w:rPr>
          <w:rFonts w:asciiTheme="minorHAnsi" w:hAnsiTheme="minorHAnsi"/>
          <w:bCs/>
          <w:color w:val="auto"/>
          <w:sz w:val="22"/>
          <w:szCs w:val="22"/>
        </w:rPr>
        <w:t>6</w:t>
      </w:r>
      <w:r w:rsidRPr="00FB6E71">
        <w:rPr>
          <w:rFonts w:asciiTheme="minorHAnsi" w:hAnsiTheme="minorHAnsi"/>
          <w:bCs/>
          <w:color w:val="auto"/>
          <w:sz w:val="22"/>
          <w:szCs w:val="22"/>
        </w:rPr>
        <w:t xml:space="preserve"> percent assumed for these interventions. This assumes benefits from the following benefit streams: (a) greater regional connectivity through bridge and road access, with ensuing benefits in  reduced cost and time of travel for individuals and businesses, and greater regional integration; (b) better water, sanitation, and hygiene (WASH) services, with ensuing gains on health conditions; (c) greater access to health care facilities, with ensuing gains in productivity and reduced health care expenditures through preventive measures undertaken; (d) greater access to educational facilities, with ensuing gains in productivity and social cohesion; and (e) greater capacity for LGAs to deliver projects. In addition to the typologies identified under Component 2, the MCRP supports peace building and greater social cohesion through a number of programs and in-kind support to vulnerable segments of society affected by the conflict under Component 1. The details of the economic analysis performed are presented in </w:t>
      </w:r>
      <w:r>
        <w:rPr>
          <w:rFonts w:asciiTheme="minorHAnsi" w:hAnsiTheme="minorHAnsi"/>
          <w:bCs/>
          <w:color w:val="auto"/>
          <w:sz w:val="22"/>
          <w:szCs w:val="22"/>
        </w:rPr>
        <w:t>a</w:t>
      </w:r>
      <w:r w:rsidRPr="00FB6E71">
        <w:rPr>
          <w:rFonts w:asciiTheme="minorHAnsi" w:hAnsiTheme="minorHAnsi"/>
          <w:bCs/>
          <w:color w:val="auto"/>
          <w:sz w:val="22"/>
          <w:szCs w:val="22"/>
        </w:rPr>
        <w:t>nnex 4.</w:t>
      </w:r>
    </w:p>
    <w:p w:rsidR="007F2DE7" w:rsidRPr="00204072" w:rsidP="00302E0C">
      <w:pPr>
        <w:pStyle w:val="ListParagraph"/>
        <w:widowControl/>
        <w:numPr>
          <w:ilvl w:val="0"/>
          <w:numId w:val="17"/>
        </w:numPr>
        <w:spacing w:after="240"/>
        <w:ind w:left="0" w:firstLine="0"/>
        <w:contextualSpacing w:val="0"/>
        <w:jc w:val="both"/>
        <w:rPr>
          <w:rFonts w:asciiTheme="minorHAnsi" w:hAnsiTheme="minorHAnsi"/>
          <w:color w:val="auto"/>
          <w:sz w:val="22"/>
          <w:szCs w:val="22"/>
        </w:rPr>
      </w:pPr>
      <w:r w:rsidRPr="00FB6E71">
        <w:rPr>
          <w:rFonts w:asciiTheme="minorHAnsi" w:hAnsiTheme="minorHAnsi"/>
          <w:b/>
          <w:bCs/>
          <w:color w:val="auto"/>
          <w:sz w:val="22"/>
          <w:szCs w:val="22"/>
        </w:rPr>
        <w:t xml:space="preserve">The sensitivity analysis performed indicates that the economic rate of return for interventions under Component 2 remains significant even if potential downside adjustments to the economic assumptions made were to materialize. </w:t>
      </w:r>
      <w:r w:rsidRPr="00FB6E71">
        <w:rPr>
          <w:rFonts w:asciiTheme="minorHAnsi" w:hAnsiTheme="minorHAnsi"/>
          <w:color w:val="auto"/>
          <w:sz w:val="22"/>
          <w:szCs w:val="22"/>
        </w:rPr>
        <w:t xml:space="preserve">The results of the sensitivity analysis are presented in </w:t>
      </w:r>
      <w:r>
        <w:rPr>
          <w:rFonts w:asciiTheme="minorHAnsi" w:hAnsiTheme="minorHAnsi"/>
          <w:color w:val="auto"/>
          <w:sz w:val="22"/>
          <w:szCs w:val="22"/>
        </w:rPr>
        <w:fldChar w:fldCharType="begin"/>
      </w:r>
      <w:r>
        <w:rPr>
          <w:rFonts w:asciiTheme="minorHAnsi" w:hAnsiTheme="minorHAnsi"/>
          <w:color w:val="auto"/>
          <w:sz w:val="22"/>
          <w:szCs w:val="22"/>
        </w:rPr>
        <w:instrText xml:space="preserve"> REF _Ref475629998 \h  \* MERGEFORMAT </w:instrText>
      </w:r>
      <w:r>
        <w:rPr>
          <w:rFonts w:asciiTheme="minorHAnsi" w:hAnsiTheme="minorHAnsi"/>
          <w:color w:val="auto"/>
          <w:sz w:val="22"/>
          <w:szCs w:val="22"/>
        </w:rPr>
        <w:fldChar w:fldCharType="separate"/>
      </w:r>
      <w:r w:rsidRPr="00204072">
        <w:rPr>
          <w:rFonts w:asciiTheme="minorHAnsi" w:hAnsiTheme="minorHAnsi"/>
          <w:color w:val="auto"/>
          <w:sz w:val="22"/>
          <w:szCs w:val="22"/>
        </w:rPr>
        <w:t>table 3</w:t>
      </w:r>
      <w:r>
        <w:rPr>
          <w:rFonts w:asciiTheme="minorHAnsi" w:hAnsiTheme="minorHAnsi"/>
          <w:color w:val="auto"/>
          <w:sz w:val="22"/>
          <w:szCs w:val="22"/>
        </w:rPr>
        <w:fldChar w:fldCharType="end"/>
      </w:r>
      <w:r w:rsidRPr="00FB6E71">
        <w:rPr>
          <w:rFonts w:asciiTheme="minorHAnsi" w:hAnsiTheme="minorHAnsi"/>
          <w:color w:val="auto"/>
          <w:sz w:val="22"/>
          <w:szCs w:val="22"/>
        </w:rPr>
        <w:t>.</w:t>
      </w:r>
      <w:r w:rsidRPr="00204072">
        <w:rPr>
          <w:rFonts w:asciiTheme="minorHAnsi" w:hAnsiTheme="minorHAnsi"/>
          <w:color w:val="auto"/>
          <w:sz w:val="22"/>
          <w:szCs w:val="22"/>
        </w:rPr>
        <w:t xml:space="preserve"> </w:t>
      </w:r>
    </w:p>
    <w:p w:rsidR="007F2DE7" w:rsidRPr="00FB6E71" w:rsidP="007F2DE7">
      <w:pPr>
        <w:pStyle w:val="Caption"/>
        <w:keepNext/>
        <w:keepLines/>
        <w:widowControl/>
        <w:spacing w:before="120" w:after="120"/>
        <w:jc w:val="center"/>
        <w:rPr>
          <w:rFonts w:asciiTheme="minorHAnsi" w:hAnsiTheme="minorHAnsi"/>
          <w:b/>
          <w:i w:val="0"/>
          <w:color w:val="auto"/>
        </w:rPr>
      </w:pPr>
      <w:bookmarkStart w:id="89" w:name="_Ref475629998"/>
      <w:r w:rsidRPr="00FB6E71">
        <w:rPr>
          <w:rFonts w:asciiTheme="minorHAnsi" w:hAnsiTheme="minorHAnsi"/>
          <w:b/>
          <w:i w:val="0"/>
          <w:color w:val="auto"/>
        </w:rPr>
        <w:t xml:space="preserve">Table </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 \* ARABIC </w:instrText>
      </w:r>
      <w:r w:rsidRPr="00FB6E71">
        <w:rPr>
          <w:rFonts w:asciiTheme="minorHAnsi" w:hAnsiTheme="minorHAnsi"/>
          <w:b/>
          <w:i w:val="0"/>
          <w:color w:val="auto"/>
        </w:rPr>
        <w:fldChar w:fldCharType="separate"/>
      </w:r>
      <w:r>
        <w:rPr>
          <w:rFonts w:asciiTheme="minorHAnsi" w:hAnsiTheme="minorHAnsi"/>
          <w:b/>
          <w:i w:val="0"/>
          <w:noProof/>
          <w:color w:val="auto"/>
        </w:rPr>
        <w:t>3</w:t>
      </w:r>
      <w:r w:rsidRPr="00FB6E71">
        <w:rPr>
          <w:rFonts w:asciiTheme="minorHAnsi" w:hAnsiTheme="minorHAnsi"/>
          <w:b/>
          <w:i w:val="0"/>
          <w:color w:val="auto"/>
        </w:rPr>
        <w:fldChar w:fldCharType="end"/>
      </w:r>
      <w:bookmarkEnd w:id="89"/>
      <w:r>
        <w:rPr>
          <w:rFonts w:asciiTheme="minorHAnsi" w:hAnsiTheme="minorHAnsi"/>
          <w:b/>
          <w:i w:val="0"/>
          <w:color w:val="auto"/>
        </w:rPr>
        <w:t>.</w:t>
      </w:r>
      <w:r w:rsidRPr="00FB6E71">
        <w:rPr>
          <w:rFonts w:asciiTheme="minorHAnsi" w:hAnsiTheme="minorHAnsi"/>
          <w:b/>
          <w:i w:val="0"/>
          <w:color w:val="auto"/>
        </w:rPr>
        <w:t xml:space="preserve"> Estimated Economic Rate of Return for Component 2 under Various Assumptions</w:t>
      </w:r>
    </w:p>
    <w:tbl>
      <w:tblPr>
        <w:tblStyle w:val="TableGrid"/>
        <w:tblW w:w="3750" w:type="pct"/>
        <w:jc w:val="center"/>
        <w:tblBorders>
          <w:left w:val="none" w:sz="0" w:space="0" w:color="auto"/>
          <w:right w:val="none" w:sz="0" w:space="0" w:color="auto"/>
          <w:insideV w:val="none" w:sz="0" w:space="0" w:color="auto"/>
        </w:tblBorders>
        <w:tblLook w:val="04A0"/>
      </w:tblPr>
      <w:tblGrid>
        <w:gridCol w:w="4169"/>
        <w:gridCol w:w="2851"/>
      </w:tblGrid>
      <w:tr w:rsidTr="007F2DE7">
        <w:tblPrEx>
          <w:tblW w:w="3750" w:type="pct"/>
          <w:jc w:val="center"/>
          <w:tblBorders>
            <w:left w:val="none" w:sz="0" w:space="0" w:color="auto"/>
            <w:right w:val="none" w:sz="0" w:space="0" w:color="auto"/>
            <w:insideV w:val="none" w:sz="0" w:space="0" w:color="auto"/>
          </w:tblBorders>
          <w:tblLook w:val="04A0"/>
        </w:tblPrEx>
        <w:trPr>
          <w:cantSplit/>
          <w:tblHeader/>
          <w:jc w:val="center"/>
        </w:trPr>
        <w:tc>
          <w:tcPr>
            <w:tcW w:w="4169" w:type="dxa"/>
            <w:vAlign w:val="center"/>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Scenario</w:t>
            </w:r>
          </w:p>
        </w:tc>
        <w:tc>
          <w:tcPr>
            <w:tcW w:w="2851" w:type="dxa"/>
            <w:vAlign w:val="center"/>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Economic Rate of Return (%)</w:t>
            </w:r>
          </w:p>
        </w:tc>
      </w:tr>
      <w:tr w:rsidTr="007F2DE7">
        <w:tblPrEx>
          <w:tblW w:w="3750" w:type="pct"/>
          <w:jc w:val="center"/>
          <w:tblLook w:val="04A0"/>
        </w:tblPrEx>
        <w:trPr>
          <w:cantSplit/>
          <w:jc w:val="center"/>
        </w:trPr>
        <w:tc>
          <w:tcPr>
            <w:tcW w:w="4169" w:type="dxa"/>
            <w:vAlign w:val="center"/>
          </w:tcPr>
          <w:p w:rsidR="007F2DE7" w:rsidRPr="00FB6E71" w:rsidP="007F2DE7">
            <w:pPr>
              <w:keepNext/>
              <w:rPr>
                <w:rFonts w:asciiTheme="minorHAnsi" w:hAnsiTheme="minorHAnsi"/>
                <w:color w:val="auto"/>
                <w:sz w:val="18"/>
                <w:szCs w:val="18"/>
              </w:rPr>
            </w:pPr>
            <w:r w:rsidRPr="00FB6E71">
              <w:rPr>
                <w:rFonts w:asciiTheme="minorHAnsi" w:hAnsiTheme="minorHAnsi"/>
                <w:color w:val="auto"/>
                <w:sz w:val="18"/>
                <w:szCs w:val="18"/>
              </w:rPr>
              <w:t>Baseline</w:t>
            </w:r>
          </w:p>
        </w:tc>
        <w:tc>
          <w:tcPr>
            <w:tcW w:w="2851" w:type="dxa"/>
            <w:vAlign w:val="center"/>
          </w:tcPr>
          <w:p w:rsidR="007F2DE7" w:rsidRPr="00FB6E71" w:rsidP="007F2DE7">
            <w:pPr>
              <w:keepNext/>
              <w:jc w:val="center"/>
              <w:rPr>
                <w:rFonts w:asciiTheme="minorHAnsi" w:hAnsiTheme="minorHAnsi"/>
                <w:color w:val="auto"/>
                <w:sz w:val="18"/>
                <w:szCs w:val="18"/>
              </w:rPr>
            </w:pPr>
            <w:r w:rsidRPr="00FB6E71">
              <w:rPr>
                <w:rFonts w:asciiTheme="minorHAnsi" w:hAnsiTheme="minorHAnsi"/>
                <w:color w:val="auto"/>
                <w:sz w:val="18"/>
                <w:szCs w:val="18"/>
              </w:rPr>
              <w:t>17.6</w:t>
            </w:r>
          </w:p>
        </w:tc>
      </w:tr>
      <w:tr w:rsidTr="007F2DE7">
        <w:tblPrEx>
          <w:tblW w:w="3750" w:type="pct"/>
          <w:jc w:val="center"/>
          <w:tblLook w:val="04A0"/>
        </w:tblPrEx>
        <w:trPr>
          <w:cantSplit/>
          <w:jc w:val="center"/>
        </w:trPr>
        <w:tc>
          <w:tcPr>
            <w:tcW w:w="4169" w:type="dxa"/>
            <w:vAlign w:val="center"/>
          </w:tcPr>
          <w:p w:rsidR="007F2DE7" w:rsidRPr="00FB6E71" w:rsidP="007F2DE7">
            <w:pPr>
              <w:keepNext/>
              <w:rPr>
                <w:rFonts w:asciiTheme="minorHAnsi" w:hAnsiTheme="minorHAnsi"/>
                <w:color w:val="auto"/>
                <w:sz w:val="18"/>
                <w:szCs w:val="18"/>
              </w:rPr>
            </w:pPr>
            <w:r w:rsidRPr="00FB6E71">
              <w:rPr>
                <w:rFonts w:asciiTheme="minorHAnsi" w:hAnsiTheme="minorHAnsi"/>
                <w:color w:val="auto"/>
                <w:sz w:val="18"/>
                <w:szCs w:val="18"/>
              </w:rPr>
              <w:t>Costs increase by 10</w:t>
            </w:r>
            <w:r>
              <w:rPr>
                <w:rFonts w:asciiTheme="minorHAnsi" w:hAnsiTheme="minorHAnsi"/>
                <w:color w:val="auto"/>
                <w:sz w:val="18"/>
                <w:szCs w:val="18"/>
              </w:rPr>
              <w:t>%</w:t>
            </w:r>
          </w:p>
        </w:tc>
        <w:tc>
          <w:tcPr>
            <w:tcW w:w="2851" w:type="dxa"/>
            <w:vAlign w:val="center"/>
          </w:tcPr>
          <w:p w:rsidR="007F2DE7" w:rsidRPr="00FB6E71" w:rsidP="007F2DE7">
            <w:pPr>
              <w:keepNext/>
              <w:jc w:val="center"/>
              <w:rPr>
                <w:rFonts w:asciiTheme="minorHAnsi" w:hAnsiTheme="minorHAnsi"/>
                <w:color w:val="auto"/>
                <w:sz w:val="18"/>
                <w:szCs w:val="18"/>
              </w:rPr>
            </w:pPr>
            <w:r w:rsidRPr="00FB6E71">
              <w:rPr>
                <w:rFonts w:asciiTheme="minorHAnsi" w:hAnsiTheme="minorHAnsi"/>
                <w:color w:val="auto"/>
                <w:sz w:val="18"/>
                <w:szCs w:val="18"/>
              </w:rPr>
              <w:t>16.0</w:t>
            </w:r>
          </w:p>
        </w:tc>
      </w:tr>
      <w:tr w:rsidTr="007F2DE7">
        <w:tblPrEx>
          <w:tblW w:w="3750" w:type="pct"/>
          <w:jc w:val="center"/>
          <w:tblLook w:val="04A0"/>
        </w:tblPrEx>
        <w:trPr>
          <w:cantSplit/>
          <w:jc w:val="center"/>
        </w:trPr>
        <w:tc>
          <w:tcPr>
            <w:tcW w:w="4169" w:type="dxa"/>
            <w:vAlign w:val="center"/>
          </w:tcPr>
          <w:p w:rsidR="007F2DE7" w:rsidRPr="00FB6E71" w:rsidP="007F2DE7">
            <w:pPr>
              <w:keepNext/>
              <w:rPr>
                <w:rFonts w:asciiTheme="minorHAnsi" w:hAnsiTheme="minorHAnsi"/>
                <w:color w:val="auto"/>
                <w:sz w:val="18"/>
                <w:szCs w:val="18"/>
              </w:rPr>
            </w:pPr>
            <w:r w:rsidRPr="00FB6E71">
              <w:rPr>
                <w:rFonts w:asciiTheme="minorHAnsi" w:hAnsiTheme="minorHAnsi"/>
                <w:color w:val="auto"/>
                <w:sz w:val="18"/>
                <w:szCs w:val="18"/>
              </w:rPr>
              <w:t>Benefits reduce by 10</w:t>
            </w:r>
            <w:r>
              <w:rPr>
                <w:rFonts w:asciiTheme="minorHAnsi" w:hAnsiTheme="minorHAnsi"/>
                <w:color w:val="auto"/>
                <w:sz w:val="18"/>
                <w:szCs w:val="18"/>
              </w:rPr>
              <w:t>%</w:t>
            </w:r>
          </w:p>
        </w:tc>
        <w:tc>
          <w:tcPr>
            <w:tcW w:w="2851" w:type="dxa"/>
            <w:vAlign w:val="center"/>
          </w:tcPr>
          <w:p w:rsidR="007F2DE7" w:rsidRPr="00FB6E71" w:rsidP="007F2DE7">
            <w:pPr>
              <w:keepNext/>
              <w:jc w:val="center"/>
              <w:rPr>
                <w:rFonts w:asciiTheme="minorHAnsi" w:hAnsiTheme="minorHAnsi"/>
                <w:color w:val="auto"/>
                <w:sz w:val="18"/>
                <w:szCs w:val="18"/>
              </w:rPr>
            </w:pPr>
            <w:r w:rsidRPr="00FB6E71">
              <w:rPr>
                <w:rFonts w:asciiTheme="minorHAnsi" w:hAnsiTheme="minorHAnsi"/>
                <w:color w:val="auto"/>
                <w:sz w:val="18"/>
                <w:szCs w:val="18"/>
              </w:rPr>
              <w:t>11.3</w:t>
            </w:r>
          </w:p>
        </w:tc>
      </w:tr>
      <w:tr w:rsidTr="007F2DE7">
        <w:tblPrEx>
          <w:tblW w:w="3750" w:type="pct"/>
          <w:jc w:val="center"/>
          <w:tblLook w:val="04A0"/>
        </w:tblPrEx>
        <w:trPr>
          <w:cantSplit/>
          <w:jc w:val="center"/>
        </w:trPr>
        <w:tc>
          <w:tcPr>
            <w:tcW w:w="4169" w:type="dxa"/>
            <w:vAlign w:val="center"/>
          </w:tcPr>
          <w:p w:rsidR="007F2DE7" w:rsidRPr="00FB6E71" w:rsidP="007F2DE7">
            <w:pPr>
              <w:keepNext/>
              <w:rPr>
                <w:rFonts w:asciiTheme="minorHAnsi" w:hAnsiTheme="minorHAnsi"/>
                <w:color w:val="auto"/>
                <w:sz w:val="18"/>
                <w:szCs w:val="18"/>
              </w:rPr>
            </w:pPr>
            <w:r w:rsidRPr="00FB6E71">
              <w:rPr>
                <w:rFonts w:asciiTheme="minorHAnsi" w:hAnsiTheme="minorHAnsi"/>
                <w:color w:val="auto"/>
                <w:sz w:val="18"/>
                <w:szCs w:val="18"/>
              </w:rPr>
              <w:t>Benefits lag by two years</w:t>
            </w:r>
          </w:p>
        </w:tc>
        <w:tc>
          <w:tcPr>
            <w:tcW w:w="2851" w:type="dxa"/>
            <w:vAlign w:val="center"/>
          </w:tcPr>
          <w:p w:rsidR="007F2DE7" w:rsidRPr="00FB6E71" w:rsidP="007F2DE7">
            <w:pPr>
              <w:keepNext/>
              <w:jc w:val="center"/>
              <w:rPr>
                <w:rFonts w:asciiTheme="minorHAnsi" w:hAnsiTheme="minorHAnsi"/>
                <w:color w:val="auto"/>
                <w:sz w:val="18"/>
                <w:szCs w:val="18"/>
              </w:rPr>
            </w:pPr>
            <w:r w:rsidRPr="00FB6E71">
              <w:rPr>
                <w:rFonts w:asciiTheme="minorHAnsi" w:hAnsiTheme="minorHAnsi"/>
                <w:color w:val="auto"/>
                <w:sz w:val="18"/>
                <w:szCs w:val="18"/>
              </w:rPr>
              <w:t>8.5</w:t>
            </w:r>
          </w:p>
        </w:tc>
      </w:tr>
    </w:tbl>
    <w:p w:rsidR="007F2DE7" w:rsidRPr="00FB6E71" w:rsidP="007F2DE7">
      <w:pPr>
        <w:pStyle w:val="Normal64"/>
        <w:widowControl/>
        <w:spacing w:after="240"/>
        <w:ind w:left="1080"/>
        <w:rPr>
          <w:rFonts w:asciiTheme="minorHAnsi" w:hAnsiTheme="minorHAnsi"/>
          <w:bCs/>
          <w:color w:val="auto"/>
          <w:sz w:val="18"/>
          <w:szCs w:val="18"/>
        </w:rPr>
      </w:pPr>
      <w:r w:rsidRPr="00FB6E71">
        <w:rPr>
          <w:rFonts w:asciiTheme="minorHAnsi" w:hAnsiTheme="minorHAnsi"/>
          <w:i/>
          <w:iCs/>
          <w:color w:val="auto"/>
          <w:sz w:val="18"/>
          <w:szCs w:val="18"/>
        </w:rPr>
        <w:t>Source:</w:t>
      </w:r>
      <w:r w:rsidRPr="00FB6E71">
        <w:rPr>
          <w:rFonts w:asciiTheme="minorHAnsi" w:hAnsiTheme="minorHAnsi"/>
          <w:color w:val="auto"/>
          <w:sz w:val="18"/>
          <w:szCs w:val="18"/>
        </w:rPr>
        <w:t xml:space="preserve"> World Bank calculations.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iCs/>
          <w:color w:val="auto"/>
          <w:sz w:val="22"/>
          <w:szCs w:val="22"/>
        </w:rPr>
        <w:t>Rationale for public sector engagement.</w:t>
      </w:r>
      <w:r w:rsidRPr="00FB6E71">
        <w:rPr>
          <w:rFonts w:asciiTheme="minorHAnsi" w:hAnsiTheme="minorHAnsi"/>
          <w:bCs/>
          <w:color w:val="auto"/>
          <w:sz w:val="22"/>
          <w:szCs w:val="22"/>
        </w:rPr>
        <w:t xml:space="preserve"> The interventions identified under the MCRP will deliver essential services to the most vulnerable segments of the population and bear positive externalities on the overall population through numerous direct and indirect benefits being engendered. </w:t>
      </w:r>
      <w:r w:rsidRPr="00FB6E71">
        <w:rPr>
          <w:rFonts w:asciiTheme="minorHAnsi" w:hAnsiTheme="minorHAnsi"/>
          <w:color w:val="auto"/>
          <w:sz w:val="22"/>
          <w:szCs w:val="22"/>
        </w:rPr>
        <w:t xml:space="preserve">Furthermore, the interventions will strengthen the capacity of various levels of the public sector administration and deliver services at the community level to support the empowerment of the most vulnerable segments of the population affected by the conflict. These justify the rationale for public sector engagement.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iCs/>
          <w:color w:val="auto"/>
          <w:sz w:val="22"/>
          <w:szCs w:val="22"/>
        </w:rPr>
        <w:t>Value added of World Bank support.</w:t>
      </w:r>
      <w:r w:rsidRPr="00FB6E71">
        <w:rPr>
          <w:rFonts w:asciiTheme="minorHAnsi" w:hAnsiTheme="minorHAnsi"/>
          <w:bCs/>
          <w:color w:val="auto"/>
          <w:sz w:val="22"/>
          <w:szCs w:val="22"/>
        </w:rPr>
        <w:t xml:space="preserve"> The World Bank has extensive international experience in areas such as education, health, infrastructure, agriculture, water and sanitation, and social development. </w:t>
      </w:r>
      <w:r w:rsidRPr="00FB6E71">
        <w:rPr>
          <w:rFonts w:asciiTheme="minorHAnsi" w:hAnsiTheme="minorHAnsi"/>
          <w:color w:val="auto"/>
          <w:sz w:val="22"/>
          <w:szCs w:val="22"/>
        </w:rPr>
        <w:t>Moreover, it has extensive knowledge of the local conditions and the key stakeholders involved in the stabilization and recovery of NE Nigeria through its presence in the country and the conduct of the RPBA exercise. These factors, along with its ability to leverage the contribution of other international donors, justify the support of the World Bank in the process of stabilization and recovery of NE Nigeria.</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90" w:name="_Toc256000021"/>
            <w:bookmarkStart w:id="91" w:name="_Toc433982427"/>
            <w:bookmarkStart w:id="92" w:name="_Toc460509208"/>
            <w:bookmarkStart w:id="93" w:name="_Toc476558123"/>
            <w:r w:rsidRPr="00FB6E71">
              <w:rPr>
                <w:rFonts w:asciiTheme="minorHAnsi" w:hAnsiTheme="minorHAnsi"/>
                <w:b/>
                <w:bCs/>
                <w:color w:val="172D5F"/>
                <w:sz w:val="22"/>
                <w:szCs w:val="22"/>
              </w:rPr>
              <w:t>B. Technical</w:t>
            </w:r>
            <w:bookmarkEnd w:id="90"/>
            <w:bookmarkEnd w:id="91"/>
            <w:bookmarkEnd w:id="92"/>
            <w:bookmarkEnd w:id="93"/>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As agreed during project preparation, the BAY states have initiated an iterative process of prioritization based on systematic criteria to develop specific investment plans for the first year and medium-term plans for </w:t>
      </w:r>
      <w:r>
        <w:rPr>
          <w:rFonts w:asciiTheme="minorHAnsi" w:hAnsiTheme="minorHAnsi"/>
          <w:b/>
          <w:bCs/>
          <w:color w:val="auto"/>
          <w:sz w:val="22"/>
          <w:szCs w:val="22"/>
        </w:rPr>
        <w:t>Y</w:t>
      </w:r>
      <w:r w:rsidRPr="00FB6E71">
        <w:rPr>
          <w:rFonts w:asciiTheme="minorHAnsi" w:hAnsiTheme="minorHAnsi"/>
          <w:b/>
          <w:bCs/>
          <w:color w:val="auto"/>
          <w:sz w:val="22"/>
          <w:szCs w:val="22"/>
        </w:rPr>
        <w:t>ears 2–4, based on the findings of the RPBA and the current realities in the respective states.</w:t>
      </w:r>
      <w:r w:rsidRPr="00FB6E71">
        <w:rPr>
          <w:rFonts w:asciiTheme="minorHAnsi" w:hAnsiTheme="minorHAnsi"/>
          <w:bCs/>
          <w:color w:val="auto"/>
          <w:sz w:val="22"/>
          <w:szCs w:val="22"/>
        </w:rPr>
        <w:t xml:space="preserve"> The states engaged in productive discussions about their initial plans of action with the World Bank mission team and development partners like </w:t>
      </w:r>
      <w:r>
        <w:rPr>
          <w:rFonts w:asciiTheme="minorHAnsi" w:hAnsiTheme="minorHAnsi"/>
          <w:bCs/>
          <w:color w:val="auto"/>
          <w:sz w:val="22"/>
          <w:szCs w:val="22"/>
        </w:rPr>
        <w:t xml:space="preserve">the </w:t>
      </w:r>
      <w:r w:rsidRPr="00FB6E71">
        <w:rPr>
          <w:rFonts w:asciiTheme="minorHAnsi" w:hAnsiTheme="minorHAnsi"/>
          <w:bCs/>
          <w:color w:val="auto"/>
          <w:sz w:val="22"/>
          <w:szCs w:val="22"/>
        </w:rPr>
        <w:t>AfDB, IsDB, the EU, the UN</w:t>
      </w:r>
      <w:r>
        <w:rPr>
          <w:rFonts w:asciiTheme="minorHAnsi" w:hAnsiTheme="minorHAnsi"/>
          <w:bCs/>
          <w:color w:val="auto"/>
          <w:sz w:val="22"/>
          <w:szCs w:val="22"/>
        </w:rPr>
        <w:t>,</w:t>
      </w:r>
      <w:r w:rsidRPr="00FB6E71">
        <w:rPr>
          <w:rFonts w:asciiTheme="minorHAnsi" w:hAnsiTheme="minorHAnsi"/>
          <w:bCs/>
          <w:color w:val="auto"/>
          <w:sz w:val="22"/>
          <w:szCs w:val="22"/>
        </w:rPr>
        <w:t xml:space="preserve"> and </w:t>
      </w:r>
      <w:r w:rsidRPr="005E798F">
        <w:rPr>
          <w:rFonts w:asciiTheme="minorHAnsi" w:hAnsiTheme="minorHAnsi"/>
          <w:bCs/>
          <w:color w:val="auto"/>
          <w:sz w:val="22"/>
          <w:szCs w:val="22"/>
        </w:rPr>
        <w:t>DFID</w:t>
      </w:r>
      <w:r w:rsidRPr="00FB6E71">
        <w:rPr>
          <w:rFonts w:asciiTheme="minorHAnsi" w:hAnsiTheme="minorHAnsi"/>
          <w:bCs/>
          <w:color w:val="auto"/>
          <w:sz w:val="22"/>
          <w:szCs w:val="22"/>
        </w:rPr>
        <w:t xml:space="preserve"> during the August MCRP mission. These discussions allowed states to start developing their plans of action, subsequently refined through state-level consultative workshops, engaging LGA and traditional leaders, religious leaders, CSOs</w:t>
      </w:r>
      <w:r>
        <w:rPr>
          <w:rFonts w:asciiTheme="minorHAnsi" w:hAnsiTheme="minorHAnsi"/>
          <w:bCs/>
          <w:color w:val="auto"/>
          <w:sz w:val="22"/>
          <w:szCs w:val="22"/>
        </w:rPr>
        <w:t>,</w:t>
      </w:r>
      <w:r w:rsidRPr="00FB6E71">
        <w:rPr>
          <w:rFonts w:asciiTheme="minorHAnsi" w:hAnsiTheme="minorHAnsi"/>
          <w:bCs/>
          <w:color w:val="auto"/>
          <w:sz w:val="22"/>
          <w:szCs w:val="22"/>
        </w:rPr>
        <w:t xml:space="preserve"> and representatives of </w:t>
      </w:r>
      <w:r>
        <w:rPr>
          <w:rFonts w:asciiTheme="minorHAnsi" w:hAnsiTheme="minorHAnsi"/>
          <w:bCs/>
          <w:color w:val="auto"/>
          <w:sz w:val="22"/>
          <w:szCs w:val="22"/>
        </w:rPr>
        <w:t>IDPs</w:t>
      </w:r>
      <w:r w:rsidRPr="00FB6E71">
        <w:rPr>
          <w:rFonts w:asciiTheme="minorHAnsi" w:hAnsiTheme="minorHAnsi"/>
          <w:bCs/>
          <w:color w:val="auto"/>
          <w:sz w:val="22"/>
          <w:szCs w:val="22"/>
        </w:rPr>
        <w:t>. As a result, the latest state-level plans of action are the product of an intensive, iterative</w:t>
      </w:r>
      <w:r>
        <w:rPr>
          <w:rFonts w:asciiTheme="minorHAnsi" w:hAnsiTheme="minorHAnsi"/>
          <w:bCs/>
          <w:color w:val="auto"/>
          <w:sz w:val="22"/>
          <w:szCs w:val="22"/>
        </w:rPr>
        <w:t>,</w:t>
      </w:r>
      <w:r w:rsidRPr="00FB6E71">
        <w:rPr>
          <w:rFonts w:asciiTheme="minorHAnsi" w:hAnsiTheme="minorHAnsi"/>
          <w:bCs/>
          <w:color w:val="auto"/>
          <w:sz w:val="22"/>
          <w:szCs w:val="22"/>
        </w:rPr>
        <w:t xml:space="preserve"> and ongoing process of consultation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development partners and state and local stakeholders.</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latest drafts of the state-level plans of action prepared over September 2016 align well with the multi-sectoral, programmatic approach embraced by the MCRP.</w:t>
      </w:r>
      <w:r w:rsidRPr="00FB6E71">
        <w:rPr>
          <w:rFonts w:asciiTheme="minorHAnsi" w:hAnsiTheme="minorHAnsi"/>
          <w:bCs/>
          <w:color w:val="auto"/>
          <w:sz w:val="22"/>
          <w:szCs w:val="22"/>
        </w:rPr>
        <w:t xml:space="preserve"> The plans of action for Adamawa and Yobe model the prioritized, multi-sectoral approach of the MCRP. Both plans give high priority to the sectors included in the MCRP and show prioritization along geographic, sectoral</w:t>
      </w:r>
      <w:r>
        <w:rPr>
          <w:rFonts w:asciiTheme="minorHAnsi" w:hAnsiTheme="minorHAnsi"/>
          <w:bCs/>
          <w:color w:val="auto"/>
          <w:sz w:val="22"/>
          <w:szCs w:val="22"/>
        </w:rPr>
        <w:t>,</w:t>
      </w:r>
      <w:r w:rsidRPr="00FB6E71">
        <w:rPr>
          <w:rFonts w:asciiTheme="minorHAnsi" w:hAnsiTheme="minorHAnsi"/>
          <w:bCs/>
          <w:color w:val="auto"/>
          <w:sz w:val="22"/>
          <w:szCs w:val="22"/>
        </w:rPr>
        <w:t xml:space="preserve"> and temporal lines. Adamawa proposes interventions in both the social cohesion (for example, safe and voluntary return and resettlement of forcibly displaced population and peace building) and infrastructure for example, education, health, public buildings, transport</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and</w:t>
      </w:r>
      <w:r w:rsidRPr="00FB6E71">
        <w:rPr>
          <w:rFonts w:asciiTheme="minorHAnsi" w:hAnsiTheme="minorHAnsi"/>
          <w:bCs/>
          <w:color w:val="auto"/>
          <w:sz w:val="22"/>
          <w:szCs w:val="22"/>
        </w:rPr>
        <w:t xml:space="preserve"> water and sanitation)</w:t>
      </w:r>
      <w:r>
        <w:rPr>
          <w:rFonts w:asciiTheme="minorHAnsi" w:hAnsiTheme="minorHAnsi"/>
          <w:bCs/>
          <w:color w:val="auto"/>
          <w:sz w:val="22"/>
          <w:szCs w:val="22"/>
        </w:rPr>
        <w:t xml:space="preserve"> </w:t>
      </w:r>
      <w:r w:rsidRPr="00FB6E71">
        <w:rPr>
          <w:rFonts w:asciiTheme="minorHAnsi" w:hAnsiTheme="minorHAnsi"/>
          <w:bCs/>
          <w:color w:val="auto"/>
          <w:sz w:val="22"/>
          <w:szCs w:val="22"/>
        </w:rPr>
        <w:t>components</w:t>
      </w:r>
      <w:r>
        <w:rPr>
          <w:rFonts w:asciiTheme="minorHAnsi" w:hAnsiTheme="minorHAnsi"/>
          <w:bCs/>
          <w:color w:val="auto"/>
          <w:sz w:val="22"/>
          <w:szCs w:val="22"/>
        </w:rPr>
        <w:t>.</w:t>
      </w:r>
      <w:r w:rsidRPr="00FB6E71">
        <w:rPr>
          <w:rFonts w:asciiTheme="minorHAnsi" w:hAnsiTheme="minorHAnsi"/>
          <w:bCs/>
          <w:color w:val="auto"/>
          <w:sz w:val="22"/>
          <w:szCs w:val="22"/>
        </w:rPr>
        <w:t xml:space="preserve"> Yobe similarly proposes interventions in both Component 1 (for example, safe and voluntary return and resettlement of forcibly displaced population and peace building) and Component 2 (for example, education, health, public buildings</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and</w:t>
      </w:r>
      <w:r w:rsidRPr="00FB6E71">
        <w:rPr>
          <w:rFonts w:asciiTheme="minorHAnsi" w:hAnsiTheme="minorHAnsi"/>
          <w:bCs/>
          <w:color w:val="auto"/>
          <w:sz w:val="22"/>
          <w:szCs w:val="22"/>
        </w:rPr>
        <w:t xml:space="preserve"> water and sanitation)</w:t>
      </w:r>
      <w:r>
        <w:rPr>
          <w:rFonts w:asciiTheme="minorHAnsi" w:hAnsiTheme="minorHAnsi"/>
          <w:bCs/>
          <w:color w:val="auto"/>
          <w:sz w:val="22"/>
          <w:szCs w:val="22"/>
        </w:rPr>
        <w:t>.</w:t>
      </w:r>
      <w:r w:rsidRPr="00FB6E71">
        <w:rPr>
          <w:rFonts w:asciiTheme="minorHAnsi" w:hAnsiTheme="minorHAnsi"/>
          <w:bCs/>
          <w:color w:val="auto"/>
          <w:sz w:val="22"/>
          <w:szCs w:val="22"/>
        </w:rPr>
        <w:t xml:space="preserve"> Both plans also propose some investments </w:t>
      </w:r>
      <w:r>
        <w:rPr>
          <w:rFonts w:asciiTheme="minorHAnsi" w:hAnsiTheme="minorHAnsi"/>
          <w:bCs/>
          <w:color w:val="auto"/>
          <w:sz w:val="22"/>
          <w:szCs w:val="22"/>
        </w:rPr>
        <w:t>that</w:t>
      </w:r>
      <w:r w:rsidRPr="00FB6E71">
        <w:rPr>
          <w:rFonts w:asciiTheme="minorHAnsi" w:hAnsiTheme="minorHAnsi"/>
          <w:bCs/>
          <w:color w:val="auto"/>
          <w:sz w:val="22"/>
          <w:szCs w:val="22"/>
        </w:rPr>
        <w:t xml:space="preserve"> are currently outside the scope of the MCRP such as in the agriculture, irrigation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energy sectors, which will be referred to other development partners and </w:t>
      </w:r>
      <w:r>
        <w:rPr>
          <w:rFonts w:asciiTheme="minorHAnsi" w:hAnsiTheme="minorHAnsi"/>
          <w:bCs/>
          <w:color w:val="auto"/>
          <w:sz w:val="22"/>
          <w:szCs w:val="22"/>
        </w:rPr>
        <w:t xml:space="preserve">the </w:t>
      </w:r>
      <w:r w:rsidRPr="00FB6E71">
        <w:rPr>
          <w:rFonts w:asciiTheme="minorHAnsi" w:hAnsiTheme="minorHAnsi"/>
          <w:bCs/>
          <w:color w:val="auto"/>
          <w:sz w:val="22"/>
          <w:szCs w:val="22"/>
        </w:rPr>
        <w:t>World Bank AF projects that are part of the larger post-RPBA framework. The Borno plan of action is still in development and is based on the same guidance and templates for prioritization</w:t>
      </w:r>
      <w:r>
        <w:rPr>
          <w:rFonts w:asciiTheme="minorHAnsi" w:hAnsiTheme="minorHAnsi"/>
          <w:bCs/>
          <w:color w:val="auto"/>
          <w:sz w:val="22"/>
          <w:szCs w:val="22"/>
        </w:rPr>
        <w:t>,</w:t>
      </w:r>
      <w:r w:rsidRPr="00FB6E71">
        <w:rPr>
          <w:rFonts w:asciiTheme="minorHAnsi" w:hAnsiTheme="minorHAnsi"/>
          <w:bCs/>
          <w:color w:val="auto"/>
          <w:sz w:val="22"/>
          <w:szCs w:val="22"/>
        </w:rPr>
        <w:t xml:space="preserve"> which the MCRP team has provided to Adamawa and Yobe.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Details of the prioritization process and criteria developed under the MCRP may be found in the section on ‘Investment Prioritization and Selection Process’ in </w:t>
      </w:r>
      <w:r>
        <w:rPr>
          <w:rFonts w:asciiTheme="minorHAnsi" w:hAnsiTheme="minorHAnsi"/>
          <w:b/>
          <w:bCs/>
          <w:color w:val="auto"/>
          <w:sz w:val="22"/>
          <w:szCs w:val="22"/>
        </w:rPr>
        <w:t>a</w:t>
      </w:r>
      <w:r w:rsidRPr="00FB6E71">
        <w:rPr>
          <w:rFonts w:asciiTheme="minorHAnsi" w:hAnsiTheme="minorHAnsi"/>
          <w:b/>
          <w:bCs/>
          <w:color w:val="auto"/>
          <w:sz w:val="22"/>
          <w:szCs w:val="22"/>
        </w:rPr>
        <w:t>nnex 2.</w:t>
      </w:r>
      <w:r w:rsidRPr="00FB6E71">
        <w:rPr>
          <w:rFonts w:asciiTheme="minorHAnsi" w:hAnsiTheme="minorHAnsi"/>
          <w:bCs/>
          <w:color w:val="auto"/>
          <w:sz w:val="22"/>
          <w:szCs w:val="22"/>
        </w:rPr>
        <w:t xml:space="preserve"> Considering the conflict management challenges facing NE Nigeria, the processes of infrastructure and social service sector investment planning and project identification will initially attempt to target ‘low</w:t>
      </w:r>
      <w:r>
        <w:rPr>
          <w:rFonts w:asciiTheme="minorHAnsi" w:hAnsiTheme="minorHAnsi"/>
          <w:bCs/>
          <w:color w:val="auto"/>
          <w:sz w:val="22"/>
          <w:szCs w:val="22"/>
        </w:rPr>
        <w:t>-</w:t>
      </w:r>
      <w:r w:rsidRPr="00FB6E71">
        <w:rPr>
          <w:rFonts w:asciiTheme="minorHAnsi" w:hAnsiTheme="minorHAnsi"/>
          <w:bCs/>
          <w:color w:val="auto"/>
          <w:sz w:val="22"/>
          <w:szCs w:val="22"/>
        </w:rPr>
        <w:t xml:space="preserve">hanging fruit’  </w:t>
      </w:r>
      <w:r>
        <w:rPr>
          <w:rFonts w:asciiTheme="minorHAnsi" w:hAnsiTheme="minorHAnsi"/>
          <w:bCs/>
          <w:color w:val="auto"/>
          <w:sz w:val="22"/>
          <w:szCs w:val="22"/>
        </w:rPr>
        <w:t xml:space="preserve">for </w:t>
      </w:r>
      <w:r w:rsidRPr="00FB6E71">
        <w:rPr>
          <w:rFonts w:asciiTheme="minorHAnsi" w:hAnsiTheme="minorHAnsi"/>
          <w:bCs/>
          <w:color w:val="auto"/>
          <w:sz w:val="22"/>
          <w:szCs w:val="22"/>
        </w:rPr>
        <w:t>investments that provide immediate impacts and overall benefits to the local economy. This could include investments for scaling up of ongoing successful programs, the repair of infrastructure assets damaged during the conflict</w:t>
      </w:r>
      <w:r>
        <w:rPr>
          <w:rFonts w:asciiTheme="minorHAnsi" w:hAnsiTheme="minorHAnsi"/>
          <w:bCs/>
          <w:color w:val="auto"/>
          <w:sz w:val="22"/>
          <w:szCs w:val="22"/>
        </w:rPr>
        <w:t>,</w:t>
      </w:r>
      <w:r w:rsidRPr="00FB6E71">
        <w:rPr>
          <w:rFonts w:asciiTheme="minorHAnsi" w:hAnsiTheme="minorHAnsi"/>
          <w:bCs/>
          <w:color w:val="auto"/>
          <w:sz w:val="22"/>
          <w:szCs w:val="22"/>
        </w:rPr>
        <w:t xml:space="preserve"> and efficient operation of existing facilities by enhancing their maintenance expenditures and institutional capacity to implement such investments. However</w:t>
      </w:r>
      <w:r>
        <w:rPr>
          <w:rFonts w:asciiTheme="minorHAnsi" w:hAnsiTheme="minorHAnsi"/>
          <w:bCs/>
          <w:color w:val="auto"/>
          <w:sz w:val="22"/>
          <w:szCs w:val="22"/>
        </w:rPr>
        <w:t>,</w:t>
      </w:r>
      <w:r w:rsidRPr="00FB6E71">
        <w:rPr>
          <w:rFonts w:asciiTheme="minorHAnsi" w:hAnsiTheme="minorHAnsi"/>
          <w:bCs/>
          <w:color w:val="auto"/>
          <w:sz w:val="22"/>
          <w:szCs w:val="22"/>
        </w:rPr>
        <w:t xml:space="preserve"> medium</w:t>
      </w:r>
      <w:r>
        <w:rPr>
          <w:rFonts w:asciiTheme="minorHAnsi" w:hAnsiTheme="minorHAnsi"/>
          <w:bCs/>
          <w:color w:val="auto"/>
          <w:sz w:val="22"/>
          <w:szCs w:val="22"/>
        </w:rPr>
        <w:t>-</w:t>
      </w:r>
      <w:r w:rsidRPr="00FB6E71">
        <w:rPr>
          <w:rFonts w:asciiTheme="minorHAnsi" w:hAnsiTheme="minorHAnsi"/>
          <w:bCs/>
          <w:color w:val="auto"/>
          <w:sz w:val="22"/>
          <w:szCs w:val="22"/>
        </w:rPr>
        <w:t xml:space="preserve">term investment planning and prioritization under the MCRP will take into account criteria such as direct impact </w:t>
      </w:r>
      <w:r>
        <w:rPr>
          <w:rFonts w:asciiTheme="minorHAnsi" w:hAnsiTheme="minorHAnsi"/>
          <w:bCs/>
          <w:color w:val="auto"/>
          <w:sz w:val="22"/>
          <w:szCs w:val="22"/>
        </w:rPr>
        <w:t>on</w:t>
      </w:r>
      <w:r w:rsidRPr="00FB6E71">
        <w:rPr>
          <w:rFonts w:asciiTheme="minorHAnsi" w:hAnsiTheme="minorHAnsi"/>
          <w:bCs/>
          <w:color w:val="auto"/>
          <w:sz w:val="22"/>
          <w:szCs w:val="22"/>
        </w:rPr>
        <w:t xml:space="preserve"> conflict</w:t>
      </w:r>
      <w:r>
        <w:rPr>
          <w:rFonts w:asciiTheme="minorHAnsi" w:hAnsiTheme="minorHAnsi"/>
          <w:bCs/>
          <w:color w:val="auto"/>
          <w:sz w:val="22"/>
          <w:szCs w:val="22"/>
        </w:rPr>
        <w:t>-</w:t>
      </w:r>
      <w:r w:rsidRPr="00FB6E71">
        <w:rPr>
          <w:rFonts w:asciiTheme="minorHAnsi" w:hAnsiTheme="minorHAnsi"/>
          <w:bCs/>
          <w:color w:val="auto"/>
          <w:sz w:val="22"/>
          <w:szCs w:val="22"/>
        </w:rPr>
        <w:t xml:space="preserve"> and displacement</w:t>
      </w:r>
      <w:r>
        <w:rPr>
          <w:rFonts w:asciiTheme="minorHAnsi" w:hAnsiTheme="minorHAnsi"/>
          <w:bCs/>
          <w:color w:val="auto"/>
          <w:sz w:val="22"/>
          <w:szCs w:val="22"/>
        </w:rPr>
        <w:t>-</w:t>
      </w:r>
      <w:r w:rsidRPr="00FB6E71">
        <w:rPr>
          <w:rFonts w:asciiTheme="minorHAnsi" w:hAnsiTheme="minorHAnsi"/>
          <w:bCs/>
          <w:color w:val="auto"/>
          <w:sz w:val="22"/>
          <w:szCs w:val="22"/>
        </w:rPr>
        <w:t xml:space="preserve">affected communities, level of priority for </w:t>
      </w:r>
      <w:r>
        <w:rPr>
          <w:rFonts w:asciiTheme="minorHAnsi" w:hAnsiTheme="minorHAnsi"/>
          <w:bCs/>
          <w:color w:val="auto"/>
          <w:sz w:val="22"/>
          <w:szCs w:val="22"/>
        </w:rPr>
        <w:t>s</w:t>
      </w:r>
      <w:r w:rsidRPr="00FB6E71">
        <w:rPr>
          <w:rFonts w:asciiTheme="minorHAnsi" w:hAnsiTheme="minorHAnsi"/>
          <w:bCs/>
          <w:color w:val="auto"/>
          <w:sz w:val="22"/>
          <w:szCs w:val="22"/>
        </w:rPr>
        <w:t>tates and affected communities, labor input intensity and cost effectiveness, beneficiary and spatial targeting, potential for growth of local economies, community welfare, and promoti</w:t>
      </w:r>
      <w:r>
        <w:rPr>
          <w:rFonts w:asciiTheme="minorHAnsi" w:hAnsiTheme="minorHAnsi"/>
          <w:bCs/>
          <w:color w:val="auto"/>
          <w:sz w:val="22"/>
          <w:szCs w:val="22"/>
        </w:rPr>
        <w:t>o</w:t>
      </w:r>
      <w:r w:rsidRPr="00FB6E71">
        <w:rPr>
          <w:rFonts w:asciiTheme="minorHAnsi" w:hAnsiTheme="minorHAnsi"/>
          <w:bCs/>
          <w:color w:val="auto"/>
          <w:sz w:val="22"/>
          <w:szCs w:val="22"/>
        </w:rPr>
        <w:t>n</w:t>
      </w:r>
      <w:r>
        <w:rPr>
          <w:rFonts w:asciiTheme="minorHAnsi" w:hAnsiTheme="minorHAnsi"/>
          <w:bCs/>
          <w:color w:val="auto"/>
          <w:sz w:val="22"/>
          <w:szCs w:val="22"/>
        </w:rPr>
        <w:t xml:space="preserve"> of</w:t>
      </w:r>
      <w:r w:rsidRPr="00FB6E71">
        <w:rPr>
          <w:rFonts w:asciiTheme="minorHAnsi" w:hAnsiTheme="minorHAnsi"/>
          <w:bCs/>
          <w:color w:val="auto"/>
          <w:sz w:val="22"/>
          <w:szCs w:val="22"/>
        </w:rPr>
        <w:t xml:space="preserve"> social cohesion and peace building in conflict</w:t>
      </w:r>
      <w:r>
        <w:rPr>
          <w:rFonts w:asciiTheme="minorHAnsi" w:hAnsiTheme="minorHAnsi"/>
          <w:bCs/>
          <w:color w:val="auto"/>
          <w:sz w:val="22"/>
          <w:szCs w:val="22"/>
        </w:rPr>
        <w:t>-</w:t>
      </w:r>
      <w:r w:rsidRPr="00FB6E71">
        <w:rPr>
          <w:rFonts w:asciiTheme="minorHAnsi" w:hAnsiTheme="minorHAnsi"/>
          <w:bCs/>
          <w:color w:val="auto"/>
          <w:sz w:val="22"/>
          <w:szCs w:val="22"/>
        </w:rPr>
        <w:t xml:space="preserve"> and displacement</w:t>
      </w:r>
      <w:r>
        <w:rPr>
          <w:rFonts w:asciiTheme="minorHAnsi" w:hAnsiTheme="minorHAnsi"/>
          <w:bCs/>
          <w:color w:val="auto"/>
          <w:sz w:val="22"/>
          <w:szCs w:val="22"/>
        </w:rPr>
        <w:t>-</w:t>
      </w:r>
      <w:r w:rsidRPr="00FB6E71">
        <w:rPr>
          <w:rFonts w:asciiTheme="minorHAnsi" w:hAnsiTheme="minorHAnsi"/>
          <w:bCs/>
          <w:color w:val="auto"/>
          <w:sz w:val="22"/>
          <w:szCs w:val="22"/>
        </w:rPr>
        <w:t xml:space="preserve">affected communities. Projects ranked </w:t>
      </w:r>
      <w:r>
        <w:rPr>
          <w:rFonts w:asciiTheme="minorHAnsi" w:hAnsiTheme="minorHAnsi"/>
          <w:bCs/>
          <w:color w:val="auto"/>
          <w:sz w:val="22"/>
          <w:szCs w:val="22"/>
        </w:rPr>
        <w:t>by</w:t>
      </w:r>
      <w:r w:rsidRPr="00FB6E71">
        <w:rPr>
          <w:rFonts w:asciiTheme="minorHAnsi" w:hAnsiTheme="minorHAnsi"/>
          <w:bCs/>
          <w:color w:val="auto"/>
          <w:sz w:val="22"/>
          <w:szCs w:val="22"/>
        </w:rPr>
        <w:t xml:space="preserve"> priority investments will also take into account the institutional capacity of the local administration and organizations active on ground to implement them within the shortest time possible and to ensure participation of local communities.</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94" w:name="_Toc256000022"/>
            <w:bookmarkStart w:id="95" w:name="_Toc433982428"/>
            <w:bookmarkStart w:id="96" w:name="_Toc460509209"/>
            <w:bookmarkStart w:id="97" w:name="_Toc476558124"/>
            <w:r w:rsidRPr="00FB6E71">
              <w:rPr>
                <w:rFonts w:asciiTheme="minorHAnsi" w:hAnsiTheme="minorHAnsi"/>
                <w:b/>
                <w:bCs/>
                <w:color w:val="172D5F"/>
                <w:sz w:val="22"/>
                <w:szCs w:val="22"/>
              </w:rPr>
              <w:t>C. Financial Management</w:t>
            </w:r>
            <w:bookmarkEnd w:id="94"/>
            <w:bookmarkEnd w:id="95"/>
            <w:bookmarkEnd w:id="96"/>
            <w:bookmarkEnd w:id="97"/>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w:t>
      </w:r>
      <w:r w:rsidRPr="00FB6E71">
        <w:rPr>
          <w:rFonts w:asciiTheme="minorHAnsi" w:hAnsiTheme="minorHAnsi"/>
          <w:b/>
          <w:sz w:val="22"/>
          <w:szCs w:val="22"/>
        </w:rPr>
        <w:t>responsibility for establishing and maintaining acceptable FM arrangements for the project will be handled by the existing PFMUs in the three states and the Federal Project Financial Management Department (FPFMD) at the federal level.</w:t>
      </w:r>
      <w:r w:rsidRPr="00FB6E71">
        <w:rPr>
          <w:rFonts w:asciiTheme="minorHAnsi" w:hAnsiTheme="minorHAnsi"/>
          <w:sz w:val="22"/>
          <w:szCs w:val="22"/>
        </w:rPr>
        <w:t xml:space="preserve"> The Federal Treasury Circular of March 2010 established the FPFMD in the Office of the Accountant General of the Federation (OAGF) to handle the FM responsibilities for funds provided to MDAs by </w:t>
      </w:r>
      <w:r>
        <w:rPr>
          <w:rFonts w:asciiTheme="minorHAnsi" w:hAnsiTheme="minorHAnsi"/>
          <w:sz w:val="22"/>
          <w:szCs w:val="22"/>
        </w:rPr>
        <w:t>d</w:t>
      </w:r>
      <w:r w:rsidRPr="00FB6E71">
        <w:rPr>
          <w:rFonts w:asciiTheme="minorHAnsi" w:hAnsiTheme="minorHAnsi"/>
          <w:sz w:val="22"/>
          <w:szCs w:val="22"/>
        </w:rPr>
        <w:t xml:space="preserve">onor </w:t>
      </w:r>
      <w:r>
        <w:rPr>
          <w:rFonts w:asciiTheme="minorHAnsi" w:hAnsiTheme="minorHAnsi"/>
          <w:sz w:val="22"/>
          <w:szCs w:val="22"/>
        </w:rPr>
        <w:t>p</w:t>
      </w:r>
      <w:r w:rsidRPr="00FB6E71">
        <w:rPr>
          <w:rFonts w:asciiTheme="minorHAnsi" w:hAnsiTheme="minorHAnsi"/>
          <w:sz w:val="22"/>
          <w:szCs w:val="22"/>
        </w:rPr>
        <w:t xml:space="preserve">artners. At the state level, the PFMUs are also under the Office of </w:t>
      </w:r>
      <w:r>
        <w:rPr>
          <w:rFonts w:asciiTheme="minorHAnsi" w:hAnsiTheme="minorHAnsi"/>
          <w:sz w:val="22"/>
          <w:szCs w:val="22"/>
        </w:rPr>
        <w:t xml:space="preserve">the </w:t>
      </w:r>
      <w:r w:rsidRPr="00FB6E71">
        <w:rPr>
          <w:rFonts w:asciiTheme="minorHAnsi" w:hAnsiTheme="minorHAnsi"/>
          <w:sz w:val="22"/>
          <w:szCs w:val="22"/>
        </w:rPr>
        <w:t>Accountant General</w:t>
      </w:r>
      <w:r>
        <w:rPr>
          <w:rFonts w:asciiTheme="minorHAnsi" w:hAnsiTheme="minorHAnsi"/>
          <w:sz w:val="22"/>
          <w:szCs w:val="22"/>
        </w:rPr>
        <w:t xml:space="preserve"> (OAG)</w:t>
      </w:r>
      <w:r w:rsidRPr="00FB6E71">
        <w:rPr>
          <w:rFonts w:asciiTheme="minorHAnsi" w:hAnsiTheme="minorHAnsi"/>
          <w:sz w:val="22"/>
          <w:szCs w:val="22"/>
        </w:rPr>
        <w:t xml:space="preserve"> in each State.</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 xml:space="preserve">The PFMUs and FPFMD are multi-donor and multi-project FM platforms, established in all states and at </w:t>
      </w:r>
      <w:r>
        <w:rPr>
          <w:rFonts w:asciiTheme="minorHAnsi" w:hAnsiTheme="minorHAnsi"/>
          <w:b/>
          <w:sz w:val="22"/>
          <w:szCs w:val="22"/>
        </w:rPr>
        <w:t xml:space="preserve">the </w:t>
      </w:r>
      <w:r w:rsidRPr="00FB6E71">
        <w:rPr>
          <w:rFonts w:asciiTheme="minorHAnsi" w:hAnsiTheme="minorHAnsi"/>
          <w:b/>
          <w:sz w:val="22"/>
          <w:szCs w:val="22"/>
        </w:rPr>
        <w:t>federal level, respectively, through the joint efforts of the World Bank and the Government.</w:t>
      </w:r>
      <w:r w:rsidRPr="00FB6E71">
        <w:rPr>
          <w:rFonts w:asciiTheme="minorHAnsi" w:hAnsiTheme="minorHAnsi"/>
          <w:sz w:val="22"/>
          <w:szCs w:val="22"/>
        </w:rPr>
        <w:t xml:space="preserve"> These common FM platforms feature robust systems and controls. The PFMUs and FPFMD are presently involved in the implementation of a number of World Bank</w:t>
      </w:r>
      <w:r>
        <w:rPr>
          <w:rFonts w:asciiTheme="minorHAnsi" w:hAnsiTheme="minorHAnsi"/>
          <w:sz w:val="22"/>
          <w:szCs w:val="22"/>
        </w:rPr>
        <w:t xml:space="preserve"> </w:t>
      </w:r>
      <w:r w:rsidRPr="00FB6E71">
        <w:rPr>
          <w:rFonts w:asciiTheme="minorHAnsi" w:hAnsiTheme="minorHAnsi"/>
          <w:sz w:val="22"/>
          <w:szCs w:val="22"/>
        </w:rPr>
        <w:t xml:space="preserve">assisted projects. The World Bank’s recent review showed that these units have been performing satisfactorily. To strengthen the FM system in the PFMUs and FPFMD, implementation of some action plans </w:t>
      </w:r>
      <w:r>
        <w:rPr>
          <w:rFonts w:asciiTheme="minorHAnsi" w:hAnsiTheme="minorHAnsi"/>
          <w:sz w:val="22"/>
          <w:szCs w:val="22"/>
        </w:rPr>
        <w:t>is</w:t>
      </w:r>
      <w:r w:rsidRPr="00FB6E71">
        <w:rPr>
          <w:rFonts w:asciiTheme="minorHAnsi" w:hAnsiTheme="minorHAnsi"/>
          <w:sz w:val="22"/>
          <w:szCs w:val="22"/>
        </w:rPr>
        <w:t xml:space="preserve"> required. The FM risk for this financing is assessed </w:t>
      </w:r>
      <w:r w:rsidRPr="008F6EBD">
        <w:rPr>
          <w:rFonts w:asciiTheme="minorHAnsi" w:hAnsiTheme="minorHAnsi"/>
          <w:sz w:val="22"/>
          <w:szCs w:val="22"/>
        </w:rPr>
        <w:t>as High. Annex</w:t>
      </w:r>
      <w:r w:rsidRPr="00FB6E71">
        <w:rPr>
          <w:rFonts w:asciiTheme="minorHAnsi" w:hAnsiTheme="minorHAnsi"/>
          <w:sz w:val="22"/>
          <w:szCs w:val="22"/>
        </w:rPr>
        <w:t xml:space="preserve"> 3 provides additional information on FM.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 xml:space="preserve">The </w:t>
      </w:r>
      <w:r>
        <w:rPr>
          <w:rFonts w:asciiTheme="minorHAnsi" w:hAnsiTheme="minorHAnsi"/>
          <w:b/>
          <w:sz w:val="22"/>
          <w:szCs w:val="22"/>
        </w:rPr>
        <w:t>F</w:t>
      </w:r>
      <w:r w:rsidRPr="00FB6E71">
        <w:rPr>
          <w:rFonts w:asciiTheme="minorHAnsi" w:hAnsiTheme="minorHAnsi"/>
          <w:b/>
          <w:sz w:val="22"/>
          <w:szCs w:val="22"/>
        </w:rPr>
        <w:t>PFM</w:t>
      </w:r>
      <w:r>
        <w:rPr>
          <w:rFonts w:asciiTheme="minorHAnsi" w:hAnsiTheme="minorHAnsi"/>
          <w:b/>
          <w:sz w:val="22"/>
          <w:szCs w:val="22"/>
        </w:rPr>
        <w:t>D</w:t>
      </w:r>
      <w:r w:rsidRPr="00FB6E71">
        <w:rPr>
          <w:rFonts w:asciiTheme="minorHAnsi" w:hAnsiTheme="minorHAnsi"/>
          <w:b/>
          <w:sz w:val="22"/>
          <w:szCs w:val="22"/>
        </w:rPr>
        <w:t xml:space="preserve"> and the PFM</w:t>
      </w:r>
      <w:r>
        <w:rPr>
          <w:rFonts w:asciiTheme="minorHAnsi" w:hAnsiTheme="minorHAnsi"/>
          <w:b/>
          <w:sz w:val="22"/>
          <w:szCs w:val="22"/>
        </w:rPr>
        <w:t>Us</w:t>
      </w:r>
      <w:r w:rsidRPr="00FB6E71">
        <w:rPr>
          <w:rFonts w:asciiTheme="minorHAnsi" w:hAnsiTheme="minorHAnsi"/>
          <w:b/>
          <w:sz w:val="22"/>
          <w:szCs w:val="22"/>
        </w:rPr>
        <w:t xml:space="preserve"> will designate from the pool of professional accountants in the OAGF</w:t>
      </w:r>
      <w:r>
        <w:rPr>
          <w:rFonts w:asciiTheme="minorHAnsi" w:hAnsiTheme="minorHAnsi"/>
          <w:b/>
          <w:sz w:val="22"/>
          <w:szCs w:val="22"/>
        </w:rPr>
        <w:t xml:space="preserve"> and the OAG in each state</w:t>
      </w:r>
      <w:r w:rsidRPr="00FB6E71">
        <w:rPr>
          <w:rFonts w:asciiTheme="minorHAnsi" w:hAnsiTheme="minorHAnsi"/>
          <w:b/>
          <w:sz w:val="22"/>
          <w:szCs w:val="22"/>
        </w:rPr>
        <w:t xml:space="preserve">, respectively, a project accountant, </w:t>
      </w:r>
      <w:r>
        <w:rPr>
          <w:rFonts w:asciiTheme="minorHAnsi" w:hAnsiTheme="minorHAnsi"/>
          <w:b/>
          <w:sz w:val="22"/>
          <w:szCs w:val="22"/>
        </w:rPr>
        <w:t xml:space="preserve">a </w:t>
      </w:r>
      <w:r w:rsidRPr="00FB6E71">
        <w:rPr>
          <w:rFonts w:asciiTheme="minorHAnsi" w:hAnsiTheme="minorHAnsi"/>
          <w:b/>
          <w:sz w:val="22"/>
          <w:szCs w:val="22"/>
        </w:rPr>
        <w:t>project internal auditor, and other support</w:t>
      </w:r>
      <w:r>
        <w:rPr>
          <w:rFonts w:asciiTheme="minorHAnsi" w:hAnsiTheme="minorHAnsi"/>
          <w:b/>
          <w:sz w:val="22"/>
          <w:szCs w:val="22"/>
        </w:rPr>
        <w:t>ing</w:t>
      </w:r>
      <w:r w:rsidRPr="00FB6E71">
        <w:rPr>
          <w:rFonts w:asciiTheme="minorHAnsi" w:hAnsiTheme="minorHAnsi"/>
          <w:b/>
          <w:sz w:val="22"/>
          <w:szCs w:val="22"/>
        </w:rPr>
        <w:t xml:space="preserve"> accounting technicians that will make for appropriate segregation of duties.</w:t>
      </w:r>
      <w:r w:rsidRPr="00FB6E71">
        <w:rPr>
          <w:rFonts w:asciiTheme="minorHAnsi" w:hAnsiTheme="minorHAnsi"/>
          <w:sz w:val="22"/>
          <w:szCs w:val="22"/>
        </w:rPr>
        <w:t xml:space="preserve"> The PFMUs and FPFMD will render annual audited financial statements and periodic unaudited interim financial reports (IFRs) in the format and frequency </w:t>
      </w:r>
      <w:r>
        <w:rPr>
          <w:rFonts w:asciiTheme="minorHAnsi" w:hAnsiTheme="minorHAnsi"/>
          <w:sz w:val="22"/>
          <w:szCs w:val="22"/>
        </w:rPr>
        <w:t>satisfactory</w:t>
      </w:r>
      <w:r w:rsidRPr="00FB6E71">
        <w:rPr>
          <w:rFonts w:asciiTheme="minorHAnsi" w:hAnsiTheme="minorHAnsi"/>
          <w:sz w:val="22"/>
          <w:szCs w:val="22"/>
        </w:rPr>
        <w:t xml:space="preserve"> to the World Bank within agreed timelines. A computerized accounting system will be used and shall be configured in line with the formats of the IFR and the annual financial statements. The project bank account at the federal level will be opened with the Central Bank of Nigeria</w:t>
      </w:r>
      <w:r>
        <w:rPr>
          <w:rFonts w:asciiTheme="minorHAnsi" w:hAnsiTheme="minorHAnsi"/>
          <w:sz w:val="22"/>
          <w:szCs w:val="22"/>
        </w:rPr>
        <w:t>,</w:t>
      </w:r>
      <w:r w:rsidRPr="00FB6E71">
        <w:rPr>
          <w:rFonts w:asciiTheme="minorHAnsi" w:hAnsiTheme="minorHAnsi"/>
          <w:sz w:val="22"/>
          <w:szCs w:val="22"/>
        </w:rPr>
        <w:t xml:space="preserve"> and at the state level</w:t>
      </w:r>
      <w:r>
        <w:rPr>
          <w:rFonts w:asciiTheme="minorHAnsi" w:hAnsiTheme="minorHAnsi"/>
          <w:sz w:val="22"/>
          <w:szCs w:val="22"/>
        </w:rPr>
        <w:t>,</w:t>
      </w:r>
      <w:r w:rsidRPr="00FB6E71">
        <w:rPr>
          <w:rFonts w:asciiTheme="minorHAnsi" w:hAnsiTheme="minorHAnsi"/>
          <w:sz w:val="22"/>
          <w:szCs w:val="22"/>
        </w:rPr>
        <w:t xml:space="preserve"> the accounts will be opened with a reputable commercial bank acceptable to IDA.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b/>
                <w:bCs/>
                <w:color w:val="172D5F"/>
                <w:sz w:val="22"/>
                <w:szCs w:val="22"/>
              </w:rPr>
            </w:pPr>
            <w:bookmarkStart w:id="98" w:name="_Toc256000023"/>
            <w:bookmarkStart w:id="99" w:name="_Toc433982429"/>
            <w:bookmarkStart w:id="100" w:name="_Toc460509210"/>
            <w:bookmarkStart w:id="101" w:name="_Toc476558125"/>
            <w:r w:rsidRPr="00FB6E71">
              <w:rPr>
                <w:rFonts w:asciiTheme="minorHAnsi" w:hAnsiTheme="minorHAnsi"/>
                <w:b/>
                <w:bCs/>
                <w:color w:val="172D5F"/>
                <w:sz w:val="22"/>
                <w:szCs w:val="22"/>
              </w:rPr>
              <w:t>D. Procurement</w:t>
            </w:r>
            <w:bookmarkEnd w:id="98"/>
            <w:bookmarkEnd w:id="99"/>
            <w:bookmarkEnd w:id="100"/>
            <w:bookmarkEnd w:id="101"/>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Procurement under the MCRP will be carried out in accordance with the World Bank Procurement Regulations for IPF Borrowers and other provisions stipulated in the Financing Agreement.</w:t>
      </w:r>
      <w:r w:rsidRPr="00FB6E71">
        <w:rPr>
          <w:rFonts w:asciiTheme="minorHAnsi" w:hAnsiTheme="minorHAnsi"/>
          <w:bCs/>
          <w:color w:val="auto"/>
          <w:sz w:val="22"/>
          <w:szCs w:val="22"/>
        </w:rPr>
        <w:t xml:space="preserve"> All procuring entities as well as bidders and service providers shall be expected to observe the highest standard of ethics during the procurement and execution of contracts financed under the project in accordance with Section</w:t>
      </w:r>
      <w:r>
        <w:rPr>
          <w:rFonts w:asciiTheme="minorHAnsi" w:hAnsiTheme="minorHAnsi"/>
          <w:bCs/>
          <w:color w:val="auto"/>
          <w:sz w:val="22"/>
          <w:szCs w:val="22"/>
        </w:rPr>
        <w:t>s</w:t>
      </w:r>
      <w:r w:rsidRPr="00FB6E71">
        <w:rPr>
          <w:rFonts w:asciiTheme="minorHAnsi" w:hAnsiTheme="minorHAnsi"/>
          <w:bCs/>
          <w:color w:val="auto"/>
          <w:sz w:val="22"/>
          <w:szCs w:val="22"/>
        </w:rPr>
        <w:t xml:space="preserve"> I and II of the World Bank Procurement Regulations for IPF Borrowers of July 2016.</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project design will provide a window to enable the Borrower to carry out </w:t>
      </w:r>
      <w:r>
        <w:rPr>
          <w:rFonts w:asciiTheme="minorHAnsi" w:hAnsiTheme="minorHAnsi"/>
          <w:b/>
          <w:bCs/>
          <w:color w:val="auto"/>
          <w:sz w:val="22"/>
          <w:szCs w:val="22"/>
        </w:rPr>
        <w:t>a</w:t>
      </w:r>
      <w:r w:rsidRPr="00FB6E71">
        <w:rPr>
          <w:rFonts w:asciiTheme="minorHAnsi" w:hAnsiTheme="minorHAnsi"/>
          <w:b/>
          <w:bCs/>
          <w:color w:val="auto"/>
          <w:sz w:val="22"/>
          <w:szCs w:val="22"/>
        </w:rPr>
        <w:t xml:space="preserve">dvance </w:t>
      </w:r>
      <w:r>
        <w:rPr>
          <w:rFonts w:asciiTheme="minorHAnsi" w:hAnsiTheme="minorHAnsi"/>
          <w:b/>
          <w:bCs/>
          <w:color w:val="auto"/>
          <w:sz w:val="22"/>
          <w:szCs w:val="22"/>
        </w:rPr>
        <w:t>c</w:t>
      </w:r>
      <w:r w:rsidRPr="00FB6E71">
        <w:rPr>
          <w:rFonts w:asciiTheme="minorHAnsi" w:hAnsiTheme="minorHAnsi"/>
          <w:b/>
          <w:bCs/>
          <w:color w:val="auto"/>
          <w:sz w:val="22"/>
          <w:szCs w:val="22"/>
        </w:rPr>
        <w:t xml:space="preserve">ontracting and </w:t>
      </w:r>
      <w:r>
        <w:rPr>
          <w:rFonts w:asciiTheme="minorHAnsi" w:hAnsiTheme="minorHAnsi"/>
          <w:b/>
          <w:bCs/>
          <w:color w:val="auto"/>
          <w:sz w:val="22"/>
          <w:szCs w:val="22"/>
        </w:rPr>
        <w:t>r</w:t>
      </w:r>
      <w:r w:rsidRPr="00FB6E71">
        <w:rPr>
          <w:rFonts w:asciiTheme="minorHAnsi" w:hAnsiTheme="minorHAnsi"/>
          <w:b/>
          <w:bCs/>
          <w:color w:val="auto"/>
          <w:sz w:val="22"/>
          <w:szCs w:val="22"/>
        </w:rPr>
        <w:t xml:space="preserve">etroactive </w:t>
      </w:r>
      <w:r>
        <w:rPr>
          <w:rFonts w:asciiTheme="minorHAnsi" w:hAnsiTheme="minorHAnsi"/>
          <w:b/>
          <w:bCs/>
          <w:color w:val="auto"/>
          <w:sz w:val="22"/>
          <w:szCs w:val="22"/>
        </w:rPr>
        <w:t>f</w:t>
      </w:r>
      <w:r w:rsidRPr="00FB6E71">
        <w:rPr>
          <w:rFonts w:asciiTheme="minorHAnsi" w:hAnsiTheme="minorHAnsi"/>
          <w:b/>
          <w:bCs/>
          <w:color w:val="auto"/>
          <w:sz w:val="22"/>
          <w:szCs w:val="22"/>
        </w:rPr>
        <w:t>inancing in accordance with Section V (</w:t>
      </w:r>
      <w:r>
        <w:rPr>
          <w:rFonts w:asciiTheme="minorHAnsi" w:hAnsiTheme="minorHAnsi"/>
          <w:b/>
          <w:bCs/>
          <w:color w:val="auto"/>
          <w:sz w:val="22"/>
          <w:szCs w:val="22"/>
        </w:rPr>
        <w:t xml:space="preserve">paragraphs </w:t>
      </w:r>
      <w:r w:rsidRPr="00FB6E71">
        <w:rPr>
          <w:rFonts w:asciiTheme="minorHAnsi" w:hAnsiTheme="minorHAnsi"/>
          <w:b/>
          <w:bCs/>
          <w:color w:val="auto"/>
          <w:sz w:val="22"/>
          <w:szCs w:val="22"/>
        </w:rPr>
        <w:t>5.1</w:t>
      </w:r>
      <w:r>
        <w:rPr>
          <w:rFonts w:asciiTheme="minorHAnsi" w:hAnsiTheme="minorHAnsi"/>
          <w:b/>
          <w:bCs/>
          <w:color w:val="auto"/>
          <w:sz w:val="22"/>
          <w:szCs w:val="22"/>
        </w:rPr>
        <w:t xml:space="preserve"> and </w:t>
      </w:r>
      <w:r w:rsidRPr="00FB6E71">
        <w:rPr>
          <w:rFonts w:asciiTheme="minorHAnsi" w:hAnsiTheme="minorHAnsi"/>
          <w:b/>
          <w:bCs/>
          <w:color w:val="auto"/>
          <w:sz w:val="22"/>
          <w:szCs w:val="22"/>
        </w:rPr>
        <w:t>5.2) of the World Bank Procurement Regulations for IPF Borrowers.</w:t>
      </w:r>
      <w:r w:rsidRPr="00FB6E71">
        <w:rPr>
          <w:rFonts w:asciiTheme="minorHAnsi" w:hAnsiTheme="minorHAnsi"/>
          <w:bCs/>
          <w:color w:val="auto"/>
          <w:sz w:val="22"/>
          <w:szCs w:val="22"/>
        </w:rPr>
        <w:t xml:space="preserve"> The retroactive financing will be allowed up to 20 percent of the </w:t>
      </w:r>
      <w:r>
        <w:rPr>
          <w:rFonts w:asciiTheme="minorHAnsi" w:hAnsiTheme="minorHAnsi"/>
          <w:bCs/>
          <w:color w:val="auto"/>
          <w:sz w:val="22"/>
          <w:szCs w:val="22"/>
        </w:rPr>
        <w:t>C</w:t>
      </w:r>
      <w:r w:rsidRPr="00FB6E71">
        <w:rPr>
          <w:rFonts w:asciiTheme="minorHAnsi" w:hAnsiTheme="minorHAnsi"/>
          <w:bCs/>
          <w:color w:val="auto"/>
          <w:sz w:val="22"/>
          <w:szCs w:val="22"/>
        </w:rPr>
        <w:t>redit covering the expenditures incurred by the project</w:t>
      </w:r>
      <w:r>
        <w:rPr>
          <w:rFonts w:asciiTheme="minorHAnsi" w:hAnsiTheme="minorHAnsi"/>
          <w:bCs/>
          <w:color w:val="auto"/>
          <w:sz w:val="22"/>
          <w:szCs w:val="22"/>
        </w:rPr>
        <w:t xml:space="preserve"> on or after May 1, 2016</w:t>
      </w:r>
      <w:r w:rsidRPr="00FB6E71">
        <w:rPr>
          <w:rFonts w:asciiTheme="minorHAnsi" w:hAnsiTheme="minorHAnsi"/>
          <w:bCs/>
          <w:color w:val="auto"/>
          <w:sz w:val="22"/>
          <w:szCs w:val="22"/>
        </w:rPr>
        <w:t xml:space="preserve">.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As part of the preparation of the project, the </w:t>
      </w:r>
      <w:r>
        <w:rPr>
          <w:rFonts w:asciiTheme="minorHAnsi" w:hAnsiTheme="minorHAnsi"/>
          <w:b/>
          <w:bCs/>
          <w:color w:val="auto"/>
          <w:sz w:val="22"/>
          <w:szCs w:val="22"/>
        </w:rPr>
        <w:t>B</w:t>
      </w:r>
      <w:r w:rsidRPr="00FB6E71">
        <w:rPr>
          <w:rFonts w:asciiTheme="minorHAnsi" w:hAnsiTheme="minorHAnsi"/>
          <w:b/>
          <w:bCs/>
          <w:color w:val="auto"/>
          <w:sz w:val="22"/>
          <w:szCs w:val="22"/>
        </w:rPr>
        <w:t xml:space="preserve">orrower (with TA from the World Bank/partners) </w:t>
      </w:r>
      <w:r>
        <w:rPr>
          <w:rFonts w:asciiTheme="minorHAnsi" w:hAnsiTheme="minorHAnsi"/>
          <w:b/>
          <w:bCs/>
          <w:color w:val="auto"/>
          <w:sz w:val="22"/>
          <w:szCs w:val="22"/>
        </w:rPr>
        <w:t>prepared</w:t>
      </w:r>
      <w:r w:rsidRPr="00FB6E71">
        <w:rPr>
          <w:rFonts w:asciiTheme="minorHAnsi" w:hAnsiTheme="minorHAnsi"/>
          <w:b/>
          <w:bCs/>
          <w:color w:val="auto"/>
          <w:sz w:val="22"/>
          <w:szCs w:val="22"/>
        </w:rPr>
        <w:t xml:space="preserve"> a</w:t>
      </w:r>
      <w:r>
        <w:rPr>
          <w:rFonts w:asciiTheme="minorHAnsi" w:hAnsiTheme="minorHAnsi"/>
          <w:b/>
          <w:bCs/>
          <w:color w:val="auto"/>
          <w:sz w:val="22"/>
          <w:szCs w:val="22"/>
        </w:rPr>
        <w:t xml:space="preserve"> draft</w:t>
      </w:r>
      <w:r w:rsidRPr="00FB6E71">
        <w:rPr>
          <w:rFonts w:asciiTheme="minorHAnsi" w:hAnsiTheme="minorHAnsi"/>
          <w:b/>
          <w:bCs/>
          <w:color w:val="auto"/>
          <w:sz w:val="22"/>
          <w:szCs w:val="22"/>
        </w:rPr>
        <w:t xml:space="preserve"> Project Procurement Strategy for Development (PPSD)</w:t>
      </w:r>
      <w:r>
        <w:rPr>
          <w:rFonts w:asciiTheme="minorHAnsi" w:hAnsiTheme="minorHAnsi"/>
          <w:b/>
          <w:bCs/>
          <w:color w:val="auto"/>
          <w:sz w:val="22"/>
          <w:szCs w:val="22"/>
        </w:rPr>
        <w:t>,</w:t>
      </w:r>
      <w:r w:rsidRPr="00FB6E71">
        <w:rPr>
          <w:rFonts w:asciiTheme="minorHAnsi" w:hAnsiTheme="minorHAnsi"/>
          <w:b/>
          <w:bCs/>
          <w:color w:val="auto"/>
          <w:sz w:val="22"/>
          <w:szCs w:val="22"/>
        </w:rPr>
        <w:t xml:space="preserve"> which describe</w:t>
      </w:r>
      <w:r>
        <w:rPr>
          <w:rFonts w:asciiTheme="minorHAnsi" w:hAnsiTheme="minorHAnsi"/>
          <w:b/>
          <w:bCs/>
          <w:color w:val="auto"/>
          <w:sz w:val="22"/>
          <w:szCs w:val="22"/>
        </w:rPr>
        <w:t>s</w:t>
      </w:r>
      <w:r w:rsidRPr="00FB6E71">
        <w:rPr>
          <w:rFonts w:asciiTheme="minorHAnsi" w:hAnsiTheme="minorHAnsi"/>
          <w:b/>
          <w:bCs/>
          <w:color w:val="auto"/>
          <w:sz w:val="22"/>
          <w:szCs w:val="22"/>
        </w:rPr>
        <w:t xml:space="preserve"> how procurement activities will support project operations for the achievement of the PDOs and deliver value for money.</w:t>
      </w:r>
      <w:r w:rsidRPr="00FB6E71">
        <w:rPr>
          <w:rFonts w:asciiTheme="minorHAnsi" w:hAnsiTheme="minorHAnsi"/>
          <w:bCs/>
          <w:color w:val="auto"/>
          <w:sz w:val="22"/>
          <w:szCs w:val="22"/>
        </w:rPr>
        <w:t xml:space="preserve"> The procurement strategy w</w:t>
      </w:r>
      <w:r>
        <w:rPr>
          <w:rFonts w:asciiTheme="minorHAnsi" w:hAnsiTheme="minorHAnsi"/>
          <w:bCs/>
          <w:color w:val="auto"/>
          <w:sz w:val="22"/>
          <w:szCs w:val="22"/>
        </w:rPr>
        <w:t>ill</w:t>
      </w:r>
      <w:r w:rsidRPr="00FB6E71">
        <w:rPr>
          <w:rFonts w:asciiTheme="minorHAnsi" w:hAnsiTheme="minorHAnsi"/>
          <w:bCs/>
          <w:color w:val="auto"/>
          <w:sz w:val="22"/>
          <w:szCs w:val="22"/>
        </w:rPr>
        <w:t xml:space="preserve"> be linked to the project implementation strategy at both the country and the state levels ensuring proper sequencing of the activities. It will consider institutional arrangements for procurement; roles and responsibilities; thresholds, procurement methods, and prior review</w:t>
      </w:r>
      <w:r>
        <w:rPr>
          <w:rFonts w:asciiTheme="minorHAnsi" w:hAnsiTheme="minorHAnsi"/>
          <w:bCs/>
          <w:color w:val="auto"/>
          <w:sz w:val="22"/>
          <w:szCs w:val="22"/>
        </w:rPr>
        <w:t>;</w:t>
      </w:r>
      <w:r w:rsidRPr="00FB6E71">
        <w:rPr>
          <w:rFonts w:asciiTheme="minorHAnsi" w:hAnsiTheme="minorHAnsi"/>
          <w:bCs/>
          <w:color w:val="auto"/>
          <w:sz w:val="22"/>
          <w:szCs w:val="22"/>
        </w:rPr>
        <w:t xml:space="preserve"> and the requirements for carrying out procurement. It will also include a detailed assessment and description of state government capacity for carrying out procurement and managing contract implementation, within an acceptable governance structure and accountability framework. Other issues to be taken into account will include the behaviors, trends</w:t>
      </w:r>
      <w:r>
        <w:rPr>
          <w:rFonts w:asciiTheme="minorHAnsi" w:hAnsiTheme="minorHAnsi"/>
          <w:bCs/>
          <w:color w:val="auto"/>
          <w:sz w:val="22"/>
          <w:szCs w:val="22"/>
        </w:rPr>
        <w:t>,</w:t>
      </w:r>
      <w:r w:rsidRPr="00FB6E71">
        <w:rPr>
          <w:rFonts w:asciiTheme="minorHAnsi" w:hAnsiTheme="minorHAnsi"/>
          <w:bCs/>
          <w:color w:val="auto"/>
          <w:sz w:val="22"/>
          <w:szCs w:val="22"/>
        </w:rPr>
        <w:t xml:space="preserve"> and capabilities of the market (</w:t>
      </w:r>
      <w:r>
        <w:rPr>
          <w:rFonts w:asciiTheme="minorHAnsi" w:hAnsiTheme="minorHAnsi"/>
          <w:bCs/>
          <w:color w:val="auto"/>
          <w:sz w:val="22"/>
          <w:szCs w:val="22"/>
        </w:rPr>
        <w:t>m</w:t>
      </w:r>
      <w:r w:rsidRPr="00FB6E71">
        <w:rPr>
          <w:rFonts w:asciiTheme="minorHAnsi" w:hAnsiTheme="minorHAnsi"/>
          <w:bCs/>
          <w:color w:val="auto"/>
          <w:sz w:val="22"/>
          <w:szCs w:val="22"/>
        </w:rPr>
        <w:t xml:space="preserve">arket </w:t>
      </w:r>
      <w:r>
        <w:rPr>
          <w:rFonts w:asciiTheme="minorHAnsi" w:hAnsiTheme="minorHAnsi"/>
          <w:bCs/>
          <w:color w:val="auto"/>
          <w:sz w:val="22"/>
          <w:szCs w:val="22"/>
        </w:rPr>
        <w:t>a</w:t>
      </w:r>
      <w:r w:rsidRPr="00FB6E71">
        <w:rPr>
          <w:rFonts w:asciiTheme="minorHAnsi" w:hAnsiTheme="minorHAnsi"/>
          <w:bCs/>
          <w:color w:val="auto"/>
          <w:sz w:val="22"/>
          <w:szCs w:val="22"/>
        </w:rPr>
        <w:t>nalysis) to respond to the Procurement Plan (PP). The MCRP activities will also require strong technical capability to prepare proper technical specifications to avert lack of, or inadequate, market response. This capability</w:t>
      </w:r>
      <w:r>
        <w:rPr>
          <w:rFonts w:asciiTheme="minorHAnsi" w:hAnsiTheme="minorHAnsi"/>
          <w:bCs/>
          <w:color w:val="auto"/>
          <w:sz w:val="22"/>
          <w:szCs w:val="22"/>
        </w:rPr>
        <w:t>,</w:t>
      </w:r>
      <w:r w:rsidRPr="00FB6E71">
        <w:rPr>
          <w:rFonts w:asciiTheme="minorHAnsi" w:hAnsiTheme="minorHAnsi"/>
          <w:bCs/>
          <w:color w:val="auto"/>
          <w:sz w:val="22"/>
          <w:szCs w:val="22"/>
        </w:rPr>
        <w:t xml:space="preserve"> or a plan to enhance it</w:t>
      </w:r>
      <w:r>
        <w:rPr>
          <w:rFonts w:asciiTheme="minorHAnsi" w:hAnsiTheme="minorHAnsi"/>
          <w:bCs/>
          <w:color w:val="auto"/>
          <w:sz w:val="22"/>
          <w:szCs w:val="22"/>
        </w:rPr>
        <w:t>,</w:t>
      </w:r>
      <w:r w:rsidRPr="00FB6E71">
        <w:rPr>
          <w:rFonts w:asciiTheme="minorHAnsi" w:hAnsiTheme="minorHAnsi"/>
          <w:bCs/>
          <w:color w:val="auto"/>
          <w:sz w:val="22"/>
          <w:szCs w:val="22"/>
        </w:rPr>
        <w:t xml:space="preserve"> will be described in the strategy. Also, special arrangements like direct contracting</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use of state-owned enterprises (SOEs), UN Agencies, third-party monitors, local NGOs, </w:t>
      </w:r>
      <w:r>
        <w:rPr>
          <w:rFonts w:asciiTheme="minorHAnsi" w:hAnsiTheme="minorHAnsi"/>
          <w:bCs/>
          <w:color w:val="auto"/>
          <w:sz w:val="22"/>
          <w:szCs w:val="22"/>
        </w:rPr>
        <w:t>and f</w:t>
      </w:r>
      <w:r w:rsidRPr="00FB6E71">
        <w:rPr>
          <w:rFonts w:asciiTheme="minorHAnsi" w:hAnsiTheme="minorHAnsi"/>
          <w:bCs/>
          <w:color w:val="auto"/>
          <w:sz w:val="22"/>
          <w:szCs w:val="22"/>
        </w:rPr>
        <w:t xml:space="preserve">orce </w:t>
      </w:r>
      <w:r>
        <w:rPr>
          <w:rFonts w:asciiTheme="minorHAnsi" w:hAnsiTheme="minorHAnsi"/>
          <w:bCs/>
          <w:color w:val="auto"/>
          <w:sz w:val="22"/>
          <w:szCs w:val="22"/>
        </w:rPr>
        <w:t>a</w:t>
      </w:r>
      <w:r w:rsidRPr="00FB6E71">
        <w:rPr>
          <w:rFonts w:asciiTheme="minorHAnsi" w:hAnsiTheme="minorHAnsi"/>
          <w:bCs/>
          <w:color w:val="auto"/>
          <w:sz w:val="22"/>
          <w:szCs w:val="22"/>
        </w:rPr>
        <w:t>ccount</w:t>
      </w:r>
      <w:r>
        <w:rPr>
          <w:rFonts w:asciiTheme="minorHAnsi" w:hAnsiTheme="minorHAnsi"/>
          <w:bCs/>
          <w:color w:val="auto"/>
          <w:sz w:val="22"/>
          <w:szCs w:val="22"/>
        </w:rPr>
        <w:t>;</w:t>
      </w:r>
      <w:r w:rsidRPr="00FB6E71">
        <w:rPr>
          <w:rFonts w:asciiTheme="minorHAnsi" w:hAnsiTheme="minorHAnsi"/>
          <w:bCs/>
          <w:color w:val="auto"/>
          <w:sz w:val="22"/>
          <w:szCs w:val="22"/>
        </w:rPr>
        <w:t xml:space="preserve"> or civil servants needs, results-based arrangements, </w:t>
      </w:r>
      <w:r>
        <w:rPr>
          <w:rFonts w:asciiTheme="minorHAnsi" w:hAnsiTheme="minorHAnsi"/>
          <w:bCs/>
          <w:color w:val="auto"/>
          <w:sz w:val="22"/>
          <w:szCs w:val="22"/>
        </w:rPr>
        <w:t xml:space="preserve">and </w:t>
      </w:r>
      <w:r w:rsidRPr="00FB6E71">
        <w:rPr>
          <w:rFonts w:asciiTheme="minorHAnsi" w:hAnsiTheme="minorHAnsi"/>
          <w:bCs/>
          <w:color w:val="auto"/>
          <w:sz w:val="22"/>
          <w:szCs w:val="22"/>
        </w:rPr>
        <w:t xml:space="preserve">need for prequalification, if any, will be addressed. The strategy will include a summary on </w:t>
      </w:r>
      <w:r>
        <w:rPr>
          <w:rFonts w:asciiTheme="minorHAnsi" w:hAnsiTheme="minorHAnsi"/>
          <w:bCs/>
          <w:color w:val="auto"/>
          <w:sz w:val="22"/>
          <w:szCs w:val="22"/>
        </w:rPr>
        <w:t>p</w:t>
      </w:r>
      <w:r w:rsidRPr="00FB6E71">
        <w:rPr>
          <w:rFonts w:asciiTheme="minorHAnsi" w:hAnsiTheme="minorHAnsi"/>
          <w:bCs/>
          <w:color w:val="auto"/>
          <w:sz w:val="22"/>
          <w:szCs w:val="22"/>
        </w:rPr>
        <w:t xml:space="preserve">rocurement </w:t>
      </w:r>
      <w:r>
        <w:rPr>
          <w:rFonts w:asciiTheme="minorHAnsi" w:hAnsiTheme="minorHAnsi"/>
          <w:bCs/>
          <w:color w:val="auto"/>
          <w:sz w:val="22"/>
          <w:szCs w:val="22"/>
        </w:rPr>
        <w:t>r</w:t>
      </w:r>
      <w:r w:rsidRPr="00FB6E71">
        <w:rPr>
          <w:rFonts w:asciiTheme="minorHAnsi" w:hAnsiTheme="minorHAnsi"/>
          <w:bCs/>
          <w:color w:val="auto"/>
          <w:sz w:val="22"/>
          <w:szCs w:val="22"/>
        </w:rPr>
        <w:t xml:space="preserve">isk, </w:t>
      </w:r>
      <w:r>
        <w:rPr>
          <w:rFonts w:asciiTheme="minorHAnsi" w:hAnsiTheme="minorHAnsi"/>
          <w:bCs/>
          <w:color w:val="auto"/>
          <w:sz w:val="22"/>
          <w:szCs w:val="22"/>
        </w:rPr>
        <w:t>m</w:t>
      </w:r>
      <w:r w:rsidRPr="00FB6E71">
        <w:rPr>
          <w:rFonts w:asciiTheme="minorHAnsi" w:hAnsiTheme="minorHAnsi"/>
          <w:bCs/>
          <w:color w:val="auto"/>
          <w:sz w:val="22"/>
          <w:szCs w:val="22"/>
        </w:rPr>
        <w:t xml:space="preserve">itigation </w:t>
      </w:r>
      <w:r>
        <w:rPr>
          <w:rFonts w:asciiTheme="minorHAnsi" w:hAnsiTheme="minorHAnsi"/>
          <w:bCs/>
          <w:color w:val="auto"/>
          <w:sz w:val="22"/>
          <w:szCs w:val="22"/>
        </w:rPr>
        <w:t>a</w:t>
      </w:r>
      <w:r w:rsidRPr="00FB6E71">
        <w:rPr>
          <w:rFonts w:asciiTheme="minorHAnsi" w:hAnsiTheme="minorHAnsi"/>
          <w:bCs/>
          <w:color w:val="auto"/>
          <w:sz w:val="22"/>
          <w:szCs w:val="22"/>
        </w:rPr>
        <w:t xml:space="preserve">ction </w:t>
      </w:r>
      <w:r>
        <w:rPr>
          <w:rFonts w:asciiTheme="minorHAnsi" w:hAnsiTheme="minorHAnsi"/>
          <w:bCs/>
          <w:color w:val="auto"/>
          <w:sz w:val="22"/>
          <w:szCs w:val="22"/>
        </w:rPr>
        <w:t>p</w:t>
      </w:r>
      <w:r w:rsidRPr="00FB6E71">
        <w:rPr>
          <w:rFonts w:asciiTheme="minorHAnsi" w:hAnsiTheme="minorHAnsi"/>
          <w:bCs/>
          <w:color w:val="auto"/>
          <w:sz w:val="22"/>
          <w:szCs w:val="22"/>
        </w:rPr>
        <w:t xml:space="preserve">lan, </w:t>
      </w:r>
      <w:r>
        <w:rPr>
          <w:rFonts w:asciiTheme="minorHAnsi" w:hAnsiTheme="minorHAnsi"/>
          <w:bCs/>
          <w:color w:val="auto"/>
          <w:sz w:val="22"/>
          <w:szCs w:val="22"/>
        </w:rPr>
        <w:t>and p</w:t>
      </w:r>
      <w:r w:rsidRPr="00FB6E71">
        <w:rPr>
          <w:rFonts w:asciiTheme="minorHAnsi" w:hAnsiTheme="minorHAnsi"/>
          <w:bCs/>
          <w:color w:val="auto"/>
          <w:sz w:val="22"/>
          <w:szCs w:val="22"/>
        </w:rPr>
        <w:t xml:space="preserve">rocurement </w:t>
      </w:r>
      <w:r>
        <w:rPr>
          <w:rFonts w:asciiTheme="minorHAnsi" w:hAnsiTheme="minorHAnsi"/>
          <w:bCs/>
          <w:color w:val="auto"/>
          <w:sz w:val="22"/>
          <w:szCs w:val="22"/>
        </w:rPr>
        <w:t>i</w:t>
      </w:r>
      <w:r w:rsidRPr="00FB6E71">
        <w:rPr>
          <w:rFonts w:asciiTheme="minorHAnsi" w:hAnsiTheme="minorHAnsi"/>
          <w:bCs/>
          <w:color w:val="auto"/>
          <w:sz w:val="22"/>
          <w:szCs w:val="22"/>
        </w:rPr>
        <w:t xml:space="preserve">mplementation </w:t>
      </w:r>
      <w:r>
        <w:rPr>
          <w:rFonts w:asciiTheme="minorHAnsi" w:hAnsiTheme="minorHAnsi"/>
          <w:bCs/>
          <w:color w:val="auto"/>
          <w:sz w:val="22"/>
          <w:szCs w:val="22"/>
        </w:rPr>
        <w:t>s</w:t>
      </w:r>
      <w:r w:rsidRPr="00FB6E71">
        <w:rPr>
          <w:rFonts w:asciiTheme="minorHAnsi" w:hAnsiTheme="minorHAnsi"/>
          <w:bCs/>
          <w:color w:val="auto"/>
          <w:sz w:val="22"/>
          <w:szCs w:val="22"/>
        </w:rPr>
        <w:t xml:space="preserve">upport and </w:t>
      </w:r>
      <w:r>
        <w:rPr>
          <w:rFonts w:asciiTheme="minorHAnsi" w:hAnsiTheme="minorHAnsi"/>
          <w:bCs/>
          <w:color w:val="auto"/>
          <w:sz w:val="22"/>
          <w:szCs w:val="22"/>
        </w:rPr>
        <w:t>s</w:t>
      </w:r>
      <w:r w:rsidRPr="00FB6E71">
        <w:rPr>
          <w:rFonts w:asciiTheme="minorHAnsi" w:hAnsiTheme="minorHAnsi"/>
          <w:bCs/>
          <w:color w:val="auto"/>
          <w:sz w:val="22"/>
          <w:szCs w:val="22"/>
        </w:rPr>
        <w:t xml:space="preserve">upervision plan. The procurement management risk for this project is assessed to be Substantial. Annex 2 provides additional information on procurement management.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Following the situation on the ground, the strategy may trigger OP 10.00</w:t>
      </w:r>
      <w:r>
        <w:rPr>
          <w:rFonts w:asciiTheme="minorHAnsi" w:hAnsiTheme="minorHAnsi"/>
          <w:b/>
          <w:bCs/>
          <w:color w:val="auto"/>
          <w:sz w:val="22"/>
          <w:szCs w:val="22"/>
        </w:rPr>
        <w:t>,</w:t>
      </w:r>
      <w:r w:rsidRPr="00FB6E71">
        <w:rPr>
          <w:rFonts w:asciiTheme="minorHAnsi" w:hAnsiTheme="minorHAnsi"/>
          <w:b/>
          <w:bCs/>
          <w:color w:val="auto"/>
          <w:sz w:val="22"/>
          <w:szCs w:val="22"/>
        </w:rPr>
        <w:t xml:space="preserve"> paragraph 12</w:t>
      </w:r>
      <w:r>
        <w:rPr>
          <w:rFonts w:asciiTheme="minorHAnsi" w:hAnsiTheme="minorHAnsi"/>
          <w:b/>
          <w:bCs/>
          <w:color w:val="auto"/>
          <w:sz w:val="22"/>
          <w:szCs w:val="22"/>
        </w:rPr>
        <w:t>,</w:t>
      </w:r>
      <w:r w:rsidRPr="00FB6E71">
        <w:rPr>
          <w:rFonts w:asciiTheme="minorHAnsi" w:hAnsiTheme="minorHAnsi"/>
          <w:b/>
          <w:bCs/>
          <w:color w:val="auto"/>
          <w:sz w:val="22"/>
          <w:szCs w:val="22"/>
        </w:rPr>
        <w:t xml:space="preserve"> on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use of emergency procedures.</w:t>
      </w:r>
      <w:r w:rsidRPr="00FB6E71">
        <w:rPr>
          <w:rFonts w:asciiTheme="minorHAnsi" w:hAnsiTheme="minorHAnsi"/>
          <w:bCs/>
          <w:color w:val="auto"/>
          <w:sz w:val="22"/>
          <w:szCs w:val="22"/>
        </w:rPr>
        <w:t xml:space="preserve"> This has become necessary for the procurement systems to readily respond to the emergency situations at hand. (Phases 1 </w:t>
      </w:r>
      <w:r>
        <w:rPr>
          <w:rFonts w:asciiTheme="minorHAnsi" w:hAnsiTheme="minorHAnsi"/>
          <w:bCs/>
          <w:color w:val="auto"/>
          <w:sz w:val="22"/>
          <w:szCs w:val="22"/>
        </w:rPr>
        <w:t>and</w:t>
      </w:r>
      <w:r w:rsidRPr="00FB6E71">
        <w:rPr>
          <w:rFonts w:asciiTheme="minorHAnsi" w:hAnsiTheme="minorHAnsi"/>
          <w:bCs/>
          <w:color w:val="auto"/>
          <w:sz w:val="22"/>
          <w:szCs w:val="22"/>
        </w:rPr>
        <w:t xml:space="preserve"> 2 of the procurement operation will respond to the emergencies dealing with life</w:t>
      </w:r>
      <w:r>
        <w:rPr>
          <w:rFonts w:asciiTheme="minorHAnsi" w:hAnsiTheme="minorHAnsi"/>
          <w:bCs/>
          <w:color w:val="auto"/>
          <w:sz w:val="22"/>
          <w:szCs w:val="22"/>
        </w:rPr>
        <w:t>-</w:t>
      </w:r>
      <w:r w:rsidRPr="00FB6E71">
        <w:rPr>
          <w:rFonts w:asciiTheme="minorHAnsi" w:hAnsiTheme="minorHAnsi"/>
          <w:bCs/>
          <w:color w:val="auto"/>
          <w:sz w:val="22"/>
          <w:szCs w:val="22"/>
        </w:rPr>
        <w:t>, health</w:t>
      </w:r>
      <w:r>
        <w:rPr>
          <w:rFonts w:asciiTheme="minorHAnsi" w:hAnsiTheme="minorHAnsi"/>
          <w:bCs/>
          <w:color w:val="auto"/>
          <w:sz w:val="22"/>
          <w:szCs w:val="22"/>
        </w:rPr>
        <w:t>-</w:t>
      </w:r>
      <w:r w:rsidRPr="00FB6E71">
        <w:rPr>
          <w:rFonts w:asciiTheme="minorHAnsi" w:hAnsiTheme="minorHAnsi"/>
          <w:bCs/>
          <w:color w:val="auto"/>
          <w:sz w:val="22"/>
          <w:szCs w:val="22"/>
        </w:rPr>
        <w:t>, and safety</w:t>
      </w:r>
      <w:r>
        <w:rPr>
          <w:rFonts w:asciiTheme="minorHAnsi" w:hAnsiTheme="minorHAnsi"/>
          <w:bCs/>
          <w:color w:val="auto"/>
          <w:sz w:val="22"/>
          <w:szCs w:val="22"/>
        </w:rPr>
        <w:t>-</w:t>
      </w:r>
      <w:r w:rsidRPr="00FB6E71">
        <w:rPr>
          <w:rFonts w:asciiTheme="minorHAnsi" w:hAnsiTheme="minorHAnsi"/>
          <w:bCs/>
          <w:color w:val="auto"/>
          <w:sz w:val="22"/>
          <w:szCs w:val="22"/>
        </w:rPr>
        <w:t>threatening conditions; restoration of livelihood; reconstruction and so on</w:t>
      </w:r>
      <w:r>
        <w:rPr>
          <w:rFonts w:asciiTheme="minorHAnsi" w:hAnsiTheme="minorHAnsi"/>
          <w:bCs/>
          <w:color w:val="auto"/>
          <w:sz w:val="22"/>
          <w:szCs w:val="22"/>
        </w:rPr>
        <w:t>;</w:t>
      </w:r>
      <w:r w:rsidRPr="00FB6E71">
        <w:rPr>
          <w:rFonts w:asciiTheme="minorHAnsi" w:hAnsiTheme="minorHAnsi"/>
          <w:bCs/>
          <w:color w:val="auto"/>
          <w:sz w:val="22"/>
          <w:szCs w:val="22"/>
        </w:rPr>
        <w:t xml:space="preserve"> and to subsequently revert to normal procedures once the emergency is stabilized.) The design of the strategy by the Borrower will be finalized </w:t>
      </w:r>
      <w:r>
        <w:rPr>
          <w:rFonts w:asciiTheme="minorHAnsi" w:hAnsiTheme="minorHAnsi"/>
          <w:bCs/>
          <w:color w:val="auto"/>
          <w:sz w:val="22"/>
          <w:szCs w:val="22"/>
        </w:rPr>
        <w:t>by project effectiveness</w:t>
      </w:r>
      <w:r w:rsidRPr="00FB6E71">
        <w:rPr>
          <w:rFonts w:asciiTheme="minorHAnsi" w:hAnsiTheme="minorHAnsi"/>
          <w:bCs/>
          <w:color w:val="auto"/>
          <w:sz w:val="22"/>
          <w:szCs w:val="22"/>
        </w:rPr>
        <w:t xml:space="preserve"> and agreed with the World Bank.</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102" w:name="_Toc256000024"/>
            <w:bookmarkStart w:id="103" w:name="_Toc433982430"/>
            <w:bookmarkStart w:id="104" w:name="_Toc460509211"/>
            <w:bookmarkStart w:id="105" w:name="_Toc476558126"/>
            <w:r w:rsidRPr="00FB6E71">
              <w:rPr>
                <w:rFonts w:asciiTheme="minorHAnsi" w:hAnsiTheme="minorHAnsi"/>
                <w:b/>
                <w:bCs/>
                <w:color w:val="172D5F"/>
                <w:sz w:val="22"/>
                <w:szCs w:val="22"/>
              </w:rPr>
              <w:t>E. Social (including Safeguards)</w:t>
            </w:r>
            <w:bookmarkEnd w:id="102"/>
            <w:bookmarkEnd w:id="103"/>
            <w:bookmarkEnd w:id="104"/>
            <w:bookmarkEnd w:id="105"/>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Safeguards Action Plan (SAP)</w:t>
      </w:r>
      <w:r>
        <w:rPr>
          <w:rFonts w:asciiTheme="minorHAnsi" w:hAnsiTheme="minorHAnsi"/>
          <w:b/>
          <w:color w:val="000000" w:themeColor="text1"/>
          <w:sz w:val="22"/>
          <w:szCs w:val="22"/>
        </w:rPr>
        <w:t>.</w:t>
      </w:r>
      <w:r w:rsidRPr="00FB6E71">
        <w:rPr>
          <w:rFonts w:asciiTheme="minorHAnsi" w:hAnsiTheme="minorHAnsi"/>
          <w:color w:val="000000" w:themeColor="text1"/>
          <w:sz w:val="22"/>
          <w:szCs w:val="22"/>
        </w:rPr>
        <w:t xml:space="preserve"> This project is being prepared under the provisions of paragraph 12 of OP 10.00 for projects in situations of urgent need for assistance. Thus, the preparation of safeguards instruments is proposed to be deferred to the implementation phase, and an SAP has been prepared and is included in </w:t>
      </w:r>
      <w:r>
        <w:rPr>
          <w:rFonts w:asciiTheme="minorHAnsi" w:hAnsiTheme="minorHAnsi"/>
          <w:color w:val="000000" w:themeColor="text1"/>
          <w:sz w:val="22"/>
          <w:szCs w:val="22"/>
        </w:rPr>
        <w:t>a</w:t>
      </w:r>
      <w:r w:rsidRPr="00FB6E71">
        <w:rPr>
          <w:rFonts w:asciiTheme="minorHAnsi" w:hAnsiTheme="minorHAnsi"/>
          <w:color w:val="000000" w:themeColor="text1"/>
          <w:sz w:val="22"/>
          <w:szCs w:val="22"/>
        </w:rPr>
        <w:t xml:space="preserve">nnex 2. The </w:t>
      </w:r>
      <w:r>
        <w:rPr>
          <w:rFonts w:asciiTheme="minorHAnsi" w:hAnsiTheme="minorHAnsi"/>
          <w:color w:val="000000" w:themeColor="text1"/>
          <w:sz w:val="22"/>
          <w:szCs w:val="22"/>
        </w:rPr>
        <w:t>SAP</w:t>
      </w:r>
      <w:r w:rsidRPr="00FB6E71">
        <w:rPr>
          <w:rFonts w:asciiTheme="minorHAnsi" w:hAnsiTheme="minorHAnsi"/>
          <w:color w:val="000000" w:themeColor="text1"/>
          <w:sz w:val="22"/>
          <w:szCs w:val="22"/>
        </w:rPr>
        <w:t xml:space="preserve"> explains the identification and mitigation of the environmental and social (E&amp;S) impacts and risks at the early stage of project implementation until the full safeguards instruments are finalized and publicly disclosed in Nigeria and through the World Bank. It also lays out the sequencing and tentative implementation schedule for the safeguards, the roles and responsibilities for the safeguards preparation and implementation and monitoring, </w:t>
      </w:r>
      <w:r>
        <w:rPr>
          <w:rFonts w:asciiTheme="minorHAnsi" w:hAnsiTheme="minorHAnsi"/>
          <w:color w:val="000000" w:themeColor="text1"/>
          <w:sz w:val="22"/>
          <w:szCs w:val="22"/>
        </w:rPr>
        <w:t>and the</w:t>
      </w:r>
      <w:r w:rsidRPr="00FB6E71">
        <w:rPr>
          <w:rFonts w:asciiTheme="minorHAnsi" w:hAnsiTheme="minorHAnsi"/>
          <w:color w:val="000000" w:themeColor="text1"/>
          <w:sz w:val="22"/>
          <w:szCs w:val="22"/>
        </w:rPr>
        <w:t xml:space="preserve"> estimated costs to do so.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The World Bank policy OP 4.12</w:t>
      </w:r>
      <w:r>
        <w:rPr>
          <w:rFonts w:asciiTheme="minorHAnsi" w:hAnsiTheme="minorHAnsi"/>
          <w:b/>
          <w:color w:val="000000" w:themeColor="text1"/>
          <w:sz w:val="22"/>
          <w:szCs w:val="22"/>
        </w:rPr>
        <w:t xml:space="preserve"> (</w:t>
      </w:r>
      <w:r w:rsidRPr="00FB6E71">
        <w:rPr>
          <w:rFonts w:asciiTheme="minorHAnsi" w:hAnsiTheme="minorHAnsi"/>
          <w:b/>
          <w:color w:val="000000" w:themeColor="text1"/>
          <w:sz w:val="22"/>
          <w:szCs w:val="22"/>
        </w:rPr>
        <w:t>Involuntary Resettlement</w:t>
      </w:r>
      <w:r>
        <w:rPr>
          <w:rFonts w:asciiTheme="minorHAnsi" w:hAnsiTheme="minorHAnsi"/>
          <w:b/>
          <w:color w:val="000000" w:themeColor="text1"/>
          <w:sz w:val="22"/>
          <w:szCs w:val="22"/>
        </w:rPr>
        <w:t>)</w:t>
      </w:r>
      <w:r w:rsidRPr="00FB6E71">
        <w:rPr>
          <w:rFonts w:asciiTheme="minorHAnsi" w:hAnsiTheme="minorHAnsi"/>
          <w:b/>
          <w:color w:val="000000" w:themeColor="text1"/>
          <w:sz w:val="22"/>
          <w:szCs w:val="22"/>
        </w:rPr>
        <w:t xml:space="preserve"> is triggered.</w:t>
      </w:r>
      <w:r w:rsidRPr="00FB6E71">
        <w:rPr>
          <w:rFonts w:asciiTheme="minorHAnsi" w:hAnsiTheme="minorHAnsi"/>
          <w:color w:val="000000" w:themeColor="text1"/>
          <w:sz w:val="22"/>
          <w:szCs w:val="22"/>
        </w:rPr>
        <w:t xml:space="preserve"> The reconstruction and rehabilitation of affected basic social and physical infrastructure may in some cases entail the reconstruction of infrastructure in new locations to reduce risk and respond to the needs of displaced and host communities </w:t>
      </w:r>
      <w:r>
        <w:rPr>
          <w:rFonts w:asciiTheme="minorHAnsi" w:hAnsiTheme="minorHAnsi"/>
          <w:color w:val="000000" w:themeColor="text1"/>
          <w:sz w:val="22"/>
          <w:szCs w:val="22"/>
        </w:rPr>
        <w:t>affected</w:t>
      </w:r>
      <w:r w:rsidRPr="00FB6E71">
        <w:rPr>
          <w:rFonts w:asciiTheme="minorHAnsi" w:hAnsiTheme="minorHAnsi"/>
          <w:color w:val="000000" w:themeColor="text1"/>
          <w:sz w:val="22"/>
          <w:szCs w:val="22"/>
        </w:rPr>
        <w:t xml:space="preserve"> by the crisis in </w:t>
      </w:r>
      <w:r>
        <w:rPr>
          <w:rFonts w:asciiTheme="minorHAnsi" w:hAnsiTheme="minorHAnsi"/>
          <w:color w:val="000000" w:themeColor="text1"/>
          <w:sz w:val="22"/>
          <w:szCs w:val="22"/>
        </w:rPr>
        <w:t xml:space="preserve">the </w:t>
      </w:r>
      <w:r w:rsidRPr="00FB6E71">
        <w:rPr>
          <w:rFonts w:asciiTheme="minorHAnsi" w:hAnsiTheme="minorHAnsi"/>
          <w:color w:val="000000" w:themeColor="text1"/>
          <w:sz w:val="22"/>
          <w:szCs w:val="22"/>
        </w:rPr>
        <w:t>BAY states.</w:t>
      </w:r>
      <w:r w:rsidRPr="00CE7B37">
        <w:rPr>
          <w:rFonts w:asciiTheme="minorHAnsi" w:hAnsiTheme="minorHAnsi"/>
          <w:color w:val="000000" w:themeColor="text1"/>
          <w:sz w:val="22"/>
          <w:szCs w:val="22"/>
        </w:rPr>
        <w:t xml:space="preserve"> </w:t>
      </w:r>
      <w:r w:rsidRPr="00FB6E71">
        <w:rPr>
          <w:rFonts w:asciiTheme="minorHAnsi" w:hAnsiTheme="minorHAnsi"/>
          <w:color w:val="000000" w:themeColor="text1"/>
          <w:sz w:val="22"/>
          <w:szCs w:val="22"/>
        </w:rPr>
        <w:t xml:space="preserve">As such, the project could involve land acquisition.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Resettlement and livelihood restoration are expected to be of moderate complexity.</w:t>
      </w:r>
      <w:r w:rsidRPr="00FB6E71">
        <w:rPr>
          <w:rFonts w:asciiTheme="minorHAnsi" w:hAnsiTheme="minorHAnsi"/>
          <w:color w:val="000000" w:themeColor="text1"/>
          <w:sz w:val="22"/>
          <w:szCs w:val="22"/>
        </w:rPr>
        <w:t xml:space="preserve"> The foreseen low</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 to medium</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intensity civil work activities will include reconstruction and rehabilitation of roads, schools, health centers, WASH infrastructure, </w:t>
      </w:r>
      <w:r>
        <w:rPr>
          <w:rFonts w:asciiTheme="minorHAnsi" w:hAnsiTheme="minorHAnsi"/>
          <w:color w:val="000000" w:themeColor="text1"/>
          <w:sz w:val="22"/>
          <w:szCs w:val="22"/>
        </w:rPr>
        <w:t xml:space="preserve">and </w:t>
      </w:r>
      <w:r w:rsidRPr="00FB6E71">
        <w:rPr>
          <w:rFonts w:asciiTheme="minorHAnsi" w:hAnsiTheme="minorHAnsi"/>
          <w:color w:val="000000" w:themeColor="text1"/>
          <w:sz w:val="22"/>
          <w:szCs w:val="22"/>
        </w:rPr>
        <w:t>public buildings.</w:t>
      </w:r>
      <w:r w:rsidRPr="00FB6E71">
        <w:rPr>
          <w:rFonts w:asciiTheme="minorHAnsi" w:hAnsiTheme="minorHAnsi" w:cs="Times New Roman"/>
          <w:sz w:val="22"/>
          <w:szCs w:val="22"/>
        </w:rPr>
        <w:t xml:space="preserve"> </w:t>
      </w:r>
      <w:r w:rsidRPr="00FB6E71">
        <w:rPr>
          <w:rFonts w:asciiTheme="minorHAnsi" w:hAnsiTheme="minorHAnsi"/>
          <w:color w:val="000000" w:themeColor="text1"/>
          <w:sz w:val="22"/>
          <w:szCs w:val="22"/>
        </w:rPr>
        <w:t>The land acquired for this purpose may lead to loss of assets, sources of income</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 or means of livelihoods for some households of conflict</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affected people. In case any activity or subproject leads to a loss of assets, sources of income</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 or means of livelihoods, a Resettlement Action Plan (RAP) or Abbreviated </w:t>
      </w:r>
      <w:r w:rsidRPr="00FB6E71">
        <w:rPr>
          <w:rFonts w:asciiTheme="minorHAnsi" w:hAnsiTheme="minorHAnsi" w:cs="Times New Roman"/>
          <w:sz w:val="22"/>
          <w:szCs w:val="22"/>
        </w:rPr>
        <w:t>Resettlement</w:t>
      </w:r>
      <w:r w:rsidRPr="00FB6E71">
        <w:rPr>
          <w:rFonts w:asciiTheme="minorHAnsi" w:hAnsiTheme="minorHAnsi"/>
          <w:color w:val="000000" w:themeColor="text1"/>
          <w:sz w:val="22"/>
          <w:szCs w:val="22"/>
        </w:rPr>
        <w:t xml:space="preserve"> Action Plan (ARAP) will be prepared in compliance with the World Bank policy and Nigerian laws </w:t>
      </w:r>
      <w:r>
        <w:rPr>
          <w:rFonts w:asciiTheme="minorHAnsi" w:hAnsiTheme="minorHAnsi"/>
          <w:color w:val="000000" w:themeColor="text1"/>
          <w:sz w:val="22"/>
          <w:szCs w:val="22"/>
        </w:rPr>
        <w:t>before</w:t>
      </w:r>
      <w:r w:rsidRPr="00FB6E71">
        <w:rPr>
          <w:rFonts w:asciiTheme="minorHAnsi" w:hAnsiTheme="minorHAnsi"/>
          <w:color w:val="000000" w:themeColor="text1"/>
          <w:sz w:val="22"/>
          <w:szCs w:val="22"/>
        </w:rPr>
        <w:t xml:space="preserve"> actual implementation of the activity or subproject. Upon clearance, disclosure of the produced social safeguards documents will be carried out locally (in local languages) and through the World Bank.</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 xml:space="preserve">Due to the displacement of people, traditional authorities have been weakened, which will make it more difficult to establish land ownership. </w:t>
      </w:r>
      <w:r w:rsidRPr="00FB6E71">
        <w:rPr>
          <w:rFonts w:asciiTheme="minorHAnsi" w:hAnsiTheme="minorHAnsi"/>
          <w:color w:val="000000" w:themeColor="text1"/>
          <w:sz w:val="22"/>
          <w:szCs w:val="22"/>
        </w:rPr>
        <w:t>This will have an impact on how voluntary land donation will be established in cases of resettlement.</w:t>
      </w:r>
      <w:r w:rsidRPr="00CE7B37">
        <w:rPr>
          <w:rFonts w:asciiTheme="minorHAnsi" w:hAnsiTheme="minorHAnsi"/>
          <w:color w:val="000000" w:themeColor="text1"/>
          <w:sz w:val="22"/>
          <w:szCs w:val="22"/>
        </w:rPr>
        <w:t xml:space="preserve"> </w:t>
      </w:r>
      <w:r w:rsidRPr="00FB6E71">
        <w:rPr>
          <w:rFonts w:asciiTheme="minorHAnsi" w:hAnsiTheme="minorHAnsi"/>
          <w:color w:val="000000" w:themeColor="text1"/>
          <w:sz w:val="22"/>
          <w:szCs w:val="22"/>
        </w:rPr>
        <w:t xml:space="preserve">As a result, resettlement as well due diligence for establishing ownership of land may be challenging and needs to be well managed to prevent negative impact. In the event of any contestation over land, ownership and user rights will be verified using the traditional institutions at the </w:t>
      </w:r>
      <w:r>
        <w:rPr>
          <w:rFonts w:asciiTheme="minorHAnsi" w:hAnsiTheme="minorHAnsi"/>
          <w:color w:val="000000" w:themeColor="text1"/>
          <w:sz w:val="22"/>
          <w:szCs w:val="22"/>
        </w:rPr>
        <w:t>w</w:t>
      </w:r>
      <w:r w:rsidRPr="00FB6E71">
        <w:rPr>
          <w:rFonts w:asciiTheme="minorHAnsi" w:hAnsiTheme="minorHAnsi"/>
          <w:color w:val="000000" w:themeColor="text1"/>
          <w:sz w:val="22"/>
          <w:szCs w:val="22"/>
        </w:rPr>
        <w:t>ard/</w:t>
      </w:r>
      <w:r>
        <w:rPr>
          <w:rFonts w:asciiTheme="minorHAnsi" w:hAnsiTheme="minorHAnsi"/>
          <w:color w:val="000000" w:themeColor="text1"/>
          <w:sz w:val="22"/>
          <w:szCs w:val="22"/>
        </w:rPr>
        <w:t>v</w:t>
      </w:r>
      <w:r w:rsidRPr="00FB6E71">
        <w:rPr>
          <w:rFonts w:asciiTheme="minorHAnsi" w:hAnsiTheme="minorHAnsi"/>
          <w:color w:val="000000" w:themeColor="text1"/>
          <w:sz w:val="22"/>
          <w:szCs w:val="22"/>
        </w:rPr>
        <w:t>illage/</w:t>
      </w:r>
      <w:r>
        <w:rPr>
          <w:rFonts w:asciiTheme="minorHAnsi" w:hAnsiTheme="minorHAnsi"/>
          <w:color w:val="000000" w:themeColor="text1"/>
          <w:sz w:val="22"/>
          <w:szCs w:val="22"/>
        </w:rPr>
        <w:t>d</w:t>
      </w:r>
      <w:r w:rsidRPr="00FB6E71">
        <w:rPr>
          <w:rFonts w:asciiTheme="minorHAnsi" w:hAnsiTheme="minorHAnsi"/>
          <w:color w:val="000000" w:themeColor="text1"/>
          <w:sz w:val="22"/>
          <w:szCs w:val="22"/>
        </w:rPr>
        <w:t xml:space="preserve">istrict and </w:t>
      </w:r>
      <w:r>
        <w:rPr>
          <w:rFonts w:asciiTheme="minorHAnsi" w:hAnsiTheme="minorHAnsi"/>
          <w:color w:val="000000" w:themeColor="text1"/>
          <w:sz w:val="22"/>
          <w:szCs w:val="22"/>
        </w:rPr>
        <w:t>e</w:t>
      </w:r>
      <w:r w:rsidRPr="00FB6E71">
        <w:rPr>
          <w:rFonts w:asciiTheme="minorHAnsi" w:hAnsiTheme="minorHAnsi"/>
          <w:color w:val="000000" w:themeColor="text1"/>
          <w:sz w:val="22"/>
          <w:szCs w:val="22"/>
        </w:rPr>
        <w:t xml:space="preserve">mirate levels as the case may be. In areas where land mines could have been placed, the project will ensure that no activities are undertaken by the project in such areas until the Government confirms that </w:t>
      </w:r>
      <w:r>
        <w:rPr>
          <w:rFonts w:asciiTheme="minorHAnsi" w:hAnsiTheme="minorHAnsi"/>
          <w:color w:val="000000" w:themeColor="text1"/>
          <w:sz w:val="22"/>
          <w:szCs w:val="22"/>
        </w:rPr>
        <w:t>the</w:t>
      </w:r>
      <w:r w:rsidRPr="00FB6E71">
        <w:rPr>
          <w:rFonts w:asciiTheme="minorHAnsi" w:hAnsiTheme="minorHAnsi"/>
          <w:color w:val="000000" w:themeColor="text1"/>
          <w:sz w:val="22"/>
          <w:szCs w:val="22"/>
        </w:rPr>
        <w:t xml:space="preserve"> area is cleared. Educational campaigns for the prevention of mine and unexploded ordinance accidents in areas where the project is being implemented will also be undertaken. </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rPr>
        <w:t>Some public institutions such as hospitals and schools have been converted to formal and informal camps for accommodating persons displaced by the conflict</w:t>
      </w:r>
      <w:r>
        <w:rPr>
          <w:rFonts w:asciiTheme="minorHAnsi" w:hAnsiTheme="minorHAnsi" w:cs="Times New Roman"/>
          <w:b/>
          <w:sz w:val="22"/>
          <w:szCs w:val="22"/>
        </w:rPr>
        <w:t>,</w:t>
      </w:r>
      <w:r w:rsidRPr="00FB6E71">
        <w:rPr>
          <w:rFonts w:asciiTheme="minorHAnsi" w:hAnsiTheme="minorHAnsi" w:cs="Times New Roman"/>
          <w:b/>
          <w:sz w:val="22"/>
          <w:szCs w:val="22"/>
        </w:rPr>
        <w:t xml:space="preserve"> which will necessarily imply relocation of already displaced people. </w:t>
      </w:r>
      <w:r w:rsidRPr="00FB6E71">
        <w:rPr>
          <w:rFonts w:asciiTheme="minorHAnsi" w:hAnsiTheme="minorHAnsi" w:cs="Times New Roman"/>
          <w:sz w:val="22"/>
          <w:szCs w:val="22"/>
        </w:rPr>
        <w:t xml:space="preserve">In the event that such activities are likely to occur at </w:t>
      </w:r>
      <w:r>
        <w:rPr>
          <w:rFonts w:asciiTheme="minorHAnsi" w:hAnsiTheme="minorHAnsi" w:cs="Times New Roman"/>
          <w:sz w:val="22"/>
          <w:szCs w:val="22"/>
        </w:rPr>
        <w:t xml:space="preserve">the </w:t>
      </w:r>
      <w:r w:rsidRPr="00FB6E71">
        <w:rPr>
          <w:rFonts w:asciiTheme="minorHAnsi" w:hAnsiTheme="minorHAnsi" w:cs="Times New Roman"/>
          <w:sz w:val="22"/>
          <w:szCs w:val="22"/>
        </w:rPr>
        <w:t>implementation phase, the subproject w</w:t>
      </w:r>
      <w:r>
        <w:rPr>
          <w:rFonts w:asciiTheme="minorHAnsi" w:hAnsiTheme="minorHAnsi" w:cs="Times New Roman"/>
          <w:sz w:val="22"/>
          <w:szCs w:val="22"/>
        </w:rPr>
        <w:t>ill</w:t>
      </w:r>
      <w:r w:rsidRPr="00FB6E71">
        <w:rPr>
          <w:rFonts w:asciiTheme="minorHAnsi" w:hAnsiTheme="minorHAnsi" w:cs="Times New Roman"/>
          <w:sz w:val="22"/>
          <w:szCs w:val="22"/>
        </w:rPr>
        <w:t xml:space="preserve"> not proceed until appropriate mitigation instruments are prepared.</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106" w:name="_Toc256000025"/>
            <w:bookmarkStart w:id="107" w:name="_Toc433982431"/>
            <w:bookmarkStart w:id="108" w:name="_Toc460509212"/>
            <w:bookmarkStart w:id="109" w:name="_Toc476558127"/>
            <w:r w:rsidRPr="00FB6E71">
              <w:rPr>
                <w:rFonts w:asciiTheme="minorHAnsi" w:hAnsiTheme="minorHAnsi"/>
                <w:b/>
                <w:bCs/>
                <w:color w:val="172D5F"/>
                <w:sz w:val="22"/>
                <w:szCs w:val="22"/>
              </w:rPr>
              <w:t>F. Environment (including Safeguards)</w:t>
            </w:r>
            <w:bookmarkEnd w:id="106"/>
            <w:bookmarkEnd w:id="107"/>
            <w:bookmarkEnd w:id="108"/>
            <w:bookmarkEnd w:id="109"/>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rPr>
        <w:t xml:space="preserve">The project is classified as Environmental Category B. </w:t>
      </w:r>
      <w:r w:rsidRPr="00FB6E71">
        <w:rPr>
          <w:rFonts w:asciiTheme="minorHAnsi" w:hAnsiTheme="minorHAnsi" w:cs="Times New Roman"/>
          <w:sz w:val="22"/>
          <w:szCs w:val="22"/>
        </w:rPr>
        <w:t xml:space="preserve">No unprecedented or cumulative adverse E&amp;S risks and impacts are envisaged to result from the implementation of activities that will be financed under the MCRP. Operational Policies OP 4.01, OP 4.04, OP 4.11, and OP 4.12 have been triggered. </w:t>
      </w:r>
    </w:p>
    <w:p w:rsidR="007F2DE7" w:rsidRPr="00C27E7F" w:rsidP="00302E0C">
      <w:pPr>
        <w:pStyle w:val="ListParagraph"/>
        <w:widowControl/>
        <w:numPr>
          <w:ilvl w:val="0"/>
          <w:numId w:val="17"/>
        </w:numPr>
        <w:spacing w:after="240"/>
        <w:ind w:left="0" w:firstLine="0"/>
        <w:contextualSpacing w:val="0"/>
        <w:jc w:val="both"/>
        <w:rPr>
          <w:rFonts w:asciiTheme="minorHAnsi" w:hAnsiTheme="minorHAnsi" w:cs="Times New Roman"/>
          <w:color w:val="000000" w:themeColor="text1"/>
          <w:sz w:val="22"/>
          <w:szCs w:val="22"/>
        </w:rPr>
      </w:pPr>
      <w:r w:rsidRPr="00FB6E71">
        <w:rPr>
          <w:rFonts w:asciiTheme="minorHAnsi" w:hAnsiTheme="minorHAnsi" w:cs="Times New Roman"/>
          <w:b/>
          <w:color w:val="000000" w:themeColor="text1"/>
          <w:sz w:val="22"/>
          <w:szCs w:val="22"/>
        </w:rPr>
        <w:t>Activities supported under the proposed project are expected to potentially cause a number of site-specific adverse E&amp;S impacts.</w:t>
      </w:r>
      <w:r w:rsidRPr="00FB6E71">
        <w:rPr>
          <w:rFonts w:asciiTheme="minorHAnsi" w:hAnsiTheme="minorHAnsi" w:cs="Times New Roman"/>
          <w:color w:val="000000" w:themeColor="text1"/>
          <w:sz w:val="22"/>
          <w:szCs w:val="22"/>
        </w:rPr>
        <w:t xml:space="preserve"> Therefore, the proposed </w:t>
      </w:r>
      <w:r>
        <w:rPr>
          <w:rFonts w:asciiTheme="minorHAnsi" w:hAnsiTheme="minorHAnsi" w:cs="Times New Roman"/>
          <w:color w:val="000000" w:themeColor="text1"/>
          <w:sz w:val="22"/>
          <w:szCs w:val="22"/>
        </w:rPr>
        <w:t>p</w:t>
      </w:r>
      <w:r w:rsidRPr="00FB6E71">
        <w:rPr>
          <w:rFonts w:asciiTheme="minorHAnsi" w:hAnsiTheme="minorHAnsi" w:cs="Times New Roman"/>
          <w:color w:val="000000" w:themeColor="text1"/>
          <w:sz w:val="22"/>
          <w:szCs w:val="22"/>
        </w:rPr>
        <w:t xml:space="preserve">roject will trigger four </w:t>
      </w:r>
      <w:r>
        <w:rPr>
          <w:rFonts w:asciiTheme="minorHAnsi" w:hAnsiTheme="minorHAnsi" w:cs="Times New Roman"/>
          <w:color w:val="000000" w:themeColor="text1"/>
          <w:sz w:val="22"/>
          <w:szCs w:val="22"/>
        </w:rPr>
        <w:t>E&amp;S</w:t>
      </w:r>
      <w:r w:rsidRPr="00FB6E71">
        <w:rPr>
          <w:rFonts w:asciiTheme="minorHAnsi" w:hAnsiTheme="minorHAnsi" w:cs="Times New Roman"/>
          <w:color w:val="000000" w:themeColor="text1"/>
          <w:sz w:val="22"/>
          <w:szCs w:val="22"/>
        </w:rPr>
        <w:t xml:space="preserve"> safeguards policies: </w:t>
      </w:r>
      <w:r w:rsidRPr="00FB6E71">
        <w:rPr>
          <w:rFonts w:asciiTheme="minorHAnsi" w:hAnsiTheme="minorHAnsi" w:cs="Times New Roman"/>
          <w:sz w:val="22"/>
          <w:szCs w:val="22"/>
        </w:rPr>
        <w:t>OP 4.01 (Environmental Assessment), OP 4.04 (</w:t>
      </w:r>
      <w:r w:rsidRPr="005E798F">
        <w:rPr>
          <w:rFonts w:asciiTheme="minorHAnsi" w:hAnsiTheme="minorHAnsi" w:cs="Times New Roman"/>
          <w:sz w:val="22"/>
          <w:szCs w:val="22"/>
        </w:rPr>
        <w:t>Natural Habit</w:t>
      </w:r>
      <w:r>
        <w:rPr>
          <w:rFonts w:asciiTheme="minorHAnsi" w:hAnsiTheme="minorHAnsi" w:cs="Times New Roman"/>
          <w:sz w:val="22"/>
          <w:szCs w:val="22"/>
        </w:rPr>
        <w:t>at</w:t>
      </w:r>
      <w:r w:rsidRPr="005E798F">
        <w:rPr>
          <w:rFonts w:asciiTheme="minorHAnsi" w:hAnsiTheme="minorHAnsi" w:cs="Times New Roman"/>
          <w:sz w:val="22"/>
          <w:szCs w:val="22"/>
        </w:rPr>
        <w:t>s</w:t>
      </w:r>
      <w:r w:rsidRPr="00FB6E71">
        <w:rPr>
          <w:rFonts w:asciiTheme="minorHAnsi" w:hAnsiTheme="minorHAnsi" w:cs="Times New Roman"/>
          <w:sz w:val="22"/>
          <w:szCs w:val="22"/>
        </w:rPr>
        <w:t xml:space="preserve">), OP 4.11 (Physical </w:t>
      </w:r>
      <w:r>
        <w:rPr>
          <w:rFonts w:asciiTheme="minorHAnsi" w:hAnsiTheme="minorHAnsi" w:cs="Times New Roman"/>
          <w:sz w:val="22"/>
          <w:szCs w:val="22"/>
        </w:rPr>
        <w:t xml:space="preserve">Cultural </w:t>
      </w:r>
      <w:r w:rsidRPr="00FB6E71">
        <w:rPr>
          <w:rFonts w:asciiTheme="minorHAnsi" w:hAnsiTheme="minorHAnsi" w:cs="Times New Roman"/>
          <w:sz w:val="22"/>
          <w:szCs w:val="22"/>
        </w:rPr>
        <w:t xml:space="preserve">Resources), </w:t>
      </w:r>
      <w:r w:rsidRPr="00FB6E71">
        <w:rPr>
          <w:rFonts w:asciiTheme="minorHAnsi" w:hAnsiTheme="minorHAnsi" w:cs="Times New Roman"/>
          <w:color w:val="000000" w:themeColor="text1"/>
          <w:sz w:val="22"/>
          <w:szCs w:val="22"/>
        </w:rPr>
        <w:t xml:space="preserve">and OP/BP 4.12 (Involuntary Resettlement), as shown in </w:t>
      </w:r>
      <w:r>
        <w:rPr>
          <w:rFonts w:asciiTheme="minorHAnsi" w:hAnsiTheme="minorHAnsi" w:cs="Times New Roman"/>
          <w:color w:val="000000" w:themeColor="text1"/>
          <w:sz w:val="22"/>
          <w:szCs w:val="22"/>
        </w:rPr>
        <w:fldChar w:fldCharType="begin"/>
      </w:r>
      <w:r>
        <w:rPr>
          <w:rFonts w:asciiTheme="minorHAnsi" w:hAnsiTheme="minorHAnsi" w:cs="Times New Roman"/>
          <w:color w:val="000000" w:themeColor="text1"/>
          <w:sz w:val="22"/>
          <w:szCs w:val="22"/>
        </w:rPr>
        <w:instrText xml:space="preserve"> REF _Ref475632444 \h  \* MERGEFORMAT </w:instrText>
      </w:r>
      <w:r>
        <w:rPr>
          <w:rFonts w:asciiTheme="minorHAnsi" w:hAnsiTheme="minorHAnsi" w:cs="Times New Roman"/>
          <w:color w:val="000000" w:themeColor="text1"/>
          <w:sz w:val="22"/>
          <w:szCs w:val="22"/>
        </w:rPr>
        <w:fldChar w:fldCharType="separate"/>
      </w:r>
      <w:r w:rsidRPr="00C27E7F">
        <w:rPr>
          <w:rFonts w:asciiTheme="minorHAnsi" w:hAnsiTheme="minorHAnsi" w:cs="Times New Roman"/>
          <w:color w:val="000000" w:themeColor="text1"/>
          <w:sz w:val="22"/>
          <w:szCs w:val="22"/>
        </w:rPr>
        <w:t>table 4</w:t>
      </w:r>
      <w:r>
        <w:rPr>
          <w:rFonts w:asciiTheme="minorHAnsi" w:hAnsiTheme="minorHAnsi" w:cs="Times New Roman"/>
          <w:color w:val="000000" w:themeColor="text1"/>
          <w:sz w:val="22"/>
          <w:szCs w:val="22"/>
        </w:rPr>
        <w:fldChar w:fldCharType="end"/>
      </w:r>
      <w:r w:rsidRPr="00FB6E71">
        <w:rPr>
          <w:rFonts w:asciiTheme="minorHAnsi" w:hAnsiTheme="minorHAnsi" w:cs="Times New Roman"/>
          <w:color w:val="000000" w:themeColor="text1"/>
          <w:sz w:val="22"/>
          <w:szCs w:val="22"/>
        </w:rPr>
        <w:t>.</w:t>
      </w: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color w:val="000000" w:themeColor="text1"/>
          <w:sz w:val="22"/>
          <w:szCs w:val="22"/>
        </w:rPr>
        <w:t xml:space="preserve">Environmental and Social Impact Assessments (ESIAs) will be prepared depending on the scale and impact of </w:t>
      </w:r>
      <w:r>
        <w:rPr>
          <w:rFonts w:asciiTheme="minorHAnsi" w:hAnsiTheme="minorHAnsi" w:cs="Times New Roman"/>
          <w:b/>
          <w:color w:val="000000" w:themeColor="text1"/>
          <w:sz w:val="22"/>
          <w:szCs w:val="22"/>
        </w:rPr>
        <w:t xml:space="preserve">the </w:t>
      </w:r>
      <w:r w:rsidRPr="00FB6E71">
        <w:rPr>
          <w:rFonts w:asciiTheme="minorHAnsi" w:hAnsiTheme="minorHAnsi" w:cs="Times New Roman"/>
          <w:b/>
          <w:color w:val="000000" w:themeColor="text1"/>
          <w:sz w:val="22"/>
          <w:szCs w:val="22"/>
        </w:rPr>
        <w:t xml:space="preserve">subprojects. </w:t>
      </w:r>
      <w:r w:rsidRPr="00FB6E71">
        <w:rPr>
          <w:rFonts w:asciiTheme="minorHAnsi" w:hAnsiTheme="minorHAnsi" w:cs="Times New Roman"/>
          <w:color w:val="000000" w:themeColor="text1"/>
          <w:sz w:val="22"/>
          <w:szCs w:val="22"/>
        </w:rPr>
        <w:t>For the expected scope of freestanding subprojects, comprehensive ESIAs will mostly not be required, as all structures and installations will have existed before, and the project w</w:t>
      </w:r>
      <w:r>
        <w:rPr>
          <w:rFonts w:asciiTheme="minorHAnsi" w:hAnsiTheme="minorHAnsi" w:cs="Times New Roman"/>
          <w:color w:val="000000" w:themeColor="text1"/>
          <w:sz w:val="22"/>
          <w:szCs w:val="22"/>
        </w:rPr>
        <w:t>ill</w:t>
      </w:r>
      <w:r w:rsidRPr="00FB6E71">
        <w:rPr>
          <w:rFonts w:asciiTheme="minorHAnsi" w:hAnsiTheme="minorHAnsi" w:cs="Times New Roman"/>
          <w:color w:val="000000" w:themeColor="text1"/>
          <w:sz w:val="22"/>
          <w:szCs w:val="22"/>
        </w:rPr>
        <w:t xml:space="preserve"> only finance their repair, reconstruction</w:t>
      </w:r>
      <w:r>
        <w:rPr>
          <w:rFonts w:asciiTheme="minorHAnsi" w:hAnsiTheme="minorHAnsi" w:cs="Times New Roman"/>
          <w:color w:val="000000" w:themeColor="text1"/>
          <w:sz w:val="22"/>
          <w:szCs w:val="22"/>
        </w:rPr>
        <w:t>,</w:t>
      </w:r>
      <w:r w:rsidRPr="00FB6E71">
        <w:rPr>
          <w:rFonts w:asciiTheme="minorHAnsi" w:hAnsiTheme="minorHAnsi" w:cs="Times New Roman"/>
          <w:color w:val="000000" w:themeColor="text1"/>
          <w:sz w:val="22"/>
          <w:szCs w:val="22"/>
        </w:rPr>
        <w:t xml:space="preserve"> or reinstatement. For some larger projects (for example, bridge reconstruction), limited ESIAs and Environmental and Social Management Plans (ESMPs) w</w:t>
      </w:r>
      <w:r>
        <w:rPr>
          <w:rFonts w:asciiTheme="minorHAnsi" w:hAnsiTheme="minorHAnsi" w:cs="Times New Roman"/>
          <w:color w:val="000000" w:themeColor="text1"/>
          <w:sz w:val="22"/>
          <w:szCs w:val="22"/>
        </w:rPr>
        <w:t>ill</w:t>
      </w:r>
      <w:r w:rsidRPr="00FB6E71">
        <w:rPr>
          <w:rFonts w:asciiTheme="minorHAnsi" w:hAnsiTheme="minorHAnsi" w:cs="Times New Roman"/>
          <w:color w:val="000000" w:themeColor="text1"/>
          <w:sz w:val="22"/>
          <w:szCs w:val="22"/>
        </w:rPr>
        <w:t xml:space="preserve"> be required. Site</w:t>
      </w:r>
      <w:r>
        <w:rPr>
          <w:rFonts w:asciiTheme="minorHAnsi" w:hAnsiTheme="minorHAnsi" w:cs="Times New Roman"/>
          <w:color w:val="000000" w:themeColor="text1"/>
          <w:sz w:val="22"/>
          <w:szCs w:val="22"/>
        </w:rPr>
        <w:t>-</w:t>
      </w:r>
      <w:r w:rsidRPr="00FB6E71">
        <w:rPr>
          <w:rFonts w:asciiTheme="minorHAnsi" w:hAnsiTheme="minorHAnsi" w:cs="Times New Roman"/>
          <w:color w:val="000000" w:themeColor="text1"/>
          <w:sz w:val="22"/>
          <w:szCs w:val="22"/>
        </w:rPr>
        <w:t>specific environmental safeguards instruments will be prepared, consulted upon</w:t>
      </w:r>
      <w:r>
        <w:rPr>
          <w:rFonts w:asciiTheme="minorHAnsi" w:hAnsiTheme="minorHAnsi" w:cs="Times New Roman"/>
          <w:color w:val="000000" w:themeColor="text1"/>
          <w:sz w:val="22"/>
          <w:szCs w:val="22"/>
        </w:rPr>
        <w:t>,</w:t>
      </w:r>
      <w:r w:rsidRPr="00FB6E71">
        <w:rPr>
          <w:rFonts w:asciiTheme="minorHAnsi" w:hAnsiTheme="minorHAnsi" w:cs="Times New Roman"/>
          <w:color w:val="000000" w:themeColor="text1"/>
          <w:sz w:val="22"/>
          <w:szCs w:val="22"/>
        </w:rPr>
        <w:t xml:space="preserve"> and disclosed both countrywide in Nigeria and at the World Bank, </w:t>
      </w:r>
      <w:r>
        <w:rPr>
          <w:rFonts w:asciiTheme="minorHAnsi" w:hAnsiTheme="minorHAnsi" w:cs="Times New Roman"/>
          <w:color w:val="000000" w:themeColor="text1"/>
          <w:sz w:val="22"/>
          <w:szCs w:val="22"/>
        </w:rPr>
        <w:t>before</w:t>
      </w:r>
      <w:r w:rsidRPr="00FB6E71">
        <w:rPr>
          <w:rFonts w:asciiTheme="minorHAnsi" w:hAnsiTheme="minorHAnsi" w:cs="Times New Roman"/>
          <w:color w:val="000000" w:themeColor="text1"/>
          <w:sz w:val="22"/>
          <w:szCs w:val="22"/>
        </w:rPr>
        <w:t xml:space="preserve"> the physical start of project activities</w:t>
      </w:r>
      <w:r>
        <w:rPr>
          <w:rFonts w:asciiTheme="minorHAnsi" w:hAnsiTheme="minorHAnsi" w:cs="Times New Roman"/>
          <w:color w:val="000000" w:themeColor="text1"/>
          <w:sz w:val="22"/>
          <w:szCs w:val="22"/>
        </w:rPr>
        <w:t>,</w:t>
      </w:r>
      <w:r w:rsidRPr="00FB6E71">
        <w:rPr>
          <w:rFonts w:asciiTheme="minorHAnsi" w:hAnsiTheme="minorHAnsi" w:cs="Times New Roman"/>
          <w:color w:val="000000" w:themeColor="text1"/>
          <w:sz w:val="22"/>
          <w:szCs w:val="22"/>
        </w:rPr>
        <w:t xml:space="preserve"> as required. Following World Bank best practice, all safeguards instruments should be prepared before the bidding of contracts, ensuring their adequate integration and implementation by contractors before the commencement of any civil works. </w:t>
      </w:r>
    </w:p>
    <w:p w:rsidR="007F2DE7" w:rsidRPr="00FB6E71" w:rsidP="007F2DE7">
      <w:pPr>
        <w:pStyle w:val="Caption"/>
        <w:keepNext/>
        <w:keepLines/>
        <w:widowControl/>
        <w:spacing w:before="120" w:after="120"/>
        <w:jc w:val="center"/>
        <w:rPr>
          <w:rFonts w:asciiTheme="minorHAnsi" w:hAnsiTheme="minorHAnsi"/>
          <w:b/>
          <w:i w:val="0"/>
          <w:color w:val="auto"/>
        </w:rPr>
      </w:pPr>
      <w:bookmarkStart w:id="110" w:name="_Ref475632444"/>
      <w:r w:rsidRPr="00FB6E71">
        <w:rPr>
          <w:rFonts w:asciiTheme="minorHAnsi" w:hAnsiTheme="minorHAnsi"/>
          <w:b/>
          <w:i w:val="0"/>
          <w:color w:val="auto"/>
        </w:rPr>
        <w:t xml:space="preserve">Table </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 \* ARABIC </w:instrText>
      </w:r>
      <w:r w:rsidRPr="00FB6E71">
        <w:rPr>
          <w:rFonts w:asciiTheme="minorHAnsi" w:hAnsiTheme="minorHAnsi"/>
          <w:b/>
          <w:i w:val="0"/>
          <w:color w:val="auto"/>
        </w:rPr>
        <w:fldChar w:fldCharType="separate"/>
      </w:r>
      <w:r>
        <w:rPr>
          <w:rFonts w:asciiTheme="minorHAnsi" w:hAnsiTheme="minorHAnsi"/>
          <w:b/>
          <w:i w:val="0"/>
          <w:noProof/>
          <w:color w:val="auto"/>
        </w:rPr>
        <w:t>4</w:t>
      </w:r>
      <w:r w:rsidRPr="00FB6E71">
        <w:rPr>
          <w:rFonts w:asciiTheme="minorHAnsi" w:hAnsiTheme="minorHAnsi"/>
          <w:b/>
          <w:i w:val="0"/>
          <w:color w:val="auto"/>
        </w:rPr>
        <w:fldChar w:fldCharType="end"/>
      </w:r>
      <w:bookmarkEnd w:id="110"/>
      <w:r w:rsidRPr="00FB6E71">
        <w:rPr>
          <w:rFonts w:asciiTheme="minorHAnsi" w:hAnsiTheme="minorHAnsi"/>
          <w:b/>
          <w:i w:val="0"/>
          <w:color w:val="auto"/>
        </w:rPr>
        <w:t xml:space="preserve">: Safeguards Policies Triggered by </w:t>
      </w:r>
      <w:r>
        <w:rPr>
          <w:rFonts w:asciiTheme="minorHAnsi" w:hAnsiTheme="minorHAnsi"/>
          <w:b/>
          <w:i w:val="0"/>
          <w:color w:val="auto"/>
        </w:rPr>
        <w:t xml:space="preserve">the </w:t>
      </w:r>
      <w:r w:rsidRPr="00FB6E71">
        <w:rPr>
          <w:rFonts w:asciiTheme="minorHAnsi" w:hAnsiTheme="minorHAnsi"/>
          <w:b/>
          <w:i w:val="0"/>
          <w:color w:val="auto"/>
        </w:rPr>
        <w:t>MCRP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6480"/>
        <w:gridCol w:w="1080"/>
        <w:gridCol w:w="1080"/>
      </w:tblGrid>
      <w:tr w:rsidTr="007F2DE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Ex>
        <w:trPr>
          <w:tblHeader/>
          <w:jc w:val="center"/>
        </w:trPr>
        <w:tc>
          <w:tcPr>
            <w:tcW w:w="6480" w:type="dxa"/>
            <w:vAlign w:val="center"/>
          </w:tcPr>
          <w:p w:rsidR="007F2DE7" w:rsidRPr="00FB6E71" w:rsidP="007F2DE7">
            <w:pPr>
              <w:keepNext/>
              <w:keepLines/>
              <w:jc w:val="center"/>
              <w:rPr>
                <w:rFonts w:asciiTheme="minorHAnsi" w:hAnsiTheme="minorHAnsi" w:cs="Times New Roman"/>
                <w:color w:val="000000" w:themeColor="text1"/>
                <w:sz w:val="18"/>
                <w:szCs w:val="18"/>
              </w:rPr>
            </w:pPr>
            <w:r w:rsidRPr="00FB6E71">
              <w:rPr>
                <w:rFonts w:asciiTheme="minorHAnsi" w:hAnsiTheme="minorHAnsi" w:cs="Times New Roman"/>
                <w:b/>
                <w:bCs/>
                <w:color w:val="000000" w:themeColor="text1"/>
                <w:sz w:val="18"/>
                <w:szCs w:val="18"/>
              </w:rPr>
              <w:t>Safeguard Policies Triggered</w:t>
            </w:r>
          </w:p>
        </w:tc>
        <w:tc>
          <w:tcPr>
            <w:tcW w:w="1080" w:type="dxa"/>
            <w:vAlign w:val="center"/>
          </w:tcPr>
          <w:p w:rsidR="007F2DE7" w:rsidRPr="00FB6E71" w:rsidP="007F2DE7">
            <w:pPr>
              <w:keepNext/>
              <w:keepLines/>
              <w:jc w:val="center"/>
              <w:rPr>
                <w:rFonts w:asciiTheme="minorHAnsi" w:hAnsiTheme="minorHAnsi" w:cs="Times New Roman"/>
                <w:b/>
                <w:bCs/>
                <w:color w:val="000000" w:themeColor="text1"/>
                <w:sz w:val="18"/>
                <w:szCs w:val="18"/>
              </w:rPr>
            </w:pPr>
            <w:r w:rsidRPr="00FB6E71">
              <w:rPr>
                <w:rFonts w:asciiTheme="minorHAnsi" w:hAnsiTheme="minorHAnsi" w:cs="Times New Roman"/>
                <w:b/>
                <w:bCs/>
                <w:color w:val="000000" w:themeColor="text1"/>
                <w:sz w:val="18"/>
                <w:szCs w:val="18"/>
              </w:rPr>
              <w:t>Yes</w:t>
            </w:r>
          </w:p>
        </w:tc>
        <w:tc>
          <w:tcPr>
            <w:tcW w:w="1080" w:type="dxa"/>
            <w:vAlign w:val="center"/>
          </w:tcPr>
          <w:p w:rsidR="007F2DE7" w:rsidRPr="00FB6E71" w:rsidP="007F2DE7">
            <w:pPr>
              <w:keepNext/>
              <w:keepLines/>
              <w:jc w:val="center"/>
              <w:rPr>
                <w:rFonts w:asciiTheme="minorHAnsi" w:hAnsiTheme="minorHAnsi" w:cs="Times New Roman"/>
                <w:b/>
                <w:bCs/>
                <w:color w:val="000000" w:themeColor="text1"/>
                <w:sz w:val="18"/>
                <w:szCs w:val="18"/>
              </w:rPr>
            </w:pPr>
            <w:r w:rsidRPr="00FB6E71">
              <w:rPr>
                <w:rFonts w:asciiTheme="minorHAnsi" w:hAnsiTheme="minorHAnsi" w:cs="Times New Roman"/>
                <w:b/>
                <w:bCs/>
                <w:color w:val="000000" w:themeColor="text1"/>
                <w:sz w:val="18"/>
                <w:szCs w:val="18"/>
              </w:rPr>
              <w:t>No</w:t>
            </w: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 xml:space="preserve">Environmental Assessment (OP/BP 4.01) </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Natural Habitats (OP/BP 4.04)</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Forests (OP/BP 4.36)</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Pest Management (OP 4.09)</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Physical Cultural Resources (OP/BP 4.11)</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Indigenous Peoples (OP/BP 4.10)</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Involuntary Resettlement (OP/BP 4.12)</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Safety of Dams (OP/BP 4.37)</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Projects on International Waterways (OP/BP</w:t>
            </w:r>
            <w:r w:rsidRPr="00FB6E71">
              <w:rPr>
                <w:rFonts w:asciiTheme="minorHAnsi" w:hAnsiTheme="minorHAnsi" w:cs="Times New Roman"/>
                <w:color w:val="000000" w:themeColor="text1"/>
                <w:sz w:val="18"/>
                <w:szCs w:val="18"/>
              </w:rPr>
              <w:t xml:space="preserve"> </w:t>
            </w:r>
            <w:r w:rsidRPr="00FB6E71">
              <w:rPr>
                <w:rFonts w:asciiTheme="minorHAnsi" w:hAnsiTheme="minorHAnsi" w:cs="Times New Roman"/>
                <w:bCs/>
                <w:color w:val="000000" w:themeColor="text1"/>
                <w:sz w:val="18"/>
                <w:szCs w:val="18"/>
              </w:rPr>
              <w:t>7.50)</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r>
      <w:tr w:rsidTr="007F2DE7">
        <w:tblPrEx>
          <w:tblW w:w="0" w:type="auto"/>
          <w:jc w:val="center"/>
          <w:tblCellMar>
            <w:left w:w="115" w:type="dxa"/>
            <w:right w:w="115" w:type="dxa"/>
          </w:tblCellMar>
          <w:tblLook w:val="0000"/>
        </w:tblPrEx>
        <w:trPr>
          <w:jc w:val="center"/>
        </w:trPr>
        <w:tc>
          <w:tcPr>
            <w:tcW w:w="6480" w:type="dxa"/>
            <w:vAlign w:val="center"/>
          </w:tcPr>
          <w:p w:rsidR="007F2DE7" w:rsidRPr="00FB6E71" w:rsidP="007F2DE7">
            <w:pPr>
              <w:keepNext/>
              <w:keepLines/>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Projects in Disputed Areas (OP/BP 7.60)</w:t>
            </w: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p>
        </w:tc>
        <w:tc>
          <w:tcPr>
            <w:tcW w:w="1080" w:type="dxa"/>
            <w:vAlign w:val="center"/>
          </w:tcPr>
          <w:p w:rsidR="007F2DE7" w:rsidRPr="00FB6E71" w:rsidP="007F2DE7">
            <w:pPr>
              <w:keepNext/>
              <w:keepLines/>
              <w:jc w:val="center"/>
              <w:rPr>
                <w:rFonts w:asciiTheme="minorHAnsi" w:hAnsiTheme="minorHAnsi" w:cs="Times New Roman"/>
                <w:bCs/>
                <w:color w:val="000000" w:themeColor="text1"/>
                <w:sz w:val="18"/>
                <w:szCs w:val="18"/>
              </w:rPr>
            </w:pPr>
            <w:r w:rsidRPr="00FB6E71">
              <w:rPr>
                <w:rFonts w:asciiTheme="minorHAnsi" w:hAnsiTheme="minorHAnsi" w:cs="Times New Roman"/>
                <w:bCs/>
                <w:color w:val="000000" w:themeColor="text1"/>
                <w:sz w:val="18"/>
                <w:szCs w:val="18"/>
              </w:rPr>
              <w:t>X</w:t>
            </w:r>
          </w:p>
        </w:tc>
      </w:tr>
    </w:tbl>
    <w:p w:rsidR="007F2DE7" w:rsidRPr="00FB6E71" w:rsidP="007F2DE7">
      <w:pPr>
        <w:pStyle w:val="Normal64"/>
        <w:widowControl/>
        <w:jc w:val="center"/>
        <w:rPr>
          <w:rFonts w:asciiTheme="minorHAnsi" w:hAnsiTheme="minorHAnsi"/>
          <w:bCs/>
          <w:color w:val="auto"/>
          <w:sz w:val="18"/>
          <w:szCs w:val="18"/>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111" w:name="_Toc433982432"/>
            <w:bookmarkStart w:id="112" w:name="_Toc256000026"/>
            <w:bookmarkStart w:id="113" w:name="_Toc460509213"/>
            <w:bookmarkStart w:id="114" w:name="_Toc476558128"/>
            <w:r w:rsidRPr="00FB6E71">
              <w:rPr>
                <w:rFonts w:asciiTheme="minorHAnsi" w:hAnsiTheme="minorHAnsi"/>
                <w:b/>
                <w:bCs/>
                <w:color w:val="172D5F"/>
                <w:sz w:val="22"/>
                <w:szCs w:val="22"/>
              </w:rPr>
              <w:t>G. Other Safeguard Policies</w:t>
            </w:r>
            <w:bookmarkEnd w:id="111"/>
            <w:r w:rsidRPr="00FB6E71">
              <w:rPr>
                <w:rFonts w:asciiTheme="minorHAnsi" w:hAnsiTheme="minorHAnsi"/>
                <w:b/>
                <w:bCs/>
                <w:color w:val="172D5F"/>
                <w:sz w:val="22"/>
                <w:szCs w:val="22"/>
              </w:rPr>
              <w:t xml:space="preserve"> (if applicable)</w:t>
            </w:r>
            <w:bookmarkEnd w:id="112"/>
            <w:bookmarkEnd w:id="113"/>
            <w:bookmarkEnd w:id="114"/>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No </w:t>
      </w:r>
      <w:r w:rsidRPr="00FB6E71">
        <w:rPr>
          <w:rFonts w:asciiTheme="minorHAnsi" w:hAnsiTheme="minorHAnsi" w:cs="Times New Roman"/>
          <w:color w:val="000000" w:themeColor="text1"/>
          <w:sz w:val="22"/>
          <w:szCs w:val="22"/>
        </w:rPr>
        <w:t>other</w:t>
      </w:r>
      <w:r w:rsidRPr="00FB6E71">
        <w:rPr>
          <w:rFonts w:asciiTheme="minorHAnsi" w:hAnsiTheme="minorHAnsi"/>
          <w:bCs/>
          <w:color w:val="auto"/>
          <w:sz w:val="22"/>
          <w:szCs w:val="22"/>
        </w:rPr>
        <w:t xml:space="preserve"> </w:t>
      </w:r>
      <w:r w:rsidRPr="00FB6E71">
        <w:rPr>
          <w:rFonts w:asciiTheme="minorHAnsi" w:hAnsiTheme="minorHAnsi" w:cs="Times New Roman"/>
          <w:color w:val="000000" w:themeColor="text1"/>
          <w:sz w:val="22"/>
          <w:szCs w:val="22"/>
        </w:rPr>
        <w:t>safeguard</w:t>
      </w:r>
      <w:r w:rsidRPr="00FB6E71">
        <w:rPr>
          <w:rFonts w:asciiTheme="minorHAnsi" w:hAnsiTheme="minorHAnsi"/>
          <w:bCs/>
          <w:color w:val="auto"/>
          <w:sz w:val="22"/>
          <w:szCs w:val="22"/>
        </w:rPr>
        <w:t xml:space="preserve"> policies are triggered for the project.</w:t>
      </w:r>
      <w:r w:rsidRPr="00FB6E71">
        <w:rPr>
          <w:rFonts w:asciiTheme="minorHAnsi" w:hAnsiTheme="minorHAnsi" w:cs="Times New Roman"/>
          <w:color w:val="000000" w:themeColor="text1"/>
          <w:sz w:val="22"/>
          <w:szCs w:val="22"/>
        </w:rPr>
        <w:t xml:space="preserve">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7F2DE7" w:rsidRPr="00FB6E71" w:rsidP="007F2DE7">
            <w:pPr>
              <w:pStyle w:val="Heading2"/>
              <w:widowControl/>
              <w:outlineLvl w:val="1"/>
              <w:rPr>
                <w:rFonts w:asciiTheme="minorHAnsi" w:hAnsiTheme="minorHAnsi"/>
                <w:sz w:val="22"/>
                <w:szCs w:val="22"/>
              </w:rPr>
            </w:pPr>
            <w:bookmarkStart w:id="115" w:name="_Toc476558129"/>
            <w:r w:rsidRPr="00FB6E71">
              <w:rPr>
                <w:rFonts w:asciiTheme="minorHAnsi" w:hAnsiTheme="minorHAnsi"/>
                <w:b/>
                <w:bCs/>
                <w:color w:val="172D5F"/>
                <w:sz w:val="22"/>
                <w:szCs w:val="22"/>
              </w:rPr>
              <w:t>H. World Bank Grievance Redress</w:t>
            </w:r>
            <w:bookmarkEnd w:id="115"/>
          </w:p>
        </w:tc>
      </w:tr>
    </w:tbl>
    <w:p w:rsidR="007F2DE7" w:rsidRPr="00FB6E71" w:rsidP="007F2DE7">
      <w:pPr>
        <w:keepNext/>
        <w:keepLines/>
        <w:widowControl/>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1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color w:val="000000" w:themeColor="text1"/>
          <w:sz w:val="22"/>
          <w:szCs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r>
        <w:fldChar w:fldCharType="begin"/>
      </w:r>
      <w:r>
        <w:instrText xml:space="preserve"> HYPERLINK "http://www.worldbank.org/en/projects-operations/products-and-services/grievance-redress-service" </w:instrText>
      </w:r>
      <w:r>
        <w:fldChar w:fldCharType="separate"/>
      </w:r>
      <w:r w:rsidRPr="00FB6E71">
        <w:rPr>
          <w:rFonts w:asciiTheme="minorHAnsi" w:hAnsiTheme="minorHAnsi" w:cs="Times New Roman"/>
          <w:i/>
          <w:color w:val="2E74B5" w:themeColor="accent1" w:themeShade="BF"/>
          <w:sz w:val="22"/>
          <w:szCs w:val="22"/>
          <w:u w:val="single"/>
        </w:rPr>
        <w:t>http://www.worldbank.org/en/projects-operations/products-and-services/grievance-redress-service</w:t>
      </w:r>
      <w:r>
        <w:fldChar w:fldCharType="end"/>
      </w:r>
      <w:r w:rsidRPr="00FB6E71">
        <w:rPr>
          <w:rFonts w:asciiTheme="minorHAnsi" w:hAnsiTheme="minorHAnsi" w:cs="Times New Roman"/>
          <w:i/>
          <w:color w:val="000000" w:themeColor="text1"/>
          <w:sz w:val="22"/>
          <w:szCs w:val="22"/>
        </w:rPr>
        <w:t>.</w:t>
      </w:r>
      <w:r w:rsidRPr="00FB6E71">
        <w:rPr>
          <w:rFonts w:asciiTheme="minorHAnsi" w:hAnsiTheme="minorHAnsi" w:cs="Times New Roman"/>
          <w:color w:val="000000" w:themeColor="text1"/>
          <w:sz w:val="22"/>
          <w:szCs w:val="22"/>
        </w:rPr>
        <w:t xml:space="preserve"> For information on how to submit complaints to the World Bank Inspection Panel, please visit </w:t>
      </w:r>
      <w:r>
        <w:fldChar w:fldCharType="begin"/>
      </w:r>
      <w:r>
        <w:instrText xml:space="preserve"> HYPERLINK "http://www.inspectionpanel.org/" </w:instrText>
      </w:r>
      <w:r>
        <w:fldChar w:fldCharType="separate"/>
      </w:r>
      <w:r w:rsidRPr="00FB6E71">
        <w:rPr>
          <w:rFonts w:asciiTheme="minorHAnsi" w:hAnsiTheme="minorHAnsi" w:cs="Times New Roman"/>
          <w:i/>
          <w:color w:val="2E74B5" w:themeColor="accent1" w:themeShade="BF"/>
          <w:sz w:val="22"/>
          <w:szCs w:val="22"/>
          <w:u w:val="single"/>
        </w:rPr>
        <w:t>www.inspectionpanel.org</w:t>
      </w:r>
      <w:r>
        <w:fldChar w:fldCharType="end"/>
      </w:r>
      <w:r w:rsidRPr="00FB6E71">
        <w:rPr>
          <w:rFonts w:asciiTheme="minorHAnsi" w:hAnsiTheme="minorHAnsi" w:cs="Times New Roman"/>
          <w:color w:val="000000" w:themeColor="text1"/>
          <w:sz w:val="22"/>
          <w:szCs w:val="22"/>
        </w:rPr>
        <w:t>.</w:t>
      </w:r>
    </w:p>
    <w:p w:rsidR="007F2DE7" w:rsidP="007F2DE7">
      <w:pPr>
        <w:spacing w:line="120" w:lineRule="exact"/>
        <w:ind w:left="-792"/>
        <w:rPr>
          <w:rFonts w:asciiTheme="minorHAnsi" w:hAnsiTheme="minorHAnsi"/>
          <w:b/>
          <w:bCs/>
          <w:color w:val="7F7F7F" w:themeColor="text1" w:themeTint="80"/>
          <w:sz w:val="22"/>
          <w:szCs w:val="22"/>
        </w:rPr>
      </w:pPr>
    </w:p>
    <w:sdt>
      <w:sdtPr>
        <w:rPr>
          <w:rFonts w:asciiTheme="minorHAnsi" w:hAnsiTheme="minorHAnsi"/>
          <w:b/>
          <w:bCs/>
          <w:color w:val="7F7F7F" w:themeColor="text1" w:themeTint="80"/>
          <w:sz w:val="22"/>
          <w:szCs w:val="22"/>
        </w:rPr>
        <w:id w:val="1317602691"/>
        <w:lock w:val="sdtContentLocked"/>
        <w:placeholder>
          <w:docPart w:val="907ABA86110D43A3A29F785143380194"/>
        </w:placeholder>
        <w:showingPlcHdr/>
        <w:richText/>
      </w:sdtPr>
      <w:sdtContent>
        <w:p w:rsidR="007F2DE7" w:rsidP="007F2DE7">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p w:rsidR="007F2DE7" w:rsidP="007F2DE7">
      <w:pPr>
        <w:spacing w:line="14" w:lineRule="exact"/>
        <w:ind w:left="-792"/>
        <w:rPr>
          <w:rFonts w:asciiTheme="minorHAnsi" w:hAnsiTheme="minorHAnsi"/>
          <w:b/>
          <w:bCs/>
          <w:color w:val="7F7F7F" w:themeColor="text1" w:themeTint="80"/>
          <w:sz w:val="22"/>
          <w:szCs w:val="22"/>
        </w:rPr>
        <w:sectPr w:rsidSect="007F2DE7">
          <w:headerReference w:type="default" r:id="rId15"/>
          <w:pgSz w:w="12240" w:h="15840" w:code="1"/>
          <w:pgMar w:top="1440" w:right="144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4130"/>
      </w:tblGrid>
      <w:tr w:rsidTr="007F2DE7">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432"/>
        </w:trPr>
        <w:tc>
          <w:tcPr>
            <w:tcW w:w="14130" w:type="dxa"/>
            <w:shd w:val="clear" w:color="auto" w:fill="F2F2F2"/>
            <w:vAlign w:val="center"/>
          </w:tcPr>
          <w:p w:rsidR="007F2DE7" w:rsidRPr="00B77CBF" w:rsidP="007F2DE7">
            <w:pPr>
              <w:pStyle w:val="NoSpacing"/>
              <w:keepNext/>
              <w:keepLines/>
              <w:widowControl/>
              <w:numPr>
                <w:ilvl w:val="0"/>
                <w:numId w:val="1"/>
              </w:numPr>
              <w:ind w:left="288" w:hanging="288"/>
              <w:jc w:val="center"/>
              <w:outlineLvl w:val="0"/>
              <w:rPr>
                <w:rFonts w:asciiTheme="minorHAnsi" w:hAnsiTheme="minorHAnsi"/>
                <w:b/>
              </w:rPr>
            </w:pPr>
            <w:bookmarkStart w:id="116" w:name="_Toc256000028"/>
            <w:bookmarkStart w:id="117" w:name="_Toc460509215"/>
            <w:bookmarkStart w:id="118" w:name="_Toc476558130"/>
            <w:r w:rsidRPr="007014E4">
              <w:rPr>
                <w:rFonts w:asciiTheme="minorHAnsi" w:hAnsiTheme="minorHAnsi"/>
                <w:b/>
                <w:sz w:val="22"/>
                <w:szCs w:val="22"/>
              </w:rPr>
              <w:t>RESULTS FRAMEWORK AND MONITORING</w:t>
            </w:r>
            <w:bookmarkEnd w:id="116"/>
            <w:bookmarkEnd w:id="117"/>
            <w:bookmarkEnd w:id="118"/>
          </w:p>
        </w:tc>
      </w:tr>
    </w:tbl>
    <w:p w:rsidR="007F2DE7" w:rsidP="007F2DE7">
      <w:pPr>
        <w:keepNext/>
        <w:keepLines/>
        <w:widowControl/>
        <w:ind w:left="-634"/>
        <w:rPr>
          <w:rFonts w:asciiTheme="minorHAnsi" w:hAnsiTheme="minorHAnsi"/>
          <w:b/>
          <w:bCs/>
          <w:color w:val="7F7F7F" w:themeColor="text1" w:themeTint="80"/>
          <w:sz w:val="22"/>
          <w:szCs w:val="22"/>
        </w:rPr>
      </w:pPr>
      <w:r>
        <w:rPr>
          <w:noProof/>
        </w:rPr>
        <w:pict>
          <v:line id="Straight Connector 228" o:spid="_x0000_s1030" style="mso-height-percent:0;mso-height-relative:margin;mso-width-percent:0;mso-width-relative:margin;mso-wrap-distance-bottom:0;mso-wrap-distance-left:9pt;mso-wrap-distance-right:9pt;mso-wrap-distance-top:0;mso-wrap-style:square;position:absolute;visibility:visible;z-index:251662336" from="-70.65pt,12.7pt" to="725.7pt,12.7pt" strokecolor="gray">
            <v:stroke joinstyle="miter" dashstyle="dash" opacity="26214f"/>
          </v:line>
        </w:pict>
      </w:r>
    </w:p>
    <w:sdt>
      <w:sdtPr>
        <w:rPr>
          <w:rFonts w:asciiTheme="minorHAnsi" w:hAnsiTheme="minorHAnsi"/>
          <w:b/>
          <w:bCs/>
          <w:color w:val="7F7F7F" w:themeColor="text1" w:themeTint="80"/>
          <w:sz w:val="22"/>
          <w:szCs w:val="22"/>
        </w:rPr>
        <w:id w:val="954129424"/>
        <w:lock w:val="sdtContentLocked"/>
        <w:placeholder>
          <w:docPart w:val="3F0B331C2F344760AE61C9A706D5C719"/>
        </w:placeholder>
        <w:showingPlcHdr/>
        <w:richText/>
      </w:sdtPr>
      <w:sdtContent>
        <w:p w:rsidR="007F2DE7" w:rsidP="007F2DE7">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rsidR="007F2DE7" w:rsidP="007F2DE7">
      <w:pPr>
        <w:spacing w:line="14" w:lineRule="exact"/>
        <w:ind w:left="-691" w:right="-418"/>
        <w:rPr>
          <w:rFonts w:asciiTheme="minorHAnsi" w:hAnsiTheme="minorHAnsi"/>
          <w:b/>
          <w:bCs/>
          <w:color w:val="7F7F7F" w:themeColor="text1" w:themeTint="80"/>
          <w:sz w:val="22"/>
          <w:szCs w:val="22"/>
        </w:rPr>
        <w:sectPr w:rsidSect="007F2DE7">
          <w:headerReference w:type="default" r:id="rId16"/>
          <w:footerReference w:type="default" r:id="rId17"/>
          <w:pgSz w:w="15840" w:h="12240" w:orient="landscape" w:code="1"/>
          <w:pgMar w:top="1440" w:right="1440" w:bottom="1440" w:left="1440" w:header="720" w:footer="720" w:gutter="0"/>
          <w:cols w:space="720"/>
          <w:docGrid w:linePitch="360"/>
        </w:sectPr>
      </w:pPr>
    </w:p>
    <w:sdt>
      <w:sdtPr>
        <w:tag w:val="OPS_CORE_DATA_BLOCK"/>
        <w:id w:val="1108679946"/>
        <w:lock w:val="sdtLocked"/>
        <w:placeholder>
          <w:docPart w:val="DefaultPlaceholder_22675703"/>
        </w:placeholder>
        <w:group/>
      </w:sdtPr>
      <w:sdtContent>
        <w:sdt>
          <w:sdtPr>
            <w:rPr>
              <w:rFonts w:asciiTheme="minorHAnsi" w:hAnsiTheme="minorHAnsi"/>
              <w:b/>
              <w:bCs/>
              <w:color w:val="7F7F7F" w:themeColor="text1" w:themeTint="80"/>
              <w:sz w:val="22"/>
              <w:szCs w:val="22"/>
            </w:rPr>
            <w:tag w:val="OPS_CORE_SECTION_START_9"/>
            <w:id w:val="1015684107"/>
            <w:lock w:val="sdtContentLocked"/>
            <w:placeholder>
              <w:docPart w:val="38EE8AFCAAEB42E59B4C2A50AE10D130"/>
            </w:placeholder>
            <w:richText/>
          </w:sdtPr>
          <w:sdtContent>
            <w:p w:rsidR="007F2DE7" w:rsidRPr="00735935" w:rsidP="007F2DE7">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rsidR="003939DF" w:rsidP="001C4803">
          <w:pPr>
            <w:pStyle w:val="Normal125"/>
            <w:spacing w:line="14" w:lineRule="exact"/>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735935">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c>
              <w:tcPr>
                <w:tcW w:w="14130" w:type="dxa"/>
                <w:shd w:val="clear" w:color="auto" w:fill="F7F7F7"/>
              </w:tcPr>
              <w:p w:rsidR="003615CB" w:rsidRPr="00934FB8" w:rsidP="003615CB">
                <w:pPr>
                  <w:pStyle w:val="Normal125"/>
                  <w:jc w:val="center"/>
                  <w:rPr>
                    <w:rStyle w:val="DefaultParagraphFont"/>
                    <w:rFonts w:ascii="Calibri" w:hAnsi="Calibri"/>
                    <w:b/>
                    <w:caps/>
                    <w:sz w:val="22"/>
                    <w:szCs w:val="22"/>
                  </w:rPr>
                </w:pPr>
                <w:r w:rsidRPr="00934FB8">
                  <w:rPr>
                    <w:rStyle w:val="DefaultParagraphFont"/>
                    <w:rFonts w:ascii="Calibri" w:hAnsi="Calibri"/>
                    <w:b/>
                    <w:color w:val="0D0D0D" w:themeTint="F2"/>
                    <w:sz w:val="22"/>
                    <w:szCs w:val="22"/>
                  </w:rPr>
                  <w:t>Results Framework</w:t>
                </w:r>
                <w:r>
                  <w:rPr>
                    <w:rStyle w:val="DefaultParagraphFont"/>
                    <w:rFonts w:ascii="Calibri" w:hAnsi="Calibri"/>
                    <w:b/>
                    <w:color w:val="0D0D0D" w:themeTint="F2"/>
                    <w:sz w:val="22"/>
                    <w:szCs w:val="22"/>
                  </w:rPr>
                  <w:br/>
                </w:r>
                <w:r>
                  <w:rPr>
                    <w:rStyle w:val="DefaultParagraphFont"/>
                    <w:rFonts w:ascii="Calibri" w:hAnsi="Calibri"/>
                    <w:b/>
                    <w:bCs/>
                    <w:color w:val="767171" w:themeShade="80"/>
                    <w:sz w:val="22"/>
                    <w:szCs w:val="22"/>
                  </w:rPr>
                  <w:t xml:space="preserve">COUNTRY : </w:t>
                </w:r>
                <w:r>
                  <w:rPr>
                    <w:rStyle w:val="DefaultParagraphFont"/>
                    <w:rFonts w:ascii="Calibri" w:hAnsi="Calibri"/>
                    <w:b/>
                    <w:bCs/>
                    <w:noProof/>
                    <w:color w:val="767171" w:themeShade="80"/>
                    <w:sz w:val="22"/>
                    <w:szCs w:val="22"/>
                  </w:rPr>
                  <w:t>Nigeria</w:t>
                </w:r>
                <w:r w:rsidRPr="008969C5">
                  <w:rPr>
                    <w:rStyle w:val="DefaultParagraphFont"/>
                    <w:rFonts w:ascii="Calibri" w:hAnsi="Calibri"/>
                    <w:b/>
                    <w:bCs/>
                    <w:color w:val="767171" w:themeShade="80"/>
                    <w:sz w:val="22"/>
                    <w:szCs w:val="22"/>
                  </w:rPr>
                  <w:t xml:space="preserve"> </w:t>
                </w:r>
                <w:r w:rsidRPr="008969C5">
                  <w:rPr>
                    <w:rStyle w:val="DefaultParagraphFont"/>
                    <w:rFonts w:ascii="Calibri" w:hAnsi="Calibri"/>
                    <w:b/>
                    <w:bCs/>
                    <w:color w:val="767171" w:themeShade="80"/>
                    <w:sz w:val="22"/>
                    <w:szCs w:val="22"/>
                  </w:rPr>
                  <w:br/>
                </w:r>
                <w:r w:rsidRPr="008969C5">
                  <w:rPr>
                    <w:rStyle w:val="DefaultParagraphFont"/>
                    <w:rFonts w:ascii="Calibri" w:hAnsi="Calibri"/>
                    <w:b/>
                    <w:bCs/>
                    <w:color w:val="767171" w:themeShade="80"/>
                    <w:sz w:val="22"/>
                    <w:szCs w:val="22"/>
                  </w:rPr>
                  <w:fldChar w:fldCharType="begin"/>
                </w:r>
                <w:r w:rsidRPr="008969C5">
                  <w:rPr>
                    <w:rStyle w:val="DefaultParagraphFont"/>
                    <w:rFonts w:ascii="Calibri" w:hAnsi="Calibri"/>
                    <w:b/>
                    <w:bCs/>
                    <w:color w:val="767171" w:themeShade="80"/>
                    <w:sz w:val="22"/>
                    <w:szCs w:val="22"/>
                  </w:rPr>
                  <w:instrText xml:space="preserve"> IF </w:instrText>
                </w:r>
                <w:r w:rsidRPr="008969C5">
                  <w:rPr>
                    <w:rStyle w:val="DefaultParagraphFont"/>
                    <w:rFonts w:ascii="Calibri" w:hAnsi="Calibri"/>
                    <w:b/>
                    <w:bCs/>
                    <w:color w:val="767171" w:themeShade="80"/>
                    <w:sz w:val="22"/>
                    <w:szCs w:val="22"/>
                  </w:rPr>
                  <w:instrText>"</w:instrText>
                </w:r>
                <w:r w:rsidRPr="008969C5">
                  <w:rPr>
                    <w:rStyle w:val="DefaultParagraphFont"/>
                    <w:rFonts w:ascii="Calibri" w:hAnsi="Calibri"/>
                    <w:b/>
                    <w:bCs/>
                    <w:color w:val="767171" w:themeShade="80"/>
                    <w:sz w:val="22"/>
                    <w:szCs w:val="22"/>
                  </w:rPr>
                  <w:instrText>Multi-Sectoral Crisis Recovery</w:instrText>
                </w:r>
                <w:r w:rsidRPr="008969C5">
                  <w:rPr>
                    <w:rStyle w:val="DefaultParagraphFont"/>
                    <w:rFonts w:ascii="Calibri" w:hAnsi="Calibri"/>
                    <w:b/>
                    <w:bCs/>
                    <w:color w:val="767171" w:themeShade="80"/>
                    <w:sz w:val="22"/>
                    <w:szCs w:val="22"/>
                  </w:rPr>
                  <w:instrText xml:space="preserve"> Project for North Eastern Nigeria</w:instrText>
                </w:r>
                <w:r w:rsidRPr="008969C5">
                  <w:rPr>
                    <w:rStyle w:val="DefaultParagraphFont"/>
                    <w:rFonts w:ascii="Calibri" w:hAnsi="Calibri"/>
                    <w:b/>
                    <w:bCs/>
                    <w:color w:val="767171" w:themeShade="80"/>
                    <w:sz w:val="22"/>
                    <w:szCs w:val="22"/>
                  </w:rPr>
                  <w:instrText>"</w:instrText>
                </w:r>
                <w:r w:rsidRPr="008969C5">
                  <w:rPr>
                    <w:rStyle w:val="DefaultParagraphFont"/>
                    <w:rFonts w:ascii="Calibri" w:hAnsi="Calibri"/>
                    <w:b/>
                    <w:bCs/>
                    <w:color w:val="767171" w:themeShade="80"/>
                    <w:sz w:val="22"/>
                    <w:szCs w:val="22"/>
                  </w:rPr>
                  <w:instrText xml:space="preserve"> &lt;&gt; "" </w:instrText>
                </w:r>
                <w:r w:rsidRPr="008969C5">
                  <w:rPr>
                    <w:rStyle w:val="DefaultParagraphFont"/>
                    <w:rFonts w:ascii="Calibri" w:hAnsi="Calibri"/>
                    <w:b/>
                    <w:bCs/>
                    <w:color w:val="767171" w:themeShade="80"/>
                    <w:sz w:val="22"/>
                    <w:szCs w:val="22"/>
                  </w:rPr>
                  <w:instrText>"</w:instrText>
                </w:r>
                <w:r w:rsidRPr="008969C5">
                  <w:rPr>
                    <w:rStyle w:val="DefaultParagraphFont"/>
                    <w:rFonts w:ascii="Calibri" w:hAnsi="Calibri"/>
                    <w:b/>
                    <w:bCs/>
                    <w:color w:val="767171" w:themeShade="80"/>
                    <w:sz w:val="22"/>
                    <w:szCs w:val="22"/>
                  </w:rPr>
                  <w:instrText>Multi-Sectoral Crisis Recovery</w:instrText>
                </w:r>
                <w:r w:rsidRPr="008969C5">
                  <w:rPr>
                    <w:rStyle w:val="DefaultParagraphFont"/>
                    <w:rFonts w:ascii="Calibri" w:hAnsi="Calibri"/>
                    <w:b/>
                    <w:bCs/>
                    <w:color w:val="767171" w:themeShade="80"/>
                    <w:sz w:val="22"/>
                    <w:szCs w:val="22"/>
                  </w:rPr>
                  <w:instrText xml:space="preserve"> Project for North Eastern Nigeria</w:instrText>
                </w:r>
                <w:r w:rsidRPr="008969C5">
                  <w:rPr>
                    <w:rStyle w:val="DefaultParagraphFont"/>
                    <w:rFonts w:ascii="Calibri" w:hAnsi="Calibri"/>
                    <w:b/>
                    <w:bCs/>
                    <w:color w:val="767171" w:themeShade="80"/>
                    <w:sz w:val="22"/>
                    <w:szCs w:val="22"/>
                  </w:rPr>
                  <w:instrText>"</w:instrText>
                </w:r>
                <w:r w:rsidRPr="008969C5">
                  <w:rPr>
                    <w:rStyle w:val="DefaultParagraphFont"/>
                    <w:rFonts w:ascii="Calibri" w:hAnsi="Calibri"/>
                    <w:b/>
                    <w:bCs/>
                    <w:color w:val="767171" w:themeShade="80"/>
                    <w:sz w:val="22"/>
                    <w:szCs w:val="22"/>
                  </w:rPr>
                  <w:instrText xml:space="preserve"> </w:instrText>
                </w:r>
                <w:r w:rsidRPr="008969C5">
                  <w:rPr>
                    <w:rStyle w:val="DefaultParagraphFont"/>
                    <w:rFonts w:ascii="Calibri" w:hAnsi="Calibri"/>
                    <w:b/>
                    <w:color w:val="767171" w:themeShade="80"/>
                    <w:sz w:val="22"/>
                    <w:szCs w:val="22"/>
                  </w:rPr>
                  <w:instrText>"</w:instrText>
                </w:r>
                <w:r w:rsidRPr="008969C5">
                  <w:rPr>
                    <w:rStyle w:val="DefaultParagraphFont"/>
                    <w:rFonts w:ascii="Calibri" w:hAnsi="Calibri"/>
                    <w:b/>
                    <w:color w:val="767171" w:themeShade="80"/>
                    <w:sz w:val="22"/>
                    <w:szCs w:val="22"/>
                  </w:rPr>
                  <w:instrText>"</w:instrText>
                </w:r>
                <w:r w:rsidRPr="008969C5">
                  <w:rPr>
                    <w:rStyle w:val="DefaultParagraphFont"/>
                    <w:rFonts w:ascii="Calibri" w:hAnsi="Calibri"/>
                    <w:b/>
                    <w:bCs/>
                    <w:color w:val="767171" w:themeShade="80"/>
                    <w:sz w:val="22"/>
                    <w:szCs w:val="22"/>
                  </w:rPr>
                  <w:fldChar w:fldCharType="separate"/>
                </w:r>
                <w:r w:rsidRPr="008969C5">
                  <w:rPr>
                    <w:rStyle w:val="DefaultParagraphFont"/>
                    <w:rFonts w:ascii="Calibri" w:hAnsi="Calibri"/>
                    <w:b/>
                    <w:bCs/>
                    <w:color w:val="767171" w:themeShade="80"/>
                    <w:sz w:val="22"/>
                    <w:szCs w:val="22"/>
                  </w:rPr>
                  <w:t>Multi-Sectoral Crisis Recovery</w:t>
                </w:r>
                <w:r w:rsidRPr="008969C5">
                  <w:rPr>
                    <w:rStyle w:val="DefaultParagraphFont"/>
                    <w:rFonts w:ascii="Calibri" w:hAnsi="Calibri"/>
                    <w:b/>
                    <w:bCs/>
                    <w:color w:val="767171" w:themeShade="80"/>
                    <w:sz w:val="22"/>
                    <w:szCs w:val="22"/>
                  </w:rPr>
                  <w:t xml:space="preserve"> Project for North Eastern Nigeria</w:t>
                </w:r>
                <w:r w:rsidRPr="008969C5">
                  <w:rPr>
                    <w:rStyle w:val="DefaultParagraphFont"/>
                    <w:rFonts w:ascii="Calibri" w:hAnsi="Calibri"/>
                    <w:b/>
                    <w:color w:val="767171" w:themeShade="80"/>
                    <w:sz w:val="22"/>
                    <w:szCs w:val="22"/>
                  </w:rPr>
                  <w:fldChar w:fldCharType="end"/>
                </w:r>
              </w:p>
            </w:tc>
          </w:tr>
        </w:tbl>
        <w:p w:rsidR="003615CB" w:rsidP="00735935">
          <w:pPr>
            <w:pStyle w:val="Normal125"/>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735935">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60"/>
            </w:trPr>
            <w:tc>
              <w:tcPr>
                <w:tcW w:w="14130" w:type="dxa"/>
                <w:shd w:val="clear" w:color="auto" w:fill="F7F7F7"/>
              </w:tcPr>
              <w:p w:rsidR="003615CB" w:rsidRPr="00934FB8" w:rsidP="00222B3C">
                <w:pPr>
                  <w:pStyle w:val="Normal125"/>
                  <w:keepNext/>
                  <w:rPr>
                    <w:rStyle w:val="DefaultParagraphFont"/>
                    <w:rFonts w:ascii="Calibri" w:hAnsi="Calibri"/>
                    <w:sz w:val="22"/>
                    <w:szCs w:val="22"/>
                  </w:rPr>
                </w:pPr>
                <w:r w:rsidRPr="00934FB8">
                  <w:rPr>
                    <w:rStyle w:val="DefaultParagraphFont"/>
                    <w:rFonts w:ascii="Calibri" w:hAnsi="Calibri"/>
                    <w:b/>
                    <w:color w:val="172D5F"/>
                    <w:sz w:val="22"/>
                    <w:szCs w:val="22"/>
                  </w:rPr>
                  <w:t>Project Development Objectives</w:t>
                </w:r>
              </w:p>
            </w:tc>
          </w:tr>
        </w:tbl>
        <w:p w:rsidR="00A82592" w:rsidP="00222B3C">
          <w:pPr>
            <w:pStyle w:val="Normal125"/>
            <w:keepNext/>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735935">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288"/>
            </w:trPr>
            <w:tc>
              <w:tcPr>
                <w:tcW w:w="14130" w:type="dxa"/>
                <w:shd w:val="clear" w:color="auto" w:fill="F7F7F7"/>
              </w:tcPr>
              <w:p w:rsidR="003615CB" w:rsidRPr="00B97A95" w:rsidP="0015592A">
                <w:pPr>
                  <w:pStyle w:val="Normal125"/>
                  <w:rPr>
                    <w:rStyle w:val="DefaultParagraphFont"/>
                    <w:rFonts w:ascii="Calibri" w:hAnsi="Calibri"/>
                    <w:b/>
                    <w:color w:val="172D5F"/>
                    <w:sz w:val="22"/>
                    <w:szCs w:val="22"/>
                  </w:rPr>
                </w:pPr>
                <w:r>
                  <w:rPr>
                    <w:rStyle w:val="DefaultParagraphFont"/>
                  </w:rPr>
                  <w:t xml:space="preserve"> </w:t>
                </w:r>
                <w:r w:rsidRPr="00B97A95">
                  <w:rPr>
                    <w:rStyle w:val="DefaultParagraphFont"/>
                    <w:rFonts w:ascii="Calibri" w:hAnsi="Calibri"/>
                    <w:noProof/>
                    <w:sz w:val="22"/>
                    <w:szCs w:val="22"/>
                  </w:rPr>
                  <w:t>The objectives of the</w:t>
                </w:r>
                <w:r w:rsidRPr="00B97A95">
                  <w:rPr>
                    <w:rStyle w:val="DefaultParagraphFont"/>
                    <w:rFonts w:ascii="Calibri" w:hAnsi="Calibri"/>
                    <w:noProof/>
                    <w:sz w:val="22"/>
                    <w:szCs w:val="22"/>
                  </w:rPr>
                  <w:t xml:space="preserve"> Project are to: (a) support the Government of Nigeria towards rehabilitating and improving critical service delivery infrastructure, improve the livelihood opportunities of conflict and displacement-affected communities, and strengthen social cohesion in the North East Participating States of Borno, Yobe and Adamawa; and (b) in the event of an Eligible Crisis or Emergency, to provide immediate and effective response to said Eligible Crisis or Emergency.</w:t>
                </w:r>
              </w:p>
            </w:tc>
          </w:tr>
        </w:tbl>
        <w:p w:rsidR="003615CB" w:rsidP="00735935">
          <w:pPr>
            <w:pStyle w:val="Normal125"/>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735935">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60"/>
            </w:trPr>
            <w:tc>
              <w:tcPr>
                <w:tcW w:w="14130" w:type="dxa"/>
                <w:shd w:val="clear" w:color="auto" w:fill="F7F7F7"/>
              </w:tcPr>
              <w:p w:rsidR="003615CB" w:rsidRPr="00B97A95" w:rsidP="003615CB">
                <w:pPr>
                  <w:pStyle w:val="Normal125"/>
                  <w:keepNext/>
                  <w:rPr>
                    <w:rStyle w:val="DefaultParagraphFont"/>
                    <w:rFonts w:ascii="Calibri" w:hAnsi="Calibri"/>
                    <w:sz w:val="22"/>
                  </w:rPr>
                </w:pPr>
                <w:r w:rsidRPr="00B97A95">
                  <w:rPr>
                    <w:rStyle w:val="DefaultParagraphFont"/>
                    <w:rFonts w:ascii="Calibri" w:hAnsi="Calibri"/>
                    <w:b/>
                    <w:bCs/>
                    <w:color w:val="172D5F"/>
                    <w:sz w:val="22"/>
                  </w:rPr>
                  <w:t>Project Development Objective Indicators</w:t>
                </w:r>
              </w:p>
            </w:tc>
          </w:tr>
        </w:tbl>
        <w:p w:rsidR="003615CB" w:rsidRPr="00735935" w:rsidP="00222B3C">
          <w:pPr>
            <w:pStyle w:val="Normal125"/>
            <w:keepNext/>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14130"/>
          </w:tblGrid>
          <w:tr w:rsidTr="0048550C">
            <w:tblPrEx>
              <w:tblW w:w="1413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405"/>
              <w:tblHeader/>
            </w:trPr>
            <w:tc>
              <w:tcPr>
                <w:tcW w:w="14130" w:type="dxa"/>
                <w:tcBorders>
                  <w:top w:val="nil"/>
                  <w:left w:val="nil"/>
                  <w:bottom w:val="nil"/>
                  <w:right w:val="nil"/>
                </w:tcBorders>
                <w:shd w:val="clear" w:color="auto" w:fill="F7F7F7"/>
                <w:vAlign w:val="center"/>
              </w:tcPr>
              <w:tbl>
                <w:tblPr>
                  <w:tblStyle w:val="TableGrid63"/>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bottom w:w="72" w:type="dxa"/>
                    <w:right w:w="0" w:type="dxa"/>
                  </w:tblCellMar>
                  <w:tblLook w:val="04A0"/>
                </w:tblPr>
                <w:tblGrid>
                  <w:gridCol w:w="2700"/>
                  <w:gridCol w:w="720"/>
                  <w:gridCol w:w="1170"/>
                  <w:gridCol w:w="1260"/>
                  <w:gridCol w:w="1260"/>
                  <w:gridCol w:w="2250"/>
                  <w:gridCol w:w="2610"/>
                  <w:gridCol w:w="1980"/>
                </w:tblGrid>
                <w:tr w:rsidTr="00B95677">
                  <w:tblPrEx>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bottom w:w="72" w:type="dxa"/>
                      <w:right w:w="0" w:type="dxa"/>
                    </w:tblCellMar>
                    <w:tblLook w:val="04A0"/>
                  </w:tblPrEx>
                  <w:trPr>
                    <w:trHeight w:val="405"/>
                    <w:tblHeader/>
                  </w:trPr>
                  <w:tc>
                    <w:tcPr>
                      <w:tcW w:w="2700" w:type="dxa"/>
                      <w:shd w:val="clear" w:color="auto" w:fill="F7F7F7"/>
                      <w:vAlign w:val="center"/>
                    </w:tcPr>
                    <w:p w:rsidR="0048550C" w:rsidRPr="000C0455" w:rsidP="0048550C">
                      <w:pPr>
                        <w:pStyle w:val="Normal125"/>
                        <w:spacing w:before="60" w:after="60"/>
                        <w:ind w:left="115"/>
                        <w:rPr>
                          <w:rStyle w:val="DefaultParagraphFont"/>
                          <w:rFonts w:ascii="Calibri" w:eastAsia="Times New Roman" w:hAnsi="Calibri"/>
                          <w:b/>
                          <w:color w:val="404040"/>
                          <w:sz w:val="22"/>
                          <w:szCs w:val="22"/>
                        </w:rPr>
                      </w:pPr>
                      <w:r>
                        <w:rPr>
                          <w:rStyle w:val="DefaultParagraphFont"/>
                          <w:rFonts w:ascii="Calibri" w:hAnsi="Calibri"/>
                          <w:b/>
                          <w:bCs/>
                          <w:color w:val="404040"/>
                          <w:sz w:val="22"/>
                          <w:szCs w:val="20"/>
                        </w:rPr>
                        <w:t>Indicator Name</w:t>
                      </w:r>
                    </w:p>
                  </w:tc>
                  <w:tc>
                    <w:tcPr>
                      <w:tcW w:w="720" w:type="dxa"/>
                      <w:shd w:val="clear" w:color="auto" w:fill="F7F7F7"/>
                      <w:vAlign w:val="center"/>
                    </w:tcPr>
                    <w:p w:rsidR="0048550C" w:rsidRPr="000C0455" w:rsidP="0048550C">
                      <w:pPr>
                        <w:pStyle w:val="Normal125"/>
                        <w:spacing w:before="60" w:after="60"/>
                        <w:ind w:left="115"/>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Core</w:t>
                      </w:r>
                    </w:p>
                  </w:tc>
                  <w:tc>
                    <w:tcPr>
                      <w:tcW w:w="1170" w:type="dxa"/>
                      <w:shd w:val="clear" w:color="auto" w:fill="F7F7F7"/>
                      <w:vAlign w:val="center"/>
                    </w:tcPr>
                    <w:p w:rsidR="0048550C" w:rsidRPr="000C0455" w:rsidP="0048550C">
                      <w:pPr>
                        <w:pStyle w:val="Normal125"/>
                        <w:spacing w:before="60" w:after="60"/>
                        <w:ind w:left="115"/>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Unit of Measure</w:t>
                      </w:r>
                    </w:p>
                  </w:tc>
                  <w:tc>
                    <w:tcPr>
                      <w:tcW w:w="1260" w:type="dxa"/>
                      <w:shd w:val="clear" w:color="auto" w:fill="F7F7F7"/>
                      <w:vAlign w:val="center"/>
                    </w:tcPr>
                    <w:p w:rsidR="0048550C" w:rsidRPr="000C0455" w:rsidP="0048550C">
                      <w:pPr>
                        <w:pStyle w:val="Normal125"/>
                        <w:spacing w:before="60" w:after="60"/>
                        <w:ind w:left="115"/>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Baseline</w:t>
                      </w:r>
                    </w:p>
                  </w:tc>
                  <w:tc>
                    <w:tcPr>
                      <w:tcW w:w="1260" w:type="dxa"/>
                      <w:shd w:val="clear" w:color="auto" w:fill="F7F7F7"/>
                      <w:vAlign w:val="center"/>
                    </w:tcPr>
                    <w:p w:rsidR="0048550C" w:rsidRPr="000C0455" w:rsidP="0048550C">
                      <w:pPr>
                        <w:pStyle w:val="Normal125"/>
                        <w:spacing w:before="60" w:after="60"/>
                        <w:ind w:left="115"/>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End Target</w:t>
                      </w:r>
                    </w:p>
                  </w:tc>
                  <w:tc>
                    <w:tcPr>
                      <w:tcW w:w="2250" w:type="dxa"/>
                      <w:shd w:val="clear" w:color="auto" w:fill="F7F7F7"/>
                      <w:vAlign w:val="center"/>
                    </w:tcPr>
                    <w:p w:rsidR="0048550C" w:rsidRPr="000C0455" w:rsidP="0048550C">
                      <w:pPr>
                        <w:pStyle w:val="Normal125"/>
                        <w:spacing w:before="60" w:after="60"/>
                        <w:ind w:left="115"/>
                        <w:rPr>
                          <w:rStyle w:val="DefaultParagraphFont"/>
                          <w:rFonts w:ascii="Calibri" w:eastAsia="Times New Roman" w:hAnsi="Calibri"/>
                          <w:b/>
                          <w:color w:val="404040"/>
                          <w:sz w:val="22"/>
                          <w:szCs w:val="22"/>
                        </w:rPr>
                      </w:pPr>
                      <w:r w:rsidRPr="000C0455">
                        <w:rPr>
                          <w:rStyle w:val="DefaultParagraphFont"/>
                          <w:rFonts w:ascii="Calibri" w:eastAsia="Times New Roman" w:hAnsi="Calibri"/>
                          <w:b/>
                          <w:color w:val="404040"/>
                          <w:sz w:val="22"/>
                          <w:szCs w:val="22"/>
                        </w:rPr>
                        <w:t>Frequency</w:t>
                      </w:r>
                    </w:p>
                  </w:tc>
                  <w:tc>
                    <w:tcPr>
                      <w:tcW w:w="2610" w:type="dxa"/>
                      <w:shd w:val="clear" w:color="auto" w:fill="F7F7F7"/>
                      <w:vAlign w:val="center"/>
                    </w:tcPr>
                    <w:p w:rsidR="0048550C" w:rsidRPr="000C0455" w:rsidP="00B95677">
                      <w:pPr>
                        <w:pStyle w:val="Normal125"/>
                        <w:spacing w:before="60" w:after="60"/>
                        <w:ind w:left="115"/>
                        <w:rPr>
                          <w:rStyle w:val="DefaultParagraphFont"/>
                          <w:rFonts w:ascii="Calibri" w:eastAsia="Times New Roman" w:hAnsi="Calibri"/>
                          <w:b/>
                          <w:color w:val="404040"/>
                          <w:sz w:val="22"/>
                          <w:szCs w:val="22"/>
                        </w:rPr>
                      </w:pPr>
                      <w:r w:rsidRPr="000C0455">
                        <w:rPr>
                          <w:rStyle w:val="DefaultParagraphFont"/>
                          <w:rFonts w:ascii="Calibri" w:eastAsia="Times New Roman" w:hAnsi="Calibri"/>
                          <w:b/>
                          <w:color w:val="404040"/>
                          <w:sz w:val="22"/>
                          <w:szCs w:val="22"/>
                        </w:rPr>
                        <w:t>Data Source</w:t>
                      </w:r>
                      <w:r w:rsidR="00B95677">
                        <w:rPr>
                          <w:rStyle w:val="DefaultParagraphFont"/>
                          <w:rFonts w:ascii="Calibri" w:eastAsia="Times New Roman" w:hAnsi="Calibri"/>
                          <w:b/>
                          <w:color w:val="404040"/>
                          <w:sz w:val="22"/>
                          <w:szCs w:val="22"/>
                        </w:rPr>
                        <w:t>/</w:t>
                      </w:r>
                      <w:r w:rsidRPr="000C0455">
                        <w:rPr>
                          <w:rStyle w:val="DefaultParagraphFont"/>
                          <w:rFonts w:ascii="Calibri" w:eastAsia="Times New Roman" w:hAnsi="Calibri"/>
                          <w:b/>
                          <w:color w:val="404040"/>
                          <w:sz w:val="22"/>
                          <w:szCs w:val="22"/>
                        </w:rPr>
                        <w:t>Methodology</w:t>
                      </w:r>
                    </w:p>
                  </w:tc>
                  <w:tc>
                    <w:tcPr>
                      <w:tcW w:w="1980" w:type="dxa"/>
                      <w:shd w:val="clear" w:color="auto" w:fill="F7F7F7"/>
                      <w:vAlign w:val="center"/>
                    </w:tcPr>
                    <w:p w:rsidR="0048550C" w:rsidRPr="000C0455" w:rsidP="0048550C">
                      <w:pPr>
                        <w:pStyle w:val="Normal125"/>
                        <w:spacing w:before="60" w:after="60"/>
                        <w:ind w:left="115"/>
                        <w:rPr>
                          <w:rStyle w:val="DefaultParagraphFont"/>
                          <w:rFonts w:ascii="Calibri" w:eastAsia="Times New Roman" w:hAnsi="Calibri"/>
                          <w:b/>
                          <w:color w:val="404040"/>
                          <w:sz w:val="22"/>
                          <w:szCs w:val="22"/>
                        </w:rPr>
                      </w:pPr>
                      <w:r w:rsidRPr="000C0455">
                        <w:rPr>
                          <w:rStyle w:val="DefaultParagraphFont"/>
                          <w:rFonts w:ascii="Calibri" w:eastAsia="Times New Roman" w:hAnsi="Calibri"/>
                          <w:b/>
                          <w:color w:val="404040"/>
                          <w:sz w:val="22"/>
                          <w:szCs w:val="22"/>
                        </w:rPr>
                        <w:t>Responsibility for Data Collection</w:t>
                      </w:r>
                    </w:p>
                  </w:tc>
                </w:tr>
              </w:tbl>
              <w:p w:rsidR="0048550C" w:rsidRPr="000C0455" w:rsidP="00B100FD">
                <w:pPr>
                  <w:pStyle w:val="Normal125"/>
                  <w:spacing w:before="60" w:after="60"/>
                  <w:ind w:left="115"/>
                  <w:rPr>
                    <w:rStyle w:val="DefaultParagraphFont"/>
                    <w:rFonts w:ascii="Calibri" w:eastAsia="Times New Roman" w:hAnsi="Calibri"/>
                    <w:b/>
                    <w:color w:val="404040"/>
                    <w:sz w:val="22"/>
                    <w:szCs w:val="22"/>
                  </w:rPr>
                </w:pPr>
              </w:p>
            </w:tc>
          </w:tr>
          <w:tr w:rsidTr="0048550C">
            <w:tblPrEx>
              <w:tblW w:w="14130" w:type="dxa"/>
              <w:tblInd w:w="-720" w:type="dxa"/>
              <w:shd w:val="clear" w:color="auto" w:fill="F7F7F7"/>
              <w:tblLayout w:type="fixed"/>
              <w:tblCellMar>
                <w:left w:w="0" w:type="dxa"/>
                <w:right w:w="0" w:type="dxa"/>
              </w:tblCellMar>
              <w:tblLook w:val="04A0"/>
            </w:tblPrEx>
            <w:trPr>
              <w:trHeight w:val="55"/>
            </w:trPr>
            <w:tc>
              <w:tcPr>
                <w:tcW w:w="14130" w:type="dxa"/>
                <w:tcBorders>
                  <w:top w:val="nil"/>
                  <w:left w:val="nil"/>
                  <w:bottom w:val="nil"/>
                  <w:right w:val="nil"/>
                </w:tcBorders>
                <w:shd w:val="clear" w:color="auto" w:fill="F7F7F7"/>
                <w:vAlign w:val="center"/>
              </w:tcPr>
              <w:p w:rsidR="0064190D" w:rsidRPr="001D0FBD" w:rsidP="00B100FD">
                <w:pPr>
                  <w:pStyle w:val="Normal125"/>
                  <w:shd w:val="clear" w:color="auto" w:fill="F7F7F7"/>
                  <w:spacing w:line="14" w:lineRule="exact"/>
                  <w:rPr>
                    <w:rStyle w:val="DefaultParagraphFont"/>
                    <w:rFonts w:ascii="Calibri" w:hAnsi="Calibri"/>
                    <w:b/>
                    <w:bCs/>
                    <w:color w:val="7F7F7F" w:themeTint="80"/>
                    <w:sz w:val="2"/>
                    <w:szCs w:val="2"/>
                  </w:rPr>
                </w:pPr>
              </w:p>
              <w:tbl>
                <w:tblPr>
                  <w:tblStyle w:val="TableGrid63"/>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700"/>
                  <w:gridCol w:w="720"/>
                  <w:gridCol w:w="1170"/>
                  <w:gridCol w:w="1260"/>
                  <w:gridCol w:w="1260"/>
                  <w:gridCol w:w="2250"/>
                  <w:gridCol w:w="2610"/>
                  <w:gridCol w:w="1980"/>
                </w:tblGrid>
                <w:tr w:rsidTr="00B95677">
                  <w:tblPrEx>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70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Direct project beneficiaries</w:t>
                      </w:r>
                    </w:p>
                  </w:tc>
                  <w:tc>
                    <w:tcPr>
                      <w:tcW w:w="72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CO</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Segoe UI Symbol" w:hAnsi="Segoe UI Symbol" w:cs="Segoe UI Symbol"/>
                          <w:sz w:val="20"/>
                          <w:szCs w:val="20"/>
                        </w:rPr>
                        <w:t>✔</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Number</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0.00</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150000.00</w:t>
                      </w:r>
                    </w:p>
                  </w:tc>
                  <w:tc>
                    <w:tcPr>
                      <w:tcW w:w="2250" w:type="dxa"/>
                      <w:tcBorders>
                        <w:top w:val="single" w:sz="4" w:space="0" w:color="D9D9D9"/>
                      </w:tcBorders>
                      <w:shd w:val="clear" w:color="auto" w:fill="F7F7F7"/>
                    </w:tcPr>
                    <w:p w:rsidRPr="0021478A" w:rsidP="009A18E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B100FD" w:rsidRPr="0021478A" w:rsidP="009A18EB">
                      <w:pPr>
                        <w:pStyle w:val="Normal125"/>
                        <w:spacing w:before="100" w:after="100"/>
                        <w:ind w:left="144" w:right="144"/>
                        <w:rPr>
                          <w:rStyle w:val="DefaultParagraphFont"/>
                          <w:rFonts w:ascii="Calibri" w:hAnsi="Calibri"/>
                          <w:bCs/>
                          <w:sz w:val="20"/>
                          <w:szCs w:val="20"/>
                        </w:rPr>
                      </w:pPr>
                    </w:p>
                  </w:tc>
                  <w:tc>
                    <w:tcPr>
                      <w:tcW w:w="261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sz w:val="20"/>
                          <w:szCs w:val="20"/>
                        </w:rPr>
                        <w:t>, Beneficiary Survey. The target value of this indicator is tentative. The actual number of direct project beneficiaries will depend on the annual investment plans prepared by the BAY state governments under this project.</w:t>
                      </w:r>
                    </w:p>
                    <w:p w:rsidR="00B100FD" w:rsidRPr="0021478A" w:rsidP="009A18E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sz w:val="20"/>
                          <w:szCs w:val="20"/>
                        </w:rPr>
                        <w:t>M&amp;E support, Survey consultancy</w:t>
                      </w:r>
                    </w:p>
                    <w:p w:rsidR="00B100FD" w:rsidRPr="0021478A" w:rsidP="009A18EB">
                      <w:pPr>
                        <w:pStyle w:val="Normal125"/>
                        <w:spacing w:before="100" w:after="100"/>
                        <w:ind w:left="144" w:right="144"/>
                        <w:rPr>
                          <w:rStyle w:val="DefaultParagraphFont"/>
                          <w:rFonts w:ascii="Calibri" w:hAnsi="Calibri"/>
                          <w:bCs/>
                          <w:sz w:val="20"/>
                          <w:szCs w:val="20"/>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bottom w:val="nil"/>
                      </w:tcBorders>
                      <w:shd w:val="clear" w:color="auto" w:fill="F7F7F7"/>
                    </w:tcPr>
                    <w:p w:rsidR="00B100FD" w:rsidRPr="0021478A" w:rsidP="00B100FD">
                      <w:pPr>
                        <w:pStyle w:val="Normal125"/>
                        <w:spacing w:line="14" w:lineRule="exact"/>
                        <w:rPr>
                          <w:rStyle w:val="DefaultParagraphFont"/>
                          <w:rFonts w:ascii="Calibri" w:hAnsi="Calibri"/>
                          <w:noProof/>
                          <w:sz w:val="20"/>
                          <w:szCs w:val="20"/>
                        </w:rPr>
                      </w:pPr>
                    </w:p>
                    <w:tbl>
                      <w:tblPr>
                        <w:tblStyle w:val="TableGrid63"/>
                        <w:tblW w:w="142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90"/>
                        <w:gridCol w:w="720"/>
                        <w:gridCol w:w="1170"/>
                        <w:gridCol w:w="1260"/>
                        <w:gridCol w:w="1260"/>
                        <w:gridCol w:w="2255"/>
                        <w:gridCol w:w="2605"/>
                        <w:gridCol w:w="2255"/>
                      </w:tblGrid>
                      <w:tr w:rsidTr="00B95677">
                        <w:tblPrEx>
                          <w:tblW w:w="142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22"/>
                        </w:trPr>
                        <w:tc>
                          <w:tcPr>
                            <w:tcW w:w="2690" w:type="dxa"/>
                            <w:tcBorders>
                              <w:top w:val="nil"/>
                            </w:tcBorders>
                            <w:shd w:val="clear" w:color="auto" w:fill="F7F7F7"/>
                          </w:tcPr>
                          <w:p w:rsidR="00B100FD" w:rsidRPr="0021478A" w:rsidP="00B100FD">
                            <w:pPr>
                              <w:pStyle w:val="Normal125"/>
                              <w:spacing w:before="100" w:after="100"/>
                              <w:ind w:left="265" w:right="144"/>
                              <w:rPr>
                                <w:rStyle w:val="DefaultParagraphFont"/>
                                <w:rFonts w:ascii="Calibri" w:hAnsi="Calibri"/>
                                <w:b/>
                                <w:bCs/>
                                <w:color w:val="7F7F7F"/>
                                <w:sz w:val="20"/>
                                <w:szCs w:val="20"/>
                              </w:rPr>
                            </w:pPr>
                            <w:r w:rsidRPr="0021478A">
                              <w:rPr>
                                <w:rStyle w:val="DefaultParagraphFont"/>
                                <w:rFonts w:ascii="Calibri" w:hAnsi="Calibri"/>
                                <w:noProof/>
                                <w:sz w:val="20"/>
                                <w:szCs w:val="20"/>
                              </w:rPr>
                              <w:t>Percentage of direct project beneficiaries who are female</w:t>
                            </w:r>
                          </w:p>
                        </w:tc>
                        <w:tc>
                          <w:tcPr>
                            <w:tcW w:w="720" w:type="dxa"/>
                            <w:tcBorders>
                              <w:top w:val="nil"/>
                            </w:tcBorders>
                            <w:shd w:val="clear" w:color="auto" w:fill="F7F7F7"/>
                          </w:tcPr>
                          <w:p w:rsidR="00B100FD" w:rsidRPr="0021478A" w:rsidP="00B100FD">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nil"/>
                            </w:tcBorders>
                            <w:shd w:val="clear" w:color="auto" w:fill="F7F7F7"/>
                          </w:tcPr>
                          <w:p w:rsidR="00B100FD" w:rsidRPr="0021478A" w:rsidP="00B100FD">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Percentage</w:t>
                            </w:r>
                          </w:p>
                        </w:tc>
                        <w:tc>
                          <w:tcPr>
                            <w:tcW w:w="1260"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0.00</w:t>
                            </w:r>
                          </w:p>
                        </w:tc>
                        <w:tc>
                          <w:tcPr>
                            <w:tcW w:w="1260"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50.00</w:t>
                            </w:r>
                          </w:p>
                        </w:tc>
                        <w:tc>
                          <w:tcPr>
                            <w:tcW w:w="2255" w:type="dxa"/>
                            <w:tcBorders>
                              <w:top w:val="nil"/>
                            </w:tcBorders>
                            <w:shd w:val="clear" w:color="auto" w:fill="F7F7F7"/>
                          </w:tcPr>
                          <w:p w:rsidRPr="0021478A" w:rsidP="00B100FD">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B100FD" w:rsidRPr="0021478A" w:rsidP="00B100FD">
                            <w:pPr>
                              <w:pStyle w:val="Normal125"/>
                              <w:spacing w:before="100" w:after="100"/>
                              <w:ind w:left="144" w:right="144"/>
                              <w:rPr>
                                <w:rStyle w:val="DefaultParagraphFont"/>
                                <w:rFonts w:ascii="Calibri" w:hAnsi="Calibri"/>
                                <w:bCs/>
                                <w:sz w:val="20"/>
                                <w:szCs w:val="20"/>
                              </w:rPr>
                            </w:pPr>
                          </w:p>
                        </w:tc>
                        <w:tc>
                          <w:tcPr>
                            <w:tcW w:w="2605"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sz w:val="20"/>
                                <w:szCs w:val="20"/>
                              </w:rPr>
                              <w:t>, Beneficiary Survey</w:t>
                            </w:r>
                          </w:p>
                          <w:p w:rsidR="00B100FD" w:rsidRPr="0021478A" w:rsidP="00B100FD">
                            <w:pPr>
                              <w:pStyle w:val="Normal125"/>
                              <w:spacing w:before="100" w:after="100"/>
                              <w:ind w:left="144" w:right="144"/>
                              <w:rPr>
                                <w:rStyle w:val="DefaultParagraphFont"/>
                                <w:rFonts w:ascii="Calibri" w:hAnsi="Calibri"/>
                                <w:bCs/>
                                <w:sz w:val="20"/>
                                <w:szCs w:val="20"/>
                              </w:rPr>
                            </w:pPr>
                          </w:p>
                        </w:tc>
                        <w:tc>
                          <w:tcPr>
                            <w:tcW w:w="2255"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sz w:val="20"/>
                                <w:szCs w:val="20"/>
                              </w:rPr>
                              <w:t>M&amp;E support, Survey consultancy</w:t>
                            </w:r>
                          </w:p>
                          <w:p w:rsidR="00B100FD" w:rsidRPr="0021478A" w:rsidP="00B100FD">
                            <w:pPr>
                              <w:pStyle w:val="Normal125"/>
                              <w:spacing w:before="100" w:after="100"/>
                              <w:ind w:left="144" w:right="144"/>
                              <w:rPr>
                                <w:rStyle w:val="DefaultParagraphFont"/>
                                <w:rFonts w:ascii="Calibri" w:hAnsi="Calibri"/>
                                <w:bCs/>
                                <w:sz w:val="20"/>
                                <w:szCs w:val="20"/>
                              </w:rPr>
                            </w:pPr>
                          </w:p>
                        </w:tc>
                      </w:tr>
                      <w:tr w:rsidTr="004D067E">
                        <w:tblPrEx>
                          <w:tblW w:w="14215" w:type="dxa"/>
                          <w:shd w:val="clear" w:color="auto" w:fill="F7F7F7"/>
                          <w:tblLayout w:type="fixed"/>
                          <w:tblCellMar>
                            <w:left w:w="0" w:type="dxa"/>
                            <w:right w:w="0" w:type="dxa"/>
                          </w:tblCellMar>
                          <w:tblLook w:val="04A0"/>
                        </w:tblPrEx>
                        <w:trPr>
                          <w:trHeight w:val="222"/>
                        </w:trPr>
                        <w:tc>
                          <w:tcPr>
                            <w:tcW w:w="14215" w:type="dxa"/>
                            <w:gridSpan w:val="8"/>
                            <w:tcBorders>
                              <w:bottom w:val="nil"/>
                            </w:tcBorders>
                            <w:shd w:val="clear" w:color="auto" w:fill="F7F7F7"/>
                          </w:tcPr>
                          <w:p>
                            <w:pPr>
                              <w:pStyle w:val="Normal125"/>
                              <w:rPr>
                                <w:rStyle w:val="DefaultParagraphFont"/>
                              </w:rPr>
                            </w:pPr>
                          </w:p>
                        </w:tc>
                      </w:tr>
                    </w:tbl>
                    <w:p w:rsidR="00B100FD" w:rsidRPr="0021478A" w:rsidP="00B100FD">
                      <w:pPr>
                        <w:pStyle w:val="Normal125"/>
                        <w:spacing w:line="14" w:lineRule="exact"/>
                        <w:ind w:left="72"/>
                        <w:rPr>
                          <w:rStyle w:val="DefaultParagraphFont"/>
                          <w:rFonts w:ascii="Calibri" w:hAnsi="Calibri"/>
                          <w:noProof/>
                          <w:sz w:val="20"/>
                          <w:szCs w:val="20"/>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top w:val="nil"/>
                      </w:tcBorders>
                      <w:shd w:val="clear" w:color="auto" w:fill="F7F7F7"/>
                    </w:tcPr>
                    <w:p w:rsidR="00B100FD" w:rsidRPr="0021478A" w:rsidP="00B100FD">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Direct beneficiaries are</w:t>
                      </w:r>
                      <w:r w:rsidRPr="0021478A">
                        <w:rPr>
                          <w:rStyle w:val="DefaultParagraphFont"/>
                          <w:rFonts w:ascii="Calibri" w:hAnsi="Calibri"/>
                          <w:sz w:val="20"/>
                          <w:szCs w:val="20"/>
                        </w:rPr>
                        <w:t xml:space="preserve"> people or groups who directly derive benefits from an intervention (i.e., children who benefit from an immunization program; families that have a new piped water connection). Please note that this indicator requires supplemental information. Supplemental Value: Female beneficiaries (percentage). Based on the assessment and definition of direct project beneficiaries, specify what proportion of the direct project beneficiaries are female. This indicator is calculated as a percentage.</w:t>
                      </w:r>
                    </w:p>
                  </w:tc>
                </w:tr>
              </w:tbl>
              <w:p w:rsidR="0064190D" w:rsidP="00B100FD">
                <w:pPr>
                  <w:pStyle w:val="Normal125"/>
                  <w:shd w:val="clear" w:color="auto" w:fill="F7F7F7"/>
                  <w:ind w:left="-25" w:right="-418"/>
                  <w:rPr>
                    <w:rStyle w:val="DefaultParagraphFont"/>
                    <w:rFonts w:ascii="Calibri" w:hAnsi="Calibri"/>
                    <w:b/>
                    <w:bCs/>
                    <w:color w:val="7F7F7F" w:themeTint="80"/>
                    <w:sz w:val="22"/>
                    <w:szCs w:val="22"/>
                  </w:rPr>
                </w:pPr>
              </w:p>
              <w:p w:rsidR="0064190D" w:rsidRPr="0064190D" w:rsidP="00B100FD">
                <w:pPr>
                  <w:pStyle w:val="Normal125"/>
                  <w:shd w:val="clear" w:color="auto" w:fill="F7F7F7"/>
                  <w:spacing w:line="14" w:lineRule="exact"/>
                  <w:rPr>
                    <w:rStyle w:val="DefaultParagraphFont"/>
                    <w:rFonts w:ascii="Calibri" w:hAnsi="Calibri"/>
                    <w:b/>
                    <w:bCs/>
                    <w:color w:val="7F7F7F" w:themeTint="80"/>
                    <w:sz w:val="22"/>
                    <w:szCs w:val="22"/>
                  </w:rPr>
                </w:pPr>
              </w:p>
              <w:p w:rsidR="0064190D" w:rsidRPr="001D0FBD" w:rsidP="00B100FD">
                <w:pPr>
                  <w:pStyle w:val="Normal125"/>
                  <w:shd w:val="clear" w:color="auto" w:fill="F7F7F7"/>
                  <w:spacing w:line="14" w:lineRule="exact"/>
                  <w:rPr>
                    <w:rStyle w:val="DefaultParagraphFont"/>
                    <w:rFonts w:ascii="Calibri" w:hAnsi="Calibri"/>
                    <w:b/>
                    <w:bCs/>
                    <w:color w:val="7F7F7F" w:themeTint="80"/>
                    <w:sz w:val="2"/>
                    <w:szCs w:val="2"/>
                  </w:rPr>
                </w:pPr>
              </w:p>
              <w:tbl>
                <w:tblPr>
                  <w:tblStyle w:val="TableGrid63"/>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700"/>
                  <w:gridCol w:w="720"/>
                  <w:gridCol w:w="1170"/>
                  <w:gridCol w:w="1260"/>
                  <w:gridCol w:w="1260"/>
                  <w:gridCol w:w="2250"/>
                  <w:gridCol w:w="2610"/>
                  <w:gridCol w:w="1980"/>
                </w:tblGrid>
                <w:tr w:rsidTr="00B95677">
                  <w:tblPrEx>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70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beneficiaries that have improved livelihoood opportunities with project support</w:t>
                      </w:r>
                    </w:p>
                  </w:tc>
                  <w:tc>
                    <w:tcPr>
                      <w:tcW w:w="72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23000 to 33000</w:t>
                      </w:r>
                    </w:p>
                  </w:tc>
                  <w:tc>
                    <w:tcPr>
                      <w:tcW w:w="2250" w:type="dxa"/>
                      <w:tcBorders>
                        <w:top w:val="single" w:sz="4" w:space="0" w:color="D9D9D9"/>
                      </w:tcBorders>
                      <w:shd w:val="clear" w:color="auto" w:fill="F7F7F7"/>
                    </w:tcPr>
                    <w:p w:rsidRPr="0021478A" w:rsidP="009A18E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B100FD" w:rsidRPr="0021478A" w:rsidP="009A18EB">
                      <w:pPr>
                        <w:pStyle w:val="Normal125"/>
                        <w:spacing w:before="100" w:after="100"/>
                        <w:ind w:left="144" w:right="144"/>
                        <w:rPr>
                          <w:rStyle w:val="DefaultParagraphFont"/>
                          <w:rFonts w:ascii="Calibri" w:hAnsi="Calibri"/>
                          <w:bCs/>
                          <w:sz w:val="20"/>
                          <w:szCs w:val="20"/>
                        </w:rPr>
                      </w:pPr>
                    </w:p>
                  </w:tc>
                  <w:tc>
                    <w:tcPr>
                      <w:tcW w:w="261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sz w:val="20"/>
                          <w:szCs w:val="20"/>
                        </w:rPr>
                        <w:t>, Beneficiary Survey</w:t>
                      </w:r>
                    </w:p>
                    <w:p w:rsidR="00B100FD" w:rsidRPr="0021478A" w:rsidP="009A18E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sz w:val="20"/>
                          <w:szCs w:val="20"/>
                        </w:rPr>
                        <w:t>M&amp;E support, Survey consultancy</w:t>
                      </w:r>
                    </w:p>
                    <w:p w:rsidR="00B100FD" w:rsidRPr="0021478A" w:rsidP="009A18EB">
                      <w:pPr>
                        <w:pStyle w:val="Normal125"/>
                        <w:spacing w:before="100" w:after="100"/>
                        <w:ind w:left="144" w:right="144"/>
                        <w:rPr>
                          <w:rStyle w:val="DefaultParagraphFont"/>
                          <w:rFonts w:ascii="Calibri" w:hAnsi="Calibri"/>
                          <w:bCs/>
                          <w:sz w:val="20"/>
                          <w:szCs w:val="20"/>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bottom w:val="nil"/>
                      </w:tcBorders>
                      <w:shd w:val="clear" w:color="auto" w:fill="F7F7F7"/>
                    </w:tcPr>
                    <w:p>
                      <w:pPr>
                        <w:pStyle w:val="Normal125"/>
                        <w:rPr>
                          <w:rStyle w:val="DefaultParagraphFont"/>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top w:val="nil"/>
                      </w:tcBorders>
                      <w:shd w:val="clear" w:color="auto" w:fill="F7F7F7"/>
                    </w:tcPr>
                    <w:p w:rsidR="00B100FD" w:rsidRPr="0021478A" w:rsidP="00B100FD">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number of beneficiaries who have received project support to improve their livelihood opportunities through restoring immediate access to productive assets, including farmers who have received agricultural inputs and/or livestock as well as non-farmers who are provided trading commodities and/or skill training.</w:t>
                      </w:r>
                    </w:p>
                  </w:tc>
                </w:tr>
              </w:tbl>
              <w:p w:rsidR="0064190D" w:rsidP="00B100FD">
                <w:pPr>
                  <w:pStyle w:val="Normal125"/>
                  <w:shd w:val="clear" w:color="auto" w:fill="F7F7F7"/>
                  <w:ind w:left="-25" w:right="-418"/>
                  <w:rPr>
                    <w:rStyle w:val="DefaultParagraphFont"/>
                    <w:rFonts w:ascii="Calibri" w:hAnsi="Calibri"/>
                    <w:b/>
                    <w:bCs/>
                    <w:color w:val="7F7F7F" w:themeTint="80"/>
                    <w:sz w:val="22"/>
                    <w:szCs w:val="22"/>
                  </w:rPr>
                </w:pPr>
              </w:p>
              <w:p w:rsidR="0064190D" w:rsidRPr="0064190D" w:rsidP="00B100FD">
                <w:pPr>
                  <w:pStyle w:val="Normal125"/>
                  <w:shd w:val="clear" w:color="auto" w:fill="F7F7F7"/>
                  <w:spacing w:line="14" w:lineRule="exact"/>
                  <w:rPr>
                    <w:rStyle w:val="DefaultParagraphFont"/>
                    <w:rFonts w:ascii="Calibri" w:hAnsi="Calibri"/>
                    <w:b/>
                    <w:bCs/>
                    <w:color w:val="7F7F7F" w:themeTint="80"/>
                    <w:sz w:val="22"/>
                    <w:szCs w:val="22"/>
                  </w:rPr>
                </w:pPr>
              </w:p>
              <w:p w:rsidR="0064190D" w:rsidRPr="001D0FBD" w:rsidP="00B100FD">
                <w:pPr>
                  <w:pStyle w:val="Normal125"/>
                  <w:shd w:val="clear" w:color="auto" w:fill="F7F7F7"/>
                  <w:spacing w:line="14" w:lineRule="exact"/>
                  <w:rPr>
                    <w:rStyle w:val="DefaultParagraphFont"/>
                    <w:rFonts w:ascii="Calibri" w:hAnsi="Calibri"/>
                    <w:b/>
                    <w:bCs/>
                    <w:color w:val="7F7F7F" w:themeTint="80"/>
                    <w:sz w:val="2"/>
                    <w:szCs w:val="2"/>
                  </w:rPr>
                </w:pPr>
              </w:p>
              <w:tbl>
                <w:tblPr>
                  <w:tblStyle w:val="TableGrid63"/>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700"/>
                  <w:gridCol w:w="720"/>
                  <w:gridCol w:w="1170"/>
                  <w:gridCol w:w="1260"/>
                  <w:gridCol w:w="1260"/>
                  <w:gridCol w:w="2250"/>
                  <w:gridCol w:w="2610"/>
                  <w:gridCol w:w="1980"/>
                </w:tblGrid>
                <w:tr w:rsidTr="00B95677">
                  <w:tblPrEx>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70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beneficiaries with additional or improved access to service delivery infrastructure</w:t>
                      </w:r>
                    </w:p>
                  </w:tc>
                  <w:tc>
                    <w:tcPr>
                      <w:tcW w:w="72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120000~150000</w:t>
                      </w:r>
                    </w:p>
                  </w:tc>
                  <w:tc>
                    <w:tcPr>
                      <w:tcW w:w="2250" w:type="dxa"/>
                      <w:tcBorders>
                        <w:top w:val="single" w:sz="4" w:space="0" w:color="D9D9D9"/>
                      </w:tcBorders>
                      <w:shd w:val="clear" w:color="auto" w:fill="F7F7F7"/>
                    </w:tcPr>
                    <w:p w:rsidRPr="0021478A" w:rsidP="009A18E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B100FD" w:rsidRPr="0021478A" w:rsidP="009A18EB">
                      <w:pPr>
                        <w:pStyle w:val="Normal125"/>
                        <w:spacing w:before="100" w:after="100"/>
                        <w:ind w:left="144" w:right="144"/>
                        <w:rPr>
                          <w:rStyle w:val="DefaultParagraphFont"/>
                          <w:rFonts w:ascii="Calibri" w:hAnsi="Calibri"/>
                          <w:bCs/>
                          <w:sz w:val="20"/>
                          <w:szCs w:val="20"/>
                        </w:rPr>
                      </w:pPr>
                    </w:p>
                  </w:tc>
                  <w:tc>
                    <w:tcPr>
                      <w:tcW w:w="261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sz w:val="20"/>
                          <w:szCs w:val="20"/>
                        </w:rPr>
                        <w:t>, Beneficiary Survey</w:t>
                      </w:r>
                    </w:p>
                    <w:p w:rsidR="00B100FD" w:rsidRPr="0021478A" w:rsidP="009A18E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sz w:val="20"/>
                          <w:szCs w:val="20"/>
                        </w:rPr>
                        <w:t>M&amp;E support, Survey consultancy</w:t>
                      </w:r>
                    </w:p>
                    <w:p w:rsidR="00B100FD" w:rsidRPr="0021478A" w:rsidP="009A18EB">
                      <w:pPr>
                        <w:pStyle w:val="Normal125"/>
                        <w:spacing w:before="100" w:after="100"/>
                        <w:ind w:left="144" w:right="144"/>
                        <w:rPr>
                          <w:rStyle w:val="DefaultParagraphFont"/>
                          <w:rFonts w:ascii="Calibri" w:hAnsi="Calibri"/>
                          <w:bCs/>
                          <w:sz w:val="20"/>
                          <w:szCs w:val="20"/>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bottom w:val="nil"/>
                      </w:tcBorders>
                      <w:shd w:val="clear" w:color="auto" w:fill="F7F7F7"/>
                    </w:tcPr>
                    <w:p w:rsidR="00B100FD" w:rsidRPr="0021478A" w:rsidP="00B100FD">
                      <w:pPr>
                        <w:pStyle w:val="Normal125"/>
                        <w:spacing w:line="14" w:lineRule="exact"/>
                        <w:rPr>
                          <w:rStyle w:val="DefaultParagraphFont"/>
                          <w:rFonts w:ascii="Calibri" w:hAnsi="Calibri"/>
                          <w:noProof/>
                          <w:sz w:val="20"/>
                          <w:szCs w:val="20"/>
                        </w:rPr>
                      </w:pPr>
                    </w:p>
                    <w:tbl>
                      <w:tblPr>
                        <w:tblStyle w:val="TableGrid63"/>
                        <w:tblW w:w="142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90"/>
                        <w:gridCol w:w="720"/>
                        <w:gridCol w:w="1170"/>
                        <w:gridCol w:w="1260"/>
                        <w:gridCol w:w="1260"/>
                        <w:gridCol w:w="2255"/>
                        <w:gridCol w:w="2605"/>
                        <w:gridCol w:w="2255"/>
                      </w:tblGrid>
                      <w:tr w:rsidTr="00B95677">
                        <w:tblPrEx>
                          <w:tblW w:w="142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22"/>
                        </w:trPr>
                        <w:tc>
                          <w:tcPr>
                            <w:tcW w:w="2690" w:type="dxa"/>
                            <w:tcBorders>
                              <w:top w:val="nil"/>
                            </w:tcBorders>
                            <w:shd w:val="clear" w:color="auto" w:fill="F7F7F7"/>
                          </w:tcPr>
                          <w:p w:rsidR="00B100FD" w:rsidRPr="0021478A" w:rsidP="00B100FD">
                            <w:pPr>
                              <w:pStyle w:val="Normal125"/>
                              <w:spacing w:before="100" w:after="100"/>
                              <w:ind w:left="265" w:right="144"/>
                              <w:rPr>
                                <w:rStyle w:val="DefaultParagraphFont"/>
                                <w:rFonts w:ascii="Calibri" w:hAnsi="Calibri"/>
                                <w:b/>
                                <w:bCs/>
                                <w:color w:val="7F7F7F"/>
                                <w:sz w:val="20"/>
                                <w:szCs w:val="20"/>
                              </w:rPr>
                            </w:pPr>
                            <w:r w:rsidRPr="0021478A">
                              <w:rPr>
                                <w:rStyle w:val="DefaultParagraphFont"/>
                                <w:rFonts w:ascii="Calibri" w:hAnsi="Calibri"/>
                                <w:noProof/>
                                <w:sz w:val="20"/>
                                <w:szCs w:val="20"/>
                              </w:rPr>
                              <w:t>Percentage of beneficiaries with additional or improved access to service delivery infrastructure who are female</w:t>
                            </w:r>
                          </w:p>
                        </w:tc>
                        <w:tc>
                          <w:tcPr>
                            <w:tcW w:w="720" w:type="dxa"/>
                            <w:tcBorders>
                              <w:top w:val="nil"/>
                            </w:tcBorders>
                            <w:shd w:val="clear" w:color="auto" w:fill="F7F7F7"/>
                          </w:tcPr>
                          <w:p w:rsidR="00B100FD" w:rsidRPr="0021478A" w:rsidP="00B100FD">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nil"/>
                            </w:tcBorders>
                            <w:shd w:val="clear" w:color="auto" w:fill="F7F7F7"/>
                          </w:tcPr>
                          <w:p w:rsidR="00B100FD" w:rsidRPr="0021478A" w:rsidP="00B100FD">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40%</w:t>
                            </w:r>
                          </w:p>
                        </w:tc>
                        <w:tc>
                          <w:tcPr>
                            <w:tcW w:w="2255" w:type="dxa"/>
                            <w:tcBorders>
                              <w:top w:val="nil"/>
                            </w:tcBorders>
                            <w:shd w:val="clear" w:color="auto" w:fill="F7F7F7"/>
                          </w:tcPr>
                          <w:p w:rsidRPr="0021478A" w:rsidP="00B100FD">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B100FD" w:rsidRPr="0021478A" w:rsidP="00B100FD">
                            <w:pPr>
                              <w:pStyle w:val="Normal125"/>
                              <w:spacing w:before="100" w:after="100"/>
                              <w:ind w:left="144" w:right="144"/>
                              <w:rPr>
                                <w:rStyle w:val="DefaultParagraphFont"/>
                                <w:rFonts w:ascii="Calibri" w:hAnsi="Calibri"/>
                                <w:bCs/>
                                <w:sz w:val="20"/>
                                <w:szCs w:val="20"/>
                              </w:rPr>
                            </w:pPr>
                          </w:p>
                        </w:tc>
                        <w:tc>
                          <w:tcPr>
                            <w:tcW w:w="2605"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sz w:val="20"/>
                                <w:szCs w:val="20"/>
                              </w:rPr>
                              <w:t>, Beneficiary Survey</w:t>
                            </w:r>
                          </w:p>
                          <w:p w:rsidR="00B100FD" w:rsidRPr="0021478A" w:rsidP="00B100FD">
                            <w:pPr>
                              <w:pStyle w:val="Normal125"/>
                              <w:spacing w:before="100" w:after="100"/>
                              <w:ind w:left="144" w:right="144"/>
                              <w:rPr>
                                <w:rStyle w:val="DefaultParagraphFont"/>
                                <w:rFonts w:ascii="Calibri" w:hAnsi="Calibri"/>
                                <w:bCs/>
                                <w:sz w:val="20"/>
                                <w:szCs w:val="20"/>
                              </w:rPr>
                            </w:pPr>
                          </w:p>
                        </w:tc>
                        <w:tc>
                          <w:tcPr>
                            <w:tcW w:w="2255"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sz w:val="20"/>
                                <w:szCs w:val="20"/>
                              </w:rPr>
                              <w:t>M&amp;E support, Survey consultancy</w:t>
                            </w:r>
                          </w:p>
                          <w:p w:rsidR="00B100FD" w:rsidRPr="0021478A" w:rsidP="00B100FD">
                            <w:pPr>
                              <w:pStyle w:val="Normal125"/>
                              <w:spacing w:before="100" w:after="100"/>
                              <w:ind w:left="144" w:right="144"/>
                              <w:rPr>
                                <w:rStyle w:val="DefaultParagraphFont"/>
                                <w:rFonts w:ascii="Calibri" w:hAnsi="Calibri"/>
                                <w:bCs/>
                                <w:sz w:val="20"/>
                                <w:szCs w:val="20"/>
                              </w:rPr>
                            </w:pPr>
                          </w:p>
                        </w:tc>
                      </w:tr>
                      <w:tr w:rsidTr="004D067E">
                        <w:tblPrEx>
                          <w:tblW w:w="14215" w:type="dxa"/>
                          <w:shd w:val="clear" w:color="auto" w:fill="F7F7F7"/>
                          <w:tblLayout w:type="fixed"/>
                          <w:tblCellMar>
                            <w:left w:w="0" w:type="dxa"/>
                            <w:right w:w="0" w:type="dxa"/>
                          </w:tblCellMar>
                          <w:tblLook w:val="04A0"/>
                        </w:tblPrEx>
                        <w:trPr>
                          <w:trHeight w:val="222"/>
                        </w:trPr>
                        <w:tc>
                          <w:tcPr>
                            <w:tcW w:w="14215" w:type="dxa"/>
                            <w:gridSpan w:val="8"/>
                            <w:tcBorders>
                              <w:bottom w:val="nil"/>
                            </w:tcBorders>
                            <w:shd w:val="clear" w:color="auto" w:fill="F7F7F7"/>
                          </w:tcPr>
                          <w:p>
                            <w:pPr>
                              <w:pStyle w:val="Normal125"/>
                              <w:rPr>
                                <w:rStyle w:val="DefaultParagraphFont"/>
                              </w:rPr>
                            </w:pPr>
                          </w:p>
                        </w:tc>
                      </w:tr>
                    </w:tbl>
                    <w:p w:rsidR="00B100FD" w:rsidRPr="0021478A" w:rsidP="00B100FD">
                      <w:pPr>
                        <w:pStyle w:val="Normal125"/>
                        <w:spacing w:line="14" w:lineRule="exact"/>
                        <w:ind w:left="72"/>
                        <w:rPr>
                          <w:rStyle w:val="DefaultParagraphFont"/>
                          <w:rFonts w:ascii="Calibri" w:hAnsi="Calibri"/>
                          <w:noProof/>
                          <w:sz w:val="20"/>
                          <w:szCs w:val="20"/>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top w:val="nil"/>
                      </w:tcBorders>
                      <w:shd w:val="clear" w:color="auto" w:fill="F7F7F7"/>
                    </w:tcPr>
                    <w:p w:rsidR="00B100FD" w:rsidRPr="0021478A" w:rsidP="00B100FD">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number of people benefiting from the reconstruction/rehabilitation and/or improvement of critical infrastructure, such as roads, bridges, water, sanitation, heath centers, schools, and/or public buildings.</w:t>
                      </w:r>
                    </w:p>
                  </w:tc>
                </w:tr>
              </w:tbl>
              <w:p w:rsidR="0064190D" w:rsidP="00B100FD">
                <w:pPr>
                  <w:pStyle w:val="Normal125"/>
                  <w:shd w:val="clear" w:color="auto" w:fill="F7F7F7"/>
                  <w:ind w:left="-25" w:right="-418"/>
                  <w:rPr>
                    <w:rStyle w:val="DefaultParagraphFont"/>
                    <w:rFonts w:ascii="Calibri" w:hAnsi="Calibri"/>
                    <w:b/>
                    <w:bCs/>
                    <w:color w:val="7F7F7F" w:themeTint="80"/>
                    <w:sz w:val="22"/>
                    <w:szCs w:val="22"/>
                  </w:rPr>
                </w:pPr>
              </w:p>
              <w:p w:rsidR="0064190D" w:rsidRPr="0064190D" w:rsidP="00B100FD">
                <w:pPr>
                  <w:pStyle w:val="Normal125"/>
                  <w:shd w:val="clear" w:color="auto" w:fill="F7F7F7"/>
                  <w:spacing w:line="14" w:lineRule="exact"/>
                  <w:rPr>
                    <w:rStyle w:val="DefaultParagraphFont"/>
                    <w:rFonts w:ascii="Calibri" w:hAnsi="Calibri"/>
                    <w:b/>
                    <w:bCs/>
                    <w:color w:val="7F7F7F" w:themeTint="80"/>
                    <w:sz w:val="22"/>
                    <w:szCs w:val="22"/>
                  </w:rPr>
                </w:pPr>
              </w:p>
              <w:p w:rsidR="0064190D" w:rsidRPr="001D0FBD" w:rsidP="00B100FD">
                <w:pPr>
                  <w:pStyle w:val="Normal125"/>
                  <w:shd w:val="clear" w:color="auto" w:fill="F7F7F7"/>
                  <w:spacing w:line="14" w:lineRule="exact"/>
                  <w:rPr>
                    <w:rStyle w:val="DefaultParagraphFont"/>
                    <w:rFonts w:ascii="Calibri" w:hAnsi="Calibri"/>
                    <w:b/>
                    <w:bCs/>
                    <w:color w:val="7F7F7F" w:themeTint="80"/>
                    <w:sz w:val="2"/>
                    <w:szCs w:val="2"/>
                  </w:rPr>
                </w:pPr>
              </w:p>
              <w:tbl>
                <w:tblPr>
                  <w:tblStyle w:val="TableGrid63"/>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700"/>
                  <w:gridCol w:w="720"/>
                  <w:gridCol w:w="1170"/>
                  <w:gridCol w:w="1260"/>
                  <w:gridCol w:w="1260"/>
                  <w:gridCol w:w="2250"/>
                  <w:gridCol w:w="2610"/>
                  <w:gridCol w:w="1980"/>
                </w:tblGrid>
                <w:tr w:rsidTr="00B95677">
                  <w:tblPrEx>
                    <w:tblW w:w="1395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70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Percentage of beneficiaries satisfied with project activities towards increased social cohesion</w:t>
                      </w:r>
                    </w:p>
                  </w:tc>
                  <w:tc>
                    <w:tcPr>
                      <w:tcW w:w="72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B100FD" w:rsidRPr="0021478A" w:rsidP="009A18E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42% to 60%</w:t>
                      </w:r>
                    </w:p>
                  </w:tc>
                  <w:tc>
                    <w:tcPr>
                      <w:tcW w:w="225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Twice: Mid-term </w:t>
                      </w:r>
                      <w:r w:rsidRPr="0021478A">
                        <w:rPr>
                          <w:rStyle w:val="DefaultParagraphFont"/>
                          <w:rFonts w:ascii="Calibri" w:hAnsi="Calibri"/>
                          <w:noProof/>
                          <w:sz w:val="20"/>
                          <w:szCs w:val="20"/>
                        </w:rPr>
                        <w:t>and End-of-project</w:t>
                      </w:r>
                    </w:p>
                    <w:p w:rsidR="00B100FD" w:rsidRPr="0021478A" w:rsidP="009A18EB">
                      <w:pPr>
                        <w:pStyle w:val="Normal125"/>
                        <w:spacing w:before="100" w:after="100"/>
                        <w:ind w:left="144" w:right="144"/>
                        <w:rPr>
                          <w:rStyle w:val="DefaultParagraphFont"/>
                          <w:rFonts w:ascii="Calibri" w:hAnsi="Calibri"/>
                          <w:bCs/>
                          <w:sz w:val="20"/>
                          <w:szCs w:val="20"/>
                        </w:rPr>
                      </w:pPr>
                    </w:p>
                  </w:tc>
                  <w:tc>
                    <w:tcPr>
                      <w:tcW w:w="261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sz w:val="20"/>
                          <w:szCs w:val="20"/>
                        </w:rPr>
                        <w:t>, Beneficiary Survey</w:t>
                      </w:r>
                    </w:p>
                    <w:p w:rsidR="00B100FD" w:rsidRPr="0021478A" w:rsidP="009A18E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B100FD" w:rsidRPr="0021478A" w:rsidP="009A18E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sz w:val="20"/>
                          <w:szCs w:val="20"/>
                        </w:rPr>
                        <w:t>M&amp;E support, Survey consultancy</w:t>
                      </w:r>
                    </w:p>
                    <w:p w:rsidR="00B100FD" w:rsidRPr="0021478A" w:rsidP="009A18EB">
                      <w:pPr>
                        <w:pStyle w:val="Normal125"/>
                        <w:spacing w:before="100" w:after="100"/>
                        <w:ind w:left="144" w:right="144"/>
                        <w:rPr>
                          <w:rStyle w:val="DefaultParagraphFont"/>
                          <w:rFonts w:ascii="Calibri" w:hAnsi="Calibri"/>
                          <w:bCs/>
                          <w:sz w:val="20"/>
                          <w:szCs w:val="20"/>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bottom w:val="nil"/>
                      </w:tcBorders>
                      <w:shd w:val="clear" w:color="auto" w:fill="F7F7F7"/>
                    </w:tcPr>
                    <w:p w:rsidR="00B100FD" w:rsidRPr="0021478A" w:rsidP="00B100FD">
                      <w:pPr>
                        <w:pStyle w:val="Normal125"/>
                        <w:spacing w:line="14" w:lineRule="exact"/>
                        <w:rPr>
                          <w:rStyle w:val="DefaultParagraphFont"/>
                          <w:rFonts w:ascii="Calibri" w:hAnsi="Calibri"/>
                          <w:noProof/>
                          <w:sz w:val="20"/>
                          <w:szCs w:val="20"/>
                        </w:rPr>
                      </w:pPr>
                    </w:p>
                    <w:tbl>
                      <w:tblPr>
                        <w:tblStyle w:val="TableGrid63"/>
                        <w:tblW w:w="142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90"/>
                        <w:gridCol w:w="720"/>
                        <w:gridCol w:w="1170"/>
                        <w:gridCol w:w="1260"/>
                        <w:gridCol w:w="1260"/>
                        <w:gridCol w:w="2255"/>
                        <w:gridCol w:w="2605"/>
                        <w:gridCol w:w="2255"/>
                      </w:tblGrid>
                      <w:tr w:rsidTr="00B95677">
                        <w:tblPrEx>
                          <w:tblW w:w="142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22"/>
                        </w:trPr>
                        <w:tc>
                          <w:tcPr>
                            <w:tcW w:w="2690" w:type="dxa"/>
                            <w:tcBorders>
                              <w:top w:val="nil"/>
                            </w:tcBorders>
                            <w:shd w:val="clear" w:color="auto" w:fill="F7F7F7"/>
                          </w:tcPr>
                          <w:p w:rsidR="00B100FD" w:rsidRPr="0021478A" w:rsidP="00B100FD">
                            <w:pPr>
                              <w:pStyle w:val="Normal125"/>
                              <w:spacing w:before="100" w:after="100"/>
                              <w:ind w:left="265" w:right="144"/>
                              <w:rPr>
                                <w:rStyle w:val="DefaultParagraphFont"/>
                                <w:rFonts w:ascii="Calibri" w:hAnsi="Calibri"/>
                                <w:b/>
                                <w:bCs/>
                                <w:color w:val="7F7F7F"/>
                                <w:sz w:val="20"/>
                                <w:szCs w:val="20"/>
                              </w:rPr>
                            </w:pPr>
                            <w:r w:rsidRPr="0021478A">
                              <w:rPr>
                                <w:rStyle w:val="DefaultParagraphFont"/>
                                <w:rFonts w:ascii="Calibri" w:hAnsi="Calibri"/>
                                <w:noProof/>
                                <w:sz w:val="20"/>
                                <w:szCs w:val="20"/>
                              </w:rPr>
                              <w:t>Percentage of female beneficiaries satisfied with project activities towards increased social cohesion</w:t>
                            </w:r>
                          </w:p>
                        </w:tc>
                        <w:tc>
                          <w:tcPr>
                            <w:tcW w:w="720" w:type="dxa"/>
                            <w:tcBorders>
                              <w:top w:val="nil"/>
                            </w:tcBorders>
                            <w:shd w:val="clear" w:color="auto" w:fill="F7F7F7"/>
                          </w:tcPr>
                          <w:p w:rsidR="00B100FD" w:rsidRPr="0021478A" w:rsidP="00B100FD">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nil"/>
                            </w:tcBorders>
                            <w:shd w:val="clear" w:color="auto" w:fill="F7F7F7"/>
                          </w:tcPr>
                          <w:p w:rsidR="00B100FD" w:rsidRPr="0021478A" w:rsidP="00B100FD">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42% to 60%</w:t>
                            </w:r>
                          </w:p>
                        </w:tc>
                        <w:tc>
                          <w:tcPr>
                            <w:tcW w:w="2255"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Twice: Mid-term </w:t>
                            </w:r>
                            <w:r w:rsidRPr="0021478A">
                              <w:rPr>
                                <w:rStyle w:val="DefaultParagraphFont"/>
                                <w:rFonts w:ascii="Calibri" w:hAnsi="Calibri"/>
                                <w:noProof/>
                                <w:sz w:val="20"/>
                                <w:szCs w:val="20"/>
                              </w:rPr>
                              <w:t>and End-of-project</w:t>
                            </w:r>
                          </w:p>
                          <w:p w:rsidR="00B100FD" w:rsidRPr="0021478A" w:rsidP="00B100FD">
                            <w:pPr>
                              <w:pStyle w:val="Normal125"/>
                              <w:spacing w:before="100" w:after="100"/>
                              <w:ind w:left="144" w:right="144"/>
                              <w:rPr>
                                <w:rStyle w:val="DefaultParagraphFont"/>
                                <w:rFonts w:ascii="Calibri" w:hAnsi="Calibri"/>
                                <w:bCs/>
                                <w:sz w:val="20"/>
                                <w:szCs w:val="20"/>
                              </w:rPr>
                            </w:pPr>
                          </w:p>
                        </w:tc>
                        <w:tc>
                          <w:tcPr>
                            <w:tcW w:w="2605"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sz w:val="20"/>
                                <w:szCs w:val="20"/>
                              </w:rPr>
                              <w:t>, Beneficiary Survey</w:t>
                            </w:r>
                          </w:p>
                          <w:p w:rsidR="00B100FD" w:rsidRPr="0021478A" w:rsidP="00B100FD">
                            <w:pPr>
                              <w:pStyle w:val="Normal125"/>
                              <w:spacing w:before="100" w:after="100"/>
                              <w:ind w:left="144" w:right="144"/>
                              <w:rPr>
                                <w:rStyle w:val="DefaultParagraphFont"/>
                                <w:rFonts w:ascii="Calibri" w:hAnsi="Calibri"/>
                                <w:bCs/>
                                <w:sz w:val="20"/>
                                <w:szCs w:val="20"/>
                              </w:rPr>
                            </w:pPr>
                          </w:p>
                        </w:tc>
                        <w:tc>
                          <w:tcPr>
                            <w:tcW w:w="2255" w:type="dxa"/>
                            <w:tcBorders>
                              <w:top w:val="nil"/>
                            </w:tcBorders>
                            <w:shd w:val="clear" w:color="auto" w:fill="F7F7F7"/>
                          </w:tcPr>
                          <w:p w:rsidR="00B100FD" w:rsidRPr="0021478A" w:rsidP="00B100FD">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sz w:val="20"/>
                                <w:szCs w:val="20"/>
                              </w:rPr>
                              <w:t>M&amp;E support, Survey consultancy</w:t>
                            </w:r>
                          </w:p>
                          <w:p w:rsidR="00B100FD" w:rsidRPr="0021478A" w:rsidP="00B100FD">
                            <w:pPr>
                              <w:pStyle w:val="Normal125"/>
                              <w:spacing w:before="100" w:after="100"/>
                              <w:ind w:left="144" w:right="144"/>
                              <w:rPr>
                                <w:rStyle w:val="DefaultParagraphFont"/>
                                <w:rFonts w:ascii="Calibri" w:hAnsi="Calibri"/>
                                <w:bCs/>
                                <w:sz w:val="20"/>
                                <w:szCs w:val="20"/>
                              </w:rPr>
                            </w:pPr>
                          </w:p>
                        </w:tc>
                      </w:tr>
                      <w:tr w:rsidTr="004D067E">
                        <w:tblPrEx>
                          <w:tblW w:w="14215" w:type="dxa"/>
                          <w:shd w:val="clear" w:color="auto" w:fill="F7F7F7"/>
                          <w:tblLayout w:type="fixed"/>
                          <w:tblCellMar>
                            <w:left w:w="0" w:type="dxa"/>
                            <w:right w:w="0" w:type="dxa"/>
                          </w:tblCellMar>
                          <w:tblLook w:val="04A0"/>
                        </w:tblPrEx>
                        <w:trPr>
                          <w:trHeight w:val="222"/>
                        </w:trPr>
                        <w:tc>
                          <w:tcPr>
                            <w:tcW w:w="14215" w:type="dxa"/>
                            <w:gridSpan w:val="8"/>
                            <w:tcBorders>
                              <w:bottom w:val="nil"/>
                            </w:tcBorders>
                            <w:shd w:val="clear" w:color="auto" w:fill="F7F7F7"/>
                          </w:tcPr>
                          <w:p>
                            <w:pPr>
                              <w:pStyle w:val="Normal125"/>
                              <w:rPr>
                                <w:rStyle w:val="DefaultParagraphFont"/>
                              </w:rPr>
                            </w:pPr>
                          </w:p>
                        </w:tc>
                      </w:tr>
                    </w:tbl>
                    <w:p w:rsidR="00B100FD" w:rsidRPr="0021478A" w:rsidP="00B100FD">
                      <w:pPr>
                        <w:pStyle w:val="Normal125"/>
                        <w:spacing w:line="14" w:lineRule="exact"/>
                        <w:ind w:left="72"/>
                        <w:rPr>
                          <w:rStyle w:val="DefaultParagraphFont"/>
                          <w:rFonts w:ascii="Calibri" w:hAnsi="Calibri"/>
                          <w:noProof/>
                          <w:sz w:val="20"/>
                          <w:szCs w:val="20"/>
                        </w:rPr>
                      </w:pPr>
                    </w:p>
                  </w:tc>
                </w:tr>
                <w:tr w:rsidTr="00206B3E">
                  <w:tblPrEx>
                    <w:tblW w:w="13950" w:type="dxa"/>
                    <w:tblInd w:w="85" w:type="dxa"/>
                    <w:shd w:val="clear" w:color="auto" w:fill="F7F7F7"/>
                    <w:tblLayout w:type="fixed"/>
                    <w:tblCellMar>
                      <w:left w:w="0" w:type="dxa"/>
                      <w:right w:w="0" w:type="dxa"/>
                    </w:tblCellMar>
                    <w:tblLook w:val="04A0"/>
                  </w:tblPrEx>
                  <w:trPr>
                    <w:trHeight w:val="288"/>
                  </w:trPr>
                  <w:tc>
                    <w:tcPr>
                      <w:tcW w:w="13950" w:type="dxa"/>
                      <w:gridSpan w:val="8"/>
                      <w:tcBorders>
                        <w:top w:val="nil"/>
                      </w:tcBorders>
                      <w:shd w:val="clear" w:color="auto" w:fill="F7F7F7"/>
                    </w:tcPr>
                    <w:p w:rsidR="00B100FD" w:rsidRPr="0021478A" w:rsidP="00B100FD">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achievements of various project activities towards increased social cohesion, including increased trust amongst communities and between different population groups. Such activities include, but are not limited to, financing social cohesion initiatives, setup of peace groups, provision of community-based psychosocial support, and the strengthening of existing community mobilization and engagement mechanisms.</w:t>
                      </w:r>
                    </w:p>
                  </w:tc>
                </w:tr>
              </w:tbl>
              <w:p w:rsidR="0064190D" w:rsidP="00B100FD">
                <w:pPr>
                  <w:pStyle w:val="Normal125"/>
                  <w:shd w:val="clear" w:color="auto" w:fill="F7F7F7"/>
                  <w:ind w:left="-25" w:right="-418"/>
                  <w:rPr>
                    <w:rStyle w:val="DefaultParagraphFont"/>
                    <w:rFonts w:ascii="Calibri" w:hAnsi="Calibri"/>
                    <w:b/>
                    <w:bCs/>
                    <w:color w:val="7F7F7F" w:themeTint="80"/>
                    <w:sz w:val="22"/>
                    <w:szCs w:val="22"/>
                  </w:rPr>
                </w:pPr>
              </w:p>
              <w:p w:rsidR="0064190D" w:rsidRPr="0064190D" w:rsidP="00B100FD">
                <w:pPr>
                  <w:pStyle w:val="Normal125"/>
                  <w:shd w:val="clear" w:color="auto" w:fill="F7F7F7"/>
                  <w:spacing w:line="14" w:lineRule="exact"/>
                  <w:rPr>
                    <w:rStyle w:val="DefaultParagraphFont"/>
                    <w:rFonts w:ascii="Calibri" w:hAnsi="Calibri"/>
                    <w:b/>
                    <w:bCs/>
                    <w:color w:val="7F7F7F" w:themeTint="80"/>
                    <w:sz w:val="22"/>
                    <w:szCs w:val="22"/>
                  </w:rPr>
                </w:pPr>
              </w:p>
            </w:tc>
          </w:tr>
        </w:tbl>
        <w:p w:rsidR="00735935" w:rsidRPr="00735935" w:rsidP="00735935">
          <w:pPr>
            <w:pStyle w:val="Normal125"/>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735935">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60"/>
            </w:trPr>
            <w:tc>
              <w:tcPr>
                <w:tcW w:w="14130" w:type="dxa"/>
                <w:shd w:val="clear" w:color="auto" w:fill="F7F7F7"/>
              </w:tcPr>
              <w:p w:rsidR="003615CB" w:rsidRPr="00B97A95" w:rsidP="00222B3C">
                <w:pPr>
                  <w:pStyle w:val="Normal125"/>
                  <w:keepNext/>
                  <w:rPr>
                    <w:rStyle w:val="DefaultParagraphFont"/>
                    <w:rFonts w:ascii="Calibri" w:hAnsi="Calibri"/>
                    <w:sz w:val="22"/>
                  </w:rPr>
                </w:pPr>
                <w:r w:rsidRPr="00B97A95">
                  <w:rPr>
                    <w:rStyle w:val="DefaultParagraphFont"/>
                    <w:rFonts w:ascii="Calibri" w:hAnsi="Calibri"/>
                    <w:b/>
                    <w:bCs/>
                    <w:color w:val="172D5F"/>
                    <w:sz w:val="22"/>
                  </w:rPr>
                  <w:t>Intermediate Results Indicators</w:t>
                </w:r>
              </w:p>
            </w:tc>
          </w:tr>
        </w:tbl>
        <w:p w:rsidR="0098111F" w:rsidRPr="00735935" w:rsidP="00222B3C">
          <w:pPr>
            <w:pStyle w:val="Normal125"/>
            <w:keepNext/>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tblPr>
          <w:tblGrid>
            <w:gridCol w:w="14130"/>
          </w:tblGrid>
          <w:tr w:rsidTr="00BF55BA">
            <w:tblPrEx>
              <w:tblW w:w="1413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tblPrEx>
            <w:trPr>
              <w:trHeight w:val="405"/>
              <w:tblHeader/>
            </w:trPr>
            <w:tc>
              <w:tcPr>
                <w:tcW w:w="14130" w:type="dxa"/>
                <w:tcBorders>
                  <w:top w:val="nil"/>
                  <w:left w:val="nil"/>
                  <w:bottom w:val="nil"/>
                  <w:right w:val="nil"/>
                </w:tcBorders>
                <w:shd w:val="clear" w:color="auto" w:fill="F7F7F7"/>
                <w:vAlign w:val="center"/>
              </w:tcPr>
              <w:tbl>
                <w:tblPr>
                  <w:tblStyle w:val="TableGrid63"/>
                  <w:tblW w:w="139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bottom w:w="72" w:type="dxa"/>
                    <w:right w:w="115" w:type="dxa"/>
                  </w:tblCellMar>
                  <w:tblLook w:val="04A0"/>
                </w:tblPr>
                <w:tblGrid>
                  <w:gridCol w:w="2670"/>
                  <w:gridCol w:w="720"/>
                  <w:gridCol w:w="1170"/>
                  <w:gridCol w:w="1260"/>
                  <w:gridCol w:w="1260"/>
                  <w:gridCol w:w="2245"/>
                  <w:gridCol w:w="2617"/>
                  <w:gridCol w:w="1978"/>
                </w:tblGrid>
                <w:tr w:rsidTr="00B95677">
                  <w:tblPrEx>
                    <w:tblW w:w="139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bottom w:w="72" w:type="dxa"/>
                      <w:right w:w="115" w:type="dxa"/>
                    </w:tblCellMar>
                    <w:tblLook w:val="04A0"/>
                  </w:tblPrEx>
                  <w:trPr>
                    <w:trHeight w:val="405"/>
                    <w:tblHeader/>
                  </w:trPr>
                  <w:tc>
                    <w:tcPr>
                      <w:tcW w:w="2670" w:type="dxa"/>
                      <w:shd w:val="clear" w:color="auto" w:fill="F7F7F7"/>
                      <w:vAlign w:val="center"/>
                    </w:tcPr>
                    <w:p w:rsidR="00B738A1" w:rsidRPr="000C0455" w:rsidP="00B738A1">
                      <w:pPr>
                        <w:pStyle w:val="Normal125"/>
                        <w:spacing w:before="60" w:after="60"/>
                        <w:rPr>
                          <w:rStyle w:val="DefaultParagraphFont"/>
                          <w:rFonts w:ascii="Calibri" w:eastAsia="Times New Roman" w:hAnsi="Calibri"/>
                          <w:b/>
                          <w:color w:val="404040"/>
                          <w:sz w:val="22"/>
                          <w:szCs w:val="22"/>
                        </w:rPr>
                      </w:pPr>
                      <w:r>
                        <w:rPr>
                          <w:rStyle w:val="DefaultParagraphFont"/>
                          <w:rFonts w:ascii="Calibri" w:hAnsi="Calibri"/>
                          <w:b/>
                          <w:bCs/>
                          <w:color w:val="404040"/>
                          <w:sz w:val="22"/>
                          <w:szCs w:val="20"/>
                        </w:rPr>
                        <w:t>Indicator Name</w:t>
                      </w:r>
                    </w:p>
                  </w:tc>
                  <w:tc>
                    <w:tcPr>
                      <w:tcW w:w="720" w:type="dxa"/>
                      <w:shd w:val="clear" w:color="auto" w:fill="F7F7F7"/>
                      <w:vAlign w:val="center"/>
                    </w:tcPr>
                    <w:p w:rsidR="00B738A1" w:rsidRPr="000C0455" w:rsidP="00B738A1">
                      <w:pPr>
                        <w:pStyle w:val="Normal125"/>
                        <w:spacing w:before="60" w:after="60"/>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Core</w:t>
                      </w:r>
                    </w:p>
                  </w:tc>
                  <w:tc>
                    <w:tcPr>
                      <w:tcW w:w="1170" w:type="dxa"/>
                      <w:shd w:val="clear" w:color="auto" w:fill="F7F7F7"/>
                      <w:vAlign w:val="center"/>
                    </w:tcPr>
                    <w:p w:rsidR="00B738A1" w:rsidRPr="000C0455" w:rsidP="00B738A1">
                      <w:pPr>
                        <w:pStyle w:val="Normal125"/>
                        <w:spacing w:before="60" w:after="60"/>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Unit of Measure</w:t>
                      </w:r>
                    </w:p>
                  </w:tc>
                  <w:tc>
                    <w:tcPr>
                      <w:tcW w:w="1260" w:type="dxa"/>
                      <w:shd w:val="clear" w:color="auto" w:fill="F7F7F7"/>
                      <w:vAlign w:val="center"/>
                    </w:tcPr>
                    <w:p w:rsidR="00B738A1" w:rsidRPr="000C0455" w:rsidP="00B738A1">
                      <w:pPr>
                        <w:pStyle w:val="Normal125"/>
                        <w:spacing w:before="60" w:after="60"/>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Baseline</w:t>
                      </w:r>
                    </w:p>
                  </w:tc>
                  <w:tc>
                    <w:tcPr>
                      <w:tcW w:w="1260" w:type="dxa"/>
                      <w:shd w:val="clear" w:color="auto" w:fill="F7F7F7"/>
                      <w:vAlign w:val="center"/>
                    </w:tcPr>
                    <w:p w:rsidR="00B738A1" w:rsidRPr="000C0455" w:rsidP="00B738A1">
                      <w:pPr>
                        <w:pStyle w:val="Normal125"/>
                        <w:spacing w:before="60" w:after="60"/>
                        <w:rPr>
                          <w:rStyle w:val="DefaultParagraphFont"/>
                          <w:rFonts w:ascii="Calibri" w:eastAsia="Times New Roman" w:hAnsi="Calibri"/>
                          <w:b/>
                          <w:color w:val="404040"/>
                          <w:sz w:val="22"/>
                          <w:szCs w:val="22"/>
                        </w:rPr>
                      </w:pPr>
                      <w:r>
                        <w:rPr>
                          <w:rStyle w:val="DefaultParagraphFont"/>
                          <w:rFonts w:ascii="Calibri" w:eastAsia="Times New Roman" w:hAnsi="Calibri"/>
                          <w:b/>
                          <w:color w:val="404040"/>
                          <w:sz w:val="22"/>
                          <w:szCs w:val="22"/>
                        </w:rPr>
                        <w:t>End Target</w:t>
                      </w:r>
                    </w:p>
                  </w:tc>
                  <w:tc>
                    <w:tcPr>
                      <w:tcW w:w="2245" w:type="dxa"/>
                      <w:shd w:val="clear" w:color="auto" w:fill="F7F7F7"/>
                      <w:vAlign w:val="center"/>
                    </w:tcPr>
                    <w:p w:rsidR="00B738A1" w:rsidRPr="000C0455" w:rsidP="00B738A1">
                      <w:pPr>
                        <w:pStyle w:val="Normal125"/>
                        <w:spacing w:before="60" w:after="60"/>
                        <w:rPr>
                          <w:rStyle w:val="DefaultParagraphFont"/>
                          <w:rFonts w:ascii="Calibri" w:eastAsia="Times New Roman" w:hAnsi="Calibri"/>
                          <w:b/>
                          <w:color w:val="404040"/>
                          <w:sz w:val="22"/>
                          <w:szCs w:val="22"/>
                        </w:rPr>
                      </w:pPr>
                      <w:r w:rsidRPr="000C0455">
                        <w:rPr>
                          <w:rStyle w:val="DefaultParagraphFont"/>
                          <w:rFonts w:ascii="Calibri" w:eastAsia="Times New Roman" w:hAnsi="Calibri"/>
                          <w:b/>
                          <w:color w:val="404040"/>
                          <w:sz w:val="22"/>
                          <w:szCs w:val="22"/>
                        </w:rPr>
                        <w:t>Frequency</w:t>
                      </w:r>
                    </w:p>
                  </w:tc>
                  <w:tc>
                    <w:tcPr>
                      <w:tcW w:w="2617" w:type="dxa"/>
                      <w:shd w:val="clear" w:color="auto" w:fill="F7F7F7"/>
                      <w:vAlign w:val="center"/>
                    </w:tcPr>
                    <w:p w:rsidR="00B738A1" w:rsidRPr="000C0455" w:rsidP="00B95677">
                      <w:pPr>
                        <w:pStyle w:val="Normal125"/>
                        <w:spacing w:before="60" w:after="60"/>
                        <w:ind w:right="-105"/>
                        <w:rPr>
                          <w:rStyle w:val="DefaultParagraphFont"/>
                          <w:rFonts w:ascii="Calibri" w:eastAsia="Times New Roman" w:hAnsi="Calibri"/>
                          <w:b/>
                          <w:color w:val="404040"/>
                          <w:sz w:val="22"/>
                          <w:szCs w:val="22"/>
                        </w:rPr>
                      </w:pPr>
                      <w:r w:rsidRPr="000C0455">
                        <w:rPr>
                          <w:rStyle w:val="DefaultParagraphFont"/>
                          <w:rFonts w:ascii="Calibri" w:eastAsia="Times New Roman" w:hAnsi="Calibri"/>
                          <w:b/>
                          <w:color w:val="404040"/>
                          <w:sz w:val="22"/>
                          <w:szCs w:val="22"/>
                        </w:rPr>
                        <w:t>Data Source</w:t>
                      </w:r>
                      <w:r w:rsidR="00B95677">
                        <w:rPr>
                          <w:rStyle w:val="DefaultParagraphFont"/>
                          <w:rFonts w:ascii="Calibri" w:eastAsia="Times New Roman" w:hAnsi="Calibri"/>
                          <w:b/>
                          <w:color w:val="404040"/>
                          <w:sz w:val="22"/>
                          <w:szCs w:val="22"/>
                        </w:rPr>
                        <w:t>/</w:t>
                      </w:r>
                      <w:r w:rsidRPr="000C0455">
                        <w:rPr>
                          <w:rStyle w:val="DefaultParagraphFont"/>
                          <w:rFonts w:ascii="Calibri" w:eastAsia="Times New Roman" w:hAnsi="Calibri"/>
                          <w:b/>
                          <w:color w:val="404040"/>
                          <w:sz w:val="22"/>
                          <w:szCs w:val="22"/>
                        </w:rPr>
                        <w:t>Methodology</w:t>
                      </w:r>
                    </w:p>
                  </w:tc>
                  <w:tc>
                    <w:tcPr>
                      <w:tcW w:w="1978" w:type="dxa"/>
                      <w:shd w:val="clear" w:color="auto" w:fill="F7F7F7"/>
                      <w:vAlign w:val="center"/>
                    </w:tcPr>
                    <w:p w:rsidR="00B738A1" w:rsidRPr="000C0455" w:rsidP="00B738A1">
                      <w:pPr>
                        <w:pStyle w:val="Normal125"/>
                        <w:spacing w:before="60" w:after="60"/>
                        <w:rPr>
                          <w:rStyle w:val="DefaultParagraphFont"/>
                          <w:rFonts w:ascii="Calibri" w:eastAsia="Times New Roman" w:hAnsi="Calibri"/>
                          <w:b/>
                          <w:color w:val="404040"/>
                          <w:sz w:val="22"/>
                          <w:szCs w:val="22"/>
                        </w:rPr>
                      </w:pPr>
                      <w:r w:rsidRPr="000C0455">
                        <w:rPr>
                          <w:rStyle w:val="DefaultParagraphFont"/>
                          <w:rFonts w:ascii="Calibri" w:eastAsia="Times New Roman" w:hAnsi="Calibri"/>
                          <w:b/>
                          <w:color w:val="404040"/>
                          <w:sz w:val="22"/>
                          <w:szCs w:val="22"/>
                        </w:rPr>
                        <w:t>Responsibility for Data Collection</w:t>
                      </w:r>
                    </w:p>
                  </w:tc>
                </w:tr>
              </w:tbl>
              <w:p w:rsidR="00B738A1" w:rsidRPr="00735935" w:rsidP="00B738A1">
                <w:pPr>
                  <w:pStyle w:val="Normal125"/>
                  <w:shd w:val="clear" w:color="auto" w:fill="F7F7F7"/>
                  <w:ind w:left="-115" w:right="-418"/>
                  <w:rPr>
                    <w:rStyle w:val="DefaultParagraphFont"/>
                    <w:rFonts w:ascii="Calibri" w:hAnsi="Calibri"/>
                    <w:b/>
                    <w:bCs/>
                    <w:color w:val="7F7F7F" w:themeTint="80"/>
                    <w:sz w:val="22"/>
                    <w:szCs w:val="22"/>
                  </w:rPr>
                </w:pPr>
              </w:p>
            </w:tc>
          </w:tr>
          <w:tr w:rsidTr="00B738A1">
            <w:tblPrEx>
              <w:tblW w:w="14130" w:type="dxa"/>
              <w:tblInd w:w="-720" w:type="dxa"/>
              <w:shd w:val="clear" w:color="auto" w:fill="F7F7F7"/>
              <w:tblLayout w:type="fixed"/>
              <w:tblCellMar>
                <w:left w:w="115" w:type="dxa"/>
                <w:right w:w="115" w:type="dxa"/>
              </w:tblCellMar>
              <w:tblLook w:val="04A0"/>
            </w:tblPrEx>
            <w:trPr>
              <w:trHeight w:val="405"/>
            </w:trPr>
            <w:tc>
              <w:tcPr>
                <w:tcW w:w="14130" w:type="dxa"/>
                <w:tcBorders>
                  <w:top w:val="nil"/>
                  <w:left w:val="nil"/>
                  <w:bottom w:val="nil"/>
                  <w:right w:val="nil"/>
                </w:tcBorders>
                <w:shd w:val="clear" w:color="auto" w:fill="F7F7F7"/>
                <w:vAlign w:val="center"/>
              </w:tcPr>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affected households that have received packages of life support and/or basic necessity assistance from the project</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21000 ~ 30000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 Humanitarian agencies reporting systems</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total number of affected households that have received life support and/or basic necessity assistance from the project. Such assistance includes provision of kitchen sets, mosquito nets, plastic mats, blankets, as well as hygiene kits and other essential basic life needs.</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forcibly displaced people and host community members who have received support to re-engage in productive activities</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21000 ~ 30000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 Humanitarian agencies reporting systems</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rsidR="00EE7FCB" w:rsidRPr="00BF55BA" w:rsidP="00956D49">
                      <w:pPr>
                        <w:pStyle w:val="Normal125"/>
                        <w:spacing w:line="14" w:lineRule="exact"/>
                        <w:rPr>
                          <w:rStyle w:val="DefaultParagraphFont"/>
                          <w:rFonts w:ascii="Calibri" w:hAnsi="Calibri"/>
                          <w:noProof/>
                          <w:sz w:val="2"/>
                          <w:szCs w:val="2"/>
                        </w:rPr>
                      </w:pPr>
                    </w:p>
                    <w:tbl>
                      <w:tblPr>
                        <w:tblStyle w:val="TableGrid63"/>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65"/>
                        <w:gridCol w:w="720"/>
                        <w:gridCol w:w="1170"/>
                        <w:gridCol w:w="1260"/>
                        <w:gridCol w:w="1260"/>
                        <w:gridCol w:w="2235"/>
                        <w:gridCol w:w="2625"/>
                        <w:gridCol w:w="2075"/>
                      </w:tblGrid>
                      <w:tr w:rsidTr="00B95677">
                        <w:tblPrEx>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24"/>
                        </w:trPr>
                        <w:tc>
                          <w:tcPr>
                            <w:tcW w:w="2665" w:type="dxa"/>
                            <w:shd w:val="clear" w:color="auto" w:fill="F7F7F7"/>
                          </w:tcPr>
                          <w:p w:rsidR="00EE7FCB" w:rsidRPr="0021478A" w:rsidP="00EE7FCB">
                            <w:pPr>
                              <w:pStyle w:val="Normal125"/>
                              <w:spacing w:before="100" w:after="100"/>
                              <w:ind w:left="265" w:right="144"/>
                              <w:rPr>
                                <w:rStyle w:val="DefaultParagraphFont"/>
                                <w:rFonts w:ascii="Calibri" w:hAnsi="Calibri"/>
                                <w:b/>
                                <w:bCs/>
                                <w:color w:val="7F7F7F"/>
                                <w:sz w:val="20"/>
                                <w:szCs w:val="20"/>
                              </w:rPr>
                            </w:pPr>
                            <w:r w:rsidRPr="0021478A">
                              <w:rPr>
                                <w:rStyle w:val="DefaultParagraphFont"/>
                                <w:rFonts w:ascii="Calibri" w:hAnsi="Calibri"/>
                                <w:noProof/>
                                <w:sz w:val="20"/>
                                <w:szCs w:val="20"/>
                              </w:rPr>
                              <w:t>Percentage of female beneficiaries in forcibly displaced people and host community members who have received support to re-engage in productive activities</w:t>
                            </w:r>
                          </w:p>
                        </w:tc>
                        <w:tc>
                          <w:tcPr>
                            <w:tcW w:w="720" w:type="dxa"/>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50%</w:t>
                            </w:r>
                          </w:p>
                        </w:tc>
                        <w:tc>
                          <w:tcPr>
                            <w:tcW w:w="2235" w:type="dxa"/>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25" w:type="dxa"/>
                            <w:shd w:val="clear" w:color="auto" w:fill="F7F7F7"/>
                          </w:tcPr>
                          <w:p w:rsidR="00EE7FCB"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noProof/>
                                <w:sz w:val="20"/>
                                <w:szCs w:val="20"/>
                              </w:rPr>
                            </w:pPr>
                          </w:p>
                        </w:tc>
                        <w:tc>
                          <w:tcPr>
                            <w:tcW w:w="2075" w:type="dxa"/>
                            <w:shd w:val="clear" w:color="auto" w:fill="F7F7F7"/>
                          </w:tcPr>
                          <w:p w:rsidR="00EE7FCB"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 Humanitarian agencies reporting systems</w:t>
                            </w:r>
                          </w:p>
                          <w:p w:rsidR="00EE7FCB" w:rsidRPr="0021478A" w:rsidP="00EE7FCB">
                            <w:pPr>
                              <w:pStyle w:val="Normal125"/>
                              <w:spacing w:before="100" w:after="100"/>
                              <w:ind w:left="144" w:right="144"/>
                              <w:rPr>
                                <w:rStyle w:val="DefaultParagraphFont"/>
                                <w:rFonts w:ascii="Calibri" w:hAnsi="Calibri"/>
                                <w:noProof/>
                                <w:sz w:val="20"/>
                                <w:szCs w:val="20"/>
                              </w:rPr>
                            </w:pPr>
                          </w:p>
                        </w:tc>
                      </w:tr>
                      <w:tr w:rsidTr="00956D49">
                        <w:tblPrEx>
                          <w:tblW w:w="14010" w:type="dxa"/>
                          <w:shd w:val="clear" w:color="auto" w:fill="F7F7F7"/>
                          <w:tblLayout w:type="fixed"/>
                          <w:tblCellMar>
                            <w:left w:w="0" w:type="dxa"/>
                            <w:right w:w="0" w:type="dxa"/>
                          </w:tblCellMar>
                          <w:tblLook w:val="04A0"/>
                        </w:tblPrEx>
                        <w:trPr>
                          <w:trHeight w:val="224"/>
                        </w:trPr>
                        <w:tc>
                          <w:tcPr>
                            <w:tcW w:w="14010" w:type="dxa"/>
                            <w:gridSpan w:val="8"/>
                            <w:shd w:val="clear" w:color="auto" w:fill="F7F7F7"/>
                          </w:tcPr>
                          <w:p>
                            <w:pPr>
                              <w:pStyle w:val="Normal125"/>
                              <w:rPr>
                                <w:rStyle w:val="DefaultParagraphFont"/>
                              </w:rPr>
                            </w:pPr>
                          </w:p>
                        </w:tc>
                      </w:tr>
                    </w:tbl>
                    <w:p w:rsidR="00EE7FCB" w:rsidRPr="00BF55BA" w:rsidP="006E3DC6">
                      <w:pPr>
                        <w:pStyle w:val="Normal125"/>
                        <w:spacing w:line="14" w:lineRule="exact"/>
                        <w:ind w:left="72"/>
                        <w:rPr>
                          <w:rStyle w:val="DefaultParagraphFont"/>
                          <w:rFonts w:ascii="Calibri" w:hAnsi="Calibri"/>
                          <w:noProof/>
                          <w:sz w:val="2"/>
                          <w:szCs w:val="2"/>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number of IDP beneficiaries who receive support from the project to regain/maintain self-reliance through restoring productive activities or other necessary means of production.</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people who have participated in social cohesion initiatives launched or strengthened through project financing</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21000 ~ 30000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number of people who actively participate in the various social cohesion initiatives funded by the project, such as basic skill training for youth, sports for peace activities, cultural activities for promoting common identities, etc.</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people who have participated in peace groups created through the project</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21000 ~ 30000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rsidR="00EE7FCB" w:rsidRPr="00BF55BA" w:rsidP="00956D49">
                      <w:pPr>
                        <w:pStyle w:val="Normal125"/>
                        <w:spacing w:line="14" w:lineRule="exact"/>
                        <w:rPr>
                          <w:rStyle w:val="DefaultParagraphFont"/>
                          <w:rFonts w:ascii="Calibri" w:hAnsi="Calibri"/>
                          <w:noProof/>
                          <w:sz w:val="2"/>
                          <w:szCs w:val="2"/>
                        </w:rPr>
                      </w:pPr>
                    </w:p>
                    <w:tbl>
                      <w:tblPr>
                        <w:tblStyle w:val="TableGrid63"/>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65"/>
                        <w:gridCol w:w="720"/>
                        <w:gridCol w:w="1170"/>
                        <w:gridCol w:w="1260"/>
                        <w:gridCol w:w="1260"/>
                        <w:gridCol w:w="2235"/>
                        <w:gridCol w:w="2625"/>
                        <w:gridCol w:w="2075"/>
                      </w:tblGrid>
                      <w:tr w:rsidTr="00B95677">
                        <w:tblPrEx>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24"/>
                        </w:trPr>
                        <w:tc>
                          <w:tcPr>
                            <w:tcW w:w="2665" w:type="dxa"/>
                            <w:shd w:val="clear" w:color="auto" w:fill="F7F7F7"/>
                          </w:tcPr>
                          <w:p w:rsidR="00EE7FCB" w:rsidRPr="0021478A" w:rsidP="00EE7FCB">
                            <w:pPr>
                              <w:pStyle w:val="Normal125"/>
                              <w:spacing w:before="100" w:after="100"/>
                              <w:ind w:left="265" w:right="144"/>
                              <w:rPr>
                                <w:rStyle w:val="DefaultParagraphFont"/>
                                <w:rFonts w:ascii="Calibri" w:hAnsi="Calibri"/>
                                <w:b/>
                                <w:bCs/>
                                <w:color w:val="7F7F7F"/>
                                <w:sz w:val="20"/>
                                <w:szCs w:val="20"/>
                              </w:rPr>
                            </w:pPr>
                            <w:r w:rsidRPr="0021478A">
                              <w:rPr>
                                <w:rStyle w:val="DefaultParagraphFont"/>
                                <w:rFonts w:ascii="Calibri" w:hAnsi="Calibri"/>
                                <w:noProof/>
                                <w:sz w:val="20"/>
                                <w:szCs w:val="20"/>
                              </w:rPr>
                              <w:t>Percentage of vulnerable population (including women and forcbly displaced persons) among the participants of peace groups created through the project</w:t>
                            </w:r>
                          </w:p>
                        </w:tc>
                        <w:tc>
                          <w:tcPr>
                            <w:tcW w:w="720" w:type="dxa"/>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30%</w:t>
                            </w:r>
                          </w:p>
                        </w:tc>
                        <w:tc>
                          <w:tcPr>
                            <w:tcW w:w="2235" w:type="dxa"/>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25" w:type="dxa"/>
                            <w:shd w:val="clear" w:color="auto" w:fill="F7F7F7"/>
                          </w:tcPr>
                          <w:p w:rsidR="00EE7FCB"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noProof/>
                                <w:sz w:val="20"/>
                                <w:szCs w:val="20"/>
                              </w:rPr>
                            </w:pPr>
                          </w:p>
                        </w:tc>
                        <w:tc>
                          <w:tcPr>
                            <w:tcW w:w="2075" w:type="dxa"/>
                            <w:shd w:val="clear" w:color="auto" w:fill="F7F7F7"/>
                          </w:tcPr>
                          <w:p w:rsidR="00EE7FCB"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noProof/>
                                <w:sz w:val="20"/>
                                <w:szCs w:val="20"/>
                              </w:rPr>
                            </w:pPr>
                          </w:p>
                        </w:tc>
                      </w:tr>
                      <w:tr w:rsidTr="00956D49">
                        <w:tblPrEx>
                          <w:tblW w:w="14010" w:type="dxa"/>
                          <w:shd w:val="clear" w:color="auto" w:fill="F7F7F7"/>
                          <w:tblLayout w:type="fixed"/>
                          <w:tblCellMar>
                            <w:left w:w="0" w:type="dxa"/>
                            <w:right w:w="0" w:type="dxa"/>
                          </w:tblCellMar>
                          <w:tblLook w:val="04A0"/>
                        </w:tblPrEx>
                        <w:trPr>
                          <w:trHeight w:val="224"/>
                        </w:trPr>
                        <w:tc>
                          <w:tcPr>
                            <w:tcW w:w="14010" w:type="dxa"/>
                            <w:gridSpan w:val="8"/>
                            <w:shd w:val="clear" w:color="auto" w:fill="F7F7F7"/>
                          </w:tcPr>
                          <w:p>
                            <w:pPr>
                              <w:pStyle w:val="Normal125"/>
                              <w:rPr>
                                <w:rStyle w:val="DefaultParagraphFont"/>
                              </w:rPr>
                            </w:pPr>
                          </w:p>
                        </w:tc>
                      </w:tr>
                    </w:tbl>
                    <w:p w:rsidR="00EE7FCB" w:rsidRPr="00BF55BA" w:rsidP="006E3DC6">
                      <w:pPr>
                        <w:pStyle w:val="Normal125"/>
                        <w:spacing w:line="14" w:lineRule="exact"/>
                        <w:ind w:left="72"/>
                        <w:rPr>
                          <w:rStyle w:val="DefaultParagraphFont"/>
                          <w:rFonts w:ascii="Calibri" w:hAnsi="Calibri"/>
                          <w:noProof/>
                          <w:sz w:val="2"/>
                          <w:szCs w:val="2"/>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number of people who participate in the peace groups created through the project, such as local peace platforms and other similar activities. This indicator will also be disaggregated to measure the percentage of vulnerable population (including women and forcibly displaced persons) among the participants.</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trauma victims who have received psychosocial service/support from community programs</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3500 ~ 5000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noProof/>
                          <w:sz w:val="20"/>
                          <w:szCs w:val="20"/>
                        </w:rPr>
                        <w:t>, Beneficiary Survey</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 Survey consultancy</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number of trauma victims of BH who receive community-based psychosocial support funded through the project, including recreational, ritual and social activities, as well as provision of counseling services to groups or individuals.</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Percentage of subprojects with citizen engagement mechanisms</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70% to 100%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r w:rsidRPr="0021478A">
                        <w:rPr>
                          <w:rStyle w:val="DefaultParagraphFont"/>
                          <w:rFonts w:ascii="Calibri" w:hAnsi="Calibri"/>
                          <w:noProof/>
                          <w:sz w:val="20"/>
                          <w:szCs w:val="20"/>
                        </w:rPr>
                        <w:t>, MIS, Beneficiary Survey</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measures</w:t>
                      </w:r>
                      <w:r w:rsidRPr="0021478A">
                        <w:rPr>
                          <w:rStyle w:val="DefaultParagraphFont"/>
                          <w:rFonts w:ascii="Calibri" w:hAnsi="Calibri"/>
                          <w:sz w:val="20"/>
                          <w:szCs w:val="20"/>
                        </w:rPr>
                        <w:t xml:space="preserve"> the level of citizen engagement in the planning, budgeting and implementation of subprojects during the lifespan of the operation. Subprojects such as creation of community-based initiatives, reconstruction/rehabilitation of critical infrastructure facilities will incorporate a selection of functional and appropriate tools and/or mechanisms to engage citizens to the largest extent possible, including but not limited to project education and communication channels, public notice and citizen participation mechanisms, grievance redress system, etc.</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Length of roads reconstructed or rehabilitated, in kilometers</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105km ~ 150km</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Number of kilometers</w:t>
                      </w:r>
                      <w:r w:rsidRPr="0021478A">
                        <w:rPr>
                          <w:rStyle w:val="DefaultParagraphFont"/>
                          <w:rFonts w:ascii="Calibri" w:hAnsi="Calibri"/>
                          <w:sz w:val="20"/>
                          <w:szCs w:val="20"/>
                        </w:rPr>
                        <w:t xml:space="preserve"> of roads (including functioning drainage structures) reconstructed/rehabilitated with transport services restored.</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schools reconstructed, rehabilitated, improved, and/or equipped</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105 to 150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Number of schools</w:t>
                      </w:r>
                      <w:r w:rsidRPr="0021478A">
                        <w:rPr>
                          <w:rStyle w:val="DefaultParagraphFont"/>
                          <w:rFonts w:ascii="Calibri" w:hAnsi="Calibri"/>
                          <w:sz w:val="20"/>
                          <w:szCs w:val="20"/>
                        </w:rPr>
                        <w:t xml:space="preserve"> reconstructed, rehabilitated, improved, and/or supplied with equipment for restoring normal operation</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health facilities reconstructed, rehabilitated, improved, and/or equipped</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105 to 150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Number of health</w:t>
                      </w:r>
                      <w:r w:rsidRPr="0021478A">
                        <w:rPr>
                          <w:rStyle w:val="DefaultParagraphFont"/>
                          <w:rFonts w:ascii="Calibri" w:hAnsi="Calibri"/>
                          <w:sz w:val="20"/>
                          <w:szCs w:val="20"/>
                        </w:rPr>
                        <w:t xml:space="preserve"> facilities reconstructed, rehabilitated, improved, and/or supplied with medical supplies or equipment for restoring normal operation.</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beneficiaries provided with access to improved water, sanitation, and/or hygiene facilities</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10500 ~ 15000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rsidR="00EE7FCB" w:rsidRPr="00BF55BA" w:rsidP="00956D49">
                      <w:pPr>
                        <w:pStyle w:val="Normal125"/>
                        <w:spacing w:line="14" w:lineRule="exact"/>
                        <w:rPr>
                          <w:rStyle w:val="DefaultParagraphFont"/>
                          <w:rFonts w:ascii="Calibri" w:hAnsi="Calibri"/>
                          <w:noProof/>
                          <w:sz w:val="2"/>
                          <w:szCs w:val="2"/>
                        </w:rPr>
                      </w:pPr>
                    </w:p>
                    <w:tbl>
                      <w:tblPr>
                        <w:tblStyle w:val="TableGrid63"/>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65"/>
                        <w:gridCol w:w="720"/>
                        <w:gridCol w:w="1170"/>
                        <w:gridCol w:w="1260"/>
                        <w:gridCol w:w="1260"/>
                        <w:gridCol w:w="2235"/>
                        <w:gridCol w:w="2625"/>
                        <w:gridCol w:w="2075"/>
                      </w:tblGrid>
                      <w:tr w:rsidTr="00B95677">
                        <w:tblPrEx>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24"/>
                        </w:trPr>
                        <w:tc>
                          <w:tcPr>
                            <w:tcW w:w="2665" w:type="dxa"/>
                            <w:shd w:val="clear" w:color="auto" w:fill="F7F7F7"/>
                          </w:tcPr>
                          <w:p w:rsidR="00EE7FCB" w:rsidRPr="0021478A" w:rsidP="00EE7FCB">
                            <w:pPr>
                              <w:pStyle w:val="Normal125"/>
                              <w:spacing w:before="100" w:after="100"/>
                              <w:ind w:left="265" w:right="144"/>
                              <w:rPr>
                                <w:rStyle w:val="DefaultParagraphFont"/>
                                <w:rFonts w:ascii="Calibri" w:hAnsi="Calibri"/>
                                <w:b/>
                                <w:bCs/>
                                <w:color w:val="7F7F7F"/>
                                <w:sz w:val="20"/>
                                <w:szCs w:val="20"/>
                              </w:rPr>
                            </w:pPr>
                            <w:r w:rsidRPr="0021478A">
                              <w:rPr>
                                <w:rStyle w:val="DefaultParagraphFont"/>
                                <w:rFonts w:ascii="Calibri" w:hAnsi="Calibri"/>
                                <w:noProof/>
                                <w:sz w:val="20"/>
                                <w:szCs w:val="20"/>
                              </w:rPr>
                              <w:t>Percentage of beneficiaries provided with access to improved water, sanitation, and/or hygiene facilities who are female</w:t>
                            </w:r>
                          </w:p>
                        </w:tc>
                        <w:tc>
                          <w:tcPr>
                            <w:tcW w:w="720" w:type="dxa"/>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50%</w:t>
                            </w:r>
                          </w:p>
                        </w:tc>
                        <w:tc>
                          <w:tcPr>
                            <w:tcW w:w="2235" w:type="dxa"/>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25" w:type="dxa"/>
                            <w:shd w:val="clear" w:color="auto" w:fill="F7F7F7"/>
                          </w:tcPr>
                          <w:p w:rsidR="00EE7FCB"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noProof/>
                                <w:sz w:val="20"/>
                                <w:szCs w:val="20"/>
                              </w:rPr>
                            </w:pPr>
                          </w:p>
                        </w:tc>
                        <w:tc>
                          <w:tcPr>
                            <w:tcW w:w="2075" w:type="dxa"/>
                            <w:shd w:val="clear" w:color="auto" w:fill="F7F7F7"/>
                          </w:tcPr>
                          <w:p w:rsidR="00EE7FCB"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noProof/>
                                <w:sz w:val="20"/>
                                <w:szCs w:val="20"/>
                              </w:rPr>
                            </w:pPr>
                          </w:p>
                        </w:tc>
                      </w:tr>
                      <w:tr w:rsidTr="00956D49">
                        <w:tblPrEx>
                          <w:tblW w:w="14010" w:type="dxa"/>
                          <w:shd w:val="clear" w:color="auto" w:fill="F7F7F7"/>
                          <w:tblLayout w:type="fixed"/>
                          <w:tblCellMar>
                            <w:left w:w="0" w:type="dxa"/>
                            <w:right w:w="0" w:type="dxa"/>
                          </w:tblCellMar>
                          <w:tblLook w:val="04A0"/>
                        </w:tblPrEx>
                        <w:trPr>
                          <w:trHeight w:val="224"/>
                        </w:trPr>
                        <w:tc>
                          <w:tcPr>
                            <w:tcW w:w="14010" w:type="dxa"/>
                            <w:gridSpan w:val="8"/>
                            <w:shd w:val="clear" w:color="auto" w:fill="F7F7F7"/>
                          </w:tcPr>
                          <w:p>
                            <w:pPr>
                              <w:pStyle w:val="Normal125"/>
                              <w:rPr>
                                <w:rStyle w:val="DefaultParagraphFont"/>
                              </w:rPr>
                            </w:pPr>
                          </w:p>
                        </w:tc>
                      </w:tr>
                    </w:tbl>
                    <w:p w:rsidR="00EE7FCB" w:rsidRPr="00BF55BA" w:rsidP="006E3DC6">
                      <w:pPr>
                        <w:pStyle w:val="Normal125"/>
                        <w:spacing w:line="14" w:lineRule="exact"/>
                        <w:ind w:left="72"/>
                        <w:rPr>
                          <w:rStyle w:val="DefaultParagraphFont"/>
                          <w:rFonts w:ascii="Calibri" w:hAnsi="Calibri"/>
                          <w:noProof/>
                          <w:sz w:val="2"/>
                          <w:szCs w:val="2"/>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Number of people</w:t>
                      </w:r>
                      <w:r w:rsidRPr="0021478A">
                        <w:rPr>
                          <w:rStyle w:val="DefaultParagraphFont"/>
                          <w:rFonts w:ascii="Calibri" w:hAnsi="Calibri"/>
                          <w:sz w:val="20"/>
                          <w:szCs w:val="20"/>
                        </w:rPr>
                        <w:t xml:space="preserve"> who are provided with access to constructed or rehabilitated water, hygiene and/or sanitation facilities under the project, including water points, boreholes, latrines, septic tanks, and/or solid waste management facilities.</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public buildings rehabilitated or reconstructed</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28 to 40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Number of public</w:t>
                      </w:r>
                      <w:r w:rsidRPr="0021478A">
                        <w:rPr>
                          <w:rStyle w:val="DefaultParagraphFont"/>
                          <w:rFonts w:ascii="Calibri" w:hAnsi="Calibri"/>
                          <w:sz w:val="20"/>
                          <w:szCs w:val="20"/>
                        </w:rPr>
                        <w:t xml:space="preserve"> buildings destroyed in BH conflict that have been reconstructed or rehabilitation for restoring normal operation.</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Number of government officials trained in crisis recovery management skills</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Text</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0</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210 to 300</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Number of federal</w:t>
                      </w:r>
                      <w:r w:rsidRPr="0021478A">
                        <w:rPr>
                          <w:rStyle w:val="DefaultParagraphFont"/>
                          <w:rFonts w:ascii="Calibri" w:hAnsi="Calibri"/>
                          <w:sz w:val="20"/>
                          <w:szCs w:val="20"/>
                        </w:rPr>
                        <w:t>, state, and local government officials who have received skill training related to crisis recovery management topics, such as emergency responses, budget planning and monitoring, transparency and accountability, grievance redress mechanisms, etc.</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p w:rsidR="00EE7FCB" w:rsidRPr="00BF55BA" w:rsidP="00956D49">
                <w:pPr>
                  <w:pStyle w:val="Normal125"/>
                  <w:shd w:val="clear" w:color="auto" w:fill="F7F7F7"/>
                  <w:spacing w:line="14" w:lineRule="exact"/>
                  <w:ind w:left="-115" w:right="-418"/>
                  <w:rPr>
                    <w:rStyle w:val="DefaultParagraphFont"/>
                    <w:rFonts w:ascii="Calibri" w:hAnsi="Calibri"/>
                    <w:b/>
                    <w:bCs/>
                    <w:color w:val="7F7F7F" w:themeTint="80"/>
                    <w:sz w:val="2"/>
                    <w:szCs w:val="2"/>
                  </w:rPr>
                </w:pPr>
              </w:p>
              <w:tbl>
                <w:tblPr>
                  <w:tblStyle w:val="TableGrid63"/>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670"/>
                  <w:gridCol w:w="720"/>
                  <w:gridCol w:w="1170"/>
                  <w:gridCol w:w="1260"/>
                  <w:gridCol w:w="1260"/>
                  <w:gridCol w:w="2245"/>
                  <w:gridCol w:w="2615"/>
                  <w:gridCol w:w="1980"/>
                </w:tblGrid>
                <w:tr w:rsidTr="00B95677">
                  <w:tblPrEx>
                    <w:tblW w:w="13920"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267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
                          <w:bCs/>
                          <w:color w:val="7F7F7F"/>
                          <w:sz w:val="20"/>
                          <w:szCs w:val="20"/>
                        </w:rPr>
                      </w:pPr>
                      <w:r w:rsidRPr="0021478A">
                        <w:rPr>
                          <w:rStyle w:val="DefaultParagraphFont"/>
                          <w:rFonts w:ascii="Calibri" w:hAnsi="Calibri"/>
                          <w:b/>
                          <w:bCs/>
                          <w:color w:val="7F7F7F"/>
                          <w:sz w:val="20"/>
                          <w:szCs w:val="20"/>
                        </w:rPr>
                        <w:t xml:space="preserve">Name: </w:t>
                      </w:r>
                      <w:r w:rsidRPr="0021478A">
                        <w:rPr>
                          <w:rStyle w:val="DefaultParagraphFont"/>
                          <w:rFonts w:ascii="Calibri" w:hAnsi="Calibri"/>
                          <w:noProof/>
                          <w:sz w:val="20"/>
                          <w:szCs w:val="20"/>
                        </w:rPr>
                        <w:t>Submission of annual investment and prioritization plans by each state during the project cycle</w:t>
                      </w:r>
                    </w:p>
                  </w:tc>
                  <w:tc>
                    <w:tcPr>
                      <w:tcW w:w="72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
                          <w:bCs/>
                          <w:color w:val="7F7F7F"/>
                          <w:sz w:val="20"/>
                          <w:szCs w:val="20"/>
                        </w:rPr>
                      </w:pPr>
                      <w:r w:rsidRPr="0021478A">
                        <w:rPr>
                          <w:rStyle w:val="DefaultParagraphFont"/>
                          <w:rFonts w:ascii="Calibri" w:hAnsi="Calibri"/>
                          <w:sz w:val="20"/>
                          <w:szCs w:val="20"/>
                        </w:rPr>
                        <w:fldChar w:fldCharType="begin"/>
                      </w:r>
                      <w:r w:rsidRPr="0021478A">
                        <w:rPr>
                          <w:rStyle w:val="DefaultParagraphFont"/>
                          <w:rFonts w:ascii="Calibri" w:hAnsi="Calibri"/>
                          <w:sz w:val="20"/>
                          <w:szCs w:val="20"/>
                        </w:rPr>
                        <w:instrText xml:space="preserve"> IF  </w:instrText>
                      </w:r>
                      <w:r w:rsidRPr="0021478A">
                        <w:rPr>
                          <w:rStyle w:val="DefaultParagraphFont"/>
                          <w:rFonts w:ascii="Calibri" w:hAnsi="Calibri"/>
                          <w:noProof/>
                          <w:sz w:val="20"/>
                          <w:szCs w:val="20"/>
                        </w:rPr>
                        <w:instrText>CI</w:instrText>
                      </w:r>
                      <w:r w:rsidRPr="0021478A">
                        <w:rPr>
                          <w:rStyle w:val="DefaultParagraphFont"/>
                          <w:rFonts w:ascii="Calibri" w:hAnsi="Calibri"/>
                          <w:sz w:val="20"/>
                          <w:szCs w:val="20"/>
                        </w:rPr>
                        <w:instrText xml:space="preserve"> ="CO" </w:instrText>
                      </w:r>
                      <w:r w:rsidRPr="0021478A">
                        <w:rPr>
                          <w:rStyle w:val="DefaultParagraphFont"/>
                          <w:rFonts w:ascii="Segoe UI Symbol" w:hAnsi="Segoe UI Symbol" w:cs="Segoe UI Symbol"/>
                          <w:sz w:val="20"/>
                          <w:szCs w:val="20"/>
                        </w:rPr>
                        <w:instrText>✔</w:instrText>
                      </w:r>
                      <w:r w:rsidRPr="0021478A">
                        <w:rPr>
                          <w:rStyle w:val="DefaultParagraphFont"/>
                          <w:rFonts w:ascii="Calibri" w:hAnsi="Calibri"/>
                          <w:sz w:val="20"/>
                          <w:szCs w:val="20"/>
                        </w:rPr>
                        <w:instrText xml:space="preserve"> "  " </w:instrText>
                      </w:r>
                      <w:r w:rsidRPr="0021478A">
                        <w:rPr>
                          <w:rStyle w:val="DefaultParagraphFont"/>
                          <w:rFonts w:ascii="Calibri" w:hAnsi="Calibri"/>
                          <w:sz w:val="20"/>
                          <w:szCs w:val="20"/>
                        </w:rPr>
                        <w:fldChar w:fldCharType="separate"/>
                      </w:r>
                      <w:r w:rsidRPr="0021478A">
                        <w:rPr>
                          <w:rStyle w:val="DefaultParagraphFont"/>
                          <w:rFonts w:ascii="Calibri" w:hAnsi="Calibri"/>
                          <w:sz w:val="20"/>
                          <w:szCs w:val="20"/>
                        </w:rPr>
                        <w:t xml:space="preserve">  </w:t>
                      </w:r>
                      <w:r w:rsidRPr="0021478A">
                        <w:rPr>
                          <w:rStyle w:val="DefaultParagraphFont"/>
                          <w:rFonts w:ascii="Calibri" w:hAnsi="Calibri"/>
                          <w:sz w:val="20"/>
                          <w:szCs w:val="20"/>
                        </w:rPr>
                        <w:fldChar w:fldCharType="end"/>
                      </w:r>
                    </w:p>
                  </w:tc>
                  <w:tc>
                    <w:tcPr>
                      <w:tcW w:w="1170" w:type="dxa"/>
                      <w:tcBorders>
                        <w:top w:val="single" w:sz="4" w:space="0" w:color="D9D9D9"/>
                      </w:tcBorders>
                      <w:shd w:val="clear" w:color="auto" w:fill="F7F7F7"/>
                    </w:tcPr>
                    <w:p w:rsidR="00EE7FCB" w:rsidRPr="0021478A" w:rsidP="00EE7FCB">
                      <w:pPr>
                        <w:pStyle w:val="Normal125"/>
                        <w:spacing w:before="100" w:after="100"/>
                        <w:ind w:left="144"/>
                        <w:rPr>
                          <w:rStyle w:val="DefaultParagraphFont"/>
                          <w:rFonts w:ascii="Calibri" w:hAnsi="Calibri"/>
                          <w:bCs/>
                          <w:sz w:val="20"/>
                          <w:szCs w:val="20"/>
                        </w:rPr>
                      </w:pPr>
                      <w:r w:rsidRPr="0021478A">
                        <w:rPr>
                          <w:rStyle w:val="DefaultParagraphFont"/>
                          <w:rFonts w:ascii="Calibri" w:hAnsi="Calibri"/>
                          <w:bCs/>
                          <w:sz w:val="20"/>
                          <w:szCs w:val="20"/>
                        </w:rPr>
                        <w:t>Yes/No</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N</w:t>
                      </w:r>
                    </w:p>
                  </w:tc>
                  <w:tc>
                    <w:tcPr>
                      <w:tcW w:w="126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Y</w:t>
                      </w:r>
                    </w:p>
                  </w:tc>
                  <w:tc>
                    <w:tcPr>
                      <w:tcW w:w="2245" w:type="dxa"/>
                      <w:tcBorders>
                        <w:top w:val="single" w:sz="4" w:space="0" w:color="D9D9D9"/>
                      </w:tcBorders>
                      <w:shd w:val="clear" w:color="auto" w:fill="F7F7F7"/>
                    </w:tcPr>
                    <w:p w:rsidRPr="0021478A" w:rsidP="00EE7FCB">
                      <w:pPr>
                        <w:pStyle w:val="Normal125"/>
                        <w:spacing w:before="100" w:after="100"/>
                        <w:ind w:left="144" w:right="144"/>
                        <w:rPr>
                          <w:rStyle w:val="DefaultParagraphFont"/>
                          <w:rFonts w:ascii="Calibri" w:hAnsi="Calibri"/>
                          <w:noProof/>
                          <w:sz w:val="20"/>
                          <w:szCs w:val="20"/>
                        </w:rPr>
                      </w:pPr>
                      <w:r w:rsidRPr="0021478A">
                        <w:rPr>
                          <w:rStyle w:val="DefaultParagraphFont"/>
                          <w:rFonts w:ascii="Calibri" w:hAnsi="Calibri"/>
                          <w:noProof/>
                          <w:sz w:val="20"/>
                          <w:szCs w:val="20"/>
                        </w:rPr>
                        <w:t>Annual</w:t>
                      </w:r>
                    </w:p>
                    <w:p w:rsidR="00EE7FCB" w:rsidRPr="0021478A" w:rsidP="00EE7FCB">
                      <w:pPr>
                        <w:pStyle w:val="Normal125"/>
                        <w:spacing w:before="100" w:after="100"/>
                        <w:ind w:left="144" w:right="144"/>
                        <w:rPr>
                          <w:rStyle w:val="DefaultParagraphFont"/>
                          <w:rFonts w:ascii="Calibri" w:hAnsi="Calibri"/>
                          <w:bCs/>
                          <w:sz w:val="20"/>
                          <w:szCs w:val="20"/>
                        </w:rPr>
                      </w:pPr>
                    </w:p>
                  </w:tc>
                  <w:tc>
                    <w:tcPr>
                      <w:tcW w:w="2615"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Project Monitoring Reports</w:t>
                      </w:r>
                    </w:p>
                    <w:p w:rsidR="00EE7FCB" w:rsidRPr="0021478A" w:rsidP="00EE7FCB">
                      <w:pPr>
                        <w:pStyle w:val="Normal125"/>
                        <w:spacing w:before="100" w:after="100"/>
                        <w:ind w:left="144" w:right="144"/>
                        <w:rPr>
                          <w:rStyle w:val="DefaultParagraphFont"/>
                          <w:rFonts w:ascii="Calibri" w:hAnsi="Calibri"/>
                          <w:bCs/>
                          <w:sz w:val="20"/>
                          <w:szCs w:val="20"/>
                        </w:rPr>
                      </w:pPr>
                    </w:p>
                  </w:tc>
                  <w:tc>
                    <w:tcPr>
                      <w:tcW w:w="1980" w:type="dxa"/>
                      <w:tcBorders>
                        <w:top w:val="single" w:sz="4" w:space="0" w:color="D9D9D9"/>
                      </w:tcBorders>
                      <w:shd w:val="clear" w:color="auto" w:fill="F7F7F7"/>
                    </w:tcPr>
                    <w:p w:rsidR="00EE7FCB" w:rsidRPr="0021478A" w:rsidP="00EE7FCB">
                      <w:pPr>
                        <w:pStyle w:val="Normal125"/>
                        <w:spacing w:before="100" w:after="100"/>
                        <w:ind w:left="144" w:right="144"/>
                        <w:rPr>
                          <w:rStyle w:val="DefaultParagraphFont"/>
                          <w:rFonts w:ascii="Calibri" w:hAnsi="Calibri"/>
                          <w:bCs/>
                          <w:sz w:val="20"/>
                          <w:szCs w:val="20"/>
                        </w:rPr>
                      </w:pPr>
                      <w:r w:rsidRPr="0021478A">
                        <w:rPr>
                          <w:rStyle w:val="DefaultParagraphFont"/>
                          <w:rFonts w:ascii="Calibri" w:hAnsi="Calibri"/>
                          <w:noProof/>
                          <w:sz w:val="20"/>
                          <w:szCs w:val="20"/>
                        </w:rPr>
                        <w:t xml:space="preserve">PCUs, Bank </w:t>
                      </w:r>
                      <w:r w:rsidRPr="0021478A">
                        <w:rPr>
                          <w:rStyle w:val="DefaultParagraphFont"/>
                          <w:rFonts w:ascii="Calibri" w:hAnsi="Calibri"/>
                          <w:noProof/>
                          <w:sz w:val="20"/>
                          <w:szCs w:val="20"/>
                        </w:rPr>
                        <w:t>M&amp;E support</w:t>
                      </w:r>
                    </w:p>
                    <w:p w:rsidR="00EE7FCB" w:rsidRPr="0021478A" w:rsidP="00EE7FCB">
                      <w:pPr>
                        <w:pStyle w:val="Normal125"/>
                        <w:spacing w:before="100" w:after="100"/>
                        <w:ind w:left="144" w:right="144"/>
                        <w:rPr>
                          <w:rStyle w:val="DefaultParagraphFont"/>
                          <w:rFonts w:ascii="Calibri" w:hAnsi="Calibri"/>
                          <w:bCs/>
                          <w:sz w:val="20"/>
                          <w:szCs w:val="20"/>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bottom w:val="nil"/>
                      </w:tcBorders>
                      <w:shd w:val="clear" w:color="auto" w:fill="F7F7F7"/>
                    </w:tcPr>
                    <w:p>
                      <w:pPr>
                        <w:pStyle w:val="Normal125"/>
                        <w:rPr>
                          <w:rStyle w:val="DefaultParagraphFont"/>
                        </w:rPr>
                      </w:pPr>
                    </w:p>
                  </w:tc>
                </w:tr>
                <w:tr w:rsidTr="00B738A1">
                  <w:tblPrEx>
                    <w:tblW w:w="13920" w:type="dxa"/>
                    <w:shd w:val="clear" w:color="auto" w:fill="F7F7F7"/>
                    <w:tblLayout w:type="fixed"/>
                    <w:tblCellMar>
                      <w:left w:w="0" w:type="dxa"/>
                      <w:right w:w="0" w:type="dxa"/>
                    </w:tblCellMar>
                    <w:tblLook w:val="04A0"/>
                  </w:tblPrEx>
                  <w:trPr>
                    <w:trHeight w:val="288"/>
                  </w:trPr>
                  <w:tc>
                    <w:tcPr>
                      <w:tcW w:w="13920" w:type="dxa"/>
                      <w:gridSpan w:val="8"/>
                      <w:tcBorders>
                        <w:top w:val="nil"/>
                        <w:bottom w:val="single" w:sz="4" w:space="0" w:color="D9D9D9"/>
                      </w:tcBorders>
                      <w:shd w:val="clear" w:color="auto" w:fill="F7F7F7"/>
                    </w:tcPr>
                    <w:p w:rsidR="00EE7FCB" w:rsidRPr="0021478A" w:rsidP="00EE7FCB">
                      <w:pPr>
                        <w:pStyle w:val="Normal125"/>
                        <w:ind w:left="90"/>
                        <w:rPr>
                          <w:rStyle w:val="DefaultParagraphFont"/>
                          <w:rFonts w:ascii="Calibri" w:hAnsi="Calibri"/>
                          <w:sz w:val="20"/>
                          <w:szCs w:val="20"/>
                        </w:rPr>
                      </w:pPr>
                      <w:r w:rsidRPr="0021478A">
                        <w:rPr>
                          <w:rStyle w:val="DefaultParagraphFont"/>
                          <w:rFonts w:ascii="Calibri" w:eastAsia="Times New Roman" w:hAnsi="Calibri"/>
                          <w:bCs/>
                          <w:color w:val="7F7F7F"/>
                          <w:sz w:val="20"/>
                          <w:szCs w:val="20"/>
                        </w:rPr>
                        <w:t xml:space="preserve">Description: </w:t>
                      </w:r>
                      <w:r w:rsidRPr="0021478A">
                        <w:rPr>
                          <w:rStyle w:val="DefaultParagraphFont"/>
                          <w:rFonts w:ascii="Calibri" w:hAnsi="Calibri"/>
                          <w:noProof/>
                          <w:sz w:val="20"/>
                          <w:szCs w:val="20"/>
                        </w:rPr>
                        <w:t>This indicator tracks</w:t>
                      </w:r>
                      <w:r w:rsidRPr="0021478A">
                        <w:rPr>
                          <w:rStyle w:val="DefaultParagraphFont"/>
                          <w:rFonts w:ascii="Calibri" w:hAnsi="Calibri"/>
                          <w:sz w:val="20"/>
                          <w:szCs w:val="20"/>
                        </w:rPr>
                        <w:t xml:space="preserve"> the capacity of each state government and PCU to successfully prepare and submit annual investment and prioritization plans under the project, according to acceptable templates and standards by the WB.</w:t>
                      </w:r>
                    </w:p>
                  </w:tc>
                </w:tr>
                <w:tr w:rsidTr="00B738A1">
                  <w:tblPrEx>
                    <w:tblW w:w="13920" w:type="dxa"/>
                    <w:shd w:val="clear" w:color="auto" w:fill="F7F7F7"/>
                    <w:tblLayout w:type="fixed"/>
                    <w:tblCellMar>
                      <w:left w:w="0" w:type="dxa"/>
                      <w:right w:w="0" w:type="dxa"/>
                    </w:tblCellMar>
                    <w:tblLook w:val="04A0"/>
                  </w:tblPrEx>
                  <w:trPr>
                    <w:trHeight w:val="70"/>
                  </w:trPr>
                  <w:tc>
                    <w:tcPr>
                      <w:tcW w:w="13920" w:type="dxa"/>
                      <w:gridSpan w:val="8"/>
                      <w:tcBorders>
                        <w:top w:val="single" w:sz="4" w:space="0" w:color="D9D9D9"/>
                        <w:left w:val="nil"/>
                        <w:bottom w:val="nil"/>
                        <w:right w:val="nil"/>
                      </w:tcBorders>
                      <w:shd w:val="clear" w:color="auto" w:fill="F7F7F7"/>
                    </w:tcPr>
                    <w:p w:rsidR="003078BC" w:rsidRPr="009D6F98" w:rsidP="00EE7FCB">
                      <w:pPr>
                        <w:pStyle w:val="Normal125"/>
                        <w:rPr>
                          <w:rStyle w:val="DefaultParagraphFont"/>
                          <w:rFonts w:ascii="Calibri" w:eastAsia="Times New Roman" w:hAnsi="Calibri"/>
                          <w:bCs/>
                          <w:color w:val="7F7F7F"/>
                          <w:sz w:val="22"/>
                          <w:szCs w:val="20"/>
                        </w:rPr>
                      </w:pPr>
                    </w:p>
                  </w:tc>
                </w:tr>
              </w:tbl>
              <w:p w:rsidR="00EE7FCB" w:rsidRPr="00EE7FCB" w:rsidP="006E3DC6">
                <w:pPr>
                  <w:pStyle w:val="Normal125"/>
                  <w:shd w:val="clear" w:color="auto" w:fill="F7F7F7"/>
                  <w:spacing w:line="14" w:lineRule="exact"/>
                  <w:ind w:left="-115" w:right="-418"/>
                  <w:rPr>
                    <w:rStyle w:val="DefaultParagraphFont"/>
                    <w:rFonts w:ascii="Calibri" w:hAnsi="Calibri"/>
                    <w:b/>
                    <w:bCs/>
                    <w:color w:val="7F7F7F" w:themeTint="80"/>
                    <w:sz w:val="22"/>
                    <w:szCs w:val="22"/>
                  </w:rPr>
                </w:pPr>
              </w:p>
            </w:tc>
          </w:tr>
        </w:tbl>
        <w:p w:rsidR="003615CB" w:rsidP="00956D49">
          <w:pPr>
            <w:pStyle w:val="Normal125"/>
            <w:widowControl/>
            <w:autoSpaceDE/>
            <w:autoSpaceDN/>
            <w:adjustRightInd/>
            <w:spacing w:line="14" w:lineRule="exact"/>
            <w:rPr>
              <w:rStyle w:val="DefaultParagraphFont"/>
              <w:rFonts w:ascii="Calibri" w:hAnsi="Calibri"/>
              <w:b/>
              <w:bCs/>
              <w:color w:val="7F7F7F" w:themeTint="80"/>
              <w:sz w:val="22"/>
              <w:szCs w:val="22"/>
            </w:rPr>
          </w:pPr>
          <w:r>
            <w:rPr>
              <w:rStyle w:val="DefaultParagraphFont"/>
              <w:rFonts w:ascii="Calibri" w:hAnsi="Calibri"/>
              <w:b/>
              <w:bCs/>
              <w:color w:val="7F7F7F" w:themeTint="80"/>
              <w:sz w:val="22"/>
              <w:szCs w:val="22"/>
            </w:rPr>
            <w:br w:type="page"/>
          </w: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C04B89">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c>
              <w:tcPr>
                <w:tcW w:w="14130" w:type="dxa"/>
                <w:shd w:val="clear" w:color="auto" w:fill="F7F7F7"/>
              </w:tcPr>
              <w:p w:rsidR="003615CB" w:rsidRPr="00B77CBF" w:rsidP="003615CB">
                <w:pPr>
                  <w:pStyle w:val="Normal125"/>
                  <w:keepNext/>
                  <w:jc w:val="center"/>
                  <w:rPr>
                    <w:rStyle w:val="DefaultParagraphFont"/>
                    <w:rFonts w:ascii="Calibri" w:hAnsi="Calibri"/>
                  </w:rPr>
                </w:pPr>
                <w:r w:rsidRPr="000B5063">
                  <w:rPr>
                    <w:rStyle w:val="DefaultParagraphFont"/>
                    <w:rFonts w:ascii="Calibri" w:hAnsi="Calibri"/>
                    <w:b/>
                    <w:color w:val="7F7F7F"/>
                    <w:sz w:val="22"/>
                    <w:szCs w:val="22"/>
                  </w:rPr>
                  <w:t>Target Values</w:t>
                </w:r>
              </w:p>
            </w:tc>
          </w:tr>
        </w:tbl>
        <w:p w:rsidR="003615CB" w:rsidP="00C04B89">
          <w:pPr>
            <w:pStyle w:val="Normal125"/>
            <w:keepNext/>
            <w:widowControl/>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C04B89">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60"/>
            </w:trPr>
            <w:tc>
              <w:tcPr>
                <w:tcW w:w="14130" w:type="dxa"/>
                <w:shd w:val="clear" w:color="auto" w:fill="F7F7F7"/>
              </w:tcPr>
              <w:p w:rsidR="003615CB" w:rsidRPr="00B97A95" w:rsidP="003615CB">
                <w:pPr>
                  <w:pStyle w:val="Normal125"/>
                  <w:keepNext/>
                  <w:rPr>
                    <w:rStyle w:val="DefaultParagraphFont"/>
                    <w:rFonts w:ascii="Calibri" w:hAnsi="Calibri"/>
                    <w:sz w:val="22"/>
                  </w:rPr>
                </w:pPr>
                <w:r w:rsidRPr="00B97A95">
                  <w:rPr>
                    <w:rStyle w:val="DefaultParagraphFont"/>
                    <w:rFonts w:ascii="Calibri" w:hAnsi="Calibri"/>
                    <w:b/>
                    <w:bCs/>
                    <w:color w:val="172D5F"/>
                    <w:sz w:val="22"/>
                  </w:rPr>
                  <w:t>Project Development Objective Indicators</w:t>
                </w:r>
                <w:r w:rsidRPr="00C04B89" w:rsidR="00026097">
                  <w:rPr>
                    <w:rStyle w:val="DefaultParagraphFont"/>
                    <w:rFonts w:ascii="Calibri" w:hAnsi="Calibri"/>
                    <w:b/>
                    <w:bCs/>
                    <w:color w:val="F7F7F7"/>
                    <w:sz w:val="22"/>
                  </w:rPr>
                  <w:t xml:space="preserve"> FY</w:t>
                </w:r>
              </w:p>
            </w:tc>
          </w:tr>
        </w:tbl>
        <w:p w:rsidR="0098111F" w:rsidRPr="00C04B89" w:rsidP="00222B3C">
          <w:pPr>
            <w:pStyle w:val="Normal125"/>
            <w:keepNext/>
            <w:shd w:val="clear" w:color="auto" w:fill="F7F7F7"/>
            <w:ind w:left="-691" w:right="-418"/>
            <w:rPr>
              <w:rStyle w:val="DefaultParagraphFont"/>
              <w:rFonts w:ascii="Calibri" w:hAnsi="Calibri"/>
              <w:b/>
              <w:bCs/>
              <w:color w:val="7F7F7F" w:themeTint="80"/>
              <w:sz w:val="22"/>
              <w:szCs w:val="22"/>
            </w:rPr>
          </w:pPr>
        </w:p>
        <w:tbl>
          <w:tblPr>
            <w:tblStyle w:val="TableNormal"/>
            <w:tblW w:w="14105" w:type="dxa"/>
            <w:tblInd w:w="-7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bottom w:w="72" w:type="dxa"/>
              <w:right w:w="115" w:type="dxa"/>
            </w:tblCellMar>
            <w:tblLook w:val="04A0"/>
          </w:tblPr>
          <w:tblGrid>
            <w:gridCol w:w="2585"/>
            <w:gridCol w:w="1025"/>
          </w:tblGrid>
          <w:tr w:rsidTr="00984BAA">
            <w:tblPrEx>
              <w:tblW w:w="14105" w:type="dxa"/>
              <w:tblInd w:w="-7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bottom w:w="72" w:type="dxa"/>
                <w:right w:w="115" w:type="dxa"/>
              </w:tblCellMar>
              <w:tblLook w:val="04A0"/>
            </w:tblPrEx>
            <w:trPr>
              <w:trHeight w:val="20"/>
              <w:tblHeader/>
            </w:trPr>
            <w:tc>
              <w:tcPr>
                <w:tcW w:w="2585" w:type="dxa"/>
                <w:shd w:val="clear" w:color="auto" w:fill="F7F7F7"/>
                <w:vAlign w:val="center"/>
              </w:tcPr>
              <w:p w:rsidR="003615CB" w:rsidRPr="00C95775" w:rsidP="003615CB">
                <w:pPr>
                  <w:pStyle w:val="Normal125"/>
                  <w:spacing w:before="60" w:after="60"/>
                  <w:rPr>
                    <w:rStyle w:val="DefaultParagraphFont"/>
                    <w:rFonts w:ascii="Calibri" w:hAnsi="Calibri"/>
                    <w:b/>
                    <w:color w:val="404040"/>
                    <w:sz w:val="22"/>
                    <w:szCs w:val="22"/>
                  </w:rPr>
                </w:pPr>
                <w:r>
                  <w:rPr>
                    <w:rStyle w:val="DefaultParagraphFont"/>
                  </w:rPr>
                  <w:t xml:space="preserve"> </w:t>
                </w:r>
                <w:r w:rsidRPr="00C95775">
                  <w:rPr>
                    <w:rStyle w:val="DefaultParagraphFont"/>
                    <w:rFonts w:ascii="Calibri" w:hAnsi="Calibri"/>
                    <w:b/>
                    <w:color w:val="404040"/>
                    <w:sz w:val="22"/>
                    <w:szCs w:val="22"/>
                  </w:rPr>
                  <w:t>Indicator Name</w:t>
                </w:r>
              </w:p>
            </w:tc>
            <w:tc>
              <w:tcPr>
                <w:tcW w:w="1025" w:type="dxa"/>
                <w:shd w:val="clear" w:color="auto" w:fill="F7F7F7"/>
                <w:vAlign w:val="center"/>
              </w:tcPr>
              <w:p w:rsidR="003615CB" w:rsidRPr="00C95775" w:rsidP="003615CB">
                <w:pPr>
                  <w:pStyle w:val="Normal125"/>
                  <w:spacing w:before="60" w:after="60"/>
                  <w:rPr>
                    <w:rStyle w:val="DefaultParagraphFont"/>
                    <w:rFonts w:ascii="Calibri" w:hAnsi="Calibri"/>
                    <w:b/>
                    <w:color w:val="404040"/>
                    <w:sz w:val="22"/>
                    <w:szCs w:val="22"/>
                  </w:rPr>
                </w:pPr>
                <w:r w:rsidRPr="00C95775">
                  <w:rPr>
                    <w:rStyle w:val="DefaultParagraphFont"/>
                    <w:rFonts w:ascii="Calibri" w:hAnsi="Calibri"/>
                    <w:b/>
                    <w:color w:val="404040"/>
                    <w:sz w:val="22"/>
                    <w:szCs w:val="22"/>
                  </w:rPr>
                  <w:t>End Target</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Direct project beneficiaries</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150000.00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beneficiaries</w:t>
                </w:r>
                <w:r w:rsidRPr="0021478A">
                  <w:rPr>
                    <w:rStyle w:val="DefaultParagraphFont"/>
                    <w:rFonts w:ascii="Calibri" w:hAnsi="Calibri"/>
                    <w:noProof/>
                    <w:sz w:val="20"/>
                    <w:szCs w:val="22"/>
                  </w:rPr>
                  <w:t xml:space="preserve"> that have improved livelihoood opportunities with project support</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23000 to</w:t>
                </w:r>
                <w:r w:rsidRPr="0021478A">
                  <w:rPr>
                    <w:rStyle w:val="DefaultParagraphFont"/>
                    <w:rFonts w:ascii="Calibri" w:hAnsi="Calibri"/>
                    <w:sz w:val="20"/>
                    <w:szCs w:val="22"/>
                  </w:rPr>
                  <w:t xml:space="preserve"> 33000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beneficiaries</w:t>
                </w:r>
                <w:r w:rsidRPr="0021478A">
                  <w:rPr>
                    <w:rStyle w:val="DefaultParagraphFont"/>
                    <w:rFonts w:ascii="Calibri" w:hAnsi="Calibri"/>
                    <w:noProof/>
                    <w:sz w:val="20"/>
                    <w:szCs w:val="22"/>
                  </w:rPr>
                  <w:t xml:space="preserve"> with additional or improved access to service delivery infrastructure</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120000~150000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beneficiaries</w:t>
                </w:r>
                <w:r w:rsidRPr="0021478A">
                  <w:rPr>
                    <w:rStyle w:val="DefaultParagraphFont"/>
                    <w:rFonts w:ascii="Calibri" w:hAnsi="Calibri"/>
                    <w:noProof/>
                    <w:sz w:val="20"/>
                    <w:szCs w:val="22"/>
                  </w:rPr>
                  <w:t xml:space="preserve"> satisfied with project activities towards increased social cohesion</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 xml:space="preserve">42% </w:t>
                </w:r>
                <w:r w:rsidRPr="0021478A">
                  <w:rPr>
                    <w:rStyle w:val="DefaultParagraphFont"/>
                    <w:rFonts w:ascii="Calibri" w:hAnsi="Calibri"/>
                    <w:sz w:val="20"/>
                    <w:szCs w:val="22"/>
                  </w:rPr>
                  <w:t>to 60%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direct</w:t>
                </w:r>
                <w:r w:rsidRPr="0021478A">
                  <w:rPr>
                    <w:rStyle w:val="DefaultParagraphFont"/>
                    <w:rFonts w:ascii="Calibri" w:hAnsi="Calibri"/>
                    <w:noProof/>
                    <w:sz w:val="20"/>
                    <w:szCs w:val="22"/>
                  </w:rPr>
                  <w:t xml:space="preserve"> project beneficiaries who are female</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50.00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beneficiaries</w:t>
                </w:r>
                <w:r w:rsidRPr="0021478A">
                  <w:rPr>
                    <w:rStyle w:val="DefaultParagraphFont"/>
                    <w:rFonts w:ascii="Calibri" w:hAnsi="Calibri"/>
                    <w:noProof/>
                    <w:sz w:val="20"/>
                    <w:szCs w:val="22"/>
                  </w:rPr>
                  <w:t xml:space="preserve"> with additional or improved access to service delivery infrastructure who are female</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40%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female</w:t>
                </w:r>
                <w:r w:rsidRPr="0021478A">
                  <w:rPr>
                    <w:rStyle w:val="DefaultParagraphFont"/>
                    <w:rFonts w:ascii="Calibri" w:hAnsi="Calibri"/>
                    <w:noProof/>
                    <w:sz w:val="20"/>
                    <w:szCs w:val="22"/>
                  </w:rPr>
                  <w:t xml:space="preserve"> beneficiaries satisfied with project activities towards increased social cohesion</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 xml:space="preserve">42% </w:t>
                </w:r>
                <w:r w:rsidRPr="0021478A">
                  <w:rPr>
                    <w:rStyle w:val="DefaultParagraphFont"/>
                    <w:rFonts w:ascii="Calibri" w:hAnsi="Calibri"/>
                    <w:sz w:val="20"/>
                    <w:szCs w:val="22"/>
                  </w:rPr>
                  <w:t>to 60%</w:t>
                </w:r>
              </w:p>
            </w:tc>
          </w:tr>
        </w:tbl>
        <w:p w:rsidR="003615CB" w:rsidP="00C04B89">
          <w:pPr>
            <w:pStyle w:val="Normal125"/>
            <w:shd w:val="clear" w:color="auto" w:fill="F7F7F7"/>
            <w:ind w:left="-691" w:right="-418"/>
            <w:rPr>
              <w:rStyle w:val="DefaultParagraphFont"/>
              <w:rFonts w:ascii="Calibri" w:hAnsi="Calibri"/>
              <w:b/>
              <w:bCs/>
              <w:color w:val="7F7F7F" w:themeTint="80"/>
              <w:sz w:val="22"/>
              <w:szCs w:val="22"/>
            </w:rPr>
          </w:pPr>
        </w:p>
        <w:tbl>
          <w:tblPr>
            <w:tblStyle w:val="TableGrid63"/>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C04B89">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60"/>
            </w:trPr>
            <w:tc>
              <w:tcPr>
                <w:tcW w:w="14130" w:type="dxa"/>
                <w:shd w:val="clear" w:color="auto" w:fill="F7F7F7"/>
              </w:tcPr>
              <w:p w:rsidR="003615CB" w:rsidRPr="00B97A95" w:rsidP="003615CB">
                <w:pPr>
                  <w:pStyle w:val="Normal125"/>
                  <w:keepNext/>
                  <w:rPr>
                    <w:rStyle w:val="DefaultParagraphFont"/>
                    <w:rFonts w:ascii="Calibri" w:hAnsi="Calibri"/>
                    <w:sz w:val="22"/>
                  </w:rPr>
                </w:pPr>
                <w:r w:rsidRPr="00B97A95">
                  <w:rPr>
                    <w:rStyle w:val="DefaultParagraphFont"/>
                    <w:rFonts w:ascii="Calibri" w:hAnsi="Calibri"/>
                    <w:b/>
                    <w:bCs/>
                    <w:color w:val="172D5F"/>
                    <w:sz w:val="22"/>
                  </w:rPr>
                  <w:t>Intermediate Results Indicators</w:t>
                </w:r>
                <w:r w:rsidR="001F0F94">
                  <w:rPr>
                    <w:rStyle w:val="DefaultParagraphFont"/>
                    <w:rFonts w:ascii="Calibri" w:hAnsi="Calibri"/>
                    <w:b/>
                    <w:bCs/>
                    <w:color w:val="172D5F"/>
                    <w:sz w:val="22"/>
                  </w:rPr>
                  <w:t xml:space="preserve"> </w:t>
                </w:r>
                <w:r w:rsidRPr="00C04B89" w:rsidR="001F0F94">
                  <w:rPr>
                    <w:rStyle w:val="DefaultParagraphFont"/>
                    <w:rFonts w:ascii="Calibri" w:hAnsi="Calibri"/>
                    <w:b/>
                    <w:bCs/>
                    <w:color w:val="F7F7F7"/>
                    <w:sz w:val="22"/>
                  </w:rPr>
                  <w:t>FY</w:t>
                </w:r>
              </w:p>
            </w:tc>
          </w:tr>
        </w:tbl>
        <w:p w:rsidR="004212A2" w:rsidRPr="00C04B89" w:rsidP="00222B3C">
          <w:pPr>
            <w:pStyle w:val="Normal125"/>
            <w:keepNext/>
            <w:shd w:val="clear" w:color="auto" w:fill="F7F7F7"/>
            <w:ind w:left="-691" w:right="-418"/>
            <w:rPr>
              <w:rStyle w:val="DefaultParagraphFont"/>
              <w:rFonts w:ascii="Calibri" w:hAnsi="Calibri"/>
              <w:b/>
              <w:bCs/>
              <w:color w:val="7F7F7F" w:themeTint="80"/>
              <w:sz w:val="22"/>
              <w:szCs w:val="22"/>
            </w:rPr>
          </w:pPr>
        </w:p>
        <w:tbl>
          <w:tblPr>
            <w:tblStyle w:val="TableNormal"/>
            <w:tblW w:w="14105" w:type="dxa"/>
            <w:tblInd w:w="-7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bottom w:w="72" w:type="dxa"/>
              <w:right w:w="115" w:type="dxa"/>
            </w:tblCellMar>
            <w:tblLook w:val="04A0"/>
          </w:tblPr>
          <w:tblGrid>
            <w:gridCol w:w="2585"/>
            <w:gridCol w:w="1049"/>
            <w:gridCol w:w="1025"/>
          </w:tblGrid>
          <w:tr w:rsidTr="00984BAA">
            <w:tblPrEx>
              <w:tblW w:w="14105" w:type="dxa"/>
              <w:tblInd w:w="-7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bottom w:w="72" w:type="dxa"/>
                <w:right w:w="115" w:type="dxa"/>
              </w:tblCellMar>
              <w:tblLook w:val="04A0"/>
            </w:tblPrEx>
            <w:trPr>
              <w:trHeight w:val="20"/>
              <w:tblHeader/>
            </w:trPr>
            <w:tc>
              <w:tcPr>
                <w:tcW w:w="2585" w:type="dxa"/>
                <w:shd w:val="clear" w:color="auto" w:fill="F7F7F7"/>
                <w:vAlign w:val="center"/>
              </w:tcPr>
              <w:p w:rsidR="003615CB" w:rsidRPr="00C95775" w:rsidP="003615CB">
                <w:pPr>
                  <w:pStyle w:val="Normal125"/>
                  <w:spacing w:before="60" w:after="60"/>
                  <w:rPr>
                    <w:rStyle w:val="DefaultParagraphFont"/>
                    <w:rFonts w:ascii="Calibri" w:hAnsi="Calibri"/>
                    <w:b/>
                    <w:color w:val="404040"/>
                    <w:sz w:val="22"/>
                    <w:szCs w:val="22"/>
                  </w:rPr>
                </w:pPr>
                <w:r>
                  <w:rPr>
                    <w:rStyle w:val="DefaultParagraphFont"/>
                  </w:rPr>
                  <w:t xml:space="preserve"> </w:t>
                </w:r>
                <w:r w:rsidRPr="00C95775">
                  <w:rPr>
                    <w:rStyle w:val="DefaultParagraphFont"/>
                    <w:rFonts w:ascii="Calibri" w:hAnsi="Calibri"/>
                    <w:b/>
                    <w:color w:val="404040"/>
                    <w:sz w:val="22"/>
                    <w:szCs w:val="22"/>
                  </w:rPr>
                  <w:t>Indicator Name</w:t>
                </w:r>
              </w:p>
            </w:tc>
            <w:tc>
              <w:tcPr>
                <w:tcW w:w="1049" w:type="dxa"/>
                <w:shd w:val="clear" w:color="auto" w:fill="F7F7F7"/>
                <w:vAlign w:val="center"/>
              </w:tcPr>
              <w:p w:rsidR="003615CB" w:rsidRPr="00C95775" w:rsidP="003615CB">
                <w:pPr>
                  <w:pStyle w:val="Normal125"/>
                  <w:spacing w:before="60" w:after="60"/>
                  <w:rPr>
                    <w:rStyle w:val="DefaultParagraphFont"/>
                    <w:rFonts w:ascii="Calibri" w:hAnsi="Calibri"/>
                    <w:b/>
                    <w:color w:val="404040"/>
                    <w:sz w:val="22"/>
                    <w:szCs w:val="22"/>
                  </w:rPr>
                </w:pPr>
                <w:r w:rsidRPr="00C95775">
                  <w:rPr>
                    <w:rStyle w:val="DefaultParagraphFont"/>
                    <w:rFonts w:ascii="Calibri" w:hAnsi="Calibri"/>
                    <w:b/>
                    <w:color w:val="404040"/>
                    <w:sz w:val="22"/>
                    <w:szCs w:val="22"/>
                  </w:rPr>
                  <w:t>Baseline</w:t>
                </w:r>
              </w:p>
            </w:tc>
            <w:tc>
              <w:tcPr>
                <w:tcW w:w="1025" w:type="dxa"/>
                <w:shd w:val="clear" w:color="auto" w:fill="F7F7F7"/>
                <w:vAlign w:val="center"/>
              </w:tcPr>
              <w:p w:rsidR="003615CB" w:rsidRPr="00C95775" w:rsidP="003615CB">
                <w:pPr>
                  <w:pStyle w:val="Normal125"/>
                  <w:spacing w:before="60" w:after="60"/>
                  <w:rPr>
                    <w:rStyle w:val="DefaultParagraphFont"/>
                    <w:rFonts w:ascii="Calibri" w:hAnsi="Calibri"/>
                    <w:b/>
                    <w:color w:val="404040"/>
                    <w:sz w:val="22"/>
                    <w:szCs w:val="22"/>
                  </w:rPr>
                </w:pPr>
                <w:r w:rsidRPr="00C95775">
                  <w:rPr>
                    <w:rStyle w:val="DefaultParagraphFont"/>
                    <w:rFonts w:ascii="Calibri" w:hAnsi="Calibri"/>
                    <w:b/>
                    <w:color w:val="404040"/>
                    <w:sz w:val="22"/>
                    <w:szCs w:val="22"/>
                  </w:rPr>
                  <w:t>End Target</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affected</w:t>
                </w:r>
                <w:r w:rsidRPr="0021478A">
                  <w:rPr>
                    <w:rStyle w:val="DefaultParagraphFont"/>
                    <w:rFonts w:ascii="Calibri" w:hAnsi="Calibri"/>
                    <w:noProof/>
                    <w:sz w:val="20"/>
                    <w:szCs w:val="22"/>
                  </w:rPr>
                  <w:t xml:space="preserve"> households that have received packages of life support and/or basic necessity assistance from the project</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21000 ~</w:t>
                </w:r>
                <w:r w:rsidRPr="0021478A">
                  <w:rPr>
                    <w:rStyle w:val="DefaultParagraphFont"/>
                    <w:rFonts w:ascii="Calibri" w:hAnsi="Calibri"/>
                    <w:sz w:val="20"/>
                    <w:szCs w:val="22"/>
                  </w:rPr>
                  <w:t xml:space="preserve"> 30000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forcibly</w:t>
                </w:r>
                <w:r w:rsidRPr="0021478A">
                  <w:rPr>
                    <w:rStyle w:val="DefaultParagraphFont"/>
                    <w:rFonts w:ascii="Calibri" w:hAnsi="Calibri"/>
                    <w:noProof/>
                    <w:sz w:val="20"/>
                    <w:szCs w:val="22"/>
                  </w:rPr>
                  <w:t xml:space="preserve"> displaced people and host community members who have received support to re-engage in productive activities</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21000 ~</w:t>
                </w:r>
                <w:r w:rsidRPr="0021478A">
                  <w:rPr>
                    <w:rStyle w:val="DefaultParagraphFont"/>
                    <w:rFonts w:ascii="Calibri" w:hAnsi="Calibri"/>
                    <w:sz w:val="20"/>
                    <w:szCs w:val="22"/>
                  </w:rPr>
                  <w:t xml:space="preserve"> 30000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people</w:t>
                </w:r>
                <w:r w:rsidRPr="0021478A">
                  <w:rPr>
                    <w:rStyle w:val="DefaultParagraphFont"/>
                    <w:rFonts w:ascii="Calibri" w:hAnsi="Calibri"/>
                    <w:noProof/>
                    <w:sz w:val="20"/>
                    <w:szCs w:val="22"/>
                  </w:rPr>
                  <w:t xml:space="preserve"> who have participated in social cohesion initiatives launched or strengthened through project financing</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21000 ~</w:t>
                </w:r>
                <w:r w:rsidRPr="0021478A">
                  <w:rPr>
                    <w:rStyle w:val="DefaultParagraphFont"/>
                    <w:rFonts w:ascii="Calibri" w:hAnsi="Calibri"/>
                    <w:sz w:val="20"/>
                    <w:szCs w:val="22"/>
                  </w:rPr>
                  <w:t xml:space="preserve"> 30000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people</w:t>
                </w:r>
                <w:r w:rsidRPr="0021478A">
                  <w:rPr>
                    <w:rStyle w:val="DefaultParagraphFont"/>
                    <w:rFonts w:ascii="Calibri" w:hAnsi="Calibri"/>
                    <w:noProof/>
                    <w:sz w:val="20"/>
                    <w:szCs w:val="22"/>
                  </w:rPr>
                  <w:t xml:space="preserve"> who have participated in peace groups created through the project</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21000 ~</w:t>
                </w:r>
                <w:r w:rsidRPr="0021478A">
                  <w:rPr>
                    <w:rStyle w:val="DefaultParagraphFont"/>
                    <w:rFonts w:ascii="Calibri" w:hAnsi="Calibri"/>
                    <w:sz w:val="20"/>
                    <w:szCs w:val="22"/>
                  </w:rPr>
                  <w:t xml:space="preserve"> 30000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trauma</w:t>
                </w:r>
                <w:r w:rsidRPr="0021478A">
                  <w:rPr>
                    <w:rStyle w:val="DefaultParagraphFont"/>
                    <w:rFonts w:ascii="Calibri" w:hAnsi="Calibri"/>
                    <w:noProof/>
                    <w:sz w:val="20"/>
                    <w:szCs w:val="22"/>
                  </w:rPr>
                  <w:t xml:space="preserve"> victims who have received psychosocial service/support from community programs</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3500 ~</w:t>
                </w:r>
                <w:r w:rsidRPr="0021478A">
                  <w:rPr>
                    <w:rStyle w:val="DefaultParagraphFont"/>
                    <w:rFonts w:ascii="Calibri" w:hAnsi="Calibri"/>
                    <w:sz w:val="20"/>
                    <w:szCs w:val="22"/>
                  </w:rPr>
                  <w:t xml:space="preserve"> 5000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subprojects</w:t>
                </w:r>
                <w:r w:rsidRPr="0021478A">
                  <w:rPr>
                    <w:rStyle w:val="DefaultParagraphFont"/>
                    <w:rFonts w:ascii="Calibri" w:hAnsi="Calibri"/>
                    <w:noProof/>
                    <w:sz w:val="20"/>
                    <w:szCs w:val="22"/>
                  </w:rPr>
                  <w:t xml:space="preserve"> with citizen engagement mechanisms</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 xml:space="preserve">70% </w:t>
                </w:r>
                <w:r w:rsidRPr="0021478A">
                  <w:rPr>
                    <w:rStyle w:val="DefaultParagraphFont"/>
                    <w:rFonts w:ascii="Calibri" w:hAnsi="Calibri"/>
                    <w:sz w:val="20"/>
                    <w:szCs w:val="22"/>
                  </w:rPr>
                  <w:t>to 100%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Length of roads</w:t>
                </w:r>
                <w:r w:rsidRPr="0021478A">
                  <w:rPr>
                    <w:rStyle w:val="DefaultParagraphFont"/>
                    <w:rFonts w:ascii="Calibri" w:hAnsi="Calibri"/>
                    <w:noProof/>
                    <w:sz w:val="20"/>
                    <w:szCs w:val="22"/>
                  </w:rPr>
                  <w:t xml:space="preserve"> reconstructed or rehabilitated, in kilometers</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105km ~</w:t>
                </w:r>
                <w:r w:rsidRPr="0021478A">
                  <w:rPr>
                    <w:rStyle w:val="DefaultParagraphFont"/>
                    <w:rFonts w:ascii="Calibri" w:hAnsi="Calibri"/>
                    <w:sz w:val="20"/>
                    <w:szCs w:val="22"/>
                  </w:rPr>
                  <w:t xml:space="preserve"> 150km</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schools</w:t>
                </w:r>
                <w:r w:rsidRPr="0021478A">
                  <w:rPr>
                    <w:rStyle w:val="DefaultParagraphFont"/>
                    <w:rFonts w:ascii="Calibri" w:hAnsi="Calibri"/>
                    <w:noProof/>
                    <w:sz w:val="20"/>
                    <w:szCs w:val="22"/>
                  </w:rPr>
                  <w:t xml:space="preserve"> reconstructed, rehabilitated, improved, and/or equipped</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105 to</w:t>
                </w:r>
                <w:r w:rsidRPr="0021478A">
                  <w:rPr>
                    <w:rStyle w:val="DefaultParagraphFont"/>
                    <w:rFonts w:ascii="Calibri" w:hAnsi="Calibri"/>
                    <w:sz w:val="20"/>
                    <w:szCs w:val="22"/>
                  </w:rPr>
                  <w:t xml:space="preserve"> 150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health</w:t>
                </w:r>
                <w:r w:rsidRPr="0021478A">
                  <w:rPr>
                    <w:rStyle w:val="DefaultParagraphFont"/>
                    <w:rFonts w:ascii="Calibri" w:hAnsi="Calibri"/>
                    <w:noProof/>
                    <w:sz w:val="20"/>
                    <w:szCs w:val="22"/>
                  </w:rPr>
                  <w:t xml:space="preserve"> facilities reconstructed, rehabilitated, improved, and/or equipped</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105 to</w:t>
                </w:r>
                <w:r w:rsidRPr="0021478A">
                  <w:rPr>
                    <w:rStyle w:val="DefaultParagraphFont"/>
                    <w:rFonts w:ascii="Calibri" w:hAnsi="Calibri"/>
                    <w:sz w:val="20"/>
                    <w:szCs w:val="22"/>
                  </w:rPr>
                  <w:t xml:space="preserve"> 150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beneficiaries</w:t>
                </w:r>
                <w:r w:rsidRPr="0021478A">
                  <w:rPr>
                    <w:rStyle w:val="DefaultParagraphFont"/>
                    <w:rFonts w:ascii="Calibri" w:hAnsi="Calibri"/>
                    <w:noProof/>
                    <w:sz w:val="20"/>
                    <w:szCs w:val="22"/>
                  </w:rPr>
                  <w:t xml:space="preserve"> provided with access to improved water, sanitation, and/or hygiene facilities</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10500 ~</w:t>
                </w:r>
                <w:r w:rsidRPr="0021478A">
                  <w:rPr>
                    <w:rStyle w:val="DefaultParagraphFont"/>
                    <w:rFonts w:ascii="Calibri" w:hAnsi="Calibri"/>
                    <w:sz w:val="20"/>
                    <w:szCs w:val="22"/>
                  </w:rPr>
                  <w:t xml:space="preserve"> 15000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public</w:t>
                </w:r>
                <w:r w:rsidRPr="0021478A">
                  <w:rPr>
                    <w:rStyle w:val="DefaultParagraphFont"/>
                    <w:rFonts w:ascii="Calibri" w:hAnsi="Calibri"/>
                    <w:noProof/>
                    <w:sz w:val="20"/>
                    <w:szCs w:val="22"/>
                  </w:rPr>
                  <w:t xml:space="preserve"> buildings rehabilitated or reconstructed</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28 to</w:t>
                </w:r>
                <w:r w:rsidRPr="0021478A">
                  <w:rPr>
                    <w:rStyle w:val="DefaultParagraphFont"/>
                    <w:rFonts w:ascii="Calibri" w:hAnsi="Calibri"/>
                    <w:sz w:val="20"/>
                    <w:szCs w:val="22"/>
                  </w:rPr>
                  <w:t xml:space="preserve"> 40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Number of government</w:t>
                </w:r>
                <w:r w:rsidRPr="0021478A">
                  <w:rPr>
                    <w:rStyle w:val="DefaultParagraphFont"/>
                    <w:rFonts w:ascii="Calibri" w:hAnsi="Calibri"/>
                    <w:noProof/>
                    <w:sz w:val="20"/>
                    <w:szCs w:val="22"/>
                  </w:rPr>
                  <w:t xml:space="preserve"> officials trained in crisis recovery management skills</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210 to</w:t>
                </w:r>
                <w:r w:rsidRPr="0021478A">
                  <w:rPr>
                    <w:rStyle w:val="DefaultParagraphFont"/>
                    <w:rFonts w:ascii="Calibri" w:hAnsi="Calibri"/>
                    <w:sz w:val="20"/>
                    <w:szCs w:val="22"/>
                  </w:rPr>
                  <w:t xml:space="preserve"> 300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Submission of annual</w:t>
                </w:r>
                <w:r w:rsidRPr="0021478A">
                  <w:rPr>
                    <w:rStyle w:val="DefaultParagraphFont"/>
                    <w:rFonts w:ascii="Calibri" w:hAnsi="Calibri"/>
                    <w:noProof/>
                    <w:sz w:val="20"/>
                    <w:szCs w:val="22"/>
                  </w:rPr>
                  <w:t xml:space="preserve"> investment and prioritization plans by each state during the project cycle</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N</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Y</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female</w:t>
                </w:r>
                <w:r w:rsidRPr="0021478A">
                  <w:rPr>
                    <w:rStyle w:val="DefaultParagraphFont"/>
                    <w:rFonts w:ascii="Calibri" w:hAnsi="Calibri"/>
                    <w:noProof/>
                    <w:sz w:val="20"/>
                    <w:szCs w:val="22"/>
                  </w:rPr>
                  <w:t xml:space="preserve"> beneficiaries in forcibly displaced people and host community members who have received support to re-engage in productive activities</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50%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vulnerable</w:t>
                </w:r>
                <w:r w:rsidRPr="0021478A">
                  <w:rPr>
                    <w:rStyle w:val="DefaultParagraphFont"/>
                    <w:rFonts w:ascii="Calibri" w:hAnsi="Calibri"/>
                    <w:noProof/>
                    <w:sz w:val="20"/>
                    <w:szCs w:val="22"/>
                  </w:rPr>
                  <w:t xml:space="preserve"> population (including women and forcbly displaced persons) among the participants of peace groups created through the project</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30%</w:t>
                </w:r>
              </w:p>
            </w:tc>
          </w:tr>
          <w:tr w:rsidTr="001B7565">
            <w:tblPrEx>
              <w:tblW w:w="14105" w:type="dxa"/>
              <w:tblInd w:w="-700" w:type="dxa"/>
              <w:shd w:val="clear" w:color="auto" w:fill="F7F7F7"/>
              <w:tblLayout w:type="fixed"/>
              <w:tblCellMar>
                <w:left w:w="115" w:type="dxa"/>
                <w:bottom w:w="72" w:type="dxa"/>
                <w:right w:w="115" w:type="dxa"/>
              </w:tblCellMar>
              <w:tblLook w:val="04A0"/>
            </w:tblPrEx>
            <w:trPr>
              <w:trHeight w:val="288"/>
            </w:trPr>
            <w:tc>
              <w:tcPr>
                <w:tcW w:w="258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Percentage of beneficiaries</w:t>
                </w:r>
                <w:r w:rsidRPr="0021478A">
                  <w:rPr>
                    <w:rStyle w:val="DefaultParagraphFont"/>
                    <w:rFonts w:ascii="Calibri" w:hAnsi="Calibri"/>
                    <w:noProof/>
                    <w:sz w:val="20"/>
                    <w:szCs w:val="22"/>
                  </w:rPr>
                  <w:t xml:space="preserve"> provided with access to improved water, sanitation, and/or hygiene facilities who are female</w:t>
                </w:r>
              </w:p>
            </w:tc>
            <w:tc>
              <w:tcPr>
                <w:tcW w:w="1049"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0</w:t>
                </w:r>
              </w:p>
            </w:tc>
            <w:tc>
              <w:tcPr>
                <w:tcW w:w="1025" w:type="dxa"/>
                <w:shd w:val="clear" w:color="auto" w:fill="F7F7F7"/>
                <w:vAlign w:val="center"/>
              </w:tcPr>
              <w:p w:rsidR="003615CB" w:rsidRPr="0021478A" w:rsidP="003615CB">
                <w:pPr>
                  <w:pStyle w:val="Normal125"/>
                  <w:spacing w:before="100" w:after="100"/>
                  <w:rPr>
                    <w:rStyle w:val="DefaultParagraphFont"/>
                    <w:rFonts w:ascii="Calibri" w:hAnsi="Calibri"/>
                    <w:sz w:val="20"/>
                    <w:szCs w:val="22"/>
                  </w:rPr>
                </w:pPr>
                <w:r w:rsidRPr="0021478A">
                  <w:rPr>
                    <w:rStyle w:val="DefaultParagraphFont"/>
                    <w:rFonts w:ascii="Calibri" w:hAnsi="Calibri"/>
                    <w:noProof/>
                    <w:sz w:val="20"/>
                    <w:szCs w:val="22"/>
                  </w:rPr>
                  <w:t>50%</w:t>
                </w:r>
              </w:p>
            </w:tc>
          </w:tr>
        </w:tbl>
        <w:p w:rsidR="004212A2" w:rsidP="001C4803">
          <w:pPr>
            <w:pStyle w:val="Normal437"/>
            <w:spacing w:after="0" w:line="14" w:lineRule="exact"/>
            <w:ind w:left="-907"/>
            <w:rPr>
              <w:rStyle w:val="DefaultParagraphFont"/>
            </w:rPr>
          </w:pPr>
        </w:p>
        <w:sdt>
          <w:sdtPr>
            <w:tag w:val="OPS_CORE_SECTION_END_9"/>
            <w:id w:val="1254998767"/>
            <w:lock w:val="sdtContentLocked"/>
            <w:placeholder>
              <w:docPart w:val="4C6F3F8C360047F3AC0EDCD46E696C86"/>
            </w:placeholder>
            <w:richText/>
          </w:sdtPr>
          <w:sdtContent>
            <w:p w:rsidR="007F2DE7" w:rsidP="007F2DE7">
              <w:pPr>
                <w:pStyle w:val="Normal4"/>
                <w:spacing w:after="0" w:line="14" w:lineRule="exact"/>
                <w:ind w:left="-907"/>
                <w:sectPr w:rsidSect="007F2DE7">
                  <w:headerReference w:type="default" r:id="rId18"/>
                  <w:footerReference w:type="default" r:id="rId19"/>
                  <w:type w:val="continuous"/>
                  <w:pgSz w:w="15840" w:h="12240" w:orient="landscape" w:code="1"/>
                  <w:pgMar w:top="1440" w:right="1440" w:bottom="1440" w:left="1440" w:header="720" w:footer="720" w:gutter="0"/>
                  <w:cols w:space="720"/>
                  <w:docGrid w:linePitch="360"/>
                </w:sectPr>
              </w:pPr>
              <w:r>
                <w:t xml:space="preserve"> </w:t>
              </w:r>
            </w:p>
          </w:sdtContent>
        </w:sdt>
      </w:sdtContent>
    </w:sdt>
    <w:p w:rsidR="007F2DE7" w:rsidP="007F2DE7">
      <w:pPr>
        <w:pStyle w:val="Normal4"/>
        <w:spacing w:after="0" w:line="240" w:lineRule="auto"/>
        <w:ind w:left="-907"/>
      </w:pPr>
      <w:r>
        <w:rPr>
          <w:noProof/>
        </w:rPr>
        <w:pict>
          <v:line id="Straight Connector 25" o:spid="_x0000_s1031" style="mso-width-percent:0;mso-width-relative:margin;mso-wrap-distance-bottom:0;mso-wrap-distance-left:9pt;mso-wrap-distance-right:9pt;mso-wrap-distance-top:0;mso-wrap-style:square;position:absolute;visibility:visible;z-index:251663360" from="-68.25pt,13.15pt" to="716.25pt,13.15pt" strokecolor="gray">
            <v:stroke joinstyle="miter" dashstyle="dash" opacity="26214f"/>
          </v:line>
        </w:pict>
      </w:r>
    </w:p>
    <w:sdt>
      <w:sdtPr>
        <w:id w:val="1452596594"/>
        <w:lock w:val="sdtContentLocked"/>
        <w:placeholder>
          <w:docPart w:val="DC24153066F24F00AACEADBC73512BAC"/>
        </w:placeholder>
        <w:showingPlcHdr/>
        <w:richText/>
      </w:sdtPr>
      <w:sdtContent>
        <w:p w:rsidR="007F2DE7" w:rsidRPr="0020672B" w:rsidP="007F2DE7">
          <w:pPr>
            <w:pStyle w:val="Normal4"/>
            <w:spacing w:after="0" w:line="14" w:lineRule="exact"/>
            <w:ind w:left="-907"/>
            <w:sectPr w:rsidSect="007F2DE7">
              <w:type w:val="continuous"/>
              <w:pgSz w:w="15840" w:h="12240" w:orient="landscape"/>
              <w:pgMar w:top="1440" w:right="1440" w:bottom="1440" w:left="1440" w:header="720" w:footer="720" w:gutter="0"/>
              <w:cols w:space="720"/>
              <w:docGrid w:linePitch="360"/>
            </w:sectPr>
          </w:pPr>
          <w:r>
            <w:t xml:space="preserve"> </w:t>
          </w:r>
        </w:p>
      </w:sdtContent>
    </w:sdt>
    <w:p w:rsidR="007F2DE7" w:rsidP="007F2DE7">
      <w:pPr>
        <w:spacing w:line="20" w:lineRule="exact"/>
        <w:ind w:left="-792"/>
        <w:rPr>
          <w:rFonts w:asciiTheme="minorHAnsi" w:hAnsiTheme="minorHAnsi"/>
          <w:b/>
          <w:bCs/>
          <w:color w:val="7F7F7F" w:themeColor="text1" w:themeTint="80"/>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
      <w:tblGrid>
        <w:gridCol w:w="10800"/>
      </w:tblGrid>
      <w:tr w:rsidTr="007F2DE7">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Ex>
        <w:trPr>
          <w:trHeight w:val="432"/>
        </w:trPr>
        <w:tc>
          <w:tcPr>
            <w:tcW w:w="10800" w:type="dxa"/>
            <w:shd w:val="clear" w:color="auto" w:fill="F2F2F2"/>
            <w:vAlign w:val="center"/>
          </w:tcPr>
          <w:p w:rsidR="007F2DE7" w:rsidRPr="00D90F20" w:rsidP="007F2DE7">
            <w:pPr>
              <w:pStyle w:val="NoSpacing"/>
              <w:jc w:val="center"/>
              <w:outlineLvl w:val="0"/>
              <w:rPr>
                <w:rFonts w:asciiTheme="minorHAnsi" w:hAnsiTheme="minorHAnsi"/>
                <w:b/>
                <w:sz w:val="22"/>
                <w:szCs w:val="22"/>
              </w:rPr>
            </w:pPr>
            <w:bookmarkStart w:id="119" w:name="_Toc256000029"/>
            <w:bookmarkStart w:id="120" w:name="_Toc433982434"/>
            <w:bookmarkStart w:id="121" w:name="_Toc460509216"/>
            <w:bookmarkStart w:id="122" w:name="_Toc476558131"/>
            <w:r w:rsidRPr="00D90F20">
              <w:rPr>
                <w:rFonts w:asciiTheme="minorHAnsi" w:hAnsiTheme="minorHAnsi"/>
                <w:b/>
                <w:color w:val="000000" w:themeColor="text1"/>
                <w:sz w:val="22"/>
                <w:szCs w:val="22"/>
              </w:rPr>
              <w:t>ANNEX 1: DETAILED PROJECT DESCRIPTION</w:t>
            </w:r>
            <w:bookmarkEnd w:id="119"/>
            <w:bookmarkEnd w:id="120"/>
            <w:bookmarkEnd w:id="121"/>
            <w:bookmarkEnd w:id="122"/>
          </w:p>
        </w:tc>
      </w:tr>
    </w:tbl>
    <w:p w:rsidR="007F2DE7" w:rsidP="007F2DE7">
      <w:pPr>
        <w:ind w:left="-720"/>
        <w:rPr>
          <w:rFonts w:asciiTheme="minorHAnsi" w:hAnsiTheme="minorHAnsi"/>
          <w:b/>
          <w:bCs/>
          <w:color w:val="7F7F7F" w:themeColor="text1" w:themeTint="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2"/>
        </w:trPr>
        <w:tc>
          <w:tcPr>
            <w:tcW w:w="10710" w:type="dxa"/>
          </w:tcPr>
          <w:p w:rsidR="007F2DE7" w:rsidRPr="00240AE9" w:rsidP="007F2DE7">
            <w:pPr>
              <w:jc w:val="center"/>
              <w:rPr>
                <w:rFonts w:asciiTheme="minorHAnsi" w:hAnsiTheme="minorHAnsi"/>
                <w:b/>
                <w:bCs/>
                <w:color w:val="767171" w:themeColor="background2" w:themeShade="80"/>
                <w:sz w:val="22"/>
                <w:szCs w:val="22"/>
              </w:rPr>
            </w:pPr>
            <w:r w:rsidRPr="00793F6E">
              <w:rPr>
                <w:rFonts w:asciiTheme="minorHAnsi" w:hAnsiTheme="minorHAnsi"/>
                <w:b/>
                <w:bCs/>
                <w:color w:val="767171" w:themeColor="background2" w:themeShade="80"/>
                <w:sz w:val="22"/>
                <w:szCs w:val="22"/>
              </w:rPr>
              <w:t xml:space="preserve">COUNTRY: Nigeria </w:t>
            </w:r>
            <w:r w:rsidRPr="00793F6E">
              <w:rPr>
                <w:rFonts w:asciiTheme="minorHAnsi" w:hAnsiTheme="minorHAnsi"/>
                <w:b/>
                <w:bCs/>
                <w:color w:val="767171" w:themeColor="background2" w:themeShade="80"/>
                <w:sz w:val="22"/>
                <w:szCs w:val="22"/>
              </w:rPr>
              <w:br/>
            </w:r>
            <w:r w:rsidRPr="00793F6E">
              <w:rPr>
                <w:rFonts w:asciiTheme="minorHAnsi" w:hAnsiTheme="minorHAnsi"/>
                <w:b/>
                <w:bCs/>
                <w:color w:val="767171" w:themeColor="background2" w:themeShade="80"/>
                <w:sz w:val="22"/>
                <w:szCs w:val="22"/>
              </w:rPr>
              <w:fldChar w:fldCharType="begin"/>
            </w:r>
            <w:r w:rsidRPr="00793F6E">
              <w:rPr>
                <w:rFonts w:asciiTheme="minorHAnsi" w:hAnsiTheme="minorHAnsi"/>
                <w:b/>
                <w:bCs/>
                <w:color w:val="767171" w:themeColor="background2" w:themeShade="80"/>
                <w:sz w:val="22"/>
                <w:szCs w:val="22"/>
              </w:rPr>
              <w:instrText xml:space="preserve"> IF "Multi-Sectoral Crisis Recovery Project for North Eastern Nigeria" &lt;&gt; "" "Multi-Sectoral Crisis Recovery Project for North Eastern Nigeria" ""</w:instrText>
            </w:r>
            <w:r w:rsidRPr="00793F6E">
              <w:rPr>
                <w:rFonts w:asciiTheme="minorHAnsi" w:hAnsiTheme="minorHAnsi"/>
                <w:b/>
                <w:bCs/>
                <w:color w:val="767171" w:themeColor="background2" w:themeShade="80"/>
                <w:sz w:val="22"/>
                <w:szCs w:val="22"/>
              </w:rPr>
              <w:fldChar w:fldCharType="separate"/>
            </w:r>
            <w:r w:rsidRPr="00793F6E">
              <w:rPr>
                <w:rFonts w:asciiTheme="minorHAnsi" w:hAnsiTheme="minorHAnsi"/>
                <w:b/>
                <w:bCs/>
                <w:color w:val="767171" w:themeColor="background2" w:themeShade="80"/>
                <w:sz w:val="22"/>
                <w:szCs w:val="22"/>
              </w:rPr>
              <w:t>Multi-Sectoral Crisis Recovery Project for North Eastern Nigeria</w:t>
            </w:r>
            <w:r w:rsidRPr="00793F6E">
              <w:rPr>
                <w:rFonts w:asciiTheme="minorHAnsi" w:hAnsiTheme="minorHAnsi"/>
                <w:b/>
                <w:bCs/>
                <w:color w:val="767171" w:themeColor="background2" w:themeShade="80"/>
                <w:sz w:val="22"/>
                <w:szCs w:val="22"/>
              </w:rPr>
              <w:fldChar w:fldCharType="end"/>
            </w:r>
            <w:r w:rsidRPr="00793F6E">
              <w:rPr>
                <w:rFonts w:asciiTheme="minorHAnsi" w:hAnsiTheme="minorHAnsi"/>
                <w:b/>
                <w:bCs/>
                <w:color w:val="767171" w:themeColor="background2" w:themeShade="80"/>
                <w:sz w:val="22"/>
                <w:szCs w:val="22"/>
              </w:rPr>
              <w:t xml:space="preserve"> </w:t>
            </w:r>
          </w:p>
        </w:tc>
      </w:tr>
    </w:tbl>
    <w:p w:rsidR="007F2DE7" w:rsidRPr="00490667" w:rsidP="007F2DE7">
      <w:pPr>
        <w:pStyle w:val="Normal202"/>
        <w:keepNext/>
        <w:keepLines/>
        <w:widowControl/>
        <w:spacing w:after="240"/>
        <w:rPr>
          <w:rFonts w:asciiTheme="minorHAnsi" w:hAnsiTheme="minorHAnsi"/>
          <w:b/>
          <w:color w:val="172D5F"/>
          <w:sz w:val="22"/>
          <w:szCs w:val="22"/>
        </w:rPr>
      </w:pPr>
      <w:r w:rsidRPr="00490667">
        <w:rPr>
          <w:rFonts w:asciiTheme="minorHAnsi" w:hAnsiTheme="minorHAnsi"/>
          <w:b/>
          <w:color w:val="172D5F"/>
          <w:sz w:val="22"/>
          <w:szCs w:val="22"/>
        </w:rPr>
        <w:t>Introduction</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This</w:t>
      </w:r>
      <w:r w:rsidRPr="00FB6E71">
        <w:rPr>
          <w:rFonts w:asciiTheme="minorHAnsi" w:hAnsiTheme="minorHAnsi"/>
          <w:bCs/>
          <w:color w:val="auto"/>
          <w:sz w:val="22"/>
          <w:szCs w:val="22"/>
        </w:rPr>
        <w:t xml:space="preserve"> annex provides a detailed description of the project design approach, proposed project components, and resource allocation across these com</w:t>
      </w:r>
      <w:r w:rsidRPr="00FB6E71">
        <w:rPr>
          <w:rFonts w:ascii="Calibri" w:eastAsia="Times New Roman" w:hAnsi="Calibri" w:cs="Times New Roman"/>
          <w:color w:val="auto"/>
          <w:sz w:val="22"/>
          <w:szCs w:val="22"/>
        </w:rPr>
        <w:t>ponents.</w:t>
      </w:r>
    </w:p>
    <w:p w:rsidR="007F2DE7" w:rsidRPr="00490667" w:rsidP="007F2DE7">
      <w:pPr>
        <w:pStyle w:val="Normal202"/>
        <w:keepNext/>
        <w:keepLines/>
        <w:widowControl/>
        <w:spacing w:after="240"/>
        <w:rPr>
          <w:rFonts w:asciiTheme="minorHAnsi" w:hAnsiTheme="minorHAnsi"/>
          <w:b/>
          <w:color w:val="172D5F"/>
          <w:sz w:val="22"/>
          <w:szCs w:val="22"/>
        </w:rPr>
      </w:pPr>
      <w:r w:rsidRPr="00490667">
        <w:rPr>
          <w:rFonts w:asciiTheme="minorHAnsi" w:hAnsiTheme="minorHAnsi"/>
          <w:b/>
          <w:color w:val="172D5F"/>
          <w:sz w:val="22"/>
          <w:szCs w:val="22"/>
        </w:rPr>
        <w:t>Project Design Approach</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The design of the MCRP is guided by the programmatic-framework approach to crisis recovery that the World Bank and development partners have jointly developed and implemented in various countries successfully. Under this approach, the MCRP is seen as a subset of a larger multi-sector and multi-partner </w:t>
      </w:r>
      <w:r w:rsidRPr="00FB6E71">
        <w:rPr>
          <w:rFonts w:asciiTheme="minorHAnsi" w:hAnsiTheme="minorHAnsi" w:cs="Times New Roman"/>
          <w:sz w:val="22"/>
          <w:szCs w:val="22"/>
        </w:rPr>
        <w:t>solution</w:t>
      </w:r>
      <w:r w:rsidRPr="00FB6E71">
        <w:rPr>
          <w:rFonts w:asciiTheme="minorHAnsi" w:hAnsiTheme="minorHAnsi"/>
          <w:bCs/>
          <w:color w:val="auto"/>
          <w:sz w:val="22"/>
          <w:szCs w:val="22"/>
        </w:rPr>
        <w:t xml:space="preserve"> to crisis recovery toward addressing the service delivery and social cohesion needs identified </w:t>
      </w:r>
      <w:r w:rsidRPr="00FB6E71">
        <w:rPr>
          <w:rFonts w:asciiTheme="minorHAnsi" w:hAnsiTheme="minorHAnsi"/>
          <w:color w:val="auto"/>
          <w:sz w:val="22"/>
        </w:rPr>
        <w:t>under the RPBA</w:t>
      </w:r>
      <w:r w:rsidRPr="00FB6E71">
        <w:rPr>
          <w:rFonts w:asciiTheme="minorHAnsi" w:hAnsiTheme="minorHAnsi"/>
          <w:bCs/>
          <w:color w:val="auto"/>
          <w:sz w:val="22"/>
          <w:szCs w:val="22"/>
        </w:rPr>
        <w:t>. Making use of the World Bank’s leadership and comparative advantage in this area, the MCRP is intended to serve as a central node of convergence for coordinating the related interventions from the Government, development partners</w:t>
      </w:r>
      <w:r>
        <w:rPr>
          <w:rFonts w:asciiTheme="minorHAnsi" w:hAnsiTheme="minorHAnsi"/>
          <w:bCs/>
          <w:color w:val="auto"/>
          <w:sz w:val="22"/>
          <w:szCs w:val="22"/>
        </w:rPr>
        <w:t>,</w:t>
      </w:r>
      <w:r w:rsidRPr="00FB6E71">
        <w:rPr>
          <w:rFonts w:asciiTheme="minorHAnsi" w:hAnsiTheme="minorHAnsi"/>
          <w:bCs/>
          <w:color w:val="auto"/>
          <w:sz w:val="22"/>
          <w:szCs w:val="22"/>
        </w:rPr>
        <w:t xml:space="preserve"> and other World Bank projects. This will help deliver mutually complementary multi-sector outcomes while following the key guiding principles and synchronized</w:t>
      </w:r>
      <w:r w:rsidRPr="00FB6E71">
        <w:rPr>
          <w:rFonts w:ascii="Calibri" w:eastAsia="Times New Roman" w:hAnsi="Calibri" w:cs="Times New Roman"/>
          <w:color w:val="auto"/>
          <w:sz w:val="22"/>
          <w:szCs w:val="22"/>
        </w:rPr>
        <w:t xml:space="preserve"> implementation modalities described below.</w:t>
      </w:r>
      <w:r w:rsidRPr="00FB6E71">
        <w:rPr>
          <w:rFonts w:asciiTheme="minorHAnsi" w:hAnsiTheme="minorHAnsi"/>
          <w:bCs/>
          <w:color w:val="auto"/>
          <w:sz w:val="22"/>
          <w:szCs w:val="22"/>
        </w:rPr>
        <w:t xml:space="preserve">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Flexibility</w:t>
      </w:r>
      <w:r>
        <w:rPr>
          <w:rFonts w:asciiTheme="minorHAnsi" w:hAnsiTheme="minorHAnsi"/>
          <w:b/>
          <w:bCs/>
          <w:color w:val="auto"/>
          <w:sz w:val="22"/>
          <w:szCs w:val="22"/>
        </w:rPr>
        <w:t>.</w:t>
      </w:r>
      <w:r w:rsidRPr="00FB6E71">
        <w:rPr>
          <w:rFonts w:asciiTheme="minorHAnsi" w:hAnsiTheme="minorHAnsi"/>
          <w:bCs/>
          <w:color w:val="auto"/>
          <w:sz w:val="22"/>
          <w:szCs w:val="22"/>
        </w:rPr>
        <w:t xml:space="preserve"> Despite the Government’s military success in regaining territory and restricting insurgency operations to a few pockets of resistance, the BH retains the ability to periodically stage attacks, marking a transition to a more asymmetric conflict. This means that while the return of forcibly displaced population and reconstruction is possible in some areas, displacement is likely to continue; reconstruction outcomes will remain at risk; and there will be limited scope for reconciliation in some areas. Urban centers are likely to remain more secure than large swathes of rural territory. Given these circumstances, the proposed framework will allow room for midcourse adjustments and flexibility during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project implementation in the selection of specific subprojects across the project components that spread over multiple sectors. It will also allow </w:t>
      </w:r>
      <w:r w:rsidRPr="00FB6E71">
        <w:rPr>
          <w:rFonts w:asciiTheme="minorHAnsi" w:hAnsiTheme="minorHAnsi" w:cs="Times New Roman"/>
          <w:sz w:val="22"/>
          <w:szCs w:val="22"/>
        </w:rPr>
        <w:t>flexibility</w:t>
      </w:r>
      <w:r w:rsidRPr="00FB6E71">
        <w:rPr>
          <w:rFonts w:asciiTheme="minorHAnsi" w:hAnsiTheme="minorHAnsi"/>
          <w:bCs/>
          <w:color w:val="auto"/>
          <w:sz w:val="22"/>
          <w:szCs w:val="22"/>
        </w:rPr>
        <w:t xml:space="preserve"> in resource allocation across various project components, as well as in the distribution of project funds across three targeted states under the project. This is also necessary given the uncertainty on what other development partners will be funding over the next few years, so as to avoid overlaps and/or gaps. However, taking such a flexible approach also requires building flexibility in the project </w:t>
      </w:r>
      <w:r>
        <w:rPr>
          <w:rFonts w:asciiTheme="minorHAnsi" w:hAnsiTheme="minorHAnsi"/>
          <w:bCs/>
          <w:color w:val="auto"/>
          <w:sz w:val="22"/>
          <w:szCs w:val="22"/>
        </w:rPr>
        <w:t>R</w:t>
      </w:r>
      <w:r w:rsidRPr="00FB6E71">
        <w:rPr>
          <w:rFonts w:asciiTheme="minorHAnsi" w:hAnsiTheme="minorHAnsi"/>
          <w:bCs/>
          <w:color w:val="auto"/>
          <w:sz w:val="22"/>
          <w:szCs w:val="22"/>
        </w:rPr>
        <w:t xml:space="preserve">esults </w:t>
      </w:r>
      <w:r>
        <w:rPr>
          <w:rFonts w:asciiTheme="minorHAnsi" w:hAnsiTheme="minorHAnsi"/>
          <w:bCs/>
          <w:color w:val="auto"/>
          <w:sz w:val="22"/>
          <w:szCs w:val="22"/>
        </w:rPr>
        <w:t>F</w:t>
      </w:r>
      <w:r w:rsidRPr="00FB6E71">
        <w:rPr>
          <w:rFonts w:asciiTheme="minorHAnsi" w:hAnsiTheme="minorHAnsi"/>
          <w:bCs/>
          <w:color w:val="auto"/>
          <w:sz w:val="22"/>
          <w:szCs w:val="22"/>
        </w:rPr>
        <w:t>ramework and other related aspects.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Systematic and </w:t>
      </w:r>
      <w:r>
        <w:rPr>
          <w:rFonts w:asciiTheme="minorHAnsi" w:hAnsiTheme="minorHAnsi"/>
          <w:b/>
          <w:bCs/>
          <w:color w:val="auto"/>
          <w:sz w:val="22"/>
          <w:szCs w:val="22"/>
        </w:rPr>
        <w:t>p</w:t>
      </w:r>
      <w:r w:rsidRPr="00FB6E71">
        <w:rPr>
          <w:rFonts w:asciiTheme="minorHAnsi" w:hAnsiTheme="minorHAnsi"/>
          <w:b/>
          <w:bCs/>
          <w:color w:val="auto"/>
          <w:sz w:val="22"/>
          <w:szCs w:val="22"/>
        </w:rPr>
        <w:t xml:space="preserve">rogressive </w:t>
      </w:r>
      <w:r>
        <w:rPr>
          <w:rFonts w:asciiTheme="minorHAnsi" w:hAnsiTheme="minorHAnsi"/>
          <w:b/>
          <w:bCs/>
          <w:color w:val="auto"/>
          <w:sz w:val="22"/>
          <w:szCs w:val="22"/>
        </w:rPr>
        <w:t>p</w:t>
      </w:r>
      <w:r w:rsidRPr="00FB6E71">
        <w:rPr>
          <w:rFonts w:asciiTheme="minorHAnsi" w:hAnsiTheme="minorHAnsi"/>
          <w:b/>
          <w:bCs/>
          <w:color w:val="auto"/>
          <w:sz w:val="22"/>
          <w:szCs w:val="22"/>
        </w:rPr>
        <w:t>rioritization</w:t>
      </w:r>
      <w:r>
        <w:rPr>
          <w:rFonts w:asciiTheme="minorHAnsi" w:hAnsiTheme="minorHAnsi"/>
          <w:b/>
          <w:bCs/>
          <w:color w:val="auto"/>
          <w:sz w:val="22"/>
          <w:szCs w:val="22"/>
        </w:rPr>
        <w:t>.</w:t>
      </w:r>
      <w:r w:rsidRPr="00FB6E71">
        <w:rPr>
          <w:rFonts w:asciiTheme="minorHAnsi" w:hAnsiTheme="minorHAnsi"/>
          <w:bCs/>
          <w:color w:val="auto"/>
          <w:sz w:val="22"/>
          <w:szCs w:val="22"/>
        </w:rPr>
        <w:t xml:space="preserve"> Given the gaps between the overall needs identified by the RPBA and the available resources from both domestic and international sources, there will be a need for systematic, criteria-based</w:t>
      </w:r>
      <w:r>
        <w:rPr>
          <w:rFonts w:asciiTheme="minorHAnsi" w:hAnsiTheme="minorHAnsi"/>
          <w:bCs/>
          <w:color w:val="auto"/>
          <w:sz w:val="22"/>
          <w:szCs w:val="22"/>
        </w:rPr>
        <w:t>,</w:t>
      </w:r>
      <w:r w:rsidRPr="00FB6E71">
        <w:rPr>
          <w:rFonts w:asciiTheme="minorHAnsi" w:hAnsiTheme="minorHAnsi"/>
          <w:bCs/>
          <w:color w:val="auto"/>
          <w:sz w:val="22"/>
          <w:szCs w:val="22"/>
        </w:rPr>
        <w:t xml:space="preserve"> and progressive prioritization of needs across and within various sectors and the six affected states. This process of prioritization has been commenced by the GoN and is informed by the Buhari Plan and the RPBA Strategic Framework and factors in the existing and planned programs by the GoN and other development partners. This has manifested in the prioritization of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resources along the following lines:</w:t>
      </w:r>
    </w:p>
    <w:p w:rsidR="007F2DE7" w:rsidRPr="004B2390" w:rsidP="00302E0C">
      <w:pPr>
        <w:pStyle w:val="ListParagraph"/>
        <w:widowControl/>
        <w:numPr>
          <w:ilvl w:val="1"/>
          <w:numId w:val="28"/>
        </w:numPr>
        <w:spacing w:after="240"/>
        <w:ind w:left="1195" w:hanging="475"/>
        <w:contextualSpacing w:val="0"/>
        <w:jc w:val="both"/>
        <w:rPr>
          <w:rFonts w:asciiTheme="minorHAnsi" w:hAnsiTheme="minorHAnsi"/>
          <w:bCs/>
          <w:color w:val="auto"/>
          <w:sz w:val="22"/>
          <w:szCs w:val="22"/>
        </w:rPr>
      </w:pPr>
      <w:r w:rsidRPr="00280941">
        <w:rPr>
          <w:rFonts w:asciiTheme="minorHAnsi" w:hAnsiTheme="minorHAnsi"/>
          <w:b/>
          <w:bCs/>
          <w:color w:val="auto"/>
          <w:sz w:val="22"/>
          <w:szCs w:val="22"/>
        </w:rPr>
        <w:t>Geographical prioritization.</w:t>
      </w:r>
      <w:r w:rsidRPr="004B2390">
        <w:rPr>
          <w:rFonts w:asciiTheme="minorHAnsi" w:hAnsiTheme="minorHAnsi"/>
          <w:bCs/>
          <w:color w:val="auto"/>
          <w:sz w:val="22"/>
          <w:szCs w:val="22"/>
        </w:rPr>
        <w:t xml:space="preserve"> The MCRP has been designed to respond to critical needs in the three most affected BAY states only. Within these states also, the selection of specific interventions will be based on a bottom-up consultative approach led by the states. Such selection shall be a function of multiple prioritization criteria and conflict</w:t>
      </w:r>
      <w:r>
        <w:rPr>
          <w:rFonts w:asciiTheme="minorHAnsi" w:hAnsiTheme="minorHAnsi"/>
          <w:bCs/>
          <w:color w:val="auto"/>
          <w:sz w:val="22"/>
          <w:szCs w:val="22"/>
        </w:rPr>
        <w:t>-</w:t>
      </w:r>
      <w:r w:rsidRPr="004B2390">
        <w:rPr>
          <w:rFonts w:asciiTheme="minorHAnsi" w:hAnsiTheme="minorHAnsi"/>
          <w:bCs/>
          <w:color w:val="auto"/>
          <w:sz w:val="22"/>
          <w:szCs w:val="22"/>
        </w:rPr>
        <w:t xml:space="preserve">sensitive programming conducted together </w:t>
      </w:r>
      <w:r>
        <w:rPr>
          <w:rFonts w:asciiTheme="minorHAnsi" w:hAnsiTheme="minorHAnsi"/>
          <w:bCs/>
          <w:color w:val="auto"/>
          <w:sz w:val="22"/>
          <w:szCs w:val="22"/>
        </w:rPr>
        <w:t xml:space="preserve">by </w:t>
      </w:r>
      <w:r w:rsidRPr="004B2390">
        <w:rPr>
          <w:rFonts w:asciiTheme="minorHAnsi" w:hAnsiTheme="minorHAnsi"/>
          <w:bCs/>
          <w:color w:val="auto"/>
          <w:sz w:val="22"/>
          <w:szCs w:val="22"/>
        </w:rPr>
        <w:t xml:space="preserve">the </w:t>
      </w:r>
      <w:r>
        <w:rPr>
          <w:rFonts w:asciiTheme="minorHAnsi" w:hAnsiTheme="minorHAnsi"/>
          <w:bCs/>
          <w:color w:val="auto"/>
          <w:sz w:val="22"/>
          <w:szCs w:val="22"/>
        </w:rPr>
        <w:t>s</w:t>
      </w:r>
      <w:r w:rsidRPr="004B2390">
        <w:rPr>
          <w:rFonts w:asciiTheme="minorHAnsi" w:hAnsiTheme="minorHAnsi"/>
          <w:bCs/>
          <w:color w:val="auto"/>
          <w:sz w:val="22"/>
          <w:szCs w:val="22"/>
        </w:rPr>
        <w:t>tates and development partners.</w:t>
      </w:r>
    </w:p>
    <w:p w:rsidR="007F2DE7" w:rsidRPr="004B2390" w:rsidP="00302E0C">
      <w:pPr>
        <w:pStyle w:val="ListParagraph"/>
        <w:widowControl/>
        <w:numPr>
          <w:ilvl w:val="1"/>
          <w:numId w:val="28"/>
        </w:numPr>
        <w:spacing w:after="240"/>
        <w:ind w:left="1195" w:hanging="475"/>
        <w:contextualSpacing w:val="0"/>
        <w:jc w:val="both"/>
        <w:rPr>
          <w:rFonts w:asciiTheme="minorHAnsi" w:hAnsiTheme="minorHAnsi"/>
          <w:bCs/>
          <w:color w:val="auto"/>
          <w:sz w:val="22"/>
          <w:szCs w:val="22"/>
        </w:rPr>
      </w:pPr>
      <w:r w:rsidRPr="00280941">
        <w:rPr>
          <w:rFonts w:asciiTheme="minorHAnsi" w:hAnsiTheme="minorHAnsi"/>
          <w:b/>
          <w:bCs/>
          <w:color w:val="auto"/>
          <w:sz w:val="22"/>
          <w:szCs w:val="22"/>
        </w:rPr>
        <w:t>Sectoral and subsectoral prioritization.</w:t>
      </w:r>
      <w:r w:rsidRPr="004B2390">
        <w:rPr>
          <w:rFonts w:asciiTheme="minorHAnsi" w:hAnsiTheme="minorHAnsi"/>
          <w:bCs/>
          <w:color w:val="auto"/>
          <w:sz w:val="22"/>
          <w:szCs w:val="22"/>
        </w:rPr>
        <w:t xml:space="preserve"> Similarly</w:t>
      </w:r>
      <w:r>
        <w:rPr>
          <w:rFonts w:asciiTheme="minorHAnsi" w:hAnsiTheme="minorHAnsi"/>
          <w:bCs/>
          <w:color w:val="auto"/>
          <w:sz w:val="22"/>
          <w:szCs w:val="22"/>
        </w:rPr>
        <w:t>,</w:t>
      </w:r>
      <w:r w:rsidRPr="004B2390">
        <w:rPr>
          <w:rFonts w:asciiTheme="minorHAnsi" w:hAnsiTheme="minorHAnsi"/>
          <w:bCs/>
          <w:color w:val="auto"/>
          <w:sz w:val="22"/>
          <w:szCs w:val="22"/>
        </w:rPr>
        <w:t xml:space="preserve"> the MCRP is limited to interventions in elected critical sectors, based on the results of preliminary post</w:t>
      </w:r>
      <w:r>
        <w:rPr>
          <w:rFonts w:asciiTheme="minorHAnsi" w:hAnsiTheme="minorHAnsi"/>
          <w:bCs/>
          <w:color w:val="auto"/>
          <w:sz w:val="22"/>
          <w:szCs w:val="22"/>
        </w:rPr>
        <w:t>-</w:t>
      </w:r>
      <w:r w:rsidRPr="004B2390">
        <w:rPr>
          <w:rFonts w:asciiTheme="minorHAnsi" w:hAnsiTheme="minorHAnsi"/>
          <w:bCs/>
          <w:color w:val="auto"/>
          <w:sz w:val="22"/>
          <w:szCs w:val="22"/>
        </w:rPr>
        <w:t xml:space="preserve">RPBA prioritization exercises conducted together with these </w:t>
      </w:r>
      <w:r>
        <w:rPr>
          <w:rFonts w:asciiTheme="minorHAnsi" w:hAnsiTheme="minorHAnsi"/>
          <w:bCs/>
          <w:color w:val="auto"/>
          <w:sz w:val="22"/>
          <w:szCs w:val="22"/>
        </w:rPr>
        <w:t>s</w:t>
      </w:r>
      <w:r w:rsidRPr="004B2390">
        <w:rPr>
          <w:rFonts w:asciiTheme="minorHAnsi" w:hAnsiTheme="minorHAnsi"/>
          <w:bCs/>
          <w:color w:val="auto"/>
          <w:sz w:val="22"/>
          <w:szCs w:val="22"/>
        </w:rPr>
        <w:t>tates and the relevant development partners. The project will use similar prioritization criteria and inclusive processes for developing specific investment plans and distributing project resources within and across various project components and subcomponents during the course of implementation.</w:t>
      </w:r>
    </w:p>
    <w:p w:rsidR="007F2DE7" w:rsidRPr="004B2390" w:rsidP="00302E0C">
      <w:pPr>
        <w:pStyle w:val="ListParagraph"/>
        <w:widowControl/>
        <w:numPr>
          <w:ilvl w:val="1"/>
          <w:numId w:val="28"/>
        </w:numPr>
        <w:spacing w:after="240"/>
        <w:ind w:left="1195" w:hanging="475"/>
        <w:contextualSpacing w:val="0"/>
        <w:jc w:val="both"/>
        <w:rPr>
          <w:rFonts w:asciiTheme="minorHAnsi" w:hAnsiTheme="minorHAnsi"/>
          <w:bCs/>
          <w:color w:val="auto"/>
          <w:sz w:val="22"/>
          <w:szCs w:val="22"/>
        </w:rPr>
      </w:pPr>
      <w:r w:rsidRPr="00280941">
        <w:rPr>
          <w:rFonts w:asciiTheme="minorHAnsi" w:hAnsiTheme="minorHAnsi"/>
          <w:b/>
          <w:bCs/>
          <w:color w:val="auto"/>
          <w:sz w:val="22"/>
          <w:szCs w:val="22"/>
        </w:rPr>
        <w:t>Temporal prioritization.</w:t>
      </w:r>
      <w:r w:rsidRPr="004B2390">
        <w:rPr>
          <w:rFonts w:asciiTheme="minorHAnsi" w:hAnsiTheme="minorHAnsi"/>
          <w:bCs/>
          <w:color w:val="auto"/>
          <w:sz w:val="22"/>
          <w:szCs w:val="22"/>
        </w:rPr>
        <w:t xml:space="preserve"> </w:t>
      </w:r>
      <w:r>
        <w:rPr>
          <w:rFonts w:asciiTheme="minorHAnsi" w:hAnsiTheme="minorHAnsi"/>
          <w:bCs/>
          <w:color w:val="auto"/>
          <w:sz w:val="22"/>
          <w:szCs w:val="22"/>
        </w:rPr>
        <w:t xml:space="preserve">The </w:t>
      </w:r>
      <w:r w:rsidRPr="004B2390">
        <w:rPr>
          <w:rFonts w:asciiTheme="minorHAnsi" w:hAnsiTheme="minorHAnsi"/>
          <w:bCs/>
          <w:color w:val="auto"/>
          <w:sz w:val="22"/>
          <w:szCs w:val="22"/>
        </w:rPr>
        <w:t>MCRP is premised on a multi-phased engagement with the GoN that entails providing a combination of support for both immediate and medium-term conflict recovery and resilience building. Such an approach will increase the likelihood of a smoother transition from immediate to medium-term recovery as well as ensure the deepening, consolidation</w:t>
      </w:r>
      <w:r>
        <w:rPr>
          <w:rFonts w:asciiTheme="minorHAnsi" w:hAnsiTheme="minorHAnsi"/>
          <w:bCs/>
          <w:color w:val="auto"/>
          <w:sz w:val="22"/>
          <w:szCs w:val="22"/>
        </w:rPr>
        <w:t>,</w:t>
      </w:r>
      <w:r w:rsidRPr="004B2390">
        <w:rPr>
          <w:rFonts w:asciiTheme="minorHAnsi" w:hAnsiTheme="minorHAnsi"/>
          <w:bCs/>
          <w:color w:val="auto"/>
          <w:sz w:val="22"/>
          <w:szCs w:val="22"/>
        </w:rPr>
        <w:t xml:space="preserve"> and sustainability of the intended project impact.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Conflict </w:t>
      </w:r>
      <w:r>
        <w:rPr>
          <w:rFonts w:asciiTheme="minorHAnsi" w:hAnsiTheme="minorHAnsi"/>
          <w:b/>
          <w:bCs/>
          <w:color w:val="auto"/>
          <w:sz w:val="22"/>
          <w:szCs w:val="22"/>
        </w:rPr>
        <w:t>s</w:t>
      </w:r>
      <w:r w:rsidRPr="00FB6E71">
        <w:rPr>
          <w:rFonts w:asciiTheme="minorHAnsi" w:hAnsiTheme="minorHAnsi"/>
          <w:b/>
          <w:bCs/>
          <w:color w:val="auto"/>
          <w:sz w:val="22"/>
          <w:szCs w:val="22"/>
        </w:rPr>
        <w:t>ensitiv</w:t>
      </w:r>
      <w:r>
        <w:rPr>
          <w:rFonts w:asciiTheme="minorHAnsi" w:hAnsiTheme="minorHAnsi"/>
          <w:b/>
          <w:bCs/>
          <w:color w:val="auto"/>
          <w:sz w:val="22"/>
          <w:szCs w:val="22"/>
        </w:rPr>
        <w:t>ity.</w:t>
      </w:r>
      <w:r w:rsidRPr="00FB6E71">
        <w:rPr>
          <w:rFonts w:asciiTheme="minorHAnsi" w:hAnsiTheme="minorHAnsi"/>
          <w:bCs/>
          <w:color w:val="auto"/>
          <w:sz w:val="22"/>
          <w:szCs w:val="22"/>
        </w:rPr>
        <w:t xml:space="preserve"> The prioritization process, along with overall project preparation and </w:t>
      </w:r>
      <w:r w:rsidRPr="00FB6E71">
        <w:rPr>
          <w:rFonts w:asciiTheme="minorHAnsi" w:hAnsiTheme="minorHAnsi" w:cs="Times New Roman"/>
          <w:sz w:val="22"/>
          <w:szCs w:val="22"/>
        </w:rPr>
        <w:t>implementation</w:t>
      </w:r>
      <w:r w:rsidRPr="00FB6E71">
        <w:rPr>
          <w:rFonts w:asciiTheme="minorHAnsi" w:hAnsiTheme="minorHAnsi"/>
          <w:bCs/>
          <w:color w:val="auto"/>
          <w:sz w:val="22"/>
          <w:szCs w:val="22"/>
        </w:rPr>
        <w:t xml:space="preserve">, </w:t>
      </w:r>
      <w:r>
        <w:rPr>
          <w:rFonts w:asciiTheme="minorHAnsi" w:hAnsiTheme="minorHAnsi"/>
          <w:bCs/>
          <w:color w:val="auto"/>
          <w:sz w:val="22"/>
          <w:szCs w:val="22"/>
        </w:rPr>
        <w:t>is being</w:t>
      </w:r>
      <w:r w:rsidRPr="00FB6E71">
        <w:rPr>
          <w:rFonts w:asciiTheme="minorHAnsi" w:hAnsiTheme="minorHAnsi"/>
          <w:bCs/>
          <w:color w:val="auto"/>
          <w:sz w:val="22"/>
          <w:szCs w:val="22"/>
        </w:rPr>
        <w:t xml:space="preserve"> conducted adopting a bottom-up approach led by the states and informed by community consultations. Conflict sensitivity will be central to this project, ensuring proper identification and mitigation of conflict risks, supporting conflict resilience</w:t>
      </w:r>
      <w:r>
        <w:rPr>
          <w:rFonts w:asciiTheme="minorHAnsi" w:hAnsiTheme="minorHAnsi"/>
          <w:bCs/>
          <w:color w:val="auto"/>
          <w:sz w:val="22"/>
          <w:szCs w:val="22"/>
        </w:rPr>
        <w:t>,</w:t>
      </w:r>
      <w:r w:rsidRPr="00FB6E71">
        <w:rPr>
          <w:rFonts w:asciiTheme="minorHAnsi" w:hAnsiTheme="minorHAnsi"/>
          <w:bCs/>
          <w:color w:val="auto"/>
          <w:sz w:val="22"/>
          <w:szCs w:val="22"/>
        </w:rPr>
        <w:t xml:space="preserve"> and addressing key drivers of conflict.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Maximizing </w:t>
      </w:r>
      <w:r>
        <w:rPr>
          <w:rFonts w:asciiTheme="minorHAnsi" w:hAnsiTheme="minorHAnsi"/>
          <w:b/>
          <w:bCs/>
          <w:color w:val="auto"/>
          <w:sz w:val="22"/>
          <w:szCs w:val="22"/>
        </w:rPr>
        <w:t>c</w:t>
      </w:r>
      <w:r w:rsidRPr="00FB6E71">
        <w:rPr>
          <w:rFonts w:asciiTheme="minorHAnsi" w:hAnsiTheme="minorHAnsi"/>
          <w:b/>
          <w:bCs/>
          <w:color w:val="auto"/>
          <w:sz w:val="22"/>
          <w:szCs w:val="22"/>
        </w:rPr>
        <w:t xml:space="preserve">omplementarity and </w:t>
      </w:r>
      <w:r>
        <w:rPr>
          <w:rFonts w:asciiTheme="minorHAnsi" w:hAnsiTheme="minorHAnsi"/>
          <w:b/>
          <w:bCs/>
          <w:color w:val="auto"/>
          <w:sz w:val="22"/>
          <w:szCs w:val="22"/>
        </w:rPr>
        <w:t>a</w:t>
      </w:r>
      <w:r w:rsidRPr="00FB6E71">
        <w:rPr>
          <w:rFonts w:asciiTheme="minorHAnsi" w:hAnsiTheme="minorHAnsi"/>
          <w:b/>
          <w:bCs/>
          <w:color w:val="auto"/>
          <w:sz w:val="22"/>
          <w:szCs w:val="22"/>
        </w:rPr>
        <w:t xml:space="preserve">voiding </w:t>
      </w:r>
      <w:r>
        <w:rPr>
          <w:rFonts w:asciiTheme="minorHAnsi" w:hAnsiTheme="minorHAnsi"/>
          <w:b/>
          <w:bCs/>
          <w:color w:val="auto"/>
          <w:sz w:val="22"/>
          <w:szCs w:val="22"/>
        </w:rPr>
        <w:t>o</w:t>
      </w:r>
      <w:r w:rsidRPr="00FB6E71">
        <w:rPr>
          <w:rFonts w:asciiTheme="minorHAnsi" w:hAnsiTheme="minorHAnsi"/>
          <w:b/>
          <w:bCs/>
          <w:color w:val="auto"/>
          <w:sz w:val="22"/>
          <w:szCs w:val="22"/>
        </w:rPr>
        <w:t>verlaps</w:t>
      </w:r>
      <w:r>
        <w:rPr>
          <w:rFonts w:asciiTheme="minorHAnsi" w:hAnsiTheme="minorHAnsi"/>
          <w:b/>
          <w:bCs/>
          <w:color w:val="auto"/>
          <w:sz w:val="22"/>
          <w:szCs w:val="22"/>
        </w:rPr>
        <w:t>.</w:t>
      </w:r>
      <w:r w:rsidRPr="00FB6E71">
        <w:rPr>
          <w:rFonts w:asciiTheme="minorHAnsi" w:hAnsiTheme="minorHAnsi"/>
          <w:bCs/>
          <w:color w:val="auto"/>
          <w:sz w:val="22"/>
          <w:szCs w:val="22"/>
        </w:rPr>
        <w:t xml:space="preserve"> A key rationale for taking the programmatic-framework design approach for the MCRP is to ensure complementarity and avoid duplications across the range of relevant infrastructure restoration and social cohesion building interventions currently on the anvil by a range of government institutions and development partners. Annex </w:t>
      </w:r>
      <w:r>
        <w:rPr>
          <w:rFonts w:asciiTheme="minorHAnsi" w:hAnsiTheme="minorHAnsi"/>
          <w:bCs/>
          <w:color w:val="auto"/>
          <w:sz w:val="22"/>
          <w:szCs w:val="22"/>
        </w:rPr>
        <w:t>5</w:t>
      </w:r>
      <w:r w:rsidRPr="00FB6E71">
        <w:rPr>
          <w:rFonts w:asciiTheme="minorHAnsi" w:hAnsiTheme="minorHAnsi"/>
          <w:bCs/>
          <w:color w:val="auto"/>
          <w:sz w:val="22"/>
          <w:szCs w:val="22"/>
        </w:rPr>
        <w:t xml:space="preserve"> provides a list of the currently known and/or proposed interventions in the NE relevant to the project. These have been, and will continue to be, taken into consideration to ensure that the MCRP builds synergies and complementarities with these projects. This is</w:t>
      </w:r>
      <w:r>
        <w:rPr>
          <w:rFonts w:asciiTheme="minorHAnsi" w:hAnsiTheme="minorHAnsi"/>
          <w:bCs/>
          <w:color w:val="auto"/>
          <w:sz w:val="22"/>
          <w:szCs w:val="22"/>
        </w:rPr>
        <w:t>,</w:t>
      </w:r>
      <w:r w:rsidRPr="00FB6E71">
        <w:rPr>
          <w:rFonts w:asciiTheme="minorHAnsi" w:hAnsiTheme="minorHAnsi"/>
          <w:bCs/>
          <w:color w:val="auto"/>
          <w:sz w:val="22"/>
          <w:szCs w:val="22"/>
        </w:rPr>
        <w:t xml:space="preserve"> however</w:t>
      </w:r>
      <w:r>
        <w:rPr>
          <w:rFonts w:asciiTheme="minorHAnsi" w:hAnsiTheme="minorHAnsi"/>
          <w:bCs/>
          <w:color w:val="auto"/>
          <w:sz w:val="22"/>
          <w:szCs w:val="22"/>
        </w:rPr>
        <w:t>,</w:t>
      </w:r>
      <w:r w:rsidRPr="00FB6E71">
        <w:rPr>
          <w:rFonts w:asciiTheme="minorHAnsi" w:hAnsiTheme="minorHAnsi"/>
          <w:bCs/>
          <w:color w:val="auto"/>
          <w:sz w:val="22"/>
          <w:szCs w:val="22"/>
        </w:rPr>
        <w:t xml:space="preserve"> not a one-off process and will require the institution of a rigorous institutional decision</w:t>
      </w:r>
      <w:r>
        <w:rPr>
          <w:rFonts w:asciiTheme="minorHAnsi" w:hAnsiTheme="minorHAnsi"/>
          <w:bCs/>
          <w:color w:val="auto"/>
          <w:sz w:val="22"/>
          <w:szCs w:val="22"/>
        </w:rPr>
        <w:t>-</w:t>
      </w:r>
      <w:r w:rsidRPr="00FB6E71">
        <w:rPr>
          <w:rFonts w:asciiTheme="minorHAnsi" w:hAnsiTheme="minorHAnsi"/>
          <w:bCs/>
          <w:color w:val="auto"/>
          <w:sz w:val="22"/>
          <w:szCs w:val="22"/>
        </w:rPr>
        <w:t xml:space="preserve">making process toward filling sectoral and geographic gaps where possible and necessarily avoiding overlaps where necessary.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Concentration and </w:t>
      </w:r>
      <w:r>
        <w:rPr>
          <w:rFonts w:asciiTheme="minorHAnsi" w:hAnsiTheme="minorHAnsi"/>
          <w:b/>
          <w:bCs/>
          <w:color w:val="auto"/>
          <w:sz w:val="22"/>
          <w:szCs w:val="22"/>
        </w:rPr>
        <w:t>c</w:t>
      </w:r>
      <w:r w:rsidRPr="00FB6E71">
        <w:rPr>
          <w:rFonts w:asciiTheme="minorHAnsi" w:hAnsiTheme="minorHAnsi"/>
          <w:b/>
          <w:bCs/>
          <w:color w:val="auto"/>
          <w:sz w:val="22"/>
          <w:szCs w:val="22"/>
        </w:rPr>
        <w:t xml:space="preserve">onsolidation of </w:t>
      </w:r>
      <w:r>
        <w:rPr>
          <w:rFonts w:asciiTheme="minorHAnsi" w:hAnsiTheme="minorHAnsi"/>
          <w:b/>
          <w:bCs/>
          <w:color w:val="auto"/>
          <w:sz w:val="22"/>
          <w:szCs w:val="22"/>
        </w:rPr>
        <w:t>i</w:t>
      </w:r>
      <w:r w:rsidRPr="00FB6E71">
        <w:rPr>
          <w:rFonts w:asciiTheme="minorHAnsi" w:hAnsiTheme="minorHAnsi"/>
          <w:b/>
          <w:bCs/>
          <w:color w:val="auto"/>
          <w:sz w:val="22"/>
          <w:szCs w:val="22"/>
        </w:rPr>
        <w:t xml:space="preserve">ntended </w:t>
      </w:r>
      <w:r>
        <w:rPr>
          <w:rFonts w:asciiTheme="minorHAnsi" w:hAnsiTheme="minorHAnsi"/>
          <w:b/>
          <w:bCs/>
          <w:color w:val="auto"/>
          <w:sz w:val="22"/>
          <w:szCs w:val="22"/>
        </w:rPr>
        <w:t>p</w:t>
      </w:r>
      <w:r w:rsidRPr="00FB6E71">
        <w:rPr>
          <w:rFonts w:asciiTheme="minorHAnsi" w:hAnsiTheme="minorHAnsi"/>
          <w:b/>
          <w:bCs/>
          <w:color w:val="auto"/>
          <w:sz w:val="22"/>
          <w:szCs w:val="22"/>
        </w:rPr>
        <w:t xml:space="preserve">roject </w:t>
      </w:r>
      <w:r>
        <w:rPr>
          <w:rFonts w:asciiTheme="minorHAnsi" w:hAnsiTheme="minorHAnsi"/>
          <w:b/>
          <w:bCs/>
          <w:color w:val="auto"/>
          <w:sz w:val="22"/>
          <w:szCs w:val="22"/>
        </w:rPr>
        <w:t>i</w:t>
      </w:r>
      <w:r w:rsidRPr="00FB6E71">
        <w:rPr>
          <w:rFonts w:asciiTheme="minorHAnsi" w:hAnsiTheme="minorHAnsi"/>
          <w:b/>
          <w:bCs/>
          <w:color w:val="auto"/>
          <w:sz w:val="22"/>
          <w:szCs w:val="22"/>
        </w:rPr>
        <w:t>mpact</w:t>
      </w:r>
      <w:r>
        <w:rPr>
          <w:rFonts w:asciiTheme="minorHAnsi" w:hAnsiTheme="minorHAnsi"/>
          <w:b/>
          <w:bCs/>
          <w:color w:val="auto"/>
          <w:sz w:val="22"/>
          <w:szCs w:val="22"/>
        </w:rPr>
        <w:t>.</w:t>
      </w:r>
      <w:r w:rsidRPr="00FB6E71">
        <w:rPr>
          <w:rFonts w:asciiTheme="minorHAnsi" w:hAnsiTheme="minorHAnsi"/>
          <w:bCs/>
          <w:color w:val="auto"/>
          <w:sz w:val="22"/>
          <w:szCs w:val="22"/>
        </w:rPr>
        <w:t xml:space="preserve"> Given that project resource allocation is only a fraction of the overall needs estimate of the RPBA, the project will only target the three most heavily and directly </w:t>
      </w:r>
      <w:r>
        <w:rPr>
          <w:rFonts w:asciiTheme="minorHAnsi" w:hAnsiTheme="minorHAnsi"/>
          <w:bCs/>
          <w:color w:val="auto"/>
          <w:sz w:val="22"/>
          <w:szCs w:val="22"/>
        </w:rPr>
        <w:t>affected</w:t>
      </w:r>
      <w:r w:rsidRPr="00FB6E71">
        <w:rPr>
          <w:rFonts w:asciiTheme="minorHAnsi" w:hAnsiTheme="minorHAnsi"/>
          <w:bCs/>
          <w:color w:val="auto"/>
          <w:sz w:val="22"/>
          <w:szCs w:val="22"/>
        </w:rPr>
        <w:t xml:space="preserve"> BAY states to concentrate and deepen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project impact in fewer states rather than spreading it thin across the six affected states. Hence, the selection of the constituent project states, and subsequent project resource allocation across these states, is based largely on the principles of </w:t>
      </w:r>
      <w:r>
        <w:rPr>
          <w:rFonts w:asciiTheme="minorHAnsi" w:hAnsiTheme="minorHAnsi"/>
          <w:bCs/>
          <w:color w:val="auto"/>
          <w:sz w:val="22"/>
          <w:szCs w:val="22"/>
        </w:rPr>
        <w:t>‘</w:t>
      </w:r>
      <w:r w:rsidRPr="00FB6E71">
        <w:rPr>
          <w:rFonts w:asciiTheme="minorHAnsi" w:hAnsiTheme="minorHAnsi"/>
          <w:bCs/>
          <w:color w:val="auto"/>
          <w:sz w:val="22"/>
          <w:szCs w:val="22"/>
        </w:rPr>
        <w:t>impact proportionality</w:t>
      </w:r>
      <w:r>
        <w:rPr>
          <w:rFonts w:asciiTheme="minorHAnsi" w:hAnsiTheme="minorHAnsi"/>
          <w:bCs/>
          <w:color w:val="auto"/>
          <w:sz w:val="22"/>
          <w:szCs w:val="22"/>
        </w:rPr>
        <w:t>’</w:t>
      </w:r>
      <w:r w:rsidRPr="00FB6E71">
        <w:rPr>
          <w:rFonts w:asciiTheme="minorHAnsi" w:hAnsiTheme="minorHAnsi"/>
          <w:bCs/>
          <w:color w:val="auto"/>
          <w:sz w:val="22"/>
          <w:szCs w:val="22"/>
        </w:rPr>
        <w:t xml:space="preserve"> and </w:t>
      </w:r>
      <w:r>
        <w:rPr>
          <w:rFonts w:asciiTheme="minorHAnsi" w:hAnsiTheme="minorHAnsi"/>
          <w:bCs/>
          <w:color w:val="auto"/>
          <w:sz w:val="22"/>
          <w:szCs w:val="22"/>
        </w:rPr>
        <w:t>‘</w:t>
      </w:r>
      <w:r w:rsidRPr="00FB6E71">
        <w:rPr>
          <w:rFonts w:asciiTheme="minorHAnsi" w:hAnsiTheme="minorHAnsi"/>
          <w:bCs/>
          <w:color w:val="auto"/>
          <w:sz w:val="22"/>
          <w:szCs w:val="22"/>
        </w:rPr>
        <w:t>impact maximization</w:t>
      </w:r>
      <w:r>
        <w:rPr>
          <w:rFonts w:asciiTheme="minorHAnsi" w:hAnsiTheme="minorHAnsi"/>
          <w:bCs/>
          <w:color w:val="auto"/>
          <w:sz w:val="22"/>
          <w:szCs w:val="22"/>
        </w:rPr>
        <w:t>’</w:t>
      </w:r>
      <w:r w:rsidRPr="00FB6E71">
        <w:rPr>
          <w:rFonts w:asciiTheme="minorHAnsi" w:hAnsiTheme="minorHAnsi"/>
          <w:bCs/>
          <w:color w:val="auto"/>
          <w:sz w:val="22"/>
          <w:szCs w:val="22"/>
        </w:rPr>
        <w:t>. The AfDB and IsDB infrastructure interventions are being spread across the three other largely displacement</w:t>
      </w:r>
      <w:r>
        <w:rPr>
          <w:rFonts w:asciiTheme="minorHAnsi" w:hAnsiTheme="minorHAnsi"/>
          <w:bCs/>
          <w:color w:val="auto"/>
          <w:sz w:val="22"/>
          <w:szCs w:val="22"/>
        </w:rPr>
        <w:t>-</w:t>
      </w:r>
      <w:r w:rsidRPr="00FB6E71">
        <w:rPr>
          <w:rFonts w:asciiTheme="minorHAnsi" w:hAnsiTheme="minorHAnsi"/>
          <w:bCs/>
          <w:color w:val="auto"/>
          <w:sz w:val="22"/>
          <w:szCs w:val="22"/>
        </w:rPr>
        <w:t xml:space="preserve">affected states, which also allows the World Bank </w:t>
      </w:r>
      <w:r w:rsidRPr="00FB6E71">
        <w:rPr>
          <w:rFonts w:ascii="Calibri" w:eastAsia="Times New Roman" w:hAnsi="Calibri" w:cs="Times New Roman"/>
          <w:color w:val="auto"/>
          <w:sz w:val="22"/>
          <w:szCs w:val="22"/>
        </w:rPr>
        <w:t xml:space="preserve">project to place focus on the BAY states. </w:t>
      </w:r>
    </w:p>
    <w:p w:rsidR="007F2DE7" w:rsidRPr="00490667" w:rsidP="007F2DE7">
      <w:pPr>
        <w:pStyle w:val="Normal202"/>
        <w:keepNext/>
        <w:keepLines/>
        <w:widowControl/>
        <w:spacing w:after="240"/>
        <w:rPr>
          <w:rFonts w:asciiTheme="minorHAnsi" w:hAnsiTheme="minorHAnsi"/>
          <w:b/>
          <w:color w:val="172D5F"/>
          <w:sz w:val="22"/>
          <w:szCs w:val="22"/>
        </w:rPr>
      </w:pPr>
      <w:r w:rsidRPr="00490667">
        <w:rPr>
          <w:rFonts w:asciiTheme="minorHAnsi" w:hAnsiTheme="minorHAnsi"/>
          <w:b/>
          <w:color w:val="172D5F"/>
          <w:sz w:val="22"/>
          <w:szCs w:val="22"/>
        </w:rPr>
        <w:t>Proposed Resource Allocation across Project Components and Subcomponents</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To achieve the aforementioned objectives, it is proposed to take a programmatic and multi-sector approach to recovery and peace building as recommended by the RPBA</w:t>
      </w:r>
      <w:r w:rsidRPr="003544C3">
        <w:rPr>
          <w:rFonts w:asciiTheme="minorHAnsi" w:hAnsiTheme="minorHAnsi"/>
          <w:b/>
          <w:bCs/>
          <w:color w:val="auto"/>
          <w:sz w:val="22"/>
          <w:szCs w:val="22"/>
        </w:rPr>
        <w:t>.</w:t>
      </w:r>
      <w:r w:rsidRPr="00FB6E71">
        <w:rPr>
          <w:rFonts w:asciiTheme="minorHAnsi" w:hAnsiTheme="minorHAnsi"/>
          <w:bCs/>
          <w:color w:val="auto"/>
          <w:sz w:val="22"/>
          <w:szCs w:val="22"/>
        </w:rPr>
        <w:t xml:space="preserve"> Accordingly, at this stage</w:t>
      </w:r>
      <w:r>
        <w:rPr>
          <w:rFonts w:asciiTheme="minorHAnsi" w:hAnsiTheme="minorHAnsi"/>
          <w:bCs/>
          <w:color w:val="auto"/>
          <w:sz w:val="22"/>
          <w:szCs w:val="22"/>
        </w:rPr>
        <w:t>,</w:t>
      </w:r>
      <w:r w:rsidRPr="00FB6E71">
        <w:rPr>
          <w:rFonts w:asciiTheme="minorHAnsi" w:hAnsiTheme="minorHAnsi"/>
          <w:bCs/>
          <w:color w:val="auto"/>
          <w:sz w:val="22"/>
          <w:szCs w:val="22"/>
        </w:rPr>
        <w:t xml:space="preserve"> the MCRP will be implemented through the following three components. These components are proposed to be </w:t>
      </w:r>
      <w:r w:rsidRPr="00FB6E71">
        <w:rPr>
          <w:rFonts w:asciiTheme="minorHAnsi" w:hAnsiTheme="minorHAnsi" w:cs="Times New Roman"/>
          <w:sz w:val="22"/>
          <w:szCs w:val="22"/>
        </w:rPr>
        <w:t>subsets</w:t>
      </w:r>
      <w:r w:rsidRPr="00FB6E71">
        <w:rPr>
          <w:rFonts w:asciiTheme="minorHAnsi" w:hAnsiTheme="minorHAnsi"/>
          <w:bCs/>
          <w:color w:val="auto"/>
          <w:sz w:val="22"/>
          <w:szCs w:val="22"/>
        </w:rPr>
        <w:t xml:space="preserve"> of the corresponding and larger program-level needs identified in the RPBA. The project design is based on providing a programmatic, multi-sector</w:t>
      </w:r>
      <w:r>
        <w:rPr>
          <w:rFonts w:asciiTheme="minorHAnsi" w:hAnsiTheme="minorHAnsi"/>
          <w:bCs/>
          <w:color w:val="auto"/>
          <w:sz w:val="22"/>
          <w:szCs w:val="22"/>
        </w:rPr>
        <w:t>,</w:t>
      </w:r>
      <w:r w:rsidRPr="00FB6E71">
        <w:rPr>
          <w:rFonts w:asciiTheme="minorHAnsi" w:hAnsiTheme="minorHAnsi"/>
          <w:bCs/>
          <w:color w:val="auto"/>
          <w:sz w:val="22"/>
          <w:szCs w:val="22"/>
        </w:rPr>
        <w:t xml:space="preserve"> and multi-partner solution to crisis recovery in the three BAY states.</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1.</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Table_1. \* ARABIC </w:instrText>
      </w:r>
      <w:r w:rsidRPr="00FB6E71">
        <w:rPr>
          <w:rFonts w:asciiTheme="minorHAnsi" w:hAnsiTheme="minorHAnsi"/>
          <w:b/>
          <w:i w:val="0"/>
          <w:color w:val="auto"/>
        </w:rPr>
        <w:fldChar w:fldCharType="separate"/>
      </w:r>
      <w:r w:rsidRPr="00FB6E71">
        <w:rPr>
          <w:rFonts w:asciiTheme="minorHAnsi" w:hAnsiTheme="minorHAnsi"/>
          <w:b/>
          <w:i w:val="0"/>
          <w:color w:val="auto"/>
        </w:rPr>
        <w:t>1</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Project Costing by Component</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91"/>
        <w:gridCol w:w="960"/>
        <w:gridCol w:w="1285"/>
      </w:tblGrid>
      <w:tr w:rsidTr="007F2DE7">
        <w:tblPrEx>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210"/>
          <w:tblHeader/>
          <w:jc w:val="center"/>
        </w:trPr>
        <w:tc>
          <w:tcPr>
            <w:tcW w:w="6391" w:type="dxa"/>
            <w:vMerge w:val="restart"/>
            <w:vAlign w:val="center"/>
          </w:tcPr>
          <w:p w:rsidR="007F2DE7" w:rsidRPr="00FB6E71" w:rsidP="007F2DE7">
            <w:pPr>
              <w:widowControl/>
              <w:jc w:val="center"/>
              <w:rPr>
                <w:rFonts w:asciiTheme="minorHAnsi" w:hAnsiTheme="minorHAnsi"/>
                <w:b/>
                <w:color w:val="000000" w:themeColor="text1"/>
                <w:sz w:val="18"/>
                <w:szCs w:val="18"/>
              </w:rPr>
            </w:pPr>
            <w:r w:rsidRPr="00FB6E71">
              <w:rPr>
                <w:rFonts w:asciiTheme="minorHAnsi" w:hAnsiTheme="minorHAnsi"/>
                <w:b/>
                <w:color w:val="000000" w:themeColor="text1"/>
                <w:sz w:val="18"/>
                <w:szCs w:val="18"/>
              </w:rPr>
              <w:t>Project Components</w:t>
            </w:r>
          </w:p>
        </w:tc>
        <w:tc>
          <w:tcPr>
            <w:tcW w:w="2245" w:type="dxa"/>
            <w:gridSpan w:val="2"/>
            <w:vAlign w:val="center"/>
          </w:tcPr>
          <w:p w:rsidR="007F2DE7" w:rsidRPr="00FB6E71" w:rsidP="007F2DE7">
            <w:pPr>
              <w:jc w:val="center"/>
              <w:rPr>
                <w:rFonts w:asciiTheme="minorHAnsi" w:hAnsiTheme="minorHAnsi"/>
                <w:b/>
                <w:color w:val="000000" w:themeColor="text1"/>
                <w:sz w:val="18"/>
                <w:szCs w:val="18"/>
              </w:rPr>
            </w:pPr>
            <w:r w:rsidRPr="00FB6E71">
              <w:rPr>
                <w:rFonts w:asciiTheme="minorHAnsi" w:hAnsiTheme="minorHAnsi"/>
                <w:b/>
                <w:color w:val="000000" w:themeColor="text1"/>
                <w:sz w:val="18"/>
                <w:szCs w:val="18"/>
              </w:rPr>
              <w:t xml:space="preserve">World Bank Financing </w:t>
            </w:r>
          </w:p>
        </w:tc>
      </w:tr>
      <w:tr w:rsidTr="007F2DE7">
        <w:tblPrEx>
          <w:tblW w:w="4618" w:type="pct"/>
          <w:jc w:val="center"/>
          <w:tblLayout w:type="fixed"/>
          <w:tblLook w:val="04A0"/>
        </w:tblPrEx>
        <w:trPr>
          <w:cantSplit/>
          <w:trHeight w:val="214"/>
          <w:tblHeader/>
          <w:jc w:val="center"/>
        </w:trPr>
        <w:tc>
          <w:tcPr>
            <w:tcW w:w="6391" w:type="dxa"/>
            <w:vMerge/>
            <w:vAlign w:val="center"/>
          </w:tcPr>
          <w:p w:rsidR="007F2DE7" w:rsidRPr="00FB6E71" w:rsidP="007F2DE7">
            <w:pPr>
              <w:widowControl/>
              <w:jc w:val="center"/>
              <w:rPr>
                <w:rFonts w:asciiTheme="minorHAnsi" w:hAnsiTheme="minorHAnsi"/>
                <w:b/>
                <w:color w:val="000000" w:themeColor="text1"/>
                <w:sz w:val="18"/>
                <w:szCs w:val="18"/>
              </w:rPr>
            </w:pPr>
          </w:p>
        </w:tc>
        <w:tc>
          <w:tcPr>
            <w:tcW w:w="960" w:type="dxa"/>
            <w:vAlign w:val="center"/>
          </w:tcPr>
          <w:p w:rsidR="007F2DE7" w:rsidRPr="00FB6E71" w:rsidP="007F2DE7">
            <w:pPr>
              <w:jc w:val="center"/>
              <w:rPr>
                <w:rFonts w:asciiTheme="minorHAnsi" w:hAnsiTheme="minorHAnsi"/>
                <w:b/>
                <w:color w:val="000000" w:themeColor="text1"/>
                <w:sz w:val="18"/>
                <w:szCs w:val="18"/>
              </w:rPr>
            </w:pPr>
            <w:r>
              <w:rPr>
                <w:rFonts w:asciiTheme="minorHAnsi" w:hAnsiTheme="minorHAnsi"/>
                <w:b/>
                <w:color w:val="000000" w:themeColor="text1"/>
                <w:sz w:val="18"/>
                <w:szCs w:val="18"/>
              </w:rPr>
              <w:t>SDR</w:t>
            </w:r>
            <w:r w:rsidRPr="00FB6E71">
              <w:rPr>
                <w:rFonts w:asciiTheme="minorHAnsi" w:hAnsiTheme="minorHAnsi"/>
                <w:b/>
                <w:color w:val="000000" w:themeColor="text1"/>
                <w:sz w:val="18"/>
                <w:szCs w:val="18"/>
              </w:rPr>
              <w:t>, millions</w:t>
            </w:r>
          </w:p>
        </w:tc>
        <w:tc>
          <w:tcPr>
            <w:tcW w:w="1285" w:type="dxa"/>
            <w:vAlign w:val="center"/>
          </w:tcPr>
          <w:p w:rsidR="007F2DE7" w:rsidRPr="00FB6E71" w:rsidP="007F2DE7">
            <w:pPr>
              <w:jc w:val="center"/>
              <w:rPr>
                <w:rFonts w:asciiTheme="minorHAnsi" w:hAnsiTheme="minorHAnsi"/>
                <w:b/>
                <w:color w:val="000000" w:themeColor="text1"/>
                <w:sz w:val="18"/>
                <w:szCs w:val="18"/>
              </w:rPr>
            </w:pPr>
            <w:r w:rsidRPr="00FB6E71">
              <w:rPr>
                <w:rFonts w:asciiTheme="minorHAnsi" w:hAnsiTheme="minorHAnsi"/>
                <w:b/>
                <w:color w:val="000000" w:themeColor="text1"/>
                <w:sz w:val="18"/>
                <w:szCs w:val="18"/>
              </w:rPr>
              <w:t>US$, millions</w:t>
            </w:r>
          </w:p>
        </w:tc>
      </w:tr>
      <w:tr w:rsidTr="007F2DE7">
        <w:tblPrEx>
          <w:tblW w:w="4618" w:type="pct"/>
          <w:jc w:val="center"/>
          <w:tblLayout w:type="fixed"/>
          <w:tblLook w:val="04A0"/>
        </w:tblPrEx>
        <w:trPr>
          <w:cantSplit/>
          <w:trHeight w:val="20"/>
          <w:jc w:val="center"/>
        </w:trPr>
        <w:tc>
          <w:tcPr>
            <w:tcW w:w="6391" w:type="dxa"/>
          </w:tcPr>
          <w:p w:rsidR="007F2DE7" w:rsidRPr="00FB6E71" w:rsidP="007F2DE7">
            <w:pPr>
              <w:pStyle w:val="Normal0"/>
              <w:spacing w:after="0" w:line="240" w:lineRule="auto"/>
              <w:rPr>
                <w:b/>
                <w:color w:val="000000" w:themeColor="text1"/>
                <w:sz w:val="18"/>
                <w:szCs w:val="18"/>
              </w:rPr>
            </w:pPr>
            <w:r w:rsidRPr="00FB6E71">
              <w:rPr>
                <w:color w:val="000000" w:themeColor="text1"/>
                <w:sz w:val="18"/>
                <w:szCs w:val="18"/>
              </w:rPr>
              <w:t xml:space="preserve">Component 1: </w:t>
            </w:r>
            <w:r w:rsidRPr="00FB6E71">
              <w:rPr>
                <w:sz w:val="18"/>
                <w:szCs w:val="18"/>
              </w:rPr>
              <w:t>Strengthening Peace Building, Stability, and Social Cohesion</w:t>
            </w:r>
          </w:p>
        </w:tc>
        <w:tc>
          <w:tcPr>
            <w:tcW w:w="960" w:type="dxa"/>
          </w:tcPr>
          <w:p w:rsidR="007F2DE7" w:rsidRPr="00FB6E71" w:rsidP="007F2DE7">
            <w:pPr>
              <w:pStyle w:val="Normal0"/>
              <w:spacing w:after="0" w:line="240" w:lineRule="auto"/>
              <w:jc w:val="center"/>
              <w:rPr>
                <w:color w:val="000000" w:themeColor="text1"/>
                <w:sz w:val="18"/>
                <w:szCs w:val="18"/>
              </w:rPr>
            </w:pPr>
            <w:r>
              <w:rPr>
                <w:color w:val="000000" w:themeColor="text1"/>
                <w:sz w:val="18"/>
                <w:szCs w:val="18"/>
              </w:rPr>
              <w:t>22.3</w:t>
            </w:r>
          </w:p>
        </w:tc>
        <w:tc>
          <w:tcPr>
            <w:tcW w:w="1285" w:type="dxa"/>
          </w:tcPr>
          <w:p w:rsidR="007F2DE7" w:rsidRPr="00FB6E71" w:rsidP="007F2DE7">
            <w:pPr>
              <w:pStyle w:val="Normal0"/>
              <w:spacing w:after="0" w:line="240" w:lineRule="auto"/>
              <w:jc w:val="center"/>
              <w:rPr>
                <w:color w:val="000000" w:themeColor="text1"/>
                <w:sz w:val="18"/>
                <w:szCs w:val="18"/>
              </w:rPr>
            </w:pPr>
            <w:r w:rsidRPr="00FB6E71">
              <w:rPr>
                <w:color w:val="000000" w:themeColor="text1"/>
                <w:sz w:val="18"/>
                <w:szCs w:val="18"/>
              </w:rPr>
              <w:t>30</w:t>
            </w:r>
          </w:p>
        </w:tc>
      </w:tr>
      <w:tr w:rsidTr="007F2DE7">
        <w:tblPrEx>
          <w:tblW w:w="4618" w:type="pct"/>
          <w:jc w:val="center"/>
          <w:tblLayout w:type="fixed"/>
          <w:tblLook w:val="04A0"/>
        </w:tblPrEx>
        <w:trPr>
          <w:cantSplit/>
          <w:trHeight w:val="20"/>
          <w:jc w:val="center"/>
        </w:trPr>
        <w:tc>
          <w:tcPr>
            <w:tcW w:w="6391" w:type="dxa"/>
          </w:tcPr>
          <w:p w:rsidR="007F2DE7" w:rsidRPr="00FB6E71" w:rsidP="007F2DE7">
            <w:pPr>
              <w:pStyle w:val="Normal0"/>
              <w:spacing w:after="0" w:line="240" w:lineRule="auto"/>
              <w:rPr>
                <w:color w:val="000000" w:themeColor="text1"/>
                <w:sz w:val="18"/>
                <w:szCs w:val="18"/>
              </w:rPr>
            </w:pPr>
            <w:r w:rsidRPr="00FB6E71">
              <w:rPr>
                <w:color w:val="000000" w:themeColor="text1"/>
                <w:sz w:val="18"/>
                <w:szCs w:val="18"/>
              </w:rPr>
              <w:t xml:space="preserve">Component 2: </w:t>
            </w:r>
            <w:r w:rsidRPr="00FB6E71">
              <w:rPr>
                <w:sz w:val="18"/>
                <w:szCs w:val="18"/>
              </w:rPr>
              <w:t>Infrastructure Rehabilitation and Service Delivery Restoration and Improvement</w:t>
            </w:r>
          </w:p>
        </w:tc>
        <w:tc>
          <w:tcPr>
            <w:tcW w:w="960" w:type="dxa"/>
          </w:tcPr>
          <w:p w:rsidR="007F2DE7" w:rsidRPr="00FB6E71" w:rsidP="007F2DE7">
            <w:pPr>
              <w:pStyle w:val="Normal0"/>
              <w:spacing w:after="0" w:line="240" w:lineRule="auto"/>
              <w:jc w:val="center"/>
              <w:rPr>
                <w:color w:val="000000" w:themeColor="text1"/>
                <w:sz w:val="18"/>
                <w:szCs w:val="18"/>
              </w:rPr>
            </w:pPr>
            <w:r>
              <w:rPr>
                <w:color w:val="000000" w:themeColor="text1"/>
                <w:sz w:val="18"/>
                <w:szCs w:val="18"/>
              </w:rPr>
              <w:t>111.6</w:t>
            </w:r>
          </w:p>
        </w:tc>
        <w:tc>
          <w:tcPr>
            <w:tcW w:w="1285" w:type="dxa"/>
          </w:tcPr>
          <w:p w:rsidR="007F2DE7" w:rsidRPr="00FB6E71" w:rsidP="007F2DE7">
            <w:pPr>
              <w:pStyle w:val="Normal0"/>
              <w:spacing w:after="0" w:line="240" w:lineRule="auto"/>
              <w:jc w:val="center"/>
              <w:rPr>
                <w:color w:val="000000" w:themeColor="text1"/>
                <w:sz w:val="18"/>
                <w:szCs w:val="18"/>
              </w:rPr>
            </w:pPr>
            <w:r w:rsidRPr="00FB6E71">
              <w:rPr>
                <w:color w:val="000000" w:themeColor="text1"/>
                <w:sz w:val="18"/>
                <w:szCs w:val="18"/>
              </w:rPr>
              <w:t>150</w:t>
            </w:r>
          </w:p>
        </w:tc>
      </w:tr>
      <w:tr w:rsidTr="007F2DE7">
        <w:tblPrEx>
          <w:tblW w:w="4618" w:type="pct"/>
          <w:jc w:val="center"/>
          <w:tblLayout w:type="fixed"/>
          <w:tblLook w:val="04A0"/>
        </w:tblPrEx>
        <w:trPr>
          <w:cantSplit/>
          <w:trHeight w:val="20"/>
          <w:jc w:val="center"/>
        </w:trPr>
        <w:tc>
          <w:tcPr>
            <w:tcW w:w="6391" w:type="dxa"/>
          </w:tcPr>
          <w:p w:rsidR="007F2DE7" w:rsidRPr="00FB6E71" w:rsidP="007F2DE7">
            <w:pPr>
              <w:pStyle w:val="Normal0"/>
              <w:spacing w:after="0" w:line="240" w:lineRule="auto"/>
              <w:rPr>
                <w:color w:val="000000" w:themeColor="text1"/>
                <w:sz w:val="18"/>
                <w:szCs w:val="18"/>
              </w:rPr>
            </w:pPr>
            <w:r w:rsidRPr="00FB6E71">
              <w:rPr>
                <w:color w:val="000000" w:themeColor="text1"/>
                <w:sz w:val="18"/>
                <w:szCs w:val="18"/>
              </w:rPr>
              <w:t xml:space="preserve">Component 3: </w:t>
            </w:r>
            <w:r w:rsidRPr="00FB6E71">
              <w:rPr>
                <w:sz w:val="18"/>
                <w:szCs w:val="18"/>
              </w:rPr>
              <w:t>Technical Assistance and Program Management Support</w:t>
            </w:r>
          </w:p>
        </w:tc>
        <w:tc>
          <w:tcPr>
            <w:tcW w:w="960" w:type="dxa"/>
          </w:tcPr>
          <w:p w:rsidR="007F2DE7" w:rsidRPr="00FB6E71" w:rsidP="007F2DE7">
            <w:pPr>
              <w:pStyle w:val="Normal0"/>
              <w:spacing w:after="0" w:line="240" w:lineRule="auto"/>
              <w:jc w:val="center"/>
              <w:rPr>
                <w:color w:val="000000" w:themeColor="text1"/>
                <w:sz w:val="18"/>
                <w:szCs w:val="18"/>
              </w:rPr>
            </w:pPr>
            <w:r>
              <w:rPr>
                <w:color w:val="000000" w:themeColor="text1"/>
                <w:sz w:val="18"/>
                <w:szCs w:val="18"/>
              </w:rPr>
              <w:t>14.9</w:t>
            </w:r>
          </w:p>
        </w:tc>
        <w:tc>
          <w:tcPr>
            <w:tcW w:w="1285" w:type="dxa"/>
          </w:tcPr>
          <w:p w:rsidR="007F2DE7" w:rsidRPr="00FB6E71" w:rsidP="007F2DE7">
            <w:pPr>
              <w:pStyle w:val="Normal0"/>
              <w:spacing w:after="0" w:line="240" w:lineRule="auto"/>
              <w:jc w:val="center"/>
              <w:rPr>
                <w:color w:val="000000" w:themeColor="text1"/>
                <w:sz w:val="18"/>
                <w:szCs w:val="18"/>
              </w:rPr>
            </w:pPr>
            <w:r w:rsidRPr="00FB6E71">
              <w:rPr>
                <w:color w:val="000000" w:themeColor="text1"/>
                <w:sz w:val="18"/>
                <w:szCs w:val="18"/>
              </w:rPr>
              <w:t>20</w:t>
            </w:r>
          </w:p>
        </w:tc>
      </w:tr>
      <w:tr w:rsidTr="007F2DE7">
        <w:tblPrEx>
          <w:tblW w:w="4618" w:type="pct"/>
          <w:jc w:val="center"/>
          <w:tblLayout w:type="fixed"/>
          <w:tblLook w:val="04A0"/>
        </w:tblPrEx>
        <w:trPr>
          <w:cantSplit/>
          <w:trHeight w:val="20"/>
          <w:jc w:val="center"/>
        </w:trPr>
        <w:tc>
          <w:tcPr>
            <w:tcW w:w="6391" w:type="dxa"/>
          </w:tcPr>
          <w:p w:rsidR="007F2DE7" w:rsidRPr="00FB6E71" w:rsidP="007F2DE7">
            <w:pPr>
              <w:pStyle w:val="Normal0"/>
              <w:spacing w:after="0" w:line="240" w:lineRule="auto"/>
              <w:rPr>
                <w:color w:val="000000" w:themeColor="text1"/>
                <w:sz w:val="18"/>
                <w:szCs w:val="18"/>
              </w:rPr>
            </w:pPr>
            <w:r w:rsidRPr="00FB6E71">
              <w:rPr>
                <w:color w:val="000000" w:themeColor="text1"/>
                <w:sz w:val="18"/>
                <w:szCs w:val="18"/>
              </w:rPr>
              <w:t>Component 4: Contingent Emergency Response</w:t>
            </w:r>
          </w:p>
        </w:tc>
        <w:tc>
          <w:tcPr>
            <w:tcW w:w="960" w:type="dxa"/>
          </w:tcPr>
          <w:p w:rsidR="007F2DE7" w:rsidRPr="00FB6E71" w:rsidP="007F2DE7">
            <w:pPr>
              <w:pStyle w:val="Normal0"/>
              <w:spacing w:after="0" w:line="240" w:lineRule="auto"/>
              <w:jc w:val="center"/>
              <w:rPr>
                <w:color w:val="000000" w:themeColor="text1"/>
                <w:sz w:val="18"/>
                <w:szCs w:val="18"/>
              </w:rPr>
            </w:pPr>
            <w:r>
              <w:rPr>
                <w:color w:val="000000" w:themeColor="text1"/>
                <w:sz w:val="18"/>
                <w:szCs w:val="18"/>
              </w:rPr>
              <w:t>0</w:t>
            </w:r>
          </w:p>
        </w:tc>
        <w:tc>
          <w:tcPr>
            <w:tcW w:w="1285" w:type="dxa"/>
          </w:tcPr>
          <w:p w:rsidR="007F2DE7" w:rsidRPr="00FB6E71" w:rsidP="007F2DE7">
            <w:pPr>
              <w:pStyle w:val="Normal0"/>
              <w:spacing w:after="0" w:line="240" w:lineRule="auto"/>
              <w:jc w:val="center"/>
              <w:rPr>
                <w:color w:val="000000" w:themeColor="text1"/>
                <w:sz w:val="18"/>
                <w:szCs w:val="18"/>
              </w:rPr>
            </w:pPr>
            <w:r w:rsidRPr="00FB6E71">
              <w:rPr>
                <w:color w:val="000000" w:themeColor="text1"/>
                <w:sz w:val="18"/>
                <w:szCs w:val="18"/>
              </w:rPr>
              <w:t>0</w:t>
            </w:r>
          </w:p>
        </w:tc>
      </w:tr>
      <w:tr w:rsidTr="007F2DE7">
        <w:tblPrEx>
          <w:tblW w:w="4618" w:type="pct"/>
          <w:jc w:val="center"/>
          <w:tblLayout w:type="fixed"/>
          <w:tblLook w:val="04A0"/>
        </w:tblPrEx>
        <w:trPr>
          <w:cantSplit/>
          <w:trHeight w:val="20"/>
          <w:jc w:val="center"/>
        </w:trPr>
        <w:tc>
          <w:tcPr>
            <w:tcW w:w="6391" w:type="dxa"/>
          </w:tcPr>
          <w:p w:rsidR="007F2DE7" w:rsidRPr="00FB6E71" w:rsidP="007F2DE7">
            <w:pPr>
              <w:pStyle w:val="Normal0"/>
              <w:spacing w:after="0" w:line="240" w:lineRule="auto"/>
              <w:rPr>
                <w:b/>
                <w:color w:val="000000" w:themeColor="text1"/>
                <w:sz w:val="18"/>
                <w:szCs w:val="18"/>
              </w:rPr>
            </w:pPr>
            <w:r w:rsidRPr="00FB6E71">
              <w:rPr>
                <w:b/>
                <w:color w:val="000000" w:themeColor="text1"/>
                <w:sz w:val="18"/>
                <w:szCs w:val="18"/>
              </w:rPr>
              <w:t>Total Costs</w:t>
            </w:r>
          </w:p>
        </w:tc>
        <w:tc>
          <w:tcPr>
            <w:tcW w:w="960" w:type="dxa"/>
          </w:tcPr>
          <w:p w:rsidR="007F2DE7" w:rsidRPr="00FB6E71" w:rsidP="007F2DE7">
            <w:pPr>
              <w:pStyle w:val="Normal0"/>
              <w:spacing w:after="0" w:line="240" w:lineRule="auto"/>
              <w:jc w:val="center"/>
              <w:rPr>
                <w:b/>
                <w:color w:val="000000" w:themeColor="text1"/>
                <w:sz w:val="18"/>
                <w:szCs w:val="18"/>
              </w:rPr>
            </w:pPr>
            <w:r>
              <w:rPr>
                <w:b/>
                <w:color w:val="000000" w:themeColor="text1"/>
                <w:sz w:val="18"/>
                <w:szCs w:val="18"/>
              </w:rPr>
              <w:t>148.8</w:t>
            </w:r>
          </w:p>
        </w:tc>
        <w:tc>
          <w:tcPr>
            <w:tcW w:w="1285" w:type="dxa"/>
          </w:tcPr>
          <w:p w:rsidR="007F2DE7" w:rsidRPr="00FB6E71" w:rsidP="007F2DE7">
            <w:pPr>
              <w:pStyle w:val="Normal0"/>
              <w:spacing w:after="0" w:line="240" w:lineRule="auto"/>
              <w:jc w:val="center"/>
              <w:rPr>
                <w:b/>
                <w:color w:val="000000" w:themeColor="text1"/>
                <w:sz w:val="18"/>
                <w:szCs w:val="18"/>
              </w:rPr>
            </w:pPr>
            <w:r w:rsidRPr="00FB6E71">
              <w:rPr>
                <w:b/>
                <w:color w:val="000000" w:themeColor="text1"/>
                <w:sz w:val="18"/>
                <w:szCs w:val="18"/>
              </w:rPr>
              <w:t>200</w:t>
            </w:r>
          </w:p>
        </w:tc>
      </w:tr>
    </w:tbl>
    <w:p w:rsidR="007F2DE7" w:rsidRPr="00FB6E71" w:rsidP="007F2DE7">
      <w:pPr>
        <w:pStyle w:val="ListParagraph"/>
        <w:widowControl/>
        <w:ind w:left="0"/>
        <w:contextualSpacing w:val="0"/>
        <w:jc w:val="center"/>
        <w:rPr>
          <w:rFonts w:asciiTheme="minorHAnsi" w:hAnsiTheme="minorHAnsi"/>
          <w:bCs/>
          <w:color w:val="auto"/>
          <w:sz w:val="18"/>
          <w:szCs w:val="18"/>
        </w:rPr>
      </w:pPr>
    </w:p>
    <w:p w:rsidR="007F2DE7" w:rsidRPr="00490667" w:rsidP="007F2DE7">
      <w:pPr>
        <w:pStyle w:val="Normal202"/>
        <w:keepNext/>
        <w:keepLines/>
        <w:widowControl/>
        <w:spacing w:after="240"/>
        <w:rPr>
          <w:rFonts w:asciiTheme="minorHAnsi" w:hAnsiTheme="minorHAnsi"/>
          <w:b/>
          <w:color w:val="172D5F"/>
          <w:sz w:val="22"/>
          <w:szCs w:val="22"/>
        </w:rPr>
      </w:pPr>
      <w:r w:rsidRPr="00490667">
        <w:rPr>
          <w:rFonts w:asciiTheme="minorHAnsi" w:hAnsiTheme="minorHAnsi"/>
          <w:b/>
          <w:color w:val="172D5F"/>
          <w:sz w:val="22"/>
          <w:szCs w:val="22"/>
        </w:rPr>
        <w:t xml:space="preserve">Detailed Description of Proposed Components </w:t>
      </w:r>
    </w:p>
    <w:p w:rsidR="007F2DE7" w:rsidRPr="00FB6E71" w:rsidP="007F2DE7">
      <w:pPr>
        <w:keepNext/>
        <w:keepLines/>
        <w:widowControl/>
        <w:spacing w:after="240"/>
        <w:rPr>
          <w:rFonts w:asciiTheme="minorHAnsi" w:hAnsiTheme="minorHAnsi"/>
          <w:b/>
          <w:bCs/>
          <w:i/>
          <w:color w:val="auto"/>
          <w:sz w:val="22"/>
          <w:szCs w:val="22"/>
        </w:rPr>
      </w:pPr>
      <w:r w:rsidRPr="00FB6E71">
        <w:rPr>
          <w:rFonts w:asciiTheme="minorHAnsi" w:hAnsiTheme="minorHAnsi"/>
          <w:b/>
          <w:bCs/>
          <w:i/>
          <w:color w:val="auto"/>
          <w:sz w:val="22"/>
          <w:szCs w:val="22"/>
        </w:rPr>
        <w:t xml:space="preserve">Component 1: Strengthening Peace Building, Stability, and Social Cohesion </w:t>
      </w:r>
      <w:r>
        <w:rPr>
          <w:rFonts w:asciiTheme="minorHAnsi" w:hAnsiTheme="minorHAnsi"/>
          <w:b/>
          <w:bCs/>
          <w:i/>
          <w:color w:val="auto"/>
          <w:sz w:val="22"/>
          <w:szCs w:val="22"/>
        </w:rPr>
        <w:t>-</w:t>
      </w:r>
      <w:r w:rsidRPr="00FB6E71">
        <w:rPr>
          <w:rFonts w:asciiTheme="minorHAnsi" w:hAnsiTheme="minorHAnsi"/>
          <w:b/>
          <w:bCs/>
          <w:i/>
          <w:color w:val="auto"/>
          <w:sz w:val="22"/>
          <w:szCs w:val="22"/>
        </w:rPr>
        <w:t xml:space="preserve"> </w:t>
      </w:r>
      <w:r>
        <w:rPr>
          <w:rFonts w:asciiTheme="minorHAnsi" w:hAnsiTheme="minorHAnsi"/>
          <w:b/>
          <w:bCs/>
          <w:i/>
          <w:color w:val="auto"/>
          <w:sz w:val="22"/>
          <w:szCs w:val="22"/>
        </w:rPr>
        <w:t>SDR 22.3 million (</w:t>
      </w:r>
      <w:r w:rsidRPr="00FB6E71">
        <w:rPr>
          <w:rFonts w:asciiTheme="minorHAnsi" w:hAnsiTheme="minorHAnsi"/>
          <w:b/>
          <w:bCs/>
          <w:i/>
          <w:color w:val="auto"/>
          <w:sz w:val="22"/>
          <w:szCs w:val="22"/>
        </w:rPr>
        <w:t>US$30 million</w:t>
      </w:r>
      <w:r>
        <w:rPr>
          <w:rFonts w:asciiTheme="minorHAnsi" w:hAnsiTheme="minorHAnsi"/>
          <w:b/>
          <w:bCs/>
          <w:i/>
          <w:color w:val="auto"/>
          <w:sz w:val="22"/>
          <w:szCs w:val="22"/>
        </w:rPr>
        <w:t xml:space="preserve"> equivalent)</w:t>
      </w:r>
    </w:p>
    <w:p w:rsidR="007F2DE7" w:rsidRPr="00FB6E71" w:rsidP="00302E0C">
      <w:pPr>
        <w:pStyle w:val="ListParagraph"/>
        <w:widowControl/>
        <w:numPr>
          <w:ilvl w:val="0"/>
          <w:numId w:val="27"/>
        </w:numPr>
        <w:spacing w:after="240"/>
        <w:ind w:left="0" w:firstLine="0"/>
        <w:contextualSpacing w:val="0"/>
        <w:jc w:val="both"/>
        <w:rPr>
          <w:rFonts w:asciiTheme="minorHAnsi" w:hAnsiTheme="minorHAnsi"/>
          <w:color w:val="auto"/>
          <w:sz w:val="22"/>
          <w:szCs w:val="22"/>
        </w:rPr>
      </w:pPr>
      <w:r w:rsidRPr="00FB6E71">
        <w:rPr>
          <w:rFonts w:asciiTheme="minorHAnsi" w:hAnsiTheme="minorHAnsi"/>
          <w:color w:val="auto"/>
          <w:sz w:val="22"/>
          <w:szCs w:val="22"/>
        </w:rPr>
        <w:t xml:space="preserve">The component draws upon, and is a subset of, the peace building and social cohesion needs and strategy </w:t>
      </w:r>
      <w:r w:rsidRPr="00FB6E71">
        <w:rPr>
          <w:rFonts w:asciiTheme="minorHAnsi" w:hAnsiTheme="minorHAnsi" w:cs="Times New Roman"/>
          <w:sz w:val="22"/>
          <w:szCs w:val="22"/>
        </w:rPr>
        <w:t>developed</w:t>
      </w:r>
      <w:r w:rsidRPr="00FB6E71">
        <w:rPr>
          <w:rFonts w:asciiTheme="minorHAnsi" w:hAnsiTheme="minorHAnsi"/>
          <w:color w:val="auto"/>
          <w:sz w:val="22"/>
          <w:szCs w:val="22"/>
        </w:rPr>
        <w:t xml:space="preserve"> under the RPBA. The needs identified under the RPBA in this respect are to the tune of US$150 million and can be categorized as follows: (a) </w:t>
      </w:r>
      <w:r>
        <w:rPr>
          <w:rFonts w:asciiTheme="minorHAnsi" w:hAnsiTheme="minorHAnsi"/>
          <w:color w:val="auto"/>
          <w:sz w:val="22"/>
          <w:szCs w:val="22"/>
        </w:rPr>
        <w:t>s</w:t>
      </w:r>
      <w:r w:rsidRPr="00FB6E71">
        <w:rPr>
          <w:rFonts w:asciiTheme="minorHAnsi" w:hAnsiTheme="minorHAnsi"/>
          <w:color w:val="auto"/>
          <w:sz w:val="22"/>
          <w:szCs w:val="22"/>
        </w:rPr>
        <w:t xml:space="preserve">afe and voluntary return of forcibly displaced population; (b) </w:t>
      </w:r>
      <w:r>
        <w:rPr>
          <w:rFonts w:asciiTheme="minorHAnsi" w:hAnsiTheme="minorHAnsi"/>
          <w:color w:val="auto"/>
          <w:sz w:val="22"/>
          <w:szCs w:val="22"/>
        </w:rPr>
        <w:t>r</w:t>
      </w:r>
      <w:r w:rsidRPr="00FB6E71">
        <w:rPr>
          <w:rFonts w:asciiTheme="minorHAnsi" w:hAnsiTheme="minorHAnsi"/>
          <w:color w:val="auto"/>
          <w:sz w:val="22"/>
          <w:szCs w:val="22"/>
        </w:rPr>
        <w:t xml:space="preserve">econciliation, </w:t>
      </w:r>
      <w:r>
        <w:rPr>
          <w:rFonts w:asciiTheme="minorHAnsi" w:hAnsiTheme="minorHAnsi"/>
          <w:color w:val="auto"/>
          <w:sz w:val="22"/>
          <w:szCs w:val="22"/>
        </w:rPr>
        <w:t>p</w:t>
      </w:r>
      <w:r w:rsidRPr="00FB6E71">
        <w:rPr>
          <w:rFonts w:asciiTheme="minorHAnsi" w:hAnsiTheme="minorHAnsi"/>
          <w:color w:val="auto"/>
          <w:sz w:val="22"/>
          <w:szCs w:val="22"/>
        </w:rPr>
        <w:t xml:space="preserve">eace </w:t>
      </w:r>
      <w:r>
        <w:rPr>
          <w:rFonts w:asciiTheme="minorHAnsi" w:hAnsiTheme="minorHAnsi"/>
          <w:color w:val="auto"/>
          <w:sz w:val="22"/>
          <w:szCs w:val="22"/>
        </w:rPr>
        <w:t>b</w:t>
      </w:r>
      <w:r w:rsidRPr="00FB6E71">
        <w:rPr>
          <w:rFonts w:asciiTheme="minorHAnsi" w:hAnsiTheme="minorHAnsi"/>
          <w:color w:val="auto"/>
          <w:sz w:val="22"/>
          <w:szCs w:val="22"/>
        </w:rPr>
        <w:t>uilding</w:t>
      </w:r>
      <w:r>
        <w:rPr>
          <w:rFonts w:asciiTheme="minorHAnsi" w:hAnsiTheme="minorHAnsi"/>
          <w:color w:val="auto"/>
          <w:sz w:val="22"/>
          <w:szCs w:val="22"/>
        </w:rPr>
        <w:t>,</w:t>
      </w:r>
      <w:r w:rsidRPr="00FB6E71">
        <w:rPr>
          <w:rFonts w:asciiTheme="minorHAnsi" w:hAnsiTheme="minorHAnsi"/>
          <w:color w:val="auto"/>
          <w:sz w:val="22"/>
          <w:szCs w:val="22"/>
        </w:rPr>
        <w:t xml:space="preserve"> and </w:t>
      </w:r>
      <w:r>
        <w:rPr>
          <w:rFonts w:asciiTheme="minorHAnsi" w:hAnsiTheme="minorHAnsi"/>
          <w:color w:val="auto"/>
          <w:sz w:val="22"/>
          <w:szCs w:val="22"/>
        </w:rPr>
        <w:t>c</w:t>
      </w:r>
      <w:r w:rsidRPr="00FB6E71">
        <w:rPr>
          <w:rFonts w:asciiTheme="minorHAnsi" w:hAnsiTheme="minorHAnsi"/>
          <w:color w:val="auto"/>
          <w:sz w:val="22"/>
          <w:szCs w:val="22"/>
        </w:rPr>
        <w:t xml:space="preserve">ommunity </w:t>
      </w:r>
      <w:r>
        <w:rPr>
          <w:rFonts w:asciiTheme="minorHAnsi" w:hAnsiTheme="minorHAnsi"/>
          <w:color w:val="auto"/>
          <w:sz w:val="22"/>
          <w:szCs w:val="22"/>
        </w:rPr>
        <w:t>c</w:t>
      </w:r>
      <w:r w:rsidRPr="00FB6E71">
        <w:rPr>
          <w:rFonts w:asciiTheme="minorHAnsi" w:hAnsiTheme="minorHAnsi"/>
          <w:color w:val="auto"/>
          <w:sz w:val="22"/>
          <w:szCs w:val="22"/>
        </w:rPr>
        <w:t xml:space="preserve">ohesion; (c) </w:t>
      </w:r>
      <w:r>
        <w:rPr>
          <w:rFonts w:asciiTheme="minorHAnsi" w:hAnsiTheme="minorHAnsi"/>
          <w:color w:val="auto"/>
          <w:sz w:val="22"/>
          <w:szCs w:val="22"/>
        </w:rPr>
        <w:t>l</w:t>
      </w:r>
      <w:r w:rsidRPr="00FB6E71">
        <w:rPr>
          <w:rFonts w:asciiTheme="minorHAnsi" w:hAnsiTheme="minorHAnsi"/>
          <w:color w:val="auto"/>
          <w:sz w:val="22"/>
          <w:szCs w:val="22"/>
        </w:rPr>
        <w:t xml:space="preserve">ocal </w:t>
      </w:r>
      <w:r>
        <w:rPr>
          <w:rFonts w:asciiTheme="minorHAnsi" w:hAnsiTheme="minorHAnsi"/>
          <w:color w:val="auto"/>
          <w:sz w:val="22"/>
          <w:szCs w:val="22"/>
        </w:rPr>
        <w:t>g</w:t>
      </w:r>
      <w:r w:rsidRPr="00FB6E71">
        <w:rPr>
          <w:rFonts w:asciiTheme="minorHAnsi" w:hAnsiTheme="minorHAnsi"/>
          <w:color w:val="auto"/>
          <w:sz w:val="22"/>
          <w:szCs w:val="22"/>
        </w:rPr>
        <w:t xml:space="preserve">overnance and </w:t>
      </w:r>
      <w:r>
        <w:rPr>
          <w:rFonts w:asciiTheme="minorHAnsi" w:hAnsiTheme="minorHAnsi"/>
          <w:color w:val="auto"/>
          <w:sz w:val="22"/>
          <w:szCs w:val="22"/>
        </w:rPr>
        <w:t>c</w:t>
      </w:r>
      <w:r w:rsidRPr="00FB6E71">
        <w:rPr>
          <w:rFonts w:asciiTheme="minorHAnsi" w:hAnsiTheme="minorHAnsi"/>
          <w:color w:val="auto"/>
          <w:sz w:val="22"/>
          <w:szCs w:val="22"/>
        </w:rPr>
        <w:t xml:space="preserve">itizen </w:t>
      </w:r>
      <w:r>
        <w:rPr>
          <w:rFonts w:asciiTheme="minorHAnsi" w:hAnsiTheme="minorHAnsi"/>
          <w:color w:val="auto"/>
          <w:sz w:val="22"/>
          <w:szCs w:val="22"/>
        </w:rPr>
        <w:t>e</w:t>
      </w:r>
      <w:r w:rsidRPr="00FB6E71">
        <w:rPr>
          <w:rFonts w:asciiTheme="minorHAnsi" w:hAnsiTheme="minorHAnsi"/>
          <w:color w:val="auto"/>
          <w:sz w:val="22"/>
          <w:szCs w:val="22"/>
        </w:rPr>
        <w:t>ngagement</w:t>
      </w:r>
      <w:r>
        <w:rPr>
          <w:rFonts w:asciiTheme="minorHAnsi" w:hAnsiTheme="minorHAnsi"/>
          <w:color w:val="auto"/>
          <w:sz w:val="22"/>
          <w:szCs w:val="22"/>
        </w:rPr>
        <w:t>;</w:t>
      </w:r>
      <w:r w:rsidRPr="00FB6E71">
        <w:rPr>
          <w:rFonts w:asciiTheme="minorHAnsi" w:hAnsiTheme="minorHAnsi"/>
          <w:color w:val="auto"/>
          <w:sz w:val="22"/>
          <w:szCs w:val="22"/>
        </w:rPr>
        <w:t xml:space="preserve"> and (d) </w:t>
      </w:r>
      <w:r>
        <w:rPr>
          <w:rFonts w:asciiTheme="minorHAnsi" w:hAnsiTheme="minorHAnsi"/>
          <w:color w:val="auto"/>
          <w:sz w:val="22"/>
          <w:szCs w:val="22"/>
        </w:rPr>
        <w:t>c</w:t>
      </w:r>
      <w:r w:rsidRPr="00FB6E71">
        <w:rPr>
          <w:rFonts w:asciiTheme="minorHAnsi" w:hAnsiTheme="minorHAnsi"/>
          <w:color w:val="auto"/>
          <w:sz w:val="22"/>
          <w:szCs w:val="22"/>
        </w:rPr>
        <w:t xml:space="preserve">ommunity </w:t>
      </w:r>
      <w:r>
        <w:rPr>
          <w:rFonts w:asciiTheme="minorHAnsi" w:hAnsiTheme="minorHAnsi"/>
          <w:color w:val="auto"/>
          <w:sz w:val="22"/>
          <w:szCs w:val="22"/>
        </w:rPr>
        <w:t>s</w:t>
      </w:r>
      <w:r w:rsidRPr="00FB6E71">
        <w:rPr>
          <w:rFonts w:asciiTheme="minorHAnsi" w:hAnsiTheme="minorHAnsi"/>
          <w:color w:val="auto"/>
          <w:sz w:val="22"/>
          <w:szCs w:val="22"/>
        </w:rPr>
        <w:t xml:space="preserve">ecurity, </w:t>
      </w:r>
      <w:r>
        <w:rPr>
          <w:rFonts w:asciiTheme="minorHAnsi" w:hAnsiTheme="minorHAnsi"/>
          <w:color w:val="auto"/>
          <w:sz w:val="22"/>
          <w:szCs w:val="22"/>
        </w:rPr>
        <w:t>j</w:t>
      </w:r>
      <w:r w:rsidRPr="00FB6E71">
        <w:rPr>
          <w:rFonts w:asciiTheme="minorHAnsi" w:hAnsiTheme="minorHAnsi"/>
          <w:color w:val="auto"/>
          <w:sz w:val="22"/>
          <w:szCs w:val="22"/>
        </w:rPr>
        <w:t xml:space="preserve">ustice, </w:t>
      </w:r>
      <w:r>
        <w:rPr>
          <w:rFonts w:asciiTheme="minorHAnsi" w:hAnsiTheme="minorHAnsi"/>
          <w:color w:val="auto"/>
          <w:sz w:val="22"/>
          <w:szCs w:val="22"/>
        </w:rPr>
        <w:t>h</w:t>
      </w:r>
      <w:r w:rsidRPr="00FB6E71">
        <w:rPr>
          <w:rFonts w:asciiTheme="minorHAnsi" w:hAnsiTheme="minorHAnsi"/>
          <w:color w:val="auto"/>
          <w:sz w:val="22"/>
          <w:szCs w:val="22"/>
        </w:rPr>
        <w:t xml:space="preserve">uman </w:t>
      </w:r>
      <w:r>
        <w:rPr>
          <w:rFonts w:asciiTheme="minorHAnsi" w:hAnsiTheme="minorHAnsi"/>
          <w:color w:val="auto"/>
          <w:sz w:val="22"/>
          <w:szCs w:val="22"/>
        </w:rPr>
        <w:t>r</w:t>
      </w:r>
      <w:r w:rsidRPr="00FB6E71">
        <w:rPr>
          <w:rFonts w:asciiTheme="minorHAnsi" w:hAnsiTheme="minorHAnsi"/>
          <w:color w:val="auto"/>
          <w:sz w:val="22"/>
          <w:szCs w:val="22"/>
        </w:rPr>
        <w:t xml:space="preserve">ights, </w:t>
      </w:r>
      <w:r>
        <w:rPr>
          <w:rFonts w:asciiTheme="minorHAnsi" w:hAnsiTheme="minorHAnsi"/>
          <w:color w:val="auto"/>
          <w:sz w:val="22"/>
          <w:szCs w:val="22"/>
        </w:rPr>
        <w:t>m</w:t>
      </w:r>
      <w:r w:rsidRPr="00FB6E71">
        <w:rPr>
          <w:rFonts w:asciiTheme="minorHAnsi" w:hAnsiTheme="minorHAnsi"/>
          <w:color w:val="auto"/>
          <w:sz w:val="22"/>
          <w:szCs w:val="22"/>
        </w:rPr>
        <w:t xml:space="preserve">ine </w:t>
      </w:r>
      <w:r>
        <w:rPr>
          <w:rFonts w:asciiTheme="minorHAnsi" w:hAnsiTheme="minorHAnsi"/>
          <w:color w:val="auto"/>
          <w:sz w:val="22"/>
          <w:szCs w:val="22"/>
        </w:rPr>
        <w:t>a</w:t>
      </w:r>
      <w:r w:rsidRPr="00FB6E71">
        <w:rPr>
          <w:rFonts w:asciiTheme="minorHAnsi" w:hAnsiTheme="minorHAnsi"/>
          <w:color w:val="auto"/>
          <w:sz w:val="22"/>
          <w:szCs w:val="22"/>
        </w:rPr>
        <w:t xml:space="preserve">ction, </w:t>
      </w:r>
      <w:r>
        <w:rPr>
          <w:rFonts w:asciiTheme="minorHAnsi" w:hAnsiTheme="minorHAnsi"/>
          <w:color w:val="auto"/>
          <w:sz w:val="22"/>
          <w:szCs w:val="22"/>
        </w:rPr>
        <w:t>and s</w:t>
      </w:r>
      <w:r w:rsidRPr="00FB6E71">
        <w:rPr>
          <w:rFonts w:asciiTheme="minorHAnsi" w:hAnsiTheme="minorHAnsi"/>
          <w:color w:val="auto"/>
          <w:sz w:val="22"/>
          <w:szCs w:val="22"/>
        </w:rPr>
        <w:t xml:space="preserve">mall </w:t>
      </w:r>
      <w:r>
        <w:rPr>
          <w:rFonts w:asciiTheme="minorHAnsi" w:hAnsiTheme="minorHAnsi"/>
          <w:color w:val="auto"/>
          <w:sz w:val="22"/>
          <w:szCs w:val="22"/>
        </w:rPr>
        <w:t>a</w:t>
      </w:r>
      <w:r w:rsidRPr="00FB6E71">
        <w:rPr>
          <w:rFonts w:asciiTheme="minorHAnsi" w:hAnsiTheme="minorHAnsi"/>
          <w:color w:val="auto"/>
          <w:sz w:val="22"/>
          <w:szCs w:val="22"/>
        </w:rPr>
        <w:t>rm</w:t>
      </w:r>
      <w:r w:rsidRPr="00FB6E71">
        <w:rPr>
          <w:rFonts w:eastAsia="Times New Roman" w:asciiTheme="minorHAnsi" w:hAnsiTheme="minorHAnsi" w:cs="Times New Roman"/>
          <w:color w:val="auto"/>
          <w:sz w:val="22"/>
          <w:szCs w:val="22"/>
        </w:rPr>
        <w:t xml:space="preserve">s </w:t>
      </w:r>
      <w:r>
        <w:rPr>
          <w:rFonts w:eastAsia="Times New Roman" w:asciiTheme="minorHAnsi" w:hAnsiTheme="minorHAnsi" w:cs="Times New Roman"/>
          <w:color w:val="auto"/>
          <w:sz w:val="22"/>
          <w:szCs w:val="22"/>
        </w:rPr>
        <w:t>c</w:t>
      </w:r>
      <w:r w:rsidRPr="00FB6E71">
        <w:rPr>
          <w:rFonts w:eastAsia="Times New Roman" w:asciiTheme="minorHAnsi" w:hAnsiTheme="minorHAnsi" w:cs="Times New Roman"/>
          <w:color w:val="auto"/>
          <w:sz w:val="22"/>
          <w:szCs w:val="22"/>
        </w:rPr>
        <w:t xml:space="preserve">ontrol. </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color w:val="auto"/>
          <w:sz w:val="22"/>
          <w:szCs w:val="22"/>
        </w:rPr>
        <w:t xml:space="preserve">Among the needs identified by the RPBA, the MCRP prioritizes interventions that (a) mitigate the effects of </w:t>
      </w:r>
      <w:r w:rsidRPr="00FB6E71">
        <w:rPr>
          <w:rFonts w:asciiTheme="minorHAnsi" w:hAnsiTheme="minorHAnsi" w:cs="Times New Roman"/>
          <w:sz w:val="22"/>
          <w:szCs w:val="22"/>
        </w:rPr>
        <w:t>the</w:t>
      </w:r>
      <w:r w:rsidRPr="00FB6E71">
        <w:rPr>
          <w:rFonts w:asciiTheme="minorHAnsi" w:hAnsiTheme="minorHAnsi"/>
          <w:color w:val="auto"/>
          <w:sz w:val="22"/>
          <w:szCs w:val="22"/>
        </w:rPr>
        <w:t xml:space="preserve"> conflict on forcibly displaced population and host communities</w:t>
      </w:r>
      <w:r>
        <w:rPr>
          <w:rFonts w:asciiTheme="minorHAnsi" w:hAnsiTheme="minorHAnsi"/>
          <w:color w:val="auto"/>
          <w:sz w:val="22"/>
          <w:szCs w:val="22"/>
        </w:rPr>
        <w:t>,</w:t>
      </w:r>
      <w:r w:rsidRPr="00FB6E71">
        <w:rPr>
          <w:rFonts w:asciiTheme="minorHAnsi" w:hAnsiTheme="minorHAnsi"/>
          <w:color w:val="auto"/>
          <w:sz w:val="22"/>
          <w:szCs w:val="22"/>
        </w:rPr>
        <w:t xml:space="preserve"> (b) prevent the eruption of further conflict by addressing both the root causes of violence as well as the proximate sources of continued social tensions and conflicts, and (c) strengthen the institutional systems and capacities for recovery and peace building.</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b/>
          <w:bCs/>
          <w:color w:val="auto"/>
          <w:sz w:val="22"/>
          <w:szCs w:val="22"/>
        </w:rPr>
        <w:t xml:space="preserve">Overall </w:t>
      </w:r>
      <w:r>
        <w:rPr>
          <w:rFonts w:asciiTheme="minorHAnsi" w:hAnsiTheme="minorHAnsi"/>
          <w:b/>
          <w:bCs/>
          <w:color w:val="auto"/>
          <w:sz w:val="22"/>
          <w:szCs w:val="22"/>
        </w:rPr>
        <w:t>n</w:t>
      </w:r>
      <w:r w:rsidRPr="00FB6E71">
        <w:rPr>
          <w:rFonts w:asciiTheme="minorHAnsi" w:hAnsiTheme="minorHAnsi"/>
          <w:b/>
          <w:bCs/>
          <w:color w:val="auto"/>
          <w:sz w:val="22"/>
          <w:szCs w:val="22"/>
        </w:rPr>
        <w:t xml:space="preserve">eeds for the </w:t>
      </w:r>
      <w:r>
        <w:rPr>
          <w:rFonts w:asciiTheme="minorHAnsi" w:hAnsiTheme="minorHAnsi"/>
          <w:b/>
          <w:bCs/>
          <w:color w:val="auto"/>
          <w:sz w:val="22"/>
          <w:szCs w:val="22"/>
        </w:rPr>
        <w:t>s</w:t>
      </w:r>
      <w:r w:rsidRPr="00FB6E71">
        <w:rPr>
          <w:rFonts w:asciiTheme="minorHAnsi" w:hAnsiTheme="minorHAnsi"/>
          <w:b/>
          <w:bCs/>
          <w:color w:val="auto"/>
          <w:sz w:val="22"/>
          <w:szCs w:val="22"/>
        </w:rPr>
        <w:t xml:space="preserve">afe and </w:t>
      </w:r>
      <w:r>
        <w:rPr>
          <w:rFonts w:asciiTheme="minorHAnsi" w:hAnsiTheme="minorHAnsi"/>
          <w:b/>
          <w:bCs/>
          <w:color w:val="auto"/>
          <w:sz w:val="22"/>
          <w:szCs w:val="22"/>
        </w:rPr>
        <w:t>v</w:t>
      </w:r>
      <w:r w:rsidRPr="00FB6E71">
        <w:rPr>
          <w:rFonts w:asciiTheme="minorHAnsi" w:hAnsiTheme="minorHAnsi"/>
          <w:b/>
          <w:bCs/>
          <w:color w:val="auto"/>
          <w:sz w:val="22"/>
          <w:szCs w:val="22"/>
        </w:rPr>
        <w:t xml:space="preserve">oluntary </w:t>
      </w:r>
      <w:r>
        <w:rPr>
          <w:rFonts w:asciiTheme="minorHAnsi" w:hAnsiTheme="minorHAnsi"/>
          <w:b/>
          <w:bCs/>
          <w:color w:val="auto"/>
          <w:sz w:val="22"/>
          <w:szCs w:val="22"/>
        </w:rPr>
        <w:t>r</w:t>
      </w:r>
      <w:r w:rsidRPr="00FB6E71">
        <w:rPr>
          <w:rFonts w:asciiTheme="minorHAnsi" w:hAnsiTheme="minorHAnsi"/>
          <w:b/>
          <w:bCs/>
          <w:color w:val="auto"/>
          <w:sz w:val="22"/>
          <w:szCs w:val="22"/>
        </w:rPr>
        <w:t xml:space="preserve">eturn of </w:t>
      </w:r>
      <w:r>
        <w:rPr>
          <w:rFonts w:asciiTheme="minorHAnsi" w:hAnsiTheme="minorHAnsi"/>
          <w:b/>
          <w:bCs/>
          <w:color w:val="auto"/>
          <w:sz w:val="22"/>
          <w:szCs w:val="22"/>
        </w:rPr>
        <w:t>f</w:t>
      </w:r>
      <w:r w:rsidRPr="00FB6E71">
        <w:rPr>
          <w:rFonts w:asciiTheme="minorHAnsi" w:hAnsiTheme="minorHAnsi"/>
          <w:b/>
          <w:bCs/>
          <w:color w:val="auto"/>
          <w:sz w:val="22"/>
          <w:szCs w:val="22"/>
        </w:rPr>
        <w:t xml:space="preserve">orcibly </w:t>
      </w:r>
      <w:r>
        <w:rPr>
          <w:rFonts w:asciiTheme="minorHAnsi" w:hAnsiTheme="minorHAnsi"/>
          <w:b/>
          <w:bCs/>
          <w:color w:val="auto"/>
          <w:sz w:val="22"/>
          <w:szCs w:val="22"/>
        </w:rPr>
        <w:t>d</w:t>
      </w:r>
      <w:r w:rsidRPr="00FB6E71">
        <w:rPr>
          <w:rFonts w:asciiTheme="minorHAnsi" w:hAnsiTheme="minorHAnsi"/>
          <w:b/>
          <w:bCs/>
          <w:color w:val="auto"/>
          <w:sz w:val="22"/>
          <w:szCs w:val="22"/>
        </w:rPr>
        <w:t xml:space="preserve">isplaced </w:t>
      </w:r>
      <w:r>
        <w:rPr>
          <w:rFonts w:asciiTheme="minorHAnsi" w:hAnsiTheme="minorHAnsi"/>
          <w:b/>
          <w:bCs/>
          <w:color w:val="auto"/>
          <w:sz w:val="22"/>
          <w:szCs w:val="22"/>
        </w:rPr>
        <w:t>p</w:t>
      </w:r>
      <w:r w:rsidRPr="00FB6E71">
        <w:rPr>
          <w:rFonts w:asciiTheme="minorHAnsi" w:hAnsiTheme="minorHAnsi"/>
          <w:b/>
          <w:bCs/>
          <w:color w:val="auto"/>
          <w:sz w:val="22"/>
          <w:szCs w:val="22"/>
        </w:rPr>
        <w:t>opulation</w:t>
      </w:r>
      <w:r>
        <w:rPr>
          <w:rFonts w:asciiTheme="minorHAnsi" w:hAnsiTheme="minorHAnsi"/>
          <w:b/>
          <w:bCs/>
          <w:color w:val="auto"/>
          <w:sz w:val="22"/>
          <w:szCs w:val="22"/>
        </w:rPr>
        <w:t>.</w:t>
      </w:r>
      <w:r w:rsidRPr="00FB6E71">
        <w:rPr>
          <w:rFonts w:asciiTheme="minorHAnsi" w:hAnsiTheme="minorHAnsi"/>
          <w:color w:val="auto"/>
          <w:sz w:val="22"/>
          <w:szCs w:val="22"/>
        </w:rPr>
        <w:t xml:space="preserve"> Over 2.3 million people remain forcibly displaced </w:t>
      </w:r>
      <w:r>
        <w:rPr>
          <w:rFonts w:asciiTheme="minorHAnsi" w:hAnsiTheme="minorHAnsi"/>
          <w:color w:val="auto"/>
          <w:sz w:val="22"/>
          <w:szCs w:val="22"/>
        </w:rPr>
        <w:t>because of</w:t>
      </w:r>
      <w:r w:rsidRPr="00FB6E71">
        <w:rPr>
          <w:rFonts w:asciiTheme="minorHAnsi" w:hAnsiTheme="minorHAnsi"/>
          <w:color w:val="auto"/>
          <w:sz w:val="22"/>
          <w:szCs w:val="22"/>
        </w:rPr>
        <w:t xml:space="preserve"> the BH insurgency. Displacement in the NE has exacerbated existing vulnerabilities </w:t>
      </w:r>
      <w:r>
        <w:rPr>
          <w:rFonts w:asciiTheme="minorHAnsi" w:hAnsiTheme="minorHAnsi"/>
          <w:color w:val="auto"/>
          <w:sz w:val="22"/>
          <w:szCs w:val="22"/>
        </w:rPr>
        <w:t xml:space="preserve">causing </w:t>
      </w:r>
      <w:r w:rsidRPr="00FB6E71">
        <w:rPr>
          <w:rFonts w:asciiTheme="minorHAnsi" w:hAnsiTheme="minorHAnsi"/>
          <w:color w:val="auto"/>
          <w:sz w:val="22"/>
          <w:szCs w:val="22"/>
        </w:rPr>
        <w:t>nearly 800,000 individuals to lose their income.</w:t>
      </w:r>
      <w:r>
        <w:rPr>
          <w:rFonts w:asciiTheme="minorHAnsi" w:hAnsiTheme="minorHAnsi"/>
          <w:color w:val="auto"/>
          <w:sz w:val="22"/>
          <w:szCs w:val="22"/>
          <w:vertAlign w:val="superscript"/>
        </w:rPr>
        <w:footnoteReference w:id="13"/>
      </w:r>
      <w:r w:rsidRPr="00FB6E71">
        <w:rPr>
          <w:rFonts w:asciiTheme="minorHAnsi" w:hAnsiTheme="minorHAnsi"/>
          <w:color w:val="auto"/>
          <w:sz w:val="22"/>
          <w:szCs w:val="22"/>
        </w:rPr>
        <w:t xml:space="preserve"> Food, shelter, and water have been identified as the main </w:t>
      </w:r>
      <w:r w:rsidRPr="00FB6E71">
        <w:rPr>
          <w:rFonts w:asciiTheme="minorHAnsi" w:hAnsiTheme="minorHAnsi"/>
          <w:bCs/>
          <w:color w:val="auto"/>
          <w:sz w:val="22"/>
          <w:szCs w:val="22"/>
        </w:rPr>
        <w:t xml:space="preserve">short-term </w:t>
      </w:r>
      <w:r w:rsidRPr="00FB6E71">
        <w:rPr>
          <w:rFonts w:asciiTheme="minorHAnsi" w:hAnsiTheme="minorHAnsi"/>
          <w:color w:val="auto"/>
          <w:sz w:val="22"/>
          <w:szCs w:val="22"/>
        </w:rPr>
        <w:t>needs for people who were forcibly displaced and in the host communities</w:t>
      </w:r>
      <w:r w:rsidRPr="00FB6E71">
        <w:rPr>
          <w:rFonts w:asciiTheme="minorHAnsi" w:hAnsiTheme="minorHAnsi"/>
          <w:bCs/>
          <w:color w:val="auto"/>
          <w:sz w:val="22"/>
          <w:szCs w:val="22"/>
        </w:rPr>
        <w:t>, while the restoring of livelihoods, communities</w:t>
      </w:r>
      <w:r>
        <w:rPr>
          <w:rFonts w:asciiTheme="minorHAnsi" w:hAnsiTheme="minorHAnsi"/>
          <w:bCs/>
          <w:color w:val="auto"/>
          <w:sz w:val="22"/>
          <w:szCs w:val="22"/>
        </w:rPr>
        <w:t>,</w:t>
      </w:r>
      <w:r w:rsidRPr="00FB6E71">
        <w:rPr>
          <w:rFonts w:asciiTheme="minorHAnsi" w:hAnsiTheme="minorHAnsi"/>
          <w:bCs/>
          <w:color w:val="auto"/>
          <w:sz w:val="22"/>
          <w:szCs w:val="22"/>
        </w:rPr>
        <w:t xml:space="preserve"> and social networks remain</w:t>
      </w:r>
      <w:r>
        <w:rPr>
          <w:rFonts w:asciiTheme="minorHAnsi" w:hAnsiTheme="minorHAnsi"/>
          <w:bCs/>
          <w:color w:val="auto"/>
          <w:sz w:val="22"/>
          <w:szCs w:val="22"/>
        </w:rPr>
        <w:t>s a</w:t>
      </w:r>
      <w:r w:rsidRPr="00FB6E71">
        <w:rPr>
          <w:rFonts w:asciiTheme="minorHAnsi" w:hAnsiTheme="minorHAnsi"/>
          <w:bCs/>
          <w:color w:val="auto"/>
          <w:sz w:val="22"/>
          <w:szCs w:val="22"/>
        </w:rPr>
        <w:t xml:space="preserve"> priorit</w:t>
      </w:r>
      <w:r>
        <w:rPr>
          <w:rFonts w:asciiTheme="minorHAnsi" w:hAnsiTheme="minorHAnsi"/>
          <w:bCs/>
          <w:color w:val="auto"/>
          <w:sz w:val="22"/>
          <w:szCs w:val="22"/>
        </w:rPr>
        <w:t>y</w:t>
      </w:r>
      <w:r w:rsidRPr="00FB6E71">
        <w:rPr>
          <w:rFonts w:asciiTheme="minorHAnsi" w:hAnsiTheme="minorHAnsi"/>
          <w:bCs/>
          <w:color w:val="auto"/>
          <w:sz w:val="22"/>
          <w:szCs w:val="22"/>
        </w:rPr>
        <w:t xml:space="preserve"> in the medium to long term.</w:t>
      </w:r>
      <w:r w:rsidRPr="00FB6E71">
        <w:rPr>
          <w:rFonts w:asciiTheme="minorHAnsi" w:hAnsiTheme="minorHAnsi"/>
          <w:color w:val="auto"/>
          <w:sz w:val="22"/>
          <w:szCs w:val="22"/>
        </w:rPr>
        <w:t xml:space="preserve"> The loss of traditional livelihoods, productive assets, homes</w:t>
      </w:r>
      <w:r>
        <w:rPr>
          <w:rFonts w:asciiTheme="minorHAnsi" w:hAnsiTheme="minorHAnsi"/>
          <w:color w:val="auto"/>
          <w:sz w:val="22"/>
          <w:szCs w:val="22"/>
        </w:rPr>
        <w:t>,</w:t>
      </w:r>
      <w:r w:rsidRPr="00FB6E71">
        <w:rPr>
          <w:rFonts w:asciiTheme="minorHAnsi" w:hAnsiTheme="minorHAnsi"/>
          <w:color w:val="auto"/>
          <w:sz w:val="22"/>
          <w:szCs w:val="22"/>
        </w:rPr>
        <w:t xml:space="preserve"> and possessions has </w:t>
      </w:r>
      <w:r>
        <w:rPr>
          <w:rFonts w:asciiTheme="minorHAnsi" w:hAnsiTheme="minorHAnsi"/>
          <w:color w:val="auto"/>
          <w:sz w:val="22"/>
          <w:szCs w:val="22"/>
        </w:rPr>
        <w:t>forced</w:t>
      </w:r>
      <w:r w:rsidRPr="00FB6E71">
        <w:rPr>
          <w:rFonts w:asciiTheme="minorHAnsi" w:hAnsiTheme="minorHAnsi"/>
          <w:color w:val="auto"/>
          <w:sz w:val="22"/>
          <w:szCs w:val="22"/>
        </w:rPr>
        <w:t xml:space="preserve"> most individuals and families into extreme poverty, causing widespread dependency on external support for basic needs. Access to basic services previously available in places of origin has also been severely affected. Although a majority of </w:t>
      </w:r>
      <w:r w:rsidRPr="00FB6E71">
        <w:rPr>
          <w:rFonts w:asciiTheme="minorHAnsi" w:hAnsiTheme="minorHAnsi" w:cs="Times New Roman"/>
          <w:sz w:val="22"/>
          <w:szCs w:val="22"/>
        </w:rPr>
        <w:t>displaced</w:t>
      </w:r>
      <w:r w:rsidRPr="00FB6E71">
        <w:rPr>
          <w:rFonts w:asciiTheme="minorHAnsi" w:hAnsiTheme="minorHAnsi"/>
          <w:color w:val="auto"/>
          <w:sz w:val="22"/>
          <w:szCs w:val="22"/>
        </w:rPr>
        <w:t xml:space="preserve"> people express a desire to return, security, economic opportunities</w:t>
      </w:r>
      <w:r>
        <w:rPr>
          <w:rFonts w:asciiTheme="minorHAnsi" w:hAnsiTheme="minorHAnsi"/>
          <w:color w:val="auto"/>
          <w:sz w:val="22"/>
          <w:szCs w:val="22"/>
        </w:rPr>
        <w:t>,</w:t>
      </w:r>
      <w:r w:rsidRPr="00FB6E71">
        <w:rPr>
          <w:rFonts w:asciiTheme="minorHAnsi" w:hAnsiTheme="minorHAnsi"/>
          <w:color w:val="auto"/>
          <w:sz w:val="22"/>
          <w:szCs w:val="22"/>
        </w:rPr>
        <w:t xml:space="preserve"> and access to basic services remain the primary impediment. As the forcibly displaced begin to return, there is </w:t>
      </w:r>
      <w:r>
        <w:rPr>
          <w:rFonts w:asciiTheme="minorHAnsi" w:hAnsiTheme="minorHAnsi"/>
          <w:color w:val="auto"/>
          <w:sz w:val="22"/>
          <w:szCs w:val="22"/>
        </w:rPr>
        <w:t xml:space="preserve">a </w:t>
      </w:r>
      <w:r w:rsidRPr="00FB6E71">
        <w:rPr>
          <w:rFonts w:asciiTheme="minorHAnsi" w:hAnsiTheme="minorHAnsi"/>
          <w:color w:val="auto"/>
          <w:sz w:val="22"/>
          <w:szCs w:val="22"/>
        </w:rPr>
        <w:t>critical need to ensure that the basic living and livelihoods needs of these returnees are adequately met.</w:t>
      </w:r>
    </w:p>
    <w:p w:rsidR="007F2DE7" w:rsidRPr="00FB6E71" w:rsidP="00302E0C">
      <w:pPr>
        <w:pStyle w:val="ListParagraph"/>
        <w:widowControl/>
        <w:numPr>
          <w:ilvl w:val="0"/>
          <w:numId w:val="27"/>
        </w:numPr>
        <w:spacing w:after="240"/>
        <w:ind w:left="0" w:firstLine="0"/>
        <w:contextualSpacing w:val="0"/>
        <w:jc w:val="both"/>
        <w:rPr>
          <w:rFonts w:asciiTheme="minorHAnsi" w:hAnsiTheme="minorHAnsi"/>
          <w:color w:val="auto"/>
          <w:sz w:val="22"/>
          <w:szCs w:val="22"/>
        </w:rPr>
      </w:pPr>
      <w:r w:rsidRPr="00FB6E71">
        <w:rPr>
          <w:rFonts w:asciiTheme="minorHAnsi" w:hAnsiTheme="minorHAnsi"/>
          <w:b/>
          <w:bCs/>
          <w:color w:val="auto"/>
          <w:sz w:val="22"/>
          <w:szCs w:val="22"/>
        </w:rPr>
        <w:t xml:space="preserve">Overall </w:t>
      </w:r>
      <w:r>
        <w:rPr>
          <w:rFonts w:asciiTheme="minorHAnsi" w:hAnsiTheme="minorHAnsi"/>
          <w:b/>
          <w:bCs/>
          <w:color w:val="auto"/>
          <w:sz w:val="22"/>
          <w:szCs w:val="22"/>
        </w:rPr>
        <w:t>n</w:t>
      </w:r>
      <w:r w:rsidRPr="00FB6E71">
        <w:rPr>
          <w:rFonts w:asciiTheme="minorHAnsi" w:hAnsiTheme="minorHAnsi"/>
          <w:b/>
          <w:bCs/>
          <w:color w:val="auto"/>
          <w:sz w:val="22"/>
          <w:szCs w:val="22"/>
        </w:rPr>
        <w:t xml:space="preserve">eeds on </w:t>
      </w:r>
      <w:r>
        <w:rPr>
          <w:rFonts w:asciiTheme="minorHAnsi" w:hAnsiTheme="minorHAnsi"/>
          <w:b/>
          <w:bCs/>
          <w:color w:val="auto"/>
          <w:sz w:val="22"/>
          <w:szCs w:val="22"/>
        </w:rPr>
        <w:t>r</w:t>
      </w:r>
      <w:r w:rsidRPr="00FB6E71">
        <w:rPr>
          <w:rFonts w:asciiTheme="minorHAnsi" w:hAnsiTheme="minorHAnsi"/>
          <w:b/>
          <w:bCs/>
          <w:color w:val="auto"/>
          <w:sz w:val="22"/>
          <w:szCs w:val="22"/>
        </w:rPr>
        <w:t xml:space="preserve">econciliation, </w:t>
      </w:r>
      <w:r>
        <w:rPr>
          <w:rFonts w:asciiTheme="minorHAnsi" w:hAnsiTheme="minorHAnsi"/>
          <w:b/>
          <w:bCs/>
          <w:color w:val="auto"/>
          <w:sz w:val="22"/>
          <w:szCs w:val="22"/>
        </w:rPr>
        <w:t>p</w:t>
      </w:r>
      <w:r w:rsidRPr="00FB6E71">
        <w:rPr>
          <w:rFonts w:asciiTheme="minorHAnsi" w:hAnsiTheme="minorHAnsi"/>
          <w:b/>
          <w:bCs/>
          <w:color w:val="auto"/>
          <w:sz w:val="22"/>
          <w:szCs w:val="22"/>
        </w:rPr>
        <w:t xml:space="preserve">eace </w:t>
      </w:r>
      <w:r>
        <w:rPr>
          <w:rFonts w:asciiTheme="minorHAnsi" w:hAnsiTheme="minorHAnsi"/>
          <w:b/>
          <w:bCs/>
          <w:color w:val="auto"/>
          <w:sz w:val="22"/>
          <w:szCs w:val="22"/>
        </w:rPr>
        <w:t>b</w:t>
      </w:r>
      <w:r w:rsidRPr="00FB6E71">
        <w:rPr>
          <w:rFonts w:asciiTheme="minorHAnsi" w:hAnsiTheme="minorHAnsi"/>
          <w:b/>
          <w:bCs/>
          <w:color w:val="auto"/>
          <w:sz w:val="22"/>
          <w:szCs w:val="22"/>
        </w:rPr>
        <w:t>uilding</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w:t>
      </w:r>
      <w:r>
        <w:rPr>
          <w:rFonts w:asciiTheme="minorHAnsi" w:hAnsiTheme="minorHAnsi"/>
          <w:b/>
          <w:bCs/>
          <w:color w:val="auto"/>
          <w:sz w:val="22"/>
          <w:szCs w:val="22"/>
        </w:rPr>
        <w:t>s</w:t>
      </w:r>
      <w:r w:rsidRPr="00FB6E71">
        <w:rPr>
          <w:rFonts w:asciiTheme="minorHAnsi" w:hAnsiTheme="minorHAnsi"/>
          <w:b/>
          <w:bCs/>
          <w:color w:val="auto"/>
          <w:sz w:val="22"/>
          <w:szCs w:val="22"/>
        </w:rPr>
        <w:t xml:space="preserve">ocial </w:t>
      </w:r>
      <w:r>
        <w:rPr>
          <w:rFonts w:asciiTheme="minorHAnsi" w:hAnsiTheme="minorHAnsi"/>
          <w:b/>
          <w:bCs/>
          <w:color w:val="auto"/>
          <w:sz w:val="22"/>
          <w:szCs w:val="22"/>
        </w:rPr>
        <w:t>c</w:t>
      </w:r>
      <w:r w:rsidRPr="00FB6E71">
        <w:rPr>
          <w:rFonts w:asciiTheme="minorHAnsi" w:hAnsiTheme="minorHAnsi"/>
          <w:b/>
          <w:bCs/>
          <w:color w:val="auto"/>
          <w:sz w:val="22"/>
          <w:szCs w:val="22"/>
        </w:rPr>
        <w:t>ohesion</w:t>
      </w:r>
      <w:r>
        <w:rPr>
          <w:rFonts w:asciiTheme="minorHAnsi" w:hAnsiTheme="minorHAnsi"/>
          <w:b/>
          <w:bCs/>
          <w:color w:val="auto"/>
          <w:sz w:val="22"/>
          <w:szCs w:val="22"/>
        </w:rPr>
        <w:t>.</w:t>
      </w:r>
      <w:r w:rsidRPr="00FB6E71">
        <w:rPr>
          <w:rFonts w:asciiTheme="minorHAnsi" w:hAnsiTheme="minorHAnsi"/>
          <w:color w:val="auto"/>
          <w:sz w:val="22"/>
          <w:szCs w:val="22"/>
        </w:rPr>
        <w:t xml:space="preserve"> Drawing from the RPBA, this subcomponent will aim to restore and strengthen the social fabric in the NE to prevent and resolve conflict and increase cohesion. Priorities will differ between insecure areas where populations remain displaced and areas where return occurs. In some areas, the priority will be toward addressing tensions between IDP and hosts, and in others, it w</w:t>
      </w:r>
      <w:r>
        <w:rPr>
          <w:rFonts w:asciiTheme="minorHAnsi" w:hAnsiTheme="minorHAnsi"/>
          <w:color w:val="auto"/>
          <w:sz w:val="22"/>
          <w:szCs w:val="22"/>
        </w:rPr>
        <w:t>ill be to</w:t>
      </w:r>
      <w:r w:rsidRPr="00FB6E71">
        <w:rPr>
          <w:rFonts w:asciiTheme="minorHAnsi" w:hAnsiTheme="minorHAnsi"/>
          <w:color w:val="auto"/>
          <w:sz w:val="22"/>
          <w:szCs w:val="22"/>
        </w:rPr>
        <w:t xml:space="preserve"> target processes of reintegration or reconciliation by bridging gaps along specific social faults that have been hardene</w:t>
      </w:r>
      <w:r w:rsidRPr="00FB6E71">
        <w:rPr>
          <w:rFonts w:eastAsia="Times New Roman" w:asciiTheme="minorHAnsi" w:hAnsiTheme="minorHAnsi" w:cs="Times New Roman"/>
          <w:color w:val="auto"/>
          <w:sz w:val="22"/>
          <w:szCs w:val="22"/>
        </w:rPr>
        <w:t xml:space="preserve">d as a result of the conflict. </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b/>
          <w:bCs/>
          <w:color w:val="auto"/>
          <w:sz w:val="22"/>
          <w:szCs w:val="22"/>
        </w:rPr>
        <w:t xml:space="preserve">Overall </w:t>
      </w:r>
      <w:r>
        <w:rPr>
          <w:rFonts w:asciiTheme="minorHAnsi" w:hAnsiTheme="minorHAnsi"/>
          <w:b/>
          <w:bCs/>
          <w:color w:val="auto"/>
          <w:sz w:val="22"/>
          <w:szCs w:val="22"/>
        </w:rPr>
        <w:t>n</w:t>
      </w:r>
      <w:r w:rsidRPr="00FB6E71">
        <w:rPr>
          <w:rFonts w:asciiTheme="minorHAnsi" w:hAnsiTheme="minorHAnsi"/>
          <w:b/>
          <w:bCs/>
          <w:color w:val="auto"/>
          <w:sz w:val="22"/>
          <w:szCs w:val="22"/>
        </w:rPr>
        <w:t xml:space="preserve">eeds on </w:t>
      </w:r>
      <w:r>
        <w:rPr>
          <w:rFonts w:asciiTheme="minorHAnsi" w:hAnsiTheme="minorHAnsi"/>
          <w:b/>
          <w:bCs/>
          <w:color w:val="auto"/>
          <w:sz w:val="22"/>
          <w:szCs w:val="22"/>
        </w:rPr>
        <w:t>l</w:t>
      </w:r>
      <w:r w:rsidRPr="00FB6E71">
        <w:rPr>
          <w:rFonts w:asciiTheme="minorHAnsi" w:hAnsiTheme="minorHAnsi"/>
          <w:b/>
          <w:bCs/>
          <w:color w:val="auto"/>
          <w:sz w:val="22"/>
          <w:szCs w:val="22"/>
        </w:rPr>
        <w:t xml:space="preserve">ocal </w:t>
      </w:r>
      <w:r>
        <w:rPr>
          <w:rFonts w:asciiTheme="minorHAnsi" w:hAnsiTheme="minorHAnsi"/>
          <w:b/>
          <w:bCs/>
          <w:color w:val="auto"/>
          <w:sz w:val="22"/>
          <w:szCs w:val="22"/>
        </w:rPr>
        <w:t>g</w:t>
      </w:r>
      <w:r w:rsidRPr="00FB6E71">
        <w:rPr>
          <w:rFonts w:asciiTheme="minorHAnsi" w:hAnsiTheme="minorHAnsi"/>
          <w:b/>
          <w:bCs/>
          <w:color w:val="auto"/>
          <w:sz w:val="22"/>
          <w:szCs w:val="22"/>
        </w:rPr>
        <w:t xml:space="preserve">overnance and </w:t>
      </w:r>
      <w:r>
        <w:rPr>
          <w:rFonts w:asciiTheme="minorHAnsi" w:hAnsiTheme="minorHAnsi"/>
          <w:b/>
          <w:bCs/>
          <w:color w:val="auto"/>
          <w:sz w:val="22"/>
          <w:szCs w:val="22"/>
        </w:rPr>
        <w:t>c</w:t>
      </w:r>
      <w:r w:rsidRPr="00FB6E71">
        <w:rPr>
          <w:rFonts w:asciiTheme="minorHAnsi" w:hAnsiTheme="minorHAnsi"/>
          <w:b/>
          <w:bCs/>
          <w:color w:val="auto"/>
          <w:sz w:val="22"/>
          <w:szCs w:val="22"/>
        </w:rPr>
        <w:t xml:space="preserve">itizen </w:t>
      </w:r>
      <w:r>
        <w:rPr>
          <w:rFonts w:asciiTheme="minorHAnsi" w:hAnsiTheme="minorHAnsi"/>
          <w:b/>
          <w:bCs/>
          <w:color w:val="auto"/>
          <w:sz w:val="22"/>
          <w:szCs w:val="22"/>
        </w:rPr>
        <w:t>e</w:t>
      </w:r>
      <w:r w:rsidRPr="00FB6E71">
        <w:rPr>
          <w:rFonts w:asciiTheme="minorHAnsi" w:hAnsiTheme="minorHAnsi"/>
          <w:b/>
          <w:bCs/>
          <w:color w:val="auto"/>
          <w:sz w:val="22"/>
          <w:szCs w:val="22"/>
        </w:rPr>
        <w:t>ngagement under the RPBA</w:t>
      </w:r>
      <w:r>
        <w:rPr>
          <w:rFonts w:asciiTheme="minorHAnsi" w:hAnsiTheme="minorHAnsi"/>
          <w:b/>
          <w:bCs/>
          <w:color w:val="auto"/>
          <w:sz w:val="22"/>
          <w:szCs w:val="22"/>
        </w:rPr>
        <w:t>.</w:t>
      </w:r>
      <w:r w:rsidRPr="00FB6E71">
        <w:rPr>
          <w:rFonts w:asciiTheme="minorHAnsi" w:hAnsiTheme="minorHAnsi"/>
          <w:color w:val="auto"/>
          <w:sz w:val="22"/>
          <w:szCs w:val="22"/>
        </w:rPr>
        <w:t xml:space="preserve"> The conflict has significantly diminished public administration capacities </w:t>
      </w:r>
      <w:r>
        <w:rPr>
          <w:rFonts w:asciiTheme="minorHAnsi" w:hAnsiTheme="minorHAnsi"/>
          <w:color w:val="auto"/>
          <w:sz w:val="22"/>
          <w:szCs w:val="22"/>
        </w:rPr>
        <w:t>because of</w:t>
      </w:r>
      <w:r w:rsidRPr="00FB6E71">
        <w:rPr>
          <w:rFonts w:asciiTheme="minorHAnsi" w:hAnsiTheme="minorHAnsi"/>
          <w:color w:val="auto"/>
          <w:sz w:val="22"/>
          <w:szCs w:val="22"/>
        </w:rPr>
        <w:t xml:space="preserve"> the destroyed public administration offices, equipment</w:t>
      </w:r>
      <w:r>
        <w:rPr>
          <w:rFonts w:asciiTheme="minorHAnsi" w:hAnsiTheme="minorHAnsi"/>
          <w:color w:val="auto"/>
          <w:sz w:val="22"/>
          <w:szCs w:val="22"/>
        </w:rPr>
        <w:t>,</w:t>
      </w:r>
      <w:r w:rsidRPr="00FB6E71">
        <w:rPr>
          <w:rFonts w:asciiTheme="minorHAnsi" w:hAnsiTheme="minorHAnsi"/>
          <w:color w:val="auto"/>
          <w:sz w:val="22"/>
          <w:szCs w:val="22"/>
        </w:rPr>
        <w:t xml:space="preserve"> and systems and the loss of personnel due to displacement, injury</w:t>
      </w:r>
      <w:r>
        <w:rPr>
          <w:rFonts w:asciiTheme="minorHAnsi" w:hAnsiTheme="minorHAnsi"/>
          <w:color w:val="auto"/>
          <w:sz w:val="22"/>
          <w:szCs w:val="22"/>
        </w:rPr>
        <w:t>,</w:t>
      </w:r>
      <w:r w:rsidRPr="00FB6E71">
        <w:rPr>
          <w:rFonts w:asciiTheme="minorHAnsi" w:hAnsiTheme="minorHAnsi"/>
          <w:color w:val="auto"/>
          <w:sz w:val="22"/>
          <w:szCs w:val="22"/>
        </w:rPr>
        <w:t xml:space="preserve"> or death. The cadre of local government civil servants</w:t>
      </w:r>
      <w:r>
        <w:rPr>
          <w:rFonts w:asciiTheme="minorHAnsi" w:hAnsiTheme="minorHAnsi"/>
          <w:color w:val="auto"/>
          <w:sz w:val="22"/>
          <w:szCs w:val="22"/>
        </w:rPr>
        <w:t>,</w:t>
      </w:r>
      <w:r w:rsidRPr="00FB6E71">
        <w:rPr>
          <w:rFonts w:asciiTheme="minorHAnsi" w:hAnsiTheme="minorHAnsi"/>
          <w:color w:val="auto"/>
          <w:sz w:val="22"/>
          <w:szCs w:val="22"/>
        </w:rPr>
        <w:t xml:space="preserve"> therefore</w:t>
      </w:r>
      <w:r>
        <w:rPr>
          <w:rFonts w:asciiTheme="minorHAnsi" w:hAnsiTheme="minorHAnsi"/>
          <w:color w:val="auto"/>
          <w:sz w:val="22"/>
          <w:szCs w:val="22"/>
        </w:rPr>
        <w:t>,</w:t>
      </w:r>
      <w:r w:rsidRPr="00FB6E71">
        <w:rPr>
          <w:rFonts w:asciiTheme="minorHAnsi" w:hAnsiTheme="minorHAnsi"/>
          <w:color w:val="auto"/>
          <w:sz w:val="22"/>
          <w:szCs w:val="22"/>
        </w:rPr>
        <w:t xml:space="preserve"> need</w:t>
      </w:r>
      <w:r>
        <w:rPr>
          <w:rFonts w:asciiTheme="minorHAnsi" w:hAnsiTheme="minorHAnsi"/>
          <w:color w:val="auto"/>
          <w:sz w:val="22"/>
          <w:szCs w:val="22"/>
        </w:rPr>
        <w:t>s</w:t>
      </w:r>
      <w:r w:rsidRPr="00FB6E71">
        <w:rPr>
          <w:rFonts w:asciiTheme="minorHAnsi" w:hAnsiTheme="minorHAnsi"/>
          <w:color w:val="auto"/>
          <w:sz w:val="22"/>
          <w:szCs w:val="22"/>
        </w:rPr>
        <w:t xml:space="preserve"> to be supported; the return of those displaced (wherever feasible) needs to be planned, organized, and funded. Capacities of LGAs in areas hosting IDP </w:t>
      </w:r>
      <w:r w:rsidRPr="00FB6E71">
        <w:rPr>
          <w:rFonts w:asciiTheme="minorHAnsi" w:hAnsiTheme="minorHAnsi" w:cs="Times New Roman"/>
          <w:sz w:val="22"/>
          <w:szCs w:val="22"/>
        </w:rPr>
        <w:t>should</w:t>
      </w:r>
      <w:r w:rsidRPr="00FB6E71">
        <w:rPr>
          <w:rFonts w:asciiTheme="minorHAnsi" w:hAnsiTheme="minorHAnsi"/>
          <w:color w:val="auto"/>
          <w:sz w:val="22"/>
          <w:szCs w:val="22"/>
        </w:rPr>
        <w:t xml:space="preserve"> be buttressed financially as well as administratively, including in the areas of revenue generation and tax administration. There is also the urgent need to support mechanisms that enable local communities, including the forcibly displaced, to voice their needs and engage in the recovery process. These include channels for grievance redress and conflict resolution for addressing perceptions of inequitable access to support and services during the recovery process. This is particularly crucial in areas where competition between IDP and host communities over services and livelihood opportunities is causing friction and where tensions along sectarian lines persist. Reducing further political exclusion will require initiatives to strengthen existing community engagement mechanisms such as traditional leaders, extended family networks</w:t>
      </w:r>
      <w:r>
        <w:rPr>
          <w:rFonts w:asciiTheme="minorHAnsi" w:hAnsiTheme="minorHAnsi"/>
          <w:color w:val="auto"/>
          <w:sz w:val="22"/>
          <w:szCs w:val="22"/>
        </w:rPr>
        <w:t>,</w:t>
      </w:r>
      <w:r w:rsidRPr="00FB6E71">
        <w:rPr>
          <w:rFonts w:asciiTheme="minorHAnsi" w:hAnsiTheme="minorHAnsi"/>
          <w:color w:val="auto"/>
          <w:sz w:val="22"/>
          <w:szCs w:val="22"/>
        </w:rPr>
        <w:t xml:space="preserve"> and local associations.</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b/>
          <w:bCs/>
          <w:color w:val="auto"/>
          <w:sz w:val="22"/>
          <w:szCs w:val="22"/>
        </w:rPr>
        <w:t xml:space="preserve">Overall </w:t>
      </w:r>
      <w:r>
        <w:rPr>
          <w:rFonts w:asciiTheme="minorHAnsi" w:hAnsiTheme="minorHAnsi"/>
          <w:b/>
          <w:bCs/>
          <w:color w:val="auto"/>
          <w:sz w:val="22"/>
          <w:szCs w:val="22"/>
        </w:rPr>
        <w:t>n</w:t>
      </w:r>
      <w:r w:rsidRPr="00FB6E71">
        <w:rPr>
          <w:rFonts w:asciiTheme="minorHAnsi" w:hAnsiTheme="minorHAnsi"/>
          <w:b/>
          <w:bCs/>
          <w:color w:val="auto"/>
          <w:sz w:val="22"/>
          <w:szCs w:val="22"/>
        </w:rPr>
        <w:t xml:space="preserve">eeds on </w:t>
      </w:r>
      <w:r>
        <w:rPr>
          <w:rFonts w:asciiTheme="minorHAnsi" w:hAnsiTheme="minorHAnsi"/>
          <w:b/>
          <w:bCs/>
          <w:color w:val="auto"/>
          <w:sz w:val="22"/>
          <w:szCs w:val="22"/>
        </w:rPr>
        <w:t>c</w:t>
      </w:r>
      <w:r w:rsidRPr="00FB6E71">
        <w:rPr>
          <w:rFonts w:asciiTheme="minorHAnsi" w:hAnsiTheme="minorHAnsi"/>
          <w:b/>
          <w:bCs/>
          <w:color w:val="auto"/>
          <w:sz w:val="22"/>
          <w:szCs w:val="22"/>
        </w:rPr>
        <w:t xml:space="preserve">ommunity </w:t>
      </w:r>
      <w:r>
        <w:rPr>
          <w:rFonts w:asciiTheme="minorHAnsi" w:hAnsiTheme="minorHAnsi"/>
          <w:b/>
          <w:bCs/>
          <w:color w:val="auto"/>
          <w:sz w:val="22"/>
          <w:szCs w:val="22"/>
        </w:rPr>
        <w:t>s</w:t>
      </w:r>
      <w:r w:rsidRPr="00FB6E71">
        <w:rPr>
          <w:rFonts w:asciiTheme="minorHAnsi" w:hAnsiTheme="minorHAnsi"/>
          <w:b/>
          <w:bCs/>
          <w:color w:val="auto"/>
          <w:sz w:val="22"/>
          <w:szCs w:val="22"/>
        </w:rPr>
        <w:t xml:space="preserve">ecurity and </w:t>
      </w:r>
      <w:r>
        <w:rPr>
          <w:rFonts w:asciiTheme="minorHAnsi" w:hAnsiTheme="minorHAnsi"/>
          <w:b/>
          <w:bCs/>
          <w:color w:val="auto"/>
          <w:sz w:val="22"/>
          <w:szCs w:val="22"/>
        </w:rPr>
        <w:t>j</w:t>
      </w:r>
      <w:r w:rsidRPr="00FB6E71">
        <w:rPr>
          <w:rFonts w:asciiTheme="minorHAnsi" w:hAnsiTheme="minorHAnsi"/>
          <w:b/>
          <w:bCs/>
          <w:color w:val="auto"/>
          <w:sz w:val="22"/>
          <w:szCs w:val="22"/>
        </w:rPr>
        <w:t>ustice</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The</w:t>
      </w:r>
      <w:r w:rsidRPr="00FB6E71">
        <w:rPr>
          <w:rFonts w:asciiTheme="minorHAnsi" w:hAnsiTheme="minorHAnsi"/>
          <w:b/>
          <w:bCs/>
          <w:color w:val="auto"/>
          <w:sz w:val="22"/>
          <w:szCs w:val="22"/>
        </w:rPr>
        <w:t xml:space="preserve"> </w:t>
      </w:r>
      <w:r w:rsidRPr="00FB6E71">
        <w:rPr>
          <w:rFonts w:asciiTheme="minorHAnsi" w:hAnsiTheme="minorHAnsi"/>
          <w:color w:val="auto"/>
          <w:sz w:val="22"/>
          <w:szCs w:val="22"/>
        </w:rPr>
        <w:t>BH attacks and violence have targeted both public buildings and court buildings</w:t>
      </w:r>
      <w:r>
        <w:rPr>
          <w:rFonts w:asciiTheme="minorHAnsi" w:hAnsiTheme="minorHAnsi"/>
          <w:color w:val="auto"/>
          <w:sz w:val="22"/>
          <w:szCs w:val="22"/>
        </w:rPr>
        <w:t>,</w:t>
      </w:r>
      <w:r w:rsidRPr="00FB6E71">
        <w:rPr>
          <w:rFonts w:asciiTheme="minorHAnsi" w:hAnsiTheme="minorHAnsi"/>
          <w:color w:val="auto"/>
          <w:sz w:val="22"/>
          <w:szCs w:val="22"/>
        </w:rPr>
        <w:t xml:space="preserve"> decimating service delivery, including effective access to justice, and harming the legitimacy of the institutions responsible for delivering these services during and after the crisis. As </w:t>
      </w:r>
      <w:r w:rsidRPr="00FB6E71">
        <w:rPr>
          <w:rFonts w:asciiTheme="minorHAnsi" w:hAnsiTheme="minorHAnsi" w:cs="Times New Roman"/>
          <w:sz w:val="22"/>
          <w:szCs w:val="22"/>
        </w:rPr>
        <w:t>such</w:t>
      </w:r>
      <w:r w:rsidRPr="00FB6E71">
        <w:rPr>
          <w:rFonts w:asciiTheme="minorHAnsi" w:hAnsiTheme="minorHAnsi"/>
          <w:color w:val="auto"/>
          <w:sz w:val="22"/>
          <w:szCs w:val="22"/>
        </w:rPr>
        <w:t>, restoring the rule</w:t>
      </w:r>
      <w:r>
        <w:rPr>
          <w:rFonts w:asciiTheme="minorHAnsi" w:hAnsiTheme="minorHAnsi"/>
          <w:color w:val="auto"/>
          <w:sz w:val="22"/>
          <w:szCs w:val="22"/>
        </w:rPr>
        <w:t>-</w:t>
      </w:r>
      <w:r w:rsidRPr="00FB6E71">
        <w:rPr>
          <w:rFonts w:asciiTheme="minorHAnsi" w:hAnsiTheme="minorHAnsi"/>
          <w:color w:val="auto"/>
          <w:sz w:val="22"/>
          <w:szCs w:val="22"/>
        </w:rPr>
        <w:t>of</w:t>
      </w:r>
      <w:r>
        <w:rPr>
          <w:rFonts w:asciiTheme="minorHAnsi" w:hAnsiTheme="minorHAnsi"/>
          <w:color w:val="auto"/>
          <w:sz w:val="22"/>
          <w:szCs w:val="22"/>
        </w:rPr>
        <w:t>-</w:t>
      </w:r>
      <w:r w:rsidRPr="00FB6E71">
        <w:rPr>
          <w:rFonts w:asciiTheme="minorHAnsi" w:hAnsiTheme="minorHAnsi"/>
          <w:color w:val="auto"/>
          <w:sz w:val="22"/>
          <w:szCs w:val="22"/>
        </w:rPr>
        <w:t xml:space="preserve">law services in the NE, starting with services and initiatives at the community level, will be needed to </w:t>
      </w:r>
      <w:r>
        <w:rPr>
          <w:rFonts w:asciiTheme="minorHAnsi" w:hAnsiTheme="minorHAnsi"/>
          <w:color w:val="auto"/>
          <w:sz w:val="22"/>
          <w:szCs w:val="22"/>
        </w:rPr>
        <w:t xml:space="preserve">ensure that </w:t>
      </w:r>
      <w:r w:rsidRPr="00FB6E71">
        <w:rPr>
          <w:rFonts w:asciiTheme="minorHAnsi" w:hAnsiTheme="minorHAnsi"/>
          <w:color w:val="auto"/>
          <w:sz w:val="22"/>
          <w:szCs w:val="22"/>
        </w:rPr>
        <w:t>justice providers are available, accessible, accountable</w:t>
      </w:r>
      <w:r>
        <w:rPr>
          <w:rFonts w:asciiTheme="minorHAnsi" w:hAnsiTheme="minorHAnsi"/>
          <w:color w:val="auto"/>
          <w:sz w:val="22"/>
          <w:szCs w:val="22"/>
        </w:rPr>
        <w:t>,</w:t>
      </w:r>
      <w:r w:rsidRPr="00FB6E71">
        <w:rPr>
          <w:rFonts w:asciiTheme="minorHAnsi" w:hAnsiTheme="minorHAnsi"/>
          <w:color w:val="auto"/>
          <w:sz w:val="22"/>
          <w:szCs w:val="22"/>
        </w:rPr>
        <w:t xml:space="preserve"> and making quality decisions in the interests of their entire community and ensur</w:t>
      </w:r>
      <w:r>
        <w:rPr>
          <w:rFonts w:asciiTheme="minorHAnsi" w:hAnsiTheme="minorHAnsi"/>
          <w:color w:val="auto"/>
          <w:sz w:val="22"/>
          <w:szCs w:val="22"/>
        </w:rPr>
        <w:t>e</w:t>
      </w:r>
      <w:r w:rsidRPr="00FB6E71">
        <w:rPr>
          <w:rFonts w:asciiTheme="minorHAnsi" w:hAnsiTheme="minorHAnsi"/>
          <w:color w:val="auto"/>
          <w:sz w:val="22"/>
          <w:szCs w:val="22"/>
        </w:rPr>
        <w:t xml:space="preserve"> </w:t>
      </w:r>
      <w:r>
        <w:rPr>
          <w:rFonts w:asciiTheme="minorHAnsi" w:hAnsiTheme="minorHAnsi"/>
          <w:color w:val="auto"/>
          <w:sz w:val="22"/>
          <w:szCs w:val="22"/>
        </w:rPr>
        <w:t xml:space="preserve">that </w:t>
      </w:r>
      <w:r w:rsidRPr="00FB6E71">
        <w:rPr>
          <w:rFonts w:asciiTheme="minorHAnsi" w:hAnsiTheme="minorHAnsi"/>
          <w:color w:val="auto"/>
          <w:sz w:val="22"/>
          <w:szCs w:val="22"/>
        </w:rPr>
        <w:t>the rights of women, children, and forcibly displaced population are respected</w:t>
      </w:r>
      <w:r>
        <w:rPr>
          <w:rFonts w:asciiTheme="minorHAnsi" w:hAnsiTheme="minorHAnsi"/>
          <w:color w:val="auto"/>
          <w:sz w:val="22"/>
          <w:szCs w:val="22"/>
        </w:rPr>
        <w:t>—</w:t>
      </w:r>
      <w:r w:rsidRPr="00FB6E71">
        <w:rPr>
          <w:rFonts w:asciiTheme="minorHAnsi" w:hAnsiTheme="minorHAnsi"/>
          <w:color w:val="auto"/>
          <w:sz w:val="22"/>
          <w:szCs w:val="22"/>
        </w:rPr>
        <w:t xml:space="preserve">all of which are key to reestablishing community safety. The conflict has also exacerbated the plight that women and girls in NE Nigeria historically face. </w:t>
      </w:r>
      <w:r>
        <w:rPr>
          <w:rFonts w:asciiTheme="minorHAnsi" w:hAnsiTheme="minorHAnsi"/>
          <w:color w:val="auto"/>
          <w:sz w:val="22"/>
          <w:szCs w:val="22"/>
        </w:rPr>
        <w:t>Sexual and gender-based violence</w:t>
      </w:r>
      <w:r w:rsidRPr="00FB6E71">
        <w:rPr>
          <w:rFonts w:asciiTheme="minorHAnsi" w:hAnsiTheme="minorHAnsi"/>
          <w:color w:val="auto"/>
          <w:sz w:val="22"/>
          <w:szCs w:val="22"/>
        </w:rPr>
        <w:t xml:space="preserve">, including among displaced communities, has risen, making it necessary to address such dynamics through both mitigating and preventive interventions. </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b/>
          <w:color w:val="auto"/>
          <w:sz w:val="22"/>
          <w:szCs w:val="22"/>
        </w:rPr>
        <w:t xml:space="preserve">RPBA </w:t>
      </w:r>
      <w:r>
        <w:rPr>
          <w:rFonts w:asciiTheme="minorHAnsi" w:hAnsiTheme="minorHAnsi"/>
          <w:b/>
          <w:color w:val="auto"/>
          <w:sz w:val="22"/>
          <w:szCs w:val="22"/>
        </w:rPr>
        <w:t>s</w:t>
      </w:r>
      <w:r w:rsidRPr="00FB6E71">
        <w:rPr>
          <w:rFonts w:asciiTheme="minorHAnsi" w:hAnsiTheme="minorHAnsi"/>
          <w:b/>
          <w:color w:val="auto"/>
          <w:sz w:val="22"/>
          <w:szCs w:val="22"/>
        </w:rPr>
        <w:t>trategy</w:t>
      </w:r>
      <w:r>
        <w:rPr>
          <w:rFonts w:asciiTheme="minorHAnsi" w:hAnsiTheme="minorHAnsi"/>
          <w:b/>
          <w:color w:val="auto"/>
          <w:sz w:val="22"/>
          <w:szCs w:val="22"/>
        </w:rPr>
        <w:t>.</w:t>
      </w:r>
      <w:r w:rsidRPr="00FB6E71">
        <w:rPr>
          <w:rFonts w:asciiTheme="minorHAnsi" w:hAnsiTheme="minorHAnsi"/>
          <w:color w:val="auto"/>
          <w:sz w:val="22"/>
          <w:szCs w:val="22"/>
        </w:rPr>
        <w:t xml:space="preserve"> The RPBA identified needs of around US$48.7 million to facilitate the safe, dignified</w:t>
      </w:r>
      <w:r>
        <w:rPr>
          <w:rFonts w:asciiTheme="minorHAnsi" w:hAnsiTheme="minorHAnsi"/>
          <w:color w:val="auto"/>
          <w:sz w:val="22"/>
          <w:szCs w:val="22"/>
        </w:rPr>
        <w:t>,</w:t>
      </w:r>
      <w:r w:rsidRPr="00FB6E71">
        <w:rPr>
          <w:rFonts w:asciiTheme="minorHAnsi" w:hAnsiTheme="minorHAnsi"/>
          <w:color w:val="auto"/>
          <w:sz w:val="22"/>
          <w:szCs w:val="22"/>
        </w:rPr>
        <w:t xml:space="preserve"> and voluntary return and reintegration of forcibly displaced population.</w:t>
      </w:r>
      <w:r>
        <w:rPr>
          <w:rFonts w:asciiTheme="minorHAnsi" w:hAnsiTheme="minorHAnsi"/>
          <w:sz w:val="22"/>
          <w:szCs w:val="22"/>
          <w:vertAlign w:val="superscript"/>
        </w:rPr>
        <w:footnoteReference w:id="14"/>
      </w:r>
      <w:r w:rsidRPr="00FB6E71">
        <w:rPr>
          <w:rFonts w:asciiTheme="minorHAnsi" w:hAnsiTheme="minorHAnsi"/>
          <w:color w:val="auto"/>
          <w:sz w:val="22"/>
          <w:szCs w:val="22"/>
        </w:rPr>
        <w:t xml:space="preserve"> Apart from the scaling up of existing humanitarian support, the RPBA identifies the need for more durable and medium-term initiatives that facilitate the transition of forcibly displaced population in the processes of return and reintegration by addressing their basic living and livelihood needs. This is considered key toward improving social cohesion by alleviating immediate tensions over access to employment between affected, host</w:t>
      </w:r>
      <w:r>
        <w:rPr>
          <w:rFonts w:asciiTheme="minorHAnsi" w:hAnsiTheme="minorHAnsi"/>
          <w:color w:val="auto"/>
          <w:sz w:val="22"/>
          <w:szCs w:val="22"/>
        </w:rPr>
        <w:t>,</w:t>
      </w:r>
      <w:r w:rsidRPr="00FB6E71">
        <w:rPr>
          <w:rFonts w:asciiTheme="minorHAnsi" w:hAnsiTheme="minorHAnsi"/>
          <w:color w:val="auto"/>
          <w:sz w:val="22"/>
          <w:szCs w:val="22"/>
        </w:rPr>
        <w:t xml:space="preserve"> and displaced communities and individuals. In spite of the significant support provided by the GoN and the international community, significant gaps remain, particularly in the provision of sustainable early to medium-term solutions and the institutionalization of processes for safe and voluntary return and/or reintegration of forcibly displaced population. On reconciliation and peace building, the core RPBA strategy is to develop community-level platforms, either new ones or building upon existing ones, for promoting dialogue and supporting interaction among </w:t>
      </w:r>
      <w:r w:rsidRPr="00FB6E71">
        <w:rPr>
          <w:rFonts w:asciiTheme="minorHAnsi" w:hAnsiTheme="minorHAnsi" w:cs="Times New Roman"/>
          <w:sz w:val="22"/>
          <w:szCs w:val="22"/>
        </w:rPr>
        <w:t>various</w:t>
      </w:r>
      <w:r w:rsidRPr="00FB6E71">
        <w:rPr>
          <w:rFonts w:asciiTheme="minorHAnsi" w:hAnsiTheme="minorHAnsi"/>
          <w:color w:val="auto"/>
          <w:sz w:val="22"/>
          <w:szCs w:val="22"/>
        </w:rPr>
        <w:t xml:space="preserve"> segments of society around activities that facilitate the restoration of social relationships. Finally, the strategy will aim to facilitate cohesion by enhancing capacity to recover from trauma through the provision of psychosocial support. On local governance and citizen engagement, the core RPBA strategy is the strengthening of government capacities to perform their functions and the restoration of relationships between citizens and the Government. </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b/>
          <w:color w:val="auto"/>
          <w:sz w:val="22"/>
          <w:szCs w:val="22"/>
        </w:rPr>
        <w:t>Interventions planned under MCRP.</w:t>
      </w:r>
      <w:r w:rsidRPr="00FB6E71">
        <w:rPr>
          <w:rFonts w:asciiTheme="minorHAnsi" w:hAnsiTheme="minorHAnsi"/>
          <w:color w:val="auto"/>
          <w:sz w:val="22"/>
          <w:szCs w:val="22"/>
        </w:rPr>
        <w:t xml:space="preserve"> This </w:t>
      </w:r>
      <w:r w:rsidRPr="00FB6E71">
        <w:rPr>
          <w:rFonts w:asciiTheme="minorHAnsi" w:hAnsiTheme="minorHAnsi" w:cs="Times New Roman"/>
          <w:sz w:val="22"/>
          <w:szCs w:val="22"/>
        </w:rPr>
        <w:t>component</w:t>
      </w:r>
      <w:r w:rsidRPr="00FB6E71">
        <w:rPr>
          <w:rFonts w:asciiTheme="minorHAnsi" w:hAnsiTheme="minorHAnsi"/>
          <w:color w:val="auto"/>
          <w:sz w:val="22"/>
          <w:szCs w:val="22"/>
        </w:rPr>
        <w:t xml:space="preserve"> will focus on three main types of activities:</w:t>
      </w:r>
    </w:p>
    <w:p w:rsidR="007F2DE7" w:rsidP="00302E0C">
      <w:pPr>
        <w:widowControl/>
        <w:numPr>
          <w:ilvl w:val="0"/>
          <w:numId w:val="29"/>
        </w:numPr>
        <w:spacing w:after="240"/>
        <w:ind w:left="1195" w:hanging="475"/>
        <w:jc w:val="both"/>
        <w:rPr>
          <w:rFonts w:asciiTheme="minorHAnsi" w:hAnsiTheme="minorHAnsi"/>
          <w:color w:val="auto"/>
          <w:sz w:val="22"/>
          <w:szCs w:val="22"/>
        </w:rPr>
      </w:pPr>
      <w:r w:rsidRPr="00FB6E71">
        <w:rPr>
          <w:rFonts w:asciiTheme="minorHAnsi" w:hAnsiTheme="minorHAnsi"/>
          <w:b/>
          <w:bCs/>
          <w:color w:val="auto"/>
          <w:sz w:val="22"/>
          <w:szCs w:val="22"/>
        </w:rPr>
        <w:t>Transitional support toward stabilization and self-reliance</w:t>
      </w:r>
      <w:r>
        <w:rPr>
          <w:rFonts w:asciiTheme="minorHAnsi" w:hAnsiTheme="minorHAnsi"/>
          <w:b/>
          <w:bCs/>
          <w:color w:val="auto"/>
          <w:sz w:val="22"/>
          <w:szCs w:val="22"/>
        </w:rPr>
        <w:t>.</w:t>
      </w:r>
      <w:r w:rsidRPr="00FB6E71">
        <w:rPr>
          <w:rFonts w:asciiTheme="minorHAnsi" w:hAnsiTheme="minorHAnsi"/>
          <w:sz w:val="22"/>
          <w:szCs w:val="22"/>
        </w:rPr>
        <w:t xml:space="preserve"> Aimed at facilitating communities, households</w:t>
      </w:r>
      <w:r>
        <w:rPr>
          <w:rFonts w:asciiTheme="minorHAnsi" w:hAnsiTheme="minorHAnsi"/>
          <w:sz w:val="22"/>
          <w:szCs w:val="22"/>
        </w:rPr>
        <w:t>,</w:t>
      </w:r>
      <w:r w:rsidRPr="00FB6E71">
        <w:rPr>
          <w:rFonts w:asciiTheme="minorHAnsi" w:hAnsiTheme="minorHAnsi"/>
          <w:sz w:val="22"/>
          <w:szCs w:val="22"/>
        </w:rPr>
        <w:t xml:space="preserve"> and individuals transition from an acute humanitarian crisis into early recovery, stabilization</w:t>
      </w:r>
      <w:r>
        <w:rPr>
          <w:rFonts w:asciiTheme="minorHAnsi" w:hAnsiTheme="minorHAnsi"/>
          <w:sz w:val="22"/>
          <w:szCs w:val="22"/>
        </w:rPr>
        <w:t>,</w:t>
      </w:r>
      <w:r w:rsidRPr="00FB6E71">
        <w:rPr>
          <w:rFonts w:asciiTheme="minorHAnsi" w:hAnsiTheme="minorHAnsi"/>
          <w:sz w:val="22"/>
          <w:szCs w:val="22"/>
        </w:rPr>
        <w:t xml:space="preserve"> and self-reliance</w:t>
      </w:r>
      <w:r w:rsidRPr="00FB6E71">
        <w:rPr>
          <w:rFonts w:asciiTheme="minorHAnsi" w:hAnsiTheme="minorHAnsi"/>
          <w:color w:val="auto"/>
          <w:sz w:val="22"/>
          <w:szCs w:val="22"/>
        </w:rPr>
        <w:t xml:space="preserve"> by </w:t>
      </w:r>
    </w:p>
    <w:p w:rsidR="007F2DE7" w:rsidP="00302E0C">
      <w:pPr>
        <w:widowControl/>
        <w:numPr>
          <w:ilvl w:val="0"/>
          <w:numId w:val="56"/>
        </w:numPr>
        <w:spacing w:after="240"/>
        <w:ind w:left="1670" w:hanging="475"/>
        <w:jc w:val="both"/>
        <w:rPr>
          <w:rFonts w:asciiTheme="minorHAnsi" w:hAnsiTheme="minorHAnsi"/>
          <w:color w:val="auto"/>
          <w:sz w:val="22"/>
          <w:szCs w:val="22"/>
        </w:rPr>
      </w:pPr>
      <w:r>
        <w:rPr>
          <w:rFonts w:asciiTheme="minorHAnsi" w:hAnsiTheme="minorHAnsi"/>
          <w:color w:val="auto"/>
          <w:sz w:val="22"/>
          <w:szCs w:val="22"/>
        </w:rPr>
        <w:t>I</w:t>
      </w:r>
      <w:r w:rsidRPr="00FB6E71">
        <w:rPr>
          <w:rFonts w:asciiTheme="minorHAnsi" w:hAnsiTheme="minorHAnsi"/>
          <w:color w:val="auto"/>
          <w:sz w:val="22"/>
          <w:szCs w:val="22"/>
        </w:rPr>
        <w:t>ncreasing and improving the access of vulnerable host and forcibly displaced families to basic living amenities through the provision of life</w:t>
      </w:r>
      <w:r>
        <w:rPr>
          <w:rFonts w:asciiTheme="minorHAnsi" w:hAnsiTheme="minorHAnsi"/>
          <w:color w:val="auto"/>
          <w:sz w:val="22"/>
          <w:szCs w:val="22"/>
        </w:rPr>
        <w:t>-</w:t>
      </w:r>
      <w:r w:rsidRPr="00FB6E71">
        <w:rPr>
          <w:rFonts w:asciiTheme="minorHAnsi" w:hAnsiTheme="minorHAnsi"/>
          <w:color w:val="auto"/>
          <w:sz w:val="22"/>
          <w:szCs w:val="22"/>
        </w:rPr>
        <w:t>support packages and basic necessity kits to newly displaced families and returnees whose houses have been damaged and vulnerable host community members, allowing them to restore their households in the short term</w:t>
      </w:r>
      <w:r>
        <w:rPr>
          <w:rFonts w:asciiTheme="minorHAnsi" w:hAnsiTheme="minorHAnsi"/>
          <w:color w:val="auto"/>
          <w:sz w:val="22"/>
          <w:szCs w:val="22"/>
        </w:rPr>
        <w:t>;</w:t>
      </w:r>
      <w:r>
        <w:rPr>
          <w:rFonts w:asciiTheme="minorHAnsi" w:hAnsiTheme="minorHAnsi"/>
          <w:sz w:val="22"/>
          <w:szCs w:val="22"/>
          <w:vertAlign w:val="superscript"/>
        </w:rPr>
        <w:footnoteReference w:id="15"/>
      </w:r>
      <w:r w:rsidRPr="00FB6E71">
        <w:rPr>
          <w:rFonts w:asciiTheme="minorHAnsi" w:hAnsiTheme="minorHAnsi"/>
          <w:color w:val="auto"/>
          <w:sz w:val="22"/>
          <w:szCs w:val="22"/>
        </w:rPr>
        <w:t xml:space="preserve"> and </w:t>
      </w:r>
    </w:p>
    <w:p w:rsidR="007F2DE7" w:rsidRPr="00FB6E71" w:rsidP="00302E0C">
      <w:pPr>
        <w:widowControl/>
        <w:numPr>
          <w:ilvl w:val="0"/>
          <w:numId w:val="56"/>
        </w:numPr>
        <w:spacing w:after="240"/>
        <w:ind w:left="1670" w:hanging="475"/>
        <w:jc w:val="both"/>
        <w:rPr>
          <w:rFonts w:asciiTheme="minorHAnsi" w:hAnsiTheme="minorHAnsi"/>
          <w:color w:val="auto"/>
          <w:sz w:val="22"/>
          <w:szCs w:val="22"/>
        </w:rPr>
      </w:pPr>
      <w:r>
        <w:rPr>
          <w:rFonts w:asciiTheme="minorHAnsi" w:hAnsiTheme="minorHAnsi"/>
          <w:color w:val="auto"/>
          <w:sz w:val="22"/>
          <w:szCs w:val="22"/>
        </w:rPr>
        <w:t>R</w:t>
      </w:r>
      <w:r w:rsidRPr="00FB6E71">
        <w:rPr>
          <w:rFonts w:asciiTheme="minorHAnsi" w:hAnsiTheme="minorHAnsi"/>
          <w:color w:val="auto"/>
          <w:sz w:val="22"/>
          <w:szCs w:val="22"/>
        </w:rPr>
        <w:t>estoring immediate access to productive assets by providing agricultural inputs and livestock for farming families and trading commodities for non-farmers. Inputs to be provided could include</w:t>
      </w:r>
      <w:r>
        <w:rPr>
          <w:rFonts w:asciiTheme="minorHAnsi" w:hAnsiTheme="minorHAnsi"/>
          <w:color w:val="auto"/>
          <w:sz w:val="22"/>
          <w:szCs w:val="22"/>
        </w:rPr>
        <w:t>,</w:t>
      </w:r>
      <w:r w:rsidRPr="00FB6E71">
        <w:rPr>
          <w:rFonts w:asciiTheme="minorHAnsi" w:hAnsiTheme="minorHAnsi"/>
          <w:color w:val="auto"/>
          <w:sz w:val="22"/>
          <w:szCs w:val="22"/>
        </w:rPr>
        <w:t xml:space="preserve"> but not necessarily be limited to</w:t>
      </w:r>
      <w:r>
        <w:rPr>
          <w:rFonts w:asciiTheme="minorHAnsi" w:hAnsiTheme="minorHAnsi"/>
          <w:color w:val="auto"/>
          <w:sz w:val="22"/>
          <w:szCs w:val="22"/>
        </w:rPr>
        <w:t>,</w:t>
      </w:r>
      <w:r w:rsidRPr="00FB6E71">
        <w:rPr>
          <w:rFonts w:asciiTheme="minorHAnsi" w:hAnsiTheme="minorHAnsi"/>
          <w:color w:val="auto"/>
          <w:sz w:val="22"/>
          <w:szCs w:val="22"/>
        </w:rPr>
        <w:t xml:space="preserve"> seeds of local staple crops (that is, maize, sorghum, beans</w:t>
      </w:r>
      <w:r>
        <w:rPr>
          <w:rFonts w:asciiTheme="minorHAnsi" w:hAnsiTheme="minorHAnsi"/>
          <w:color w:val="auto"/>
          <w:sz w:val="22"/>
          <w:szCs w:val="22"/>
        </w:rPr>
        <w:t>,</w:t>
      </w:r>
      <w:r w:rsidRPr="00FB6E71">
        <w:rPr>
          <w:rFonts w:asciiTheme="minorHAnsi" w:hAnsiTheme="minorHAnsi"/>
          <w:color w:val="auto"/>
          <w:sz w:val="22"/>
          <w:szCs w:val="22"/>
        </w:rPr>
        <w:t xml:space="preserve"> or cowpea)</w:t>
      </w:r>
      <w:r>
        <w:rPr>
          <w:rFonts w:asciiTheme="minorHAnsi" w:hAnsiTheme="minorHAnsi"/>
          <w:color w:val="auto"/>
          <w:sz w:val="22"/>
          <w:szCs w:val="22"/>
        </w:rPr>
        <w:t>;</w:t>
      </w:r>
      <w:r w:rsidRPr="00FB6E71">
        <w:rPr>
          <w:rFonts w:asciiTheme="minorHAnsi" w:hAnsiTheme="minorHAnsi"/>
          <w:color w:val="auto"/>
          <w:sz w:val="22"/>
          <w:szCs w:val="22"/>
        </w:rPr>
        <w:t xml:space="preserve"> fertilizers (that is, </w:t>
      </w:r>
      <w:r>
        <w:rPr>
          <w:rFonts w:asciiTheme="minorHAnsi" w:hAnsiTheme="minorHAnsi"/>
          <w:color w:val="auto"/>
          <w:sz w:val="22"/>
          <w:szCs w:val="22"/>
        </w:rPr>
        <w:t>nitrogen, phosphorus, and potassium</w:t>
      </w:r>
      <w:r w:rsidRPr="00FB6E71">
        <w:rPr>
          <w:rFonts w:asciiTheme="minorHAnsi" w:hAnsiTheme="minorHAnsi"/>
          <w:color w:val="auto"/>
          <w:sz w:val="22"/>
          <w:szCs w:val="22"/>
        </w:rPr>
        <w:t xml:space="preserve"> and urea)</w:t>
      </w:r>
      <w:r>
        <w:rPr>
          <w:rFonts w:asciiTheme="minorHAnsi" w:hAnsiTheme="minorHAnsi"/>
          <w:color w:val="auto"/>
          <w:sz w:val="22"/>
          <w:szCs w:val="22"/>
        </w:rPr>
        <w:t>;</w:t>
      </w:r>
      <w:r w:rsidRPr="00FB6E71">
        <w:rPr>
          <w:rFonts w:asciiTheme="minorHAnsi" w:hAnsiTheme="minorHAnsi"/>
          <w:color w:val="auto"/>
          <w:sz w:val="22"/>
          <w:szCs w:val="22"/>
        </w:rPr>
        <w:t xml:space="preserve"> and manual tools. Pesticides are excluded from agricultural support inputs. Activities under this component will target forcibly displaced populations and host populations highly dependent on humanitarian support in areas of return, host communities</w:t>
      </w:r>
      <w:r>
        <w:rPr>
          <w:rFonts w:asciiTheme="minorHAnsi" w:hAnsiTheme="minorHAnsi"/>
          <w:color w:val="auto"/>
          <w:sz w:val="22"/>
          <w:szCs w:val="22"/>
        </w:rPr>
        <w:t>,</w:t>
      </w:r>
      <w:r w:rsidRPr="00FB6E71">
        <w:rPr>
          <w:rFonts w:asciiTheme="minorHAnsi" w:hAnsiTheme="minorHAnsi"/>
          <w:color w:val="auto"/>
          <w:sz w:val="22"/>
          <w:szCs w:val="22"/>
        </w:rPr>
        <w:t xml:space="preserve"> and areas recently liberated, providing alternatives toward self-reliance.</w:t>
      </w:r>
    </w:p>
    <w:p w:rsidR="007F2DE7" w:rsidRPr="00004265" w:rsidP="00302E0C">
      <w:pPr>
        <w:widowControl/>
        <w:numPr>
          <w:ilvl w:val="0"/>
          <w:numId w:val="29"/>
        </w:numPr>
        <w:spacing w:after="240"/>
        <w:ind w:left="1195" w:hanging="475"/>
        <w:jc w:val="both"/>
        <w:rPr>
          <w:rFonts w:asciiTheme="minorHAnsi" w:hAnsiTheme="minorHAnsi"/>
          <w:bCs/>
          <w:color w:val="auto"/>
          <w:sz w:val="22"/>
          <w:szCs w:val="22"/>
        </w:rPr>
      </w:pPr>
      <w:r w:rsidRPr="00FB6E71">
        <w:rPr>
          <w:rFonts w:asciiTheme="minorHAnsi" w:hAnsiTheme="minorHAnsi"/>
          <w:b/>
          <w:color w:val="auto"/>
          <w:sz w:val="22"/>
          <w:szCs w:val="22"/>
        </w:rPr>
        <w:t>Community resilience and social cohesion</w:t>
      </w:r>
      <w:r>
        <w:rPr>
          <w:rFonts w:asciiTheme="minorHAnsi" w:hAnsiTheme="minorHAnsi"/>
          <w:b/>
          <w:color w:val="auto"/>
          <w:sz w:val="22"/>
          <w:szCs w:val="22"/>
        </w:rPr>
        <w:t>.</w:t>
      </w:r>
      <w:r w:rsidRPr="00FB6E71">
        <w:rPr>
          <w:rFonts w:asciiTheme="minorHAnsi" w:hAnsiTheme="minorHAnsi"/>
          <w:color w:val="auto"/>
          <w:sz w:val="22"/>
          <w:szCs w:val="22"/>
        </w:rPr>
        <w:t xml:space="preserve"> Aimed at making communities more resilient and cohesive through the strengthening of peaceful interaction and community participation by </w:t>
      </w:r>
    </w:p>
    <w:p w:rsidR="007F2DE7" w:rsidP="00302E0C">
      <w:pPr>
        <w:widowControl/>
        <w:numPr>
          <w:ilvl w:val="0"/>
          <w:numId w:val="54"/>
        </w:numPr>
        <w:spacing w:after="240"/>
        <w:ind w:left="1670" w:hanging="475"/>
        <w:jc w:val="both"/>
        <w:rPr>
          <w:rFonts w:asciiTheme="minorHAnsi" w:hAnsiTheme="minorHAnsi"/>
          <w:bCs/>
          <w:color w:val="auto"/>
          <w:sz w:val="22"/>
          <w:szCs w:val="22"/>
        </w:rPr>
      </w:pPr>
      <w:r w:rsidRPr="00FB6E71">
        <w:rPr>
          <w:rFonts w:asciiTheme="minorHAnsi" w:hAnsiTheme="minorHAnsi"/>
          <w:color w:val="auto"/>
          <w:sz w:val="22"/>
          <w:szCs w:val="22"/>
        </w:rPr>
        <w:t xml:space="preserve">Setting up </w:t>
      </w:r>
      <w:r w:rsidRPr="00FB6E71">
        <w:rPr>
          <w:rFonts w:asciiTheme="minorHAnsi" w:hAnsiTheme="minorHAnsi"/>
          <w:sz w:val="22"/>
          <w:szCs w:val="22"/>
        </w:rPr>
        <w:t>local peace groups</w:t>
      </w:r>
      <w:r w:rsidRPr="00FB6E71">
        <w:rPr>
          <w:rFonts w:asciiTheme="minorHAnsi" w:hAnsiTheme="minorHAnsi"/>
          <w:color w:val="auto"/>
          <w:sz w:val="22"/>
          <w:szCs w:val="22"/>
        </w:rPr>
        <w:t xml:space="preserve"> </w:t>
      </w:r>
      <w:r w:rsidRPr="00FB6E71">
        <w:rPr>
          <w:rFonts w:asciiTheme="minorHAnsi" w:hAnsiTheme="minorHAnsi"/>
          <w:bCs/>
          <w:color w:val="auto"/>
          <w:sz w:val="22"/>
          <w:szCs w:val="22"/>
        </w:rPr>
        <w:t>that bring together local authorities (government, traditional</w:t>
      </w:r>
      <w:r>
        <w:rPr>
          <w:rFonts w:asciiTheme="minorHAnsi" w:hAnsiTheme="minorHAnsi"/>
          <w:bCs/>
          <w:color w:val="auto"/>
          <w:sz w:val="22"/>
          <w:szCs w:val="22"/>
        </w:rPr>
        <w:t>,</w:t>
      </w:r>
      <w:r w:rsidRPr="00FB6E71">
        <w:rPr>
          <w:rFonts w:asciiTheme="minorHAnsi" w:hAnsiTheme="minorHAnsi"/>
          <w:bCs/>
          <w:color w:val="auto"/>
          <w:sz w:val="22"/>
          <w:szCs w:val="22"/>
        </w:rPr>
        <w:t xml:space="preserve"> and religious) and representatives of different segments of the population. These groups will be in charge of</w:t>
      </w:r>
      <w:r w:rsidRPr="00FB6E71">
        <w:rPr>
          <w:rFonts w:asciiTheme="minorHAnsi" w:hAnsiTheme="minorHAnsi"/>
          <w:color w:val="auto"/>
          <w:sz w:val="22"/>
          <w:szCs w:val="22"/>
        </w:rPr>
        <w:t xml:space="preserve"> assessing social cohesion and peace building needs at the community level and facilitating the identification of priority activities, excluding direct cash transfer, to address these needs in a participatory manner;</w:t>
      </w:r>
      <w:r w:rsidRPr="00FB6E71">
        <w:rPr>
          <w:rFonts w:asciiTheme="minorHAnsi" w:hAnsiTheme="minorHAnsi"/>
          <w:bCs/>
          <w:color w:val="auto"/>
          <w:sz w:val="22"/>
          <w:szCs w:val="22"/>
        </w:rPr>
        <w:t xml:space="preserve"> </w:t>
      </w:r>
    </w:p>
    <w:p w:rsidR="007F2DE7" w:rsidRPr="00004265" w:rsidP="00302E0C">
      <w:pPr>
        <w:widowControl/>
        <w:numPr>
          <w:ilvl w:val="0"/>
          <w:numId w:val="54"/>
        </w:numPr>
        <w:spacing w:after="240"/>
        <w:ind w:left="1670" w:hanging="475"/>
        <w:jc w:val="both"/>
        <w:rPr>
          <w:rFonts w:asciiTheme="minorHAnsi" w:hAnsiTheme="minorHAnsi"/>
          <w:bCs/>
          <w:color w:val="auto"/>
          <w:sz w:val="22"/>
          <w:szCs w:val="22"/>
        </w:rPr>
      </w:pPr>
      <w:r w:rsidRPr="00FB6E71">
        <w:rPr>
          <w:rFonts w:asciiTheme="minorHAnsi" w:hAnsiTheme="minorHAnsi"/>
          <w:bCs/>
          <w:color w:val="auto"/>
          <w:sz w:val="22"/>
          <w:szCs w:val="22"/>
        </w:rPr>
        <w:t>Financing social cohesion activities prioritized by local peace groups in a participatory manner throughout the duration of the project. Activities financed will be implemented by specialized service providers and will address key drivers of the conflict and acute needs emerging in the conflict and postconflict period</w:t>
      </w:r>
      <w:r>
        <w:rPr>
          <w:rFonts w:asciiTheme="minorHAnsi" w:hAnsiTheme="minorHAnsi"/>
          <w:bCs/>
          <w:color w:val="auto"/>
          <w:sz w:val="22"/>
          <w:szCs w:val="22"/>
        </w:rPr>
        <w:t>s</w:t>
      </w:r>
      <w:r w:rsidRPr="00FB6E71">
        <w:rPr>
          <w:rFonts w:asciiTheme="minorHAnsi" w:hAnsiTheme="minorHAnsi"/>
          <w:bCs/>
          <w:color w:val="auto"/>
          <w:sz w:val="22"/>
          <w:szCs w:val="22"/>
        </w:rPr>
        <w:t>, such as (but not limited to) social integration of out-of-school children and youth at risk</w:t>
      </w:r>
      <w:r>
        <w:rPr>
          <w:rFonts w:asciiTheme="minorHAnsi" w:hAnsiTheme="minorHAnsi"/>
          <w:bCs/>
          <w:color w:val="auto"/>
          <w:sz w:val="22"/>
          <w:szCs w:val="22"/>
        </w:rPr>
        <w:t>;</w:t>
      </w:r>
      <w:r w:rsidRPr="00FB6E71">
        <w:rPr>
          <w:rFonts w:asciiTheme="minorHAnsi" w:hAnsiTheme="minorHAnsi"/>
          <w:bCs/>
          <w:color w:val="auto"/>
          <w:sz w:val="22"/>
          <w:szCs w:val="22"/>
        </w:rPr>
        <w:t xml:space="preserve"> provision of life and soft skills for collective action</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 xml:space="preserve">conduct of </w:t>
      </w:r>
      <w:r w:rsidRPr="00FB6E71">
        <w:rPr>
          <w:rFonts w:asciiTheme="minorHAnsi" w:hAnsiTheme="minorHAnsi"/>
          <w:bCs/>
          <w:color w:val="auto"/>
          <w:sz w:val="22"/>
          <w:szCs w:val="22"/>
        </w:rPr>
        <w:t>cultural, sport</w:t>
      </w:r>
      <w:r>
        <w:rPr>
          <w:rFonts w:asciiTheme="minorHAnsi" w:hAnsiTheme="minorHAnsi"/>
          <w:bCs/>
          <w:color w:val="auto"/>
          <w:sz w:val="22"/>
          <w:szCs w:val="22"/>
        </w:rPr>
        <w:t>,</w:t>
      </w:r>
      <w:r w:rsidRPr="00FB6E71">
        <w:rPr>
          <w:rFonts w:asciiTheme="minorHAnsi" w:hAnsiTheme="minorHAnsi"/>
          <w:bCs/>
          <w:color w:val="auto"/>
          <w:sz w:val="22"/>
          <w:szCs w:val="22"/>
        </w:rPr>
        <w:t xml:space="preserve"> and social activities that promote common identities and intergroup interaction</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and</w:t>
      </w:r>
      <w:r w:rsidRPr="00FB6E71">
        <w:rPr>
          <w:rFonts w:asciiTheme="minorHAnsi" w:hAnsiTheme="minorHAnsi"/>
          <w:bCs/>
          <w:color w:val="auto"/>
          <w:sz w:val="22"/>
          <w:szCs w:val="22"/>
        </w:rPr>
        <w:t xml:space="preserve"> </w:t>
      </w:r>
      <w:r>
        <w:rPr>
          <w:rFonts w:asciiTheme="minorHAnsi" w:hAnsiTheme="minorHAnsi"/>
          <w:bCs/>
          <w:color w:val="auto"/>
          <w:sz w:val="22"/>
          <w:szCs w:val="22"/>
        </w:rPr>
        <w:t xml:space="preserve">conduct of </w:t>
      </w:r>
      <w:r w:rsidRPr="00FB6E71">
        <w:rPr>
          <w:rFonts w:asciiTheme="minorHAnsi" w:hAnsiTheme="minorHAnsi"/>
          <w:bCs/>
          <w:color w:val="auto"/>
          <w:sz w:val="22"/>
          <w:szCs w:val="22"/>
        </w:rPr>
        <w:t>various violence-prevention and de-stigmatization campaigns. All community contributions will be provided in</w:t>
      </w:r>
      <w:r>
        <w:rPr>
          <w:rFonts w:asciiTheme="minorHAnsi" w:hAnsiTheme="minorHAnsi"/>
          <w:bCs/>
          <w:color w:val="auto"/>
          <w:sz w:val="22"/>
          <w:szCs w:val="22"/>
        </w:rPr>
        <w:t xml:space="preserve"> </w:t>
      </w:r>
      <w:r w:rsidRPr="00FB6E71">
        <w:rPr>
          <w:rFonts w:asciiTheme="minorHAnsi" w:hAnsiTheme="minorHAnsi"/>
          <w:bCs/>
          <w:color w:val="auto"/>
          <w:sz w:val="22"/>
          <w:szCs w:val="22"/>
        </w:rPr>
        <w:t>kind only, recognizing their valuable participation and ensur</w:t>
      </w:r>
      <w:r>
        <w:rPr>
          <w:rFonts w:asciiTheme="minorHAnsi" w:hAnsiTheme="minorHAnsi"/>
          <w:bCs/>
          <w:color w:val="auto"/>
          <w:sz w:val="22"/>
          <w:szCs w:val="22"/>
        </w:rPr>
        <w:t>ing</w:t>
      </w:r>
      <w:r w:rsidRPr="00FB6E71">
        <w:rPr>
          <w:rFonts w:asciiTheme="minorHAnsi" w:hAnsiTheme="minorHAnsi"/>
          <w:bCs/>
          <w:color w:val="auto"/>
          <w:sz w:val="22"/>
          <w:szCs w:val="22"/>
        </w:rPr>
        <w:t xml:space="preserve"> community ownership. Local communities will provide performance oversight and decision</w:t>
      </w:r>
      <w:r>
        <w:rPr>
          <w:rFonts w:asciiTheme="minorHAnsi" w:hAnsiTheme="minorHAnsi"/>
          <w:bCs/>
          <w:color w:val="auto"/>
          <w:sz w:val="22"/>
          <w:szCs w:val="22"/>
        </w:rPr>
        <w:t>-</w:t>
      </w:r>
      <w:r w:rsidRPr="00FB6E71">
        <w:rPr>
          <w:rFonts w:asciiTheme="minorHAnsi" w:hAnsiTheme="minorHAnsi"/>
          <w:bCs/>
          <w:color w:val="auto"/>
          <w:sz w:val="22"/>
          <w:szCs w:val="22"/>
        </w:rPr>
        <w:t xml:space="preserve">making authority of the activities; </w:t>
      </w:r>
      <w:r w:rsidRPr="00FB6E71">
        <w:rPr>
          <w:rFonts w:asciiTheme="minorHAnsi" w:hAnsiTheme="minorHAnsi"/>
          <w:color w:val="auto"/>
          <w:sz w:val="22"/>
          <w:szCs w:val="22"/>
        </w:rPr>
        <w:t>and</w:t>
      </w:r>
      <w:r w:rsidRPr="00FB6E71">
        <w:rPr>
          <w:rFonts w:asciiTheme="minorHAnsi" w:hAnsiTheme="minorHAnsi"/>
          <w:sz w:val="22"/>
          <w:szCs w:val="22"/>
        </w:rPr>
        <w:t xml:space="preserve"> </w:t>
      </w:r>
    </w:p>
    <w:p w:rsidR="007F2DE7" w:rsidRPr="00FB6E71" w:rsidP="00302E0C">
      <w:pPr>
        <w:widowControl/>
        <w:numPr>
          <w:ilvl w:val="0"/>
          <w:numId w:val="54"/>
        </w:numPr>
        <w:spacing w:after="240"/>
        <w:ind w:left="1670" w:hanging="475"/>
        <w:jc w:val="both"/>
        <w:rPr>
          <w:rFonts w:asciiTheme="minorHAnsi" w:hAnsiTheme="minorHAnsi"/>
          <w:bCs/>
          <w:color w:val="auto"/>
          <w:sz w:val="22"/>
          <w:szCs w:val="22"/>
        </w:rPr>
      </w:pPr>
      <w:r w:rsidRPr="00FB6E71">
        <w:rPr>
          <w:rFonts w:asciiTheme="minorHAnsi" w:hAnsiTheme="minorHAnsi"/>
          <w:bCs/>
          <w:color w:val="auto"/>
          <w:sz w:val="22"/>
          <w:szCs w:val="22"/>
        </w:rPr>
        <w:t>Providing community-based psychosocial support through group-based therapy</w:t>
      </w:r>
      <w:r>
        <w:rPr>
          <w:rFonts w:asciiTheme="minorHAnsi" w:hAnsiTheme="minorHAnsi"/>
          <w:bCs/>
          <w:color w:val="auto"/>
          <w:sz w:val="22"/>
          <w:szCs w:val="22"/>
        </w:rPr>
        <w:t>;</w:t>
      </w:r>
      <w:r w:rsidRPr="00FB6E71">
        <w:rPr>
          <w:rFonts w:asciiTheme="minorHAnsi" w:hAnsiTheme="minorHAnsi"/>
          <w:bCs/>
          <w:color w:val="auto"/>
          <w:sz w:val="22"/>
          <w:szCs w:val="22"/>
        </w:rPr>
        <w:t xml:space="preserve"> recreational, ritual</w:t>
      </w:r>
      <w:r>
        <w:rPr>
          <w:rFonts w:asciiTheme="minorHAnsi" w:hAnsiTheme="minorHAnsi"/>
          <w:bCs/>
          <w:color w:val="auto"/>
          <w:sz w:val="22"/>
          <w:szCs w:val="22"/>
        </w:rPr>
        <w:t>,</w:t>
      </w:r>
      <w:r w:rsidRPr="00FB6E71">
        <w:rPr>
          <w:rFonts w:asciiTheme="minorHAnsi" w:hAnsiTheme="minorHAnsi"/>
          <w:bCs/>
          <w:color w:val="auto"/>
          <w:sz w:val="22"/>
          <w:szCs w:val="22"/>
        </w:rPr>
        <w:t xml:space="preserve"> and socializing activities</w:t>
      </w:r>
      <w:r>
        <w:rPr>
          <w:rFonts w:asciiTheme="minorHAnsi" w:hAnsiTheme="minorHAnsi"/>
          <w:bCs/>
          <w:color w:val="auto"/>
          <w:sz w:val="22"/>
          <w:szCs w:val="22"/>
        </w:rPr>
        <w:t>;</w:t>
      </w:r>
      <w:r w:rsidRPr="00FB6E71">
        <w:rPr>
          <w:rFonts w:asciiTheme="minorHAnsi" w:hAnsiTheme="minorHAnsi"/>
          <w:bCs/>
          <w:color w:val="auto"/>
          <w:sz w:val="22"/>
          <w:szCs w:val="22"/>
        </w:rPr>
        <w:t xml:space="preserve"> and peer support, as well as specialized services to victims of violence and population that present high risk factors for violence (such as substance abuse). </w:t>
      </w:r>
    </w:p>
    <w:p w:rsidR="007F2DE7" w:rsidRPr="00004265" w:rsidP="00302E0C">
      <w:pPr>
        <w:widowControl/>
        <w:numPr>
          <w:ilvl w:val="0"/>
          <w:numId w:val="29"/>
        </w:numPr>
        <w:spacing w:after="240"/>
        <w:ind w:left="1195" w:hanging="475"/>
        <w:jc w:val="both"/>
        <w:rPr>
          <w:rFonts w:asciiTheme="minorHAnsi" w:hAnsiTheme="minorHAnsi"/>
          <w:bCs/>
          <w:color w:val="auto"/>
          <w:sz w:val="22"/>
          <w:szCs w:val="22"/>
        </w:rPr>
      </w:pPr>
      <w:r w:rsidRPr="00FB6E71">
        <w:rPr>
          <w:rFonts w:asciiTheme="minorHAnsi" w:hAnsiTheme="minorHAnsi"/>
          <w:b/>
          <w:color w:val="auto"/>
          <w:sz w:val="22"/>
          <w:szCs w:val="22"/>
        </w:rPr>
        <w:t>Citizen-government relationship building for recovery</w:t>
      </w:r>
      <w:r>
        <w:rPr>
          <w:rFonts w:asciiTheme="minorHAnsi" w:hAnsiTheme="minorHAnsi"/>
          <w:b/>
          <w:color w:val="auto"/>
          <w:sz w:val="22"/>
          <w:szCs w:val="22"/>
        </w:rPr>
        <w:t>.</w:t>
      </w:r>
      <w:r w:rsidRPr="00FB6E71">
        <w:rPr>
          <w:rFonts w:asciiTheme="minorHAnsi" w:hAnsiTheme="minorHAnsi"/>
          <w:color w:val="auto"/>
          <w:sz w:val="22"/>
          <w:szCs w:val="22"/>
        </w:rPr>
        <w:t xml:space="preserve"> Activities that aim to build the government capacity and support them in planning for recovery and peace building interventions, including </w:t>
      </w:r>
    </w:p>
    <w:p w:rsidR="007F2DE7" w:rsidRPr="00004265" w:rsidP="00302E0C">
      <w:pPr>
        <w:widowControl/>
        <w:numPr>
          <w:ilvl w:val="0"/>
          <w:numId w:val="55"/>
        </w:numPr>
        <w:spacing w:after="240"/>
        <w:ind w:left="1670" w:hanging="475"/>
        <w:jc w:val="both"/>
        <w:rPr>
          <w:rFonts w:asciiTheme="minorHAnsi" w:hAnsiTheme="minorHAnsi"/>
          <w:bCs/>
          <w:color w:val="auto"/>
          <w:sz w:val="22"/>
          <w:szCs w:val="22"/>
        </w:rPr>
      </w:pPr>
      <w:r>
        <w:rPr>
          <w:rFonts w:asciiTheme="minorHAnsi" w:hAnsiTheme="minorHAnsi"/>
          <w:color w:val="auto"/>
          <w:sz w:val="22"/>
          <w:szCs w:val="22"/>
        </w:rPr>
        <w:t>T</w:t>
      </w:r>
      <w:r w:rsidRPr="00FB6E71">
        <w:rPr>
          <w:rFonts w:asciiTheme="minorHAnsi" w:hAnsiTheme="minorHAnsi"/>
          <w:color w:val="auto"/>
          <w:sz w:val="22"/>
          <w:szCs w:val="22"/>
        </w:rPr>
        <w:t xml:space="preserve">raining of government officials in peace building and conflict sensitiveness and </w:t>
      </w:r>
    </w:p>
    <w:p w:rsidR="007F2DE7" w:rsidRPr="00FB6E71" w:rsidP="00302E0C">
      <w:pPr>
        <w:widowControl/>
        <w:numPr>
          <w:ilvl w:val="0"/>
          <w:numId w:val="55"/>
        </w:numPr>
        <w:spacing w:after="240"/>
        <w:ind w:left="1670" w:hanging="475"/>
        <w:jc w:val="both"/>
        <w:rPr>
          <w:rFonts w:asciiTheme="minorHAnsi" w:hAnsiTheme="minorHAnsi"/>
          <w:bCs/>
          <w:color w:val="auto"/>
          <w:sz w:val="22"/>
          <w:szCs w:val="22"/>
        </w:rPr>
      </w:pPr>
      <w:r>
        <w:rPr>
          <w:rFonts w:asciiTheme="minorHAnsi" w:hAnsiTheme="minorHAnsi"/>
          <w:color w:val="auto"/>
          <w:sz w:val="22"/>
          <w:szCs w:val="22"/>
        </w:rPr>
        <w:t>S</w:t>
      </w:r>
      <w:r w:rsidRPr="00FB6E71">
        <w:rPr>
          <w:rFonts w:asciiTheme="minorHAnsi" w:hAnsiTheme="minorHAnsi"/>
          <w:color w:val="auto"/>
          <w:sz w:val="22"/>
          <w:szCs w:val="22"/>
        </w:rPr>
        <w:t>trengthening the capacities of state and local institutions to plan for the complex recovery process</w:t>
      </w:r>
      <w:r>
        <w:rPr>
          <w:rFonts w:asciiTheme="minorHAnsi" w:hAnsiTheme="minorHAnsi"/>
          <w:color w:val="auto"/>
          <w:sz w:val="22"/>
          <w:szCs w:val="22"/>
        </w:rPr>
        <w:t>;</w:t>
      </w:r>
      <w:r w:rsidRPr="00FB6E71">
        <w:rPr>
          <w:rFonts w:asciiTheme="minorHAnsi" w:hAnsiTheme="minorHAnsi"/>
          <w:color w:val="auto"/>
          <w:sz w:val="22"/>
          <w:szCs w:val="22"/>
        </w:rPr>
        <w:t xml:space="preserve"> addressing the return and reintegration of forcibly displaced people through participatory and area-based planning</w:t>
      </w:r>
      <w:r>
        <w:rPr>
          <w:rFonts w:asciiTheme="minorHAnsi" w:hAnsiTheme="minorHAnsi"/>
          <w:color w:val="auto"/>
          <w:sz w:val="22"/>
          <w:szCs w:val="22"/>
        </w:rPr>
        <w:t>;</w:t>
      </w:r>
      <w:r w:rsidRPr="00FB6E71">
        <w:rPr>
          <w:rFonts w:asciiTheme="minorHAnsi" w:hAnsiTheme="minorHAnsi"/>
          <w:color w:val="auto"/>
          <w:sz w:val="22"/>
          <w:szCs w:val="22"/>
        </w:rPr>
        <w:t xml:space="preserve"> preparing and implementing community safety plans to prevent violence and insecurity</w:t>
      </w:r>
      <w:r>
        <w:rPr>
          <w:rFonts w:asciiTheme="minorHAnsi" w:hAnsiTheme="minorHAnsi"/>
          <w:color w:val="auto"/>
          <w:sz w:val="22"/>
          <w:szCs w:val="22"/>
        </w:rPr>
        <w:t>;</w:t>
      </w:r>
      <w:r w:rsidRPr="00FB6E71">
        <w:rPr>
          <w:rFonts w:asciiTheme="minorHAnsi" w:hAnsiTheme="minorHAnsi"/>
          <w:color w:val="auto"/>
          <w:sz w:val="22"/>
          <w:szCs w:val="22"/>
        </w:rPr>
        <w:t xml:space="preserve"> and mainstreaming recovery needs into government planning and budgeting. Plans prepared under this activity will constitute the basis for the formulation of annual investment plans under the MCRP after the first year, moving from an emergency to an area-based approach to recovery. </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b/>
          <w:bCs/>
          <w:color w:val="auto"/>
          <w:sz w:val="22"/>
          <w:szCs w:val="22"/>
        </w:rPr>
        <w:t>Complementarities with other World Bank projects</w:t>
      </w:r>
      <w:r>
        <w:rPr>
          <w:rFonts w:asciiTheme="minorHAnsi" w:hAnsiTheme="minorHAnsi"/>
          <w:b/>
          <w:bCs/>
          <w:color w:val="auto"/>
          <w:sz w:val="22"/>
          <w:szCs w:val="22"/>
        </w:rPr>
        <w:t>.</w:t>
      </w:r>
      <w:r w:rsidRPr="00FB6E71">
        <w:rPr>
          <w:rFonts w:asciiTheme="minorHAnsi" w:hAnsiTheme="minorHAnsi"/>
          <w:bCs/>
          <w:color w:val="auto"/>
          <w:sz w:val="22"/>
          <w:szCs w:val="22"/>
        </w:rPr>
        <w:t xml:space="preserve"> The proposed interventions align well with activities supported under the FADAMA III investments on food security and livelihoods support by meeting the immediate needs of </w:t>
      </w:r>
      <w:r w:rsidRPr="00FB6E71">
        <w:rPr>
          <w:rFonts w:asciiTheme="minorHAnsi" w:hAnsiTheme="minorHAnsi" w:cs="Times New Roman"/>
          <w:sz w:val="22"/>
          <w:szCs w:val="22"/>
        </w:rPr>
        <w:t>IDP</w:t>
      </w:r>
      <w:r w:rsidRPr="00FB6E71">
        <w:rPr>
          <w:rFonts w:asciiTheme="minorHAnsi" w:hAnsiTheme="minorHAnsi"/>
          <w:bCs/>
          <w:color w:val="auto"/>
          <w:sz w:val="22"/>
          <w:szCs w:val="22"/>
        </w:rPr>
        <w:t xml:space="preserve"> and host communities in respect of basic amenities and livelihoods through the provision of non-food items necessary for return and reintegration. Efforts to restore long-term livelihoods by FADAMA III and YESSO </w:t>
      </w:r>
      <w:r>
        <w:rPr>
          <w:rFonts w:asciiTheme="minorHAnsi" w:hAnsiTheme="minorHAnsi"/>
          <w:bCs/>
          <w:color w:val="auto"/>
          <w:sz w:val="22"/>
          <w:szCs w:val="22"/>
        </w:rPr>
        <w:t>through</w:t>
      </w:r>
      <w:r w:rsidRPr="00FB6E71">
        <w:rPr>
          <w:rFonts w:asciiTheme="minorHAnsi" w:hAnsiTheme="minorHAnsi"/>
          <w:bCs/>
          <w:color w:val="auto"/>
          <w:sz w:val="22"/>
          <w:szCs w:val="22"/>
        </w:rPr>
        <w:t xml:space="preserve"> </w:t>
      </w:r>
      <w:r w:rsidRPr="00FB6E71">
        <w:rPr>
          <w:rFonts w:asciiTheme="minorHAnsi" w:hAnsiTheme="minorHAnsi"/>
          <w:bCs/>
          <w:sz w:val="22"/>
          <w:szCs w:val="22"/>
        </w:rPr>
        <w:t>community-driven development</w:t>
      </w:r>
      <w:r w:rsidRPr="00FB6E71">
        <w:rPr>
          <w:rFonts w:asciiTheme="minorHAnsi" w:hAnsiTheme="minorHAnsi"/>
          <w:bCs/>
          <w:color w:val="auto"/>
          <w:sz w:val="22"/>
          <w:szCs w:val="22"/>
        </w:rPr>
        <w:t xml:space="preserve"> grants for agricultural projects and conditional cash transfers will also be complemented by this component, by focusing on the necessary means of production immediately after spontaneous or planned return. Similarly, sustainable livelihoods interventions have been excluded as they are the central objective of interventions such as FADAMA III and YESSO AF. The local level investments for psychosocial support proposed under this subcomponent at the community level will supplement investments on capacity strengthening of national actors </w:t>
      </w:r>
      <w:r>
        <w:rPr>
          <w:rFonts w:asciiTheme="minorHAnsi" w:hAnsiTheme="minorHAnsi"/>
          <w:bCs/>
          <w:color w:val="auto"/>
          <w:sz w:val="22"/>
          <w:szCs w:val="22"/>
        </w:rPr>
        <w:t>in</w:t>
      </w:r>
      <w:r w:rsidRPr="00FB6E71">
        <w:rPr>
          <w:rFonts w:asciiTheme="minorHAnsi" w:hAnsiTheme="minorHAnsi"/>
          <w:bCs/>
          <w:color w:val="auto"/>
          <w:sz w:val="22"/>
          <w:szCs w:val="22"/>
        </w:rPr>
        <w:t xml:space="preserve"> response to the psychosocial needs of the affected population supported by the NSHIP and SEPIP. However</w:t>
      </w:r>
      <w:r>
        <w:rPr>
          <w:rFonts w:asciiTheme="minorHAnsi" w:hAnsiTheme="minorHAnsi"/>
          <w:bCs/>
          <w:color w:val="auto"/>
          <w:sz w:val="22"/>
          <w:szCs w:val="22"/>
        </w:rPr>
        <w:t>,</w:t>
      </w:r>
      <w:r w:rsidRPr="00FB6E71">
        <w:rPr>
          <w:rFonts w:asciiTheme="minorHAnsi" w:hAnsiTheme="minorHAnsi"/>
          <w:bCs/>
          <w:color w:val="auto"/>
          <w:sz w:val="22"/>
          <w:szCs w:val="22"/>
        </w:rPr>
        <w:t xml:space="preserve"> assistance provided under this component will be closely coordinated with that offered by YESSO and CSDP, including avoiding geographical overlaps and ensuring compatible service standards.</w:t>
      </w:r>
    </w:p>
    <w:p w:rsidR="007F2DE7" w:rsidRPr="00FB6E71" w:rsidP="00302E0C">
      <w:pPr>
        <w:pStyle w:val="ListParagraph"/>
        <w:widowControl/>
        <w:numPr>
          <w:ilvl w:val="0"/>
          <w:numId w:val="27"/>
        </w:numPr>
        <w:spacing w:after="240"/>
        <w:ind w:left="0" w:firstLine="0"/>
        <w:contextualSpacing w:val="0"/>
        <w:jc w:val="both"/>
        <w:rPr>
          <w:rFonts w:eastAsia="Times New Roman" w:asciiTheme="minorHAnsi" w:hAnsiTheme="minorHAnsi" w:cs="Times New Roman"/>
          <w:color w:val="auto"/>
          <w:sz w:val="22"/>
          <w:szCs w:val="22"/>
        </w:rPr>
      </w:pPr>
      <w:r w:rsidRPr="00FB6E71">
        <w:rPr>
          <w:rFonts w:asciiTheme="minorHAnsi" w:hAnsiTheme="minorHAnsi"/>
          <w:b/>
          <w:bCs/>
          <w:color w:val="auto"/>
          <w:sz w:val="22"/>
          <w:szCs w:val="22"/>
        </w:rPr>
        <w:t>Complementarities with initiatives by other development partners</w:t>
      </w:r>
      <w:r>
        <w:rPr>
          <w:rFonts w:asciiTheme="minorHAnsi" w:hAnsiTheme="minorHAnsi"/>
          <w:b/>
          <w:bCs/>
          <w:color w:val="auto"/>
          <w:sz w:val="22"/>
          <w:szCs w:val="22"/>
        </w:rPr>
        <w:t>.</w:t>
      </w:r>
      <w:r w:rsidRPr="00FB6E71">
        <w:rPr>
          <w:rFonts w:asciiTheme="minorHAnsi" w:hAnsiTheme="minorHAnsi"/>
          <w:color w:val="auto"/>
          <w:sz w:val="22"/>
          <w:szCs w:val="22"/>
        </w:rPr>
        <w:t xml:space="preserve"> International partners’ support is largely focused on meeting the most pressing humanitarian needs emerging from forced displacement. The UN system, USAID, </w:t>
      </w:r>
      <w:r w:rsidRPr="005E798F">
        <w:rPr>
          <w:rFonts w:asciiTheme="minorHAnsi" w:hAnsiTheme="minorHAnsi"/>
          <w:color w:val="auto"/>
          <w:sz w:val="22"/>
          <w:szCs w:val="22"/>
        </w:rPr>
        <w:t>DFID</w:t>
      </w:r>
      <w:r w:rsidRPr="00FB6E71">
        <w:rPr>
          <w:rFonts w:asciiTheme="minorHAnsi" w:hAnsiTheme="minorHAnsi"/>
          <w:color w:val="auto"/>
          <w:sz w:val="22"/>
          <w:szCs w:val="22"/>
        </w:rPr>
        <w:t>, International Committee of the Red Cross</w:t>
      </w:r>
      <w:r>
        <w:rPr>
          <w:rFonts w:asciiTheme="minorHAnsi" w:hAnsiTheme="minorHAnsi"/>
          <w:color w:val="auto"/>
          <w:sz w:val="22"/>
          <w:szCs w:val="22"/>
        </w:rPr>
        <w:t>,</w:t>
      </w:r>
      <w:r w:rsidRPr="00FB6E71">
        <w:rPr>
          <w:rFonts w:asciiTheme="minorHAnsi" w:hAnsiTheme="minorHAnsi"/>
          <w:color w:val="auto"/>
          <w:sz w:val="22"/>
          <w:szCs w:val="22"/>
        </w:rPr>
        <w:t xml:space="preserve"> </w:t>
      </w:r>
      <w:r>
        <w:rPr>
          <w:rFonts w:asciiTheme="minorHAnsi" w:hAnsiTheme="minorHAnsi"/>
          <w:color w:val="auto"/>
          <w:sz w:val="22"/>
          <w:szCs w:val="22"/>
        </w:rPr>
        <w:t>and</w:t>
      </w:r>
      <w:r w:rsidRPr="00FB6E71">
        <w:rPr>
          <w:rFonts w:asciiTheme="minorHAnsi" w:hAnsiTheme="minorHAnsi"/>
          <w:color w:val="auto"/>
          <w:sz w:val="22"/>
          <w:szCs w:val="22"/>
        </w:rPr>
        <w:t xml:space="preserve"> </w:t>
      </w:r>
      <w:r>
        <w:rPr>
          <w:rFonts w:asciiTheme="minorHAnsi" w:hAnsiTheme="minorHAnsi"/>
          <w:color w:val="auto"/>
          <w:sz w:val="22"/>
          <w:szCs w:val="22"/>
        </w:rPr>
        <w:t xml:space="preserve">the </w:t>
      </w:r>
      <w:r w:rsidRPr="00FB6E71">
        <w:rPr>
          <w:rFonts w:asciiTheme="minorHAnsi" w:hAnsiTheme="minorHAnsi"/>
          <w:color w:val="auto"/>
          <w:sz w:val="22"/>
          <w:szCs w:val="22"/>
        </w:rPr>
        <w:t>Japanese and Canadian governments have contribute</w:t>
      </w:r>
      <w:r>
        <w:rPr>
          <w:rFonts w:asciiTheme="minorHAnsi" w:hAnsiTheme="minorHAnsi"/>
          <w:color w:val="auto"/>
          <w:sz w:val="22"/>
          <w:szCs w:val="22"/>
        </w:rPr>
        <w:t>d</w:t>
      </w:r>
      <w:r w:rsidRPr="00FB6E71">
        <w:rPr>
          <w:rFonts w:asciiTheme="minorHAnsi" w:hAnsiTheme="minorHAnsi"/>
          <w:color w:val="auto"/>
          <w:sz w:val="22"/>
          <w:szCs w:val="22"/>
        </w:rPr>
        <w:t xml:space="preserve"> humanitarian relief and provide emergency shelter, health, nutrition, WASH, and child protection assistance to affected populations. In addition to this, the EU GIZ IDP program includes community reconciliation and confidence</w:t>
      </w:r>
      <w:r>
        <w:rPr>
          <w:rFonts w:asciiTheme="minorHAnsi" w:hAnsiTheme="minorHAnsi"/>
          <w:color w:val="auto"/>
          <w:sz w:val="22"/>
          <w:szCs w:val="22"/>
        </w:rPr>
        <w:t>-</w:t>
      </w:r>
      <w:r w:rsidRPr="00FB6E71">
        <w:rPr>
          <w:rFonts w:asciiTheme="minorHAnsi" w:hAnsiTheme="minorHAnsi"/>
          <w:color w:val="auto"/>
          <w:sz w:val="22"/>
          <w:szCs w:val="22"/>
        </w:rPr>
        <w:t xml:space="preserve">building activities, mostly focusing </w:t>
      </w:r>
      <w:r>
        <w:rPr>
          <w:rFonts w:asciiTheme="minorHAnsi" w:hAnsiTheme="minorHAnsi"/>
          <w:color w:val="auto"/>
          <w:sz w:val="22"/>
          <w:szCs w:val="22"/>
        </w:rPr>
        <w:t>on</w:t>
      </w:r>
      <w:r w:rsidRPr="00FB6E71">
        <w:rPr>
          <w:rFonts w:asciiTheme="minorHAnsi" w:hAnsiTheme="minorHAnsi"/>
          <w:color w:val="auto"/>
          <w:sz w:val="22"/>
          <w:szCs w:val="22"/>
        </w:rPr>
        <w:t xml:space="preserve"> the preparation of community-based development plans.</w:t>
      </w:r>
      <w:r w:rsidRPr="00FB6E71">
        <w:rPr>
          <w:rFonts w:asciiTheme="minorHAnsi" w:hAnsiTheme="minorHAnsi"/>
          <w:bCs/>
          <w:color w:val="auto"/>
          <w:sz w:val="22"/>
          <w:szCs w:val="22"/>
        </w:rPr>
        <w:t xml:space="preserve"> USAID is implementing a </w:t>
      </w:r>
      <w:r w:rsidRPr="00FB6E71">
        <w:rPr>
          <w:rFonts w:asciiTheme="minorHAnsi" w:hAnsiTheme="minorHAnsi"/>
          <w:color w:val="auto"/>
          <w:sz w:val="22"/>
          <w:szCs w:val="22"/>
        </w:rPr>
        <w:t xml:space="preserve">small grants initiatives to counter violent extremism and for youth de-radicalization. Program activities supported by </w:t>
      </w:r>
      <w:r>
        <w:rPr>
          <w:rFonts w:asciiTheme="minorHAnsi" w:hAnsiTheme="minorHAnsi"/>
          <w:color w:val="auto"/>
          <w:sz w:val="22"/>
          <w:szCs w:val="22"/>
        </w:rPr>
        <w:t xml:space="preserve">the </w:t>
      </w:r>
      <w:r w:rsidRPr="00FB6E71">
        <w:rPr>
          <w:rFonts w:asciiTheme="minorHAnsi" w:hAnsiTheme="minorHAnsi"/>
          <w:color w:val="auto"/>
          <w:sz w:val="22"/>
          <w:szCs w:val="22"/>
        </w:rPr>
        <w:t>MCRP adequately complement these efforts by focusing on bridging the gap between humanitarian and developmental needs and in the institutionalization of processes for durable solutions for the safe and voluntary return and reintegration of the forcibly displaced. Coordination with these agencies will be maintained to ensure that overlaps are avoided, gaps are minimized, and strategies and operational modalities across these interventions are duly synchronized.</w:t>
      </w:r>
    </w:p>
    <w:p w:rsidR="007F2DE7" w:rsidRPr="00FB6E71" w:rsidP="007F2DE7">
      <w:pPr>
        <w:keepNext/>
        <w:keepLines/>
        <w:widowControl/>
        <w:spacing w:after="240"/>
        <w:rPr>
          <w:rFonts w:asciiTheme="minorHAnsi" w:hAnsiTheme="minorHAnsi"/>
          <w:b/>
          <w:bCs/>
          <w:i/>
          <w:color w:val="auto"/>
          <w:sz w:val="22"/>
          <w:szCs w:val="22"/>
        </w:rPr>
      </w:pPr>
      <w:r w:rsidRPr="00FB6E71">
        <w:rPr>
          <w:rFonts w:asciiTheme="minorHAnsi" w:hAnsiTheme="minorHAnsi"/>
          <w:b/>
          <w:bCs/>
          <w:i/>
          <w:color w:val="auto"/>
          <w:sz w:val="22"/>
          <w:szCs w:val="22"/>
        </w:rPr>
        <w:t xml:space="preserve">Component 2: Infrastructure Rehabilitation and Service Delivery Restoration and Improvement </w:t>
      </w:r>
      <w:r>
        <w:rPr>
          <w:rFonts w:asciiTheme="minorHAnsi" w:hAnsiTheme="minorHAnsi"/>
          <w:b/>
          <w:bCs/>
          <w:i/>
          <w:color w:val="auto"/>
          <w:sz w:val="22"/>
          <w:szCs w:val="22"/>
        </w:rPr>
        <w:t>-</w:t>
      </w:r>
      <w:r w:rsidRPr="00FB6E71">
        <w:rPr>
          <w:rFonts w:asciiTheme="minorHAnsi" w:hAnsiTheme="minorHAnsi"/>
          <w:b/>
          <w:bCs/>
          <w:i/>
          <w:color w:val="auto"/>
          <w:sz w:val="22"/>
          <w:szCs w:val="22"/>
        </w:rPr>
        <w:t xml:space="preserve"> </w:t>
      </w:r>
      <w:r>
        <w:rPr>
          <w:rFonts w:asciiTheme="minorHAnsi" w:hAnsiTheme="minorHAnsi"/>
          <w:b/>
          <w:bCs/>
          <w:i/>
          <w:color w:val="auto"/>
          <w:sz w:val="22"/>
          <w:szCs w:val="22"/>
        </w:rPr>
        <w:t>SDR 111.6 million (</w:t>
      </w:r>
      <w:r w:rsidRPr="00FB6E71">
        <w:rPr>
          <w:rFonts w:asciiTheme="minorHAnsi" w:hAnsiTheme="minorHAnsi"/>
          <w:b/>
          <w:bCs/>
          <w:i/>
          <w:color w:val="auto"/>
          <w:sz w:val="22"/>
          <w:szCs w:val="22"/>
        </w:rPr>
        <w:t>US$150 million</w:t>
      </w:r>
      <w:r>
        <w:rPr>
          <w:rFonts w:asciiTheme="minorHAnsi" w:hAnsiTheme="minorHAnsi"/>
          <w:b/>
          <w:bCs/>
          <w:i/>
          <w:color w:val="auto"/>
          <w:sz w:val="22"/>
          <w:szCs w:val="22"/>
        </w:rPr>
        <w:t xml:space="preserve"> equivalent)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This component will include the rehabilitation of critical physical infrastructure and the sustainable restoration of service delivery in targeted LGAs in the three affected BAY states. This will include (a) rehabilitation of damaged state and local roads and bridges; (b) restoration of municipal services including water supply, sanitation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solid waste management; (c) rehabilitation of social infrastructure, including schools and health facilities; and (d) rehabilitation of public buildings and other important community infrastructure. Seizing the opportunity provided by the crisis, all assets and services financed under the project will be designed to be rebuilt or rehabilitated to improved build-back-better standards. This could entail elements such as right-sizing, right-siting, structural improvements, improved quality control and service delivery regulation, and strengthened operations and </w:t>
      </w:r>
      <w:r w:rsidRPr="00FB6E71">
        <w:rPr>
          <w:rFonts w:ascii="Calibri" w:eastAsia="Times New Roman" w:hAnsi="Calibri" w:cs="Times New Roman"/>
          <w:color w:val="auto"/>
          <w:sz w:val="22"/>
          <w:szCs w:val="22"/>
        </w:rPr>
        <w:t>maintenance standards.</w:t>
      </w:r>
      <w:r w:rsidRPr="00FB6E71">
        <w:rPr>
          <w:rFonts w:asciiTheme="minorHAnsi" w:hAnsiTheme="minorHAnsi"/>
          <w:bCs/>
          <w:color w:val="auto"/>
          <w:sz w:val="22"/>
          <w:szCs w:val="22"/>
        </w:rPr>
        <w:t xml:space="preserve">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Complementarity with World Bank AF</w:t>
      </w:r>
      <w:r>
        <w:rPr>
          <w:rFonts w:asciiTheme="minorHAnsi" w:hAnsiTheme="minorHAnsi"/>
          <w:b/>
          <w:bCs/>
          <w:color w:val="auto"/>
          <w:sz w:val="22"/>
          <w:szCs w:val="22"/>
        </w:rPr>
        <w:t>.</w:t>
      </w:r>
      <w:r w:rsidRPr="00FB6E71">
        <w:rPr>
          <w:rFonts w:asciiTheme="minorHAnsi" w:hAnsiTheme="minorHAnsi"/>
          <w:bCs/>
          <w:color w:val="auto"/>
          <w:sz w:val="22"/>
          <w:szCs w:val="22"/>
        </w:rPr>
        <w:t xml:space="preserve"> The only other AF project that will support infrastructure is the CSDP</w:t>
      </w:r>
      <w:r>
        <w:rPr>
          <w:rFonts w:asciiTheme="minorHAnsi" w:hAnsiTheme="minorHAnsi"/>
          <w:bCs/>
          <w:color w:val="auto"/>
          <w:sz w:val="22"/>
          <w:szCs w:val="22"/>
        </w:rPr>
        <w:t>;</w:t>
      </w:r>
      <w:r w:rsidRPr="00FB6E71">
        <w:rPr>
          <w:rFonts w:asciiTheme="minorHAnsi" w:hAnsiTheme="minorHAnsi"/>
          <w:bCs/>
          <w:color w:val="auto"/>
          <w:sz w:val="22"/>
          <w:szCs w:val="22"/>
        </w:rPr>
        <w:t xml:space="preserve"> however, the scale of infrastructure will be different. While the CSDP focuses on the empowerment of communities to develop, implement, and monitor micro social infrastructure projects including natural resource management interventions, the MCRP will support larger</w:t>
      </w:r>
      <w:r>
        <w:rPr>
          <w:rFonts w:asciiTheme="minorHAnsi" w:hAnsiTheme="minorHAnsi"/>
          <w:bCs/>
          <w:color w:val="auto"/>
          <w:sz w:val="22"/>
          <w:szCs w:val="22"/>
        </w:rPr>
        <w:t>-</w:t>
      </w:r>
      <w:r w:rsidRPr="00FB6E71">
        <w:rPr>
          <w:rFonts w:asciiTheme="minorHAnsi" w:hAnsiTheme="minorHAnsi"/>
          <w:bCs/>
          <w:color w:val="auto"/>
          <w:sz w:val="22"/>
          <w:szCs w:val="22"/>
        </w:rPr>
        <w:t>scale infrastructure projects, such as roads, bridges, schools, health centers, and public buildings, to restore basic service delivery needs, managed by the state governments. WASH facilities could be one area where some overlap could exist</w:t>
      </w:r>
      <w:r>
        <w:rPr>
          <w:rFonts w:asciiTheme="minorHAnsi" w:hAnsiTheme="minorHAnsi"/>
          <w:bCs/>
          <w:color w:val="auto"/>
          <w:sz w:val="22"/>
          <w:szCs w:val="22"/>
        </w:rPr>
        <w:t>,</w:t>
      </w:r>
      <w:r w:rsidRPr="00FB6E71">
        <w:rPr>
          <w:rFonts w:asciiTheme="minorHAnsi" w:hAnsiTheme="minorHAnsi"/>
          <w:bCs/>
          <w:color w:val="auto"/>
          <w:sz w:val="22"/>
          <w:szCs w:val="22"/>
        </w:rPr>
        <w:t xml:space="preserve"> and efforts will be made to ensure that activities are well coordinated. </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 xml:space="preserve">Rehabilitation of </w:t>
      </w:r>
      <w:r>
        <w:rPr>
          <w:rFonts w:asciiTheme="minorHAnsi" w:hAnsiTheme="minorHAnsi"/>
          <w:bCs/>
          <w:i/>
          <w:color w:val="auto"/>
          <w:sz w:val="22"/>
          <w:szCs w:val="22"/>
        </w:rPr>
        <w:t>D</w:t>
      </w:r>
      <w:r w:rsidRPr="00FB6E71">
        <w:rPr>
          <w:rFonts w:asciiTheme="minorHAnsi" w:hAnsiTheme="minorHAnsi"/>
          <w:bCs/>
          <w:i/>
          <w:color w:val="auto"/>
          <w:sz w:val="22"/>
          <w:szCs w:val="22"/>
        </w:rPr>
        <w:t xml:space="preserve">amaged </w:t>
      </w:r>
      <w:r>
        <w:rPr>
          <w:rFonts w:asciiTheme="minorHAnsi" w:hAnsiTheme="minorHAnsi"/>
          <w:bCs/>
          <w:i/>
          <w:color w:val="auto"/>
          <w:sz w:val="22"/>
          <w:szCs w:val="22"/>
        </w:rPr>
        <w:t>S</w:t>
      </w:r>
      <w:r w:rsidRPr="00FB6E71">
        <w:rPr>
          <w:rFonts w:asciiTheme="minorHAnsi" w:hAnsiTheme="minorHAnsi"/>
          <w:bCs/>
          <w:i/>
          <w:color w:val="auto"/>
          <w:sz w:val="22"/>
          <w:szCs w:val="22"/>
        </w:rPr>
        <w:t xml:space="preserve">tate and </w:t>
      </w:r>
      <w:r>
        <w:rPr>
          <w:rFonts w:asciiTheme="minorHAnsi" w:hAnsiTheme="minorHAnsi"/>
          <w:bCs/>
          <w:i/>
          <w:color w:val="auto"/>
          <w:sz w:val="22"/>
          <w:szCs w:val="22"/>
        </w:rPr>
        <w:t>L</w:t>
      </w:r>
      <w:r w:rsidRPr="00FB6E71">
        <w:rPr>
          <w:rFonts w:asciiTheme="minorHAnsi" w:hAnsiTheme="minorHAnsi"/>
          <w:bCs/>
          <w:i/>
          <w:color w:val="auto"/>
          <w:sz w:val="22"/>
          <w:szCs w:val="22"/>
        </w:rPr>
        <w:t xml:space="preserve">ocal </w:t>
      </w:r>
      <w:r>
        <w:rPr>
          <w:rFonts w:asciiTheme="minorHAnsi" w:hAnsiTheme="minorHAnsi"/>
          <w:bCs/>
          <w:i/>
          <w:color w:val="auto"/>
          <w:sz w:val="22"/>
          <w:szCs w:val="22"/>
        </w:rPr>
        <w:t>R</w:t>
      </w:r>
      <w:r w:rsidRPr="00FB6E71">
        <w:rPr>
          <w:rFonts w:asciiTheme="minorHAnsi" w:hAnsiTheme="minorHAnsi"/>
          <w:bCs/>
          <w:i/>
          <w:color w:val="auto"/>
          <w:sz w:val="22"/>
          <w:szCs w:val="22"/>
        </w:rPr>
        <w:t xml:space="preserve">oads and </w:t>
      </w:r>
      <w:r>
        <w:rPr>
          <w:rFonts w:asciiTheme="minorHAnsi" w:hAnsiTheme="minorHAnsi"/>
          <w:bCs/>
          <w:i/>
          <w:color w:val="auto"/>
          <w:sz w:val="22"/>
          <w:szCs w:val="22"/>
        </w:rPr>
        <w:t>B</w:t>
      </w:r>
      <w:r w:rsidRPr="00FB6E71">
        <w:rPr>
          <w:rFonts w:asciiTheme="minorHAnsi" w:hAnsiTheme="minorHAnsi"/>
          <w:bCs/>
          <w:i/>
          <w:color w:val="auto"/>
          <w:sz w:val="22"/>
          <w:szCs w:val="22"/>
        </w:rPr>
        <w:t>ridges</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Calibri" w:eastAsia="MS Mincho" w:hAnsi="Calibri" w:cs="Times New Roman"/>
          <w:b/>
          <w:bCs/>
          <w:color w:val="auto"/>
          <w:sz w:val="22"/>
          <w:szCs w:val="22"/>
        </w:rPr>
        <w:t xml:space="preserve">Overall </w:t>
      </w:r>
      <w:r>
        <w:rPr>
          <w:rFonts w:ascii="Calibri" w:eastAsia="MS Mincho" w:hAnsi="Calibri" w:cs="Times New Roman"/>
          <w:b/>
          <w:bCs/>
          <w:color w:val="auto"/>
          <w:sz w:val="22"/>
          <w:szCs w:val="22"/>
        </w:rPr>
        <w:t>n</w:t>
      </w:r>
      <w:r w:rsidRPr="00FB6E71">
        <w:rPr>
          <w:rFonts w:ascii="Calibri" w:eastAsia="MS Mincho" w:hAnsi="Calibri" w:cs="Times New Roman"/>
          <w:b/>
          <w:bCs/>
          <w:color w:val="auto"/>
          <w:sz w:val="22"/>
          <w:szCs w:val="22"/>
        </w:rPr>
        <w:t xml:space="preserve">eeds and </w:t>
      </w:r>
      <w:r>
        <w:rPr>
          <w:rFonts w:ascii="Calibri" w:eastAsia="MS Mincho" w:hAnsi="Calibri" w:cs="Times New Roman"/>
          <w:b/>
          <w:bCs/>
          <w:color w:val="auto"/>
          <w:sz w:val="22"/>
          <w:szCs w:val="22"/>
        </w:rPr>
        <w:t>r</w:t>
      </w:r>
      <w:r w:rsidRPr="00FB6E71">
        <w:rPr>
          <w:rFonts w:ascii="Calibri" w:eastAsia="MS Mincho" w:hAnsi="Calibri" w:cs="Times New Roman"/>
          <w:b/>
          <w:bCs/>
          <w:color w:val="auto"/>
          <w:sz w:val="22"/>
          <w:szCs w:val="22"/>
        </w:rPr>
        <w:t xml:space="preserve">ecovery </w:t>
      </w:r>
      <w:r>
        <w:rPr>
          <w:rFonts w:ascii="Calibri" w:eastAsia="MS Mincho" w:hAnsi="Calibri" w:cs="Times New Roman"/>
          <w:b/>
          <w:bCs/>
          <w:color w:val="auto"/>
          <w:sz w:val="22"/>
          <w:szCs w:val="22"/>
        </w:rPr>
        <w:t>s</w:t>
      </w:r>
      <w:r w:rsidRPr="00FB6E71">
        <w:rPr>
          <w:rFonts w:ascii="Calibri" w:eastAsia="MS Mincho" w:hAnsi="Calibri" w:cs="Times New Roman"/>
          <w:b/>
          <w:bCs/>
          <w:color w:val="auto"/>
          <w:sz w:val="22"/>
          <w:szCs w:val="22"/>
        </w:rPr>
        <w:t xml:space="preserve">trategy for the </w:t>
      </w:r>
      <w:r>
        <w:rPr>
          <w:rFonts w:ascii="Calibri" w:eastAsia="MS Mincho" w:hAnsi="Calibri" w:cs="Times New Roman"/>
          <w:b/>
          <w:bCs/>
          <w:color w:val="auto"/>
          <w:sz w:val="22"/>
          <w:szCs w:val="22"/>
        </w:rPr>
        <w:t>t</w:t>
      </w:r>
      <w:r w:rsidRPr="00FB6E71">
        <w:rPr>
          <w:rFonts w:ascii="Calibri" w:eastAsia="MS Mincho" w:hAnsi="Calibri" w:cs="Times New Roman"/>
          <w:b/>
          <w:bCs/>
          <w:color w:val="auto"/>
          <w:sz w:val="22"/>
          <w:szCs w:val="22"/>
        </w:rPr>
        <w:t xml:space="preserve">ransport </w:t>
      </w:r>
      <w:r>
        <w:rPr>
          <w:rFonts w:ascii="Calibri" w:eastAsia="MS Mincho" w:hAnsi="Calibri" w:cs="Times New Roman"/>
          <w:b/>
          <w:bCs/>
          <w:color w:val="auto"/>
          <w:sz w:val="22"/>
          <w:szCs w:val="22"/>
        </w:rPr>
        <w:t>s</w:t>
      </w:r>
      <w:r w:rsidRPr="00FB6E71">
        <w:rPr>
          <w:rFonts w:ascii="Calibri" w:eastAsia="MS Mincho" w:hAnsi="Calibri" w:cs="Times New Roman"/>
          <w:b/>
          <w:bCs/>
          <w:color w:val="auto"/>
          <w:sz w:val="22"/>
          <w:szCs w:val="22"/>
        </w:rPr>
        <w:t>ector under the RPBA</w:t>
      </w:r>
      <w:r>
        <w:rPr>
          <w:rFonts w:ascii="Calibri" w:eastAsia="MS Mincho" w:hAnsi="Calibri" w:cs="Times New Roman"/>
          <w:b/>
          <w:bCs/>
          <w:color w:val="auto"/>
          <w:sz w:val="22"/>
          <w:szCs w:val="22"/>
        </w:rPr>
        <w:t>.</w:t>
      </w:r>
      <w:r w:rsidRPr="00FB6E71">
        <w:rPr>
          <w:rFonts w:ascii="Calibri" w:eastAsia="MS Mincho" w:hAnsi="Calibri" w:cs="Times New Roman"/>
          <w:bCs/>
          <w:color w:val="auto"/>
          <w:sz w:val="22"/>
          <w:szCs w:val="22"/>
        </w:rPr>
        <w:t xml:space="preserve"> Roads and bridges in the NE have suffered extensive damage by explosive devices, while the movement of military vehicles has </w:t>
      </w:r>
      <w:r w:rsidRPr="00FB6E71">
        <w:rPr>
          <w:rFonts w:asciiTheme="minorHAnsi" w:hAnsiTheme="minorHAnsi" w:cs="Times New Roman"/>
          <w:sz w:val="22"/>
          <w:szCs w:val="22"/>
        </w:rPr>
        <w:t>damaged</w:t>
      </w:r>
      <w:r w:rsidRPr="00FB6E71">
        <w:rPr>
          <w:rFonts w:ascii="Calibri" w:eastAsia="MS Mincho" w:hAnsi="Calibri" w:cs="Times New Roman"/>
          <w:bCs/>
          <w:color w:val="auto"/>
          <w:sz w:val="22"/>
          <w:szCs w:val="22"/>
        </w:rPr>
        <w:t xml:space="preserve"> many roads. As a result, the mobility of goods, services</w:t>
      </w:r>
      <w:r>
        <w:rPr>
          <w:rFonts w:ascii="Calibri" w:eastAsia="MS Mincho" w:hAnsi="Calibri" w:cs="Times New Roman"/>
          <w:bCs/>
          <w:color w:val="auto"/>
          <w:sz w:val="22"/>
          <w:szCs w:val="22"/>
        </w:rPr>
        <w:t>,</w:t>
      </w:r>
      <w:r w:rsidRPr="00FB6E71">
        <w:rPr>
          <w:rFonts w:ascii="Calibri" w:eastAsia="MS Mincho" w:hAnsi="Calibri" w:cs="Times New Roman"/>
          <w:bCs/>
          <w:color w:val="auto"/>
          <w:sz w:val="22"/>
          <w:szCs w:val="22"/>
        </w:rPr>
        <w:t xml:space="preserve"> and people has been seriously </w:t>
      </w:r>
      <w:r>
        <w:rPr>
          <w:rFonts w:ascii="Calibri" w:eastAsia="MS Mincho" w:hAnsi="Calibri" w:cs="Times New Roman"/>
          <w:bCs/>
          <w:color w:val="auto"/>
          <w:sz w:val="22"/>
          <w:szCs w:val="22"/>
        </w:rPr>
        <w:t>affected</w:t>
      </w:r>
      <w:r w:rsidRPr="00FB6E71">
        <w:rPr>
          <w:rFonts w:ascii="Calibri" w:eastAsia="MS Mincho" w:hAnsi="Calibri" w:cs="Times New Roman"/>
          <w:bCs/>
          <w:color w:val="auto"/>
          <w:sz w:val="22"/>
          <w:szCs w:val="22"/>
        </w:rPr>
        <w:t>. At the local level, damaged or destroyed local roads have limited residents’ access to markets, schools, health facilities</w:t>
      </w:r>
      <w:r>
        <w:rPr>
          <w:rFonts w:ascii="Calibri" w:eastAsia="MS Mincho" w:hAnsi="Calibri" w:cs="Times New Roman"/>
          <w:bCs/>
          <w:color w:val="auto"/>
          <w:sz w:val="22"/>
          <w:szCs w:val="22"/>
        </w:rPr>
        <w:t>,</w:t>
      </w:r>
      <w:r w:rsidRPr="00FB6E71">
        <w:rPr>
          <w:rFonts w:ascii="Calibri" w:eastAsia="MS Mincho" w:hAnsi="Calibri" w:cs="Times New Roman"/>
          <w:bCs/>
          <w:color w:val="auto"/>
          <w:sz w:val="22"/>
          <w:szCs w:val="22"/>
        </w:rPr>
        <w:t xml:space="preserve"> and other community services. The RPBA estimated total needs for recovery in the sector equivalent to US$538 million. The recovery strategy for the transport sector aims to promote the mobility of goods, services</w:t>
      </w:r>
      <w:r>
        <w:rPr>
          <w:rFonts w:ascii="Calibri" w:eastAsia="MS Mincho" w:hAnsi="Calibri" w:cs="Times New Roman"/>
          <w:bCs/>
          <w:color w:val="auto"/>
          <w:sz w:val="22"/>
          <w:szCs w:val="22"/>
        </w:rPr>
        <w:t>,</w:t>
      </w:r>
      <w:r w:rsidRPr="00FB6E71">
        <w:rPr>
          <w:rFonts w:ascii="Calibri" w:eastAsia="MS Mincho" w:hAnsi="Calibri" w:cs="Times New Roman"/>
          <w:bCs/>
          <w:color w:val="auto"/>
          <w:sz w:val="22"/>
          <w:szCs w:val="22"/>
        </w:rPr>
        <w:t xml:space="preserve"> and people. The reconstruction of critical infrastructure w</w:t>
      </w:r>
      <w:r>
        <w:rPr>
          <w:rFonts w:ascii="Calibri" w:eastAsia="MS Mincho" w:hAnsi="Calibri" w:cs="Times New Roman"/>
          <w:bCs/>
          <w:color w:val="auto"/>
          <w:sz w:val="22"/>
          <w:szCs w:val="22"/>
        </w:rPr>
        <w:t>ill</w:t>
      </w:r>
      <w:r w:rsidRPr="00FB6E71">
        <w:rPr>
          <w:rFonts w:ascii="Calibri" w:eastAsia="MS Mincho" w:hAnsi="Calibri" w:cs="Times New Roman"/>
          <w:bCs/>
          <w:color w:val="auto"/>
          <w:sz w:val="22"/>
          <w:szCs w:val="22"/>
        </w:rPr>
        <w:t xml:space="preserve"> be given priority</w:t>
      </w:r>
      <w:r>
        <w:rPr>
          <w:rFonts w:ascii="Calibri" w:eastAsia="MS Mincho" w:hAnsi="Calibri" w:cs="Times New Roman"/>
          <w:bCs/>
          <w:color w:val="auto"/>
          <w:sz w:val="22"/>
          <w:szCs w:val="22"/>
        </w:rPr>
        <w:t>,</w:t>
      </w:r>
      <w:r w:rsidRPr="00FB6E71">
        <w:rPr>
          <w:rFonts w:ascii="Calibri" w:eastAsia="MS Mincho" w:hAnsi="Calibri" w:cs="Times New Roman"/>
          <w:bCs/>
          <w:color w:val="auto"/>
          <w:sz w:val="22"/>
          <w:szCs w:val="22"/>
        </w:rPr>
        <w:t xml:space="preserve"> in particular, state and local roads and bridges that are key to restoring access to productive and social facilities. The estimates of these needs in the RPBA are presented in </w:t>
      </w:r>
      <w:r>
        <w:rPr>
          <w:rFonts w:ascii="Calibri" w:eastAsia="MS Mincho" w:hAnsi="Calibri" w:cs="Times New Roman"/>
          <w:bCs/>
          <w:color w:val="auto"/>
          <w:sz w:val="22"/>
          <w:szCs w:val="22"/>
        </w:rPr>
        <w:fldChar w:fldCharType="begin"/>
      </w:r>
      <w:r>
        <w:rPr>
          <w:rFonts w:ascii="Calibri" w:eastAsia="MS Mincho" w:hAnsi="Calibri" w:cs="Times New Roman"/>
          <w:bCs/>
          <w:color w:val="auto"/>
          <w:sz w:val="22"/>
          <w:szCs w:val="22"/>
        </w:rPr>
        <w:instrText xml:space="preserve"> REF _Ref475639720 \h  \* MERGEFORMAT </w:instrText>
      </w:r>
      <w:r>
        <w:rPr>
          <w:rFonts w:ascii="Calibri" w:eastAsia="MS Mincho" w:hAnsi="Calibri" w:cs="Times New Roman"/>
          <w:bCs/>
          <w:color w:val="auto"/>
          <w:sz w:val="22"/>
          <w:szCs w:val="22"/>
        </w:rPr>
        <w:fldChar w:fldCharType="separate"/>
      </w:r>
      <w:r w:rsidRPr="00AD0B11">
        <w:rPr>
          <w:rFonts w:ascii="Calibri" w:eastAsia="MS Mincho" w:hAnsi="Calibri" w:cs="Times New Roman"/>
          <w:bCs/>
          <w:color w:val="auto"/>
          <w:sz w:val="22"/>
          <w:szCs w:val="22"/>
        </w:rPr>
        <w:t>table 1.2</w:t>
      </w:r>
      <w:r>
        <w:rPr>
          <w:rFonts w:ascii="Calibri" w:eastAsia="MS Mincho" w:hAnsi="Calibri" w:cs="Times New Roman"/>
          <w:bCs/>
          <w:color w:val="auto"/>
          <w:sz w:val="22"/>
          <w:szCs w:val="22"/>
        </w:rPr>
        <w:fldChar w:fldCharType="end"/>
      </w:r>
      <w:r w:rsidRPr="00FB6E71">
        <w:rPr>
          <w:rFonts w:ascii="Calibri" w:eastAsia="MS Mincho" w:hAnsi="Calibri" w:cs="Times New Roman"/>
          <w:bCs/>
          <w:color w:val="auto"/>
          <w:sz w:val="22"/>
          <w:szCs w:val="22"/>
        </w:rPr>
        <w:t>:</w:t>
      </w:r>
    </w:p>
    <w:p w:rsidR="007F2DE7" w:rsidRPr="00FB6E71" w:rsidP="007F2DE7">
      <w:pPr>
        <w:pStyle w:val="Caption"/>
        <w:keepNext/>
        <w:keepLines/>
        <w:widowControl/>
        <w:spacing w:before="120" w:after="120"/>
        <w:jc w:val="center"/>
        <w:rPr>
          <w:rFonts w:asciiTheme="minorHAnsi" w:hAnsiTheme="minorHAnsi"/>
          <w:b/>
          <w:i w:val="0"/>
          <w:color w:val="auto"/>
        </w:rPr>
      </w:pPr>
      <w:bookmarkStart w:id="123" w:name="_Ref475639720"/>
      <w:r w:rsidRPr="00FB6E71">
        <w:rPr>
          <w:rFonts w:asciiTheme="minorHAnsi" w:hAnsiTheme="minorHAnsi"/>
          <w:b/>
          <w:i w:val="0"/>
          <w:color w:val="auto"/>
        </w:rPr>
        <w:t>Table 1.</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Table_1. \* ARABIC </w:instrText>
      </w:r>
      <w:r w:rsidRPr="00FB6E71">
        <w:rPr>
          <w:rFonts w:asciiTheme="minorHAnsi" w:hAnsiTheme="minorHAnsi"/>
          <w:b/>
          <w:i w:val="0"/>
          <w:color w:val="auto"/>
        </w:rPr>
        <w:fldChar w:fldCharType="separate"/>
      </w:r>
      <w:r w:rsidRPr="00FB6E71">
        <w:rPr>
          <w:rFonts w:asciiTheme="minorHAnsi" w:hAnsiTheme="minorHAnsi"/>
          <w:b/>
          <w:i w:val="0"/>
          <w:color w:val="auto"/>
        </w:rPr>
        <w:t>2</w:t>
      </w:r>
      <w:r w:rsidRPr="00FB6E71">
        <w:rPr>
          <w:rFonts w:asciiTheme="minorHAnsi" w:hAnsiTheme="minorHAnsi"/>
          <w:b/>
          <w:i w:val="0"/>
          <w:color w:val="auto"/>
        </w:rPr>
        <w:fldChar w:fldCharType="end"/>
      </w:r>
      <w:bookmarkEnd w:id="123"/>
      <w:r>
        <w:rPr>
          <w:rFonts w:asciiTheme="minorHAnsi" w:hAnsiTheme="minorHAnsi"/>
          <w:b/>
          <w:i w:val="0"/>
          <w:color w:val="auto"/>
        </w:rPr>
        <w:t>.</w:t>
      </w:r>
      <w:r w:rsidRPr="00FB6E71">
        <w:rPr>
          <w:rFonts w:asciiTheme="minorHAnsi" w:hAnsiTheme="minorHAnsi"/>
          <w:b/>
          <w:i w:val="0"/>
          <w:color w:val="auto"/>
        </w:rPr>
        <w:t xml:space="preserve"> Needs Overview for Transport Sector</w:t>
      </w:r>
      <w:r>
        <w:rPr>
          <w:rFonts w:asciiTheme="minorHAnsi" w:hAnsiTheme="minorHAnsi"/>
          <w:b/>
          <w:i w:val="0"/>
          <w:color w:val="auto"/>
        </w:rPr>
        <w:t xml:space="preserve"> (US$)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1440"/>
        <w:gridCol w:w="1440"/>
        <w:gridCol w:w="1440"/>
        <w:gridCol w:w="134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20"/>
          <w:tblHeader/>
          <w:jc w:val="center"/>
        </w:trPr>
        <w:tc>
          <w:tcPr>
            <w:tcW w:w="3685" w:type="dxa"/>
            <w:shd w:val="clear" w:color="auto" w:fill="auto"/>
            <w:vAlign w:val="center"/>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 xml:space="preserve">Needs by </w:t>
            </w:r>
            <w:r>
              <w:rPr>
                <w:rFonts w:ascii="Calibri" w:eastAsia="Times New Roman" w:hAnsi="Calibri" w:cs="Times New Roman"/>
                <w:b/>
                <w:bCs/>
                <w:color w:val="auto"/>
                <w:sz w:val="18"/>
                <w:szCs w:val="18"/>
                <w:lang w:eastAsia="zh-CN"/>
              </w:rPr>
              <w:t>A</w:t>
            </w:r>
            <w:r w:rsidRPr="00FB6E71">
              <w:rPr>
                <w:rFonts w:ascii="Calibri" w:eastAsia="Times New Roman" w:hAnsi="Calibri" w:cs="Times New Roman"/>
                <w:b/>
                <w:bCs/>
                <w:color w:val="auto"/>
                <w:sz w:val="18"/>
                <w:szCs w:val="18"/>
                <w:lang w:eastAsia="zh-CN"/>
              </w:rPr>
              <w:t>ctivity</w:t>
            </w:r>
          </w:p>
        </w:tc>
        <w:tc>
          <w:tcPr>
            <w:tcW w:w="14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Adamawa</w:t>
            </w:r>
          </w:p>
        </w:tc>
        <w:tc>
          <w:tcPr>
            <w:tcW w:w="14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Borno</w:t>
            </w:r>
          </w:p>
        </w:tc>
        <w:tc>
          <w:tcPr>
            <w:tcW w:w="14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Yobe</w:t>
            </w:r>
          </w:p>
        </w:tc>
        <w:tc>
          <w:tcPr>
            <w:tcW w:w="1345"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Total</w:t>
            </w:r>
          </w:p>
        </w:tc>
      </w:tr>
      <w:tr w:rsidTr="007F2DE7">
        <w:tblPrEx>
          <w:tblW w:w="5000" w:type="pct"/>
          <w:jc w:val="center"/>
          <w:tblLook w:val="04A0"/>
        </w:tblPrEx>
        <w:trPr>
          <w:cantSplit/>
          <w:trHeight w:val="20"/>
          <w:jc w:val="center"/>
        </w:trPr>
        <w:tc>
          <w:tcPr>
            <w:tcW w:w="3685" w:type="dxa"/>
            <w:shd w:val="clear" w:color="auto" w:fill="auto"/>
            <w:hideMark/>
          </w:tcPr>
          <w:p w:rsidR="007F2DE7" w:rsidRPr="00FB6E71" w:rsidP="007F2DE7">
            <w:pPr>
              <w:widowControl/>
              <w:autoSpaceDE/>
              <w:autoSpaceDN/>
              <w:adjustRightInd/>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 xml:space="preserve">Reconstruct/repair damaged </w:t>
            </w:r>
            <w:r>
              <w:rPr>
                <w:rFonts w:ascii="Calibri" w:eastAsia="Times New Roman" w:hAnsi="Calibri" w:cs="Times New Roman"/>
                <w:color w:val="auto"/>
                <w:sz w:val="18"/>
                <w:szCs w:val="18"/>
                <w:lang w:eastAsia="zh-CN"/>
              </w:rPr>
              <w:t>b</w:t>
            </w:r>
            <w:r w:rsidRPr="00FB6E71">
              <w:rPr>
                <w:rFonts w:ascii="Calibri" w:eastAsia="Times New Roman" w:hAnsi="Calibri" w:cs="Times New Roman"/>
                <w:color w:val="auto"/>
                <w:sz w:val="18"/>
                <w:szCs w:val="18"/>
                <w:lang w:eastAsia="zh-CN"/>
              </w:rPr>
              <w:t>ridges</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17,820,000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2,189,824</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7,920,000</w:t>
            </w:r>
          </w:p>
        </w:tc>
        <w:tc>
          <w:tcPr>
            <w:tcW w:w="1345"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fldChar w:fldCharType="begin"/>
            </w:r>
            <w:r w:rsidRPr="00FB6E71">
              <w:rPr>
                <w:rFonts w:ascii="Calibri" w:eastAsia="Times New Roman" w:hAnsi="Calibri" w:cs="Times New Roman"/>
                <w:b/>
                <w:bCs/>
                <w:color w:val="auto"/>
                <w:sz w:val="18"/>
                <w:szCs w:val="18"/>
                <w:lang w:eastAsia="zh-CN"/>
              </w:rPr>
              <w:instrText xml:space="preserve"> =SUM(LEFT) </w:instrText>
            </w:r>
            <w:r w:rsidRPr="00FB6E71">
              <w:rPr>
                <w:rFonts w:ascii="Calibri" w:eastAsia="Times New Roman" w:hAnsi="Calibri" w:cs="Times New Roman"/>
                <w:b/>
                <w:bCs/>
                <w:color w:val="auto"/>
                <w:sz w:val="18"/>
                <w:szCs w:val="18"/>
                <w:lang w:eastAsia="zh-CN"/>
              </w:rPr>
              <w:fldChar w:fldCharType="separate"/>
            </w:r>
            <w:r w:rsidRPr="00FB6E71">
              <w:rPr>
                <w:rFonts w:ascii="Calibri" w:eastAsia="Times New Roman" w:hAnsi="Calibri" w:cs="Times New Roman"/>
                <w:b/>
                <w:bCs/>
                <w:color w:val="auto"/>
                <w:sz w:val="18"/>
                <w:szCs w:val="18"/>
                <w:lang w:eastAsia="zh-CN"/>
              </w:rPr>
              <w:t>27,929,824</w:t>
            </w:r>
            <w:r w:rsidRPr="00FB6E71">
              <w:rPr>
                <w:rFonts w:ascii="Calibri" w:eastAsia="Times New Roman" w:hAnsi="Calibri" w:cs="Times New Roman"/>
                <w:b/>
                <w:bCs/>
                <w:color w:val="auto"/>
                <w:sz w:val="18"/>
                <w:szCs w:val="18"/>
                <w:lang w:eastAsia="zh-CN"/>
              </w:rPr>
              <w:fldChar w:fldCharType="end"/>
            </w:r>
          </w:p>
        </w:tc>
      </w:tr>
      <w:tr w:rsidTr="007F2DE7">
        <w:tblPrEx>
          <w:tblW w:w="5000" w:type="pct"/>
          <w:jc w:val="center"/>
          <w:tblLook w:val="04A0"/>
        </w:tblPrEx>
        <w:trPr>
          <w:cantSplit/>
          <w:trHeight w:val="20"/>
          <w:jc w:val="center"/>
        </w:trPr>
        <w:tc>
          <w:tcPr>
            <w:tcW w:w="3685" w:type="dxa"/>
            <w:shd w:val="clear" w:color="auto" w:fill="auto"/>
            <w:hideMark/>
          </w:tcPr>
          <w:p w:rsidR="007F2DE7" w:rsidRPr="00FB6E71" w:rsidP="007F2DE7">
            <w:pPr>
              <w:widowControl/>
              <w:autoSpaceDE/>
              <w:autoSpaceDN/>
              <w:adjustRightInd/>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 xml:space="preserve">Repair damaged </w:t>
            </w:r>
            <w:r>
              <w:rPr>
                <w:rFonts w:ascii="Calibri" w:eastAsia="Times New Roman" w:hAnsi="Calibri" w:cs="Times New Roman"/>
                <w:color w:val="auto"/>
                <w:sz w:val="18"/>
                <w:szCs w:val="18"/>
                <w:lang w:eastAsia="zh-CN"/>
              </w:rPr>
              <w:t>f</w:t>
            </w:r>
            <w:r w:rsidRPr="00FB6E71">
              <w:rPr>
                <w:rFonts w:ascii="Calibri" w:eastAsia="Times New Roman" w:hAnsi="Calibri" w:cs="Times New Roman"/>
                <w:color w:val="auto"/>
                <w:sz w:val="18"/>
                <w:szCs w:val="18"/>
                <w:lang w:eastAsia="zh-CN"/>
              </w:rPr>
              <w:t xml:space="preserve">ederal </w:t>
            </w:r>
            <w:r>
              <w:rPr>
                <w:rFonts w:ascii="Calibri" w:eastAsia="Times New Roman" w:hAnsi="Calibri" w:cs="Times New Roman"/>
                <w:color w:val="auto"/>
                <w:sz w:val="18"/>
                <w:szCs w:val="18"/>
                <w:lang w:eastAsia="zh-CN"/>
              </w:rPr>
              <w:t>r</w:t>
            </w:r>
            <w:r w:rsidRPr="00FB6E71">
              <w:rPr>
                <w:rFonts w:ascii="Calibri" w:eastAsia="Times New Roman" w:hAnsi="Calibri" w:cs="Times New Roman"/>
                <w:color w:val="auto"/>
                <w:sz w:val="18"/>
                <w:szCs w:val="18"/>
                <w:lang w:eastAsia="zh-CN"/>
              </w:rPr>
              <w:t>oads</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32,300,000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84,898,000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60,588,000</w:t>
            </w:r>
          </w:p>
        </w:tc>
        <w:tc>
          <w:tcPr>
            <w:tcW w:w="1345"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fldChar w:fldCharType="begin"/>
            </w:r>
            <w:r w:rsidRPr="00FB6E71">
              <w:rPr>
                <w:rFonts w:ascii="Calibri" w:eastAsia="Times New Roman" w:hAnsi="Calibri" w:cs="Times New Roman"/>
                <w:b/>
                <w:bCs/>
                <w:color w:val="auto"/>
                <w:sz w:val="18"/>
                <w:szCs w:val="18"/>
                <w:lang w:eastAsia="zh-CN"/>
              </w:rPr>
              <w:instrText xml:space="preserve"> =SUM(LEFT) </w:instrText>
            </w:r>
            <w:r w:rsidRPr="00FB6E71">
              <w:rPr>
                <w:rFonts w:ascii="Calibri" w:eastAsia="Times New Roman" w:hAnsi="Calibri" w:cs="Times New Roman"/>
                <w:b/>
                <w:bCs/>
                <w:color w:val="auto"/>
                <w:sz w:val="18"/>
                <w:szCs w:val="18"/>
                <w:lang w:eastAsia="zh-CN"/>
              </w:rPr>
              <w:fldChar w:fldCharType="separate"/>
            </w:r>
            <w:r w:rsidRPr="00FB6E71">
              <w:rPr>
                <w:rFonts w:ascii="Calibri" w:eastAsia="Times New Roman" w:hAnsi="Calibri" w:cs="Times New Roman"/>
                <w:b/>
                <w:bCs/>
                <w:color w:val="auto"/>
                <w:sz w:val="18"/>
                <w:szCs w:val="18"/>
                <w:lang w:eastAsia="zh-CN"/>
              </w:rPr>
              <w:t>177,786,000</w:t>
            </w:r>
            <w:r w:rsidRPr="00FB6E71">
              <w:rPr>
                <w:rFonts w:ascii="Calibri" w:eastAsia="Times New Roman" w:hAnsi="Calibri" w:cs="Times New Roman"/>
                <w:b/>
                <w:bCs/>
                <w:color w:val="auto"/>
                <w:sz w:val="18"/>
                <w:szCs w:val="18"/>
                <w:lang w:eastAsia="zh-CN"/>
              </w:rPr>
              <w:fldChar w:fldCharType="end"/>
            </w:r>
          </w:p>
        </w:tc>
      </w:tr>
      <w:tr w:rsidTr="007F2DE7">
        <w:tblPrEx>
          <w:tblW w:w="5000" w:type="pct"/>
          <w:jc w:val="center"/>
          <w:tblLook w:val="04A0"/>
        </w:tblPrEx>
        <w:trPr>
          <w:cantSplit/>
          <w:trHeight w:val="20"/>
          <w:jc w:val="center"/>
        </w:trPr>
        <w:tc>
          <w:tcPr>
            <w:tcW w:w="3685" w:type="dxa"/>
            <w:shd w:val="clear" w:color="auto" w:fill="auto"/>
            <w:hideMark/>
          </w:tcPr>
          <w:p w:rsidR="007F2DE7" w:rsidRPr="00FB6E71" w:rsidP="007F2DE7">
            <w:pPr>
              <w:widowControl/>
              <w:autoSpaceDE/>
              <w:autoSpaceDN/>
              <w:adjustRightInd/>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 xml:space="preserve">Project </w:t>
            </w:r>
            <w:r>
              <w:rPr>
                <w:rFonts w:ascii="Calibri" w:eastAsia="Times New Roman" w:hAnsi="Calibri" w:cs="Times New Roman"/>
                <w:color w:val="auto"/>
                <w:sz w:val="18"/>
                <w:szCs w:val="18"/>
                <w:lang w:eastAsia="zh-CN"/>
              </w:rPr>
              <w:t>m</w:t>
            </w:r>
            <w:r w:rsidRPr="00FB6E71">
              <w:rPr>
                <w:rFonts w:ascii="Calibri" w:eastAsia="Times New Roman" w:hAnsi="Calibri" w:cs="Times New Roman"/>
                <w:color w:val="auto"/>
                <w:sz w:val="18"/>
                <w:szCs w:val="18"/>
                <w:lang w:eastAsia="zh-CN"/>
              </w:rPr>
              <w:t xml:space="preserve">anagement </w:t>
            </w:r>
            <w:r>
              <w:rPr>
                <w:rFonts w:ascii="Calibri" w:eastAsia="Times New Roman" w:hAnsi="Calibri" w:cs="Times New Roman"/>
                <w:color w:val="auto"/>
                <w:sz w:val="18"/>
                <w:szCs w:val="18"/>
                <w:lang w:eastAsia="zh-CN"/>
              </w:rPr>
              <w:t>and</w:t>
            </w:r>
            <w:r w:rsidRPr="00FB6E71">
              <w:rPr>
                <w:rFonts w:ascii="Calibri" w:eastAsia="Times New Roman" w:hAnsi="Calibri" w:cs="Times New Roman"/>
                <w:color w:val="auto"/>
                <w:sz w:val="18"/>
                <w:szCs w:val="18"/>
                <w:lang w:eastAsia="zh-CN"/>
              </w:rPr>
              <w:t xml:space="preserve"> </w:t>
            </w:r>
            <w:r>
              <w:rPr>
                <w:rFonts w:ascii="Calibri" w:eastAsia="Times New Roman" w:hAnsi="Calibri" w:cs="Times New Roman"/>
                <w:color w:val="auto"/>
                <w:sz w:val="18"/>
                <w:szCs w:val="18"/>
                <w:lang w:eastAsia="zh-CN"/>
              </w:rPr>
              <w:t>c</w:t>
            </w:r>
            <w:r w:rsidRPr="00FB6E71">
              <w:rPr>
                <w:rFonts w:ascii="Calibri" w:eastAsia="Times New Roman" w:hAnsi="Calibri" w:cs="Times New Roman"/>
                <w:color w:val="auto"/>
                <w:sz w:val="18"/>
                <w:szCs w:val="18"/>
                <w:lang w:eastAsia="zh-CN"/>
              </w:rPr>
              <w:t>ontingencies</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14,061,000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77,889,847</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29,241,150</w:t>
            </w:r>
          </w:p>
        </w:tc>
        <w:tc>
          <w:tcPr>
            <w:tcW w:w="1345"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fldChar w:fldCharType="begin"/>
            </w:r>
            <w:r w:rsidRPr="00FB6E71">
              <w:rPr>
                <w:rFonts w:ascii="Calibri" w:eastAsia="Times New Roman" w:hAnsi="Calibri" w:cs="Times New Roman"/>
                <w:b/>
                <w:bCs/>
                <w:color w:val="auto"/>
                <w:sz w:val="18"/>
                <w:szCs w:val="18"/>
                <w:lang w:eastAsia="zh-CN"/>
              </w:rPr>
              <w:instrText xml:space="preserve"> =SUM(LEFT) </w:instrText>
            </w:r>
            <w:r w:rsidRPr="00FB6E71">
              <w:rPr>
                <w:rFonts w:ascii="Calibri" w:eastAsia="Times New Roman" w:hAnsi="Calibri" w:cs="Times New Roman"/>
                <w:b/>
                <w:bCs/>
                <w:color w:val="auto"/>
                <w:sz w:val="18"/>
                <w:szCs w:val="18"/>
                <w:lang w:eastAsia="zh-CN"/>
              </w:rPr>
              <w:fldChar w:fldCharType="separate"/>
            </w:r>
            <w:r w:rsidRPr="00FB6E71">
              <w:rPr>
                <w:rFonts w:ascii="Calibri" w:eastAsia="Times New Roman" w:hAnsi="Calibri" w:cs="Times New Roman"/>
                <w:b/>
                <w:bCs/>
                <w:color w:val="auto"/>
                <w:sz w:val="18"/>
                <w:szCs w:val="18"/>
                <w:lang w:eastAsia="zh-CN"/>
              </w:rPr>
              <w:t>121,191,997</w:t>
            </w:r>
            <w:r w:rsidRPr="00FB6E71">
              <w:rPr>
                <w:rFonts w:ascii="Calibri" w:eastAsia="Times New Roman" w:hAnsi="Calibri" w:cs="Times New Roman"/>
                <w:b/>
                <w:bCs/>
                <w:color w:val="auto"/>
                <w:sz w:val="18"/>
                <w:szCs w:val="18"/>
                <w:lang w:eastAsia="zh-CN"/>
              </w:rPr>
              <w:fldChar w:fldCharType="end"/>
            </w:r>
          </w:p>
        </w:tc>
      </w:tr>
      <w:tr w:rsidTr="007F2DE7">
        <w:tblPrEx>
          <w:tblW w:w="5000" w:type="pct"/>
          <w:jc w:val="center"/>
          <w:tblLook w:val="04A0"/>
        </w:tblPrEx>
        <w:trPr>
          <w:cantSplit/>
          <w:trHeight w:val="20"/>
          <w:jc w:val="center"/>
        </w:trPr>
        <w:tc>
          <w:tcPr>
            <w:tcW w:w="3685" w:type="dxa"/>
            <w:shd w:val="clear" w:color="auto" w:fill="auto"/>
            <w:hideMark/>
          </w:tcPr>
          <w:p w:rsidR="007F2DE7" w:rsidRPr="00FB6E71" w:rsidP="007F2DE7">
            <w:pPr>
              <w:widowControl/>
              <w:autoSpaceDE/>
              <w:autoSpaceDN/>
              <w:adjustRightInd/>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 xml:space="preserve">Recover </w:t>
            </w:r>
            <w:r>
              <w:rPr>
                <w:rFonts w:ascii="Calibri" w:eastAsia="Times New Roman" w:hAnsi="Calibri" w:cs="Times New Roman"/>
                <w:color w:val="auto"/>
                <w:sz w:val="18"/>
                <w:szCs w:val="18"/>
                <w:lang w:eastAsia="zh-CN"/>
              </w:rPr>
              <w:t>p</w:t>
            </w:r>
            <w:r w:rsidRPr="00FB6E71">
              <w:rPr>
                <w:rFonts w:ascii="Calibri" w:eastAsia="Times New Roman" w:hAnsi="Calibri" w:cs="Times New Roman"/>
                <w:color w:val="auto"/>
                <w:sz w:val="18"/>
                <w:szCs w:val="18"/>
                <w:lang w:eastAsia="zh-CN"/>
              </w:rPr>
              <w:t xml:space="preserve">ublic </w:t>
            </w:r>
            <w:r>
              <w:rPr>
                <w:rFonts w:ascii="Calibri" w:eastAsia="Times New Roman" w:hAnsi="Calibri" w:cs="Times New Roman"/>
                <w:color w:val="auto"/>
                <w:sz w:val="18"/>
                <w:szCs w:val="18"/>
                <w:lang w:eastAsia="zh-CN"/>
              </w:rPr>
              <w:t>t</w:t>
            </w:r>
            <w:r w:rsidRPr="00FB6E71">
              <w:rPr>
                <w:rFonts w:ascii="Calibri" w:eastAsia="Times New Roman" w:hAnsi="Calibri" w:cs="Times New Roman"/>
                <w:color w:val="auto"/>
                <w:sz w:val="18"/>
                <w:szCs w:val="18"/>
                <w:lang w:eastAsia="zh-CN"/>
              </w:rPr>
              <w:t>ransport services</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22,425,000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13,422,500</w:t>
            </w:r>
          </w:p>
        </w:tc>
        <w:tc>
          <w:tcPr>
            <w:tcW w:w="1345"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fldChar w:fldCharType="begin"/>
            </w:r>
            <w:r w:rsidRPr="00FB6E71">
              <w:rPr>
                <w:rFonts w:ascii="Calibri" w:eastAsia="Times New Roman" w:hAnsi="Calibri" w:cs="Times New Roman"/>
                <w:b/>
                <w:bCs/>
                <w:color w:val="auto"/>
                <w:sz w:val="18"/>
                <w:szCs w:val="18"/>
                <w:lang w:eastAsia="zh-CN"/>
              </w:rPr>
              <w:instrText xml:space="preserve"> =SUM(LEFT) </w:instrText>
            </w:r>
            <w:r w:rsidRPr="00FB6E71">
              <w:rPr>
                <w:rFonts w:ascii="Calibri" w:eastAsia="Times New Roman" w:hAnsi="Calibri" w:cs="Times New Roman"/>
                <w:b/>
                <w:bCs/>
                <w:color w:val="auto"/>
                <w:sz w:val="18"/>
                <w:szCs w:val="18"/>
                <w:lang w:eastAsia="zh-CN"/>
              </w:rPr>
              <w:fldChar w:fldCharType="separate"/>
            </w:r>
            <w:r w:rsidRPr="00FB6E71">
              <w:rPr>
                <w:rFonts w:ascii="Calibri" w:eastAsia="Times New Roman" w:hAnsi="Calibri" w:cs="Times New Roman"/>
                <w:b/>
                <w:bCs/>
                <w:color w:val="auto"/>
                <w:sz w:val="18"/>
                <w:szCs w:val="18"/>
                <w:lang w:eastAsia="zh-CN"/>
              </w:rPr>
              <w:t>35,847,500</w:t>
            </w:r>
            <w:r w:rsidRPr="00FB6E71">
              <w:rPr>
                <w:rFonts w:ascii="Calibri" w:eastAsia="Times New Roman" w:hAnsi="Calibri" w:cs="Times New Roman"/>
                <w:b/>
                <w:bCs/>
                <w:color w:val="auto"/>
                <w:sz w:val="18"/>
                <w:szCs w:val="18"/>
                <w:lang w:eastAsia="zh-CN"/>
              </w:rPr>
              <w:fldChar w:fldCharType="end"/>
            </w:r>
          </w:p>
        </w:tc>
      </w:tr>
      <w:tr w:rsidTr="007F2DE7">
        <w:tblPrEx>
          <w:tblW w:w="5000" w:type="pct"/>
          <w:jc w:val="center"/>
          <w:tblLook w:val="04A0"/>
        </w:tblPrEx>
        <w:trPr>
          <w:cantSplit/>
          <w:trHeight w:val="20"/>
          <w:jc w:val="center"/>
        </w:trPr>
        <w:tc>
          <w:tcPr>
            <w:tcW w:w="3685" w:type="dxa"/>
            <w:shd w:val="clear" w:color="auto" w:fill="auto"/>
            <w:hideMark/>
          </w:tcPr>
          <w:p w:rsidR="007F2DE7" w:rsidRPr="00FB6E71" w:rsidP="007F2DE7">
            <w:pPr>
              <w:widowControl/>
              <w:autoSpaceDE/>
              <w:autoSpaceDN/>
              <w:adjustRightInd/>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 xml:space="preserve">Repair damaged </w:t>
            </w:r>
            <w:r>
              <w:rPr>
                <w:rFonts w:ascii="Calibri" w:eastAsia="Times New Roman" w:hAnsi="Calibri" w:cs="Times New Roman"/>
                <w:color w:val="auto"/>
                <w:sz w:val="18"/>
                <w:szCs w:val="18"/>
                <w:lang w:eastAsia="zh-CN"/>
              </w:rPr>
              <w:t>s</w:t>
            </w:r>
            <w:r w:rsidRPr="00FB6E71">
              <w:rPr>
                <w:rFonts w:ascii="Calibri" w:eastAsia="Times New Roman" w:hAnsi="Calibri" w:cs="Times New Roman"/>
                <w:color w:val="auto"/>
                <w:sz w:val="18"/>
                <w:szCs w:val="18"/>
                <w:lang w:eastAsia="zh-CN"/>
              </w:rPr>
              <w:t xml:space="preserve">tate/LGA </w:t>
            </w:r>
            <w:r>
              <w:rPr>
                <w:rFonts w:ascii="Calibri" w:eastAsia="Times New Roman" w:hAnsi="Calibri" w:cs="Times New Roman"/>
                <w:color w:val="auto"/>
                <w:sz w:val="18"/>
                <w:szCs w:val="18"/>
                <w:lang w:eastAsia="zh-CN"/>
              </w:rPr>
              <w:t>r</w:t>
            </w:r>
            <w:r w:rsidRPr="00FB6E71">
              <w:rPr>
                <w:rFonts w:ascii="Calibri" w:eastAsia="Times New Roman" w:hAnsi="Calibri" w:cs="Times New Roman"/>
                <w:color w:val="auto"/>
                <w:sz w:val="18"/>
                <w:szCs w:val="18"/>
                <w:lang w:eastAsia="zh-CN"/>
              </w:rPr>
              <w:t>oads</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10,350,000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150,120,000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color w:val="auto"/>
                <w:sz w:val="18"/>
                <w:szCs w:val="18"/>
                <w:lang w:eastAsia="zh-CN"/>
              </w:rPr>
            </w:pPr>
            <w:r w:rsidRPr="00FB6E71">
              <w:rPr>
                <w:rFonts w:ascii="Calibri" w:eastAsia="Times New Roman" w:hAnsi="Calibri" w:cs="Times New Roman"/>
                <w:color w:val="auto"/>
                <w:sz w:val="18"/>
                <w:szCs w:val="18"/>
                <w:lang w:eastAsia="zh-CN"/>
              </w:rPr>
              <w:t>15,540,000</w:t>
            </w:r>
          </w:p>
        </w:tc>
        <w:tc>
          <w:tcPr>
            <w:tcW w:w="1345"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fldChar w:fldCharType="begin"/>
            </w:r>
            <w:r w:rsidRPr="00FB6E71">
              <w:rPr>
                <w:rFonts w:ascii="Calibri" w:eastAsia="Times New Roman" w:hAnsi="Calibri" w:cs="Times New Roman"/>
                <w:b/>
                <w:bCs/>
                <w:color w:val="auto"/>
                <w:sz w:val="18"/>
                <w:szCs w:val="18"/>
                <w:lang w:eastAsia="zh-CN"/>
              </w:rPr>
              <w:instrText xml:space="preserve"> =SUM(LEFT) </w:instrText>
            </w:r>
            <w:r w:rsidRPr="00FB6E71">
              <w:rPr>
                <w:rFonts w:ascii="Calibri" w:eastAsia="Times New Roman" w:hAnsi="Calibri" w:cs="Times New Roman"/>
                <w:b/>
                <w:bCs/>
                <w:color w:val="auto"/>
                <w:sz w:val="18"/>
                <w:szCs w:val="18"/>
                <w:lang w:eastAsia="zh-CN"/>
              </w:rPr>
              <w:fldChar w:fldCharType="separate"/>
            </w:r>
            <w:r w:rsidRPr="00FB6E71">
              <w:rPr>
                <w:rFonts w:ascii="Calibri" w:eastAsia="Times New Roman" w:hAnsi="Calibri" w:cs="Times New Roman"/>
                <w:b/>
                <w:bCs/>
                <w:color w:val="auto"/>
                <w:sz w:val="18"/>
                <w:szCs w:val="18"/>
                <w:lang w:eastAsia="zh-CN"/>
              </w:rPr>
              <w:t>176,010,000</w:t>
            </w:r>
            <w:r w:rsidRPr="00FB6E71">
              <w:rPr>
                <w:rFonts w:ascii="Calibri" w:eastAsia="Times New Roman" w:hAnsi="Calibri" w:cs="Times New Roman"/>
                <w:b/>
                <w:bCs/>
                <w:color w:val="auto"/>
                <w:sz w:val="18"/>
                <w:szCs w:val="18"/>
                <w:lang w:eastAsia="zh-CN"/>
              </w:rPr>
              <w:fldChar w:fldCharType="end"/>
            </w:r>
          </w:p>
        </w:tc>
      </w:tr>
      <w:tr w:rsidTr="007F2DE7">
        <w:tblPrEx>
          <w:tblW w:w="5000" w:type="pct"/>
          <w:jc w:val="center"/>
          <w:tblLook w:val="04A0"/>
        </w:tblPrEx>
        <w:trPr>
          <w:cantSplit/>
          <w:trHeight w:val="20"/>
          <w:jc w:val="center"/>
        </w:trPr>
        <w:tc>
          <w:tcPr>
            <w:tcW w:w="3685" w:type="dxa"/>
            <w:shd w:val="clear" w:color="auto" w:fill="auto"/>
            <w:hideMark/>
          </w:tcPr>
          <w:p w:rsidR="007F2DE7" w:rsidRPr="00FB6E71" w:rsidP="007F2DE7">
            <w:pPr>
              <w:widowControl/>
              <w:autoSpaceDE/>
              <w:autoSpaceDN/>
              <w:adjustRightInd/>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 xml:space="preserve">Sector </w:t>
            </w:r>
            <w:r>
              <w:rPr>
                <w:rFonts w:ascii="Calibri" w:eastAsia="Times New Roman" w:hAnsi="Calibri" w:cs="Times New Roman"/>
                <w:b/>
                <w:bCs/>
                <w:color w:val="auto"/>
                <w:sz w:val="18"/>
                <w:szCs w:val="18"/>
                <w:lang w:eastAsia="zh-CN"/>
              </w:rPr>
              <w:t>t</w:t>
            </w:r>
            <w:r w:rsidRPr="00FB6E71">
              <w:rPr>
                <w:rFonts w:ascii="Calibri" w:eastAsia="Times New Roman" w:hAnsi="Calibri" w:cs="Times New Roman"/>
                <w:b/>
                <w:bCs/>
                <w:color w:val="auto"/>
                <w:sz w:val="18"/>
                <w:szCs w:val="18"/>
                <w:lang w:eastAsia="zh-CN"/>
              </w:rPr>
              <w:t>otal</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74,531,000</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337,522,671</w:t>
            </w:r>
          </w:p>
        </w:tc>
        <w:tc>
          <w:tcPr>
            <w:tcW w:w="1440"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t>126,711,650</w:t>
            </w:r>
          </w:p>
        </w:tc>
        <w:tc>
          <w:tcPr>
            <w:tcW w:w="1345" w:type="dxa"/>
            <w:shd w:val="clear" w:color="auto" w:fill="auto"/>
            <w:noWrap/>
            <w:hideMark/>
          </w:tcPr>
          <w:p w:rsidR="007F2DE7" w:rsidRPr="00FB6E71" w:rsidP="007F2DE7">
            <w:pPr>
              <w:widowControl/>
              <w:autoSpaceDE/>
              <w:autoSpaceDN/>
              <w:adjustRightInd/>
              <w:jc w:val="center"/>
              <w:rPr>
                <w:rFonts w:ascii="Calibri" w:eastAsia="Times New Roman" w:hAnsi="Calibri" w:cs="Times New Roman"/>
                <w:b/>
                <w:bCs/>
                <w:color w:val="auto"/>
                <w:sz w:val="18"/>
                <w:szCs w:val="18"/>
                <w:lang w:eastAsia="zh-CN"/>
              </w:rPr>
            </w:pPr>
            <w:r w:rsidRPr="00FB6E71">
              <w:rPr>
                <w:rFonts w:ascii="Calibri" w:eastAsia="Times New Roman" w:hAnsi="Calibri" w:cs="Times New Roman"/>
                <w:b/>
                <w:bCs/>
                <w:color w:val="auto"/>
                <w:sz w:val="18"/>
                <w:szCs w:val="18"/>
                <w:lang w:eastAsia="zh-CN"/>
              </w:rPr>
              <w:fldChar w:fldCharType="begin"/>
            </w:r>
            <w:r w:rsidRPr="00FB6E71">
              <w:rPr>
                <w:rFonts w:ascii="Calibri" w:eastAsia="Times New Roman" w:hAnsi="Calibri" w:cs="Times New Roman"/>
                <w:b/>
                <w:bCs/>
                <w:color w:val="auto"/>
                <w:sz w:val="18"/>
                <w:szCs w:val="18"/>
                <w:lang w:eastAsia="zh-CN"/>
              </w:rPr>
              <w:instrText xml:space="preserve"> =SUM(LEFT) </w:instrText>
            </w:r>
            <w:r w:rsidRPr="00FB6E71">
              <w:rPr>
                <w:rFonts w:ascii="Calibri" w:eastAsia="Times New Roman" w:hAnsi="Calibri" w:cs="Times New Roman"/>
                <w:b/>
                <w:bCs/>
                <w:color w:val="auto"/>
                <w:sz w:val="18"/>
                <w:szCs w:val="18"/>
                <w:lang w:eastAsia="zh-CN"/>
              </w:rPr>
              <w:fldChar w:fldCharType="separate"/>
            </w:r>
            <w:r w:rsidRPr="00FB6E71">
              <w:rPr>
                <w:rFonts w:ascii="Calibri" w:eastAsia="Times New Roman" w:hAnsi="Calibri" w:cs="Times New Roman"/>
                <w:b/>
                <w:bCs/>
                <w:color w:val="auto"/>
                <w:sz w:val="18"/>
                <w:szCs w:val="18"/>
                <w:lang w:eastAsia="zh-CN"/>
              </w:rPr>
              <w:t>538,765,321</w:t>
            </w:r>
            <w:r w:rsidRPr="00FB6E71">
              <w:rPr>
                <w:rFonts w:ascii="Calibri" w:eastAsia="Times New Roman" w:hAnsi="Calibri" w:cs="Times New Roman"/>
                <w:b/>
                <w:bCs/>
                <w:color w:val="auto"/>
                <w:sz w:val="18"/>
                <w:szCs w:val="18"/>
                <w:lang w:eastAsia="zh-CN"/>
              </w:rPr>
              <w:fldChar w:fldCharType="end"/>
            </w:r>
          </w:p>
        </w:tc>
      </w:tr>
    </w:tbl>
    <w:p w:rsidR="007F2DE7" w:rsidRPr="00FB6E71" w:rsidP="007F2DE7">
      <w:pPr>
        <w:pStyle w:val="ListParagraph"/>
        <w:widowControl/>
        <w:ind w:left="0"/>
        <w:contextualSpacing w:val="0"/>
        <w:jc w:val="center"/>
        <w:rPr>
          <w:rFonts w:asciiTheme="minorHAnsi" w:hAnsiTheme="minorHAnsi"/>
          <w:bCs/>
          <w:color w:val="auto"/>
          <w:sz w:val="18"/>
          <w:szCs w:val="18"/>
        </w:rPr>
      </w:pP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Calibri" w:eastAsia="MS Mincho" w:hAnsi="Calibri" w:cs="Times New Roman"/>
          <w:b/>
          <w:bCs/>
          <w:color w:val="auto"/>
          <w:sz w:val="22"/>
          <w:szCs w:val="22"/>
        </w:rPr>
        <w:t xml:space="preserve">Interventions planned under </w:t>
      </w:r>
      <w:r>
        <w:rPr>
          <w:rFonts w:ascii="Calibri" w:eastAsia="MS Mincho" w:hAnsi="Calibri" w:cs="Times New Roman"/>
          <w:b/>
          <w:bCs/>
          <w:color w:val="auto"/>
          <w:sz w:val="22"/>
          <w:szCs w:val="22"/>
        </w:rPr>
        <w:t xml:space="preserve">the </w:t>
      </w:r>
      <w:r w:rsidRPr="00FB6E71">
        <w:rPr>
          <w:rFonts w:ascii="Calibri" w:eastAsia="MS Mincho" w:hAnsi="Calibri" w:cs="Times New Roman"/>
          <w:b/>
          <w:bCs/>
          <w:color w:val="auto"/>
          <w:sz w:val="22"/>
          <w:szCs w:val="22"/>
        </w:rPr>
        <w:t>MCRP</w:t>
      </w:r>
      <w:r>
        <w:rPr>
          <w:rFonts w:ascii="Calibri" w:eastAsia="MS Mincho" w:hAnsi="Calibri" w:cs="Times New Roman"/>
          <w:b/>
          <w:bCs/>
          <w:color w:val="auto"/>
          <w:sz w:val="22"/>
          <w:szCs w:val="22"/>
        </w:rPr>
        <w:t>.</w:t>
      </w:r>
      <w:r w:rsidRPr="00FB6E71">
        <w:rPr>
          <w:rFonts w:ascii="Calibri" w:eastAsia="MS Mincho" w:hAnsi="Calibri" w:cs="Times New Roman"/>
          <w:bCs/>
          <w:color w:val="auto"/>
          <w:sz w:val="22"/>
          <w:szCs w:val="22"/>
        </w:rPr>
        <w:t xml:space="preserve"> This component will support the restoration and improvement of critical state and local transport infrastructure, by supporting the following types of interventions: (a) reconstruction and repair of damaged bridges and (b) repair of damaged state and local roads. For the first year of the project, roads and bridges that are urgently needed for rehabilitation and restoration of services will be identified by each of the three BAY states under the </w:t>
      </w:r>
      <w:r>
        <w:rPr>
          <w:rFonts w:ascii="Calibri" w:eastAsia="MS Mincho" w:hAnsi="Calibri" w:cs="Times New Roman"/>
          <w:bCs/>
          <w:color w:val="auto"/>
          <w:sz w:val="22"/>
          <w:szCs w:val="22"/>
        </w:rPr>
        <w:t>S</w:t>
      </w:r>
      <w:r w:rsidRPr="00FB6E71">
        <w:rPr>
          <w:rFonts w:ascii="Calibri" w:eastAsia="MS Mincho" w:hAnsi="Calibri" w:cs="Times New Roman"/>
          <w:bCs/>
          <w:color w:val="auto"/>
          <w:sz w:val="22"/>
          <w:szCs w:val="22"/>
        </w:rPr>
        <w:t xml:space="preserve">pecific Investment Planning process that has been initiated under the </w:t>
      </w:r>
      <w:r>
        <w:rPr>
          <w:rFonts w:ascii="Calibri" w:eastAsia="MS Mincho" w:hAnsi="Calibri" w:cs="Times New Roman"/>
          <w:bCs/>
          <w:color w:val="auto"/>
          <w:sz w:val="22"/>
          <w:szCs w:val="22"/>
        </w:rPr>
        <w:t>p</w:t>
      </w:r>
      <w:r w:rsidRPr="00FB6E71">
        <w:rPr>
          <w:rFonts w:ascii="Calibri" w:eastAsia="MS Mincho" w:hAnsi="Calibri" w:cs="Times New Roman"/>
          <w:bCs/>
          <w:color w:val="auto"/>
          <w:sz w:val="22"/>
          <w:szCs w:val="22"/>
        </w:rPr>
        <w:t>roject. For subsequent years, specific prioritization criteria will be developed for the selection of transport subprojects, based on conflict recovery considerations and by bringing in experiences from projects such as the World Bank</w:t>
      </w:r>
      <w:r>
        <w:rPr>
          <w:rFonts w:ascii="Calibri" w:eastAsia="MS Mincho" w:hAnsi="Calibri" w:cs="Times New Roman"/>
          <w:bCs/>
          <w:color w:val="auto"/>
          <w:sz w:val="22"/>
          <w:szCs w:val="22"/>
        </w:rPr>
        <w:t xml:space="preserve"> </w:t>
      </w:r>
      <w:r w:rsidRPr="00FB6E71">
        <w:rPr>
          <w:rFonts w:ascii="Calibri" w:eastAsia="MS Mincho" w:hAnsi="Calibri" w:cs="Times New Roman"/>
          <w:bCs/>
          <w:color w:val="auto"/>
          <w:sz w:val="22"/>
          <w:szCs w:val="22"/>
        </w:rPr>
        <w:t xml:space="preserve">funded Nigeria Rural Access and Mobility Project (RAMP).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Calibri" w:eastAsia="Times New Roman" w:hAnsi="Calibri" w:cs="Times New Roman"/>
          <w:b/>
          <w:color w:val="auto"/>
          <w:sz w:val="22"/>
          <w:szCs w:val="22"/>
          <w:shd w:val="clear" w:color="auto" w:fill="FFFFFF"/>
        </w:rPr>
        <w:t>Complementarity with other World Bank projects</w:t>
      </w:r>
      <w:r>
        <w:rPr>
          <w:rFonts w:ascii="Calibri" w:eastAsia="Times New Roman" w:hAnsi="Calibri" w:cs="Times New Roman"/>
          <w:b/>
          <w:color w:val="auto"/>
          <w:sz w:val="22"/>
          <w:szCs w:val="22"/>
          <w:shd w:val="clear" w:color="auto" w:fill="FFFFFF"/>
        </w:rPr>
        <w:t>.</w:t>
      </w:r>
      <w:r w:rsidRPr="00FB6E71">
        <w:rPr>
          <w:rFonts w:ascii="Calibri" w:eastAsia="Times New Roman" w:hAnsi="Calibri" w:cs="Times New Roman"/>
          <w:b/>
          <w:color w:val="auto"/>
          <w:sz w:val="22"/>
          <w:szCs w:val="22"/>
          <w:shd w:val="clear" w:color="auto" w:fill="FFFFFF"/>
        </w:rPr>
        <w:t xml:space="preserve"> </w:t>
      </w:r>
      <w:r w:rsidRPr="00FB6E71">
        <w:rPr>
          <w:rFonts w:ascii="Calibri" w:eastAsia="Times New Roman" w:hAnsi="Calibri" w:cs="Times New Roman"/>
          <w:color w:val="auto"/>
          <w:sz w:val="22"/>
          <w:szCs w:val="22"/>
          <w:shd w:val="clear" w:color="auto" w:fill="FFFFFF"/>
        </w:rPr>
        <w:t>The World Bank</w:t>
      </w:r>
      <w:r>
        <w:rPr>
          <w:rFonts w:ascii="Calibri" w:eastAsia="Times New Roman" w:hAnsi="Calibri" w:cs="Times New Roman"/>
          <w:color w:val="auto"/>
          <w:sz w:val="22"/>
          <w:szCs w:val="22"/>
          <w:shd w:val="clear" w:color="auto" w:fill="FFFFFF"/>
        </w:rPr>
        <w:t xml:space="preserve"> </w:t>
      </w:r>
      <w:r w:rsidRPr="00FB6E71">
        <w:rPr>
          <w:rFonts w:ascii="Calibri" w:eastAsia="Times New Roman" w:hAnsi="Calibri" w:cs="Times New Roman"/>
          <w:color w:val="auto"/>
          <w:sz w:val="22"/>
          <w:szCs w:val="22"/>
          <w:shd w:val="clear" w:color="auto" w:fill="FFFFFF"/>
        </w:rPr>
        <w:t>funded RAMP</w:t>
      </w:r>
      <w:r w:rsidRPr="00FB6E71">
        <w:rPr>
          <w:rFonts w:ascii="Calibri" w:eastAsia="MS Mincho" w:hAnsi="Calibri" w:cs="Times New Roman"/>
          <w:bCs/>
          <w:color w:val="auto"/>
          <w:sz w:val="22"/>
          <w:szCs w:val="22"/>
        </w:rPr>
        <w:t xml:space="preserve"> has been restoring rural roads since 2008 and is currently in its second phase (RAMP2). </w:t>
      </w:r>
      <w:r w:rsidRPr="00FB6E71">
        <w:rPr>
          <w:rFonts w:ascii="Calibri" w:eastAsia="Times New Roman" w:hAnsi="Calibri" w:cs="Times New Roman"/>
          <w:color w:val="auto"/>
          <w:sz w:val="22"/>
          <w:szCs w:val="22"/>
          <w:shd w:val="clear" w:color="auto" w:fill="FFFFFF"/>
        </w:rPr>
        <w:t>Based on the lessons learned from RAMP and</w:t>
      </w:r>
      <w:r>
        <w:rPr>
          <w:rFonts w:ascii="Calibri" w:eastAsia="Times New Roman" w:hAnsi="Calibri" w:cs="Times New Roman"/>
          <w:color w:val="auto"/>
          <w:sz w:val="22"/>
          <w:szCs w:val="22"/>
          <w:shd w:val="clear" w:color="auto" w:fill="FFFFFF"/>
        </w:rPr>
        <w:t>,</w:t>
      </w:r>
      <w:r w:rsidRPr="00FB6E71">
        <w:rPr>
          <w:rFonts w:ascii="Calibri" w:eastAsia="Times New Roman" w:hAnsi="Calibri" w:cs="Times New Roman"/>
          <w:color w:val="auto"/>
          <w:sz w:val="22"/>
          <w:szCs w:val="22"/>
          <w:shd w:val="clear" w:color="auto" w:fill="FFFFFF"/>
        </w:rPr>
        <w:t xml:space="preserve"> in </w:t>
      </w:r>
      <w:r w:rsidRPr="00FB6E71">
        <w:rPr>
          <w:rFonts w:ascii="Calibri" w:eastAsia="MS Mincho" w:hAnsi="Calibri" w:cs="Times New Roman"/>
          <w:bCs/>
          <w:color w:val="auto"/>
          <w:sz w:val="22"/>
          <w:szCs w:val="22"/>
        </w:rPr>
        <w:t>particular</w:t>
      </w:r>
      <w:r>
        <w:rPr>
          <w:rFonts w:ascii="Calibri" w:eastAsia="MS Mincho" w:hAnsi="Calibri" w:cs="Times New Roman"/>
          <w:bCs/>
          <w:color w:val="auto"/>
          <w:sz w:val="22"/>
          <w:szCs w:val="22"/>
        </w:rPr>
        <w:t>,</w:t>
      </w:r>
      <w:r w:rsidRPr="00FB6E71">
        <w:rPr>
          <w:rFonts w:ascii="Calibri" w:eastAsia="Times New Roman" w:hAnsi="Calibri" w:cs="Times New Roman"/>
          <w:color w:val="auto"/>
          <w:sz w:val="22"/>
          <w:szCs w:val="22"/>
          <w:shd w:val="clear" w:color="auto" w:fill="FFFFFF"/>
        </w:rPr>
        <w:t xml:space="preserve"> the experience and capacity developed since 2012 in Adamawa, there are strong possibilities for collaboration and synergy with the MCRP, particularly in the areas of prioritization criteria, innovative approaches to implementation, and institutional and implementation arrangements. </w:t>
      </w:r>
      <w:r w:rsidRPr="00FB6E71">
        <w:rPr>
          <w:rFonts w:ascii="Calibri" w:eastAsia="MS Mincho" w:hAnsi="Calibri" w:cs="Times New Roman"/>
          <w:bCs/>
          <w:color w:val="auto"/>
          <w:sz w:val="22"/>
          <w:szCs w:val="22"/>
        </w:rPr>
        <w:t>One such key consideration w</w:t>
      </w:r>
      <w:r>
        <w:rPr>
          <w:rFonts w:ascii="Calibri" w:eastAsia="MS Mincho" w:hAnsi="Calibri" w:cs="Times New Roman"/>
          <w:bCs/>
          <w:color w:val="auto"/>
          <w:sz w:val="22"/>
          <w:szCs w:val="22"/>
        </w:rPr>
        <w:t>ill</w:t>
      </w:r>
      <w:r w:rsidRPr="00FB6E71">
        <w:rPr>
          <w:rFonts w:ascii="Calibri" w:eastAsia="MS Mincho" w:hAnsi="Calibri" w:cs="Times New Roman"/>
          <w:bCs/>
          <w:color w:val="auto"/>
          <w:sz w:val="22"/>
          <w:szCs w:val="22"/>
        </w:rPr>
        <w:t xml:space="preserve"> be the promotion and adaptation of the </w:t>
      </w:r>
      <w:r>
        <w:rPr>
          <w:rFonts w:ascii="Calibri" w:eastAsia="MS Mincho" w:hAnsi="Calibri" w:cs="Times New Roman"/>
          <w:bCs/>
          <w:color w:val="auto"/>
          <w:sz w:val="22"/>
          <w:szCs w:val="22"/>
        </w:rPr>
        <w:t>‘</w:t>
      </w:r>
      <w:r w:rsidRPr="00FB6E71">
        <w:rPr>
          <w:rFonts w:ascii="Calibri" w:eastAsia="MS Mincho" w:hAnsi="Calibri" w:cs="Times New Roman"/>
          <w:color w:val="auto"/>
          <w:sz w:val="22"/>
          <w:szCs w:val="22"/>
        </w:rPr>
        <w:t>network approach</w:t>
      </w:r>
      <w:r>
        <w:rPr>
          <w:rFonts w:ascii="Calibri" w:eastAsia="MS Mincho" w:hAnsi="Calibri" w:cs="Times New Roman"/>
          <w:color w:val="auto"/>
          <w:sz w:val="22"/>
          <w:szCs w:val="22"/>
        </w:rPr>
        <w:t>’</w:t>
      </w:r>
      <w:r w:rsidRPr="00FB6E71">
        <w:rPr>
          <w:rFonts w:ascii="Calibri" w:eastAsia="MS Mincho" w:hAnsi="Calibri" w:cs="Times New Roman"/>
          <w:color w:val="auto"/>
          <w:sz w:val="22"/>
          <w:szCs w:val="22"/>
        </w:rPr>
        <w:t xml:space="preserve"> to the MCRP that will focus not only on larger</w:t>
      </w:r>
      <w:r>
        <w:rPr>
          <w:rFonts w:ascii="Calibri" w:eastAsia="MS Mincho" w:hAnsi="Calibri" w:cs="Times New Roman"/>
          <w:color w:val="auto"/>
          <w:sz w:val="22"/>
          <w:szCs w:val="22"/>
        </w:rPr>
        <w:t>-</w:t>
      </w:r>
      <w:r w:rsidRPr="00FB6E71">
        <w:rPr>
          <w:rFonts w:ascii="Calibri" w:eastAsia="MS Mincho" w:hAnsi="Calibri" w:cs="Times New Roman"/>
          <w:color w:val="auto"/>
          <w:sz w:val="22"/>
          <w:szCs w:val="22"/>
        </w:rPr>
        <w:t>scale infrastructure (state roads) but also on tertiary infrastructure critical for improving agricultural connectivity.</w:t>
      </w:r>
      <w:r w:rsidRPr="00FB6E71">
        <w:rPr>
          <w:rFonts w:ascii="Calibri" w:eastAsia="MS Mincho" w:hAnsi="Calibri" w:cs="Times New Roman"/>
          <w:bCs/>
          <w:color w:val="auto"/>
          <w:sz w:val="22"/>
          <w:szCs w:val="22"/>
        </w:rPr>
        <w:t xml:space="preserve">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Calibri" w:eastAsia="Times New Roman" w:hAnsi="Calibri" w:cs="Times New Roman"/>
          <w:b/>
          <w:color w:val="auto"/>
          <w:sz w:val="22"/>
          <w:szCs w:val="22"/>
          <w:shd w:val="clear" w:color="auto" w:fill="FFFFFF"/>
        </w:rPr>
        <w:t>Complementarity with other development partners</w:t>
      </w:r>
      <w:r w:rsidRPr="009A5DDB">
        <w:rPr>
          <w:rFonts w:ascii="Calibri" w:eastAsia="Times New Roman" w:hAnsi="Calibri" w:cs="Times New Roman"/>
          <w:b/>
          <w:color w:val="auto"/>
          <w:sz w:val="22"/>
          <w:szCs w:val="22"/>
          <w:shd w:val="clear" w:color="auto" w:fill="FFFFFF"/>
        </w:rPr>
        <w:t>.</w:t>
      </w:r>
      <w:r w:rsidRPr="00FB6E71">
        <w:rPr>
          <w:rFonts w:ascii="Calibri" w:eastAsia="Times New Roman" w:hAnsi="Calibri" w:cs="Times New Roman"/>
          <w:color w:val="auto"/>
          <w:sz w:val="22"/>
          <w:szCs w:val="22"/>
          <w:shd w:val="clear" w:color="auto" w:fill="FFFFFF"/>
        </w:rPr>
        <w:t xml:space="preserve"> Neither </w:t>
      </w:r>
      <w:r>
        <w:rPr>
          <w:rFonts w:ascii="Calibri" w:eastAsia="Times New Roman" w:hAnsi="Calibri" w:cs="Times New Roman"/>
          <w:color w:val="auto"/>
          <w:sz w:val="22"/>
          <w:szCs w:val="22"/>
          <w:shd w:val="clear" w:color="auto" w:fill="FFFFFF"/>
        </w:rPr>
        <w:t xml:space="preserve">the </w:t>
      </w:r>
      <w:r w:rsidRPr="00FB6E71">
        <w:rPr>
          <w:rFonts w:ascii="Calibri" w:eastAsia="Times New Roman" w:hAnsi="Calibri" w:cs="Times New Roman"/>
          <w:color w:val="auto"/>
          <w:sz w:val="22"/>
          <w:szCs w:val="22"/>
          <w:shd w:val="clear" w:color="auto" w:fill="FFFFFF"/>
        </w:rPr>
        <w:t xml:space="preserve">IsDB nor </w:t>
      </w:r>
      <w:r>
        <w:rPr>
          <w:rFonts w:ascii="Calibri" w:eastAsia="Times New Roman" w:hAnsi="Calibri" w:cs="Times New Roman"/>
          <w:color w:val="auto"/>
          <w:sz w:val="22"/>
          <w:szCs w:val="22"/>
          <w:shd w:val="clear" w:color="auto" w:fill="FFFFFF"/>
        </w:rPr>
        <w:t xml:space="preserve">the </w:t>
      </w:r>
      <w:r w:rsidRPr="00FB6E71">
        <w:rPr>
          <w:rFonts w:ascii="Calibri" w:eastAsia="Times New Roman" w:hAnsi="Calibri" w:cs="Times New Roman"/>
          <w:color w:val="auto"/>
          <w:sz w:val="22"/>
          <w:szCs w:val="22"/>
          <w:shd w:val="clear" w:color="auto" w:fill="FFFFFF"/>
        </w:rPr>
        <w:t xml:space="preserve">AfDB is currently planning </w:t>
      </w:r>
      <w:r w:rsidRPr="00FB6E71">
        <w:rPr>
          <w:rFonts w:ascii="Calibri" w:eastAsia="MS Mincho" w:hAnsi="Calibri" w:cs="Times New Roman"/>
          <w:bCs/>
          <w:color w:val="auto"/>
          <w:sz w:val="22"/>
          <w:szCs w:val="22"/>
        </w:rPr>
        <w:t>interventions</w:t>
      </w:r>
      <w:r w:rsidRPr="00FB6E71">
        <w:rPr>
          <w:rFonts w:ascii="Calibri" w:eastAsia="Times New Roman" w:hAnsi="Calibri" w:cs="Times New Roman"/>
          <w:color w:val="auto"/>
          <w:sz w:val="22"/>
          <w:szCs w:val="22"/>
          <w:shd w:val="clear" w:color="auto" w:fill="FFFFFF"/>
        </w:rPr>
        <w:t xml:space="preserve"> in the transport sector in the NE</w:t>
      </w:r>
      <w:r>
        <w:rPr>
          <w:rFonts w:ascii="Calibri" w:eastAsia="Times New Roman" w:hAnsi="Calibri" w:cs="Times New Roman"/>
          <w:color w:val="auto"/>
          <w:sz w:val="22"/>
          <w:szCs w:val="22"/>
          <w:shd w:val="clear" w:color="auto" w:fill="FFFFFF"/>
        </w:rPr>
        <w:t>,</w:t>
      </w:r>
      <w:r w:rsidRPr="00FB6E71">
        <w:rPr>
          <w:rFonts w:ascii="Calibri" w:eastAsia="Times New Roman" w:hAnsi="Calibri" w:cs="Times New Roman"/>
          <w:color w:val="auto"/>
          <w:sz w:val="22"/>
          <w:szCs w:val="22"/>
          <w:shd w:val="clear" w:color="auto" w:fill="FFFFFF"/>
        </w:rPr>
        <w:t xml:space="preserve"> and hence</w:t>
      </w:r>
      <w:r>
        <w:rPr>
          <w:rFonts w:ascii="Calibri" w:eastAsia="Times New Roman" w:hAnsi="Calibri" w:cs="Times New Roman"/>
          <w:color w:val="auto"/>
          <w:sz w:val="22"/>
          <w:szCs w:val="22"/>
          <w:shd w:val="clear" w:color="auto" w:fill="FFFFFF"/>
        </w:rPr>
        <w:t>,</w:t>
      </w:r>
      <w:r w:rsidRPr="00FB6E71">
        <w:rPr>
          <w:rFonts w:ascii="Calibri" w:eastAsia="Times New Roman" w:hAnsi="Calibri" w:cs="Times New Roman"/>
          <w:color w:val="auto"/>
          <w:sz w:val="22"/>
          <w:szCs w:val="22"/>
          <w:shd w:val="clear" w:color="auto" w:fill="FFFFFF"/>
        </w:rPr>
        <w:t xml:space="preserve"> this project subcomponent will be addressing key unmet and unfunded needs in this sector. </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 xml:space="preserve">Restoration of </w:t>
      </w:r>
      <w:r>
        <w:rPr>
          <w:rFonts w:asciiTheme="minorHAnsi" w:hAnsiTheme="minorHAnsi"/>
          <w:bCs/>
          <w:i/>
          <w:color w:val="auto"/>
          <w:sz w:val="22"/>
          <w:szCs w:val="22"/>
        </w:rPr>
        <w:t>M</w:t>
      </w:r>
      <w:r w:rsidRPr="00FB6E71">
        <w:rPr>
          <w:rFonts w:asciiTheme="minorHAnsi" w:hAnsiTheme="minorHAnsi"/>
          <w:bCs/>
          <w:i/>
          <w:color w:val="auto"/>
          <w:sz w:val="22"/>
          <w:szCs w:val="22"/>
        </w:rPr>
        <w:t xml:space="preserve">unicipal </w:t>
      </w:r>
      <w:r>
        <w:rPr>
          <w:rFonts w:asciiTheme="minorHAnsi" w:hAnsiTheme="minorHAnsi"/>
          <w:bCs/>
          <w:i/>
          <w:color w:val="auto"/>
          <w:sz w:val="22"/>
          <w:szCs w:val="22"/>
        </w:rPr>
        <w:t>S</w:t>
      </w:r>
      <w:r w:rsidRPr="00FB6E71">
        <w:rPr>
          <w:rFonts w:asciiTheme="minorHAnsi" w:hAnsiTheme="minorHAnsi"/>
          <w:bCs/>
          <w:i/>
          <w:color w:val="auto"/>
          <w:sz w:val="22"/>
          <w:szCs w:val="22"/>
        </w:rPr>
        <w:t xml:space="preserve">ervices </w:t>
      </w:r>
      <w:r>
        <w:rPr>
          <w:rFonts w:asciiTheme="minorHAnsi" w:hAnsiTheme="minorHAnsi"/>
          <w:bCs/>
          <w:i/>
          <w:color w:val="auto"/>
          <w:sz w:val="22"/>
          <w:szCs w:val="22"/>
        </w:rPr>
        <w:t>I</w:t>
      </w:r>
      <w:r w:rsidRPr="00FB6E71">
        <w:rPr>
          <w:rFonts w:asciiTheme="minorHAnsi" w:hAnsiTheme="minorHAnsi"/>
          <w:bCs/>
          <w:i/>
          <w:color w:val="auto"/>
          <w:sz w:val="22"/>
          <w:szCs w:val="22"/>
        </w:rPr>
        <w:t xml:space="preserve">ncluding WASH and </w:t>
      </w:r>
      <w:r>
        <w:rPr>
          <w:rFonts w:asciiTheme="minorHAnsi" w:hAnsiTheme="minorHAnsi"/>
          <w:bCs/>
          <w:i/>
          <w:color w:val="auto"/>
          <w:sz w:val="22"/>
          <w:szCs w:val="22"/>
        </w:rPr>
        <w:t>S</w:t>
      </w:r>
      <w:r w:rsidRPr="00FB6E71">
        <w:rPr>
          <w:rFonts w:asciiTheme="minorHAnsi" w:hAnsiTheme="minorHAnsi"/>
          <w:bCs/>
          <w:i/>
          <w:color w:val="auto"/>
          <w:sz w:val="22"/>
          <w:szCs w:val="22"/>
        </w:rPr>
        <w:t xml:space="preserve">olid </w:t>
      </w:r>
      <w:r>
        <w:rPr>
          <w:rFonts w:asciiTheme="minorHAnsi" w:hAnsiTheme="minorHAnsi"/>
          <w:bCs/>
          <w:i/>
          <w:color w:val="auto"/>
          <w:sz w:val="22"/>
          <w:szCs w:val="22"/>
        </w:rPr>
        <w:t>W</w:t>
      </w:r>
      <w:r w:rsidRPr="00FB6E71">
        <w:rPr>
          <w:rFonts w:asciiTheme="minorHAnsi" w:hAnsiTheme="minorHAnsi"/>
          <w:bCs/>
          <w:i/>
          <w:color w:val="auto"/>
          <w:sz w:val="22"/>
          <w:szCs w:val="22"/>
        </w:rPr>
        <w:t xml:space="preserve">aste </w:t>
      </w:r>
      <w:r>
        <w:rPr>
          <w:rFonts w:asciiTheme="minorHAnsi" w:hAnsiTheme="minorHAnsi"/>
          <w:bCs/>
          <w:i/>
          <w:color w:val="auto"/>
          <w:sz w:val="22"/>
          <w:szCs w:val="22"/>
        </w:rPr>
        <w:t>M</w:t>
      </w:r>
      <w:r w:rsidRPr="00FB6E71">
        <w:rPr>
          <w:rFonts w:asciiTheme="minorHAnsi" w:hAnsiTheme="minorHAnsi"/>
          <w:bCs/>
          <w:i/>
          <w:color w:val="auto"/>
          <w:sz w:val="22"/>
          <w:szCs w:val="22"/>
        </w:rPr>
        <w:t>anagement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Needs and </w:t>
      </w:r>
      <w:r>
        <w:rPr>
          <w:rFonts w:asciiTheme="minorHAnsi" w:hAnsiTheme="minorHAnsi"/>
          <w:b/>
          <w:bCs/>
          <w:color w:val="auto"/>
          <w:sz w:val="22"/>
          <w:szCs w:val="22"/>
        </w:rPr>
        <w:t>r</w:t>
      </w:r>
      <w:r w:rsidRPr="00FB6E71">
        <w:rPr>
          <w:rFonts w:asciiTheme="minorHAnsi" w:hAnsiTheme="minorHAnsi"/>
          <w:b/>
          <w:bCs/>
          <w:color w:val="auto"/>
          <w:sz w:val="22"/>
          <w:szCs w:val="22"/>
        </w:rPr>
        <w:t xml:space="preserve">ecovery </w:t>
      </w:r>
      <w:r>
        <w:rPr>
          <w:rFonts w:asciiTheme="minorHAnsi" w:hAnsiTheme="minorHAnsi"/>
          <w:b/>
          <w:bCs/>
          <w:color w:val="auto"/>
          <w:sz w:val="22"/>
          <w:szCs w:val="22"/>
        </w:rPr>
        <w:t>s</w:t>
      </w:r>
      <w:r w:rsidRPr="00FB6E71">
        <w:rPr>
          <w:rFonts w:asciiTheme="minorHAnsi" w:hAnsiTheme="minorHAnsi"/>
          <w:b/>
          <w:bCs/>
          <w:color w:val="auto"/>
          <w:sz w:val="22"/>
          <w:szCs w:val="22"/>
        </w:rPr>
        <w:t>trategy for WASH under the RPBA</w:t>
      </w:r>
      <w:r>
        <w:rPr>
          <w:rFonts w:asciiTheme="minorHAnsi" w:hAnsiTheme="minorHAnsi"/>
          <w:b/>
          <w:bCs/>
          <w:color w:val="auto"/>
          <w:sz w:val="22"/>
          <w:szCs w:val="22"/>
        </w:rPr>
        <w:t>.</w:t>
      </w:r>
      <w:r w:rsidRPr="00FB6E71">
        <w:rPr>
          <w:rFonts w:asciiTheme="minorHAnsi" w:hAnsiTheme="minorHAnsi"/>
          <w:bCs/>
          <w:color w:val="auto"/>
          <w:sz w:val="22"/>
          <w:szCs w:val="22"/>
        </w:rPr>
        <w:t xml:space="preserve"> Water and sanitation recovery needs entail construction, repair</w:t>
      </w:r>
      <w:r>
        <w:rPr>
          <w:rFonts w:asciiTheme="minorHAnsi" w:hAnsiTheme="minorHAnsi"/>
          <w:bCs/>
          <w:color w:val="auto"/>
          <w:sz w:val="22"/>
          <w:szCs w:val="22"/>
        </w:rPr>
        <w:t>,</w:t>
      </w:r>
      <w:r w:rsidRPr="00FB6E71">
        <w:rPr>
          <w:rFonts w:asciiTheme="minorHAnsi" w:hAnsiTheme="minorHAnsi"/>
          <w:bCs/>
          <w:color w:val="auto"/>
          <w:sz w:val="22"/>
          <w:szCs w:val="22"/>
        </w:rPr>
        <w:t xml:space="preserve"> and </w:t>
      </w:r>
      <w:r w:rsidRPr="00FB6E71">
        <w:rPr>
          <w:rFonts w:ascii="Calibri" w:eastAsia="MS Mincho" w:hAnsi="Calibri" w:cs="Times New Roman"/>
          <w:bCs/>
          <w:color w:val="auto"/>
          <w:sz w:val="22"/>
          <w:szCs w:val="22"/>
        </w:rPr>
        <w:t>rehabilitation</w:t>
      </w:r>
      <w:r w:rsidRPr="00FB6E71">
        <w:rPr>
          <w:rFonts w:asciiTheme="minorHAnsi" w:hAnsiTheme="minorHAnsi"/>
          <w:bCs/>
          <w:color w:val="auto"/>
          <w:sz w:val="22"/>
          <w:szCs w:val="22"/>
        </w:rPr>
        <w:t xml:space="preserve"> of damaged water supply and sewage infrastructure</w:t>
      </w:r>
      <w:r>
        <w:rPr>
          <w:rFonts w:asciiTheme="minorHAnsi" w:hAnsiTheme="minorHAnsi"/>
          <w:bCs/>
          <w:color w:val="auto"/>
          <w:sz w:val="22"/>
          <w:szCs w:val="22"/>
        </w:rPr>
        <w:t>;</w:t>
      </w:r>
      <w:r w:rsidRPr="00FB6E71">
        <w:rPr>
          <w:rFonts w:asciiTheme="minorHAnsi" w:hAnsiTheme="minorHAnsi"/>
          <w:bCs/>
          <w:color w:val="auto"/>
          <w:sz w:val="22"/>
          <w:szCs w:val="22"/>
        </w:rPr>
        <w:t xml:space="preserve"> increas</w:t>
      </w:r>
      <w:r>
        <w:rPr>
          <w:rFonts w:asciiTheme="minorHAnsi" w:hAnsiTheme="minorHAnsi"/>
          <w:bCs/>
          <w:color w:val="auto"/>
          <w:sz w:val="22"/>
          <w:szCs w:val="22"/>
        </w:rPr>
        <w:t>e in</w:t>
      </w:r>
      <w:r w:rsidRPr="00FB6E71">
        <w:rPr>
          <w:rFonts w:asciiTheme="minorHAnsi" w:hAnsiTheme="minorHAnsi"/>
          <w:bCs/>
          <w:color w:val="auto"/>
          <w:sz w:val="22"/>
          <w:szCs w:val="22"/>
        </w:rPr>
        <w:t xml:space="preserve"> the capacity of water supply and sanitation systems to accommodate forc</w:t>
      </w:r>
      <w:r>
        <w:rPr>
          <w:rFonts w:asciiTheme="minorHAnsi" w:hAnsiTheme="minorHAnsi"/>
          <w:bCs/>
          <w:color w:val="auto"/>
          <w:sz w:val="22"/>
          <w:szCs w:val="22"/>
        </w:rPr>
        <w:t>ibly</w:t>
      </w:r>
      <w:r w:rsidRPr="00FB6E71">
        <w:rPr>
          <w:rFonts w:asciiTheme="minorHAnsi" w:hAnsiTheme="minorHAnsi"/>
          <w:bCs/>
          <w:color w:val="auto"/>
          <w:sz w:val="22"/>
          <w:szCs w:val="22"/>
        </w:rPr>
        <w:t xml:space="preserve"> displaced population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institutional support and capacity development support to state institutions in charge of providing water. Preconflict WASH conditions in the three states were generally poor in both urban and rural areas. The different actors responsible for water management at the policy level (Federal Ministry of Water Resources)</w:t>
      </w:r>
      <w:r>
        <w:rPr>
          <w:rFonts w:asciiTheme="minorHAnsi" w:hAnsiTheme="minorHAnsi"/>
          <w:bCs/>
          <w:color w:val="auto"/>
          <w:sz w:val="22"/>
          <w:szCs w:val="22"/>
        </w:rPr>
        <w:t xml:space="preserve"> and</w:t>
      </w:r>
      <w:r w:rsidRPr="00FB6E71">
        <w:rPr>
          <w:rFonts w:asciiTheme="minorHAnsi" w:hAnsiTheme="minorHAnsi"/>
          <w:bCs/>
          <w:color w:val="auto"/>
          <w:sz w:val="22"/>
          <w:szCs w:val="22"/>
        </w:rPr>
        <w:t xml:space="preserve"> river basin level</w:t>
      </w:r>
      <w:r>
        <w:rPr>
          <w:rFonts w:asciiTheme="minorHAnsi" w:hAnsiTheme="minorHAnsi"/>
          <w:bCs/>
          <w:color w:val="auto"/>
          <w:sz w:val="22"/>
          <w:szCs w:val="22"/>
        </w:rPr>
        <w:t xml:space="preserve"> as well as</w:t>
      </w:r>
      <w:r w:rsidRPr="00FB6E71">
        <w:rPr>
          <w:rFonts w:asciiTheme="minorHAnsi" w:hAnsiTheme="minorHAnsi"/>
          <w:bCs/>
          <w:color w:val="auto"/>
          <w:sz w:val="22"/>
          <w:szCs w:val="22"/>
        </w:rPr>
        <w:t xml:space="preserve"> </w:t>
      </w:r>
      <w:r>
        <w:rPr>
          <w:rFonts w:asciiTheme="minorHAnsi" w:hAnsiTheme="minorHAnsi"/>
          <w:bCs/>
          <w:color w:val="auto"/>
          <w:sz w:val="22"/>
          <w:szCs w:val="22"/>
        </w:rPr>
        <w:t>u</w:t>
      </w:r>
      <w:r w:rsidRPr="00FB6E71">
        <w:rPr>
          <w:rFonts w:asciiTheme="minorHAnsi" w:hAnsiTheme="minorHAnsi"/>
          <w:bCs/>
          <w:color w:val="auto"/>
          <w:sz w:val="22"/>
          <w:szCs w:val="22"/>
        </w:rPr>
        <w:t xml:space="preserve">rban </w:t>
      </w:r>
      <w:r>
        <w:rPr>
          <w:rFonts w:asciiTheme="minorHAnsi" w:hAnsiTheme="minorHAnsi"/>
          <w:bCs/>
          <w:color w:val="auto"/>
          <w:sz w:val="22"/>
          <w:szCs w:val="22"/>
        </w:rPr>
        <w:t>s</w:t>
      </w:r>
      <w:r w:rsidRPr="00FB6E71">
        <w:rPr>
          <w:rFonts w:asciiTheme="minorHAnsi" w:hAnsiTheme="minorHAnsi"/>
          <w:bCs/>
          <w:color w:val="auto"/>
          <w:sz w:val="22"/>
          <w:szCs w:val="22"/>
        </w:rPr>
        <w:t xml:space="preserve">tate </w:t>
      </w:r>
      <w:r>
        <w:rPr>
          <w:rFonts w:asciiTheme="minorHAnsi" w:hAnsiTheme="minorHAnsi"/>
          <w:bCs/>
          <w:color w:val="auto"/>
          <w:sz w:val="22"/>
          <w:szCs w:val="22"/>
        </w:rPr>
        <w:t>w</w:t>
      </w:r>
      <w:r w:rsidRPr="00FB6E71">
        <w:rPr>
          <w:rFonts w:asciiTheme="minorHAnsi" w:hAnsiTheme="minorHAnsi"/>
          <w:bCs/>
          <w:color w:val="auto"/>
          <w:sz w:val="22"/>
          <w:szCs w:val="22"/>
        </w:rPr>
        <w:t xml:space="preserve">ater </w:t>
      </w:r>
      <w:r>
        <w:rPr>
          <w:rFonts w:asciiTheme="minorHAnsi" w:hAnsiTheme="minorHAnsi"/>
          <w:bCs/>
          <w:color w:val="auto"/>
          <w:sz w:val="22"/>
          <w:szCs w:val="22"/>
        </w:rPr>
        <w:t>a</w:t>
      </w:r>
      <w:r w:rsidRPr="00FB6E71">
        <w:rPr>
          <w:rFonts w:asciiTheme="minorHAnsi" w:hAnsiTheme="minorHAnsi"/>
          <w:bCs/>
          <w:color w:val="auto"/>
          <w:sz w:val="22"/>
          <w:szCs w:val="22"/>
        </w:rPr>
        <w:t xml:space="preserve">gencies </w:t>
      </w:r>
      <w:r>
        <w:rPr>
          <w:rFonts w:asciiTheme="minorHAnsi" w:hAnsiTheme="minorHAnsi"/>
          <w:bCs/>
          <w:color w:val="auto"/>
          <w:sz w:val="22"/>
          <w:szCs w:val="22"/>
        </w:rPr>
        <w:t>and</w:t>
      </w:r>
      <w:r w:rsidRPr="00FB6E71">
        <w:rPr>
          <w:rFonts w:asciiTheme="minorHAnsi" w:hAnsiTheme="minorHAnsi"/>
          <w:bCs/>
          <w:color w:val="auto"/>
          <w:sz w:val="22"/>
          <w:szCs w:val="22"/>
        </w:rPr>
        <w:t xml:space="preserve"> </w:t>
      </w:r>
      <w:r>
        <w:rPr>
          <w:rFonts w:asciiTheme="minorHAnsi" w:hAnsiTheme="minorHAnsi"/>
          <w:bCs/>
          <w:color w:val="auto"/>
          <w:sz w:val="22"/>
          <w:szCs w:val="22"/>
        </w:rPr>
        <w:t>r</w:t>
      </w:r>
      <w:r w:rsidRPr="00FB6E71">
        <w:rPr>
          <w:rFonts w:asciiTheme="minorHAnsi" w:hAnsiTheme="minorHAnsi"/>
          <w:bCs/>
          <w:color w:val="auto"/>
          <w:sz w:val="22"/>
          <w:szCs w:val="22"/>
        </w:rPr>
        <w:t xml:space="preserve">ural and </w:t>
      </w:r>
      <w:r>
        <w:rPr>
          <w:rFonts w:asciiTheme="minorHAnsi" w:hAnsiTheme="minorHAnsi"/>
          <w:bCs/>
          <w:color w:val="auto"/>
          <w:sz w:val="22"/>
          <w:szCs w:val="22"/>
        </w:rPr>
        <w:t>s</w:t>
      </w:r>
      <w:r w:rsidRPr="00FB6E71">
        <w:rPr>
          <w:rFonts w:asciiTheme="minorHAnsi" w:hAnsiTheme="minorHAnsi"/>
          <w:bCs/>
          <w:color w:val="auto"/>
          <w:sz w:val="22"/>
          <w:szCs w:val="22"/>
        </w:rPr>
        <w:t xml:space="preserve">mall </w:t>
      </w:r>
      <w:r>
        <w:rPr>
          <w:rFonts w:asciiTheme="minorHAnsi" w:hAnsiTheme="minorHAnsi"/>
          <w:bCs/>
          <w:color w:val="auto"/>
          <w:sz w:val="22"/>
          <w:szCs w:val="22"/>
        </w:rPr>
        <w:t>t</w:t>
      </w:r>
      <w:r w:rsidRPr="00FB6E71">
        <w:rPr>
          <w:rFonts w:asciiTheme="minorHAnsi" w:hAnsiTheme="minorHAnsi"/>
          <w:bCs/>
          <w:color w:val="auto"/>
          <w:sz w:val="22"/>
          <w:szCs w:val="22"/>
        </w:rPr>
        <w:t xml:space="preserve">own </w:t>
      </w:r>
      <w:r>
        <w:rPr>
          <w:rFonts w:asciiTheme="minorHAnsi" w:hAnsiTheme="minorHAnsi"/>
          <w:bCs/>
          <w:color w:val="auto"/>
          <w:sz w:val="22"/>
          <w:szCs w:val="22"/>
        </w:rPr>
        <w:t>w</w:t>
      </w:r>
      <w:r w:rsidRPr="00FB6E71">
        <w:rPr>
          <w:rFonts w:asciiTheme="minorHAnsi" w:hAnsiTheme="minorHAnsi"/>
          <w:bCs/>
          <w:color w:val="auto"/>
          <w:sz w:val="22"/>
          <w:szCs w:val="22"/>
        </w:rPr>
        <w:t xml:space="preserve">ater </w:t>
      </w:r>
      <w:r>
        <w:rPr>
          <w:rFonts w:asciiTheme="minorHAnsi" w:hAnsiTheme="minorHAnsi"/>
          <w:bCs/>
          <w:color w:val="auto"/>
          <w:sz w:val="22"/>
          <w:szCs w:val="22"/>
        </w:rPr>
        <w:t>s</w:t>
      </w:r>
      <w:r w:rsidRPr="00FB6E71">
        <w:rPr>
          <w:rFonts w:asciiTheme="minorHAnsi" w:hAnsiTheme="minorHAnsi"/>
          <w:bCs/>
          <w:color w:val="auto"/>
          <w:sz w:val="22"/>
          <w:szCs w:val="22"/>
        </w:rPr>
        <w:t xml:space="preserve">upply and </w:t>
      </w:r>
      <w:r>
        <w:rPr>
          <w:rFonts w:asciiTheme="minorHAnsi" w:hAnsiTheme="minorHAnsi"/>
          <w:bCs/>
          <w:color w:val="auto"/>
          <w:sz w:val="22"/>
          <w:szCs w:val="22"/>
        </w:rPr>
        <w:t>s</w:t>
      </w:r>
      <w:r w:rsidRPr="00FB6E71">
        <w:rPr>
          <w:rFonts w:asciiTheme="minorHAnsi" w:hAnsiTheme="minorHAnsi"/>
          <w:bCs/>
          <w:color w:val="auto"/>
          <w:sz w:val="22"/>
          <w:szCs w:val="22"/>
        </w:rPr>
        <w:t xml:space="preserve">anitation </w:t>
      </w:r>
      <w:r>
        <w:rPr>
          <w:rFonts w:asciiTheme="minorHAnsi" w:hAnsiTheme="minorHAnsi"/>
          <w:bCs/>
          <w:color w:val="auto"/>
          <w:sz w:val="22"/>
          <w:szCs w:val="22"/>
        </w:rPr>
        <w:t>a</w:t>
      </w:r>
      <w:r w:rsidRPr="00FB6E71">
        <w:rPr>
          <w:rFonts w:asciiTheme="minorHAnsi" w:hAnsiTheme="minorHAnsi"/>
          <w:bCs/>
          <w:color w:val="auto"/>
          <w:sz w:val="22"/>
          <w:szCs w:val="22"/>
        </w:rPr>
        <w:t xml:space="preserve">gencies need to come together to effectively restore the water supply and provide sanitation facilities in the affected areas. Needs in these sectors as estimated by the RPBA are presented in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_Ref475640630 \h  \* MERGEFORMAT </w:instrText>
      </w:r>
      <w:r>
        <w:rPr>
          <w:rFonts w:asciiTheme="minorHAnsi" w:hAnsiTheme="minorHAnsi"/>
          <w:bCs/>
          <w:color w:val="auto"/>
          <w:sz w:val="22"/>
          <w:szCs w:val="22"/>
        </w:rPr>
        <w:fldChar w:fldCharType="separate"/>
      </w:r>
      <w:r w:rsidRPr="00EE6F82">
        <w:rPr>
          <w:rFonts w:asciiTheme="minorHAnsi" w:hAnsiTheme="minorHAnsi"/>
          <w:bCs/>
          <w:color w:val="auto"/>
          <w:sz w:val="22"/>
          <w:szCs w:val="22"/>
        </w:rPr>
        <w:t>table 1.3</w:t>
      </w:r>
      <w:r>
        <w:rPr>
          <w:rFonts w:asciiTheme="minorHAnsi" w:hAnsiTheme="minorHAnsi"/>
          <w:bCs/>
          <w:color w:val="auto"/>
          <w:sz w:val="22"/>
          <w:szCs w:val="22"/>
        </w:rPr>
        <w:fldChar w:fldCharType="end"/>
      </w:r>
      <w:r w:rsidRPr="00FB6E71">
        <w:rPr>
          <w:rFonts w:asciiTheme="minorHAnsi" w:hAnsiTheme="minorHAnsi"/>
          <w:bCs/>
          <w:color w:val="auto"/>
          <w:sz w:val="22"/>
          <w:szCs w:val="22"/>
        </w:rPr>
        <w:t>.</w:t>
      </w:r>
    </w:p>
    <w:p w:rsidR="007F2DE7" w:rsidRPr="00FB6E71" w:rsidP="007F2DE7">
      <w:pPr>
        <w:pStyle w:val="Caption"/>
        <w:keepNext/>
        <w:keepLines/>
        <w:widowControl/>
        <w:spacing w:before="120" w:after="120"/>
        <w:jc w:val="center"/>
        <w:rPr>
          <w:rFonts w:asciiTheme="minorHAnsi" w:hAnsiTheme="minorHAnsi"/>
          <w:b/>
          <w:i w:val="0"/>
          <w:color w:val="auto"/>
        </w:rPr>
      </w:pPr>
      <w:bookmarkStart w:id="124" w:name="_Ref475640630"/>
      <w:r w:rsidRPr="00FB6E71">
        <w:rPr>
          <w:rFonts w:asciiTheme="minorHAnsi" w:hAnsiTheme="minorHAnsi"/>
          <w:b/>
          <w:i w:val="0"/>
          <w:color w:val="auto"/>
        </w:rPr>
        <w:t>Table 1.</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Table_1. \* ARABIC </w:instrText>
      </w:r>
      <w:r w:rsidRPr="00FB6E71">
        <w:rPr>
          <w:rFonts w:asciiTheme="minorHAnsi" w:hAnsiTheme="minorHAnsi"/>
          <w:b/>
          <w:i w:val="0"/>
          <w:color w:val="auto"/>
        </w:rPr>
        <w:fldChar w:fldCharType="separate"/>
      </w:r>
      <w:r w:rsidRPr="00FB6E71">
        <w:rPr>
          <w:rFonts w:asciiTheme="minorHAnsi" w:hAnsiTheme="minorHAnsi"/>
          <w:b/>
          <w:i w:val="0"/>
          <w:color w:val="auto"/>
        </w:rPr>
        <w:t>3</w:t>
      </w:r>
      <w:r w:rsidRPr="00FB6E71">
        <w:rPr>
          <w:rFonts w:asciiTheme="minorHAnsi" w:hAnsiTheme="minorHAnsi"/>
          <w:b/>
          <w:i w:val="0"/>
          <w:color w:val="auto"/>
        </w:rPr>
        <w:fldChar w:fldCharType="end"/>
      </w:r>
      <w:bookmarkEnd w:id="124"/>
      <w:r>
        <w:rPr>
          <w:rFonts w:asciiTheme="minorHAnsi" w:hAnsiTheme="minorHAnsi"/>
          <w:b/>
          <w:i w:val="0"/>
          <w:color w:val="auto"/>
        </w:rPr>
        <w:t>.</w:t>
      </w:r>
      <w:r w:rsidRPr="00FB6E71">
        <w:rPr>
          <w:rFonts w:asciiTheme="minorHAnsi" w:hAnsiTheme="minorHAnsi"/>
          <w:b/>
          <w:i w:val="0"/>
          <w:color w:val="auto"/>
        </w:rPr>
        <w:t xml:space="preserve"> Needs Overview in WASH Secto</w:t>
      </w:r>
      <w:r w:rsidRPr="00884668">
        <w:rPr>
          <w:rFonts w:asciiTheme="minorHAnsi" w:hAnsiTheme="minorHAnsi"/>
          <w:b/>
          <w:i w:val="0"/>
          <w:color w:val="auto"/>
        </w:rPr>
        <w:t>r</w:t>
      </w:r>
      <w:r w:rsidRPr="00884668">
        <w:rPr>
          <w:rFonts w:asciiTheme="minorHAnsi" w:hAnsiTheme="minorHAnsi"/>
          <w:b/>
          <w:bCs/>
          <w:i w:val="0"/>
          <w:color w:val="auto"/>
        </w:rPr>
        <w:t xml:space="preserve"> (</w:t>
      </w:r>
      <w:r>
        <w:rPr>
          <w:rFonts w:asciiTheme="minorHAnsi" w:hAnsiTheme="minorHAnsi"/>
          <w:b/>
          <w:bCs/>
          <w:i w:val="0"/>
          <w:color w:val="auto"/>
        </w:rPr>
        <w:t>U</w:t>
      </w:r>
      <w:r w:rsidRPr="00884668">
        <w:rPr>
          <w:rFonts w:asciiTheme="minorHAnsi" w:hAnsiTheme="minorHAnsi"/>
          <w:b/>
          <w:bCs/>
          <w:i w:val="0"/>
          <w:color w:val="auto"/>
        </w:rPr>
        <w:t>nit: 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5"/>
        <w:gridCol w:w="1170"/>
        <w:gridCol w:w="1170"/>
        <w:gridCol w:w="1170"/>
        <w:gridCol w:w="134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20"/>
          <w:tblHeader/>
          <w:jc w:val="center"/>
        </w:trPr>
        <w:tc>
          <w:tcPr>
            <w:tcW w:w="4495" w:type="dxa"/>
            <w:shd w:val="clear" w:color="auto" w:fill="EDEDED" w:themeFill="accent3" w:themeFillTint="33"/>
            <w:vAlign w:val="center"/>
            <w:hideMark/>
          </w:tcPr>
          <w:p w:rsidR="007F2DE7" w:rsidRPr="00FB6E71" w:rsidP="007F2DE7">
            <w:pPr>
              <w:keepNext/>
              <w:widowControl/>
              <w:jc w:val="center"/>
              <w:rPr>
                <w:rFonts w:asciiTheme="minorHAnsi" w:hAnsiTheme="minorHAnsi"/>
                <w:b/>
                <w:bCs/>
                <w:color w:val="auto"/>
                <w:sz w:val="18"/>
                <w:szCs w:val="18"/>
              </w:rPr>
            </w:pPr>
            <w:r w:rsidRPr="00FB6E71">
              <w:rPr>
                <w:rFonts w:asciiTheme="minorHAnsi" w:hAnsiTheme="minorHAnsi"/>
                <w:b/>
                <w:bCs/>
                <w:color w:val="auto"/>
                <w:sz w:val="18"/>
                <w:szCs w:val="18"/>
              </w:rPr>
              <w:t xml:space="preserve">Needs by </w:t>
            </w:r>
            <w:r>
              <w:rPr>
                <w:rFonts w:asciiTheme="minorHAnsi" w:hAnsiTheme="minorHAnsi"/>
                <w:b/>
                <w:bCs/>
                <w:color w:val="auto"/>
                <w:sz w:val="18"/>
                <w:szCs w:val="18"/>
              </w:rPr>
              <w:t>A</w:t>
            </w:r>
            <w:r w:rsidRPr="00FB6E71">
              <w:rPr>
                <w:rFonts w:asciiTheme="minorHAnsi" w:hAnsiTheme="minorHAnsi"/>
                <w:b/>
                <w:bCs/>
                <w:color w:val="auto"/>
                <w:sz w:val="18"/>
                <w:szCs w:val="18"/>
              </w:rPr>
              <w:t>ctivity</w:t>
            </w:r>
          </w:p>
        </w:tc>
        <w:tc>
          <w:tcPr>
            <w:tcW w:w="1170" w:type="dxa"/>
            <w:shd w:val="clear" w:color="auto" w:fill="EDEDED" w:themeFill="accent3" w:themeFillTint="33"/>
            <w:noWrap/>
            <w:vAlign w:val="center"/>
            <w:hideMark/>
          </w:tcPr>
          <w:p w:rsidR="007F2DE7" w:rsidRPr="00FB6E71" w:rsidP="007F2DE7">
            <w:pPr>
              <w:keepNext/>
              <w:widowControl/>
              <w:jc w:val="center"/>
              <w:rPr>
                <w:rFonts w:asciiTheme="minorHAnsi" w:hAnsiTheme="minorHAnsi"/>
                <w:b/>
                <w:bCs/>
                <w:color w:val="auto"/>
                <w:sz w:val="18"/>
                <w:szCs w:val="18"/>
              </w:rPr>
            </w:pPr>
            <w:r w:rsidRPr="00FB6E71">
              <w:rPr>
                <w:rFonts w:asciiTheme="minorHAnsi" w:hAnsiTheme="minorHAnsi"/>
                <w:b/>
                <w:bCs/>
                <w:color w:val="auto"/>
                <w:sz w:val="18"/>
                <w:szCs w:val="18"/>
              </w:rPr>
              <w:t>Adamawa</w:t>
            </w:r>
          </w:p>
        </w:tc>
        <w:tc>
          <w:tcPr>
            <w:tcW w:w="1170" w:type="dxa"/>
            <w:shd w:val="clear" w:color="auto" w:fill="EDEDED" w:themeFill="accent3" w:themeFillTint="33"/>
            <w:noWrap/>
            <w:vAlign w:val="center"/>
            <w:hideMark/>
          </w:tcPr>
          <w:p w:rsidR="007F2DE7" w:rsidRPr="00FB6E71" w:rsidP="007F2DE7">
            <w:pPr>
              <w:keepNext/>
              <w:widowControl/>
              <w:jc w:val="center"/>
              <w:rPr>
                <w:rFonts w:asciiTheme="minorHAnsi" w:hAnsiTheme="minorHAnsi"/>
                <w:b/>
                <w:bCs/>
                <w:color w:val="auto"/>
                <w:sz w:val="18"/>
                <w:szCs w:val="18"/>
              </w:rPr>
            </w:pPr>
            <w:r w:rsidRPr="00FB6E71">
              <w:rPr>
                <w:rFonts w:asciiTheme="minorHAnsi" w:hAnsiTheme="minorHAnsi"/>
                <w:b/>
                <w:bCs/>
                <w:color w:val="auto"/>
                <w:sz w:val="18"/>
                <w:szCs w:val="18"/>
              </w:rPr>
              <w:t>Borno</w:t>
            </w:r>
          </w:p>
        </w:tc>
        <w:tc>
          <w:tcPr>
            <w:tcW w:w="1170" w:type="dxa"/>
            <w:shd w:val="clear" w:color="auto" w:fill="EDEDED" w:themeFill="accent3" w:themeFillTint="33"/>
            <w:noWrap/>
            <w:vAlign w:val="center"/>
            <w:hideMark/>
          </w:tcPr>
          <w:p w:rsidR="007F2DE7" w:rsidRPr="00FB6E71" w:rsidP="007F2DE7">
            <w:pPr>
              <w:keepNext/>
              <w:widowControl/>
              <w:jc w:val="center"/>
              <w:rPr>
                <w:rFonts w:asciiTheme="minorHAnsi" w:hAnsiTheme="minorHAnsi"/>
                <w:b/>
                <w:bCs/>
                <w:color w:val="auto"/>
                <w:sz w:val="18"/>
                <w:szCs w:val="18"/>
              </w:rPr>
            </w:pPr>
            <w:r w:rsidRPr="00FB6E71">
              <w:rPr>
                <w:rFonts w:asciiTheme="minorHAnsi" w:hAnsiTheme="minorHAnsi"/>
                <w:b/>
                <w:bCs/>
                <w:color w:val="auto"/>
                <w:sz w:val="18"/>
                <w:szCs w:val="18"/>
              </w:rPr>
              <w:t>Yobe</w:t>
            </w:r>
          </w:p>
        </w:tc>
        <w:tc>
          <w:tcPr>
            <w:tcW w:w="1345" w:type="dxa"/>
            <w:shd w:val="clear" w:color="auto" w:fill="EDEDED" w:themeFill="accent3" w:themeFillTint="33"/>
            <w:noWrap/>
            <w:vAlign w:val="center"/>
            <w:hideMark/>
          </w:tcPr>
          <w:p w:rsidR="007F2DE7" w:rsidRPr="00FB6E71" w:rsidP="007F2DE7">
            <w:pPr>
              <w:keepNext/>
              <w:widowControl/>
              <w:jc w:val="center"/>
              <w:rPr>
                <w:rFonts w:asciiTheme="minorHAnsi" w:hAnsiTheme="minorHAnsi"/>
                <w:b/>
                <w:bCs/>
                <w:color w:val="auto"/>
                <w:sz w:val="18"/>
                <w:szCs w:val="18"/>
              </w:rPr>
            </w:pPr>
            <w:r w:rsidRPr="00FB6E71">
              <w:rPr>
                <w:rFonts w:asciiTheme="minorHAnsi" w:hAnsiTheme="minorHAnsi"/>
                <w:b/>
                <w:bCs/>
                <w:color w:val="auto"/>
                <w:sz w:val="18"/>
                <w:szCs w:val="18"/>
              </w:rPr>
              <w:t>Total</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keepNext/>
              <w:widowControl/>
              <w:rPr>
                <w:rFonts w:asciiTheme="minorHAnsi" w:hAnsiTheme="minorHAnsi"/>
                <w:bCs/>
                <w:color w:val="auto"/>
                <w:sz w:val="18"/>
                <w:szCs w:val="18"/>
              </w:rPr>
            </w:pPr>
            <w:r w:rsidRPr="00FB6E71">
              <w:rPr>
                <w:rFonts w:asciiTheme="minorHAnsi" w:hAnsiTheme="minorHAnsi"/>
                <w:bCs/>
                <w:color w:val="auto"/>
                <w:sz w:val="18"/>
                <w:szCs w:val="18"/>
              </w:rPr>
              <w:t xml:space="preserve">Reconstruct/repair water </w:t>
            </w:r>
            <w:r>
              <w:rPr>
                <w:rFonts w:asciiTheme="minorHAnsi" w:hAnsiTheme="minorHAnsi"/>
                <w:bCs/>
                <w:color w:val="auto"/>
                <w:sz w:val="18"/>
                <w:szCs w:val="18"/>
              </w:rPr>
              <w:t>and</w:t>
            </w:r>
            <w:r w:rsidRPr="00FB6E71">
              <w:rPr>
                <w:rFonts w:asciiTheme="minorHAnsi" w:hAnsiTheme="minorHAnsi"/>
                <w:bCs/>
                <w:color w:val="auto"/>
                <w:sz w:val="18"/>
                <w:szCs w:val="18"/>
              </w:rPr>
              <w:t xml:space="preserve"> sanitation infrastructure in public places</w:t>
            </w:r>
          </w:p>
        </w:tc>
        <w:tc>
          <w:tcPr>
            <w:tcW w:w="1170" w:type="dxa"/>
            <w:shd w:val="clear" w:color="auto" w:fill="auto"/>
            <w:noWrap/>
            <w:vAlign w:val="center"/>
            <w:hideMark/>
          </w:tcPr>
          <w:p w:rsidR="007F2DE7" w:rsidRPr="00FB6E71" w:rsidP="007F2DE7">
            <w:pPr>
              <w:keepNext/>
              <w:widowControl/>
              <w:jc w:val="right"/>
              <w:rPr>
                <w:rFonts w:asciiTheme="minorHAnsi" w:hAnsiTheme="minorHAnsi"/>
                <w:bCs/>
                <w:color w:val="auto"/>
                <w:sz w:val="18"/>
                <w:szCs w:val="18"/>
              </w:rPr>
            </w:pPr>
            <w:r w:rsidRPr="00FB6E71">
              <w:rPr>
                <w:rFonts w:asciiTheme="minorHAnsi" w:hAnsiTheme="minorHAnsi"/>
                <w:bCs/>
                <w:color w:val="auto"/>
                <w:sz w:val="18"/>
                <w:szCs w:val="18"/>
              </w:rPr>
              <w:t>850,748</w:t>
            </w:r>
          </w:p>
        </w:tc>
        <w:tc>
          <w:tcPr>
            <w:tcW w:w="1170" w:type="dxa"/>
            <w:shd w:val="clear" w:color="auto" w:fill="auto"/>
            <w:noWrap/>
            <w:vAlign w:val="center"/>
            <w:hideMark/>
          </w:tcPr>
          <w:p w:rsidR="007F2DE7" w:rsidRPr="00FB6E71" w:rsidP="007F2DE7">
            <w:pPr>
              <w:keepNext/>
              <w:widowControl/>
              <w:jc w:val="right"/>
              <w:rPr>
                <w:rFonts w:asciiTheme="minorHAnsi" w:hAnsiTheme="minorHAnsi"/>
                <w:bCs/>
                <w:color w:val="auto"/>
                <w:sz w:val="18"/>
                <w:szCs w:val="18"/>
              </w:rPr>
            </w:pPr>
            <w:r w:rsidRPr="00FB6E71">
              <w:rPr>
                <w:rFonts w:asciiTheme="minorHAnsi" w:hAnsiTheme="minorHAnsi"/>
                <w:bCs/>
                <w:color w:val="auto"/>
                <w:sz w:val="18"/>
                <w:szCs w:val="18"/>
              </w:rPr>
              <w:t>7,282,947</w:t>
            </w:r>
          </w:p>
        </w:tc>
        <w:tc>
          <w:tcPr>
            <w:tcW w:w="1170" w:type="dxa"/>
            <w:shd w:val="clear" w:color="auto" w:fill="auto"/>
            <w:noWrap/>
            <w:vAlign w:val="center"/>
            <w:hideMark/>
          </w:tcPr>
          <w:p w:rsidR="007F2DE7" w:rsidRPr="00FB6E71" w:rsidP="007F2DE7">
            <w:pPr>
              <w:keepNext/>
              <w:widowControl/>
              <w:jc w:val="right"/>
              <w:rPr>
                <w:rFonts w:asciiTheme="minorHAnsi" w:hAnsiTheme="minorHAnsi"/>
                <w:bCs/>
                <w:color w:val="auto"/>
                <w:sz w:val="18"/>
                <w:szCs w:val="18"/>
              </w:rPr>
            </w:pPr>
            <w:r w:rsidRPr="00FB6E71">
              <w:rPr>
                <w:rFonts w:asciiTheme="minorHAnsi" w:hAnsiTheme="minorHAnsi"/>
                <w:bCs/>
                <w:color w:val="auto"/>
                <w:sz w:val="18"/>
                <w:szCs w:val="18"/>
              </w:rPr>
              <w:t>683,116</w:t>
            </w:r>
          </w:p>
        </w:tc>
        <w:tc>
          <w:tcPr>
            <w:tcW w:w="1345" w:type="dxa"/>
            <w:shd w:val="clear" w:color="auto" w:fill="auto"/>
            <w:noWrap/>
            <w:vAlign w:val="center"/>
            <w:hideMark/>
          </w:tcPr>
          <w:p w:rsidR="007F2DE7" w:rsidRPr="00FB6E71" w:rsidP="007F2DE7">
            <w:pPr>
              <w:keepNext/>
              <w:widowControl/>
              <w:jc w:val="right"/>
              <w:rPr>
                <w:rFonts w:asciiTheme="minorHAnsi" w:hAnsiTheme="minorHAnsi"/>
                <w:b/>
                <w:bCs/>
                <w:color w:val="auto"/>
                <w:sz w:val="18"/>
                <w:szCs w:val="18"/>
              </w:rPr>
            </w:pPr>
            <w:r>
              <w:rPr>
                <w:rFonts w:ascii="Calibri" w:hAnsi="Calibri"/>
                <w:b/>
                <w:bCs/>
                <w:sz w:val="18"/>
                <w:szCs w:val="18"/>
              </w:rPr>
              <w:t>8,816,811</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widowControl/>
              <w:rPr>
                <w:rFonts w:asciiTheme="minorHAnsi" w:hAnsiTheme="minorHAnsi"/>
                <w:bCs/>
                <w:color w:val="auto"/>
                <w:sz w:val="18"/>
                <w:szCs w:val="18"/>
              </w:rPr>
            </w:pPr>
            <w:r w:rsidRPr="00FB6E71">
              <w:rPr>
                <w:rFonts w:asciiTheme="minorHAnsi" w:hAnsiTheme="minorHAnsi"/>
                <w:bCs/>
                <w:color w:val="auto"/>
                <w:sz w:val="18"/>
                <w:szCs w:val="18"/>
              </w:rPr>
              <w:t xml:space="preserve">Sanitation </w:t>
            </w:r>
            <w:r>
              <w:rPr>
                <w:rFonts w:asciiTheme="minorHAnsi" w:hAnsiTheme="minorHAnsi"/>
                <w:bCs/>
                <w:color w:val="auto"/>
                <w:sz w:val="18"/>
                <w:szCs w:val="18"/>
              </w:rPr>
              <w:t>and</w:t>
            </w:r>
            <w:r w:rsidRPr="00FB6E71">
              <w:rPr>
                <w:rFonts w:asciiTheme="minorHAnsi" w:hAnsiTheme="minorHAnsi"/>
                <w:bCs/>
                <w:color w:val="auto"/>
                <w:sz w:val="18"/>
                <w:szCs w:val="18"/>
              </w:rPr>
              <w:t xml:space="preserve"> </w:t>
            </w:r>
            <w:r>
              <w:rPr>
                <w:rFonts w:asciiTheme="minorHAnsi" w:hAnsiTheme="minorHAnsi"/>
                <w:bCs/>
                <w:color w:val="auto"/>
                <w:sz w:val="18"/>
                <w:szCs w:val="18"/>
              </w:rPr>
              <w:t>h</w:t>
            </w:r>
            <w:r w:rsidRPr="00FB6E71">
              <w:rPr>
                <w:rFonts w:asciiTheme="minorHAnsi" w:hAnsiTheme="minorHAnsi"/>
                <w:bCs/>
                <w:color w:val="auto"/>
                <w:sz w:val="18"/>
                <w:szCs w:val="18"/>
              </w:rPr>
              <w:t xml:space="preserve">ygiene </w:t>
            </w:r>
            <w:r>
              <w:rPr>
                <w:rFonts w:asciiTheme="minorHAnsi" w:hAnsiTheme="minorHAnsi"/>
                <w:bCs/>
                <w:color w:val="auto"/>
                <w:sz w:val="18"/>
                <w:szCs w:val="18"/>
              </w:rPr>
              <w:t>p</w:t>
            </w:r>
            <w:r w:rsidRPr="00FB6E71">
              <w:rPr>
                <w:rFonts w:asciiTheme="minorHAnsi" w:hAnsiTheme="minorHAnsi"/>
                <w:bCs/>
                <w:color w:val="auto"/>
                <w:sz w:val="18"/>
                <w:szCs w:val="18"/>
              </w:rPr>
              <w:t>romotion in IDP return areas, host communities</w:t>
            </w:r>
            <w:r>
              <w:rPr>
                <w:rFonts w:asciiTheme="minorHAnsi" w:hAnsiTheme="minorHAnsi"/>
                <w:bCs/>
                <w:color w:val="auto"/>
                <w:sz w:val="18"/>
                <w:szCs w:val="18"/>
              </w:rPr>
              <w:t>,</w:t>
            </w:r>
            <w:r w:rsidRPr="00FB6E71">
              <w:rPr>
                <w:rFonts w:asciiTheme="minorHAnsi" w:hAnsiTheme="minorHAnsi"/>
                <w:bCs/>
                <w:color w:val="auto"/>
                <w:sz w:val="18"/>
                <w:szCs w:val="18"/>
              </w:rPr>
              <w:t xml:space="preserve"> and </w:t>
            </w:r>
            <w:r>
              <w:rPr>
                <w:rFonts w:asciiTheme="minorHAnsi" w:hAnsiTheme="minorHAnsi"/>
                <w:bCs/>
                <w:color w:val="auto"/>
                <w:sz w:val="18"/>
                <w:szCs w:val="18"/>
              </w:rPr>
              <w:t>i</w:t>
            </w:r>
            <w:r w:rsidRPr="00FB6E71">
              <w:rPr>
                <w:rFonts w:asciiTheme="minorHAnsi" w:hAnsiTheme="minorHAnsi"/>
                <w:bCs/>
                <w:color w:val="auto"/>
                <w:sz w:val="18"/>
                <w:szCs w:val="18"/>
              </w:rPr>
              <w:t>nstitutions</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1,782,870</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24,061,148</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1,492,440</w:t>
            </w:r>
          </w:p>
        </w:tc>
        <w:tc>
          <w:tcPr>
            <w:tcW w:w="1345" w:type="dxa"/>
            <w:shd w:val="clear" w:color="auto" w:fill="auto"/>
            <w:noWrap/>
            <w:vAlign w:val="center"/>
            <w:hideMark/>
          </w:tcPr>
          <w:p w:rsidR="007F2DE7" w:rsidRPr="00FB6E71" w:rsidP="007F2DE7">
            <w:pPr>
              <w:keepNext/>
              <w:jc w:val="right"/>
              <w:rPr>
                <w:rFonts w:asciiTheme="minorHAnsi" w:hAnsiTheme="minorHAnsi"/>
                <w:b/>
                <w:bCs/>
                <w:color w:val="auto"/>
                <w:sz w:val="18"/>
                <w:szCs w:val="18"/>
              </w:rPr>
            </w:pPr>
            <w:r>
              <w:rPr>
                <w:rFonts w:ascii="Calibri" w:hAnsi="Calibri"/>
                <w:b/>
                <w:bCs/>
                <w:sz w:val="18"/>
                <w:szCs w:val="18"/>
              </w:rPr>
              <w:t>27,336,458</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widowControl/>
              <w:rPr>
                <w:rFonts w:asciiTheme="minorHAnsi" w:hAnsiTheme="minorHAnsi"/>
                <w:bCs/>
                <w:color w:val="auto"/>
                <w:sz w:val="18"/>
                <w:szCs w:val="18"/>
              </w:rPr>
            </w:pPr>
            <w:r w:rsidRPr="00FB6E71">
              <w:rPr>
                <w:rFonts w:asciiTheme="minorHAnsi" w:hAnsiTheme="minorHAnsi"/>
                <w:bCs/>
                <w:color w:val="auto"/>
                <w:sz w:val="18"/>
                <w:szCs w:val="18"/>
              </w:rPr>
              <w:t xml:space="preserve">Reconstruct/repair </w:t>
            </w:r>
            <w:r>
              <w:rPr>
                <w:rFonts w:asciiTheme="minorHAnsi" w:hAnsiTheme="minorHAnsi"/>
                <w:bCs/>
                <w:color w:val="auto"/>
                <w:sz w:val="18"/>
                <w:szCs w:val="18"/>
              </w:rPr>
              <w:t>s</w:t>
            </w:r>
            <w:r w:rsidRPr="00FB6E71">
              <w:rPr>
                <w:rFonts w:asciiTheme="minorHAnsi" w:hAnsiTheme="minorHAnsi"/>
                <w:bCs/>
                <w:color w:val="auto"/>
                <w:sz w:val="18"/>
                <w:szCs w:val="18"/>
              </w:rPr>
              <w:t>anitation infrastructure in institutions and public buildings</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3,978,563</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9,166,700</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1,512,150</w:t>
            </w:r>
          </w:p>
        </w:tc>
        <w:tc>
          <w:tcPr>
            <w:tcW w:w="1345" w:type="dxa"/>
            <w:shd w:val="clear" w:color="auto" w:fill="auto"/>
            <w:noWrap/>
            <w:vAlign w:val="center"/>
            <w:hideMark/>
          </w:tcPr>
          <w:p w:rsidR="007F2DE7" w:rsidRPr="00FB6E71" w:rsidP="007F2DE7">
            <w:pPr>
              <w:keepNext/>
              <w:jc w:val="right"/>
              <w:rPr>
                <w:rFonts w:asciiTheme="minorHAnsi" w:hAnsiTheme="minorHAnsi"/>
                <w:b/>
                <w:bCs/>
                <w:color w:val="auto"/>
                <w:sz w:val="18"/>
                <w:szCs w:val="18"/>
              </w:rPr>
            </w:pPr>
            <w:r>
              <w:rPr>
                <w:rFonts w:ascii="Calibri" w:hAnsi="Calibri"/>
                <w:b/>
                <w:bCs/>
                <w:sz w:val="18"/>
                <w:szCs w:val="18"/>
              </w:rPr>
              <w:t>14,657,413</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widowControl/>
              <w:rPr>
                <w:rFonts w:asciiTheme="minorHAnsi" w:hAnsiTheme="minorHAnsi"/>
                <w:bCs/>
                <w:color w:val="auto"/>
                <w:sz w:val="18"/>
                <w:szCs w:val="18"/>
              </w:rPr>
            </w:pPr>
            <w:r w:rsidRPr="00FB6E71">
              <w:rPr>
                <w:rFonts w:asciiTheme="minorHAnsi" w:hAnsiTheme="minorHAnsi"/>
                <w:bCs/>
                <w:color w:val="auto"/>
                <w:sz w:val="18"/>
                <w:szCs w:val="18"/>
              </w:rPr>
              <w:t>Recover damages to institutional sanitation infrastructure</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8,300,000</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10,100,000</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7,100,000</w:t>
            </w:r>
          </w:p>
        </w:tc>
        <w:tc>
          <w:tcPr>
            <w:tcW w:w="1345" w:type="dxa"/>
            <w:shd w:val="clear" w:color="auto" w:fill="auto"/>
            <w:noWrap/>
            <w:vAlign w:val="center"/>
            <w:hideMark/>
          </w:tcPr>
          <w:p w:rsidR="007F2DE7" w:rsidRPr="00FB6E71" w:rsidP="007F2DE7">
            <w:pPr>
              <w:keepNext/>
              <w:jc w:val="right"/>
              <w:rPr>
                <w:rFonts w:asciiTheme="minorHAnsi" w:hAnsiTheme="minorHAnsi"/>
                <w:b/>
                <w:bCs/>
                <w:color w:val="auto"/>
                <w:sz w:val="18"/>
                <w:szCs w:val="18"/>
              </w:rPr>
            </w:pPr>
            <w:r>
              <w:rPr>
                <w:rFonts w:ascii="Calibri" w:hAnsi="Calibri"/>
                <w:b/>
                <w:bCs/>
                <w:sz w:val="18"/>
                <w:szCs w:val="18"/>
              </w:rPr>
              <w:t>25,500,000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widowControl/>
              <w:rPr>
                <w:rFonts w:asciiTheme="minorHAnsi" w:hAnsiTheme="minorHAnsi"/>
                <w:bCs/>
                <w:color w:val="auto"/>
                <w:sz w:val="18"/>
                <w:szCs w:val="18"/>
              </w:rPr>
            </w:pPr>
            <w:r w:rsidRPr="00FB6E71">
              <w:rPr>
                <w:rFonts w:asciiTheme="minorHAnsi" w:hAnsiTheme="minorHAnsi"/>
                <w:bCs/>
                <w:color w:val="auto"/>
                <w:sz w:val="18"/>
                <w:szCs w:val="18"/>
              </w:rPr>
              <w:t xml:space="preserve">Reconstruct/repair </w:t>
            </w:r>
            <w:r>
              <w:rPr>
                <w:rFonts w:asciiTheme="minorHAnsi" w:hAnsiTheme="minorHAnsi"/>
                <w:bCs/>
                <w:color w:val="auto"/>
                <w:sz w:val="18"/>
                <w:szCs w:val="18"/>
              </w:rPr>
              <w:t>w</w:t>
            </w:r>
            <w:r w:rsidRPr="00FB6E71">
              <w:rPr>
                <w:rFonts w:asciiTheme="minorHAnsi" w:hAnsiTheme="minorHAnsi"/>
                <w:bCs/>
                <w:color w:val="auto"/>
                <w:sz w:val="18"/>
                <w:szCs w:val="18"/>
              </w:rPr>
              <w:t xml:space="preserve">ater infrastructure for host communities </w:t>
            </w:r>
            <w:r>
              <w:rPr>
                <w:rFonts w:asciiTheme="minorHAnsi" w:hAnsiTheme="minorHAnsi"/>
                <w:bCs/>
                <w:color w:val="auto"/>
                <w:sz w:val="18"/>
                <w:szCs w:val="18"/>
              </w:rPr>
              <w:t>and</w:t>
            </w:r>
            <w:r w:rsidRPr="00FB6E71">
              <w:rPr>
                <w:rFonts w:asciiTheme="minorHAnsi" w:hAnsiTheme="minorHAnsi"/>
                <w:bCs/>
                <w:color w:val="auto"/>
                <w:sz w:val="18"/>
                <w:szCs w:val="18"/>
              </w:rPr>
              <w:t xml:space="preserve"> provision for IDP return areas</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3,402,994</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29,131,787</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2,732,463</w:t>
            </w:r>
          </w:p>
        </w:tc>
        <w:tc>
          <w:tcPr>
            <w:tcW w:w="1345" w:type="dxa"/>
            <w:shd w:val="clear" w:color="auto" w:fill="auto"/>
            <w:noWrap/>
            <w:vAlign w:val="center"/>
            <w:hideMark/>
          </w:tcPr>
          <w:p w:rsidR="007F2DE7" w:rsidRPr="00FB6E71" w:rsidP="007F2DE7">
            <w:pPr>
              <w:keepNext/>
              <w:jc w:val="right"/>
              <w:rPr>
                <w:rFonts w:asciiTheme="minorHAnsi" w:hAnsiTheme="minorHAnsi"/>
                <w:b/>
                <w:bCs/>
                <w:color w:val="auto"/>
                <w:sz w:val="18"/>
                <w:szCs w:val="18"/>
              </w:rPr>
            </w:pPr>
            <w:r>
              <w:rPr>
                <w:rFonts w:ascii="Calibri" w:hAnsi="Calibri"/>
                <w:b/>
                <w:bCs/>
                <w:sz w:val="18"/>
                <w:szCs w:val="18"/>
              </w:rPr>
              <w:t>35,267,244</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widowControl/>
              <w:rPr>
                <w:rFonts w:asciiTheme="minorHAnsi" w:hAnsiTheme="minorHAnsi"/>
                <w:bCs/>
                <w:color w:val="auto"/>
                <w:sz w:val="18"/>
                <w:szCs w:val="18"/>
              </w:rPr>
            </w:pPr>
            <w:r w:rsidRPr="00FB6E71">
              <w:rPr>
                <w:rFonts w:asciiTheme="minorHAnsi" w:hAnsiTheme="minorHAnsi"/>
                <w:bCs/>
                <w:color w:val="auto"/>
                <w:sz w:val="18"/>
                <w:szCs w:val="18"/>
              </w:rPr>
              <w:t xml:space="preserve">Reconstruct/repair </w:t>
            </w:r>
            <w:r>
              <w:rPr>
                <w:rFonts w:asciiTheme="minorHAnsi" w:hAnsiTheme="minorHAnsi"/>
                <w:bCs/>
                <w:color w:val="auto"/>
                <w:sz w:val="18"/>
                <w:szCs w:val="18"/>
              </w:rPr>
              <w:t>w</w:t>
            </w:r>
            <w:r w:rsidRPr="00FB6E71">
              <w:rPr>
                <w:rFonts w:asciiTheme="minorHAnsi" w:hAnsiTheme="minorHAnsi"/>
                <w:bCs/>
                <w:color w:val="auto"/>
                <w:sz w:val="18"/>
                <w:szCs w:val="18"/>
              </w:rPr>
              <w:t>ater infrastructure in communities, institutions</w:t>
            </w:r>
            <w:r>
              <w:rPr>
                <w:rFonts w:asciiTheme="minorHAnsi" w:hAnsiTheme="minorHAnsi"/>
                <w:bCs/>
                <w:color w:val="auto"/>
                <w:sz w:val="18"/>
                <w:szCs w:val="18"/>
              </w:rPr>
              <w:t>,</w:t>
            </w:r>
            <w:r w:rsidRPr="00FB6E71">
              <w:rPr>
                <w:rFonts w:asciiTheme="minorHAnsi" w:hAnsiTheme="minorHAnsi"/>
                <w:bCs/>
                <w:color w:val="auto"/>
                <w:sz w:val="18"/>
                <w:szCs w:val="18"/>
              </w:rPr>
              <w:t xml:space="preserve"> and public buildings</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7,575,379</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35,580,479</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3,691,800</w:t>
            </w:r>
          </w:p>
        </w:tc>
        <w:tc>
          <w:tcPr>
            <w:tcW w:w="1345" w:type="dxa"/>
            <w:shd w:val="clear" w:color="auto" w:fill="auto"/>
            <w:noWrap/>
            <w:vAlign w:val="center"/>
            <w:hideMark/>
          </w:tcPr>
          <w:p w:rsidR="007F2DE7" w:rsidRPr="00FB6E71" w:rsidP="007F2DE7">
            <w:pPr>
              <w:keepNext/>
              <w:jc w:val="right"/>
              <w:rPr>
                <w:rFonts w:asciiTheme="minorHAnsi" w:hAnsiTheme="minorHAnsi"/>
                <w:b/>
                <w:bCs/>
                <w:color w:val="auto"/>
                <w:sz w:val="18"/>
                <w:szCs w:val="18"/>
              </w:rPr>
            </w:pPr>
            <w:r>
              <w:rPr>
                <w:rFonts w:ascii="Calibri" w:hAnsi="Calibri"/>
                <w:b/>
                <w:bCs/>
                <w:sz w:val="18"/>
                <w:szCs w:val="18"/>
              </w:rPr>
              <w:t>46,847,658</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widowControl/>
              <w:rPr>
                <w:rFonts w:asciiTheme="minorHAnsi" w:hAnsiTheme="minorHAnsi"/>
                <w:bCs/>
                <w:color w:val="auto"/>
                <w:sz w:val="18"/>
                <w:szCs w:val="18"/>
              </w:rPr>
            </w:pPr>
            <w:r w:rsidRPr="00FB6E71">
              <w:rPr>
                <w:rFonts w:asciiTheme="minorHAnsi" w:hAnsiTheme="minorHAnsi"/>
                <w:bCs/>
                <w:color w:val="auto"/>
                <w:sz w:val="18"/>
                <w:szCs w:val="18"/>
              </w:rPr>
              <w:t xml:space="preserve">Solid </w:t>
            </w:r>
            <w:r>
              <w:rPr>
                <w:rFonts w:asciiTheme="minorHAnsi" w:hAnsiTheme="minorHAnsi"/>
                <w:bCs/>
                <w:color w:val="auto"/>
                <w:sz w:val="18"/>
                <w:szCs w:val="18"/>
              </w:rPr>
              <w:t>w</w:t>
            </w:r>
            <w:r w:rsidRPr="00FB6E71">
              <w:rPr>
                <w:rFonts w:asciiTheme="minorHAnsi" w:hAnsiTheme="minorHAnsi"/>
                <w:bCs/>
                <w:color w:val="auto"/>
                <w:sz w:val="18"/>
                <w:szCs w:val="18"/>
              </w:rPr>
              <w:t xml:space="preserve">aste </w:t>
            </w:r>
            <w:r>
              <w:rPr>
                <w:rFonts w:asciiTheme="minorHAnsi" w:hAnsiTheme="minorHAnsi"/>
                <w:bCs/>
                <w:color w:val="auto"/>
                <w:sz w:val="18"/>
                <w:szCs w:val="18"/>
              </w:rPr>
              <w:t>m</w:t>
            </w:r>
            <w:r w:rsidRPr="00FB6E71">
              <w:rPr>
                <w:rFonts w:asciiTheme="minorHAnsi" w:hAnsiTheme="minorHAnsi"/>
                <w:bCs/>
                <w:color w:val="auto"/>
                <w:sz w:val="18"/>
                <w:szCs w:val="18"/>
              </w:rPr>
              <w:t xml:space="preserve">anagement </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3,977,053</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20,677,399</w:t>
            </w:r>
          </w:p>
        </w:tc>
        <w:tc>
          <w:tcPr>
            <w:tcW w:w="1170" w:type="dxa"/>
            <w:shd w:val="clear" w:color="auto" w:fill="auto"/>
            <w:noWrap/>
            <w:vAlign w:val="center"/>
            <w:hideMark/>
          </w:tcPr>
          <w:p w:rsidR="007F2DE7" w:rsidRPr="00FB6E71" w:rsidP="007F2DE7">
            <w:pPr>
              <w:keepNext/>
              <w:jc w:val="right"/>
              <w:rPr>
                <w:rFonts w:asciiTheme="minorHAnsi" w:hAnsiTheme="minorHAnsi"/>
                <w:bCs/>
                <w:color w:val="auto"/>
                <w:sz w:val="18"/>
                <w:szCs w:val="18"/>
              </w:rPr>
            </w:pPr>
            <w:r w:rsidRPr="00FB6E71">
              <w:rPr>
                <w:rFonts w:asciiTheme="minorHAnsi" w:hAnsiTheme="minorHAnsi"/>
                <w:bCs/>
                <w:color w:val="auto"/>
                <w:sz w:val="18"/>
                <w:szCs w:val="18"/>
              </w:rPr>
              <w:t>3,294,764</w:t>
            </w:r>
          </w:p>
        </w:tc>
        <w:tc>
          <w:tcPr>
            <w:tcW w:w="1345" w:type="dxa"/>
            <w:shd w:val="clear" w:color="auto" w:fill="auto"/>
            <w:noWrap/>
            <w:vAlign w:val="center"/>
            <w:hideMark/>
          </w:tcPr>
          <w:p w:rsidR="007F2DE7" w:rsidRPr="00FB6E71" w:rsidP="007F2DE7">
            <w:pPr>
              <w:keepNext/>
              <w:jc w:val="right"/>
              <w:rPr>
                <w:rFonts w:asciiTheme="minorHAnsi" w:hAnsiTheme="minorHAnsi"/>
                <w:b/>
                <w:bCs/>
                <w:color w:val="auto"/>
                <w:sz w:val="18"/>
                <w:szCs w:val="18"/>
              </w:rPr>
            </w:pPr>
            <w:r>
              <w:rPr>
                <w:rFonts w:ascii="Calibri" w:hAnsi="Calibri"/>
                <w:b/>
                <w:bCs/>
                <w:sz w:val="18"/>
                <w:szCs w:val="18"/>
              </w:rPr>
              <w:t>27,949,216</w:t>
            </w:r>
          </w:p>
        </w:tc>
      </w:tr>
      <w:tr w:rsidTr="007F2DE7">
        <w:tblPrEx>
          <w:tblW w:w="5000" w:type="pct"/>
          <w:jc w:val="center"/>
          <w:tblLook w:val="04A0"/>
        </w:tblPrEx>
        <w:trPr>
          <w:cantSplit/>
          <w:trHeight w:val="20"/>
          <w:jc w:val="center"/>
        </w:trPr>
        <w:tc>
          <w:tcPr>
            <w:tcW w:w="4495" w:type="dxa"/>
            <w:shd w:val="clear" w:color="auto" w:fill="EDEDED" w:themeFill="accent3" w:themeFillTint="33"/>
            <w:hideMark/>
          </w:tcPr>
          <w:p w:rsidR="007F2DE7" w:rsidRPr="00FB6E71" w:rsidP="007F2DE7">
            <w:pPr>
              <w:widowControl/>
              <w:rPr>
                <w:rFonts w:asciiTheme="minorHAnsi" w:hAnsiTheme="minorHAnsi"/>
                <w:b/>
                <w:bCs/>
                <w:color w:val="auto"/>
                <w:sz w:val="18"/>
                <w:szCs w:val="18"/>
              </w:rPr>
            </w:pPr>
            <w:r w:rsidRPr="00FB6E71">
              <w:rPr>
                <w:rFonts w:asciiTheme="minorHAnsi" w:hAnsiTheme="minorHAnsi"/>
                <w:b/>
                <w:bCs/>
                <w:color w:val="auto"/>
                <w:sz w:val="18"/>
                <w:szCs w:val="18"/>
              </w:rPr>
              <w:t xml:space="preserve">Sector </w:t>
            </w:r>
            <w:r>
              <w:rPr>
                <w:rFonts w:asciiTheme="minorHAnsi" w:hAnsiTheme="minorHAnsi"/>
                <w:b/>
                <w:bCs/>
                <w:color w:val="auto"/>
                <w:sz w:val="18"/>
                <w:szCs w:val="18"/>
              </w:rPr>
              <w:t>t</w:t>
            </w:r>
            <w:r w:rsidRPr="00FB6E71">
              <w:rPr>
                <w:rFonts w:asciiTheme="minorHAnsi" w:hAnsiTheme="minorHAnsi"/>
                <w:b/>
                <w:bCs/>
                <w:color w:val="auto"/>
                <w:sz w:val="18"/>
                <w:szCs w:val="18"/>
              </w:rPr>
              <w:t>otal</w:t>
            </w:r>
          </w:p>
        </w:tc>
        <w:tc>
          <w:tcPr>
            <w:tcW w:w="1170" w:type="dxa"/>
            <w:shd w:val="clear" w:color="auto" w:fill="EDEDED" w:themeFill="accent3" w:themeFillTint="33"/>
            <w:noWrap/>
            <w:vAlign w:val="center"/>
            <w:hideMark/>
          </w:tcPr>
          <w:p w:rsidR="007F2DE7" w:rsidRPr="00FB6E71" w:rsidP="007F2DE7">
            <w:pPr>
              <w:keepNext/>
              <w:jc w:val="right"/>
              <w:rPr>
                <w:rFonts w:asciiTheme="minorHAnsi" w:hAnsiTheme="minorHAnsi"/>
                <w:b/>
                <w:bCs/>
                <w:color w:val="auto"/>
                <w:sz w:val="18"/>
                <w:szCs w:val="18"/>
              </w:rPr>
            </w:pPr>
            <w:r w:rsidRPr="00FB6E71">
              <w:rPr>
                <w:rFonts w:asciiTheme="minorHAnsi" w:hAnsiTheme="minorHAnsi"/>
                <w:b/>
                <w:bCs/>
                <w:color w:val="auto"/>
                <w:sz w:val="18"/>
                <w:szCs w:val="18"/>
              </w:rPr>
              <w:t>29,867,607</w:t>
            </w:r>
          </w:p>
        </w:tc>
        <w:tc>
          <w:tcPr>
            <w:tcW w:w="1170" w:type="dxa"/>
            <w:shd w:val="clear" w:color="auto" w:fill="EDEDED" w:themeFill="accent3" w:themeFillTint="33"/>
            <w:noWrap/>
            <w:vAlign w:val="center"/>
            <w:hideMark/>
          </w:tcPr>
          <w:p w:rsidR="007F2DE7" w:rsidRPr="00FB6E71" w:rsidP="007F2DE7">
            <w:pPr>
              <w:keepNext/>
              <w:jc w:val="right"/>
              <w:rPr>
                <w:rFonts w:asciiTheme="minorHAnsi" w:hAnsiTheme="minorHAnsi"/>
                <w:b/>
                <w:bCs/>
                <w:color w:val="auto"/>
                <w:sz w:val="18"/>
                <w:szCs w:val="18"/>
              </w:rPr>
            </w:pPr>
            <w:r w:rsidRPr="00FB6E71">
              <w:rPr>
                <w:rFonts w:asciiTheme="minorHAnsi" w:hAnsiTheme="minorHAnsi"/>
                <w:b/>
                <w:bCs/>
                <w:color w:val="auto"/>
                <w:sz w:val="18"/>
                <w:szCs w:val="18"/>
              </w:rPr>
              <w:t>136,000,460</w:t>
            </w:r>
          </w:p>
        </w:tc>
        <w:tc>
          <w:tcPr>
            <w:tcW w:w="1170" w:type="dxa"/>
            <w:shd w:val="clear" w:color="auto" w:fill="EDEDED" w:themeFill="accent3" w:themeFillTint="33"/>
            <w:noWrap/>
            <w:vAlign w:val="center"/>
            <w:hideMark/>
          </w:tcPr>
          <w:p w:rsidR="007F2DE7" w:rsidRPr="00FB6E71" w:rsidP="007F2DE7">
            <w:pPr>
              <w:keepNext/>
              <w:jc w:val="right"/>
              <w:rPr>
                <w:rFonts w:asciiTheme="minorHAnsi" w:hAnsiTheme="minorHAnsi"/>
                <w:b/>
                <w:bCs/>
                <w:color w:val="auto"/>
                <w:sz w:val="18"/>
                <w:szCs w:val="18"/>
              </w:rPr>
            </w:pPr>
            <w:r w:rsidRPr="00FB6E71">
              <w:rPr>
                <w:rFonts w:asciiTheme="minorHAnsi" w:hAnsiTheme="minorHAnsi"/>
                <w:b/>
                <w:bCs/>
                <w:color w:val="auto"/>
                <w:sz w:val="18"/>
                <w:szCs w:val="18"/>
              </w:rPr>
              <w:t>20,506,733</w:t>
            </w:r>
          </w:p>
        </w:tc>
        <w:tc>
          <w:tcPr>
            <w:tcW w:w="1345" w:type="dxa"/>
            <w:shd w:val="clear" w:color="auto" w:fill="EDEDED" w:themeFill="accent3" w:themeFillTint="33"/>
            <w:noWrap/>
            <w:vAlign w:val="center"/>
            <w:hideMark/>
          </w:tcPr>
          <w:p w:rsidR="007F2DE7" w:rsidRPr="00FB6E71" w:rsidP="007F2DE7">
            <w:pPr>
              <w:keepNext/>
              <w:jc w:val="right"/>
              <w:rPr>
                <w:rFonts w:asciiTheme="minorHAnsi" w:hAnsiTheme="minorHAnsi"/>
                <w:b/>
                <w:bCs/>
                <w:color w:val="auto"/>
                <w:sz w:val="18"/>
                <w:szCs w:val="18"/>
              </w:rPr>
            </w:pPr>
            <w:r>
              <w:rPr>
                <w:rFonts w:ascii="Calibri" w:hAnsi="Calibri"/>
                <w:b/>
                <w:bCs/>
                <w:sz w:val="18"/>
                <w:szCs w:val="18"/>
              </w:rPr>
              <w:t>186,374,800</w:t>
            </w:r>
          </w:p>
        </w:tc>
      </w:tr>
    </w:tbl>
    <w:p w:rsidR="007F2DE7" w:rsidRPr="00E2523F" w:rsidP="007F2DE7">
      <w:pPr>
        <w:pStyle w:val="ListParagraph"/>
        <w:widowControl/>
        <w:spacing w:after="240"/>
        <w:ind w:left="0"/>
        <w:contextualSpacing w:val="0"/>
        <w:rPr>
          <w:rFonts w:asciiTheme="minorHAnsi" w:hAnsiTheme="minorHAnsi"/>
          <w:bCs/>
          <w:color w:val="auto"/>
          <w:sz w:val="18"/>
          <w:szCs w:val="18"/>
        </w:rPr>
      </w:pPr>
      <w:r w:rsidRPr="00E2523F">
        <w:rPr>
          <w:rFonts w:asciiTheme="minorHAnsi" w:hAnsiTheme="minorHAnsi"/>
          <w:bCs/>
          <w:i/>
          <w:color w:val="auto"/>
          <w:sz w:val="18"/>
          <w:szCs w:val="18"/>
        </w:rPr>
        <w:t>Source:</w:t>
      </w:r>
      <w:r w:rsidRPr="00E2523F">
        <w:rPr>
          <w:rFonts w:asciiTheme="minorHAnsi" w:hAnsiTheme="minorHAnsi"/>
          <w:bCs/>
          <w:color w:val="auto"/>
          <w:sz w:val="18"/>
          <w:szCs w:val="18"/>
        </w:rPr>
        <w:t xml:space="preserve"> RPBA 2016</w:t>
      </w:r>
      <w:r>
        <w:rPr>
          <w:rFonts w:asciiTheme="minorHAnsi" w:hAnsiTheme="minorHAnsi"/>
          <w:bCs/>
          <w:color w:val="auto"/>
          <w:sz w:val="18"/>
          <w:szCs w:val="18"/>
        </w:rPr>
        <w: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Interventions planned</w:t>
      </w:r>
      <w:r>
        <w:rPr>
          <w:rFonts w:asciiTheme="minorHAnsi" w:hAnsiTheme="minorHAnsi"/>
          <w:b/>
          <w:bCs/>
          <w:color w:val="auto"/>
          <w:sz w:val="22"/>
          <w:szCs w:val="22"/>
        </w:rPr>
        <w:t>.</w:t>
      </w:r>
      <w:r w:rsidRPr="00FB6E71">
        <w:rPr>
          <w:rFonts w:asciiTheme="minorHAnsi" w:hAnsiTheme="minorHAnsi"/>
          <w:bCs/>
          <w:color w:val="auto"/>
          <w:sz w:val="22"/>
          <w:szCs w:val="22"/>
        </w:rPr>
        <w:t xml:space="preserve"> This subcomponent will finance WASH activities in areas hosting IDP as well as those experiencing IDP returns. This will include the reconstruction and repair of selected water supply, </w:t>
      </w:r>
      <w:r w:rsidRPr="00FB6E71">
        <w:rPr>
          <w:rFonts w:ascii="Calibri" w:eastAsia="MS Mincho" w:hAnsi="Calibri" w:cs="Times New Roman"/>
          <w:bCs/>
          <w:color w:val="auto"/>
          <w:sz w:val="22"/>
          <w:szCs w:val="22"/>
        </w:rPr>
        <w:t>sanitation</w:t>
      </w:r>
      <w:r>
        <w:rPr>
          <w:rFonts w:ascii="Calibri" w:eastAsia="MS Mincho" w:hAnsi="Calibri" w:cs="Times New Roman"/>
          <w:bCs/>
          <w:color w:val="auto"/>
          <w:sz w:val="22"/>
          <w:szCs w:val="22"/>
        </w:rPr>
        <w:t>,</w:t>
      </w:r>
      <w:r w:rsidRPr="00FB6E71">
        <w:rPr>
          <w:rFonts w:asciiTheme="minorHAnsi" w:hAnsiTheme="minorHAnsi"/>
          <w:bCs/>
          <w:color w:val="auto"/>
          <w:sz w:val="22"/>
          <w:szCs w:val="22"/>
        </w:rPr>
        <w:t xml:space="preserve"> and solid waste management infrastructure and </w:t>
      </w:r>
      <w:r>
        <w:rPr>
          <w:rFonts w:asciiTheme="minorHAnsi" w:hAnsiTheme="minorHAnsi"/>
          <w:bCs/>
          <w:color w:val="auto"/>
          <w:sz w:val="22"/>
          <w:szCs w:val="22"/>
        </w:rPr>
        <w:t xml:space="preserve">the </w:t>
      </w:r>
      <w:r w:rsidRPr="00FB6E71">
        <w:rPr>
          <w:rFonts w:asciiTheme="minorHAnsi" w:hAnsiTheme="minorHAnsi"/>
          <w:bCs/>
          <w:color w:val="auto"/>
          <w:sz w:val="22"/>
          <w:szCs w:val="22"/>
        </w:rPr>
        <w:t>corresponding service delivery restoration. Project WASH investments are expected to concentrate on urban and peri-urban service areas, including IDP settlements, amenable to permanent or temporary utility service. The project will make provisions for operational maintenance budget to ensure the sustainability of the operations after reconstruction and rehabilitation of water infrastructure.</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Complementarity with other World Bank AF.</w:t>
      </w:r>
      <w:r w:rsidRPr="00FB6E71">
        <w:rPr>
          <w:rFonts w:asciiTheme="minorHAnsi" w:hAnsiTheme="minorHAnsi"/>
          <w:bCs/>
          <w:color w:val="auto"/>
          <w:sz w:val="22"/>
          <w:szCs w:val="22"/>
        </w:rPr>
        <w:t xml:space="preserve"> WASH facilities could be one area where some overlap could exist between the MCRP and the CSDP that supports the empowerment of communities to develop, implement, and monitor micro social infrastructure projects. Efforts will be made to ensure that activities are well coordinated across these projects while avoiding both gaps and </w:t>
      </w:r>
      <w:r w:rsidRPr="00FB6E71">
        <w:rPr>
          <w:rFonts w:ascii="Calibri" w:eastAsia="MS Mincho" w:hAnsi="Calibri" w:cs="Times New Roman"/>
          <w:bCs/>
          <w:color w:val="auto"/>
          <w:sz w:val="22"/>
          <w:szCs w:val="22"/>
        </w:rPr>
        <w:t>overlaps</w:t>
      </w:r>
      <w:r w:rsidRPr="00FB6E71">
        <w:rPr>
          <w:rFonts w:asciiTheme="minorHAnsi" w:hAnsiTheme="minorHAnsi"/>
          <w:bCs/>
          <w:color w:val="auto"/>
          <w:sz w:val="22"/>
          <w:szCs w:val="22"/>
        </w:rPr>
        <w: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Complementarity with other development partners</w:t>
      </w:r>
      <w:r>
        <w:rPr>
          <w:rFonts w:asciiTheme="minorHAnsi" w:hAnsiTheme="minorHAnsi"/>
          <w:b/>
          <w:bCs/>
          <w:color w:val="auto"/>
          <w:sz w:val="22"/>
          <w:szCs w:val="22"/>
        </w:rPr>
        <w:t>.</w:t>
      </w:r>
      <w:r w:rsidRPr="00FB6E71">
        <w:rPr>
          <w:rFonts w:asciiTheme="minorHAnsi" w:hAnsiTheme="minorHAnsi"/>
          <w:bCs/>
          <w:color w:val="auto"/>
          <w:sz w:val="22"/>
          <w:szCs w:val="22"/>
        </w:rPr>
        <w:t xml:space="preserve"> The AfDB is planning to provide US$137 million to finance rural water and sanitation services recovery and development, including the reconstruction and rehabilitation of water and sanitation infrastructure in 6,872 communities; rehabilitation and reconstruction of water and sanitation infrastructure in 817 schools and 172 health facilities; construction of 10 multipurpose mini dams to serve as sources of water supply/irrigation; recovery of </w:t>
      </w:r>
      <w:r w:rsidRPr="00FB6E71">
        <w:rPr>
          <w:rFonts w:ascii="Calibri" w:eastAsia="MS Mincho" w:hAnsi="Calibri" w:cs="Times New Roman"/>
          <w:bCs/>
          <w:color w:val="auto"/>
          <w:sz w:val="22"/>
          <w:szCs w:val="22"/>
        </w:rPr>
        <w:t>sanitation</w:t>
      </w:r>
      <w:r w:rsidRPr="00FB6E71">
        <w:rPr>
          <w:rFonts w:asciiTheme="minorHAnsi" w:hAnsiTheme="minorHAnsi"/>
          <w:bCs/>
          <w:color w:val="auto"/>
          <w:sz w:val="22"/>
          <w:szCs w:val="22"/>
        </w:rPr>
        <w:t xml:space="preserve"> facilities in public spaces (70 markets and motor parks); and capacity-building activities to WASH units at the LGA level</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 xml:space="preserve">setting up of </w:t>
      </w:r>
      <w:r w:rsidRPr="00FB6E71">
        <w:rPr>
          <w:rFonts w:asciiTheme="minorHAnsi" w:hAnsiTheme="minorHAnsi"/>
          <w:bCs/>
          <w:color w:val="auto"/>
          <w:sz w:val="22"/>
          <w:szCs w:val="22"/>
        </w:rPr>
        <w:t>Water, Sanitation, and Hygiene Committees</w:t>
      </w:r>
      <w:r>
        <w:rPr>
          <w:rFonts w:asciiTheme="minorHAnsi" w:hAnsiTheme="minorHAnsi"/>
          <w:bCs/>
          <w:color w:val="auto"/>
          <w:sz w:val="22"/>
          <w:szCs w:val="22"/>
        </w:rPr>
        <w:t>;</w:t>
      </w:r>
      <w:r w:rsidRPr="00FB6E71">
        <w:rPr>
          <w:rFonts w:asciiTheme="minorHAnsi" w:hAnsiTheme="minorHAnsi"/>
          <w:bCs/>
          <w:color w:val="auto"/>
          <w:sz w:val="22"/>
          <w:szCs w:val="22"/>
        </w:rPr>
        <w:t xml:space="preserve"> training of artisans</w:t>
      </w:r>
      <w:r>
        <w:rPr>
          <w:rFonts w:asciiTheme="minorHAnsi" w:hAnsiTheme="minorHAnsi"/>
          <w:bCs/>
          <w:color w:val="auto"/>
          <w:sz w:val="22"/>
          <w:szCs w:val="22"/>
        </w:rPr>
        <w:t>;</w:t>
      </w:r>
      <w:r w:rsidRPr="00FB6E71">
        <w:rPr>
          <w:rFonts w:asciiTheme="minorHAnsi" w:hAnsiTheme="minorHAnsi"/>
          <w:bCs/>
          <w:color w:val="auto"/>
          <w:sz w:val="22"/>
          <w:szCs w:val="22"/>
        </w:rPr>
        <w:t xml:space="preserve"> and establishment of supply chains. Coordination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AfDB will ensure that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design and implementation of water and sanitation interventions as part of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MCRP will be coordinated to avoid overlap of activities and maximize comparative advantages in the sector between these two institutions. By the same token, earlier consultations with the IsDB have revealed that </w:t>
      </w:r>
      <w:r>
        <w:rPr>
          <w:rFonts w:asciiTheme="minorHAnsi" w:hAnsiTheme="minorHAnsi"/>
          <w:bCs/>
          <w:color w:val="auto"/>
          <w:sz w:val="22"/>
          <w:szCs w:val="22"/>
        </w:rPr>
        <w:t xml:space="preserve">the </w:t>
      </w:r>
      <w:r w:rsidRPr="00FB6E71">
        <w:rPr>
          <w:rFonts w:asciiTheme="minorHAnsi" w:hAnsiTheme="minorHAnsi"/>
          <w:bCs/>
          <w:color w:val="auto"/>
          <w:sz w:val="22"/>
          <w:szCs w:val="22"/>
        </w:rPr>
        <w:t>IsDB is also interested in financing the recovery of WASH sectors in the NE in their future project(s). Hence</w:t>
      </w:r>
      <w:r>
        <w:rPr>
          <w:rFonts w:asciiTheme="minorHAnsi" w:hAnsiTheme="minorHAnsi"/>
          <w:bCs/>
          <w:color w:val="auto"/>
          <w:sz w:val="22"/>
          <w:szCs w:val="22"/>
        </w:rPr>
        <w:t>,</w:t>
      </w:r>
      <w:r w:rsidRPr="00FB6E71">
        <w:rPr>
          <w:rFonts w:asciiTheme="minorHAnsi" w:hAnsiTheme="minorHAnsi"/>
          <w:bCs/>
          <w:color w:val="auto"/>
          <w:sz w:val="22"/>
          <w:szCs w:val="22"/>
        </w:rPr>
        <w:t xml:space="preserve"> adequate coordination and complementarity between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MCRP and IsDB operations will be ensured to avoid gaps and overlaps. </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 xml:space="preserve">Rehabilitation of </w:t>
      </w:r>
      <w:r>
        <w:rPr>
          <w:rFonts w:asciiTheme="minorHAnsi" w:hAnsiTheme="minorHAnsi"/>
          <w:bCs/>
          <w:i/>
          <w:color w:val="auto"/>
          <w:sz w:val="22"/>
          <w:szCs w:val="22"/>
        </w:rPr>
        <w:t>S</w:t>
      </w:r>
      <w:r w:rsidRPr="00FB6E71">
        <w:rPr>
          <w:rFonts w:asciiTheme="minorHAnsi" w:hAnsiTheme="minorHAnsi"/>
          <w:bCs/>
          <w:i/>
          <w:color w:val="auto"/>
          <w:sz w:val="22"/>
          <w:szCs w:val="22"/>
        </w:rPr>
        <w:t xml:space="preserve">chools and </w:t>
      </w:r>
      <w:r>
        <w:rPr>
          <w:rFonts w:asciiTheme="minorHAnsi" w:hAnsiTheme="minorHAnsi"/>
          <w:bCs/>
          <w:i/>
          <w:color w:val="auto"/>
          <w:sz w:val="22"/>
          <w:szCs w:val="22"/>
        </w:rPr>
        <w:t>E</w:t>
      </w:r>
      <w:r w:rsidRPr="00FB6E71">
        <w:rPr>
          <w:rFonts w:asciiTheme="minorHAnsi" w:hAnsiTheme="minorHAnsi"/>
          <w:bCs/>
          <w:i/>
          <w:color w:val="auto"/>
          <w:sz w:val="22"/>
          <w:szCs w:val="22"/>
        </w:rPr>
        <w:t xml:space="preserve">ducation </w:t>
      </w:r>
      <w:r>
        <w:rPr>
          <w:rFonts w:asciiTheme="minorHAnsi" w:hAnsiTheme="minorHAnsi"/>
          <w:bCs/>
          <w:i/>
          <w:color w:val="auto"/>
          <w:sz w:val="22"/>
          <w:szCs w:val="22"/>
        </w:rPr>
        <w:t>S</w:t>
      </w:r>
      <w:r w:rsidRPr="00FB6E71">
        <w:rPr>
          <w:rFonts w:asciiTheme="minorHAnsi" w:hAnsiTheme="minorHAnsi"/>
          <w:bCs/>
          <w:i/>
          <w:color w:val="auto"/>
          <w:sz w:val="22"/>
          <w:szCs w:val="22"/>
        </w:rPr>
        <w:t xml:space="preserve">ervice </w:t>
      </w:r>
      <w:r>
        <w:rPr>
          <w:rFonts w:asciiTheme="minorHAnsi" w:hAnsiTheme="minorHAnsi"/>
          <w:bCs/>
          <w:i/>
          <w:color w:val="auto"/>
          <w:sz w:val="22"/>
          <w:szCs w:val="22"/>
        </w:rPr>
        <w:t>D</w:t>
      </w:r>
      <w:r w:rsidRPr="00FB6E71">
        <w:rPr>
          <w:rFonts w:asciiTheme="minorHAnsi" w:hAnsiTheme="minorHAnsi"/>
          <w:bCs/>
          <w:i/>
          <w:color w:val="auto"/>
          <w:sz w:val="22"/>
          <w:szCs w:val="22"/>
        </w:rPr>
        <w:t xml:space="preserve">elivery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Needs and </w:t>
      </w:r>
      <w:r>
        <w:rPr>
          <w:rFonts w:asciiTheme="minorHAnsi" w:hAnsiTheme="minorHAnsi"/>
          <w:b/>
          <w:bCs/>
          <w:color w:val="auto"/>
          <w:sz w:val="22"/>
          <w:szCs w:val="22"/>
        </w:rPr>
        <w:t>r</w:t>
      </w:r>
      <w:r w:rsidRPr="00FB6E71">
        <w:rPr>
          <w:rFonts w:asciiTheme="minorHAnsi" w:hAnsiTheme="minorHAnsi"/>
          <w:b/>
          <w:bCs/>
          <w:color w:val="auto"/>
          <w:sz w:val="22"/>
          <w:szCs w:val="22"/>
        </w:rPr>
        <w:t xml:space="preserve">ecovery </w:t>
      </w:r>
      <w:r>
        <w:rPr>
          <w:rFonts w:asciiTheme="minorHAnsi" w:hAnsiTheme="minorHAnsi"/>
          <w:b/>
          <w:bCs/>
          <w:color w:val="auto"/>
          <w:sz w:val="22"/>
          <w:szCs w:val="22"/>
        </w:rPr>
        <w:t>s</w:t>
      </w:r>
      <w:r w:rsidRPr="00FB6E71">
        <w:rPr>
          <w:rFonts w:asciiTheme="minorHAnsi" w:hAnsiTheme="minorHAnsi"/>
          <w:b/>
          <w:bCs/>
          <w:color w:val="auto"/>
          <w:sz w:val="22"/>
          <w:szCs w:val="22"/>
        </w:rPr>
        <w:t xml:space="preserve">trategy for the </w:t>
      </w:r>
      <w:r>
        <w:rPr>
          <w:rFonts w:asciiTheme="minorHAnsi" w:hAnsiTheme="minorHAnsi"/>
          <w:b/>
          <w:bCs/>
          <w:color w:val="auto"/>
          <w:sz w:val="22"/>
          <w:szCs w:val="22"/>
        </w:rPr>
        <w:t>e</w:t>
      </w:r>
      <w:r w:rsidRPr="00FB6E71">
        <w:rPr>
          <w:rFonts w:asciiTheme="minorHAnsi" w:hAnsiTheme="minorHAnsi"/>
          <w:b/>
          <w:bCs/>
          <w:color w:val="auto"/>
          <w:sz w:val="22"/>
          <w:szCs w:val="22"/>
        </w:rPr>
        <w:t>ducation sector under the RPBA</w:t>
      </w:r>
      <w:r>
        <w:rPr>
          <w:rFonts w:asciiTheme="minorHAnsi" w:hAnsiTheme="minorHAnsi"/>
          <w:b/>
          <w:bCs/>
          <w:color w:val="auto"/>
          <w:sz w:val="22"/>
          <w:szCs w:val="22"/>
        </w:rPr>
        <w:t>.</w:t>
      </w:r>
      <w:r w:rsidRPr="00FB6E71">
        <w:rPr>
          <w:rFonts w:asciiTheme="minorHAnsi" w:hAnsiTheme="minorHAnsi"/>
          <w:bCs/>
          <w:color w:val="auto"/>
          <w:sz w:val="22"/>
          <w:szCs w:val="22"/>
        </w:rPr>
        <w:t xml:space="preserve"> The BH conflict has had a particularly high impact on the education and vocational training systems. Schools were damaged and destroyed, </w:t>
      </w:r>
      <w:r w:rsidRPr="00FB6E71">
        <w:rPr>
          <w:rFonts w:ascii="Calibri" w:eastAsia="MS Mincho" w:hAnsi="Calibri" w:cs="Times New Roman"/>
          <w:bCs/>
          <w:color w:val="auto"/>
          <w:sz w:val="22"/>
          <w:szCs w:val="22"/>
        </w:rPr>
        <w:t>teachers</w:t>
      </w:r>
      <w:r w:rsidRPr="00FB6E71">
        <w:rPr>
          <w:rFonts w:asciiTheme="minorHAnsi" w:hAnsiTheme="minorHAnsi"/>
          <w:bCs/>
          <w:color w:val="auto"/>
          <w:sz w:val="22"/>
          <w:szCs w:val="22"/>
        </w:rPr>
        <w:t xml:space="preserve"> were threatened and in some cases killed, and schools were transformed into shelters for IDP. For the reconstruction and recovery of the education sector to occur as efficiently as possible, a concerted effort across federal, state, and local government actors will be necessary. The total needs for the education sector in the three states estimated by the RPBA are listed </w:t>
      </w:r>
      <w:r>
        <w:rPr>
          <w:rFonts w:asciiTheme="minorHAnsi" w:hAnsiTheme="minorHAnsi"/>
          <w:bCs/>
          <w:color w:val="auto"/>
          <w:sz w:val="22"/>
          <w:szCs w:val="22"/>
        </w:rPr>
        <w:t xml:space="preserve">in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_Ref475641669 \h  \* MERGEFORMAT </w:instrText>
      </w:r>
      <w:r>
        <w:rPr>
          <w:rFonts w:asciiTheme="minorHAnsi" w:hAnsiTheme="minorHAnsi"/>
          <w:bCs/>
          <w:color w:val="auto"/>
          <w:sz w:val="22"/>
          <w:szCs w:val="22"/>
        </w:rPr>
        <w:fldChar w:fldCharType="separate"/>
      </w:r>
      <w:r w:rsidRPr="00CA0480">
        <w:rPr>
          <w:rFonts w:asciiTheme="minorHAnsi" w:hAnsiTheme="minorHAnsi"/>
          <w:bCs/>
          <w:color w:val="auto"/>
          <w:sz w:val="22"/>
          <w:szCs w:val="22"/>
        </w:rPr>
        <w:t>table 1.4</w:t>
      </w:r>
      <w:r>
        <w:rPr>
          <w:rFonts w:asciiTheme="minorHAnsi" w:hAnsiTheme="minorHAnsi"/>
          <w:bCs/>
          <w:color w:val="auto"/>
          <w:sz w:val="22"/>
          <w:szCs w:val="22"/>
        </w:rPr>
        <w:fldChar w:fldCharType="end"/>
      </w:r>
      <w:r w:rsidRPr="00FB6E71">
        <w:rPr>
          <w:rFonts w:asciiTheme="minorHAnsi" w:hAnsiTheme="minorHAnsi"/>
          <w:bCs/>
          <w:color w:val="auto"/>
          <w:sz w:val="22"/>
          <w:szCs w:val="22"/>
        </w:rPr>
        <w:t>:</w:t>
      </w:r>
    </w:p>
    <w:p w:rsidR="007F2DE7" w:rsidRPr="00FB6E71" w:rsidP="007F2DE7">
      <w:pPr>
        <w:pStyle w:val="Caption"/>
        <w:keepNext/>
        <w:keepLines/>
        <w:widowControl/>
        <w:spacing w:before="120" w:after="120"/>
        <w:jc w:val="center"/>
        <w:rPr>
          <w:rFonts w:asciiTheme="minorHAnsi" w:hAnsiTheme="minorHAnsi"/>
          <w:b/>
          <w:i w:val="0"/>
          <w:color w:val="auto"/>
        </w:rPr>
      </w:pPr>
      <w:bookmarkStart w:id="125" w:name="_Ref475641669"/>
      <w:r w:rsidRPr="00FB6E71">
        <w:rPr>
          <w:rFonts w:asciiTheme="minorHAnsi" w:hAnsiTheme="minorHAnsi"/>
          <w:b/>
          <w:i w:val="0"/>
          <w:color w:val="auto"/>
        </w:rPr>
        <w:t>Table 1.</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Table_1. \* ARABIC </w:instrText>
      </w:r>
      <w:r w:rsidRPr="00FB6E71">
        <w:rPr>
          <w:rFonts w:asciiTheme="minorHAnsi" w:hAnsiTheme="minorHAnsi"/>
          <w:b/>
          <w:i w:val="0"/>
          <w:color w:val="auto"/>
        </w:rPr>
        <w:fldChar w:fldCharType="separate"/>
      </w:r>
      <w:r w:rsidRPr="00FB6E71">
        <w:rPr>
          <w:rFonts w:asciiTheme="minorHAnsi" w:hAnsiTheme="minorHAnsi"/>
          <w:b/>
          <w:i w:val="0"/>
          <w:color w:val="auto"/>
        </w:rPr>
        <w:t>4</w:t>
      </w:r>
      <w:r w:rsidRPr="00FB6E71">
        <w:rPr>
          <w:rFonts w:asciiTheme="minorHAnsi" w:hAnsiTheme="minorHAnsi"/>
          <w:b/>
          <w:i w:val="0"/>
          <w:color w:val="auto"/>
        </w:rPr>
        <w:fldChar w:fldCharType="end"/>
      </w:r>
      <w:bookmarkEnd w:id="125"/>
      <w:r>
        <w:rPr>
          <w:rFonts w:asciiTheme="minorHAnsi" w:hAnsiTheme="minorHAnsi"/>
          <w:b/>
          <w:i w:val="0"/>
          <w:color w:val="auto"/>
        </w:rPr>
        <w:t>.</w:t>
      </w:r>
      <w:r w:rsidRPr="00FB6E71">
        <w:rPr>
          <w:rFonts w:asciiTheme="minorHAnsi" w:hAnsiTheme="minorHAnsi"/>
          <w:b/>
          <w:i w:val="0"/>
          <w:color w:val="auto"/>
        </w:rPr>
        <w:t xml:space="preserve"> Needs Overview in Education Sector</w:t>
      </w:r>
      <w:r>
        <w:rPr>
          <w:rFonts w:asciiTheme="minorHAnsi" w:hAnsiTheme="minorHAnsi"/>
          <w:b/>
          <w:i w:val="0"/>
          <w:color w:val="auto"/>
        </w:rPr>
        <w:t xml:space="preserve"> (US$)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5"/>
        <w:gridCol w:w="1258"/>
        <w:gridCol w:w="1262"/>
        <w:gridCol w:w="1260"/>
        <w:gridCol w:w="134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20"/>
          <w:tblHeader/>
          <w:jc w:val="center"/>
        </w:trPr>
        <w:tc>
          <w:tcPr>
            <w:tcW w:w="4225" w:type="dxa"/>
            <w:shd w:val="clear" w:color="auto" w:fill="EDEDED" w:themeFill="accent3" w:themeFillTint="33"/>
            <w:vAlign w:val="center"/>
            <w:hideMark/>
          </w:tcPr>
          <w:p w:rsidR="007F2DE7" w:rsidRPr="00FB6E71" w:rsidP="007F2DE7">
            <w:pPr>
              <w:widowControl/>
              <w:autoSpaceDE/>
              <w:autoSpaceDN/>
              <w:adjustRightInd/>
              <w:jc w:val="center"/>
              <w:rPr>
                <w:rFonts w:eastAsia="Times New Roman" w:asciiTheme="minorHAnsi" w:hAnsiTheme="minorHAnsi" w:cs="Times New Roman"/>
                <w:b/>
                <w:bCs/>
                <w:sz w:val="18"/>
                <w:szCs w:val="18"/>
                <w:lang w:eastAsia="zh-CN"/>
              </w:rPr>
            </w:pPr>
            <w:r w:rsidRPr="00FB6E71">
              <w:rPr>
                <w:rFonts w:eastAsia="Times New Roman" w:asciiTheme="minorHAnsi" w:hAnsiTheme="minorHAnsi" w:cs="Times New Roman"/>
                <w:b/>
                <w:bCs/>
                <w:sz w:val="18"/>
                <w:szCs w:val="18"/>
                <w:lang w:eastAsia="zh-CN"/>
              </w:rPr>
              <w:t xml:space="preserve">Needs by </w:t>
            </w:r>
            <w:r>
              <w:rPr>
                <w:rFonts w:eastAsia="Times New Roman" w:asciiTheme="minorHAnsi" w:hAnsiTheme="minorHAnsi" w:cs="Times New Roman"/>
                <w:b/>
                <w:bCs/>
                <w:sz w:val="18"/>
                <w:szCs w:val="18"/>
                <w:lang w:eastAsia="zh-CN"/>
              </w:rPr>
              <w:t>A</w:t>
            </w:r>
            <w:r w:rsidRPr="00FB6E71">
              <w:rPr>
                <w:rFonts w:eastAsia="Times New Roman" w:asciiTheme="minorHAnsi" w:hAnsiTheme="minorHAnsi" w:cs="Times New Roman"/>
                <w:b/>
                <w:bCs/>
                <w:sz w:val="18"/>
                <w:szCs w:val="18"/>
                <w:lang w:eastAsia="zh-CN"/>
              </w:rPr>
              <w:t>ctivity</w:t>
            </w:r>
          </w:p>
        </w:tc>
        <w:tc>
          <w:tcPr>
            <w:tcW w:w="1258" w:type="dxa"/>
            <w:shd w:val="clear" w:color="auto" w:fill="EDEDED" w:themeFill="accent3" w:themeFillTint="33"/>
            <w:noWrap/>
            <w:vAlign w:val="center"/>
          </w:tcPr>
          <w:p w:rsidR="007F2DE7" w:rsidRPr="00FB6E71" w:rsidP="007F2DE7">
            <w:pPr>
              <w:widowControl/>
              <w:autoSpaceDE/>
              <w:autoSpaceDN/>
              <w:adjustRightInd/>
              <w:jc w:val="center"/>
              <w:rPr>
                <w:rFonts w:eastAsia="Times New Roman" w:asciiTheme="minorHAnsi" w:hAnsiTheme="minorHAnsi" w:cs="Times New Roman"/>
                <w:b/>
                <w:bCs/>
                <w:sz w:val="18"/>
                <w:szCs w:val="18"/>
                <w:lang w:eastAsia="zh-CN"/>
              </w:rPr>
            </w:pPr>
            <w:r w:rsidRPr="00FB6E71">
              <w:rPr>
                <w:rFonts w:eastAsia="Times New Roman" w:asciiTheme="minorHAnsi" w:hAnsiTheme="minorHAnsi" w:cs="Times New Roman"/>
                <w:b/>
                <w:bCs/>
                <w:sz w:val="18"/>
                <w:szCs w:val="18"/>
                <w:lang w:eastAsia="zh-CN"/>
              </w:rPr>
              <w:t>Adamawa</w:t>
            </w:r>
          </w:p>
        </w:tc>
        <w:tc>
          <w:tcPr>
            <w:tcW w:w="1262" w:type="dxa"/>
            <w:shd w:val="clear" w:color="auto" w:fill="EDEDED" w:themeFill="accent3" w:themeFillTint="33"/>
            <w:noWrap/>
            <w:vAlign w:val="center"/>
          </w:tcPr>
          <w:p w:rsidR="007F2DE7" w:rsidRPr="00FB6E71" w:rsidP="007F2DE7">
            <w:pPr>
              <w:widowControl/>
              <w:autoSpaceDE/>
              <w:autoSpaceDN/>
              <w:adjustRightInd/>
              <w:jc w:val="center"/>
              <w:rPr>
                <w:rFonts w:eastAsia="Times New Roman" w:asciiTheme="minorHAnsi" w:hAnsiTheme="minorHAnsi" w:cs="Times New Roman"/>
                <w:b/>
                <w:bCs/>
                <w:sz w:val="18"/>
                <w:szCs w:val="18"/>
                <w:lang w:eastAsia="zh-CN"/>
              </w:rPr>
            </w:pPr>
            <w:r w:rsidRPr="00FB6E71">
              <w:rPr>
                <w:rFonts w:eastAsia="Times New Roman" w:asciiTheme="minorHAnsi" w:hAnsiTheme="minorHAnsi" w:cs="Times New Roman"/>
                <w:b/>
                <w:bCs/>
                <w:sz w:val="18"/>
                <w:szCs w:val="18"/>
                <w:lang w:eastAsia="zh-CN"/>
              </w:rPr>
              <w:t>Borno</w:t>
            </w:r>
          </w:p>
        </w:tc>
        <w:tc>
          <w:tcPr>
            <w:tcW w:w="1260" w:type="dxa"/>
            <w:shd w:val="clear" w:color="auto" w:fill="EDEDED" w:themeFill="accent3" w:themeFillTint="33"/>
            <w:noWrap/>
            <w:vAlign w:val="center"/>
          </w:tcPr>
          <w:p w:rsidR="007F2DE7" w:rsidRPr="00FB6E71" w:rsidP="007F2DE7">
            <w:pPr>
              <w:widowControl/>
              <w:autoSpaceDE/>
              <w:autoSpaceDN/>
              <w:adjustRightInd/>
              <w:jc w:val="center"/>
              <w:rPr>
                <w:rFonts w:eastAsia="Times New Roman" w:asciiTheme="minorHAnsi" w:hAnsiTheme="minorHAnsi" w:cs="Times New Roman"/>
                <w:b/>
                <w:bCs/>
                <w:sz w:val="18"/>
                <w:szCs w:val="18"/>
                <w:lang w:eastAsia="zh-CN"/>
              </w:rPr>
            </w:pPr>
            <w:r w:rsidRPr="00FB6E71">
              <w:rPr>
                <w:rFonts w:eastAsia="Times New Roman" w:asciiTheme="minorHAnsi" w:hAnsiTheme="minorHAnsi" w:cs="Times New Roman"/>
                <w:b/>
                <w:bCs/>
                <w:sz w:val="18"/>
                <w:szCs w:val="18"/>
                <w:lang w:eastAsia="zh-CN"/>
              </w:rPr>
              <w:t>Yobe</w:t>
            </w:r>
          </w:p>
        </w:tc>
        <w:tc>
          <w:tcPr>
            <w:tcW w:w="1345" w:type="dxa"/>
            <w:shd w:val="clear" w:color="auto" w:fill="EDEDED" w:themeFill="accent3" w:themeFillTint="33"/>
            <w:noWrap/>
            <w:vAlign w:val="center"/>
          </w:tcPr>
          <w:p w:rsidR="007F2DE7" w:rsidRPr="00FB6E71" w:rsidP="007F2DE7">
            <w:pPr>
              <w:widowControl/>
              <w:autoSpaceDE/>
              <w:autoSpaceDN/>
              <w:adjustRightInd/>
              <w:jc w:val="center"/>
              <w:rPr>
                <w:rFonts w:eastAsia="Times New Roman" w:asciiTheme="minorHAnsi" w:hAnsiTheme="minorHAnsi" w:cs="Times New Roman"/>
                <w:b/>
                <w:bCs/>
                <w:sz w:val="18"/>
                <w:szCs w:val="18"/>
                <w:lang w:eastAsia="zh-CN"/>
              </w:rPr>
            </w:pPr>
            <w:r w:rsidRPr="00FB6E71">
              <w:rPr>
                <w:rFonts w:eastAsia="Times New Roman" w:asciiTheme="minorHAnsi" w:hAnsiTheme="minorHAnsi" w:cs="Times New Roman"/>
                <w:b/>
                <w:bCs/>
                <w:sz w:val="18"/>
                <w:szCs w:val="18"/>
                <w:lang w:eastAsia="zh-CN"/>
              </w:rPr>
              <w:t>Total</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Reconstruct/repair 6-classroom block</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20,775,848</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65,875,000</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20,625,000</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107,275,848</w:t>
            </w:r>
          </w:p>
        </w:tc>
      </w:tr>
      <w:tr w:rsidTr="007F2DE7">
        <w:tblPrEx>
          <w:tblW w:w="5000" w:type="pct"/>
          <w:jc w:val="center"/>
          <w:tblLook w:val="04A0"/>
        </w:tblPrEx>
        <w:trPr>
          <w:cantSplit/>
          <w:trHeight w:val="20"/>
          <w:jc w:val="center"/>
        </w:trPr>
        <w:tc>
          <w:tcPr>
            <w:tcW w:w="4225" w:type="dxa"/>
            <w:shd w:val="clear" w:color="auto" w:fill="auto"/>
          </w:tcPr>
          <w:p w:rsidR="007F2DE7" w:rsidRPr="00FB6E71" w:rsidP="007F2DE7">
            <w:pPr>
              <w:widowControl/>
              <w:autoSpaceDE/>
              <w:autoSpaceDN/>
              <w:adjustRightInd/>
              <w:rPr>
                <w:rFonts w:asciiTheme="minorHAnsi" w:hAnsiTheme="minorHAnsi"/>
                <w:sz w:val="18"/>
                <w:szCs w:val="18"/>
              </w:rPr>
            </w:pPr>
            <w:r w:rsidRPr="00FB6E71">
              <w:rPr>
                <w:rFonts w:asciiTheme="minorHAnsi" w:hAnsiTheme="minorHAnsi"/>
                <w:sz w:val="18"/>
                <w:szCs w:val="18"/>
              </w:rPr>
              <w:t>Classroom rehabilitation</w:t>
            </w:r>
          </w:p>
        </w:tc>
        <w:tc>
          <w:tcPr>
            <w:tcW w:w="1258" w:type="dxa"/>
            <w:shd w:val="clear" w:color="auto" w:fill="auto"/>
            <w:noWrap/>
          </w:tcPr>
          <w:p w:rsidR="007F2DE7" w:rsidRPr="00FB6E71" w:rsidP="007F2DE7">
            <w:pPr>
              <w:widowControl/>
              <w:autoSpaceDE/>
              <w:autoSpaceDN/>
              <w:adjustRightInd/>
              <w:jc w:val="right"/>
              <w:rPr>
                <w:rFonts w:asciiTheme="minorHAnsi" w:hAnsiTheme="minorHAnsi"/>
                <w:sz w:val="18"/>
                <w:szCs w:val="18"/>
              </w:rPr>
            </w:pPr>
            <w:r w:rsidRPr="00FB6E71">
              <w:rPr>
                <w:rFonts w:asciiTheme="minorHAnsi" w:hAnsiTheme="minorHAnsi"/>
                <w:sz w:val="18"/>
                <w:szCs w:val="18"/>
              </w:rPr>
              <w:t>3,248,310</w:t>
            </w:r>
          </w:p>
        </w:tc>
        <w:tc>
          <w:tcPr>
            <w:tcW w:w="1262" w:type="dxa"/>
            <w:shd w:val="clear" w:color="auto" w:fill="auto"/>
            <w:noWrap/>
          </w:tcPr>
          <w:p w:rsidR="007F2DE7" w:rsidRPr="00FB6E71" w:rsidP="007F2DE7">
            <w:pPr>
              <w:widowControl/>
              <w:autoSpaceDE/>
              <w:autoSpaceDN/>
              <w:adjustRightInd/>
              <w:jc w:val="right"/>
              <w:rPr>
                <w:rFonts w:asciiTheme="minorHAnsi" w:hAnsiTheme="minorHAnsi"/>
                <w:sz w:val="18"/>
                <w:szCs w:val="18"/>
              </w:rPr>
            </w:pPr>
            <w:r w:rsidRPr="00FB6E71">
              <w:rPr>
                <w:rFonts w:asciiTheme="minorHAnsi" w:hAnsiTheme="minorHAnsi"/>
                <w:sz w:val="18"/>
                <w:szCs w:val="18"/>
              </w:rPr>
              <w:t>—</w:t>
            </w:r>
          </w:p>
        </w:tc>
        <w:tc>
          <w:tcPr>
            <w:tcW w:w="1260" w:type="dxa"/>
            <w:shd w:val="clear" w:color="auto" w:fill="auto"/>
            <w:noWrap/>
          </w:tcPr>
          <w:p w:rsidR="007F2DE7" w:rsidRPr="00FB6E71" w:rsidP="007F2DE7">
            <w:pPr>
              <w:widowControl/>
              <w:autoSpaceDE/>
              <w:autoSpaceDN/>
              <w:adjustRightInd/>
              <w:jc w:val="right"/>
              <w:rPr>
                <w:rFonts w:asciiTheme="minorHAnsi" w:hAnsiTheme="minorHAnsi"/>
                <w:sz w:val="18"/>
                <w:szCs w:val="18"/>
              </w:rPr>
            </w:pPr>
            <w:r w:rsidRPr="00FB6E71">
              <w:rPr>
                <w:rFonts w:asciiTheme="minorHAnsi" w:hAnsiTheme="minorHAnsi"/>
                <w:sz w:val="18"/>
                <w:szCs w:val="18"/>
              </w:rPr>
              <w:t>2,937,352</w:t>
            </w:r>
          </w:p>
        </w:tc>
        <w:tc>
          <w:tcPr>
            <w:tcW w:w="1345" w:type="dxa"/>
            <w:shd w:val="clear" w:color="auto" w:fill="auto"/>
            <w:noWrap/>
          </w:tcPr>
          <w:p w:rsidR="007F2DE7" w:rsidRPr="00FB6E71" w:rsidP="007F2DE7">
            <w:pPr>
              <w:widowControl/>
              <w:autoSpaceDE/>
              <w:autoSpaceDN/>
              <w:adjustRightInd/>
              <w:jc w:val="right"/>
              <w:rPr>
                <w:rFonts w:asciiTheme="minorHAnsi" w:hAnsiTheme="minorHAnsi"/>
                <w:b/>
                <w:bCs/>
                <w:sz w:val="18"/>
                <w:szCs w:val="18"/>
              </w:rPr>
            </w:pPr>
            <w:r w:rsidRPr="00FB6E71">
              <w:rPr>
                <w:rFonts w:asciiTheme="minorHAnsi" w:hAnsiTheme="minorHAnsi"/>
                <w:b/>
                <w:bCs/>
                <w:sz w:val="18"/>
                <w:szCs w:val="18"/>
              </w:rPr>
              <w:t>6,185,662</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Reconstruct/repair office blocks</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4,469,163</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9,854,599</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3,085,406</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17,409,168</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Reconstruct/repair latrines in schools (2 blocks, each 3 compartments)</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2,800,000</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6,587,500</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2,062,500</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11,450,000</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Reconstruct/repair hand pump boreholes in schools</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560,000</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1,317,500</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412,500</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2,290,000</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Reconstruct/repair motorized boreholes/overhead tanks in schools</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2,222,500</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4,611,250</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1,443,750</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8,277,500</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 xml:space="preserve">Build/repair school perimeter fences </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22,738,914</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50,139,781</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15,698,414</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88,577,109</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 xml:space="preserve">Provision of tables </w:t>
            </w:r>
            <w:r>
              <w:rPr>
                <w:rFonts w:asciiTheme="minorHAnsi" w:hAnsiTheme="minorHAnsi"/>
                <w:sz w:val="18"/>
                <w:szCs w:val="18"/>
              </w:rPr>
              <w:t>and</w:t>
            </w:r>
            <w:r w:rsidRPr="00FB6E71">
              <w:rPr>
                <w:rFonts w:asciiTheme="minorHAnsi" w:hAnsiTheme="minorHAnsi"/>
                <w:sz w:val="18"/>
                <w:szCs w:val="18"/>
              </w:rPr>
              <w:t xml:space="preserve"> chairs</w:t>
            </w:r>
            <w:r>
              <w:rPr>
                <w:rFonts w:asciiTheme="minorHAnsi" w:hAnsiTheme="minorHAnsi"/>
                <w:sz w:val="18"/>
                <w:szCs w:val="18"/>
              </w:rPr>
              <w:t xml:space="preserve"> for </w:t>
            </w:r>
            <w:r w:rsidRPr="00FB6E71">
              <w:rPr>
                <w:rFonts w:asciiTheme="minorHAnsi" w:hAnsiTheme="minorHAnsi"/>
                <w:sz w:val="18"/>
                <w:szCs w:val="18"/>
              </w:rPr>
              <w:t>teacher</w:t>
            </w:r>
            <w:r>
              <w:rPr>
                <w:rFonts w:asciiTheme="minorHAnsi" w:hAnsiTheme="minorHAnsi"/>
                <w:sz w:val="18"/>
                <w:szCs w:val="18"/>
              </w:rPr>
              <w:t>s</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91,560</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609,116</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82,795</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783,471</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sidRPr="00FB6E71">
              <w:rPr>
                <w:rFonts w:asciiTheme="minorHAnsi" w:hAnsiTheme="minorHAnsi"/>
                <w:sz w:val="18"/>
                <w:szCs w:val="18"/>
              </w:rPr>
              <w:t>Provision of seats</w:t>
            </w:r>
            <w:r>
              <w:rPr>
                <w:rFonts w:asciiTheme="minorHAnsi" w:hAnsiTheme="minorHAnsi"/>
                <w:sz w:val="18"/>
                <w:szCs w:val="18"/>
              </w:rPr>
              <w:t xml:space="preserve"> for </w:t>
            </w:r>
            <w:r w:rsidRPr="00FB6E71">
              <w:rPr>
                <w:rFonts w:asciiTheme="minorHAnsi" w:hAnsiTheme="minorHAnsi"/>
                <w:sz w:val="18"/>
                <w:szCs w:val="18"/>
              </w:rPr>
              <w:t>pupil</w:t>
            </w:r>
            <w:r>
              <w:rPr>
                <w:rFonts w:asciiTheme="minorHAnsi" w:hAnsiTheme="minorHAnsi"/>
                <w:sz w:val="18"/>
                <w:szCs w:val="18"/>
              </w:rPr>
              <w:t>s</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1,069,500</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4,806,240</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982,400</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6,858,140</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Pr>
                <w:rFonts w:asciiTheme="minorHAnsi" w:hAnsiTheme="minorHAnsi"/>
                <w:sz w:val="18"/>
                <w:szCs w:val="18"/>
              </w:rPr>
              <w:t>C</w:t>
            </w:r>
            <w:r w:rsidRPr="00FB6E71">
              <w:rPr>
                <w:rFonts w:asciiTheme="minorHAnsi" w:hAnsiTheme="minorHAnsi"/>
                <w:sz w:val="18"/>
                <w:szCs w:val="18"/>
              </w:rPr>
              <w:t xml:space="preserve">apital investment on IDP education services </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19,971,000</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295,285,500</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23,775,000</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339,031,500</w:t>
            </w:r>
          </w:p>
        </w:tc>
      </w:tr>
      <w:tr w:rsidTr="007F2DE7">
        <w:tblPrEx>
          <w:tblW w:w="5000" w:type="pct"/>
          <w:jc w:val="center"/>
          <w:tblLook w:val="04A0"/>
        </w:tblPrEx>
        <w:trPr>
          <w:cantSplit/>
          <w:trHeight w:val="20"/>
          <w:jc w:val="center"/>
        </w:trPr>
        <w:tc>
          <w:tcPr>
            <w:tcW w:w="4225" w:type="dxa"/>
            <w:shd w:val="clear" w:color="auto" w:fill="auto"/>
            <w:hideMark/>
          </w:tcPr>
          <w:p w:rsidR="007F2DE7" w:rsidRPr="00FB6E71" w:rsidP="007F2DE7">
            <w:pPr>
              <w:widowControl/>
              <w:autoSpaceDE/>
              <w:autoSpaceDN/>
              <w:adjustRightInd/>
              <w:rPr>
                <w:rFonts w:eastAsia="Times New Roman" w:asciiTheme="minorHAnsi" w:hAnsiTheme="minorHAnsi" w:cs="Times New Roman"/>
                <w:sz w:val="18"/>
                <w:szCs w:val="18"/>
                <w:lang w:eastAsia="zh-CN"/>
              </w:rPr>
            </w:pPr>
            <w:r>
              <w:rPr>
                <w:rFonts w:asciiTheme="minorHAnsi" w:hAnsiTheme="minorHAnsi"/>
                <w:sz w:val="18"/>
                <w:szCs w:val="18"/>
              </w:rPr>
              <w:t>R</w:t>
            </w:r>
            <w:r w:rsidRPr="00FB6E71">
              <w:rPr>
                <w:rFonts w:asciiTheme="minorHAnsi" w:hAnsiTheme="minorHAnsi"/>
                <w:sz w:val="18"/>
                <w:szCs w:val="18"/>
              </w:rPr>
              <w:t xml:space="preserve">ecurrent costs for IDP education services </w:t>
            </w:r>
          </w:p>
        </w:tc>
        <w:tc>
          <w:tcPr>
            <w:tcW w:w="1258"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5,040,000</w:t>
            </w:r>
          </w:p>
        </w:tc>
        <w:tc>
          <w:tcPr>
            <w:tcW w:w="1262"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74,520,000</w:t>
            </w:r>
          </w:p>
        </w:tc>
        <w:tc>
          <w:tcPr>
            <w:tcW w:w="1260"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sz w:val="18"/>
                <w:szCs w:val="18"/>
                <w:lang w:eastAsia="zh-CN"/>
              </w:rPr>
            </w:pPr>
            <w:r w:rsidRPr="00FB6E71">
              <w:rPr>
                <w:rFonts w:asciiTheme="minorHAnsi" w:hAnsiTheme="minorHAnsi"/>
                <w:sz w:val="18"/>
                <w:szCs w:val="18"/>
              </w:rPr>
              <w:t>6,000,000</w:t>
            </w:r>
          </w:p>
        </w:tc>
        <w:tc>
          <w:tcPr>
            <w:tcW w:w="1345" w:type="dxa"/>
            <w:shd w:val="clear" w:color="auto" w:fill="auto"/>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85,560,000</w:t>
            </w:r>
          </w:p>
        </w:tc>
      </w:tr>
      <w:tr w:rsidTr="007F2DE7">
        <w:tblPrEx>
          <w:tblW w:w="5000" w:type="pct"/>
          <w:jc w:val="center"/>
          <w:tblLook w:val="04A0"/>
        </w:tblPrEx>
        <w:trPr>
          <w:cantSplit/>
          <w:trHeight w:val="20"/>
          <w:jc w:val="center"/>
        </w:trPr>
        <w:tc>
          <w:tcPr>
            <w:tcW w:w="4225" w:type="dxa"/>
            <w:shd w:val="clear" w:color="auto" w:fill="EDEDED" w:themeFill="accent3" w:themeFillTint="33"/>
            <w:hideMark/>
          </w:tcPr>
          <w:p w:rsidR="007F2DE7" w:rsidRPr="00FB6E71" w:rsidP="007F2DE7">
            <w:pPr>
              <w:widowControl/>
              <w:autoSpaceDE/>
              <w:autoSpaceDN/>
              <w:adjustRightInd/>
              <w:rPr>
                <w:rFonts w:eastAsia="Times New Roman" w:asciiTheme="minorHAnsi" w:hAnsiTheme="minorHAnsi" w:cs="Times New Roman"/>
                <w:b/>
                <w:sz w:val="18"/>
                <w:szCs w:val="18"/>
                <w:lang w:eastAsia="zh-CN"/>
              </w:rPr>
            </w:pPr>
            <w:r w:rsidRPr="00FB6E71">
              <w:rPr>
                <w:rFonts w:eastAsia="Times New Roman" w:asciiTheme="minorHAnsi" w:hAnsiTheme="minorHAnsi" w:cs="Times New Roman"/>
                <w:b/>
                <w:sz w:val="18"/>
                <w:szCs w:val="18"/>
                <w:lang w:eastAsia="zh-CN"/>
              </w:rPr>
              <w:t xml:space="preserve">Education </w:t>
            </w:r>
            <w:r>
              <w:rPr>
                <w:rFonts w:eastAsia="Times New Roman" w:asciiTheme="minorHAnsi" w:hAnsiTheme="minorHAnsi" w:cs="Times New Roman"/>
                <w:b/>
                <w:sz w:val="18"/>
                <w:szCs w:val="18"/>
                <w:lang w:eastAsia="zh-CN"/>
              </w:rPr>
              <w:t>s</w:t>
            </w:r>
            <w:r w:rsidRPr="00FB6E71">
              <w:rPr>
                <w:rFonts w:eastAsia="Times New Roman" w:asciiTheme="minorHAnsi" w:hAnsiTheme="minorHAnsi" w:cs="Times New Roman"/>
                <w:b/>
                <w:sz w:val="18"/>
                <w:szCs w:val="18"/>
                <w:lang w:eastAsia="zh-CN"/>
              </w:rPr>
              <w:t xml:space="preserve">ector </w:t>
            </w:r>
            <w:r>
              <w:rPr>
                <w:rFonts w:eastAsia="Times New Roman" w:asciiTheme="minorHAnsi" w:hAnsiTheme="minorHAnsi" w:cs="Times New Roman"/>
                <w:b/>
                <w:sz w:val="18"/>
                <w:szCs w:val="18"/>
                <w:lang w:eastAsia="zh-CN"/>
              </w:rPr>
              <w:t>t</w:t>
            </w:r>
            <w:r w:rsidRPr="00FB6E71">
              <w:rPr>
                <w:rFonts w:eastAsia="Times New Roman" w:asciiTheme="minorHAnsi" w:hAnsiTheme="minorHAnsi" w:cs="Times New Roman"/>
                <w:b/>
                <w:sz w:val="18"/>
                <w:szCs w:val="18"/>
                <w:lang w:eastAsia="zh-CN"/>
              </w:rPr>
              <w:t>otal</w:t>
            </w:r>
          </w:p>
        </w:tc>
        <w:tc>
          <w:tcPr>
            <w:tcW w:w="1258" w:type="dxa"/>
            <w:shd w:val="clear" w:color="auto" w:fill="EDEDED" w:themeFill="accent3" w:themeFillTint="33"/>
            <w:noWrap/>
            <w:hideMark/>
          </w:tcPr>
          <w:p w:rsidR="007F2DE7" w:rsidRPr="00FB6E71" w:rsidP="007F2DE7">
            <w:pPr>
              <w:widowControl/>
              <w:autoSpaceDE/>
              <w:autoSpaceDN/>
              <w:adjustRightInd/>
              <w:jc w:val="right"/>
              <w:rPr>
                <w:rFonts w:eastAsia="Times New Roman" w:asciiTheme="minorHAnsi" w:hAnsiTheme="minorHAnsi" w:cs="Times New Roman"/>
                <w:b/>
                <w:sz w:val="18"/>
                <w:szCs w:val="18"/>
                <w:lang w:eastAsia="zh-CN"/>
              </w:rPr>
            </w:pPr>
            <w:r w:rsidRPr="00FB6E71">
              <w:rPr>
                <w:rFonts w:eastAsia="Times New Roman" w:asciiTheme="minorHAnsi" w:hAnsiTheme="minorHAnsi" w:cs="Times New Roman"/>
                <w:b/>
                <w:sz w:val="18"/>
                <w:szCs w:val="18"/>
                <w:lang w:eastAsia="zh-CN"/>
              </w:rPr>
              <w:t>82,986,795</w:t>
            </w:r>
          </w:p>
        </w:tc>
        <w:tc>
          <w:tcPr>
            <w:tcW w:w="1262" w:type="dxa"/>
            <w:shd w:val="clear" w:color="auto" w:fill="EDEDED" w:themeFill="accent3" w:themeFillTint="33"/>
            <w:noWrap/>
            <w:hideMark/>
          </w:tcPr>
          <w:p w:rsidR="007F2DE7" w:rsidRPr="00FB6E71" w:rsidP="007F2DE7">
            <w:pPr>
              <w:widowControl/>
              <w:autoSpaceDE/>
              <w:autoSpaceDN/>
              <w:adjustRightInd/>
              <w:jc w:val="right"/>
              <w:rPr>
                <w:rFonts w:eastAsia="Times New Roman" w:asciiTheme="minorHAnsi" w:hAnsiTheme="minorHAnsi" w:cs="Times New Roman"/>
                <w:b/>
                <w:sz w:val="18"/>
                <w:szCs w:val="18"/>
                <w:lang w:eastAsia="zh-CN"/>
              </w:rPr>
            </w:pPr>
            <w:r w:rsidRPr="00FB6E71">
              <w:rPr>
                <w:rFonts w:eastAsia="Times New Roman" w:asciiTheme="minorHAnsi" w:hAnsiTheme="minorHAnsi" w:cs="Times New Roman"/>
                <w:b/>
                <w:sz w:val="18"/>
                <w:szCs w:val="18"/>
                <w:lang w:eastAsia="zh-CN"/>
              </w:rPr>
              <w:t>513,606,486</w:t>
            </w:r>
          </w:p>
        </w:tc>
        <w:tc>
          <w:tcPr>
            <w:tcW w:w="1260" w:type="dxa"/>
            <w:shd w:val="clear" w:color="auto" w:fill="EDEDED" w:themeFill="accent3" w:themeFillTint="33"/>
            <w:noWrap/>
            <w:hideMark/>
          </w:tcPr>
          <w:p w:rsidR="007F2DE7" w:rsidRPr="00FB6E71" w:rsidP="007F2DE7">
            <w:pPr>
              <w:widowControl/>
              <w:autoSpaceDE/>
              <w:autoSpaceDN/>
              <w:adjustRightInd/>
              <w:jc w:val="right"/>
              <w:rPr>
                <w:rFonts w:eastAsia="Times New Roman" w:asciiTheme="minorHAnsi" w:hAnsiTheme="minorHAnsi" w:cs="Times New Roman"/>
                <w:b/>
                <w:sz w:val="18"/>
                <w:szCs w:val="18"/>
                <w:lang w:eastAsia="zh-CN"/>
              </w:rPr>
            </w:pPr>
            <w:r w:rsidRPr="00FB6E71">
              <w:rPr>
                <w:rFonts w:eastAsia="Times New Roman" w:asciiTheme="minorHAnsi" w:hAnsiTheme="minorHAnsi" w:cs="Times New Roman"/>
                <w:b/>
                <w:sz w:val="18"/>
                <w:szCs w:val="18"/>
                <w:lang w:eastAsia="zh-CN"/>
              </w:rPr>
              <w:t>77,105,117</w:t>
            </w:r>
          </w:p>
        </w:tc>
        <w:tc>
          <w:tcPr>
            <w:tcW w:w="1345" w:type="dxa"/>
            <w:shd w:val="clear" w:color="auto" w:fill="EDEDED" w:themeFill="accent3" w:themeFillTint="33"/>
            <w:noWrap/>
            <w:hideMark/>
          </w:tcPr>
          <w:p w:rsidR="007F2DE7" w:rsidRPr="00FB6E71" w:rsidP="007F2DE7">
            <w:pPr>
              <w:widowControl/>
              <w:autoSpaceDE/>
              <w:autoSpaceDN/>
              <w:adjustRightInd/>
              <w:jc w:val="right"/>
              <w:rPr>
                <w:rFonts w:eastAsia="Times New Roman" w:asciiTheme="minorHAnsi" w:hAnsiTheme="minorHAnsi" w:cs="Times New Roman"/>
                <w:b/>
                <w:bCs/>
                <w:sz w:val="18"/>
                <w:szCs w:val="18"/>
                <w:lang w:eastAsia="zh-CN"/>
              </w:rPr>
            </w:pPr>
            <w:r w:rsidRPr="00FB6E71">
              <w:rPr>
                <w:rFonts w:asciiTheme="minorHAnsi" w:hAnsiTheme="minorHAnsi"/>
                <w:b/>
                <w:bCs/>
                <w:sz w:val="18"/>
                <w:szCs w:val="18"/>
              </w:rPr>
              <w:t>673,698,398</w:t>
            </w:r>
          </w:p>
        </w:tc>
      </w:tr>
    </w:tbl>
    <w:p w:rsidR="007F2DE7" w:rsidRPr="00FB6E71" w:rsidP="007F2DE7">
      <w:pPr>
        <w:pStyle w:val="ListParagraph"/>
        <w:widowControl/>
        <w:ind w:left="0"/>
        <w:contextualSpacing w:val="0"/>
        <w:jc w:val="center"/>
        <w:rPr>
          <w:rFonts w:asciiTheme="minorHAnsi" w:hAnsiTheme="minorHAnsi"/>
          <w:bCs/>
          <w:color w:val="auto"/>
          <w:sz w:val="18"/>
          <w:szCs w:val="18"/>
        </w:rPr>
      </w:pP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Interventions planned under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MCRP</w:t>
      </w:r>
      <w:r>
        <w:rPr>
          <w:rFonts w:asciiTheme="minorHAnsi" w:hAnsiTheme="minorHAnsi"/>
          <w:b/>
          <w:bCs/>
          <w:color w:val="auto"/>
          <w:sz w:val="22"/>
          <w:szCs w:val="22"/>
        </w:rPr>
        <w:t>.</w:t>
      </w:r>
      <w:r w:rsidRPr="00FB6E71">
        <w:rPr>
          <w:rFonts w:asciiTheme="minorHAnsi" w:hAnsiTheme="minorHAnsi"/>
          <w:bCs/>
          <w:color w:val="auto"/>
          <w:sz w:val="22"/>
          <w:szCs w:val="22"/>
        </w:rPr>
        <w:t xml:space="preserve"> Despite all the undergoing interventions by the Government, CSOs, and development partners, the gaps in meeting the recovery needs in education in the BAY states are still huge. Starting from the needs identified in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RPBA while taking into account other ongoing efforts, the MCRP has narrowed down its planned interventions for the restoration of education services into three categories, after close consultations with the BAY states for intervention selection and </w:t>
      </w:r>
      <w:r w:rsidRPr="00FB6E71">
        <w:rPr>
          <w:rFonts w:ascii="Calibri" w:eastAsia="MS Mincho" w:hAnsi="Calibri" w:cs="Times New Roman"/>
          <w:bCs/>
          <w:color w:val="auto"/>
          <w:sz w:val="22"/>
          <w:szCs w:val="22"/>
        </w:rPr>
        <w:t>prioritization</w:t>
      </w:r>
      <w:r w:rsidRPr="00FB6E71">
        <w:rPr>
          <w:rFonts w:asciiTheme="minorHAnsi" w:hAnsiTheme="minorHAnsi"/>
          <w:bCs/>
          <w:color w:val="auto"/>
          <w:sz w:val="22"/>
          <w:szCs w:val="22"/>
        </w:rPr>
        <w:t>. These will include the following: (a) reconstruction and repair of damaged school infrastructure, including classrooms, offices, fences, playground</w:t>
      </w:r>
      <w:r>
        <w:rPr>
          <w:rFonts w:asciiTheme="minorHAnsi" w:hAnsiTheme="minorHAnsi"/>
          <w:bCs/>
          <w:color w:val="auto"/>
          <w:sz w:val="22"/>
          <w:szCs w:val="22"/>
        </w:rPr>
        <w:t>s</w:t>
      </w:r>
      <w:r w:rsidRPr="00FB6E71">
        <w:rPr>
          <w:rFonts w:asciiTheme="minorHAnsi" w:hAnsiTheme="minorHAnsi"/>
          <w:bCs/>
          <w:color w:val="auto"/>
          <w:sz w:val="22"/>
          <w:szCs w:val="22"/>
        </w:rPr>
        <w:t xml:space="preserve">, latrines, water pumps/boreholes, and so on; (b) operational service delivery support to rehabilitated schools that are not covered </w:t>
      </w:r>
      <w:r>
        <w:rPr>
          <w:rFonts w:asciiTheme="minorHAnsi" w:hAnsiTheme="minorHAnsi"/>
          <w:bCs/>
          <w:color w:val="auto"/>
          <w:sz w:val="22"/>
          <w:szCs w:val="22"/>
        </w:rPr>
        <w:t xml:space="preserve">by </w:t>
      </w:r>
      <w:r w:rsidRPr="00FB6E71">
        <w:rPr>
          <w:rFonts w:asciiTheme="minorHAnsi" w:hAnsiTheme="minorHAnsi"/>
          <w:bCs/>
          <w:color w:val="auto"/>
          <w:sz w:val="22"/>
          <w:szCs w:val="22"/>
        </w:rPr>
        <w:t>SEPIP, including provision of learning materials and supplies for students and teaching equipment, supplies</w:t>
      </w:r>
      <w:r>
        <w:rPr>
          <w:rFonts w:asciiTheme="minorHAnsi" w:hAnsiTheme="minorHAnsi"/>
          <w:bCs/>
          <w:color w:val="auto"/>
          <w:sz w:val="22"/>
          <w:szCs w:val="22"/>
        </w:rPr>
        <w:t>,</w:t>
      </w:r>
      <w:r w:rsidRPr="00FB6E71">
        <w:rPr>
          <w:rFonts w:asciiTheme="minorHAnsi" w:hAnsiTheme="minorHAnsi"/>
          <w:bCs/>
          <w:color w:val="auto"/>
          <w:sz w:val="22"/>
          <w:szCs w:val="22"/>
        </w:rPr>
        <w:t xml:space="preserve"> and psychosocial/pedagogical training for teachers</w:t>
      </w:r>
      <w:r>
        <w:rPr>
          <w:rFonts w:asciiTheme="minorHAnsi" w:hAnsiTheme="minorHAnsi"/>
          <w:bCs/>
          <w:color w:val="auto"/>
          <w:sz w:val="22"/>
          <w:szCs w:val="22"/>
        </w:rPr>
        <w:t>;</w:t>
      </w:r>
      <w:r w:rsidRPr="00FB6E71">
        <w:rPr>
          <w:rFonts w:asciiTheme="minorHAnsi" w:hAnsiTheme="minorHAnsi"/>
          <w:bCs/>
          <w:color w:val="auto"/>
          <w:sz w:val="22"/>
          <w:szCs w:val="22"/>
        </w:rPr>
        <w:t xml:space="preserve"> and (c) provision of education services to IDP children, including funding of both the associated capital investment and recurrent costs. As a guiding principle, all reconstruction and rehabilitation will be done on a </w:t>
      </w:r>
      <w:r>
        <w:rPr>
          <w:rFonts w:asciiTheme="minorHAnsi" w:hAnsiTheme="minorHAnsi"/>
          <w:bCs/>
          <w:color w:val="auto"/>
          <w:sz w:val="22"/>
          <w:szCs w:val="22"/>
        </w:rPr>
        <w:t>‘</w:t>
      </w:r>
      <w:r w:rsidRPr="00FB6E71">
        <w:rPr>
          <w:rFonts w:asciiTheme="minorHAnsi" w:hAnsiTheme="minorHAnsi"/>
          <w:bCs/>
          <w:color w:val="auto"/>
          <w:sz w:val="22"/>
          <w:szCs w:val="22"/>
        </w:rPr>
        <w:t>build</w:t>
      </w:r>
      <w:r>
        <w:rPr>
          <w:rFonts w:asciiTheme="minorHAnsi" w:hAnsiTheme="minorHAnsi"/>
          <w:bCs/>
          <w:color w:val="auto"/>
          <w:sz w:val="22"/>
          <w:szCs w:val="22"/>
        </w:rPr>
        <w:t>-</w:t>
      </w:r>
      <w:r w:rsidRPr="00FB6E71">
        <w:rPr>
          <w:rFonts w:asciiTheme="minorHAnsi" w:hAnsiTheme="minorHAnsi"/>
          <w:bCs/>
          <w:color w:val="auto"/>
          <w:sz w:val="22"/>
          <w:szCs w:val="22"/>
        </w:rPr>
        <w:t>back</w:t>
      </w:r>
      <w:r>
        <w:rPr>
          <w:rFonts w:asciiTheme="minorHAnsi" w:hAnsiTheme="minorHAnsi"/>
          <w:bCs/>
          <w:color w:val="auto"/>
          <w:sz w:val="22"/>
          <w:szCs w:val="22"/>
        </w:rPr>
        <w:t>-</w:t>
      </w:r>
      <w:r w:rsidRPr="00FB6E71">
        <w:rPr>
          <w:rFonts w:asciiTheme="minorHAnsi" w:hAnsiTheme="minorHAnsi"/>
          <w:bCs/>
          <w:color w:val="auto"/>
          <w:sz w:val="22"/>
          <w:szCs w:val="22"/>
        </w:rPr>
        <w:t>better</w:t>
      </w:r>
      <w:r>
        <w:rPr>
          <w:rFonts w:asciiTheme="minorHAnsi" w:hAnsiTheme="minorHAnsi"/>
          <w:bCs/>
          <w:color w:val="auto"/>
          <w:sz w:val="22"/>
          <w:szCs w:val="22"/>
        </w:rPr>
        <w:t>’</w:t>
      </w:r>
      <w:r w:rsidRPr="00FB6E71">
        <w:rPr>
          <w:rFonts w:asciiTheme="minorHAnsi" w:hAnsiTheme="minorHAnsi"/>
          <w:bCs/>
          <w:color w:val="auto"/>
          <w:sz w:val="22"/>
          <w:szCs w:val="22"/>
        </w:rPr>
        <w:t xml:space="preserve"> basis to ensure the quality and sustainability of the project investments.</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Complementarity with other interventions undergoing in the education sector in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BAY states</w:t>
      </w:r>
      <w:r>
        <w:rPr>
          <w:rFonts w:asciiTheme="minorHAnsi" w:hAnsiTheme="minorHAnsi"/>
          <w:b/>
          <w:bCs/>
          <w:color w:val="auto"/>
          <w:sz w:val="22"/>
          <w:szCs w:val="22"/>
        </w:rPr>
        <w:t>.</w:t>
      </w:r>
      <w:r w:rsidRPr="00FB6E71">
        <w:rPr>
          <w:rFonts w:asciiTheme="minorHAnsi" w:hAnsiTheme="minorHAnsi"/>
          <w:bCs/>
          <w:color w:val="auto"/>
          <w:sz w:val="22"/>
          <w:szCs w:val="22"/>
        </w:rPr>
        <w:t xml:space="preserve"> The proposed MCRP education sector interventions are complementary to, and do not overlap with, the World Bank’s US$100 </w:t>
      </w:r>
      <w:r w:rsidRPr="00FB6E71">
        <w:rPr>
          <w:rFonts w:ascii="Calibri" w:eastAsia="MS Mincho" w:hAnsi="Calibri" w:cs="Times New Roman"/>
          <w:bCs/>
          <w:color w:val="auto"/>
          <w:sz w:val="22"/>
          <w:szCs w:val="22"/>
        </w:rPr>
        <w:t>million</w:t>
      </w:r>
      <w:r w:rsidRPr="00FB6E71">
        <w:rPr>
          <w:rFonts w:asciiTheme="minorHAnsi" w:hAnsiTheme="minorHAnsi"/>
          <w:bCs/>
          <w:color w:val="auto"/>
          <w:sz w:val="22"/>
          <w:szCs w:val="22"/>
        </w:rPr>
        <w:t xml:space="preserve"> credit to provide AF to the SEPIP for its coverage in the six NE states, including the three targeted states of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The MCRP focus is on rehabilitation of major physical infrastructure and education service delivery restoration where SEPIP is not covering, while the proposed AF credit of SEPIP will be used in the six NE states toward minor rehabilitation of schools, such as small repairs and painting, window fixing, as well as providing instructional materials and addressing teacher needs. The two operations will use the same institutional arrangements and will be in close collaboration to ensure that there will not be gaps or overlaps in coverage.</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 xml:space="preserve">Rehabilitation of </w:t>
      </w:r>
      <w:r>
        <w:rPr>
          <w:rFonts w:asciiTheme="minorHAnsi" w:hAnsiTheme="minorHAnsi"/>
          <w:bCs/>
          <w:i/>
          <w:color w:val="auto"/>
          <w:sz w:val="22"/>
          <w:szCs w:val="22"/>
        </w:rPr>
        <w:t>H</w:t>
      </w:r>
      <w:r w:rsidRPr="00FB6E71">
        <w:rPr>
          <w:rFonts w:asciiTheme="minorHAnsi" w:hAnsiTheme="minorHAnsi"/>
          <w:bCs/>
          <w:i/>
          <w:color w:val="auto"/>
          <w:sz w:val="22"/>
          <w:szCs w:val="22"/>
        </w:rPr>
        <w:t xml:space="preserve">ealth </w:t>
      </w:r>
      <w:r>
        <w:rPr>
          <w:rFonts w:asciiTheme="minorHAnsi" w:hAnsiTheme="minorHAnsi"/>
          <w:bCs/>
          <w:i/>
          <w:color w:val="auto"/>
          <w:sz w:val="22"/>
          <w:szCs w:val="22"/>
        </w:rPr>
        <w:t>F</w:t>
      </w:r>
      <w:r w:rsidRPr="00FB6E71">
        <w:rPr>
          <w:rFonts w:asciiTheme="minorHAnsi" w:hAnsiTheme="minorHAnsi"/>
          <w:bCs/>
          <w:i/>
          <w:color w:val="auto"/>
          <w:sz w:val="22"/>
          <w:szCs w:val="22"/>
        </w:rPr>
        <w:t xml:space="preserve">acilities and </w:t>
      </w:r>
      <w:r>
        <w:rPr>
          <w:rFonts w:asciiTheme="minorHAnsi" w:hAnsiTheme="minorHAnsi"/>
          <w:bCs/>
          <w:i/>
          <w:color w:val="auto"/>
          <w:sz w:val="22"/>
          <w:szCs w:val="22"/>
        </w:rPr>
        <w:t>H</w:t>
      </w:r>
      <w:r w:rsidRPr="00FB6E71">
        <w:rPr>
          <w:rFonts w:asciiTheme="minorHAnsi" w:hAnsiTheme="minorHAnsi"/>
          <w:bCs/>
          <w:i/>
          <w:color w:val="auto"/>
          <w:sz w:val="22"/>
          <w:szCs w:val="22"/>
        </w:rPr>
        <w:t xml:space="preserve">ealth-related </w:t>
      </w:r>
      <w:r>
        <w:rPr>
          <w:rFonts w:asciiTheme="minorHAnsi" w:hAnsiTheme="minorHAnsi"/>
          <w:bCs/>
          <w:i/>
          <w:color w:val="auto"/>
          <w:sz w:val="22"/>
          <w:szCs w:val="22"/>
        </w:rPr>
        <w:t>S</w:t>
      </w:r>
      <w:r w:rsidRPr="00FB6E71">
        <w:rPr>
          <w:rFonts w:asciiTheme="minorHAnsi" w:hAnsiTheme="minorHAnsi"/>
          <w:bCs/>
          <w:i/>
          <w:color w:val="auto"/>
          <w:sz w:val="22"/>
          <w:szCs w:val="22"/>
        </w:rPr>
        <w:t xml:space="preserve">ervice </w:t>
      </w:r>
      <w:r>
        <w:rPr>
          <w:rFonts w:asciiTheme="minorHAnsi" w:hAnsiTheme="minorHAnsi"/>
          <w:bCs/>
          <w:i/>
          <w:color w:val="auto"/>
          <w:sz w:val="22"/>
          <w:szCs w:val="22"/>
        </w:rPr>
        <w:t>D</w:t>
      </w:r>
      <w:r w:rsidRPr="00FB6E71">
        <w:rPr>
          <w:rFonts w:asciiTheme="minorHAnsi" w:hAnsiTheme="minorHAnsi"/>
          <w:bCs/>
          <w:i/>
          <w:color w:val="auto"/>
          <w:sz w:val="22"/>
          <w:szCs w:val="22"/>
        </w:rPr>
        <w:t xml:space="preserve">elivery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Recovery </w:t>
      </w:r>
      <w:r>
        <w:rPr>
          <w:rFonts w:asciiTheme="minorHAnsi" w:hAnsiTheme="minorHAnsi"/>
          <w:b/>
          <w:bCs/>
          <w:color w:val="auto"/>
          <w:sz w:val="22"/>
          <w:szCs w:val="22"/>
        </w:rPr>
        <w:t>n</w:t>
      </w:r>
      <w:r w:rsidRPr="00FB6E71">
        <w:rPr>
          <w:rFonts w:asciiTheme="minorHAnsi" w:hAnsiTheme="minorHAnsi"/>
          <w:b/>
          <w:bCs/>
          <w:color w:val="auto"/>
          <w:sz w:val="22"/>
          <w:szCs w:val="22"/>
        </w:rPr>
        <w:t xml:space="preserve">eeds and </w:t>
      </w:r>
      <w:r>
        <w:rPr>
          <w:rFonts w:asciiTheme="minorHAnsi" w:hAnsiTheme="minorHAnsi"/>
          <w:b/>
          <w:bCs/>
          <w:color w:val="auto"/>
          <w:sz w:val="22"/>
          <w:szCs w:val="22"/>
        </w:rPr>
        <w:t>s</w:t>
      </w:r>
      <w:r w:rsidRPr="00FB6E71">
        <w:rPr>
          <w:rFonts w:asciiTheme="minorHAnsi" w:hAnsiTheme="minorHAnsi"/>
          <w:b/>
          <w:bCs/>
          <w:color w:val="auto"/>
          <w:sz w:val="22"/>
          <w:szCs w:val="22"/>
        </w:rPr>
        <w:t xml:space="preserve">trategy for </w:t>
      </w:r>
      <w:r>
        <w:rPr>
          <w:rFonts w:asciiTheme="minorHAnsi" w:hAnsiTheme="minorHAnsi"/>
          <w:b/>
          <w:bCs/>
          <w:color w:val="auto"/>
          <w:sz w:val="22"/>
          <w:szCs w:val="22"/>
        </w:rPr>
        <w:t>the h</w:t>
      </w:r>
      <w:r w:rsidRPr="00FB6E71">
        <w:rPr>
          <w:rFonts w:asciiTheme="minorHAnsi" w:hAnsiTheme="minorHAnsi"/>
          <w:b/>
          <w:bCs/>
          <w:color w:val="auto"/>
          <w:sz w:val="22"/>
          <w:szCs w:val="22"/>
        </w:rPr>
        <w:t xml:space="preserve">ealth </w:t>
      </w:r>
      <w:r>
        <w:rPr>
          <w:rFonts w:asciiTheme="minorHAnsi" w:hAnsiTheme="minorHAnsi"/>
          <w:b/>
          <w:bCs/>
          <w:color w:val="auto"/>
          <w:sz w:val="22"/>
          <w:szCs w:val="22"/>
        </w:rPr>
        <w:t>s</w:t>
      </w:r>
      <w:r w:rsidRPr="00FB6E71">
        <w:rPr>
          <w:rFonts w:asciiTheme="minorHAnsi" w:hAnsiTheme="minorHAnsi"/>
          <w:b/>
          <w:bCs/>
          <w:color w:val="auto"/>
          <w:sz w:val="22"/>
          <w:szCs w:val="22"/>
        </w:rPr>
        <w:t>ector under the RPBA</w:t>
      </w:r>
      <w:r>
        <w:rPr>
          <w:rFonts w:asciiTheme="minorHAnsi" w:hAnsiTheme="minorHAnsi"/>
          <w:b/>
          <w:bCs/>
          <w:color w:val="auto"/>
          <w:sz w:val="22"/>
          <w:szCs w:val="22"/>
        </w:rPr>
        <w:t>.</w:t>
      </w:r>
      <w:r w:rsidRPr="00FB6E71">
        <w:rPr>
          <w:rFonts w:asciiTheme="minorHAnsi" w:hAnsiTheme="minorHAnsi"/>
          <w:bCs/>
          <w:color w:val="auto"/>
          <w:sz w:val="22"/>
          <w:szCs w:val="22"/>
        </w:rPr>
        <w:t xml:space="preserve"> Health facilities were systematically targeted by the BH, leading to damage and destruction of 628 facilities in the BAY states, of which 475 were destroyed, including 9 hospitals, 250 health centers</w:t>
      </w:r>
      <w:r>
        <w:rPr>
          <w:rFonts w:asciiTheme="minorHAnsi" w:hAnsiTheme="minorHAnsi"/>
          <w:bCs/>
          <w:color w:val="auto"/>
          <w:sz w:val="22"/>
          <w:szCs w:val="22"/>
        </w:rPr>
        <w:t>,</w:t>
      </w:r>
      <w:r w:rsidRPr="00FB6E71">
        <w:rPr>
          <w:rFonts w:asciiTheme="minorHAnsi" w:hAnsiTheme="minorHAnsi"/>
          <w:bCs/>
          <w:color w:val="auto"/>
          <w:sz w:val="22"/>
          <w:szCs w:val="22"/>
        </w:rPr>
        <w:t xml:space="preserve"> and 215 nonpermanent facilities. As a result, the already weak health infrastructure in these states further deteriorated. In 2014, the NE states </w:t>
      </w:r>
      <w:r w:rsidRPr="00FB6E71">
        <w:rPr>
          <w:rFonts w:ascii="Calibri" w:eastAsia="MS Mincho" w:hAnsi="Calibri" w:cs="Times New Roman"/>
          <w:bCs/>
          <w:color w:val="auto"/>
          <w:sz w:val="22"/>
          <w:szCs w:val="22"/>
        </w:rPr>
        <w:t>recorded</w:t>
      </w:r>
      <w:r w:rsidRPr="00FB6E71">
        <w:rPr>
          <w:rFonts w:asciiTheme="minorHAnsi" w:hAnsiTheme="minorHAnsi"/>
          <w:bCs/>
          <w:color w:val="auto"/>
          <w:sz w:val="22"/>
          <w:szCs w:val="22"/>
        </w:rPr>
        <w:t xml:space="preserve"> more than 35,000 cholera cases. Even in communities where health facilities are functioning, lack of medicine</w:t>
      </w:r>
      <w:r>
        <w:rPr>
          <w:rFonts w:asciiTheme="minorHAnsi" w:hAnsiTheme="minorHAnsi"/>
          <w:bCs/>
          <w:color w:val="auto"/>
          <w:sz w:val="22"/>
          <w:szCs w:val="22"/>
        </w:rPr>
        <w:t>s</w:t>
      </w:r>
      <w:r w:rsidRPr="00FB6E71">
        <w:rPr>
          <w:rFonts w:asciiTheme="minorHAnsi" w:hAnsiTheme="minorHAnsi"/>
          <w:bCs/>
          <w:color w:val="auto"/>
          <w:sz w:val="22"/>
          <w:szCs w:val="22"/>
        </w:rPr>
        <w:t xml:space="preserve"> and the cost of treatment became the key factors that prevented IDP from accessing health services. The total needs estimate for recovery in the sector is equivalent to US$618 million. The recovery strategy for the health sector is composed of two complementary approaches: ensuring access to essential health and nutrition services for target groups and restoring critical health system functions. </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1.</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Table_1. \* ARABIC </w:instrText>
      </w:r>
      <w:r w:rsidRPr="00FB6E71">
        <w:rPr>
          <w:rFonts w:asciiTheme="minorHAnsi" w:hAnsiTheme="minorHAnsi"/>
          <w:b/>
          <w:i w:val="0"/>
          <w:color w:val="auto"/>
        </w:rPr>
        <w:fldChar w:fldCharType="separate"/>
      </w:r>
      <w:r w:rsidRPr="00FB6E71">
        <w:rPr>
          <w:rFonts w:asciiTheme="minorHAnsi" w:hAnsiTheme="minorHAnsi"/>
          <w:b/>
          <w:i w:val="0"/>
          <w:color w:val="auto"/>
        </w:rPr>
        <w:t>5</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Needs Overview in Health Sector</w:t>
      </w:r>
      <w:r>
        <w:rPr>
          <w:rFonts w:asciiTheme="minorHAnsi" w:hAnsiTheme="minorHAnsi"/>
          <w:b/>
          <w:i w:val="0"/>
          <w:color w:val="auto"/>
        </w:rPr>
        <w:t xml:space="preserve"> (US$)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5"/>
        <w:gridCol w:w="1260"/>
        <w:gridCol w:w="1260"/>
        <w:gridCol w:w="1170"/>
        <w:gridCol w:w="116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20"/>
          <w:tblHeader/>
          <w:jc w:val="center"/>
        </w:trPr>
        <w:tc>
          <w:tcPr>
            <w:tcW w:w="4495" w:type="dxa"/>
            <w:shd w:val="clear" w:color="auto" w:fill="EDEDED" w:themeFill="accent3" w:themeFillTint="33"/>
            <w:vAlign w:val="center"/>
            <w:hideMark/>
          </w:tcPr>
          <w:p w:rsidR="007F2DE7" w:rsidRPr="00FB6E71" w:rsidP="007F2DE7">
            <w:pPr>
              <w:pStyle w:val="ListParagraph"/>
              <w:keepNext/>
              <w:ind w:left="0"/>
              <w:jc w:val="center"/>
              <w:rPr>
                <w:rFonts w:asciiTheme="minorHAnsi" w:hAnsiTheme="minorHAnsi"/>
                <w:b/>
                <w:bCs/>
                <w:color w:val="auto"/>
                <w:sz w:val="18"/>
                <w:szCs w:val="18"/>
              </w:rPr>
            </w:pPr>
            <w:r w:rsidRPr="00FB6E71">
              <w:rPr>
                <w:rFonts w:asciiTheme="minorHAnsi" w:hAnsiTheme="minorHAnsi"/>
                <w:b/>
                <w:bCs/>
                <w:color w:val="auto"/>
                <w:sz w:val="18"/>
                <w:szCs w:val="18"/>
              </w:rPr>
              <w:t>Needs by activity</w:t>
            </w:r>
          </w:p>
        </w:tc>
        <w:tc>
          <w:tcPr>
            <w:tcW w:w="1260" w:type="dxa"/>
            <w:shd w:val="clear" w:color="auto" w:fill="EDEDED" w:themeFill="accent3" w:themeFillTint="33"/>
            <w:noWrap/>
            <w:vAlign w:val="center"/>
            <w:hideMark/>
          </w:tcPr>
          <w:p w:rsidR="007F2DE7" w:rsidRPr="00FB6E71" w:rsidP="007F2DE7">
            <w:pPr>
              <w:pStyle w:val="ListParagraph"/>
              <w:keepNext/>
              <w:ind w:left="0"/>
              <w:jc w:val="center"/>
              <w:rPr>
                <w:rFonts w:asciiTheme="minorHAnsi" w:hAnsiTheme="minorHAnsi"/>
                <w:b/>
                <w:bCs/>
                <w:color w:val="auto"/>
                <w:sz w:val="18"/>
                <w:szCs w:val="18"/>
              </w:rPr>
            </w:pPr>
            <w:r w:rsidRPr="00FB6E71">
              <w:rPr>
                <w:rFonts w:asciiTheme="minorHAnsi" w:hAnsiTheme="minorHAnsi"/>
                <w:b/>
                <w:bCs/>
                <w:color w:val="auto"/>
                <w:sz w:val="18"/>
                <w:szCs w:val="18"/>
              </w:rPr>
              <w:t>Adamawa</w:t>
            </w:r>
          </w:p>
        </w:tc>
        <w:tc>
          <w:tcPr>
            <w:tcW w:w="1260" w:type="dxa"/>
            <w:shd w:val="clear" w:color="auto" w:fill="EDEDED" w:themeFill="accent3" w:themeFillTint="33"/>
            <w:noWrap/>
            <w:vAlign w:val="center"/>
            <w:hideMark/>
          </w:tcPr>
          <w:p w:rsidR="007F2DE7" w:rsidRPr="00FB6E71" w:rsidP="007F2DE7">
            <w:pPr>
              <w:pStyle w:val="ListParagraph"/>
              <w:keepNext/>
              <w:ind w:left="0"/>
              <w:jc w:val="center"/>
              <w:rPr>
                <w:rFonts w:asciiTheme="minorHAnsi" w:hAnsiTheme="minorHAnsi"/>
                <w:b/>
                <w:bCs/>
                <w:color w:val="auto"/>
                <w:sz w:val="18"/>
                <w:szCs w:val="18"/>
              </w:rPr>
            </w:pPr>
            <w:r w:rsidRPr="00FB6E71">
              <w:rPr>
                <w:rFonts w:asciiTheme="minorHAnsi" w:hAnsiTheme="minorHAnsi"/>
                <w:b/>
                <w:bCs/>
                <w:color w:val="auto"/>
                <w:sz w:val="18"/>
                <w:szCs w:val="18"/>
              </w:rPr>
              <w:t>Borno</w:t>
            </w:r>
          </w:p>
        </w:tc>
        <w:tc>
          <w:tcPr>
            <w:tcW w:w="1170" w:type="dxa"/>
            <w:shd w:val="clear" w:color="auto" w:fill="EDEDED" w:themeFill="accent3" w:themeFillTint="33"/>
            <w:noWrap/>
            <w:vAlign w:val="center"/>
            <w:hideMark/>
          </w:tcPr>
          <w:p w:rsidR="007F2DE7" w:rsidRPr="00FB6E71" w:rsidP="007F2DE7">
            <w:pPr>
              <w:pStyle w:val="ListParagraph"/>
              <w:keepNext/>
              <w:ind w:left="0"/>
              <w:jc w:val="center"/>
              <w:rPr>
                <w:rFonts w:asciiTheme="minorHAnsi" w:hAnsiTheme="minorHAnsi"/>
                <w:b/>
                <w:bCs/>
                <w:color w:val="auto"/>
                <w:sz w:val="18"/>
                <w:szCs w:val="18"/>
              </w:rPr>
            </w:pPr>
            <w:r w:rsidRPr="00FB6E71">
              <w:rPr>
                <w:rFonts w:asciiTheme="minorHAnsi" w:hAnsiTheme="minorHAnsi"/>
                <w:b/>
                <w:bCs/>
                <w:color w:val="auto"/>
                <w:sz w:val="18"/>
                <w:szCs w:val="18"/>
              </w:rPr>
              <w:t>Yobe</w:t>
            </w:r>
          </w:p>
        </w:tc>
        <w:tc>
          <w:tcPr>
            <w:tcW w:w="1165" w:type="dxa"/>
            <w:shd w:val="clear" w:color="auto" w:fill="E7E6E6" w:themeFill="background2"/>
            <w:noWrap/>
            <w:vAlign w:val="center"/>
            <w:hideMark/>
          </w:tcPr>
          <w:p w:rsidR="007F2DE7" w:rsidRPr="00FB6E71" w:rsidP="007F2DE7">
            <w:pPr>
              <w:pStyle w:val="ListParagraph"/>
              <w:keepNext/>
              <w:ind w:left="0"/>
              <w:jc w:val="center"/>
              <w:rPr>
                <w:rFonts w:asciiTheme="minorHAnsi" w:hAnsiTheme="minorHAnsi"/>
                <w:b/>
                <w:bCs/>
                <w:color w:val="auto"/>
                <w:sz w:val="18"/>
                <w:szCs w:val="18"/>
              </w:rPr>
            </w:pPr>
            <w:r w:rsidRPr="00FB6E71">
              <w:rPr>
                <w:rFonts w:asciiTheme="minorHAnsi" w:hAnsiTheme="minorHAnsi"/>
                <w:b/>
                <w:bCs/>
                <w:color w:val="auto"/>
                <w:sz w:val="18"/>
                <w:szCs w:val="18"/>
              </w:rPr>
              <w:t>Total</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sidRPr="00FB6E71">
              <w:rPr>
                <w:rFonts w:asciiTheme="minorHAnsi" w:hAnsiTheme="minorHAnsi"/>
                <w:bCs/>
                <w:color w:val="auto"/>
                <w:sz w:val="18"/>
                <w:szCs w:val="18"/>
              </w:rPr>
              <w:t xml:space="preserve">Establish </w:t>
            </w:r>
            <w:r>
              <w:rPr>
                <w:rFonts w:asciiTheme="minorHAnsi" w:hAnsiTheme="minorHAnsi"/>
                <w:bCs/>
                <w:color w:val="auto"/>
                <w:sz w:val="18"/>
                <w:szCs w:val="18"/>
              </w:rPr>
              <w:t>g</w:t>
            </w:r>
            <w:r w:rsidRPr="00FB6E71">
              <w:rPr>
                <w:rFonts w:asciiTheme="minorHAnsi" w:hAnsiTheme="minorHAnsi"/>
                <w:bCs/>
                <w:color w:val="auto"/>
                <w:sz w:val="18"/>
                <w:szCs w:val="18"/>
              </w:rPr>
              <w:t xml:space="preserve">overnance </w:t>
            </w:r>
            <w:r>
              <w:rPr>
                <w:rFonts w:asciiTheme="minorHAnsi" w:hAnsiTheme="minorHAnsi"/>
                <w:bCs/>
                <w:color w:val="auto"/>
                <w:sz w:val="18"/>
                <w:szCs w:val="18"/>
              </w:rPr>
              <w:t>and</w:t>
            </w:r>
            <w:r w:rsidRPr="00FB6E71">
              <w:rPr>
                <w:rFonts w:asciiTheme="minorHAnsi" w:hAnsiTheme="minorHAnsi"/>
                <w:bCs/>
                <w:color w:val="auto"/>
                <w:sz w:val="18"/>
                <w:szCs w:val="18"/>
              </w:rPr>
              <w:t xml:space="preserve"> </w:t>
            </w:r>
            <w:r>
              <w:rPr>
                <w:rFonts w:asciiTheme="minorHAnsi" w:hAnsiTheme="minorHAnsi"/>
                <w:bCs/>
                <w:color w:val="auto"/>
                <w:sz w:val="18"/>
                <w:szCs w:val="18"/>
              </w:rPr>
              <w:t>e</w:t>
            </w:r>
            <w:r w:rsidRPr="00FB6E71">
              <w:rPr>
                <w:rFonts w:asciiTheme="minorHAnsi" w:hAnsiTheme="minorHAnsi"/>
                <w:bCs/>
                <w:color w:val="auto"/>
                <w:sz w:val="18"/>
                <w:szCs w:val="18"/>
              </w:rPr>
              <w:t xml:space="preserve">arly </w:t>
            </w:r>
            <w:r>
              <w:rPr>
                <w:rFonts w:asciiTheme="minorHAnsi" w:hAnsiTheme="minorHAnsi"/>
                <w:bCs/>
                <w:color w:val="auto"/>
                <w:sz w:val="18"/>
                <w:szCs w:val="18"/>
              </w:rPr>
              <w:t>w</w:t>
            </w:r>
            <w:r w:rsidRPr="00FB6E71">
              <w:rPr>
                <w:rFonts w:asciiTheme="minorHAnsi" w:hAnsiTheme="minorHAnsi"/>
                <w:bCs/>
                <w:color w:val="auto"/>
                <w:sz w:val="18"/>
                <w:szCs w:val="18"/>
              </w:rPr>
              <w:t xml:space="preserve">arning </w:t>
            </w:r>
            <w:r>
              <w:rPr>
                <w:rFonts w:asciiTheme="minorHAnsi" w:hAnsiTheme="minorHAnsi"/>
                <w:bCs/>
                <w:color w:val="auto"/>
                <w:sz w:val="18"/>
                <w:szCs w:val="18"/>
              </w:rPr>
              <w:t>s</w:t>
            </w:r>
            <w:r w:rsidRPr="00FB6E71">
              <w:rPr>
                <w:rFonts w:asciiTheme="minorHAnsi" w:hAnsiTheme="minorHAnsi"/>
                <w:bCs/>
                <w:color w:val="auto"/>
                <w:sz w:val="18"/>
                <w:szCs w:val="18"/>
              </w:rPr>
              <w:t>ystems (capital)</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378,000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5,589,000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450,000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6,417,000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Pr>
                <w:rFonts w:asciiTheme="minorHAnsi" w:hAnsiTheme="minorHAnsi"/>
                <w:bCs/>
                <w:color w:val="auto"/>
                <w:sz w:val="18"/>
                <w:szCs w:val="18"/>
              </w:rPr>
              <w:t>O</w:t>
            </w:r>
            <w:r w:rsidRPr="00FB6E71">
              <w:rPr>
                <w:rFonts w:asciiTheme="minorHAnsi" w:hAnsiTheme="minorHAnsi"/>
                <w:bCs/>
                <w:color w:val="auto"/>
                <w:sz w:val="18"/>
                <w:szCs w:val="18"/>
              </w:rPr>
              <w:t xml:space="preserve">perational support to </w:t>
            </w:r>
            <w:r>
              <w:rPr>
                <w:rFonts w:asciiTheme="minorHAnsi" w:hAnsiTheme="minorHAnsi"/>
                <w:bCs/>
                <w:color w:val="auto"/>
                <w:sz w:val="18"/>
                <w:szCs w:val="18"/>
              </w:rPr>
              <w:t>g</w:t>
            </w:r>
            <w:r w:rsidRPr="00FB6E71">
              <w:rPr>
                <w:rFonts w:asciiTheme="minorHAnsi" w:hAnsiTheme="minorHAnsi"/>
                <w:bCs/>
                <w:color w:val="auto"/>
                <w:sz w:val="18"/>
                <w:szCs w:val="18"/>
              </w:rPr>
              <w:t xml:space="preserve">overnance </w:t>
            </w:r>
            <w:r>
              <w:rPr>
                <w:rFonts w:asciiTheme="minorHAnsi" w:hAnsiTheme="minorHAnsi"/>
                <w:bCs/>
                <w:color w:val="auto"/>
                <w:sz w:val="18"/>
                <w:szCs w:val="18"/>
              </w:rPr>
              <w:t>and</w:t>
            </w:r>
            <w:r w:rsidRPr="00FB6E71">
              <w:rPr>
                <w:rFonts w:asciiTheme="minorHAnsi" w:hAnsiTheme="minorHAnsi"/>
                <w:bCs/>
                <w:color w:val="auto"/>
                <w:sz w:val="18"/>
                <w:szCs w:val="18"/>
              </w:rPr>
              <w:t xml:space="preserve"> </w:t>
            </w:r>
            <w:r>
              <w:rPr>
                <w:rFonts w:asciiTheme="minorHAnsi" w:hAnsiTheme="minorHAnsi"/>
                <w:bCs/>
                <w:color w:val="auto"/>
                <w:sz w:val="18"/>
                <w:szCs w:val="18"/>
              </w:rPr>
              <w:t>e</w:t>
            </w:r>
            <w:r w:rsidRPr="00FB6E71">
              <w:rPr>
                <w:rFonts w:asciiTheme="minorHAnsi" w:hAnsiTheme="minorHAnsi"/>
                <w:bCs/>
                <w:color w:val="auto"/>
                <w:sz w:val="18"/>
                <w:szCs w:val="18"/>
              </w:rPr>
              <w:t xml:space="preserve">arly </w:t>
            </w:r>
            <w:r>
              <w:rPr>
                <w:rFonts w:asciiTheme="minorHAnsi" w:hAnsiTheme="minorHAnsi"/>
                <w:bCs/>
                <w:color w:val="auto"/>
                <w:sz w:val="18"/>
                <w:szCs w:val="18"/>
              </w:rPr>
              <w:t>w</w:t>
            </w:r>
            <w:r w:rsidRPr="00FB6E71">
              <w:rPr>
                <w:rFonts w:asciiTheme="minorHAnsi" w:hAnsiTheme="minorHAnsi"/>
                <w:bCs/>
                <w:color w:val="auto"/>
                <w:sz w:val="18"/>
                <w:szCs w:val="18"/>
              </w:rPr>
              <w:t xml:space="preserve">arning </w:t>
            </w:r>
            <w:r>
              <w:rPr>
                <w:rFonts w:asciiTheme="minorHAnsi" w:hAnsiTheme="minorHAnsi"/>
                <w:bCs/>
                <w:color w:val="auto"/>
                <w:sz w:val="18"/>
                <w:szCs w:val="18"/>
              </w:rPr>
              <w:t>s</w:t>
            </w:r>
            <w:r w:rsidRPr="00FB6E71">
              <w:rPr>
                <w:rFonts w:asciiTheme="minorHAnsi" w:hAnsiTheme="minorHAnsi"/>
                <w:bCs/>
                <w:color w:val="auto"/>
                <w:sz w:val="18"/>
                <w:szCs w:val="18"/>
              </w:rPr>
              <w:t>ystems (operational)</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882,000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13,041,000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1,050,000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14,973,000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sidRPr="00FB6E71">
              <w:rPr>
                <w:rFonts w:asciiTheme="minorHAnsi" w:hAnsiTheme="minorHAnsi"/>
                <w:bCs/>
                <w:color w:val="auto"/>
                <w:sz w:val="18"/>
                <w:szCs w:val="18"/>
              </w:rPr>
              <w:t>Reconstruct/</w:t>
            </w:r>
            <w:r>
              <w:rPr>
                <w:rFonts w:asciiTheme="minorHAnsi" w:hAnsiTheme="minorHAnsi"/>
                <w:bCs/>
                <w:color w:val="auto"/>
                <w:sz w:val="18"/>
                <w:szCs w:val="18"/>
              </w:rPr>
              <w:t>r</w:t>
            </w:r>
            <w:r w:rsidRPr="00FB6E71">
              <w:rPr>
                <w:rFonts w:asciiTheme="minorHAnsi" w:hAnsiTheme="minorHAnsi"/>
                <w:bCs/>
                <w:color w:val="auto"/>
                <w:sz w:val="18"/>
                <w:szCs w:val="18"/>
              </w:rPr>
              <w:t xml:space="preserve">ehabilitate </w:t>
            </w:r>
            <w:r>
              <w:rPr>
                <w:rFonts w:asciiTheme="minorHAnsi" w:hAnsiTheme="minorHAnsi"/>
                <w:bCs/>
                <w:color w:val="auto"/>
                <w:sz w:val="18"/>
                <w:szCs w:val="18"/>
              </w:rPr>
              <w:t>h</w:t>
            </w:r>
            <w:r w:rsidRPr="00FB6E71">
              <w:rPr>
                <w:rFonts w:asciiTheme="minorHAnsi" w:hAnsiTheme="minorHAnsi"/>
                <w:bCs/>
                <w:color w:val="auto"/>
                <w:sz w:val="18"/>
                <w:szCs w:val="18"/>
              </w:rPr>
              <w:t xml:space="preserve">ealth </w:t>
            </w:r>
            <w:r>
              <w:rPr>
                <w:rFonts w:asciiTheme="minorHAnsi" w:hAnsiTheme="minorHAnsi"/>
                <w:bCs/>
                <w:color w:val="auto"/>
                <w:sz w:val="18"/>
                <w:szCs w:val="18"/>
              </w:rPr>
              <w:t>c</w:t>
            </w:r>
            <w:r w:rsidRPr="00FB6E71">
              <w:rPr>
                <w:rFonts w:asciiTheme="minorHAnsi" w:hAnsiTheme="minorHAnsi"/>
                <w:bCs/>
                <w:color w:val="auto"/>
                <w:sz w:val="18"/>
                <w:szCs w:val="18"/>
              </w:rPr>
              <w:t xml:space="preserve">are </w:t>
            </w:r>
            <w:r>
              <w:rPr>
                <w:rFonts w:asciiTheme="minorHAnsi" w:hAnsiTheme="minorHAnsi"/>
                <w:bCs/>
                <w:color w:val="auto"/>
                <w:sz w:val="18"/>
                <w:szCs w:val="18"/>
              </w:rPr>
              <w:t>f</w:t>
            </w:r>
            <w:r w:rsidRPr="00FB6E71">
              <w:rPr>
                <w:rFonts w:asciiTheme="minorHAnsi" w:hAnsiTheme="minorHAnsi"/>
                <w:bCs/>
                <w:color w:val="auto"/>
                <w:sz w:val="18"/>
                <w:szCs w:val="18"/>
              </w:rPr>
              <w:t>acilities/</w:t>
            </w:r>
            <w:r>
              <w:rPr>
                <w:rFonts w:asciiTheme="minorHAnsi" w:hAnsiTheme="minorHAnsi"/>
                <w:bCs/>
                <w:color w:val="auto"/>
                <w:sz w:val="18"/>
                <w:szCs w:val="18"/>
              </w:rPr>
              <w:t>i</w:t>
            </w:r>
            <w:r w:rsidRPr="00FB6E71">
              <w:rPr>
                <w:rFonts w:asciiTheme="minorHAnsi" w:hAnsiTheme="minorHAnsi"/>
                <w:bCs/>
                <w:color w:val="auto"/>
                <w:sz w:val="18"/>
                <w:szCs w:val="18"/>
              </w:rPr>
              <w:t xml:space="preserve">nfrastructure </w:t>
            </w:r>
            <w:r>
              <w:rPr>
                <w:rFonts w:asciiTheme="minorHAnsi" w:hAnsiTheme="minorHAnsi"/>
                <w:bCs/>
                <w:color w:val="auto"/>
                <w:sz w:val="18"/>
                <w:szCs w:val="18"/>
              </w:rPr>
              <w:t>and</w:t>
            </w:r>
            <w:r w:rsidRPr="00FB6E71">
              <w:rPr>
                <w:rFonts w:asciiTheme="minorHAnsi" w:hAnsiTheme="minorHAnsi"/>
                <w:bCs/>
                <w:color w:val="auto"/>
                <w:sz w:val="18"/>
                <w:szCs w:val="18"/>
              </w:rPr>
              <w:t xml:space="preserve"> </w:t>
            </w:r>
            <w:r>
              <w:rPr>
                <w:rFonts w:asciiTheme="minorHAnsi" w:hAnsiTheme="minorHAnsi"/>
                <w:bCs/>
                <w:color w:val="auto"/>
                <w:sz w:val="18"/>
                <w:szCs w:val="18"/>
              </w:rPr>
              <w:t>e</w:t>
            </w:r>
            <w:r w:rsidRPr="00FB6E71">
              <w:rPr>
                <w:rFonts w:asciiTheme="minorHAnsi" w:hAnsiTheme="minorHAnsi"/>
                <w:bCs/>
                <w:color w:val="auto"/>
                <w:sz w:val="18"/>
                <w:szCs w:val="18"/>
              </w:rPr>
              <w:t>quipment</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22,916,400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71,830,400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53,168,000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147,914,800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sidRPr="00FB6E71">
              <w:rPr>
                <w:rFonts w:asciiTheme="minorHAnsi" w:hAnsiTheme="minorHAnsi"/>
                <w:bCs/>
                <w:color w:val="auto"/>
                <w:sz w:val="18"/>
                <w:szCs w:val="18"/>
              </w:rPr>
              <w:t xml:space="preserve">Health </w:t>
            </w:r>
            <w:r>
              <w:rPr>
                <w:rFonts w:asciiTheme="minorHAnsi" w:hAnsiTheme="minorHAnsi"/>
                <w:bCs/>
                <w:color w:val="auto"/>
                <w:sz w:val="18"/>
                <w:szCs w:val="18"/>
              </w:rPr>
              <w:t>s</w:t>
            </w:r>
            <w:r w:rsidRPr="00FB6E71">
              <w:rPr>
                <w:rFonts w:asciiTheme="minorHAnsi" w:hAnsiTheme="minorHAnsi"/>
                <w:bCs/>
                <w:color w:val="auto"/>
                <w:sz w:val="18"/>
                <w:szCs w:val="18"/>
              </w:rPr>
              <w:t xml:space="preserve">ystem </w:t>
            </w:r>
            <w:r>
              <w:rPr>
                <w:rFonts w:asciiTheme="minorHAnsi" w:hAnsiTheme="minorHAnsi"/>
                <w:bCs/>
                <w:color w:val="auto"/>
                <w:sz w:val="18"/>
                <w:szCs w:val="18"/>
              </w:rPr>
              <w:t>r</w:t>
            </w:r>
            <w:r w:rsidRPr="00FB6E71">
              <w:rPr>
                <w:rFonts w:asciiTheme="minorHAnsi" w:hAnsiTheme="minorHAnsi"/>
                <w:bCs/>
                <w:color w:val="auto"/>
                <w:sz w:val="18"/>
                <w:szCs w:val="18"/>
              </w:rPr>
              <w:t>estoration (capacity building)</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352,800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5,216,400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420,000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5,989,200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sidRPr="00FB6E71">
              <w:rPr>
                <w:rFonts w:asciiTheme="minorHAnsi" w:hAnsiTheme="minorHAnsi"/>
                <w:bCs/>
                <w:color w:val="auto"/>
                <w:sz w:val="18"/>
                <w:szCs w:val="18"/>
              </w:rPr>
              <w:t xml:space="preserve">Health </w:t>
            </w:r>
            <w:r>
              <w:rPr>
                <w:rFonts w:asciiTheme="minorHAnsi" w:hAnsiTheme="minorHAnsi"/>
                <w:bCs/>
                <w:color w:val="auto"/>
                <w:sz w:val="18"/>
                <w:szCs w:val="18"/>
              </w:rPr>
              <w:t>s</w:t>
            </w:r>
            <w:r w:rsidRPr="00FB6E71">
              <w:rPr>
                <w:rFonts w:asciiTheme="minorHAnsi" w:hAnsiTheme="minorHAnsi"/>
                <w:bCs/>
                <w:color w:val="auto"/>
                <w:sz w:val="18"/>
                <w:szCs w:val="18"/>
              </w:rPr>
              <w:t xml:space="preserve">ystem </w:t>
            </w:r>
            <w:r>
              <w:rPr>
                <w:rFonts w:asciiTheme="minorHAnsi" w:hAnsiTheme="minorHAnsi"/>
                <w:bCs/>
                <w:color w:val="auto"/>
                <w:sz w:val="18"/>
                <w:szCs w:val="18"/>
              </w:rPr>
              <w:t>r</w:t>
            </w:r>
            <w:r w:rsidRPr="00FB6E71">
              <w:rPr>
                <w:rFonts w:asciiTheme="minorHAnsi" w:hAnsiTheme="minorHAnsi"/>
                <w:bCs/>
                <w:color w:val="auto"/>
                <w:sz w:val="18"/>
                <w:szCs w:val="18"/>
              </w:rPr>
              <w:t>estoration (operational)</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529,200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7,824,600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630,000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8,983,800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sidRPr="00FB6E71">
              <w:rPr>
                <w:rFonts w:asciiTheme="minorHAnsi" w:hAnsiTheme="minorHAnsi"/>
                <w:bCs/>
                <w:color w:val="auto"/>
                <w:sz w:val="18"/>
                <w:szCs w:val="18"/>
              </w:rPr>
              <w:t xml:space="preserve">Risk </w:t>
            </w:r>
            <w:r>
              <w:rPr>
                <w:rFonts w:asciiTheme="minorHAnsi" w:hAnsiTheme="minorHAnsi"/>
                <w:bCs/>
                <w:color w:val="auto"/>
                <w:sz w:val="18"/>
                <w:szCs w:val="18"/>
              </w:rPr>
              <w:t>m</w:t>
            </w:r>
            <w:r w:rsidRPr="00FB6E71">
              <w:rPr>
                <w:rFonts w:asciiTheme="minorHAnsi" w:hAnsiTheme="minorHAnsi"/>
                <w:bCs/>
                <w:color w:val="auto"/>
                <w:sz w:val="18"/>
                <w:szCs w:val="18"/>
              </w:rPr>
              <w:t>itigation (capital)</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75,600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1,117,800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90,000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1,283,400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Pr>
                <w:rFonts w:asciiTheme="minorHAnsi" w:hAnsiTheme="minorHAnsi"/>
                <w:bCs/>
                <w:color w:val="auto"/>
                <w:sz w:val="18"/>
                <w:szCs w:val="18"/>
              </w:rPr>
              <w:t>R</w:t>
            </w:r>
            <w:r w:rsidRPr="00FB6E71">
              <w:rPr>
                <w:rFonts w:asciiTheme="minorHAnsi" w:hAnsiTheme="minorHAnsi"/>
                <w:bCs/>
                <w:color w:val="auto"/>
                <w:sz w:val="18"/>
                <w:szCs w:val="18"/>
              </w:rPr>
              <w:t xml:space="preserve">isk </w:t>
            </w:r>
            <w:r>
              <w:rPr>
                <w:rFonts w:asciiTheme="minorHAnsi" w:hAnsiTheme="minorHAnsi"/>
                <w:bCs/>
                <w:color w:val="auto"/>
                <w:sz w:val="18"/>
                <w:szCs w:val="18"/>
              </w:rPr>
              <w:t>m</w:t>
            </w:r>
            <w:r w:rsidRPr="00FB6E71">
              <w:rPr>
                <w:rFonts w:asciiTheme="minorHAnsi" w:hAnsiTheme="minorHAnsi"/>
                <w:bCs/>
                <w:color w:val="auto"/>
                <w:sz w:val="18"/>
                <w:szCs w:val="18"/>
              </w:rPr>
              <w:t>itigation (operational)</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302,400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4,471,200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360,000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5,133,600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Pr>
                <w:rFonts w:asciiTheme="minorHAnsi" w:hAnsiTheme="minorHAnsi"/>
                <w:bCs/>
                <w:color w:val="auto"/>
                <w:sz w:val="18"/>
                <w:szCs w:val="18"/>
              </w:rPr>
              <w:t>S</w:t>
            </w:r>
            <w:r w:rsidRPr="00FB6E71">
              <w:rPr>
                <w:rFonts w:asciiTheme="minorHAnsi" w:hAnsiTheme="minorHAnsi"/>
                <w:bCs/>
                <w:color w:val="auto"/>
                <w:sz w:val="18"/>
                <w:szCs w:val="18"/>
              </w:rPr>
              <w:t xml:space="preserve">ervice </w:t>
            </w:r>
            <w:r>
              <w:rPr>
                <w:rFonts w:asciiTheme="minorHAnsi" w:hAnsiTheme="minorHAnsi"/>
                <w:bCs/>
                <w:color w:val="auto"/>
                <w:sz w:val="18"/>
                <w:szCs w:val="18"/>
              </w:rPr>
              <w:t>p</w:t>
            </w:r>
            <w:r w:rsidRPr="00FB6E71">
              <w:rPr>
                <w:rFonts w:asciiTheme="minorHAnsi" w:hAnsiTheme="minorHAnsi"/>
                <w:bCs/>
                <w:color w:val="auto"/>
                <w:sz w:val="18"/>
                <w:szCs w:val="18"/>
              </w:rPr>
              <w:t>rovision (capital)</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3,024,000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44,712,000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3,600,000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51,336,000</w:t>
            </w:r>
          </w:p>
        </w:tc>
      </w:tr>
      <w:tr w:rsidTr="007F2DE7">
        <w:tblPrEx>
          <w:tblW w:w="5000" w:type="pct"/>
          <w:jc w:val="center"/>
          <w:tblLook w:val="04A0"/>
        </w:tblPrEx>
        <w:trPr>
          <w:cantSplit/>
          <w:trHeight w:val="20"/>
          <w:jc w:val="center"/>
        </w:trPr>
        <w:tc>
          <w:tcPr>
            <w:tcW w:w="4495" w:type="dxa"/>
            <w:shd w:val="clear" w:color="auto" w:fill="auto"/>
            <w:hideMark/>
          </w:tcPr>
          <w:p w:rsidR="007F2DE7" w:rsidRPr="00FB6E71" w:rsidP="007F2DE7">
            <w:pPr>
              <w:pStyle w:val="ListParagraph"/>
              <w:keepNext/>
              <w:ind w:left="0"/>
              <w:rPr>
                <w:rFonts w:asciiTheme="minorHAnsi" w:hAnsiTheme="minorHAnsi"/>
                <w:bCs/>
                <w:color w:val="auto"/>
                <w:sz w:val="18"/>
                <w:szCs w:val="18"/>
              </w:rPr>
            </w:pPr>
            <w:r>
              <w:rPr>
                <w:rFonts w:asciiTheme="minorHAnsi" w:hAnsiTheme="minorHAnsi"/>
                <w:bCs/>
                <w:color w:val="auto"/>
                <w:sz w:val="18"/>
                <w:szCs w:val="18"/>
              </w:rPr>
              <w:t>S</w:t>
            </w:r>
            <w:r w:rsidRPr="00FB6E71">
              <w:rPr>
                <w:rFonts w:asciiTheme="minorHAnsi" w:hAnsiTheme="minorHAnsi"/>
                <w:bCs/>
                <w:color w:val="auto"/>
                <w:sz w:val="18"/>
                <w:szCs w:val="18"/>
              </w:rPr>
              <w:t xml:space="preserve">ervice </w:t>
            </w:r>
            <w:r>
              <w:rPr>
                <w:rFonts w:asciiTheme="minorHAnsi" w:hAnsiTheme="minorHAnsi"/>
                <w:bCs/>
                <w:color w:val="auto"/>
                <w:sz w:val="18"/>
                <w:szCs w:val="18"/>
              </w:rPr>
              <w:t>p</w:t>
            </w:r>
            <w:r w:rsidRPr="00FB6E71">
              <w:rPr>
                <w:rFonts w:asciiTheme="minorHAnsi" w:hAnsiTheme="minorHAnsi"/>
                <w:bCs/>
                <w:color w:val="auto"/>
                <w:sz w:val="18"/>
                <w:szCs w:val="18"/>
              </w:rPr>
              <w:t>rovision (operational)</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22,176,000</w:t>
            </w:r>
          </w:p>
        </w:tc>
        <w:tc>
          <w:tcPr>
            <w:tcW w:w="126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327,888,000</w:t>
            </w:r>
          </w:p>
        </w:tc>
        <w:tc>
          <w:tcPr>
            <w:tcW w:w="1170" w:type="dxa"/>
            <w:shd w:val="clear" w:color="auto" w:fill="auto"/>
            <w:noWrap/>
            <w:hideMark/>
          </w:tcPr>
          <w:p w:rsidR="007F2DE7" w:rsidRPr="00FB6E71" w:rsidP="007F2DE7">
            <w:pPr>
              <w:pStyle w:val="ListParagraph"/>
              <w:keepNext/>
              <w:ind w:left="0"/>
              <w:jc w:val="right"/>
              <w:rPr>
                <w:rFonts w:asciiTheme="minorHAnsi" w:hAnsiTheme="minorHAnsi"/>
                <w:bCs/>
                <w:color w:val="auto"/>
                <w:sz w:val="18"/>
                <w:szCs w:val="18"/>
              </w:rPr>
            </w:pPr>
            <w:r w:rsidRPr="00FB6E71">
              <w:rPr>
                <w:rFonts w:asciiTheme="minorHAnsi" w:hAnsiTheme="minorHAnsi"/>
                <w:bCs/>
                <w:color w:val="auto"/>
                <w:sz w:val="18"/>
                <w:szCs w:val="18"/>
              </w:rPr>
              <w:t>26,400,000</w:t>
            </w:r>
          </w:p>
        </w:tc>
        <w:tc>
          <w:tcPr>
            <w:tcW w:w="1165" w:type="dxa"/>
            <w:shd w:val="clear" w:color="auto" w:fill="FFFFFF" w:themeFill="background1"/>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376,464,000</w:t>
            </w:r>
          </w:p>
        </w:tc>
      </w:tr>
      <w:tr w:rsidTr="007F2DE7">
        <w:tblPrEx>
          <w:tblW w:w="5000" w:type="pct"/>
          <w:jc w:val="center"/>
          <w:tblLook w:val="04A0"/>
        </w:tblPrEx>
        <w:trPr>
          <w:cantSplit/>
          <w:trHeight w:val="20"/>
          <w:jc w:val="center"/>
        </w:trPr>
        <w:tc>
          <w:tcPr>
            <w:tcW w:w="4495" w:type="dxa"/>
            <w:shd w:val="clear" w:color="auto" w:fill="EDEDED" w:themeFill="accent3" w:themeFillTint="33"/>
            <w:hideMark/>
          </w:tcPr>
          <w:p w:rsidR="007F2DE7" w:rsidRPr="00FB6E71" w:rsidP="007F2DE7">
            <w:pPr>
              <w:pStyle w:val="ListParagraph"/>
              <w:keepNext/>
              <w:ind w:left="0"/>
              <w:rPr>
                <w:rFonts w:asciiTheme="minorHAnsi" w:hAnsiTheme="minorHAnsi"/>
                <w:b/>
                <w:bCs/>
                <w:color w:val="auto"/>
                <w:sz w:val="18"/>
                <w:szCs w:val="18"/>
              </w:rPr>
            </w:pPr>
            <w:r w:rsidRPr="00FB6E71">
              <w:rPr>
                <w:rFonts w:asciiTheme="minorHAnsi" w:hAnsiTheme="minorHAnsi"/>
                <w:b/>
                <w:bCs/>
                <w:color w:val="auto"/>
                <w:sz w:val="18"/>
                <w:szCs w:val="18"/>
              </w:rPr>
              <w:t xml:space="preserve">Health Sector Total </w:t>
            </w:r>
          </w:p>
        </w:tc>
        <w:tc>
          <w:tcPr>
            <w:tcW w:w="1260" w:type="dxa"/>
            <w:shd w:val="clear" w:color="auto" w:fill="E7E6E6" w:themeFill="background2"/>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50,636,400</w:t>
            </w:r>
          </w:p>
        </w:tc>
        <w:tc>
          <w:tcPr>
            <w:tcW w:w="1260" w:type="dxa"/>
            <w:shd w:val="clear" w:color="auto" w:fill="E7E6E6" w:themeFill="background2"/>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481,690,400</w:t>
            </w:r>
          </w:p>
        </w:tc>
        <w:tc>
          <w:tcPr>
            <w:tcW w:w="1170" w:type="dxa"/>
            <w:shd w:val="clear" w:color="auto" w:fill="E7E6E6" w:themeFill="background2"/>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86,168,000</w:t>
            </w:r>
          </w:p>
        </w:tc>
        <w:tc>
          <w:tcPr>
            <w:tcW w:w="1165" w:type="dxa"/>
            <w:shd w:val="clear" w:color="auto" w:fill="E7E6E6" w:themeFill="background2"/>
            <w:noWrap/>
            <w:hideMark/>
          </w:tcPr>
          <w:p w:rsidR="007F2DE7" w:rsidRPr="00FB6E71" w:rsidP="007F2DE7">
            <w:pPr>
              <w:pStyle w:val="ListParagraph"/>
              <w:keepNext/>
              <w:ind w:left="0"/>
              <w:jc w:val="right"/>
              <w:rPr>
                <w:rFonts w:asciiTheme="minorHAnsi" w:hAnsiTheme="minorHAnsi"/>
                <w:b/>
                <w:bCs/>
                <w:color w:val="auto"/>
                <w:sz w:val="18"/>
                <w:szCs w:val="18"/>
              </w:rPr>
            </w:pPr>
            <w:r w:rsidRPr="00FB6E71">
              <w:rPr>
                <w:rFonts w:asciiTheme="minorHAnsi" w:hAnsiTheme="minorHAnsi"/>
                <w:b/>
                <w:bCs/>
                <w:color w:val="auto"/>
                <w:sz w:val="18"/>
                <w:szCs w:val="18"/>
              </w:rPr>
              <w:t>618,494,800</w:t>
            </w:r>
          </w:p>
        </w:tc>
      </w:tr>
    </w:tbl>
    <w:p w:rsidR="007F2DE7" w:rsidRPr="00FB6E71" w:rsidP="007F2DE7">
      <w:pPr>
        <w:pStyle w:val="ListParagraph"/>
        <w:widowControl/>
        <w:ind w:left="0"/>
        <w:contextualSpacing w:val="0"/>
        <w:jc w:val="center"/>
        <w:rPr>
          <w:rFonts w:asciiTheme="minorHAnsi" w:hAnsiTheme="minorHAnsi"/>
          <w:bCs/>
          <w:color w:val="auto"/>
          <w:sz w:val="18"/>
          <w:szCs w:val="18"/>
        </w:rPr>
      </w:pP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Interventions planned under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MCRP</w:t>
      </w:r>
      <w:r>
        <w:rPr>
          <w:rFonts w:asciiTheme="minorHAnsi" w:hAnsiTheme="minorHAnsi"/>
          <w:b/>
          <w:bCs/>
          <w:color w:val="auto"/>
          <w:sz w:val="22"/>
          <w:szCs w:val="22"/>
        </w:rPr>
        <w:t>.</w:t>
      </w:r>
      <w:r w:rsidRPr="00FB6E71">
        <w:rPr>
          <w:rFonts w:asciiTheme="minorHAnsi" w:hAnsiTheme="minorHAnsi"/>
          <w:bCs/>
          <w:color w:val="auto"/>
          <w:sz w:val="22"/>
          <w:szCs w:val="22"/>
        </w:rPr>
        <w:t xml:space="preserve"> The main focus of investments under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will be the reconstruction of health centers that have been severely damaged or destroyed by the crisis. This w</w:t>
      </w:r>
      <w:r>
        <w:rPr>
          <w:rFonts w:asciiTheme="minorHAnsi" w:hAnsiTheme="minorHAnsi"/>
          <w:bCs/>
          <w:color w:val="auto"/>
          <w:sz w:val="22"/>
          <w:szCs w:val="22"/>
        </w:rPr>
        <w:t>ill</w:t>
      </w:r>
      <w:r w:rsidRPr="00FB6E71">
        <w:rPr>
          <w:rFonts w:asciiTheme="minorHAnsi" w:hAnsiTheme="minorHAnsi"/>
          <w:bCs/>
          <w:color w:val="auto"/>
          <w:sz w:val="22"/>
          <w:szCs w:val="22"/>
        </w:rPr>
        <w:t xml:space="preserve"> include the rehabilitation/reconstruction of the physical health center buildings and associated accommodation </w:t>
      </w:r>
      <w:r w:rsidRPr="00FB6E71">
        <w:rPr>
          <w:rFonts w:ascii="Calibri" w:eastAsia="MS Mincho" w:hAnsi="Calibri" w:cs="Times New Roman"/>
          <w:bCs/>
          <w:color w:val="auto"/>
          <w:sz w:val="22"/>
          <w:szCs w:val="22"/>
        </w:rPr>
        <w:t>for</w:t>
      </w:r>
      <w:r w:rsidRPr="00FB6E71">
        <w:rPr>
          <w:rFonts w:asciiTheme="minorHAnsi" w:hAnsiTheme="minorHAnsi"/>
          <w:bCs/>
          <w:color w:val="auto"/>
          <w:sz w:val="22"/>
          <w:szCs w:val="22"/>
        </w:rPr>
        <w:t xml:space="preserve"> medical staff on call and all the necessary investments surrounding the health center to make it operational, including up-front investments in staff, furniture</w:t>
      </w:r>
      <w:r>
        <w:rPr>
          <w:rFonts w:asciiTheme="minorHAnsi" w:hAnsiTheme="minorHAnsi"/>
          <w:bCs/>
          <w:color w:val="auto"/>
          <w:sz w:val="22"/>
          <w:szCs w:val="22"/>
        </w:rPr>
        <w:t>,</w:t>
      </w:r>
      <w:r w:rsidRPr="00FB6E71">
        <w:rPr>
          <w:rFonts w:asciiTheme="minorHAnsi" w:hAnsiTheme="minorHAnsi"/>
          <w:bCs/>
          <w:color w:val="auto"/>
          <w:sz w:val="22"/>
          <w:szCs w:val="22"/>
        </w:rPr>
        <w:t xml:space="preserve"> and supplies. The average cost for the reconstruction of a fully destroyed health care facility, including equipment but not staff, is approximately US$215,000. Combined with the start-up costs </w:t>
      </w:r>
      <w:r>
        <w:rPr>
          <w:rFonts w:asciiTheme="minorHAnsi" w:hAnsiTheme="minorHAnsi"/>
          <w:bCs/>
          <w:color w:val="auto"/>
          <w:sz w:val="22"/>
          <w:szCs w:val="22"/>
        </w:rPr>
        <w:t xml:space="preserve">for </w:t>
      </w:r>
      <w:r w:rsidRPr="00FB6E71">
        <w:rPr>
          <w:rFonts w:asciiTheme="minorHAnsi" w:hAnsiTheme="minorHAnsi"/>
          <w:bCs/>
          <w:color w:val="auto"/>
          <w:sz w:val="22"/>
          <w:szCs w:val="22"/>
        </w:rPr>
        <w:t>staffing and supplies, each facility w</w:t>
      </w:r>
      <w:r>
        <w:rPr>
          <w:rFonts w:asciiTheme="minorHAnsi" w:hAnsiTheme="minorHAnsi"/>
          <w:bCs/>
          <w:color w:val="auto"/>
          <w:sz w:val="22"/>
          <w:szCs w:val="22"/>
        </w:rPr>
        <w:t>ill</w:t>
      </w:r>
      <w:r w:rsidRPr="00FB6E71">
        <w:rPr>
          <w:rFonts w:asciiTheme="minorHAnsi" w:hAnsiTheme="minorHAnsi"/>
          <w:bCs/>
          <w:color w:val="auto"/>
          <w:sz w:val="22"/>
          <w:szCs w:val="22"/>
        </w:rPr>
        <w:t xml:space="preserve"> require an up-front investment of US$300,000.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Complementarity with World Bank AF. </w:t>
      </w:r>
      <w:r w:rsidRPr="00FB6E71">
        <w:rPr>
          <w:rFonts w:asciiTheme="minorHAnsi" w:hAnsiTheme="minorHAnsi"/>
          <w:bCs/>
          <w:color w:val="auto"/>
          <w:sz w:val="22"/>
          <w:szCs w:val="22"/>
        </w:rPr>
        <w:t>The proposed interventions under the MCRP w</w:t>
      </w:r>
      <w:r>
        <w:rPr>
          <w:rFonts w:asciiTheme="minorHAnsi" w:hAnsiTheme="minorHAnsi"/>
          <w:bCs/>
          <w:color w:val="auto"/>
          <w:sz w:val="22"/>
          <w:szCs w:val="22"/>
        </w:rPr>
        <w:t>ill</w:t>
      </w:r>
      <w:r w:rsidRPr="00FB6E71">
        <w:rPr>
          <w:rFonts w:asciiTheme="minorHAnsi" w:hAnsiTheme="minorHAnsi"/>
          <w:bCs/>
          <w:color w:val="auto"/>
          <w:sz w:val="22"/>
          <w:szCs w:val="22"/>
        </w:rPr>
        <w:t xml:space="preserve"> align well with the NSHIP, which will focus on restoring and strengthening health care service delivery using an outsourced and performance-based implementation model, while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MCRP will focus mainly on the restoration of physical infrastructure and public sector service delivery capacity. NSHIP will only finance small repairs to health centers, while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MCRP will focus more on health centers that are severely damaged or destroyed. With regard to geographic focus, the project proposes to align with the approach taken by the NSHIP, by targeting LGAs that (a) were severely </w:t>
      </w:r>
      <w:r>
        <w:rPr>
          <w:rFonts w:asciiTheme="minorHAnsi" w:hAnsiTheme="minorHAnsi"/>
          <w:bCs/>
          <w:color w:val="auto"/>
          <w:sz w:val="22"/>
          <w:szCs w:val="22"/>
        </w:rPr>
        <w:t>affected</w:t>
      </w:r>
      <w:r w:rsidRPr="00FB6E71">
        <w:rPr>
          <w:rFonts w:asciiTheme="minorHAnsi" w:hAnsiTheme="minorHAnsi"/>
          <w:bCs/>
          <w:color w:val="auto"/>
          <w:sz w:val="22"/>
          <w:szCs w:val="22"/>
        </w:rPr>
        <w:t xml:space="preserve"> by the crisis, (b) have a stable security environment, (c) have a high population density of IDP and conflict-affected people, and (d) align with other World Bank projects. This way, the infrastructure reconstructed under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can then be sustained and strengthened further by the performance-based grants from the NSHIP.</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Complementarity with other development partners</w:t>
      </w:r>
      <w:r>
        <w:rPr>
          <w:rFonts w:asciiTheme="minorHAnsi" w:hAnsiTheme="minorHAnsi"/>
          <w:b/>
          <w:bCs/>
          <w:color w:val="auto"/>
          <w:sz w:val="22"/>
          <w:szCs w:val="22"/>
        </w:rPr>
        <w:t>.</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The AfDB is planning to provide US$11.5 million to finance primary health care services recovery spread across the reconstruction of 30 </w:t>
      </w:r>
      <w:r>
        <w:rPr>
          <w:rFonts w:asciiTheme="minorHAnsi" w:hAnsiTheme="minorHAnsi"/>
          <w:bCs/>
          <w:color w:val="auto"/>
          <w:sz w:val="22"/>
          <w:szCs w:val="22"/>
        </w:rPr>
        <w:t>p</w:t>
      </w:r>
      <w:r w:rsidRPr="00FB6E71">
        <w:rPr>
          <w:rFonts w:asciiTheme="minorHAnsi" w:hAnsiTheme="minorHAnsi"/>
          <w:bCs/>
          <w:color w:val="auto"/>
          <w:sz w:val="22"/>
          <w:szCs w:val="22"/>
        </w:rPr>
        <w:t xml:space="preserve">rimary </w:t>
      </w:r>
      <w:r>
        <w:rPr>
          <w:rFonts w:asciiTheme="minorHAnsi" w:hAnsiTheme="minorHAnsi"/>
          <w:bCs/>
          <w:color w:val="auto"/>
          <w:sz w:val="22"/>
          <w:szCs w:val="22"/>
        </w:rPr>
        <w:t>h</w:t>
      </w:r>
      <w:r w:rsidRPr="00FB6E71">
        <w:rPr>
          <w:rFonts w:asciiTheme="minorHAnsi" w:hAnsiTheme="minorHAnsi"/>
          <w:bCs/>
          <w:color w:val="auto"/>
          <w:sz w:val="22"/>
          <w:szCs w:val="22"/>
        </w:rPr>
        <w:t xml:space="preserve">ealth </w:t>
      </w:r>
      <w:r>
        <w:rPr>
          <w:rFonts w:asciiTheme="minorHAnsi" w:hAnsiTheme="minorHAnsi"/>
          <w:bCs/>
          <w:color w:val="auto"/>
          <w:sz w:val="22"/>
          <w:szCs w:val="22"/>
        </w:rPr>
        <w:t>c</w:t>
      </w:r>
      <w:r w:rsidRPr="00FB6E71">
        <w:rPr>
          <w:rFonts w:asciiTheme="minorHAnsi" w:hAnsiTheme="minorHAnsi"/>
          <w:bCs/>
          <w:color w:val="auto"/>
          <w:sz w:val="22"/>
          <w:szCs w:val="22"/>
        </w:rPr>
        <w:t xml:space="preserve">are </w:t>
      </w:r>
      <w:r>
        <w:rPr>
          <w:rFonts w:asciiTheme="minorHAnsi" w:hAnsiTheme="minorHAnsi"/>
          <w:bCs/>
          <w:color w:val="auto"/>
          <w:sz w:val="22"/>
          <w:szCs w:val="22"/>
        </w:rPr>
        <w:t>c</w:t>
      </w:r>
      <w:r w:rsidRPr="00FB6E71">
        <w:rPr>
          <w:rFonts w:asciiTheme="minorHAnsi" w:hAnsiTheme="minorHAnsi"/>
          <w:bCs/>
          <w:color w:val="auto"/>
          <w:sz w:val="22"/>
          <w:szCs w:val="22"/>
        </w:rPr>
        <w:t>enters, strengthening</w:t>
      </w:r>
      <w:r>
        <w:rPr>
          <w:rFonts w:asciiTheme="minorHAnsi" w:hAnsiTheme="minorHAnsi"/>
          <w:bCs/>
          <w:color w:val="auto"/>
          <w:sz w:val="22"/>
          <w:szCs w:val="22"/>
        </w:rPr>
        <w:t xml:space="preserve"> of the</w:t>
      </w:r>
      <w:r w:rsidRPr="00FB6E71">
        <w:rPr>
          <w:rFonts w:asciiTheme="minorHAnsi" w:hAnsiTheme="minorHAnsi"/>
          <w:bCs/>
          <w:color w:val="auto"/>
          <w:sz w:val="22"/>
          <w:szCs w:val="22"/>
        </w:rPr>
        <w:t xml:space="preserve"> referral and outreach services to remote communities and routine immunization services</w:t>
      </w:r>
      <w:r>
        <w:rPr>
          <w:rFonts w:asciiTheme="minorHAnsi" w:hAnsiTheme="minorHAnsi"/>
          <w:bCs/>
          <w:color w:val="auto"/>
          <w:sz w:val="22"/>
          <w:szCs w:val="22"/>
        </w:rPr>
        <w:t>,</w:t>
      </w:r>
      <w:r w:rsidRPr="00FB6E71">
        <w:rPr>
          <w:rFonts w:asciiTheme="minorHAnsi" w:hAnsiTheme="minorHAnsi"/>
          <w:bCs/>
          <w:color w:val="auto"/>
          <w:sz w:val="22"/>
          <w:szCs w:val="22"/>
        </w:rPr>
        <w:t xml:space="preserve"> and training programs on integrated health service delivery. This multidimensional focus of the AfDB project allows the MCRP to concentrate on physical restoration of health centers without risking overlaps. However</w:t>
      </w:r>
      <w:r>
        <w:rPr>
          <w:rFonts w:asciiTheme="minorHAnsi" w:hAnsiTheme="minorHAnsi"/>
          <w:bCs/>
          <w:color w:val="auto"/>
          <w:sz w:val="22"/>
          <w:szCs w:val="22"/>
        </w:rPr>
        <w:t>,</w:t>
      </w:r>
      <w:r w:rsidRPr="00FB6E71">
        <w:rPr>
          <w:rFonts w:asciiTheme="minorHAnsi" w:hAnsiTheme="minorHAnsi"/>
          <w:bCs/>
          <w:color w:val="auto"/>
          <w:sz w:val="22"/>
          <w:szCs w:val="22"/>
        </w:rPr>
        <w:t xml:space="preserve"> at the same time, the geographical distribution, designs</w:t>
      </w:r>
      <w:r>
        <w:rPr>
          <w:rFonts w:asciiTheme="minorHAnsi" w:hAnsiTheme="minorHAnsi"/>
          <w:bCs/>
          <w:color w:val="auto"/>
          <w:sz w:val="22"/>
          <w:szCs w:val="22"/>
        </w:rPr>
        <w:t>,</w:t>
      </w:r>
      <w:r w:rsidRPr="00FB6E71">
        <w:rPr>
          <w:rFonts w:asciiTheme="minorHAnsi" w:hAnsiTheme="minorHAnsi"/>
          <w:bCs/>
          <w:color w:val="auto"/>
          <w:sz w:val="22"/>
          <w:szCs w:val="22"/>
        </w:rPr>
        <w:t xml:space="preserve"> and quality standards of interventions proposed under the MCRP and AfDB will be closely coordinated and synchronized under the joint programming and complementary implementation arrangements b</w:t>
      </w:r>
      <w:r w:rsidRPr="00FB6E71">
        <w:rPr>
          <w:rFonts w:ascii="Calibri" w:eastAsia="Times New Roman" w:hAnsi="Calibri" w:cs="Times New Roman"/>
          <w:color w:val="auto"/>
          <w:sz w:val="22"/>
          <w:szCs w:val="22"/>
        </w:rPr>
        <w:t>eing worked out between the World Bank and AfDB.</w:t>
      </w:r>
    </w:p>
    <w:p w:rsidR="007F2DE7" w:rsidRPr="00FB6E71" w:rsidP="007F2DE7">
      <w:pPr>
        <w:keepNext/>
        <w:keepLines/>
        <w:widowControl/>
        <w:spacing w:after="240"/>
        <w:rPr>
          <w:rFonts w:asciiTheme="minorHAnsi" w:hAnsiTheme="minorHAnsi"/>
          <w:bCs/>
          <w:i/>
          <w:color w:val="auto"/>
          <w:sz w:val="22"/>
          <w:szCs w:val="22"/>
        </w:rPr>
      </w:pPr>
      <w:r w:rsidRPr="00FB6E71">
        <w:rPr>
          <w:rFonts w:asciiTheme="minorHAnsi" w:hAnsiTheme="minorHAnsi"/>
          <w:bCs/>
          <w:i/>
          <w:color w:val="auto"/>
          <w:sz w:val="22"/>
          <w:szCs w:val="22"/>
        </w:rPr>
        <w:t xml:space="preserve">Rehabilitation of Public Buildings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Recovery </w:t>
      </w:r>
      <w:r>
        <w:rPr>
          <w:rFonts w:asciiTheme="minorHAnsi" w:hAnsiTheme="minorHAnsi"/>
          <w:b/>
          <w:bCs/>
          <w:color w:val="auto"/>
          <w:sz w:val="22"/>
          <w:szCs w:val="22"/>
        </w:rPr>
        <w:t>n</w:t>
      </w:r>
      <w:r w:rsidRPr="00FB6E71">
        <w:rPr>
          <w:rFonts w:asciiTheme="minorHAnsi" w:hAnsiTheme="minorHAnsi"/>
          <w:b/>
          <w:bCs/>
          <w:color w:val="auto"/>
          <w:sz w:val="22"/>
          <w:szCs w:val="22"/>
        </w:rPr>
        <w:t xml:space="preserve">eeds and </w:t>
      </w:r>
      <w:r>
        <w:rPr>
          <w:rFonts w:asciiTheme="minorHAnsi" w:hAnsiTheme="minorHAnsi"/>
          <w:b/>
          <w:bCs/>
          <w:color w:val="auto"/>
          <w:sz w:val="22"/>
          <w:szCs w:val="22"/>
        </w:rPr>
        <w:t>s</w:t>
      </w:r>
      <w:r w:rsidRPr="00FB6E71">
        <w:rPr>
          <w:rFonts w:asciiTheme="minorHAnsi" w:hAnsiTheme="minorHAnsi"/>
          <w:b/>
          <w:bCs/>
          <w:color w:val="auto"/>
          <w:sz w:val="22"/>
          <w:szCs w:val="22"/>
        </w:rPr>
        <w:t xml:space="preserve">trategy for </w:t>
      </w:r>
      <w:r>
        <w:rPr>
          <w:rFonts w:asciiTheme="minorHAnsi" w:hAnsiTheme="minorHAnsi"/>
          <w:b/>
          <w:bCs/>
          <w:color w:val="auto"/>
          <w:sz w:val="22"/>
          <w:szCs w:val="22"/>
        </w:rPr>
        <w:t>p</w:t>
      </w:r>
      <w:r w:rsidRPr="00FB6E71">
        <w:rPr>
          <w:rFonts w:asciiTheme="minorHAnsi" w:hAnsiTheme="minorHAnsi"/>
          <w:b/>
          <w:bCs/>
          <w:color w:val="auto"/>
          <w:sz w:val="22"/>
          <w:szCs w:val="22"/>
        </w:rPr>
        <w:t xml:space="preserve">ublic </w:t>
      </w:r>
      <w:r>
        <w:rPr>
          <w:rFonts w:asciiTheme="minorHAnsi" w:hAnsiTheme="minorHAnsi"/>
          <w:b/>
          <w:bCs/>
          <w:color w:val="auto"/>
          <w:sz w:val="22"/>
          <w:szCs w:val="22"/>
        </w:rPr>
        <w:t>b</w:t>
      </w:r>
      <w:r w:rsidRPr="00FB6E71">
        <w:rPr>
          <w:rFonts w:asciiTheme="minorHAnsi" w:hAnsiTheme="minorHAnsi"/>
          <w:b/>
          <w:bCs/>
          <w:color w:val="auto"/>
          <w:sz w:val="22"/>
          <w:szCs w:val="22"/>
        </w:rPr>
        <w:t>uildings under the RPBA</w:t>
      </w:r>
      <w:r>
        <w:rPr>
          <w:rFonts w:asciiTheme="minorHAnsi" w:hAnsiTheme="minorHAnsi"/>
          <w:b/>
          <w:bCs/>
          <w:color w:val="auto"/>
          <w:sz w:val="22"/>
          <w:szCs w:val="22"/>
        </w:rPr>
        <w:t>.</w:t>
      </w:r>
      <w:r w:rsidRPr="00FB6E71">
        <w:rPr>
          <w:rFonts w:asciiTheme="minorHAnsi" w:hAnsiTheme="minorHAnsi"/>
          <w:bCs/>
          <w:color w:val="auto"/>
          <w:sz w:val="22"/>
          <w:szCs w:val="22"/>
        </w:rPr>
        <w:t xml:space="preserve"> Nearly 700 public buildings were </w:t>
      </w:r>
      <w:r>
        <w:rPr>
          <w:rFonts w:asciiTheme="minorHAnsi" w:hAnsiTheme="minorHAnsi"/>
          <w:bCs/>
          <w:color w:val="auto"/>
          <w:sz w:val="22"/>
          <w:szCs w:val="22"/>
        </w:rPr>
        <w:t>affected</w:t>
      </w:r>
      <w:r w:rsidRPr="00FB6E71">
        <w:rPr>
          <w:rFonts w:asciiTheme="minorHAnsi" w:hAnsiTheme="minorHAnsi"/>
          <w:bCs/>
          <w:color w:val="auto"/>
          <w:sz w:val="22"/>
          <w:szCs w:val="22"/>
        </w:rPr>
        <w:t xml:space="preserve"> by the conflict, of which 94 percent were destroyed or rendered dysfunctional otherwise. These damaged public buildings include police stations, jails, post offices, and</w:t>
      </w:r>
      <w:r>
        <w:rPr>
          <w:rFonts w:asciiTheme="minorHAnsi" w:hAnsiTheme="minorHAnsi"/>
          <w:bCs/>
          <w:color w:val="auto"/>
          <w:sz w:val="22"/>
          <w:szCs w:val="22"/>
        </w:rPr>
        <w:t>,</w:t>
      </w:r>
      <w:r w:rsidRPr="00FB6E71">
        <w:rPr>
          <w:rFonts w:asciiTheme="minorHAnsi" w:hAnsiTheme="minorHAnsi"/>
          <w:bCs/>
          <w:color w:val="auto"/>
          <w:sz w:val="22"/>
          <w:szCs w:val="22"/>
        </w:rPr>
        <w:t xml:space="preserve"> most importantly, local administrative buildings</w:t>
      </w:r>
      <w:r>
        <w:rPr>
          <w:rFonts w:asciiTheme="minorHAnsi" w:hAnsiTheme="minorHAnsi"/>
          <w:bCs/>
          <w:color w:val="auto"/>
          <w:sz w:val="22"/>
          <w:szCs w:val="22"/>
        </w:rPr>
        <w:t>,</w:t>
      </w:r>
      <w:r w:rsidRPr="00FB6E71">
        <w:rPr>
          <w:rFonts w:asciiTheme="minorHAnsi" w:hAnsiTheme="minorHAnsi"/>
          <w:bCs/>
          <w:color w:val="auto"/>
          <w:sz w:val="22"/>
          <w:szCs w:val="22"/>
        </w:rPr>
        <w:t xml:space="preserve"> which provided key municipal services to the residents. The rehabilitation and restoration of local government offices is a key physical precondition to strengthening the recovery efforts and institutional capacity at the local level and is essential for the restoration and improvement of social contract between the affected population and the LGAs. The estimated needs regarding the rehabilitation of the local government buildings in the RPBA are summarized in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_Ref475642817 \h  \* MERGEFORMAT </w:instrText>
      </w:r>
      <w:r>
        <w:rPr>
          <w:rFonts w:asciiTheme="minorHAnsi" w:hAnsiTheme="minorHAnsi"/>
          <w:bCs/>
          <w:color w:val="auto"/>
          <w:sz w:val="22"/>
          <w:szCs w:val="22"/>
        </w:rPr>
        <w:fldChar w:fldCharType="separate"/>
      </w:r>
      <w:r w:rsidRPr="003D4967">
        <w:rPr>
          <w:rFonts w:asciiTheme="minorHAnsi" w:hAnsiTheme="minorHAnsi"/>
          <w:bCs/>
          <w:color w:val="auto"/>
          <w:sz w:val="22"/>
          <w:szCs w:val="22"/>
        </w:rPr>
        <w:t>table 1.6</w:t>
      </w:r>
      <w:r>
        <w:rPr>
          <w:rFonts w:asciiTheme="minorHAnsi" w:hAnsiTheme="minorHAnsi"/>
          <w:bCs/>
          <w:color w:val="auto"/>
          <w:sz w:val="22"/>
          <w:szCs w:val="22"/>
        </w:rPr>
        <w:fldChar w:fldCharType="end"/>
      </w:r>
      <w:r w:rsidRPr="00FB6E71">
        <w:rPr>
          <w:rFonts w:asciiTheme="minorHAnsi" w:hAnsiTheme="minorHAnsi"/>
          <w:bCs/>
          <w:color w:val="auto"/>
          <w:sz w:val="22"/>
          <w:szCs w:val="22"/>
        </w:rPr>
        <w:t>.</w:t>
      </w:r>
    </w:p>
    <w:p w:rsidR="007F2DE7" w:rsidRPr="00FB6E71" w:rsidP="007F2DE7">
      <w:pPr>
        <w:pStyle w:val="Caption"/>
        <w:keepNext/>
        <w:keepLines/>
        <w:widowControl/>
        <w:spacing w:before="120" w:after="120"/>
        <w:jc w:val="center"/>
        <w:rPr>
          <w:rFonts w:asciiTheme="minorHAnsi" w:hAnsiTheme="minorHAnsi"/>
          <w:b/>
          <w:i w:val="0"/>
          <w:color w:val="auto"/>
        </w:rPr>
      </w:pPr>
      <w:bookmarkStart w:id="126" w:name="_Ref475642817"/>
      <w:r w:rsidRPr="00FB6E71">
        <w:rPr>
          <w:rFonts w:asciiTheme="minorHAnsi" w:hAnsiTheme="minorHAnsi"/>
          <w:b/>
          <w:i w:val="0"/>
          <w:color w:val="auto"/>
        </w:rPr>
        <w:t>Table 1.</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Table_1. \* ARABIC </w:instrText>
      </w:r>
      <w:r w:rsidRPr="00FB6E71">
        <w:rPr>
          <w:rFonts w:asciiTheme="minorHAnsi" w:hAnsiTheme="minorHAnsi"/>
          <w:b/>
          <w:i w:val="0"/>
          <w:color w:val="auto"/>
        </w:rPr>
        <w:fldChar w:fldCharType="separate"/>
      </w:r>
      <w:r w:rsidRPr="00FB6E71">
        <w:rPr>
          <w:rFonts w:asciiTheme="minorHAnsi" w:hAnsiTheme="minorHAnsi"/>
          <w:b/>
          <w:i w:val="0"/>
          <w:color w:val="auto"/>
        </w:rPr>
        <w:t>6</w:t>
      </w:r>
      <w:r w:rsidRPr="00FB6E71">
        <w:rPr>
          <w:rFonts w:asciiTheme="minorHAnsi" w:hAnsiTheme="minorHAnsi"/>
          <w:b/>
          <w:i w:val="0"/>
          <w:color w:val="auto"/>
        </w:rPr>
        <w:fldChar w:fldCharType="end"/>
      </w:r>
      <w:bookmarkEnd w:id="126"/>
      <w:r>
        <w:rPr>
          <w:rFonts w:asciiTheme="minorHAnsi" w:hAnsiTheme="minorHAnsi"/>
          <w:b/>
          <w:i w:val="0"/>
          <w:color w:val="auto"/>
        </w:rPr>
        <w:t>.</w:t>
      </w:r>
      <w:r w:rsidRPr="00FB6E71">
        <w:rPr>
          <w:rFonts w:asciiTheme="minorHAnsi" w:hAnsiTheme="minorHAnsi"/>
          <w:b/>
          <w:i w:val="0"/>
          <w:color w:val="auto"/>
        </w:rPr>
        <w:t xml:space="preserve"> Needs Overview for Public Buildings</w:t>
      </w:r>
      <w:r>
        <w:rPr>
          <w:rFonts w:asciiTheme="minorHAnsi" w:hAnsiTheme="minorHAnsi"/>
          <w:b/>
          <w:i w:val="0"/>
          <w:color w:val="auto"/>
        </w:rPr>
        <w:t xml:space="preserve"> (US$)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1451"/>
        <w:gridCol w:w="1632"/>
        <w:gridCol w:w="1632"/>
        <w:gridCol w:w="1552"/>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20"/>
          <w:tblHeader/>
          <w:jc w:val="center"/>
        </w:trPr>
        <w:tc>
          <w:tcPr>
            <w:tcW w:w="3083" w:type="dxa"/>
            <w:shd w:val="clear" w:color="auto" w:fill="F2F2F2" w:themeFill="background1" w:themeFillShade="F2"/>
            <w:noWrap/>
            <w:vAlign w:val="center"/>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Needs by Activity</w:t>
            </w:r>
          </w:p>
        </w:tc>
        <w:tc>
          <w:tcPr>
            <w:tcW w:w="1451" w:type="dxa"/>
            <w:shd w:val="clear" w:color="auto" w:fill="F2F2F2" w:themeFill="background1" w:themeFillShade="F2"/>
            <w:noWrap/>
            <w:vAlign w:val="center"/>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Adamawa</w:t>
            </w:r>
          </w:p>
        </w:tc>
        <w:tc>
          <w:tcPr>
            <w:tcW w:w="1632" w:type="dxa"/>
            <w:shd w:val="clear" w:color="auto" w:fill="F2F2F2" w:themeFill="background1" w:themeFillShade="F2"/>
            <w:noWrap/>
            <w:vAlign w:val="center"/>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Borno</w:t>
            </w:r>
          </w:p>
        </w:tc>
        <w:tc>
          <w:tcPr>
            <w:tcW w:w="1632" w:type="dxa"/>
            <w:shd w:val="clear" w:color="auto" w:fill="F2F2F2" w:themeFill="background1" w:themeFillShade="F2"/>
            <w:noWrap/>
            <w:vAlign w:val="center"/>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Yobe</w:t>
            </w:r>
          </w:p>
        </w:tc>
        <w:tc>
          <w:tcPr>
            <w:tcW w:w="1552" w:type="dxa"/>
            <w:shd w:val="clear" w:color="auto" w:fill="F2F2F2" w:themeFill="background1" w:themeFillShade="F2"/>
            <w:noWrap/>
            <w:vAlign w:val="center"/>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Total</w:t>
            </w:r>
          </w:p>
        </w:tc>
      </w:tr>
      <w:tr w:rsidTr="007F2DE7">
        <w:tblPrEx>
          <w:tblW w:w="5000" w:type="pct"/>
          <w:jc w:val="center"/>
          <w:tblLook w:val="04A0"/>
        </w:tblPrEx>
        <w:trPr>
          <w:cantSplit/>
          <w:trHeight w:val="20"/>
          <w:jc w:val="center"/>
        </w:trPr>
        <w:tc>
          <w:tcPr>
            <w:tcW w:w="3083" w:type="dxa"/>
            <w:shd w:val="clear" w:color="auto" w:fill="auto"/>
            <w:noWrap/>
            <w:hideMark/>
          </w:tcPr>
          <w:p w:rsidR="007F2DE7" w:rsidRPr="00FB6E71" w:rsidP="007F2DE7">
            <w:pPr>
              <w:keepNext/>
              <w:rPr>
                <w:rFonts w:asciiTheme="minorHAnsi" w:hAnsiTheme="minorHAnsi"/>
                <w:bCs/>
                <w:color w:val="auto"/>
                <w:sz w:val="18"/>
                <w:szCs w:val="18"/>
              </w:rPr>
            </w:pPr>
            <w:r w:rsidRPr="00FB6E71">
              <w:rPr>
                <w:rFonts w:asciiTheme="minorHAnsi" w:hAnsiTheme="minorHAnsi"/>
                <w:bCs/>
                <w:color w:val="auto"/>
                <w:sz w:val="18"/>
                <w:szCs w:val="18"/>
              </w:rPr>
              <w:t>Local government building</w:t>
            </w:r>
          </w:p>
        </w:tc>
        <w:tc>
          <w:tcPr>
            <w:tcW w:w="1451" w:type="dxa"/>
            <w:shd w:val="clear" w:color="auto" w:fill="auto"/>
            <w:noWrap/>
            <w:hideMark/>
          </w:tcPr>
          <w:p w:rsidR="007F2DE7" w:rsidRPr="00FB6E71" w:rsidP="007F2DE7">
            <w:pPr>
              <w:keepNext/>
              <w:jc w:val="center"/>
              <w:rPr>
                <w:rFonts w:asciiTheme="minorHAnsi" w:hAnsiTheme="minorHAnsi"/>
                <w:bCs/>
                <w:color w:val="auto"/>
                <w:sz w:val="18"/>
                <w:szCs w:val="18"/>
              </w:rPr>
            </w:pPr>
            <w:r w:rsidRPr="00FB6E71">
              <w:rPr>
                <w:rFonts w:asciiTheme="minorHAnsi" w:hAnsiTheme="minorHAnsi"/>
                <w:bCs/>
                <w:color w:val="auto"/>
                <w:sz w:val="18"/>
                <w:szCs w:val="18"/>
              </w:rPr>
              <w:t>5,610,000</w:t>
            </w:r>
          </w:p>
        </w:tc>
        <w:tc>
          <w:tcPr>
            <w:tcW w:w="1632" w:type="dxa"/>
            <w:shd w:val="clear" w:color="auto" w:fill="auto"/>
            <w:noWrap/>
            <w:hideMark/>
          </w:tcPr>
          <w:p w:rsidR="007F2DE7" w:rsidRPr="00FB6E71" w:rsidP="007F2DE7">
            <w:pPr>
              <w:keepNext/>
              <w:jc w:val="center"/>
              <w:rPr>
                <w:rFonts w:asciiTheme="minorHAnsi" w:hAnsiTheme="minorHAnsi"/>
                <w:bCs/>
                <w:color w:val="auto"/>
                <w:sz w:val="18"/>
                <w:szCs w:val="18"/>
              </w:rPr>
            </w:pPr>
            <w:r w:rsidRPr="00FB6E71">
              <w:rPr>
                <w:rFonts w:asciiTheme="minorHAnsi" w:hAnsiTheme="minorHAnsi"/>
                <w:bCs/>
                <w:color w:val="auto"/>
                <w:sz w:val="18"/>
                <w:szCs w:val="18"/>
              </w:rPr>
              <w:t>157,080,000</w:t>
            </w:r>
          </w:p>
        </w:tc>
        <w:tc>
          <w:tcPr>
            <w:tcW w:w="1632" w:type="dxa"/>
            <w:shd w:val="clear" w:color="auto" w:fill="auto"/>
            <w:noWrap/>
            <w:hideMark/>
          </w:tcPr>
          <w:p w:rsidR="007F2DE7" w:rsidRPr="00FB6E71" w:rsidP="007F2DE7">
            <w:pPr>
              <w:keepNext/>
              <w:jc w:val="center"/>
              <w:rPr>
                <w:rFonts w:asciiTheme="minorHAnsi" w:hAnsiTheme="minorHAnsi"/>
                <w:bCs/>
                <w:color w:val="auto"/>
                <w:sz w:val="18"/>
                <w:szCs w:val="18"/>
              </w:rPr>
            </w:pPr>
            <w:r w:rsidRPr="00FB6E71">
              <w:rPr>
                <w:rFonts w:asciiTheme="minorHAnsi" w:hAnsiTheme="minorHAnsi"/>
                <w:bCs/>
                <w:color w:val="auto"/>
                <w:sz w:val="18"/>
                <w:szCs w:val="18"/>
              </w:rPr>
              <w:t>7,012,500</w:t>
            </w:r>
          </w:p>
        </w:tc>
        <w:tc>
          <w:tcPr>
            <w:tcW w:w="1552" w:type="dxa"/>
            <w:shd w:val="clear" w:color="auto" w:fill="auto"/>
            <w:noWrap/>
            <w:hideMark/>
          </w:tcPr>
          <w:p w:rsidR="007F2DE7" w:rsidRPr="00FB6E71" w:rsidP="007F2DE7">
            <w:pPr>
              <w:keepNext/>
              <w:jc w:val="center"/>
              <w:rPr>
                <w:rFonts w:asciiTheme="minorHAnsi" w:hAnsiTheme="minorHAnsi"/>
                <w:bCs/>
                <w:color w:val="auto"/>
                <w:sz w:val="18"/>
                <w:szCs w:val="18"/>
              </w:rPr>
            </w:pPr>
            <w:r w:rsidRPr="00FB6E71">
              <w:rPr>
                <w:rFonts w:asciiTheme="minorHAnsi" w:hAnsiTheme="minorHAnsi"/>
                <w:bCs/>
                <w:color w:val="auto"/>
                <w:sz w:val="18"/>
                <w:szCs w:val="18"/>
              </w:rPr>
              <w:t>169,702,500</w:t>
            </w:r>
          </w:p>
        </w:tc>
      </w:tr>
      <w:tr w:rsidTr="007F2DE7">
        <w:tblPrEx>
          <w:tblW w:w="5000" w:type="pct"/>
          <w:jc w:val="center"/>
          <w:tblLook w:val="04A0"/>
        </w:tblPrEx>
        <w:trPr>
          <w:cantSplit/>
          <w:trHeight w:val="20"/>
          <w:jc w:val="center"/>
        </w:trPr>
        <w:tc>
          <w:tcPr>
            <w:tcW w:w="3083" w:type="dxa"/>
            <w:shd w:val="clear" w:color="auto" w:fill="auto"/>
            <w:noWrap/>
            <w:hideMark/>
          </w:tcPr>
          <w:p w:rsidR="007F2DE7" w:rsidRPr="00FB6E71" w:rsidP="007F2DE7">
            <w:pPr>
              <w:keepNext/>
              <w:rPr>
                <w:rFonts w:asciiTheme="minorHAnsi" w:hAnsiTheme="minorHAnsi"/>
                <w:b/>
                <w:bCs/>
                <w:color w:val="auto"/>
                <w:sz w:val="18"/>
                <w:szCs w:val="18"/>
              </w:rPr>
            </w:pPr>
            <w:r w:rsidRPr="00FB6E71">
              <w:rPr>
                <w:rFonts w:asciiTheme="minorHAnsi" w:hAnsiTheme="minorHAnsi"/>
                <w:b/>
                <w:bCs/>
                <w:color w:val="auto"/>
                <w:sz w:val="18"/>
                <w:szCs w:val="18"/>
              </w:rPr>
              <w:t>Total</w:t>
            </w:r>
          </w:p>
        </w:tc>
        <w:tc>
          <w:tcPr>
            <w:tcW w:w="1451" w:type="dxa"/>
            <w:shd w:val="clear" w:color="auto" w:fill="auto"/>
            <w:noWrap/>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5,610,000</w:t>
            </w:r>
          </w:p>
        </w:tc>
        <w:tc>
          <w:tcPr>
            <w:tcW w:w="1632" w:type="dxa"/>
            <w:shd w:val="clear" w:color="auto" w:fill="auto"/>
            <w:noWrap/>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157,080,000</w:t>
            </w:r>
          </w:p>
        </w:tc>
        <w:tc>
          <w:tcPr>
            <w:tcW w:w="1632" w:type="dxa"/>
            <w:shd w:val="clear" w:color="auto" w:fill="auto"/>
            <w:noWrap/>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7,012,500</w:t>
            </w:r>
          </w:p>
        </w:tc>
        <w:tc>
          <w:tcPr>
            <w:tcW w:w="1552" w:type="dxa"/>
            <w:shd w:val="clear" w:color="auto" w:fill="auto"/>
            <w:noWrap/>
            <w:hideMark/>
          </w:tcPr>
          <w:p w:rsidR="007F2DE7" w:rsidRPr="00FB6E71" w:rsidP="007F2DE7">
            <w:pPr>
              <w:keepNext/>
              <w:jc w:val="center"/>
              <w:rPr>
                <w:rFonts w:asciiTheme="minorHAnsi" w:hAnsiTheme="minorHAnsi"/>
                <w:b/>
                <w:bCs/>
                <w:color w:val="auto"/>
                <w:sz w:val="18"/>
                <w:szCs w:val="18"/>
              </w:rPr>
            </w:pPr>
            <w:r w:rsidRPr="00FB6E71">
              <w:rPr>
                <w:rFonts w:asciiTheme="minorHAnsi" w:hAnsiTheme="minorHAnsi"/>
                <w:b/>
                <w:bCs/>
                <w:color w:val="auto"/>
                <w:sz w:val="18"/>
                <w:szCs w:val="18"/>
              </w:rPr>
              <w:t>169,702,500</w:t>
            </w:r>
          </w:p>
        </w:tc>
      </w:tr>
    </w:tbl>
    <w:p w:rsidR="007F2DE7" w:rsidRPr="00FB6E71" w:rsidP="007F2DE7">
      <w:pPr>
        <w:pStyle w:val="ListParagraph"/>
        <w:widowControl/>
        <w:ind w:left="0"/>
        <w:contextualSpacing w:val="0"/>
        <w:jc w:val="center"/>
        <w:rPr>
          <w:rFonts w:asciiTheme="minorHAnsi" w:hAnsiTheme="minorHAnsi"/>
          <w:bCs/>
          <w:color w:val="auto"/>
          <w:sz w:val="18"/>
          <w:szCs w:val="18"/>
        </w:rPr>
      </w:pP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Interventions planned under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MCRP</w:t>
      </w:r>
      <w:r>
        <w:rPr>
          <w:rFonts w:asciiTheme="minorHAnsi" w:hAnsiTheme="minorHAnsi"/>
          <w:b/>
          <w:bCs/>
          <w:color w:val="auto"/>
          <w:sz w:val="22"/>
          <w:szCs w:val="22"/>
        </w:rPr>
        <w:t>.</w:t>
      </w:r>
      <w:r w:rsidRPr="00FB6E71">
        <w:rPr>
          <w:rFonts w:asciiTheme="minorHAnsi" w:hAnsiTheme="minorHAnsi"/>
          <w:bCs/>
          <w:color w:val="auto"/>
          <w:sz w:val="22"/>
          <w:szCs w:val="22"/>
        </w:rPr>
        <w:t xml:space="preserve"> This subcomponent will finance the rehabilitation and reconstruction of damaged local government buildings, selected through a prioritization exercise led by the states and the LGAs. The first-year interventions will be determined based on the urgent needs identified by each state under the Specific Investment Planning exercise. Importantly, </w:t>
      </w:r>
      <w:r>
        <w:rPr>
          <w:rFonts w:asciiTheme="minorHAnsi" w:hAnsiTheme="minorHAnsi"/>
          <w:bCs/>
          <w:color w:val="auto"/>
          <w:sz w:val="22"/>
          <w:szCs w:val="22"/>
        </w:rPr>
        <w:t xml:space="preserve">the </w:t>
      </w:r>
      <w:r w:rsidRPr="00FB6E71">
        <w:rPr>
          <w:rFonts w:asciiTheme="minorHAnsi" w:hAnsiTheme="minorHAnsi"/>
          <w:bCs/>
          <w:color w:val="auto"/>
          <w:sz w:val="22"/>
          <w:szCs w:val="22"/>
        </w:rPr>
        <w:t>project</w:t>
      </w:r>
      <w:r>
        <w:rPr>
          <w:rFonts w:asciiTheme="minorHAnsi" w:hAnsiTheme="minorHAnsi"/>
          <w:bCs/>
          <w:color w:val="auto"/>
          <w:sz w:val="22"/>
          <w:szCs w:val="22"/>
        </w:rPr>
        <w:t>-</w:t>
      </w:r>
      <w:r w:rsidRPr="00FB6E71">
        <w:rPr>
          <w:rFonts w:asciiTheme="minorHAnsi" w:hAnsiTheme="minorHAnsi"/>
          <w:bCs/>
          <w:color w:val="auto"/>
          <w:sz w:val="22"/>
          <w:szCs w:val="22"/>
        </w:rPr>
        <w:t>funded buildings will include designated spaces for community assembly, town hall meetings, and other community activities to maximize the capacities and functions of local government buildings for social accountability and community reconciliation.</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Complementarity with World Bank’s AF projects and other development partner programs. </w:t>
      </w:r>
      <w:r w:rsidRPr="00FB6E71">
        <w:rPr>
          <w:rFonts w:asciiTheme="minorHAnsi" w:hAnsiTheme="minorHAnsi"/>
          <w:bCs/>
          <w:color w:val="auto"/>
          <w:sz w:val="22"/>
          <w:szCs w:val="22"/>
        </w:rPr>
        <w:t>There are no known or expected overlaps between this project subcomponent and any of the AF projects of the World Bank or the AfDB project</w:t>
      </w:r>
      <w:r>
        <w:rPr>
          <w:rFonts w:asciiTheme="minorHAnsi" w:hAnsiTheme="minorHAnsi"/>
          <w:bCs/>
          <w:color w:val="auto"/>
          <w:sz w:val="22"/>
          <w:szCs w:val="22"/>
        </w:rPr>
        <w:t xml:space="preserve"> that is </w:t>
      </w:r>
      <w:r w:rsidRPr="00FB6E71">
        <w:rPr>
          <w:rFonts w:asciiTheme="minorHAnsi" w:hAnsiTheme="minorHAnsi"/>
          <w:bCs/>
          <w:color w:val="auto"/>
          <w:sz w:val="22"/>
          <w:szCs w:val="22"/>
        </w:rPr>
        <w:t xml:space="preserve">under preparation. The rehabilitation of local government </w:t>
      </w:r>
      <w:r w:rsidRPr="00FB6E71">
        <w:rPr>
          <w:rFonts w:ascii="Calibri" w:eastAsia="MS Mincho" w:hAnsi="Calibri" w:cs="Times New Roman"/>
          <w:bCs/>
          <w:color w:val="auto"/>
          <w:sz w:val="22"/>
          <w:szCs w:val="22"/>
        </w:rPr>
        <w:t>buildings</w:t>
      </w:r>
      <w:r w:rsidRPr="00FB6E71">
        <w:rPr>
          <w:rFonts w:asciiTheme="minorHAnsi" w:hAnsiTheme="minorHAnsi"/>
          <w:bCs/>
          <w:color w:val="auto"/>
          <w:sz w:val="22"/>
          <w:szCs w:val="22"/>
        </w:rPr>
        <w:t xml:space="preserve"> will actually complement all of these projects by providing a physical foundation for LGA to function more effectively and efficiently.</w:t>
      </w:r>
    </w:p>
    <w:p w:rsidR="007F2DE7" w:rsidRPr="00FB6E71" w:rsidP="007F2DE7">
      <w:pPr>
        <w:keepNext/>
        <w:keepLines/>
        <w:widowControl/>
        <w:spacing w:after="240"/>
        <w:rPr>
          <w:rFonts w:asciiTheme="minorHAnsi" w:hAnsiTheme="minorHAnsi"/>
          <w:b/>
          <w:bCs/>
          <w:i/>
          <w:color w:val="auto"/>
          <w:sz w:val="22"/>
          <w:szCs w:val="22"/>
        </w:rPr>
      </w:pPr>
      <w:r w:rsidRPr="00FB6E71">
        <w:rPr>
          <w:rFonts w:asciiTheme="minorHAnsi" w:hAnsiTheme="minorHAnsi"/>
          <w:b/>
          <w:bCs/>
          <w:i/>
          <w:color w:val="auto"/>
          <w:sz w:val="22"/>
          <w:szCs w:val="22"/>
        </w:rPr>
        <w:t xml:space="preserve">Component 3: Technical Assistance and Program Management Support - </w:t>
      </w:r>
      <w:r>
        <w:rPr>
          <w:rFonts w:asciiTheme="minorHAnsi" w:hAnsiTheme="minorHAnsi"/>
          <w:b/>
          <w:bCs/>
          <w:i/>
          <w:color w:val="auto"/>
          <w:sz w:val="22"/>
          <w:szCs w:val="22"/>
        </w:rPr>
        <w:t>SDR 14.9 million (</w:t>
      </w:r>
      <w:r w:rsidRPr="00FB6E71">
        <w:rPr>
          <w:rFonts w:asciiTheme="minorHAnsi" w:hAnsiTheme="minorHAnsi"/>
          <w:b/>
          <w:bCs/>
          <w:i/>
          <w:color w:val="auto"/>
          <w:sz w:val="22"/>
          <w:szCs w:val="22"/>
        </w:rPr>
        <w:t>US$20 million</w:t>
      </w:r>
      <w:r>
        <w:rPr>
          <w:rFonts w:asciiTheme="minorHAnsi" w:hAnsiTheme="minorHAnsi"/>
          <w:b/>
          <w:bCs/>
          <w:i/>
          <w:color w:val="auto"/>
          <w:sz w:val="22"/>
          <w:szCs w:val="22"/>
        </w:rPr>
        <w:t xml:space="preserve"> equivalent)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This component w</w:t>
      </w:r>
      <w:r>
        <w:rPr>
          <w:rFonts w:asciiTheme="minorHAnsi" w:hAnsiTheme="minorHAnsi"/>
          <w:bCs/>
          <w:color w:val="auto"/>
          <w:sz w:val="22"/>
          <w:szCs w:val="22"/>
        </w:rPr>
        <w:t>ill</w:t>
      </w:r>
      <w:r w:rsidRPr="00FB6E71">
        <w:rPr>
          <w:rFonts w:asciiTheme="minorHAnsi" w:hAnsiTheme="minorHAnsi"/>
          <w:bCs/>
          <w:color w:val="auto"/>
          <w:sz w:val="22"/>
          <w:szCs w:val="22"/>
        </w:rPr>
        <w:t xml:space="preserve"> include TA for (a) strengthening </w:t>
      </w:r>
      <w:r>
        <w:rPr>
          <w:rFonts w:asciiTheme="minorHAnsi" w:hAnsiTheme="minorHAnsi"/>
          <w:bCs/>
          <w:color w:val="auto"/>
          <w:sz w:val="22"/>
          <w:szCs w:val="22"/>
        </w:rPr>
        <w:t xml:space="preserve">the </w:t>
      </w:r>
      <w:r w:rsidRPr="00FB6E71">
        <w:rPr>
          <w:rFonts w:asciiTheme="minorHAnsi" w:hAnsiTheme="minorHAnsi"/>
          <w:bCs/>
          <w:color w:val="auto"/>
          <w:sz w:val="22"/>
          <w:szCs w:val="22"/>
        </w:rPr>
        <w:t>institutional capacity for the coordination of the programmatic recovery program, in line with the Buhari Plan and the RPBA and (b) strengthen</w:t>
      </w:r>
      <w:r>
        <w:rPr>
          <w:rFonts w:asciiTheme="minorHAnsi" w:hAnsiTheme="minorHAnsi"/>
          <w:bCs/>
          <w:color w:val="auto"/>
          <w:sz w:val="22"/>
          <w:szCs w:val="22"/>
        </w:rPr>
        <w:t>ing the</w:t>
      </w:r>
      <w:r w:rsidRPr="00FB6E71">
        <w:rPr>
          <w:rFonts w:asciiTheme="minorHAnsi" w:hAnsiTheme="minorHAnsi"/>
          <w:bCs/>
          <w:color w:val="auto"/>
          <w:sz w:val="22"/>
          <w:szCs w:val="22"/>
        </w:rPr>
        <w:t xml:space="preserve"> MCRP implementation capacity. Support for overall programmatic and policy coordination at the federal, interstate</w:t>
      </w:r>
      <w:r>
        <w:rPr>
          <w:rFonts w:asciiTheme="minorHAnsi" w:hAnsiTheme="minorHAnsi"/>
          <w:bCs/>
          <w:color w:val="auto"/>
          <w:sz w:val="22"/>
          <w:szCs w:val="22"/>
        </w:rPr>
        <w:t>,</w:t>
      </w:r>
      <w:r w:rsidRPr="00FB6E71">
        <w:rPr>
          <w:rFonts w:asciiTheme="minorHAnsi" w:hAnsiTheme="minorHAnsi"/>
          <w:bCs/>
          <w:color w:val="auto"/>
          <w:sz w:val="22"/>
          <w:szCs w:val="22"/>
        </w:rPr>
        <w:t xml:space="preserve"> and intrastate levels will include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provision of </w:t>
      </w:r>
      <w:r>
        <w:rPr>
          <w:rFonts w:asciiTheme="minorHAnsi" w:hAnsiTheme="minorHAnsi"/>
          <w:bCs/>
          <w:color w:val="auto"/>
          <w:sz w:val="22"/>
          <w:szCs w:val="22"/>
        </w:rPr>
        <w:t>TA</w:t>
      </w:r>
      <w:r w:rsidRPr="00FB6E71">
        <w:rPr>
          <w:rFonts w:asciiTheme="minorHAnsi" w:hAnsiTheme="minorHAnsi"/>
          <w:bCs/>
          <w:color w:val="auto"/>
          <w:sz w:val="22"/>
          <w:szCs w:val="22"/>
        </w:rPr>
        <w:t xml:space="preserve"> for the development of implementation and performance management frameworks for programmatic recovery. Project implementation support will include (a) program management costs, including the engagement of a PMC</w:t>
      </w:r>
      <w:r>
        <w:rPr>
          <w:rFonts w:asciiTheme="minorHAnsi" w:hAnsiTheme="minorHAnsi"/>
          <w:bCs/>
          <w:color w:val="auto"/>
          <w:sz w:val="22"/>
          <w:szCs w:val="22"/>
        </w:rPr>
        <w:t>;</w:t>
      </w:r>
      <w:r w:rsidRPr="00FB6E71">
        <w:rPr>
          <w:rFonts w:asciiTheme="minorHAnsi" w:hAnsiTheme="minorHAnsi"/>
          <w:bCs/>
          <w:color w:val="auto"/>
          <w:sz w:val="22"/>
          <w:szCs w:val="22"/>
        </w:rPr>
        <w:t xml:space="preserve"> project M&amp;E</w:t>
      </w:r>
      <w:r>
        <w:rPr>
          <w:rFonts w:asciiTheme="minorHAnsi" w:hAnsiTheme="minorHAnsi"/>
          <w:bCs/>
          <w:color w:val="auto"/>
          <w:sz w:val="22"/>
          <w:szCs w:val="22"/>
        </w:rPr>
        <w:t>;</w:t>
      </w:r>
      <w:r w:rsidRPr="00FB6E71">
        <w:rPr>
          <w:rFonts w:asciiTheme="minorHAnsi" w:hAnsiTheme="minorHAnsi"/>
          <w:bCs/>
          <w:color w:val="auto"/>
          <w:sz w:val="22"/>
          <w:szCs w:val="22"/>
        </w:rPr>
        <w:t xml:space="preserve"> contract management</w:t>
      </w:r>
      <w:r>
        <w:rPr>
          <w:rFonts w:asciiTheme="minorHAnsi" w:hAnsiTheme="minorHAnsi"/>
          <w:bCs/>
          <w:color w:val="auto"/>
          <w:sz w:val="22"/>
          <w:szCs w:val="22"/>
        </w:rPr>
        <w:t>;</w:t>
      </w:r>
      <w:r w:rsidRPr="00FB6E71">
        <w:rPr>
          <w:rFonts w:asciiTheme="minorHAnsi" w:hAnsiTheme="minorHAnsi"/>
          <w:bCs/>
          <w:color w:val="auto"/>
          <w:sz w:val="22"/>
          <w:szCs w:val="22"/>
        </w:rPr>
        <w:t xml:space="preserve"> FM and procurement</w:t>
      </w:r>
      <w:r>
        <w:rPr>
          <w:rFonts w:asciiTheme="minorHAnsi" w:hAnsiTheme="minorHAnsi"/>
          <w:bCs/>
          <w:color w:val="auto"/>
          <w:sz w:val="22"/>
          <w:szCs w:val="22"/>
        </w:rPr>
        <w:t>;</w:t>
      </w:r>
      <w:r w:rsidRPr="00FB6E71">
        <w:rPr>
          <w:rFonts w:asciiTheme="minorHAnsi" w:hAnsiTheme="minorHAnsi"/>
          <w:bCs/>
          <w:color w:val="auto"/>
          <w:sz w:val="22"/>
          <w:szCs w:val="22"/>
        </w:rPr>
        <w:t xml:space="preserve"> and safeguards implementation, monitoring, and management; (b) immediate and medium-term support and capacity building for project implementation in the PCUs and sectoral line agencies; and (c) setting up </w:t>
      </w:r>
      <w:r>
        <w:rPr>
          <w:rFonts w:asciiTheme="minorHAnsi" w:hAnsiTheme="minorHAnsi"/>
          <w:bCs/>
          <w:color w:val="auto"/>
          <w:sz w:val="22"/>
          <w:szCs w:val="22"/>
        </w:rPr>
        <w:t xml:space="preserve">of </w:t>
      </w:r>
      <w:r w:rsidRPr="00FB6E71">
        <w:rPr>
          <w:rFonts w:asciiTheme="minorHAnsi" w:hAnsiTheme="minorHAnsi"/>
          <w:bCs/>
          <w:color w:val="auto"/>
          <w:sz w:val="22"/>
          <w:szCs w:val="22"/>
        </w:rPr>
        <w:t xml:space="preserve">citizen engagement and third-party monitoring mechanisms. It is envisaged that the PMC would be hired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on behalf of the </w:t>
      </w:r>
      <w:r>
        <w:rPr>
          <w:rFonts w:asciiTheme="minorHAnsi" w:hAnsiTheme="minorHAnsi"/>
          <w:bCs/>
          <w:color w:val="auto"/>
          <w:sz w:val="22"/>
          <w:szCs w:val="22"/>
        </w:rPr>
        <w:t>s</w:t>
      </w:r>
      <w:r w:rsidRPr="00FB6E71">
        <w:rPr>
          <w:rFonts w:asciiTheme="minorHAnsi" w:hAnsiTheme="minorHAnsi"/>
          <w:bCs/>
          <w:color w:val="auto"/>
          <w:sz w:val="22"/>
          <w:szCs w:val="22"/>
        </w:rPr>
        <w:t>tates. Other development partners could be invited to provide financial support to the PMC if needed, instead of every partner engaging the PMCs separately.</w:t>
      </w:r>
    </w:p>
    <w:p w:rsidR="007F2DE7" w:rsidRPr="00FB6E71" w:rsidP="007F2DE7">
      <w:pPr>
        <w:keepNext/>
        <w:keepLines/>
        <w:widowControl/>
        <w:spacing w:after="240"/>
        <w:rPr>
          <w:rFonts w:asciiTheme="minorHAnsi" w:hAnsiTheme="minorHAnsi"/>
          <w:b/>
          <w:bCs/>
          <w:i/>
          <w:color w:val="auto"/>
          <w:sz w:val="22"/>
          <w:szCs w:val="22"/>
        </w:rPr>
      </w:pPr>
      <w:r w:rsidRPr="00FB6E71">
        <w:rPr>
          <w:rFonts w:asciiTheme="minorHAnsi" w:hAnsiTheme="minorHAnsi"/>
          <w:b/>
          <w:bCs/>
          <w:i/>
          <w:color w:val="auto"/>
          <w:sz w:val="22"/>
          <w:szCs w:val="22"/>
        </w:rPr>
        <w:t xml:space="preserve">Component 4: Contingent Emergency Response - </w:t>
      </w:r>
      <w:r>
        <w:rPr>
          <w:rFonts w:asciiTheme="minorHAnsi" w:hAnsiTheme="minorHAnsi"/>
          <w:b/>
          <w:bCs/>
          <w:i/>
          <w:color w:val="auto"/>
          <w:sz w:val="22"/>
          <w:szCs w:val="22"/>
        </w:rPr>
        <w:t>SDR 0 million (</w:t>
      </w:r>
      <w:r w:rsidRPr="00FB6E71">
        <w:rPr>
          <w:rFonts w:asciiTheme="minorHAnsi" w:hAnsiTheme="minorHAnsi"/>
          <w:b/>
          <w:bCs/>
          <w:i/>
          <w:color w:val="auto"/>
          <w:sz w:val="22"/>
          <w:szCs w:val="22"/>
        </w:rPr>
        <w:t>US$0 million</w:t>
      </w:r>
      <w:r>
        <w:rPr>
          <w:rFonts w:asciiTheme="minorHAnsi" w:hAnsiTheme="minorHAnsi"/>
          <w:b/>
          <w:bCs/>
          <w:i/>
          <w:color w:val="auto"/>
          <w:sz w:val="22"/>
          <w:szCs w:val="22"/>
        </w:rPr>
        <w:t xml:space="preserve"> equivalent)</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This CERC is included under the project in accordance with OP/BP 10.</w:t>
      </w:r>
      <w:r w:rsidRPr="00FB6E71">
        <w:rPr>
          <w:rFonts w:ascii="Calibri" w:eastAsia="MS Mincho" w:hAnsi="Calibri" w:cs="Times New Roman"/>
          <w:bCs/>
          <w:color w:val="auto"/>
          <w:sz w:val="22"/>
          <w:szCs w:val="22"/>
        </w:rPr>
        <w:t>00</w:t>
      </w:r>
      <w:r w:rsidRPr="00FB6E71">
        <w:rPr>
          <w:rFonts w:asciiTheme="minorHAnsi" w:hAnsiTheme="minorHAnsi"/>
          <w:bCs/>
          <w:color w:val="auto"/>
          <w:sz w:val="22"/>
          <w:szCs w:val="22"/>
        </w:rPr>
        <w:t xml:space="preserve">, paragraphs 12 and 13, for situations of urgent need of assistance, as a project-specific CERC. This will allow for rapid reallocation of project proceeds in the event of a natural or man-made disaster or crisis that has caused or is likely to imminently cause a major adverse economic and/or social impact to address eligible emergency needs under the conditions established in its operations manual.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This component will have no funding allocation initially and will be used to draw resources from the uncommitted expenditure category in case of activation and World Bank approval. To trigger this component</w:t>
      </w:r>
      <w:r>
        <w:rPr>
          <w:rFonts w:asciiTheme="minorHAnsi" w:hAnsiTheme="minorHAnsi"/>
          <w:bCs/>
          <w:color w:val="auto"/>
          <w:sz w:val="22"/>
          <w:szCs w:val="22"/>
        </w:rPr>
        <w:t>,</w:t>
      </w:r>
      <w:r w:rsidRPr="00FB6E71">
        <w:rPr>
          <w:rFonts w:asciiTheme="minorHAnsi" w:hAnsiTheme="minorHAnsi"/>
          <w:bCs/>
          <w:color w:val="auto"/>
          <w:sz w:val="22"/>
          <w:szCs w:val="22"/>
        </w:rPr>
        <w:t xml:space="preserve"> the Government needs to declare an emergency or provide a statement of fact justifying the request for the activation of the use of emergency funding. To allocate funds to this component</w:t>
      </w:r>
      <w:r>
        <w:rPr>
          <w:rFonts w:asciiTheme="minorHAnsi" w:hAnsiTheme="minorHAnsi"/>
          <w:bCs/>
          <w:color w:val="auto"/>
          <w:sz w:val="22"/>
          <w:szCs w:val="22"/>
        </w:rPr>
        <w:t>,</w:t>
      </w:r>
      <w:r w:rsidRPr="00FB6E71">
        <w:rPr>
          <w:rFonts w:asciiTheme="minorHAnsi" w:hAnsiTheme="minorHAnsi"/>
          <w:bCs/>
          <w:color w:val="auto"/>
          <w:sz w:val="22"/>
          <w:szCs w:val="22"/>
        </w:rPr>
        <w:t xml:space="preserve"> the Government may request the World Bank to reallocate project funds to support response and reconstruction.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If an IRM is established, this component will serve as an IRM CERC to allow the reallocation of uncommitted funds from the project portfolio to the IRM </w:t>
      </w:r>
      <w:r>
        <w:rPr>
          <w:rFonts w:asciiTheme="minorHAnsi" w:hAnsiTheme="minorHAnsi"/>
          <w:bCs/>
          <w:color w:val="auto"/>
          <w:sz w:val="22"/>
          <w:szCs w:val="22"/>
        </w:rPr>
        <w:t>DA</w:t>
      </w:r>
      <w:r w:rsidRPr="00FB6E71">
        <w:rPr>
          <w:rFonts w:asciiTheme="minorHAnsi" w:hAnsiTheme="minorHAnsi"/>
          <w:bCs/>
          <w:color w:val="auto"/>
          <w:sz w:val="22"/>
          <w:szCs w:val="22"/>
        </w:rPr>
        <w:t xml:space="preserve"> to address emergency response and recovery costs, if approved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World Bank. This component could also be used to channel additional funds should they become available as a result of an emergency. </w:t>
      </w:r>
    </w:p>
    <w:p w:rsidR="007F2DE7" w:rsidRPr="00FB6E71" w:rsidP="00302E0C">
      <w:pPr>
        <w:pStyle w:val="ListParagraph"/>
        <w:widowControl/>
        <w:numPr>
          <w:ilvl w:val="0"/>
          <w:numId w:val="27"/>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Disbursements w</w:t>
      </w:r>
      <w:r>
        <w:rPr>
          <w:rFonts w:asciiTheme="minorHAnsi" w:hAnsiTheme="minorHAnsi"/>
          <w:bCs/>
          <w:color w:val="auto"/>
          <w:sz w:val="22"/>
          <w:szCs w:val="22"/>
        </w:rPr>
        <w:t>ill</w:t>
      </w:r>
      <w:r w:rsidRPr="00FB6E71">
        <w:rPr>
          <w:rFonts w:asciiTheme="minorHAnsi" w:hAnsiTheme="minorHAnsi"/>
          <w:bCs/>
          <w:color w:val="auto"/>
          <w:sz w:val="22"/>
          <w:szCs w:val="22"/>
        </w:rPr>
        <w:t xml:space="preserve"> be made against a positive list of critical goods or the procurement of works and consultant services required to support the immediate response and recovery needs. A specific Emergency Response Operations Manual will apply to this component, detailing FM, </w:t>
      </w:r>
      <w:r w:rsidRPr="00FB6E71">
        <w:rPr>
          <w:rFonts w:ascii="Calibri" w:eastAsia="MS Mincho" w:hAnsi="Calibri" w:cs="Times New Roman"/>
          <w:bCs/>
          <w:color w:val="auto"/>
          <w:sz w:val="22"/>
          <w:szCs w:val="22"/>
        </w:rPr>
        <w:t>procurement</w:t>
      </w:r>
      <w:r w:rsidRPr="00FB6E71">
        <w:rPr>
          <w:rFonts w:asciiTheme="minorHAnsi" w:hAnsiTheme="minorHAnsi"/>
          <w:bCs/>
          <w:color w:val="auto"/>
          <w:sz w:val="22"/>
          <w:szCs w:val="22"/>
        </w:rPr>
        <w:t>, safeguards</w:t>
      </w:r>
      <w:r>
        <w:rPr>
          <w:rFonts w:asciiTheme="minorHAnsi" w:hAnsiTheme="minorHAnsi"/>
          <w:bCs/>
          <w:color w:val="auto"/>
          <w:sz w:val="22"/>
          <w:szCs w:val="22"/>
        </w:rPr>
        <w:t>,</w:t>
      </w:r>
      <w:r w:rsidRPr="00FB6E71">
        <w:rPr>
          <w:rFonts w:asciiTheme="minorHAnsi" w:hAnsiTheme="minorHAnsi"/>
          <w:bCs/>
          <w:color w:val="auto"/>
          <w:sz w:val="22"/>
          <w:szCs w:val="22"/>
        </w:rPr>
        <w:t xml:space="preserve"> and any other necessary implementation arrangements.</w:t>
      </w:r>
    </w:p>
    <w:p w:rsidR="007F2DE7" w:rsidRPr="00FB6E71">
      <w:pPr>
        <w:widowControl/>
        <w:autoSpaceDE/>
        <w:autoSpaceDN/>
        <w:adjustRightInd/>
        <w:spacing w:after="160" w:line="259" w:lineRule="auto"/>
        <w:rPr>
          <w:rFonts w:asciiTheme="minorHAnsi" w:hAnsiTheme="minorHAnsi"/>
          <w:b/>
          <w:bCs/>
          <w:color w:val="7F7F7F" w:themeColor="text1" w:themeTint="80"/>
          <w:sz w:val="22"/>
          <w:szCs w:val="22"/>
        </w:rPr>
      </w:pPr>
      <w:r w:rsidRPr="00FB6E71">
        <w:rPr>
          <w:rFonts w:asciiTheme="minorHAnsi" w:hAnsiTheme="minorHAnsi"/>
          <w:b/>
          <w:bCs/>
          <w:color w:val="7F7F7F" w:themeColor="text1" w:themeTint="80"/>
          <w:sz w:val="22"/>
          <w:szCs w:val="22"/>
        </w:rPr>
        <w:br w:type="page"/>
      </w: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
      <w:tblGrid>
        <w:gridCol w:w="10800"/>
      </w:tblGrid>
      <w:tr w:rsidTr="007F2DE7">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Ex>
        <w:trPr>
          <w:trHeight w:val="432"/>
        </w:trPr>
        <w:tc>
          <w:tcPr>
            <w:tcW w:w="10800" w:type="dxa"/>
            <w:shd w:val="clear" w:color="auto" w:fill="F2F2F2"/>
            <w:vAlign w:val="center"/>
          </w:tcPr>
          <w:p w:rsidR="007F2DE7" w:rsidRPr="00FB6E71" w:rsidP="007F2DE7">
            <w:pPr>
              <w:pStyle w:val="NoSpacing"/>
              <w:jc w:val="center"/>
              <w:outlineLvl w:val="0"/>
              <w:rPr>
                <w:rFonts w:asciiTheme="minorHAnsi" w:hAnsiTheme="minorHAnsi"/>
                <w:b/>
                <w:color w:val="000000" w:themeColor="text1"/>
                <w:sz w:val="22"/>
                <w:szCs w:val="22"/>
              </w:rPr>
            </w:pPr>
            <w:bookmarkStart w:id="127" w:name="_Toc256000030"/>
            <w:bookmarkStart w:id="128" w:name="_Toc433982435"/>
            <w:bookmarkStart w:id="129" w:name="_Toc460509217"/>
            <w:bookmarkStart w:id="130" w:name="_Toc476558132"/>
            <w:r w:rsidRPr="00FB6E71">
              <w:rPr>
                <w:rFonts w:asciiTheme="minorHAnsi" w:hAnsiTheme="minorHAnsi"/>
                <w:b/>
                <w:color w:val="000000" w:themeColor="text1"/>
                <w:sz w:val="22"/>
                <w:szCs w:val="22"/>
              </w:rPr>
              <w:t>ANNEX 2: IMPLEMENTATION ARRANGEMENTS</w:t>
            </w:r>
            <w:bookmarkEnd w:id="127"/>
            <w:bookmarkEnd w:id="128"/>
            <w:bookmarkEnd w:id="129"/>
            <w:bookmarkEnd w:id="130"/>
          </w:p>
        </w:tc>
      </w:tr>
    </w:tbl>
    <w:p w:rsidR="007F2DE7" w:rsidRPr="00FB6E71" w:rsidP="007F2DE7">
      <w:pPr>
        <w:ind w:left="-792"/>
        <w:rPr>
          <w:rFonts w:asciiTheme="minorHAnsi" w:hAnsiTheme="minorHAnsi"/>
          <w:b/>
          <w:bCs/>
          <w:color w:val="7F7F7F" w:themeColor="text1" w:themeTint="80"/>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2"/>
        </w:trPr>
        <w:tc>
          <w:tcPr>
            <w:tcW w:w="10710" w:type="dxa"/>
          </w:tcPr>
          <w:p w:rsidR="007F2DE7" w:rsidRPr="00FB6E71" w:rsidP="007F2DE7">
            <w:pPr>
              <w:jc w:val="center"/>
              <w:rPr>
                <w:rFonts w:asciiTheme="minorHAnsi" w:hAnsiTheme="minorHAnsi"/>
                <w:b/>
                <w:bCs/>
                <w:color w:val="767171" w:themeColor="background2" w:themeShade="80"/>
                <w:sz w:val="22"/>
                <w:szCs w:val="22"/>
              </w:rPr>
            </w:pPr>
            <w:r w:rsidRPr="00FB6E71">
              <w:rPr>
                <w:rFonts w:asciiTheme="minorHAnsi" w:hAnsiTheme="minorHAnsi"/>
                <w:b/>
                <w:bCs/>
                <w:color w:val="767171" w:themeColor="background2" w:themeShade="80"/>
                <w:sz w:val="22"/>
                <w:szCs w:val="22"/>
              </w:rPr>
              <w:t xml:space="preserve">COUNTRY: Nigeria </w:t>
            </w:r>
            <w:r w:rsidRPr="00FB6E71">
              <w:rPr>
                <w:rFonts w:asciiTheme="minorHAnsi" w:hAnsiTheme="minorHAnsi"/>
                <w:b/>
                <w:bCs/>
                <w:color w:val="767171" w:themeColor="background2" w:themeShade="80"/>
                <w:sz w:val="22"/>
                <w:szCs w:val="22"/>
              </w:rPr>
              <w:br/>
            </w:r>
            <w:r w:rsidRPr="00FB6E71">
              <w:rPr>
                <w:rFonts w:asciiTheme="minorHAnsi" w:hAnsiTheme="minorHAnsi"/>
                <w:b/>
                <w:bCs/>
                <w:color w:val="767171" w:themeColor="background2" w:themeShade="80"/>
                <w:sz w:val="22"/>
                <w:szCs w:val="22"/>
              </w:rPr>
              <w:fldChar w:fldCharType="begin"/>
            </w:r>
            <w:r w:rsidRPr="00FB6E71">
              <w:rPr>
                <w:rFonts w:asciiTheme="minorHAnsi" w:hAnsiTheme="minorHAnsi"/>
                <w:b/>
                <w:bCs/>
                <w:color w:val="767171" w:themeColor="background2" w:themeShade="80"/>
                <w:sz w:val="22"/>
                <w:szCs w:val="22"/>
              </w:rPr>
              <w:instrText xml:space="preserve"> IF "Multi-Sectoral Crisis Recovery Project for North Eastern Nigeria" &lt;&gt; "" "Multi-Sectoral Crisis Recovery Project for North Eastern Nigeria" </w:instrText>
            </w:r>
            <w:r w:rsidRPr="00FB6E71">
              <w:rPr>
                <w:rFonts w:asciiTheme="minorHAnsi" w:hAnsiTheme="minorHAnsi"/>
                <w:b/>
                <w:color w:val="767171" w:themeColor="background2" w:themeShade="80"/>
                <w:sz w:val="22"/>
                <w:szCs w:val="22"/>
              </w:rPr>
              <w:instrText>""</w:instrText>
            </w:r>
            <w:r w:rsidRPr="00FB6E71">
              <w:rPr>
                <w:rFonts w:asciiTheme="minorHAnsi" w:hAnsiTheme="minorHAnsi"/>
                <w:b/>
                <w:bCs/>
                <w:color w:val="767171" w:themeColor="background2" w:themeShade="80"/>
                <w:sz w:val="22"/>
                <w:szCs w:val="22"/>
              </w:rPr>
              <w:fldChar w:fldCharType="separate"/>
            </w:r>
            <w:r w:rsidRPr="00FB6E71">
              <w:rPr>
                <w:rFonts w:asciiTheme="minorHAnsi" w:hAnsiTheme="minorHAnsi"/>
                <w:b/>
                <w:bCs/>
                <w:color w:val="767171" w:themeColor="background2" w:themeShade="80"/>
                <w:sz w:val="22"/>
                <w:szCs w:val="22"/>
              </w:rPr>
              <w:t>Multi-Sectoral Crisis Recovery Project for North Eastern Nigeria</w:t>
            </w:r>
            <w:r w:rsidRPr="00FB6E71">
              <w:rPr>
                <w:rFonts w:asciiTheme="minorHAnsi" w:hAnsiTheme="minorHAnsi"/>
                <w:b/>
                <w:color w:val="767171" w:themeColor="background2" w:themeShade="80"/>
                <w:sz w:val="22"/>
                <w:szCs w:val="22"/>
              </w:rPr>
              <w:fldChar w:fldCharType="end"/>
            </w:r>
          </w:p>
        </w:tc>
      </w:tr>
      <w:tr w:rsidTr="007F2DE7">
        <w:tblPrEx>
          <w:tblW w:w="10710" w:type="dxa"/>
          <w:tblInd w:w="-720" w:type="dxa"/>
          <w:tblLook w:val="04A0"/>
        </w:tblPrEx>
        <w:trPr>
          <w:trHeight w:val="80"/>
        </w:trPr>
        <w:tc>
          <w:tcPr>
            <w:tcW w:w="10710" w:type="dxa"/>
          </w:tcPr>
          <w:p w:rsidR="007F2DE7" w:rsidRPr="00FB6E71" w:rsidP="007F2DE7">
            <w:pPr>
              <w:rPr>
                <w:rFonts w:asciiTheme="minorHAnsi" w:hAnsiTheme="minorHAnsi"/>
                <w:sz w:val="22"/>
                <w:szCs w:val="22"/>
              </w:rPr>
            </w:pPr>
          </w:p>
        </w:tc>
      </w:tr>
    </w:tbl>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Project Institutional and Implementation Arrangements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The MCRP makes up a subset of a broader ongoing multi-sectoral recovery and stabilization program in the NE.</w:t>
      </w:r>
      <w:r w:rsidRPr="00FB6E71">
        <w:rPr>
          <w:rFonts w:asciiTheme="minorHAnsi" w:hAnsiTheme="minorHAnsi"/>
          <w:sz w:val="22"/>
          <w:szCs w:val="22"/>
        </w:rPr>
        <w:t xml:space="preserve"> In this context</w:t>
      </w:r>
      <w:r>
        <w:rPr>
          <w:rFonts w:asciiTheme="minorHAnsi" w:hAnsiTheme="minorHAnsi"/>
          <w:sz w:val="22"/>
          <w:szCs w:val="22"/>
        </w:rPr>
        <w:t>,</w:t>
      </w:r>
      <w:r w:rsidRPr="00FB6E71">
        <w:rPr>
          <w:rFonts w:asciiTheme="minorHAnsi" w:hAnsiTheme="minorHAnsi"/>
          <w:sz w:val="22"/>
          <w:szCs w:val="22"/>
        </w:rPr>
        <w:t xml:space="preserve"> there are multiple stakeholders that need to be engaged in different functions and sectors to ensure strong ownership. Key </w:t>
      </w:r>
      <w:r w:rsidRPr="00FB6E71">
        <w:rPr>
          <w:rFonts w:asciiTheme="minorHAnsi" w:hAnsiTheme="minorHAnsi"/>
          <w:bCs/>
          <w:color w:val="auto"/>
          <w:sz w:val="22"/>
          <w:szCs w:val="22"/>
        </w:rPr>
        <w:t>players</w:t>
      </w:r>
      <w:r w:rsidRPr="00FB6E71">
        <w:rPr>
          <w:rFonts w:asciiTheme="minorHAnsi" w:hAnsiTheme="minorHAnsi"/>
          <w:sz w:val="22"/>
          <w:szCs w:val="22"/>
        </w:rPr>
        <w:t xml:space="preserve"> that need to be considered in the design of a functioning institutional arrangement include:</w:t>
      </w:r>
    </w:p>
    <w:p w:rsidR="007F2DE7" w:rsidRPr="00FB6E71" w:rsidP="00302E0C">
      <w:pPr>
        <w:widowControl/>
        <w:numPr>
          <w:ilvl w:val="0"/>
          <w:numId w:val="47"/>
        </w:numPr>
        <w:spacing w:after="240"/>
        <w:ind w:left="1195" w:hanging="475"/>
        <w:jc w:val="both"/>
        <w:rPr>
          <w:rFonts w:asciiTheme="minorHAnsi" w:hAnsiTheme="minorHAnsi"/>
          <w:sz w:val="22"/>
          <w:szCs w:val="22"/>
        </w:rPr>
      </w:pPr>
      <w:r w:rsidRPr="00FB6E71">
        <w:rPr>
          <w:rFonts w:asciiTheme="minorHAnsi" w:hAnsiTheme="minorHAnsi"/>
          <w:b/>
          <w:sz w:val="22"/>
          <w:szCs w:val="22"/>
        </w:rPr>
        <w:t>FMoF.</w:t>
      </w:r>
      <w:r w:rsidRPr="00FB6E71">
        <w:rPr>
          <w:rFonts w:asciiTheme="minorHAnsi" w:hAnsiTheme="minorHAnsi"/>
          <w:sz w:val="22"/>
          <w:szCs w:val="22"/>
        </w:rPr>
        <w:t xml:space="preserve"> Th</w:t>
      </w:r>
      <w:r>
        <w:rPr>
          <w:rFonts w:asciiTheme="minorHAnsi" w:hAnsiTheme="minorHAnsi"/>
          <w:sz w:val="22"/>
          <w:szCs w:val="22"/>
        </w:rPr>
        <w:t>is ministry is the</w:t>
      </w:r>
      <w:r w:rsidRPr="00FB6E71">
        <w:rPr>
          <w:rFonts w:asciiTheme="minorHAnsi" w:hAnsiTheme="minorHAnsi"/>
          <w:sz w:val="22"/>
          <w:szCs w:val="22"/>
        </w:rPr>
        <w:t xml:space="preserve"> main counterpart for the World Bank for financial allocation and disbursements</w:t>
      </w:r>
      <w:r>
        <w:rPr>
          <w:rFonts w:asciiTheme="minorHAnsi" w:hAnsiTheme="minorHAnsi"/>
          <w:sz w:val="22"/>
          <w:szCs w:val="22"/>
        </w:rPr>
        <w:t xml:space="preserve"> and</w:t>
      </w:r>
      <w:r w:rsidRPr="00FB6E71">
        <w:rPr>
          <w:rFonts w:asciiTheme="minorHAnsi" w:hAnsiTheme="minorHAnsi"/>
          <w:sz w:val="22"/>
          <w:szCs w:val="22"/>
        </w:rPr>
        <w:t xml:space="preserve"> oversight of compliance with the newly introduced </w:t>
      </w:r>
      <w:r>
        <w:rPr>
          <w:rFonts w:asciiTheme="minorHAnsi" w:hAnsiTheme="minorHAnsi"/>
          <w:sz w:val="22"/>
          <w:szCs w:val="22"/>
        </w:rPr>
        <w:t>f</w:t>
      </w:r>
      <w:r w:rsidRPr="00FB6E71">
        <w:rPr>
          <w:rFonts w:asciiTheme="minorHAnsi" w:hAnsiTheme="minorHAnsi"/>
          <w:sz w:val="22"/>
          <w:szCs w:val="22"/>
        </w:rPr>
        <w:t>iscal sustainability plan to which state governments are committed:</w:t>
      </w:r>
    </w:p>
    <w:p w:rsidR="007F2DE7" w:rsidRPr="00FB6E71" w:rsidP="007F2DE7">
      <w:pPr>
        <w:pStyle w:val="Caption"/>
        <w:keepNext/>
        <w:keepLines/>
        <w:widowControl/>
        <w:spacing w:before="120" w:after="120"/>
        <w:jc w:val="center"/>
        <w:rPr>
          <w:rFonts w:asciiTheme="minorHAnsi" w:hAnsiTheme="minorHAnsi"/>
          <w:b/>
          <w:i w:val="0"/>
          <w:color w:val="auto"/>
        </w:rPr>
      </w:pPr>
      <w:bookmarkStart w:id="131" w:name="_Ref475714995"/>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1</w:t>
      </w:r>
      <w:r w:rsidRPr="00FB6E71">
        <w:rPr>
          <w:rFonts w:asciiTheme="minorHAnsi" w:hAnsiTheme="minorHAnsi"/>
          <w:b/>
          <w:i w:val="0"/>
          <w:color w:val="auto"/>
        </w:rPr>
        <w:fldChar w:fldCharType="end"/>
      </w:r>
      <w:bookmarkEnd w:id="131"/>
      <w:r>
        <w:rPr>
          <w:rFonts w:asciiTheme="minorHAnsi" w:hAnsiTheme="minorHAnsi"/>
          <w:b/>
          <w:i w:val="0"/>
          <w:color w:val="auto"/>
        </w:rPr>
        <w:t>.</w:t>
      </w:r>
      <w:r w:rsidRPr="00FB6E71">
        <w:rPr>
          <w:rFonts w:asciiTheme="minorHAnsi" w:hAnsiTheme="minorHAnsi"/>
          <w:b/>
          <w:i w:val="0"/>
          <w:color w:val="auto"/>
        </w:rPr>
        <w:t xml:space="preserve"> Commitments from </w:t>
      </w:r>
      <w:r>
        <w:rPr>
          <w:rFonts w:asciiTheme="minorHAnsi" w:hAnsiTheme="minorHAnsi"/>
          <w:b/>
          <w:i w:val="0"/>
          <w:color w:val="auto"/>
        </w:rPr>
        <w:t>S</w:t>
      </w:r>
      <w:r w:rsidRPr="00FB6E71">
        <w:rPr>
          <w:rFonts w:asciiTheme="minorHAnsi" w:hAnsiTheme="minorHAnsi"/>
          <w:b/>
          <w:i w:val="0"/>
          <w:color w:val="auto"/>
        </w:rPr>
        <w:t>tate Governments under the Fiscal Sustainability Plan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25"/>
        <w:gridCol w:w="132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cantSplit/>
          <w:tblHeader/>
          <w:jc w:val="center"/>
        </w:trPr>
        <w:tc>
          <w:tcPr>
            <w:tcW w:w="8025" w:type="dxa"/>
            <w:tcMar>
              <w:top w:w="0" w:type="dxa"/>
              <w:left w:w="108" w:type="dxa"/>
              <w:bottom w:w="0" w:type="dxa"/>
              <w:right w:w="108" w:type="dxa"/>
            </w:tcMar>
            <w:vAlign w:val="center"/>
          </w:tcPr>
          <w:p w:rsidR="007F2DE7" w:rsidRPr="00FB6E71" w:rsidP="007F2DE7">
            <w:pPr>
              <w:ind w:left="360"/>
              <w:jc w:val="center"/>
              <w:rPr>
                <w:rFonts w:asciiTheme="minorHAnsi" w:hAnsiTheme="minorHAnsi"/>
                <w:b/>
                <w:sz w:val="18"/>
                <w:szCs w:val="18"/>
              </w:rPr>
            </w:pPr>
            <w:r w:rsidRPr="00FB6E71">
              <w:rPr>
                <w:rFonts w:asciiTheme="minorHAnsi" w:hAnsiTheme="minorHAnsi"/>
                <w:b/>
                <w:sz w:val="18"/>
                <w:szCs w:val="18"/>
              </w:rPr>
              <w:t>Actions</w:t>
            </w:r>
          </w:p>
        </w:tc>
        <w:tc>
          <w:tcPr>
            <w:tcW w:w="1325" w:type="dxa"/>
            <w:tcMar>
              <w:top w:w="0" w:type="dxa"/>
              <w:left w:w="108" w:type="dxa"/>
              <w:bottom w:w="0" w:type="dxa"/>
              <w:right w:w="108" w:type="dxa"/>
            </w:tcMar>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Deadline</w:t>
            </w:r>
          </w:p>
        </w:tc>
      </w:tr>
      <w:tr w:rsidTr="007F2DE7">
        <w:tblPrEx>
          <w:tblW w:w="5000" w:type="pct"/>
          <w:jc w:val="center"/>
          <w:tblCellMar>
            <w:left w:w="0" w:type="dxa"/>
            <w:right w:w="0" w:type="dxa"/>
          </w:tblCellMar>
          <w:tblLook w:val="04A0"/>
        </w:tblPrEx>
        <w:trPr>
          <w:cantSplit/>
          <w:jc w:val="center"/>
        </w:trPr>
        <w:tc>
          <w:tcPr>
            <w:tcW w:w="8025" w:type="dxa"/>
            <w:tcMar>
              <w:top w:w="0" w:type="dxa"/>
              <w:left w:w="108" w:type="dxa"/>
              <w:bottom w:w="0" w:type="dxa"/>
              <w:right w:w="108" w:type="dxa"/>
            </w:tcMar>
            <w:hideMark/>
          </w:tcPr>
          <w:tbl>
            <w:tblPr>
              <w:tblW w:w="0" w:type="auto"/>
              <w:tblCellMar>
                <w:left w:w="0" w:type="dxa"/>
                <w:right w:w="0" w:type="dxa"/>
              </w:tblCellMar>
              <w:tblLook w:val="04A0"/>
            </w:tblPr>
            <w:tblGrid>
              <w:gridCol w:w="2916"/>
            </w:tblGrid>
            <w:tr w:rsidTr="007F2DE7">
              <w:tblPrEx>
                <w:tblW w:w="0" w:type="auto"/>
                <w:tblCellMar>
                  <w:left w:w="0" w:type="dxa"/>
                  <w:right w:w="0" w:type="dxa"/>
                </w:tblCellMar>
                <w:tblLook w:val="04A0"/>
              </w:tblPrEx>
              <w:trPr>
                <w:trHeight w:val="140"/>
              </w:trPr>
              <w:tc>
                <w:tcPr>
                  <w:tcW w:w="0" w:type="auto"/>
                  <w:tcMar>
                    <w:top w:w="0" w:type="dxa"/>
                    <w:left w:w="108" w:type="dxa"/>
                    <w:bottom w:w="0" w:type="dxa"/>
                    <w:right w:w="108" w:type="dxa"/>
                  </w:tcMar>
                  <w:hideMark/>
                </w:tcPr>
                <w:p w:rsidR="007F2DE7" w:rsidRPr="00FB6E71" w:rsidP="007F2DE7">
                  <w:pPr>
                    <w:rPr>
                      <w:rFonts w:asciiTheme="minorHAnsi" w:hAnsiTheme="minorHAnsi"/>
                      <w:sz w:val="18"/>
                      <w:szCs w:val="18"/>
                    </w:rPr>
                  </w:pPr>
                  <w:r w:rsidRPr="00FB6E71">
                    <w:rPr>
                      <w:rFonts w:asciiTheme="minorHAnsi" w:hAnsiTheme="minorHAnsi"/>
                      <w:sz w:val="18"/>
                      <w:szCs w:val="18"/>
                    </w:rPr>
                    <w:t xml:space="preserve">Publish </w:t>
                  </w:r>
                  <w:r>
                    <w:rPr>
                      <w:rFonts w:asciiTheme="minorHAnsi" w:hAnsiTheme="minorHAnsi"/>
                      <w:sz w:val="18"/>
                      <w:szCs w:val="18"/>
                    </w:rPr>
                    <w:t>s</w:t>
                  </w:r>
                  <w:r w:rsidRPr="00FB6E71">
                    <w:rPr>
                      <w:rFonts w:asciiTheme="minorHAnsi" w:hAnsiTheme="minorHAnsi"/>
                      <w:sz w:val="18"/>
                      <w:szCs w:val="18"/>
                    </w:rPr>
                    <w:t>tate budget online annually.</w:t>
                  </w:r>
                </w:p>
              </w:tc>
            </w:tr>
          </w:tbl>
          <w:p w:rsidR="007F2DE7" w:rsidRPr="00FB6E71" w:rsidP="007F2DE7">
            <w:pPr>
              <w:rPr>
                <w:rFonts w:asciiTheme="minorHAnsi" w:hAnsiTheme="minorHAnsi"/>
                <w:sz w:val="18"/>
                <w:szCs w:val="18"/>
              </w:rPr>
            </w:pPr>
          </w:p>
        </w:tc>
        <w:tc>
          <w:tcPr>
            <w:tcW w:w="1325" w:type="dxa"/>
            <w:tcMar>
              <w:top w:w="0" w:type="dxa"/>
              <w:left w:w="108" w:type="dxa"/>
              <w:bottom w:w="0" w:type="dxa"/>
              <w:right w:w="108" w:type="dxa"/>
            </w:tcMar>
            <w:hideMark/>
          </w:tcPr>
          <w:p w:rsidR="007F2DE7" w:rsidRPr="00FB6E71" w:rsidP="007F2DE7">
            <w:pPr>
              <w:jc w:val="center"/>
              <w:rPr>
                <w:rFonts w:asciiTheme="minorHAnsi" w:hAnsiTheme="minorHAnsi"/>
                <w:sz w:val="18"/>
                <w:szCs w:val="18"/>
              </w:rPr>
            </w:pPr>
            <w:r w:rsidRPr="00FB6E71">
              <w:rPr>
                <w:rFonts w:asciiTheme="minorHAnsi" w:hAnsiTheme="minorHAnsi"/>
                <w:sz w:val="18"/>
                <w:szCs w:val="18"/>
              </w:rPr>
              <w:t>March 2017</w:t>
            </w:r>
          </w:p>
        </w:tc>
      </w:tr>
      <w:tr w:rsidTr="007F2DE7">
        <w:tblPrEx>
          <w:tblW w:w="5000" w:type="pct"/>
          <w:jc w:val="center"/>
          <w:tblCellMar>
            <w:left w:w="0" w:type="dxa"/>
            <w:right w:w="0" w:type="dxa"/>
          </w:tblCellMar>
          <w:tblLook w:val="04A0"/>
        </w:tblPrEx>
        <w:trPr>
          <w:cantSplit/>
          <w:jc w:val="center"/>
        </w:trPr>
        <w:tc>
          <w:tcPr>
            <w:tcW w:w="8025" w:type="dxa"/>
            <w:tcMar>
              <w:top w:w="0" w:type="dxa"/>
              <w:left w:w="108" w:type="dxa"/>
              <w:bottom w:w="0" w:type="dxa"/>
              <w:right w:w="108" w:type="dxa"/>
            </w:tcMar>
            <w:hideMark/>
          </w:tcPr>
          <w:tbl>
            <w:tblPr>
              <w:tblW w:w="0" w:type="auto"/>
              <w:tblCellMar>
                <w:left w:w="0" w:type="dxa"/>
                <w:right w:w="0" w:type="dxa"/>
              </w:tblCellMar>
              <w:tblLook w:val="04A0"/>
            </w:tblPr>
            <w:tblGrid>
              <w:gridCol w:w="5491"/>
            </w:tblGrid>
            <w:tr w:rsidTr="007F2DE7">
              <w:tblPrEx>
                <w:tblW w:w="0" w:type="auto"/>
                <w:tblCellMar>
                  <w:left w:w="0" w:type="dxa"/>
                  <w:right w:w="0" w:type="dxa"/>
                </w:tblCellMar>
                <w:tblLook w:val="04A0"/>
              </w:tblPrEx>
              <w:trPr>
                <w:trHeight w:val="140"/>
              </w:trPr>
              <w:tc>
                <w:tcPr>
                  <w:tcW w:w="0" w:type="auto"/>
                  <w:tcMar>
                    <w:top w:w="0" w:type="dxa"/>
                    <w:left w:w="108" w:type="dxa"/>
                    <w:bottom w:w="0" w:type="dxa"/>
                    <w:right w:w="108" w:type="dxa"/>
                  </w:tcMar>
                  <w:hideMark/>
                </w:tcPr>
                <w:tbl>
                  <w:tblPr>
                    <w:tblW w:w="0" w:type="auto"/>
                    <w:tblCellMar>
                      <w:left w:w="0" w:type="dxa"/>
                      <w:right w:w="0" w:type="dxa"/>
                    </w:tblCellMar>
                    <w:tblLook w:val="04A0"/>
                  </w:tblPr>
                  <w:tblGrid>
                    <w:gridCol w:w="5275"/>
                  </w:tblGrid>
                  <w:tr w:rsidTr="007F2DE7">
                    <w:tblPrEx>
                      <w:tblW w:w="0" w:type="auto"/>
                      <w:tblCellMar>
                        <w:left w:w="0" w:type="dxa"/>
                        <w:right w:w="0" w:type="dxa"/>
                      </w:tblCellMar>
                      <w:tblLook w:val="04A0"/>
                    </w:tblPrEx>
                    <w:trPr>
                      <w:trHeight w:val="308"/>
                    </w:trPr>
                    <w:tc>
                      <w:tcPr>
                        <w:tcW w:w="0" w:type="auto"/>
                        <w:tcMar>
                          <w:top w:w="0" w:type="dxa"/>
                          <w:left w:w="108" w:type="dxa"/>
                          <w:bottom w:w="0" w:type="dxa"/>
                          <w:right w:w="108" w:type="dxa"/>
                        </w:tcMar>
                        <w:hideMark/>
                      </w:tcPr>
                      <w:p w:rsidR="007F2DE7" w:rsidRPr="00FB6E71" w:rsidP="007F2DE7">
                        <w:pPr>
                          <w:rPr>
                            <w:rFonts w:asciiTheme="minorHAnsi" w:hAnsiTheme="minorHAnsi"/>
                            <w:sz w:val="18"/>
                            <w:szCs w:val="18"/>
                          </w:rPr>
                        </w:pPr>
                        <w:r w:rsidRPr="00FB6E71">
                          <w:rPr>
                            <w:rFonts w:asciiTheme="minorHAnsi" w:hAnsiTheme="minorHAnsi"/>
                            <w:sz w:val="18"/>
                            <w:szCs w:val="18"/>
                          </w:rPr>
                          <w:t>Publish budget implementation performance report online quarterly.</w:t>
                        </w:r>
                      </w:p>
                    </w:tc>
                  </w:tr>
                </w:tbl>
                <w:p w:rsidR="007F2DE7" w:rsidRPr="00FB6E71" w:rsidP="007F2DE7">
                  <w:pPr>
                    <w:rPr>
                      <w:rFonts w:asciiTheme="minorHAnsi" w:hAnsiTheme="minorHAnsi"/>
                      <w:sz w:val="18"/>
                      <w:szCs w:val="18"/>
                    </w:rPr>
                  </w:pPr>
                </w:p>
              </w:tc>
            </w:tr>
          </w:tbl>
          <w:p w:rsidR="007F2DE7" w:rsidRPr="00FB6E71" w:rsidP="007F2DE7">
            <w:pPr>
              <w:rPr>
                <w:rFonts w:asciiTheme="minorHAnsi" w:hAnsiTheme="minorHAnsi"/>
                <w:sz w:val="18"/>
                <w:szCs w:val="18"/>
              </w:rPr>
            </w:pPr>
          </w:p>
        </w:tc>
        <w:tc>
          <w:tcPr>
            <w:tcW w:w="1325" w:type="dxa"/>
            <w:tcMar>
              <w:top w:w="0" w:type="dxa"/>
              <w:left w:w="108" w:type="dxa"/>
              <w:bottom w:w="0" w:type="dxa"/>
              <w:right w:w="108" w:type="dxa"/>
            </w:tcMar>
            <w:hideMark/>
          </w:tcPr>
          <w:p w:rsidR="007F2DE7" w:rsidRPr="00FB6E71" w:rsidP="007F2DE7">
            <w:pPr>
              <w:jc w:val="center"/>
              <w:rPr>
                <w:rFonts w:asciiTheme="minorHAnsi" w:hAnsiTheme="minorHAnsi"/>
                <w:sz w:val="18"/>
                <w:szCs w:val="18"/>
              </w:rPr>
            </w:pPr>
            <w:r w:rsidRPr="00FB6E71">
              <w:rPr>
                <w:rFonts w:asciiTheme="minorHAnsi" w:hAnsiTheme="minorHAnsi"/>
                <w:sz w:val="18"/>
                <w:szCs w:val="18"/>
              </w:rPr>
              <w:t>March 2017</w:t>
            </w:r>
          </w:p>
        </w:tc>
      </w:tr>
      <w:tr w:rsidTr="007F2DE7">
        <w:tblPrEx>
          <w:tblW w:w="5000" w:type="pct"/>
          <w:jc w:val="center"/>
          <w:tblCellMar>
            <w:left w:w="0" w:type="dxa"/>
            <w:right w:w="0" w:type="dxa"/>
          </w:tblCellMar>
          <w:tblLook w:val="04A0"/>
        </w:tblPrEx>
        <w:trPr>
          <w:cantSplit/>
          <w:jc w:val="center"/>
        </w:trPr>
        <w:tc>
          <w:tcPr>
            <w:tcW w:w="8025" w:type="dxa"/>
            <w:tcMar>
              <w:top w:w="0" w:type="dxa"/>
              <w:left w:w="108" w:type="dxa"/>
              <w:bottom w:w="0" w:type="dxa"/>
              <w:right w:w="108" w:type="dxa"/>
            </w:tcMar>
            <w:hideMark/>
          </w:tcPr>
          <w:tbl>
            <w:tblPr>
              <w:tblW w:w="0" w:type="auto"/>
              <w:tblCellMar>
                <w:left w:w="0" w:type="dxa"/>
                <w:right w:w="0" w:type="dxa"/>
              </w:tblCellMar>
              <w:tblLook w:val="04A0"/>
            </w:tblPr>
            <w:tblGrid>
              <w:gridCol w:w="7809"/>
            </w:tblGrid>
            <w:tr w:rsidTr="007F2DE7">
              <w:tblPrEx>
                <w:tblW w:w="0" w:type="auto"/>
                <w:tblCellMar>
                  <w:left w:w="0" w:type="dxa"/>
                  <w:right w:w="0" w:type="dxa"/>
                </w:tblCellMar>
                <w:tblLook w:val="04A0"/>
              </w:tblPrEx>
              <w:trPr>
                <w:trHeight w:val="308"/>
              </w:trPr>
              <w:tc>
                <w:tcPr>
                  <w:tcW w:w="0" w:type="auto"/>
                  <w:tcMar>
                    <w:top w:w="0" w:type="dxa"/>
                    <w:left w:w="108" w:type="dxa"/>
                    <w:bottom w:w="0" w:type="dxa"/>
                    <w:right w:w="108" w:type="dxa"/>
                  </w:tcMar>
                  <w:hideMark/>
                </w:tcPr>
                <w:p w:rsidR="007F2DE7" w:rsidRPr="00FB6E71" w:rsidP="007F2DE7">
                  <w:pPr>
                    <w:rPr>
                      <w:rFonts w:asciiTheme="minorHAnsi" w:hAnsiTheme="minorHAnsi"/>
                      <w:sz w:val="18"/>
                      <w:szCs w:val="18"/>
                    </w:rPr>
                  </w:pPr>
                  <w:r w:rsidRPr="00FB6E71">
                    <w:rPr>
                      <w:rFonts w:asciiTheme="minorHAnsi" w:hAnsiTheme="minorHAnsi"/>
                      <w:sz w:val="18"/>
                      <w:szCs w:val="18"/>
                    </w:rPr>
                    <w:t>Publish audited annual financial statements within 6 months of financial year</w:t>
                  </w:r>
                  <w:r>
                    <w:rPr>
                      <w:rFonts w:asciiTheme="minorHAnsi" w:hAnsiTheme="minorHAnsi"/>
                      <w:sz w:val="18"/>
                      <w:szCs w:val="18"/>
                    </w:rPr>
                    <w:t>-</w:t>
                  </w:r>
                  <w:r w:rsidRPr="00FB6E71">
                    <w:rPr>
                      <w:rFonts w:asciiTheme="minorHAnsi" w:hAnsiTheme="minorHAnsi"/>
                      <w:sz w:val="18"/>
                      <w:szCs w:val="18"/>
                    </w:rPr>
                    <w:t>end.</w:t>
                  </w:r>
                </w:p>
                <w:tbl>
                  <w:tblPr>
                    <w:tblW w:w="0" w:type="auto"/>
                    <w:tblCellMar>
                      <w:left w:w="0" w:type="dxa"/>
                      <w:right w:w="0" w:type="dxa"/>
                    </w:tblCellMar>
                    <w:tblLook w:val="04A0"/>
                  </w:tblPr>
                  <w:tblGrid>
                    <w:gridCol w:w="4803"/>
                  </w:tblGrid>
                  <w:tr w:rsidTr="007F2DE7">
                    <w:tblPrEx>
                      <w:tblW w:w="0" w:type="auto"/>
                      <w:tblCellMar>
                        <w:left w:w="0" w:type="dxa"/>
                        <w:right w:w="0" w:type="dxa"/>
                      </w:tblCellMar>
                      <w:tblLook w:val="04A0"/>
                    </w:tblPrEx>
                    <w:trPr>
                      <w:trHeight w:val="308"/>
                    </w:trPr>
                    <w:tc>
                      <w:tcPr>
                        <w:tcW w:w="0" w:type="auto"/>
                        <w:tcMar>
                          <w:top w:w="0" w:type="dxa"/>
                          <w:left w:w="108" w:type="dxa"/>
                          <w:bottom w:w="0" w:type="dxa"/>
                          <w:right w:w="108" w:type="dxa"/>
                        </w:tcMar>
                        <w:hideMark/>
                      </w:tcPr>
                      <w:p w:rsidR="007F2DE7" w:rsidRPr="00FB6E71" w:rsidP="007F2DE7">
                        <w:pPr>
                          <w:rPr>
                            <w:rFonts w:asciiTheme="minorHAnsi" w:hAnsiTheme="minorHAnsi"/>
                            <w:sz w:val="18"/>
                            <w:szCs w:val="18"/>
                          </w:rPr>
                        </w:pPr>
                        <w:r w:rsidRPr="00FB6E71">
                          <w:rPr>
                            <w:rFonts w:asciiTheme="minorHAnsi" w:hAnsiTheme="minorHAnsi"/>
                            <w:sz w:val="18"/>
                            <w:szCs w:val="18"/>
                          </w:rPr>
                          <w:t xml:space="preserve">Implement a centralized Treasury Single Account in each </w:t>
                        </w:r>
                        <w:r>
                          <w:rPr>
                            <w:rFonts w:asciiTheme="minorHAnsi" w:hAnsiTheme="minorHAnsi"/>
                            <w:sz w:val="18"/>
                            <w:szCs w:val="18"/>
                          </w:rPr>
                          <w:t>s</w:t>
                        </w:r>
                        <w:r w:rsidRPr="00FB6E71">
                          <w:rPr>
                            <w:rFonts w:asciiTheme="minorHAnsi" w:hAnsiTheme="minorHAnsi"/>
                            <w:sz w:val="18"/>
                            <w:szCs w:val="18"/>
                          </w:rPr>
                          <w:t>tate.</w:t>
                        </w:r>
                      </w:p>
                    </w:tc>
                  </w:tr>
                </w:tbl>
                <w:p w:rsidR="007F2DE7" w:rsidRPr="00FB6E71" w:rsidP="007F2DE7">
                  <w:pPr>
                    <w:ind w:left="360"/>
                    <w:rPr>
                      <w:rFonts w:asciiTheme="minorHAnsi" w:hAnsiTheme="minorHAnsi"/>
                      <w:sz w:val="18"/>
                      <w:szCs w:val="18"/>
                    </w:rPr>
                  </w:pPr>
                </w:p>
              </w:tc>
            </w:tr>
            <w:tr w:rsidTr="007F2DE7">
              <w:tblPrEx>
                <w:tblW w:w="0" w:type="auto"/>
                <w:tblCellMar>
                  <w:left w:w="0" w:type="dxa"/>
                  <w:right w:w="0" w:type="dxa"/>
                </w:tblCellMar>
                <w:tblLook w:val="04A0"/>
              </w:tblPrEx>
              <w:trPr>
                <w:trHeight w:val="308"/>
              </w:trPr>
              <w:tc>
                <w:tcPr>
                  <w:tcW w:w="0" w:type="auto"/>
                  <w:tcMar>
                    <w:top w:w="0" w:type="dxa"/>
                    <w:left w:w="108" w:type="dxa"/>
                    <w:bottom w:w="0" w:type="dxa"/>
                    <w:right w:w="108" w:type="dxa"/>
                  </w:tcMar>
                  <w:hideMark/>
                </w:tcPr>
                <w:p w:rsidR="007F2DE7" w:rsidRPr="00FB6E71" w:rsidP="007F2DE7">
                  <w:pPr>
                    <w:rPr>
                      <w:rFonts w:asciiTheme="minorHAnsi" w:hAnsiTheme="minorHAnsi"/>
                      <w:sz w:val="18"/>
                      <w:szCs w:val="18"/>
                    </w:rPr>
                  </w:pPr>
                  <w:r w:rsidRPr="00FB6E71">
                    <w:rPr>
                      <w:rFonts w:asciiTheme="minorHAnsi" w:hAnsiTheme="minorHAnsi"/>
                      <w:sz w:val="18"/>
                      <w:szCs w:val="18"/>
                    </w:rPr>
                    <w:t xml:space="preserve">Introduce a system of </w:t>
                  </w:r>
                  <w:r>
                    <w:rPr>
                      <w:rFonts w:asciiTheme="minorHAnsi" w:hAnsiTheme="minorHAnsi"/>
                      <w:sz w:val="18"/>
                      <w:szCs w:val="18"/>
                    </w:rPr>
                    <w:t>c</w:t>
                  </w:r>
                  <w:r w:rsidRPr="00FB6E71">
                    <w:rPr>
                      <w:rFonts w:asciiTheme="minorHAnsi" w:hAnsiTheme="minorHAnsi"/>
                      <w:sz w:val="18"/>
                      <w:szCs w:val="18"/>
                    </w:rPr>
                    <w:t xml:space="preserve">ontinuous </w:t>
                  </w:r>
                  <w:r>
                    <w:rPr>
                      <w:rFonts w:asciiTheme="minorHAnsi" w:hAnsiTheme="minorHAnsi"/>
                      <w:sz w:val="18"/>
                      <w:szCs w:val="18"/>
                    </w:rPr>
                    <w:t>a</w:t>
                  </w:r>
                  <w:r w:rsidRPr="00FB6E71">
                    <w:rPr>
                      <w:rFonts w:asciiTheme="minorHAnsi" w:hAnsiTheme="minorHAnsi"/>
                      <w:sz w:val="18"/>
                      <w:szCs w:val="18"/>
                    </w:rPr>
                    <w:t>udit (internal audit).</w:t>
                  </w:r>
                </w:p>
                <w:tbl>
                  <w:tblPr>
                    <w:tblW w:w="0" w:type="auto"/>
                    <w:tblCellMar>
                      <w:left w:w="0" w:type="dxa"/>
                      <w:right w:w="0" w:type="dxa"/>
                    </w:tblCellMar>
                    <w:tblLook w:val="04A0"/>
                  </w:tblPr>
                  <w:tblGrid>
                    <w:gridCol w:w="7593"/>
                  </w:tblGrid>
                  <w:tr w:rsidTr="007F2DE7">
                    <w:tblPrEx>
                      <w:tblW w:w="0" w:type="auto"/>
                      <w:tblCellMar>
                        <w:left w:w="0" w:type="dxa"/>
                        <w:right w:w="0" w:type="dxa"/>
                      </w:tblCellMar>
                      <w:tblLook w:val="04A0"/>
                    </w:tblPrEx>
                    <w:trPr>
                      <w:trHeight w:val="308"/>
                    </w:trPr>
                    <w:tc>
                      <w:tcPr>
                        <w:tcW w:w="0" w:type="auto"/>
                        <w:tcMar>
                          <w:top w:w="0" w:type="dxa"/>
                          <w:left w:w="108" w:type="dxa"/>
                          <w:bottom w:w="0" w:type="dxa"/>
                          <w:right w:w="108" w:type="dxa"/>
                        </w:tcMar>
                        <w:hideMark/>
                      </w:tcPr>
                      <w:p w:rsidR="007F2DE7" w:rsidRPr="00FB6E71" w:rsidP="007F2DE7">
                        <w:pPr>
                          <w:rPr>
                            <w:rFonts w:asciiTheme="minorHAnsi" w:hAnsiTheme="minorHAnsi"/>
                            <w:sz w:val="18"/>
                            <w:szCs w:val="18"/>
                          </w:rPr>
                        </w:pPr>
                        <w:r>
                          <w:rPr>
                            <w:rFonts w:asciiTheme="minorHAnsi" w:hAnsiTheme="minorHAnsi"/>
                            <w:sz w:val="18"/>
                            <w:szCs w:val="18"/>
                          </w:rPr>
                          <w:t>Provide i</w:t>
                        </w:r>
                        <w:r w:rsidRPr="00FB6E71">
                          <w:rPr>
                            <w:rFonts w:asciiTheme="minorHAnsi" w:hAnsiTheme="minorHAnsi"/>
                            <w:sz w:val="18"/>
                            <w:szCs w:val="18"/>
                          </w:rPr>
                          <w:t xml:space="preserve">ntroduction and </w:t>
                        </w:r>
                        <w:r>
                          <w:rPr>
                            <w:rFonts w:asciiTheme="minorHAnsi" w:hAnsiTheme="minorHAnsi"/>
                            <w:sz w:val="18"/>
                            <w:szCs w:val="18"/>
                          </w:rPr>
                          <w:t xml:space="preserve">ensure </w:t>
                        </w:r>
                        <w:r w:rsidRPr="00FB6E71">
                          <w:rPr>
                            <w:rFonts w:asciiTheme="minorHAnsi" w:hAnsiTheme="minorHAnsi"/>
                            <w:sz w:val="18"/>
                            <w:szCs w:val="18"/>
                          </w:rPr>
                          <w:t>compliance with the International Public Sector Accounting Standards.</w:t>
                        </w:r>
                      </w:p>
                    </w:tc>
                  </w:tr>
                </w:tbl>
                <w:p w:rsidR="007F2DE7" w:rsidRPr="00FB6E71" w:rsidP="007F2DE7">
                  <w:pPr>
                    <w:ind w:left="360"/>
                    <w:rPr>
                      <w:rFonts w:asciiTheme="minorHAnsi" w:hAnsiTheme="minorHAnsi"/>
                      <w:sz w:val="18"/>
                      <w:szCs w:val="18"/>
                    </w:rPr>
                  </w:pPr>
                </w:p>
              </w:tc>
            </w:tr>
          </w:tbl>
          <w:p w:rsidR="007F2DE7" w:rsidRPr="00FB6E71" w:rsidP="007F2DE7">
            <w:pPr>
              <w:rPr>
                <w:rFonts w:asciiTheme="minorHAnsi" w:hAnsiTheme="minorHAnsi"/>
                <w:sz w:val="18"/>
                <w:szCs w:val="18"/>
              </w:rPr>
            </w:pPr>
          </w:p>
        </w:tc>
        <w:tc>
          <w:tcPr>
            <w:tcW w:w="1325" w:type="dxa"/>
            <w:tcMar>
              <w:top w:w="0" w:type="dxa"/>
              <w:left w:w="108" w:type="dxa"/>
              <w:bottom w:w="0" w:type="dxa"/>
              <w:right w:w="108" w:type="dxa"/>
            </w:tcMar>
            <w:hideMark/>
          </w:tcPr>
          <w:p w:rsidR="007F2DE7" w:rsidRPr="00FB6E71" w:rsidP="007F2DE7">
            <w:pPr>
              <w:jc w:val="center"/>
              <w:rPr>
                <w:rFonts w:asciiTheme="minorHAnsi" w:hAnsiTheme="minorHAnsi"/>
                <w:sz w:val="18"/>
                <w:szCs w:val="18"/>
              </w:rPr>
            </w:pPr>
            <w:r w:rsidRPr="00FB6E71">
              <w:rPr>
                <w:rFonts w:asciiTheme="minorHAnsi" w:hAnsiTheme="minorHAnsi"/>
                <w:sz w:val="18"/>
                <w:szCs w:val="18"/>
              </w:rPr>
              <w:t>December 2016</w:t>
            </w:r>
          </w:p>
        </w:tc>
      </w:tr>
      <w:tr w:rsidTr="007F2DE7">
        <w:tblPrEx>
          <w:tblW w:w="5000" w:type="pct"/>
          <w:jc w:val="center"/>
          <w:tblCellMar>
            <w:left w:w="0" w:type="dxa"/>
            <w:right w:w="0" w:type="dxa"/>
          </w:tblCellMar>
          <w:tblLook w:val="04A0"/>
        </w:tblPrEx>
        <w:trPr>
          <w:cantSplit/>
          <w:jc w:val="center"/>
        </w:trPr>
        <w:tc>
          <w:tcPr>
            <w:tcW w:w="8025" w:type="dxa"/>
            <w:tcMar>
              <w:top w:w="0" w:type="dxa"/>
              <w:left w:w="108" w:type="dxa"/>
              <w:bottom w:w="0" w:type="dxa"/>
              <w:right w:w="108" w:type="dxa"/>
            </w:tcMar>
            <w:hideMark/>
          </w:tcPr>
          <w:tbl>
            <w:tblPr>
              <w:tblW w:w="0" w:type="auto"/>
              <w:tblCellMar>
                <w:left w:w="0" w:type="dxa"/>
                <w:right w:w="0" w:type="dxa"/>
              </w:tblCellMar>
              <w:tblLook w:val="04A0"/>
            </w:tblPr>
            <w:tblGrid>
              <w:gridCol w:w="3178"/>
            </w:tblGrid>
            <w:tr w:rsidTr="007F2DE7">
              <w:tblPrEx>
                <w:tblW w:w="0" w:type="auto"/>
                <w:tblCellMar>
                  <w:left w:w="0" w:type="dxa"/>
                  <w:right w:w="0" w:type="dxa"/>
                </w:tblCellMar>
                <w:tblLook w:val="04A0"/>
              </w:tblPrEx>
              <w:trPr>
                <w:trHeight w:val="140"/>
              </w:trPr>
              <w:tc>
                <w:tcPr>
                  <w:tcW w:w="0" w:type="auto"/>
                  <w:tcMar>
                    <w:top w:w="0" w:type="dxa"/>
                    <w:left w:w="108" w:type="dxa"/>
                    <w:bottom w:w="0" w:type="dxa"/>
                    <w:right w:w="108" w:type="dxa"/>
                  </w:tcMar>
                  <w:hideMark/>
                </w:tcPr>
                <w:p w:rsidR="007F2DE7" w:rsidRPr="00FB6E71" w:rsidP="007F2DE7">
                  <w:pPr>
                    <w:rPr>
                      <w:rFonts w:asciiTheme="minorHAnsi" w:hAnsiTheme="minorHAnsi"/>
                      <w:sz w:val="18"/>
                      <w:szCs w:val="18"/>
                    </w:rPr>
                  </w:pPr>
                  <w:r w:rsidRPr="00FB6E71">
                    <w:rPr>
                      <w:rFonts w:asciiTheme="minorHAnsi" w:hAnsiTheme="minorHAnsi"/>
                      <w:sz w:val="18"/>
                      <w:szCs w:val="18"/>
                    </w:rPr>
                    <w:t>Create a fixed asset and liability register.</w:t>
                  </w:r>
                </w:p>
              </w:tc>
            </w:tr>
          </w:tbl>
          <w:p w:rsidR="007F2DE7" w:rsidRPr="00FB6E71" w:rsidP="007F2DE7">
            <w:pPr>
              <w:ind w:left="360"/>
              <w:rPr>
                <w:rFonts w:asciiTheme="minorHAnsi" w:hAnsiTheme="minorHAnsi"/>
                <w:sz w:val="18"/>
                <w:szCs w:val="18"/>
              </w:rPr>
            </w:pPr>
          </w:p>
        </w:tc>
        <w:tc>
          <w:tcPr>
            <w:tcW w:w="1325" w:type="dxa"/>
            <w:tcMar>
              <w:top w:w="0" w:type="dxa"/>
              <w:left w:w="108" w:type="dxa"/>
              <w:bottom w:w="0" w:type="dxa"/>
              <w:right w:w="108" w:type="dxa"/>
            </w:tcMar>
            <w:hideMark/>
          </w:tcPr>
          <w:p w:rsidR="007F2DE7" w:rsidRPr="00FB6E71" w:rsidP="007F2DE7">
            <w:pPr>
              <w:jc w:val="center"/>
              <w:rPr>
                <w:rFonts w:asciiTheme="minorHAnsi" w:hAnsiTheme="minorHAnsi"/>
                <w:sz w:val="18"/>
                <w:szCs w:val="18"/>
              </w:rPr>
            </w:pPr>
            <w:r w:rsidRPr="00FB6E71">
              <w:rPr>
                <w:rFonts w:asciiTheme="minorHAnsi" w:hAnsiTheme="minorHAnsi"/>
                <w:sz w:val="18"/>
                <w:szCs w:val="18"/>
              </w:rPr>
              <w:t>June 2017</w:t>
            </w:r>
          </w:p>
        </w:tc>
      </w:tr>
      <w:tr w:rsidTr="007F2DE7">
        <w:tblPrEx>
          <w:tblW w:w="5000" w:type="pct"/>
          <w:jc w:val="center"/>
          <w:tblCellMar>
            <w:left w:w="0" w:type="dxa"/>
            <w:right w:w="0" w:type="dxa"/>
          </w:tblCellMar>
          <w:tblLook w:val="04A0"/>
        </w:tblPrEx>
        <w:trPr>
          <w:cantSplit/>
          <w:jc w:val="center"/>
        </w:trPr>
        <w:tc>
          <w:tcPr>
            <w:tcW w:w="8025" w:type="dxa"/>
            <w:tcMar>
              <w:top w:w="0" w:type="dxa"/>
              <w:left w:w="108" w:type="dxa"/>
              <w:bottom w:w="0" w:type="dxa"/>
              <w:right w:w="108" w:type="dxa"/>
            </w:tcMar>
          </w:tcPr>
          <w:p w:rsidR="007F2DE7" w:rsidRPr="00FB6E71" w:rsidP="007F2DE7">
            <w:pPr>
              <w:rPr>
                <w:rFonts w:asciiTheme="minorHAnsi" w:hAnsiTheme="minorHAnsi"/>
                <w:sz w:val="18"/>
                <w:szCs w:val="18"/>
              </w:rPr>
            </w:pPr>
            <w:r>
              <w:rPr>
                <w:rFonts w:asciiTheme="minorHAnsi" w:hAnsiTheme="minorHAnsi"/>
                <w:sz w:val="18"/>
                <w:szCs w:val="18"/>
              </w:rPr>
              <w:t>Carry out b</w:t>
            </w:r>
            <w:r w:rsidRPr="00FB6E71">
              <w:rPr>
                <w:rFonts w:asciiTheme="minorHAnsi" w:hAnsiTheme="minorHAnsi"/>
                <w:sz w:val="18"/>
                <w:szCs w:val="18"/>
              </w:rPr>
              <w:t xml:space="preserve">iometric capture of all </w:t>
            </w:r>
            <w:r>
              <w:rPr>
                <w:rFonts w:asciiTheme="minorHAnsi" w:hAnsiTheme="minorHAnsi"/>
                <w:sz w:val="18"/>
                <w:szCs w:val="18"/>
              </w:rPr>
              <w:t>s</w:t>
            </w:r>
            <w:r w:rsidRPr="00FB6E71">
              <w:rPr>
                <w:rFonts w:asciiTheme="minorHAnsi" w:hAnsiTheme="minorHAnsi"/>
                <w:sz w:val="18"/>
                <w:szCs w:val="18"/>
              </w:rPr>
              <w:t xml:space="preserve">tates’ </w:t>
            </w:r>
            <w:r>
              <w:rPr>
                <w:rFonts w:asciiTheme="minorHAnsi" w:hAnsiTheme="minorHAnsi"/>
                <w:sz w:val="18"/>
                <w:szCs w:val="18"/>
              </w:rPr>
              <w:t>c</w:t>
            </w:r>
            <w:r w:rsidRPr="00FB6E71">
              <w:rPr>
                <w:rFonts w:asciiTheme="minorHAnsi" w:hAnsiTheme="minorHAnsi"/>
                <w:sz w:val="18"/>
                <w:szCs w:val="18"/>
              </w:rPr>
              <w:t xml:space="preserve">ivil </w:t>
            </w:r>
            <w:r>
              <w:rPr>
                <w:rFonts w:asciiTheme="minorHAnsi" w:hAnsiTheme="minorHAnsi"/>
                <w:sz w:val="18"/>
                <w:szCs w:val="18"/>
              </w:rPr>
              <w:t>s</w:t>
            </w:r>
            <w:r w:rsidRPr="00FB6E71">
              <w:rPr>
                <w:rFonts w:asciiTheme="minorHAnsi" w:hAnsiTheme="minorHAnsi"/>
                <w:sz w:val="18"/>
                <w:szCs w:val="18"/>
              </w:rPr>
              <w:t>ervants to eliminate payroll fraud.</w:t>
            </w:r>
          </w:p>
        </w:tc>
        <w:tc>
          <w:tcPr>
            <w:tcW w:w="1325" w:type="dxa"/>
            <w:tcMar>
              <w:top w:w="0" w:type="dxa"/>
              <w:left w:w="108" w:type="dxa"/>
              <w:bottom w:w="0" w:type="dxa"/>
              <w:right w:w="108" w:type="dxa"/>
            </w:tcMar>
          </w:tcPr>
          <w:p w:rsidR="007F2DE7" w:rsidRPr="00FB6E71" w:rsidP="007F2DE7">
            <w:pPr>
              <w:jc w:val="center"/>
              <w:rPr>
                <w:rFonts w:asciiTheme="minorHAnsi" w:hAnsiTheme="minorHAnsi"/>
                <w:sz w:val="18"/>
                <w:szCs w:val="18"/>
              </w:rPr>
            </w:pPr>
            <w:r w:rsidRPr="00FB6E71">
              <w:rPr>
                <w:rFonts w:asciiTheme="minorHAnsi" w:hAnsiTheme="minorHAnsi"/>
                <w:sz w:val="18"/>
                <w:szCs w:val="18"/>
              </w:rPr>
              <w:t>December 2016</w:t>
            </w:r>
          </w:p>
        </w:tc>
      </w:tr>
    </w:tbl>
    <w:p w:rsidR="007F2DE7" w:rsidRPr="00FB6E71" w:rsidP="007F2DE7">
      <w:pPr>
        <w:widowControl/>
        <w:jc w:val="center"/>
        <w:rPr>
          <w:rFonts w:asciiTheme="minorHAnsi" w:hAnsiTheme="minorHAnsi"/>
          <w:color w:val="auto"/>
          <w:sz w:val="18"/>
          <w:szCs w:val="18"/>
          <w:lang w:bidi="en-US"/>
        </w:rPr>
      </w:pPr>
    </w:p>
    <w:p w:rsidR="007F2DE7" w:rsidRPr="00FB6E71" w:rsidP="00302E0C">
      <w:pPr>
        <w:widowControl/>
        <w:numPr>
          <w:ilvl w:val="0"/>
          <w:numId w:val="46"/>
        </w:numPr>
        <w:spacing w:after="240"/>
        <w:ind w:left="1195" w:hanging="475"/>
        <w:jc w:val="both"/>
        <w:rPr>
          <w:rFonts w:asciiTheme="minorHAnsi" w:hAnsiTheme="minorHAnsi"/>
          <w:sz w:val="22"/>
          <w:szCs w:val="22"/>
        </w:rPr>
      </w:pPr>
      <w:r w:rsidRPr="00FB6E71">
        <w:rPr>
          <w:rFonts w:asciiTheme="minorHAnsi" w:hAnsiTheme="minorHAnsi"/>
          <w:b/>
          <w:sz w:val="22"/>
          <w:szCs w:val="22"/>
        </w:rPr>
        <w:t xml:space="preserve">Vice President’s </w:t>
      </w:r>
      <w:r>
        <w:rPr>
          <w:rFonts w:asciiTheme="minorHAnsi" w:hAnsiTheme="minorHAnsi"/>
          <w:b/>
          <w:sz w:val="22"/>
          <w:szCs w:val="22"/>
        </w:rPr>
        <w:t>o</w:t>
      </w:r>
      <w:r w:rsidRPr="00FB6E71">
        <w:rPr>
          <w:rFonts w:asciiTheme="minorHAnsi" w:hAnsiTheme="minorHAnsi"/>
          <w:b/>
          <w:sz w:val="22"/>
          <w:szCs w:val="22"/>
        </w:rPr>
        <w:t>ffice</w:t>
      </w:r>
      <w:r>
        <w:rPr>
          <w:rFonts w:asciiTheme="minorHAnsi" w:hAnsiTheme="minorHAnsi"/>
          <w:b/>
          <w:sz w:val="22"/>
          <w:szCs w:val="22"/>
        </w:rPr>
        <w:t>.</w:t>
      </w:r>
      <w:r w:rsidRPr="00FB6E71">
        <w:rPr>
          <w:rFonts w:asciiTheme="minorHAnsi" w:hAnsiTheme="minorHAnsi"/>
          <w:sz w:val="22"/>
          <w:szCs w:val="22"/>
        </w:rPr>
        <w:t xml:space="preserve"> The Vice President, as the second in command in the Government, spearheaded the implementation of the RPBA to ensure that government counterparts were fully involved throughout the process. The Vice President</w:t>
      </w:r>
      <w:r>
        <w:rPr>
          <w:rFonts w:asciiTheme="minorHAnsi" w:hAnsiTheme="minorHAnsi"/>
          <w:sz w:val="22"/>
          <w:szCs w:val="22"/>
        </w:rPr>
        <w:t>’s office</w:t>
      </w:r>
      <w:r w:rsidRPr="00FB6E71">
        <w:rPr>
          <w:rFonts w:asciiTheme="minorHAnsi" w:hAnsiTheme="minorHAnsi"/>
          <w:sz w:val="22"/>
          <w:szCs w:val="22"/>
        </w:rPr>
        <w:t xml:space="preserve"> will continue to use </w:t>
      </w:r>
      <w:r w:rsidRPr="00AB5199">
        <w:rPr>
          <w:rFonts w:asciiTheme="minorHAnsi" w:hAnsiTheme="minorHAnsi"/>
          <w:sz w:val="22"/>
          <w:szCs w:val="22"/>
        </w:rPr>
        <w:t>its</w:t>
      </w:r>
      <w:r w:rsidRPr="00FB6E71">
        <w:rPr>
          <w:rFonts w:asciiTheme="minorHAnsi" w:hAnsiTheme="minorHAnsi"/>
          <w:sz w:val="22"/>
          <w:szCs w:val="22"/>
        </w:rPr>
        <w:t xml:space="preserve"> convening power to ensure the project remains fully anchored and coordinated among </w:t>
      </w:r>
      <w:r>
        <w:rPr>
          <w:rFonts w:asciiTheme="minorHAnsi" w:hAnsiTheme="minorHAnsi"/>
          <w:sz w:val="22"/>
          <w:szCs w:val="22"/>
        </w:rPr>
        <w:t xml:space="preserve">the </w:t>
      </w:r>
      <w:r w:rsidRPr="00FB6E71">
        <w:rPr>
          <w:rFonts w:asciiTheme="minorHAnsi" w:hAnsiTheme="minorHAnsi"/>
          <w:sz w:val="22"/>
          <w:szCs w:val="22"/>
        </w:rPr>
        <w:t xml:space="preserve">respective line ministries at the federal and state levels. </w:t>
      </w:r>
      <w:r w:rsidRPr="00AB5199">
        <w:rPr>
          <w:rFonts w:asciiTheme="minorHAnsi" w:hAnsiTheme="minorHAnsi"/>
          <w:sz w:val="22"/>
          <w:szCs w:val="22"/>
        </w:rPr>
        <w:t>It</w:t>
      </w:r>
      <w:r w:rsidRPr="00FB6E71">
        <w:rPr>
          <w:rFonts w:asciiTheme="minorHAnsi" w:hAnsiTheme="minorHAnsi"/>
          <w:sz w:val="22"/>
          <w:szCs w:val="22"/>
        </w:rPr>
        <w:t xml:space="preserve"> will coordinate the implementation of the recovery and stabilization </w:t>
      </w:r>
      <w:r>
        <w:rPr>
          <w:rFonts w:asciiTheme="minorHAnsi" w:hAnsiTheme="minorHAnsi"/>
          <w:sz w:val="22"/>
          <w:szCs w:val="22"/>
        </w:rPr>
        <w:t xml:space="preserve">with a </w:t>
      </w:r>
      <w:r w:rsidRPr="00FB6E71">
        <w:rPr>
          <w:rFonts w:asciiTheme="minorHAnsi" w:hAnsiTheme="minorHAnsi"/>
          <w:sz w:val="22"/>
          <w:szCs w:val="22"/>
        </w:rPr>
        <w:t xml:space="preserve">Strategic Action Plan by chairing the </w:t>
      </w:r>
      <w:r>
        <w:rPr>
          <w:rFonts w:asciiTheme="minorHAnsi" w:hAnsiTheme="minorHAnsi"/>
          <w:sz w:val="22"/>
          <w:szCs w:val="22"/>
        </w:rPr>
        <w:t>PCNI</w:t>
      </w:r>
      <w:r w:rsidRPr="00FB6E71">
        <w:rPr>
          <w:rFonts w:asciiTheme="minorHAnsi" w:hAnsiTheme="minorHAnsi"/>
          <w:sz w:val="22"/>
          <w:szCs w:val="22"/>
        </w:rPr>
        <w:t>.</w:t>
      </w:r>
    </w:p>
    <w:p w:rsidR="007F2DE7" w:rsidRPr="00FB6E71" w:rsidP="00302E0C">
      <w:pPr>
        <w:widowControl/>
        <w:numPr>
          <w:ilvl w:val="0"/>
          <w:numId w:val="46"/>
        </w:numPr>
        <w:spacing w:after="240"/>
        <w:ind w:left="1195" w:hanging="475"/>
        <w:jc w:val="both"/>
        <w:rPr>
          <w:rFonts w:asciiTheme="minorHAnsi" w:hAnsiTheme="minorHAnsi"/>
          <w:sz w:val="22"/>
          <w:szCs w:val="22"/>
        </w:rPr>
      </w:pPr>
      <w:r w:rsidRPr="00FB6E71">
        <w:rPr>
          <w:rFonts w:asciiTheme="minorHAnsi" w:hAnsiTheme="minorHAnsi"/>
          <w:b/>
          <w:sz w:val="22"/>
          <w:szCs w:val="22"/>
        </w:rPr>
        <w:t>PCNI</w:t>
      </w:r>
      <w:r>
        <w:rPr>
          <w:rFonts w:asciiTheme="minorHAnsi" w:hAnsiTheme="minorHAnsi"/>
          <w:b/>
          <w:sz w:val="22"/>
          <w:szCs w:val="22"/>
        </w:rPr>
        <w:t>.</w:t>
      </w:r>
      <w:r w:rsidRPr="00FB6E71">
        <w:rPr>
          <w:rFonts w:asciiTheme="minorHAnsi" w:hAnsiTheme="minorHAnsi"/>
          <w:sz w:val="22"/>
          <w:szCs w:val="22"/>
        </w:rPr>
        <w:t xml:space="preserve"> The </w:t>
      </w:r>
      <w:r w:rsidRPr="00FB6E71">
        <w:rPr>
          <w:rFonts w:asciiTheme="minorHAnsi" w:hAnsiTheme="minorHAnsi"/>
          <w:bCs/>
          <w:sz w:val="22"/>
          <w:szCs w:val="22"/>
        </w:rPr>
        <w:t>PCNI was recently established by a</w:t>
      </w:r>
      <w:r w:rsidRPr="00FB6E71">
        <w:rPr>
          <w:rFonts w:asciiTheme="minorHAnsi" w:hAnsiTheme="minorHAnsi"/>
          <w:bCs/>
          <w:color w:val="auto"/>
          <w:sz w:val="22"/>
          <w:szCs w:val="22"/>
        </w:rPr>
        <w:t xml:space="preserve"> Presidential Executive Order from President Buhari in September 2016, to serve as a special</w:t>
      </w:r>
      <w:r>
        <w:rPr>
          <w:rFonts w:asciiTheme="minorHAnsi" w:hAnsiTheme="minorHAnsi"/>
          <w:bCs/>
          <w:color w:val="auto"/>
          <w:sz w:val="22"/>
          <w:szCs w:val="22"/>
        </w:rPr>
        <w:t>-</w:t>
      </w:r>
      <w:r w:rsidRPr="00FB6E71">
        <w:rPr>
          <w:rFonts w:asciiTheme="minorHAnsi" w:hAnsiTheme="minorHAnsi"/>
          <w:bCs/>
          <w:color w:val="auto"/>
          <w:sz w:val="22"/>
          <w:szCs w:val="22"/>
        </w:rPr>
        <w:t xml:space="preserve">purpose vehicle for the implementation of the Buhari Plan with responsibility for direct oversight coordination and monitoring of all interventions in the NE region. </w:t>
      </w:r>
      <w:r w:rsidRPr="00FB6E71">
        <w:rPr>
          <w:rFonts w:asciiTheme="minorHAnsi" w:hAnsiTheme="minorHAnsi"/>
          <w:bCs/>
          <w:sz w:val="22"/>
          <w:szCs w:val="22"/>
        </w:rPr>
        <w:t>While the PCNI will not be implementing recovery projects, it will approve, monitor, evaluate, coordinate</w:t>
      </w:r>
      <w:r>
        <w:rPr>
          <w:rFonts w:asciiTheme="minorHAnsi" w:hAnsiTheme="minorHAnsi"/>
          <w:bCs/>
          <w:sz w:val="22"/>
          <w:szCs w:val="22"/>
        </w:rPr>
        <w:t>,</w:t>
      </w:r>
      <w:r w:rsidRPr="00FB6E71">
        <w:rPr>
          <w:rFonts w:asciiTheme="minorHAnsi" w:hAnsiTheme="minorHAnsi"/>
          <w:bCs/>
          <w:sz w:val="22"/>
          <w:szCs w:val="22"/>
        </w:rPr>
        <w:t xml:space="preserve"> and guide the implementation of all NE intervention efforts under the Buhari Plan, including those of the Government, development partners, NGOs, and relevant MDAs. The</w:t>
      </w:r>
      <w:r w:rsidRPr="00FB6E71">
        <w:rPr>
          <w:rFonts w:asciiTheme="minorHAnsi" w:hAnsiTheme="minorHAnsi"/>
          <w:sz w:val="22"/>
          <w:szCs w:val="22"/>
        </w:rPr>
        <w:t xml:space="preserve"> Vice President will oversee the activities of the PCNI and </w:t>
      </w:r>
      <w:r>
        <w:rPr>
          <w:rFonts w:asciiTheme="minorHAnsi" w:hAnsiTheme="minorHAnsi"/>
          <w:sz w:val="22"/>
          <w:szCs w:val="22"/>
        </w:rPr>
        <w:t xml:space="preserve">will </w:t>
      </w:r>
      <w:r w:rsidRPr="00FB6E71">
        <w:rPr>
          <w:rFonts w:asciiTheme="minorHAnsi" w:hAnsiTheme="minorHAnsi"/>
          <w:sz w:val="22"/>
          <w:szCs w:val="22"/>
        </w:rPr>
        <w:t>be responsible for accountability, budgetary oversight</w:t>
      </w:r>
      <w:r>
        <w:rPr>
          <w:rFonts w:asciiTheme="minorHAnsi" w:hAnsiTheme="minorHAnsi"/>
          <w:sz w:val="22"/>
          <w:szCs w:val="22"/>
        </w:rPr>
        <w:t>,</w:t>
      </w:r>
      <w:r w:rsidRPr="00FB6E71">
        <w:rPr>
          <w:rFonts w:asciiTheme="minorHAnsi" w:hAnsiTheme="minorHAnsi"/>
          <w:sz w:val="22"/>
          <w:szCs w:val="22"/>
        </w:rPr>
        <w:t xml:space="preserve"> and legislative advocacy.</w:t>
      </w:r>
      <w:r w:rsidRPr="00FB6E71">
        <w:rPr>
          <w:rFonts w:asciiTheme="minorHAnsi" w:hAnsiTheme="minorHAnsi"/>
          <w:bCs/>
          <w:sz w:val="22"/>
          <w:szCs w:val="22"/>
        </w:rPr>
        <w:t> </w:t>
      </w:r>
      <w:r>
        <w:rPr>
          <w:rFonts w:asciiTheme="minorHAnsi" w:hAnsiTheme="minorHAnsi"/>
          <w:bCs/>
          <w:sz w:val="22"/>
          <w:szCs w:val="22"/>
        </w:rPr>
        <w:t xml:space="preserve">The </w:t>
      </w:r>
      <w:r w:rsidRPr="00FB6E71">
        <w:rPr>
          <w:rFonts w:asciiTheme="minorHAnsi" w:hAnsiTheme="minorHAnsi"/>
          <w:bCs/>
          <w:sz w:val="22"/>
          <w:szCs w:val="22"/>
        </w:rPr>
        <w:t xml:space="preserve">PCNI will also take over the responsibilities and budgets of PINE and the Safe Schools Initiative. </w:t>
      </w:r>
      <w:r>
        <w:rPr>
          <w:rFonts w:asciiTheme="minorHAnsi" w:hAnsiTheme="minorHAnsi"/>
          <w:bCs/>
          <w:sz w:val="22"/>
          <w:szCs w:val="22"/>
        </w:rPr>
        <w:t xml:space="preserve">The </w:t>
      </w:r>
      <w:r w:rsidRPr="00FB6E71">
        <w:rPr>
          <w:rFonts w:asciiTheme="minorHAnsi" w:hAnsiTheme="minorHAnsi"/>
          <w:bCs/>
          <w:sz w:val="22"/>
          <w:szCs w:val="22"/>
        </w:rPr>
        <w:t xml:space="preserve">PCNI will have a tenure of three years, by which time a long-term regional development framework or entity is expected to be legislated to drive the long-term development of the NE region. </w:t>
      </w:r>
    </w:p>
    <w:p w:rsidR="007F2DE7" w:rsidRPr="00FB6E71" w:rsidP="00302E0C">
      <w:pPr>
        <w:widowControl/>
        <w:numPr>
          <w:ilvl w:val="0"/>
          <w:numId w:val="46"/>
        </w:numPr>
        <w:spacing w:after="240"/>
        <w:ind w:left="1195" w:hanging="475"/>
        <w:jc w:val="both"/>
        <w:rPr>
          <w:rFonts w:asciiTheme="minorHAnsi" w:hAnsiTheme="minorHAnsi"/>
          <w:sz w:val="22"/>
          <w:szCs w:val="22"/>
        </w:rPr>
      </w:pPr>
      <w:r w:rsidRPr="00FB6E71">
        <w:rPr>
          <w:rFonts w:asciiTheme="minorHAnsi" w:hAnsiTheme="minorHAnsi"/>
          <w:b/>
          <w:sz w:val="22"/>
          <w:szCs w:val="22"/>
        </w:rPr>
        <w:t>FMBNP.</w:t>
      </w:r>
      <w:r w:rsidRPr="00FB6E71">
        <w:rPr>
          <w:rFonts w:asciiTheme="minorHAnsi" w:hAnsiTheme="minorHAnsi"/>
          <w:sz w:val="22"/>
          <w:szCs w:val="22"/>
        </w:rPr>
        <w:t xml:space="preserve"> This ministry is responsible for (among other</w:t>
      </w:r>
      <w:r>
        <w:rPr>
          <w:rFonts w:asciiTheme="minorHAnsi" w:hAnsiTheme="minorHAnsi"/>
          <w:sz w:val="22"/>
          <w:szCs w:val="22"/>
        </w:rPr>
        <w:t xml:space="preserve"> thing</w:t>
      </w:r>
      <w:r w:rsidRPr="00FB6E71">
        <w:rPr>
          <w:rFonts w:asciiTheme="minorHAnsi" w:hAnsiTheme="minorHAnsi"/>
          <w:sz w:val="22"/>
          <w:szCs w:val="22"/>
        </w:rPr>
        <w:t>s) formulating national development plans</w:t>
      </w:r>
      <w:r>
        <w:rPr>
          <w:rFonts w:asciiTheme="minorHAnsi" w:hAnsiTheme="minorHAnsi"/>
          <w:sz w:val="22"/>
          <w:szCs w:val="22"/>
        </w:rPr>
        <w:t>;</w:t>
      </w:r>
      <w:r w:rsidRPr="00FB6E71">
        <w:rPr>
          <w:rFonts w:asciiTheme="minorHAnsi" w:hAnsiTheme="minorHAnsi"/>
          <w:sz w:val="22"/>
          <w:szCs w:val="22"/>
        </w:rPr>
        <w:t xml:space="preserve"> coordinat</w:t>
      </w:r>
      <w:r>
        <w:rPr>
          <w:rFonts w:asciiTheme="minorHAnsi" w:hAnsiTheme="minorHAnsi"/>
          <w:sz w:val="22"/>
          <w:szCs w:val="22"/>
        </w:rPr>
        <w:t>ing</w:t>
      </w:r>
      <w:r w:rsidRPr="00FB6E71">
        <w:rPr>
          <w:rFonts w:asciiTheme="minorHAnsi" w:hAnsiTheme="minorHAnsi"/>
          <w:sz w:val="22"/>
          <w:szCs w:val="22"/>
        </w:rPr>
        <w:t xml:space="preserve"> such plans at the federal, state, and local government levels</w:t>
      </w:r>
      <w:r>
        <w:rPr>
          <w:rFonts w:asciiTheme="minorHAnsi" w:hAnsiTheme="minorHAnsi"/>
          <w:sz w:val="22"/>
          <w:szCs w:val="22"/>
        </w:rPr>
        <w:t>;</w:t>
      </w:r>
      <w:r w:rsidRPr="00FB6E71">
        <w:rPr>
          <w:rFonts w:asciiTheme="minorHAnsi" w:hAnsiTheme="minorHAnsi"/>
          <w:sz w:val="22"/>
          <w:szCs w:val="22"/>
        </w:rPr>
        <w:t xml:space="preserve"> and monitor</w:t>
      </w:r>
      <w:r>
        <w:rPr>
          <w:rFonts w:asciiTheme="minorHAnsi" w:hAnsiTheme="minorHAnsi"/>
          <w:sz w:val="22"/>
          <w:szCs w:val="22"/>
        </w:rPr>
        <w:t>ing</w:t>
      </w:r>
      <w:r w:rsidRPr="00FB6E71">
        <w:rPr>
          <w:rFonts w:asciiTheme="minorHAnsi" w:hAnsiTheme="minorHAnsi"/>
          <w:sz w:val="22"/>
          <w:szCs w:val="22"/>
        </w:rPr>
        <w:t xml:space="preserve"> projects and progress relating to plan implementation. The </w:t>
      </w:r>
      <w:r>
        <w:rPr>
          <w:rFonts w:asciiTheme="minorHAnsi" w:hAnsiTheme="minorHAnsi"/>
          <w:sz w:val="22"/>
          <w:szCs w:val="22"/>
        </w:rPr>
        <w:t>m</w:t>
      </w:r>
      <w:r w:rsidRPr="00FB6E71">
        <w:rPr>
          <w:rFonts w:asciiTheme="minorHAnsi" w:hAnsiTheme="minorHAnsi"/>
          <w:sz w:val="22"/>
          <w:szCs w:val="22"/>
        </w:rPr>
        <w:t>inistry has representatives reporting to it in each state government that could also play a role in project planning and oversight at the state level.</w:t>
      </w:r>
    </w:p>
    <w:p w:rsidR="007F2DE7" w:rsidRPr="00FB6E71" w:rsidP="00302E0C">
      <w:pPr>
        <w:widowControl/>
        <w:numPr>
          <w:ilvl w:val="0"/>
          <w:numId w:val="46"/>
        </w:numPr>
        <w:spacing w:after="240"/>
        <w:ind w:left="1195" w:hanging="475"/>
        <w:jc w:val="both"/>
        <w:rPr>
          <w:rFonts w:asciiTheme="minorHAnsi" w:hAnsiTheme="minorHAnsi"/>
          <w:sz w:val="22"/>
          <w:szCs w:val="22"/>
        </w:rPr>
      </w:pPr>
      <w:r w:rsidRPr="00FB6E71">
        <w:rPr>
          <w:rFonts w:asciiTheme="minorHAnsi" w:hAnsiTheme="minorHAnsi"/>
          <w:b/>
          <w:sz w:val="22"/>
          <w:szCs w:val="22"/>
        </w:rPr>
        <w:t>NEDC.</w:t>
      </w:r>
      <w:r w:rsidRPr="00FB6E71">
        <w:rPr>
          <w:rFonts w:asciiTheme="minorHAnsi" w:hAnsiTheme="minorHAnsi"/>
          <w:sz w:val="22"/>
          <w:szCs w:val="22"/>
        </w:rPr>
        <w:t xml:space="preserve"> The GoN contemplates the establishment of a new executive agency within </w:t>
      </w:r>
      <w:r>
        <w:rPr>
          <w:rFonts w:asciiTheme="minorHAnsi" w:hAnsiTheme="minorHAnsi"/>
          <w:sz w:val="22"/>
          <w:szCs w:val="22"/>
        </w:rPr>
        <w:t>three</w:t>
      </w:r>
      <w:r w:rsidRPr="00FB6E71">
        <w:rPr>
          <w:rFonts w:asciiTheme="minorHAnsi" w:hAnsiTheme="minorHAnsi"/>
          <w:sz w:val="22"/>
          <w:szCs w:val="22"/>
        </w:rPr>
        <w:t xml:space="preserve"> years, modelled on the Niger Delta Development Commission, to support regional development. The operational specifics of the NEDC are to be enacted in an establishment act. </w:t>
      </w:r>
    </w:p>
    <w:p w:rsidR="007F2DE7" w:rsidRPr="00FB6E71" w:rsidP="00302E0C">
      <w:pPr>
        <w:widowControl/>
        <w:numPr>
          <w:ilvl w:val="0"/>
          <w:numId w:val="46"/>
        </w:numPr>
        <w:spacing w:after="240"/>
        <w:ind w:left="1195" w:hanging="475"/>
        <w:jc w:val="both"/>
        <w:rPr>
          <w:rFonts w:asciiTheme="minorHAnsi" w:hAnsiTheme="minorHAnsi"/>
          <w:sz w:val="22"/>
          <w:szCs w:val="22"/>
        </w:rPr>
      </w:pPr>
      <w:r w:rsidRPr="00FB6E71">
        <w:rPr>
          <w:rFonts w:asciiTheme="minorHAnsi" w:hAnsiTheme="minorHAnsi"/>
          <w:b/>
          <w:sz w:val="22"/>
          <w:szCs w:val="22"/>
        </w:rPr>
        <w:t>State governments of the NE.</w:t>
      </w:r>
      <w:r w:rsidRPr="00FB6E71">
        <w:rPr>
          <w:rFonts w:asciiTheme="minorHAnsi" w:hAnsiTheme="minorHAnsi"/>
          <w:sz w:val="22"/>
          <w:szCs w:val="22"/>
        </w:rPr>
        <w:t xml:space="preserve"> Each headed by a State Governor, the states will be responsible for project implementation. Prioritized </w:t>
      </w:r>
      <w:r>
        <w:rPr>
          <w:rFonts w:asciiTheme="minorHAnsi" w:hAnsiTheme="minorHAnsi"/>
          <w:sz w:val="22"/>
          <w:szCs w:val="22"/>
        </w:rPr>
        <w:t>s</w:t>
      </w:r>
      <w:r w:rsidRPr="00FB6E71">
        <w:rPr>
          <w:rFonts w:asciiTheme="minorHAnsi" w:hAnsiTheme="minorHAnsi"/>
          <w:sz w:val="22"/>
          <w:szCs w:val="22"/>
        </w:rPr>
        <w:t xml:space="preserve">trategic </w:t>
      </w:r>
      <w:r>
        <w:rPr>
          <w:rFonts w:asciiTheme="minorHAnsi" w:hAnsiTheme="minorHAnsi"/>
          <w:sz w:val="22"/>
          <w:szCs w:val="22"/>
        </w:rPr>
        <w:t>p</w:t>
      </w:r>
      <w:r w:rsidRPr="00FB6E71">
        <w:rPr>
          <w:rFonts w:asciiTheme="minorHAnsi" w:hAnsiTheme="minorHAnsi"/>
          <w:sz w:val="22"/>
          <w:szCs w:val="22"/>
        </w:rPr>
        <w:t xml:space="preserve">lans of </w:t>
      </w:r>
      <w:r>
        <w:rPr>
          <w:rFonts w:asciiTheme="minorHAnsi" w:hAnsiTheme="minorHAnsi"/>
          <w:sz w:val="22"/>
          <w:szCs w:val="22"/>
        </w:rPr>
        <w:t>a</w:t>
      </w:r>
      <w:r w:rsidRPr="00FB6E71">
        <w:rPr>
          <w:rFonts w:asciiTheme="minorHAnsi" w:hAnsiTheme="minorHAnsi"/>
          <w:sz w:val="22"/>
          <w:szCs w:val="22"/>
        </w:rPr>
        <w:t>ction are being developed and consulted on by the states to identify immediate needs and financing gaps. This will ensure a bottom-up and state-driven approach. This complements the top</w:t>
      </w:r>
      <w:r>
        <w:rPr>
          <w:rFonts w:asciiTheme="minorHAnsi" w:hAnsiTheme="minorHAnsi"/>
          <w:sz w:val="22"/>
          <w:szCs w:val="22"/>
        </w:rPr>
        <w:t>-</w:t>
      </w:r>
      <w:r w:rsidRPr="00FB6E71">
        <w:rPr>
          <w:rFonts w:asciiTheme="minorHAnsi" w:hAnsiTheme="minorHAnsi"/>
          <w:sz w:val="22"/>
          <w:szCs w:val="22"/>
        </w:rPr>
        <w:t xml:space="preserve">down policy guidance and coordination provided by the Strategic Action Plan for the NE. </w:t>
      </w:r>
    </w:p>
    <w:p w:rsidR="007F2DE7" w:rsidRPr="00FB6E71" w:rsidP="00302E0C">
      <w:pPr>
        <w:widowControl/>
        <w:numPr>
          <w:ilvl w:val="0"/>
          <w:numId w:val="46"/>
        </w:numPr>
        <w:spacing w:after="240"/>
        <w:ind w:left="1195" w:hanging="475"/>
        <w:jc w:val="both"/>
        <w:rPr>
          <w:rFonts w:asciiTheme="minorHAnsi" w:hAnsiTheme="minorHAnsi"/>
          <w:sz w:val="22"/>
          <w:szCs w:val="22"/>
        </w:rPr>
      </w:pPr>
      <w:r w:rsidRPr="00FB6E71">
        <w:rPr>
          <w:rFonts w:asciiTheme="minorHAnsi" w:hAnsiTheme="minorHAnsi"/>
          <w:b/>
          <w:sz w:val="22"/>
          <w:szCs w:val="22"/>
        </w:rPr>
        <w:t xml:space="preserve">Governors </w:t>
      </w:r>
      <w:r w:rsidRPr="00AB5199">
        <w:rPr>
          <w:rFonts w:asciiTheme="minorHAnsi" w:hAnsiTheme="minorHAnsi"/>
          <w:b/>
          <w:sz w:val="22"/>
          <w:szCs w:val="22"/>
        </w:rPr>
        <w:t>For</w:t>
      </w:r>
      <w:r w:rsidRPr="00FB6E71">
        <w:rPr>
          <w:rFonts w:asciiTheme="minorHAnsi" w:hAnsiTheme="minorHAnsi"/>
          <w:b/>
          <w:sz w:val="22"/>
          <w:szCs w:val="22"/>
        </w:rPr>
        <w:t>ums</w:t>
      </w:r>
      <w:r>
        <w:rPr>
          <w:rFonts w:asciiTheme="minorHAnsi" w:hAnsiTheme="minorHAnsi"/>
          <w:b/>
          <w:sz w:val="22"/>
          <w:szCs w:val="22"/>
        </w:rPr>
        <w:t>.</w:t>
      </w:r>
      <w:r w:rsidRPr="00FB6E71">
        <w:rPr>
          <w:rFonts w:asciiTheme="minorHAnsi" w:hAnsiTheme="minorHAnsi"/>
          <w:b/>
          <w:sz w:val="22"/>
          <w:szCs w:val="22"/>
        </w:rPr>
        <w:t xml:space="preserve"> </w:t>
      </w:r>
      <w:r w:rsidRPr="00FB6E71">
        <w:rPr>
          <w:rFonts w:asciiTheme="minorHAnsi" w:hAnsiTheme="minorHAnsi"/>
          <w:sz w:val="22"/>
          <w:szCs w:val="22"/>
        </w:rPr>
        <w:t xml:space="preserve">There are numerous Governors </w:t>
      </w:r>
      <w:r w:rsidRPr="00AB5199">
        <w:rPr>
          <w:rFonts w:asciiTheme="minorHAnsi" w:hAnsiTheme="minorHAnsi"/>
          <w:sz w:val="22"/>
          <w:szCs w:val="22"/>
        </w:rPr>
        <w:t>For</w:t>
      </w:r>
      <w:r w:rsidRPr="00FB6E71">
        <w:rPr>
          <w:rFonts w:asciiTheme="minorHAnsi" w:hAnsiTheme="minorHAnsi"/>
          <w:sz w:val="22"/>
          <w:szCs w:val="22"/>
        </w:rPr>
        <w:t>ums that are responsible for policy dialogue and could be used to ensure effective coordination</w:t>
      </w:r>
      <w:r>
        <w:rPr>
          <w:rFonts w:asciiTheme="minorHAnsi" w:hAnsiTheme="minorHAnsi"/>
          <w:sz w:val="22"/>
          <w:szCs w:val="22"/>
        </w:rPr>
        <w:t xml:space="preserve"> and</w:t>
      </w:r>
      <w:r w:rsidRPr="00FB6E71">
        <w:rPr>
          <w:rFonts w:asciiTheme="minorHAnsi" w:hAnsiTheme="minorHAnsi"/>
          <w:sz w:val="22"/>
          <w:szCs w:val="22"/>
        </w:rPr>
        <w:t xml:space="preserve"> emulation through peer learning and review. These forums include the Northern Governors Forum, the North East Governors Forum, and so on. Policy coordination and oversight could be considered through these forums to ensure widespread state government ownership.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proposed </w:t>
      </w:r>
      <w:r>
        <w:rPr>
          <w:rFonts w:asciiTheme="minorHAnsi" w:hAnsiTheme="minorHAnsi"/>
          <w:b/>
          <w:bCs/>
          <w:color w:val="auto"/>
          <w:sz w:val="22"/>
          <w:szCs w:val="22"/>
        </w:rPr>
        <w:t>p</w:t>
      </w:r>
      <w:r w:rsidRPr="00FB6E71">
        <w:rPr>
          <w:rFonts w:asciiTheme="minorHAnsi" w:hAnsiTheme="minorHAnsi"/>
          <w:b/>
          <w:bCs/>
          <w:color w:val="auto"/>
          <w:sz w:val="22"/>
          <w:szCs w:val="22"/>
        </w:rPr>
        <w:t xml:space="preserve">roject will build on existing institutional structures and </w:t>
      </w:r>
      <w:r>
        <w:rPr>
          <w:rFonts w:asciiTheme="minorHAnsi" w:hAnsiTheme="minorHAnsi"/>
          <w:b/>
          <w:bCs/>
          <w:color w:val="auto"/>
          <w:sz w:val="22"/>
          <w:szCs w:val="22"/>
        </w:rPr>
        <w:t xml:space="preserve">will </w:t>
      </w:r>
      <w:r w:rsidRPr="00FB6E71">
        <w:rPr>
          <w:rFonts w:asciiTheme="minorHAnsi" w:hAnsiTheme="minorHAnsi"/>
          <w:b/>
          <w:bCs/>
          <w:color w:val="auto"/>
          <w:sz w:val="22"/>
          <w:szCs w:val="22"/>
        </w:rPr>
        <w:t xml:space="preserve">establish new bodies only where needed, with specific and time-bound mandates. </w:t>
      </w:r>
      <w:r w:rsidRPr="00FB6E71">
        <w:rPr>
          <w:rFonts w:asciiTheme="minorHAnsi" w:hAnsiTheme="minorHAnsi"/>
          <w:bCs/>
          <w:color w:val="auto"/>
          <w:sz w:val="22"/>
          <w:szCs w:val="22"/>
        </w:rPr>
        <w:t>Being in a conflict without precedent, the institutional landscape in Nigeria has been evolving and adapting to respond to the challenges posed by this crisis. New bodies for the recovery of the NE have been established at the federal and state levels, including the PCNI and the Ministry of Reconstruction, Rehabilitation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Resettlement in Borno State. Yet, some of these institutions will evolve with time, and possibly new and more permanent ones will emerge, including the possible creation of the NEDC. The project is hence proposing to build and strengthen existing institutions to perform roles such as interagency coordination at the federal and state levels and intergovernmental coordination across the three tiers of the Government. To this end, the GoN will develop and maintain a detailed PIM to further elaborate the roles and responsibilities of various segments and tiers of the project’s implementation apparatus as well as lay out detailed technical and operational decision</w:t>
      </w:r>
      <w:r>
        <w:rPr>
          <w:rFonts w:asciiTheme="minorHAnsi" w:hAnsiTheme="minorHAnsi"/>
          <w:bCs/>
          <w:color w:val="auto"/>
          <w:sz w:val="22"/>
          <w:szCs w:val="22"/>
        </w:rPr>
        <w:t>-</w:t>
      </w:r>
      <w:r w:rsidRPr="00FB6E71">
        <w:rPr>
          <w:rFonts w:asciiTheme="minorHAnsi" w:hAnsiTheme="minorHAnsi"/>
          <w:bCs/>
          <w:color w:val="auto"/>
          <w:sz w:val="22"/>
          <w:szCs w:val="22"/>
        </w:rPr>
        <w:t>making processes.</w:t>
      </w:r>
    </w:p>
    <w:p w:rsidR="007F2DE7" w:rsidRPr="00FB6E71" w:rsidP="007F2DE7">
      <w:pPr>
        <w:keepNext/>
        <w:keepLines/>
        <w:widowControl/>
        <w:spacing w:after="240"/>
        <w:ind w:left="-634"/>
        <w:rPr>
          <w:rFonts w:asciiTheme="minorHAnsi" w:hAnsiTheme="minorHAnsi"/>
          <w:i/>
          <w:color w:val="auto"/>
          <w:sz w:val="22"/>
          <w:szCs w:val="22"/>
        </w:rPr>
      </w:pPr>
      <w:r w:rsidRPr="00FB6E71">
        <w:rPr>
          <w:rFonts w:asciiTheme="minorHAnsi" w:hAnsiTheme="minorHAnsi"/>
          <w:i/>
          <w:color w:val="auto"/>
          <w:sz w:val="22"/>
          <w:szCs w:val="22"/>
        </w:rPr>
        <w:t xml:space="preserve">Recovery Program Coordination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The MCRP activities will align with the overall recovery and stabilization Strategic Action Plan for the NE, coordinated by a federal-level apex committee.</w:t>
      </w:r>
      <w:r w:rsidRPr="00FB6E71">
        <w:rPr>
          <w:rFonts w:asciiTheme="minorHAnsi" w:hAnsiTheme="minorHAnsi"/>
          <w:sz w:val="22"/>
          <w:szCs w:val="22"/>
        </w:rPr>
        <w:t xml:space="preserve"> </w:t>
      </w:r>
      <w:r w:rsidRPr="00FB6E71">
        <w:rPr>
          <w:rFonts w:asciiTheme="minorHAnsi" w:hAnsiTheme="minorHAnsi"/>
          <w:bCs/>
          <w:color w:val="auto"/>
          <w:sz w:val="22"/>
          <w:szCs w:val="22"/>
        </w:rPr>
        <w:t xml:space="preserve">This will likely be initially convened by the PCNI, anchored within the Vice President’s office. The committee includes representatives from the Vice President’s </w:t>
      </w:r>
      <w:r>
        <w:rPr>
          <w:rFonts w:asciiTheme="minorHAnsi" w:hAnsiTheme="minorHAnsi"/>
          <w:bCs/>
          <w:color w:val="auto"/>
          <w:sz w:val="22"/>
          <w:szCs w:val="22"/>
        </w:rPr>
        <w:t>o</w:t>
      </w:r>
      <w:r w:rsidRPr="00FB6E71">
        <w:rPr>
          <w:rFonts w:asciiTheme="minorHAnsi" w:hAnsiTheme="minorHAnsi"/>
          <w:bCs/>
          <w:color w:val="auto"/>
          <w:sz w:val="22"/>
          <w:szCs w:val="22"/>
        </w:rPr>
        <w:t xml:space="preserve">ffice,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the Secretary to the Government, the FMoF, the FMBNP, and the BAY State Governors. This committee is also envisioned to provide oversight of </w:t>
      </w:r>
      <w:r>
        <w:rPr>
          <w:rFonts w:asciiTheme="minorHAnsi" w:hAnsiTheme="minorHAnsi"/>
          <w:bCs/>
          <w:color w:val="auto"/>
          <w:sz w:val="22"/>
          <w:szCs w:val="22"/>
        </w:rPr>
        <w:t xml:space="preserve">the </w:t>
      </w:r>
      <w:r w:rsidRPr="00FB6E71">
        <w:rPr>
          <w:rFonts w:asciiTheme="minorHAnsi" w:hAnsiTheme="minorHAnsi"/>
          <w:bCs/>
          <w:color w:val="auto"/>
          <w:sz w:val="22"/>
          <w:szCs w:val="22"/>
        </w:rPr>
        <w:t>recovery program activities in the NE, as well as central policy guidance and standard-setting, as required on a periodic basis, to ensure effective coordination and harmonization of recovery and peace building initiatives in the NE. Within three years, the GoN contemplates the establishment of a NEDC to coordinate all interventions under the Buhari plan.</w:t>
      </w:r>
    </w:p>
    <w:p w:rsidR="007F2DE7" w:rsidRPr="00FB6E71" w:rsidP="00302E0C">
      <w:pPr>
        <w:pStyle w:val="ListParagraph"/>
        <w:widowControl/>
        <w:numPr>
          <w:ilvl w:val="0"/>
          <w:numId w:val="30"/>
        </w:numPr>
        <w:spacing w:after="240"/>
        <w:ind w:left="0" w:firstLine="0"/>
        <w:contextualSpacing w:val="0"/>
        <w:jc w:val="both"/>
        <w:rPr>
          <w:rFonts w:asciiTheme="minorHAnsi" w:hAnsiTheme="minorHAnsi"/>
          <w:bCs/>
          <w:color w:val="auto"/>
          <w:sz w:val="22"/>
          <w:szCs w:val="22"/>
        </w:rPr>
      </w:pPr>
      <w:r w:rsidRPr="00FB6E71">
        <w:rPr>
          <w:rFonts w:asciiTheme="minorHAnsi" w:hAnsiTheme="minorHAnsi"/>
          <w:b/>
          <w:bCs/>
          <w:color w:val="auto"/>
          <w:sz w:val="22"/>
          <w:szCs w:val="22"/>
        </w:rPr>
        <w:t>Interstate coordination</w:t>
      </w:r>
      <w:r>
        <w:rPr>
          <w:rFonts w:asciiTheme="minorHAnsi" w:hAnsiTheme="minorHAnsi"/>
          <w:b/>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 xml:space="preserve">Coordination </w:t>
      </w:r>
      <w:r w:rsidRPr="00FB6E71">
        <w:rPr>
          <w:rFonts w:asciiTheme="minorHAnsi" w:hAnsiTheme="minorHAnsi"/>
          <w:bCs/>
          <w:color w:val="auto"/>
          <w:sz w:val="22"/>
          <w:szCs w:val="22"/>
        </w:rPr>
        <w:t xml:space="preserve">will be carried out on a regular basis, ensuring consistency of recovery policy and programming across different </w:t>
      </w:r>
      <w:r>
        <w:rPr>
          <w:rFonts w:asciiTheme="minorHAnsi" w:hAnsiTheme="minorHAnsi"/>
          <w:bCs/>
          <w:color w:val="auto"/>
          <w:sz w:val="22"/>
          <w:szCs w:val="22"/>
        </w:rPr>
        <w:t>s</w:t>
      </w:r>
      <w:r w:rsidRPr="00FB6E71">
        <w:rPr>
          <w:rFonts w:asciiTheme="minorHAnsi" w:hAnsiTheme="minorHAnsi"/>
          <w:bCs/>
          <w:color w:val="auto"/>
          <w:sz w:val="22"/>
          <w:szCs w:val="22"/>
        </w:rPr>
        <w:t xml:space="preserve">tates and regular dialogue between the </w:t>
      </w:r>
      <w:r>
        <w:rPr>
          <w:rFonts w:asciiTheme="minorHAnsi" w:hAnsiTheme="minorHAnsi"/>
          <w:bCs/>
          <w:color w:val="auto"/>
          <w:sz w:val="22"/>
          <w:szCs w:val="22"/>
        </w:rPr>
        <w:t>s</w:t>
      </w:r>
      <w:r w:rsidRPr="00FB6E71">
        <w:rPr>
          <w:rFonts w:asciiTheme="minorHAnsi" w:hAnsiTheme="minorHAnsi"/>
          <w:bCs/>
          <w:color w:val="auto"/>
          <w:sz w:val="22"/>
          <w:szCs w:val="22"/>
        </w:rPr>
        <w:t>tates to ensure effective policy coordination and alignment of implementation arrangements. Interstate meetings w</w:t>
      </w:r>
      <w:r>
        <w:rPr>
          <w:rFonts w:asciiTheme="minorHAnsi" w:hAnsiTheme="minorHAnsi"/>
          <w:bCs/>
          <w:color w:val="auto"/>
          <w:sz w:val="22"/>
          <w:szCs w:val="22"/>
        </w:rPr>
        <w:t>ill</w:t>
      </w:r>
      <w:r w:rsidRPr="00FB6E71">
        <w:rPr>
          <w:rFonts w:asciiTheme="minorHAnsi" w:hAnsiTheme="minorHAnsi"/>
          <w:bCs/>
          <w:color w:val="auto"/>
          <w:sz w:val="22"/>
          <w:szCs w:val="22"/>
        </w:rPr>
        <w:t xml:space="preserve"> take place at least on a six-monthly basis. Th</w:t>
      </w:r>
      <w:r>
        <w:rPr>
          <w:rFonts w:asciiTheme="minorHAnsi" w:hAnsiTheme="minorHAnsi"/>
          <w:bCs/>
          <w:color w:val="auto"/>
          <w:sz w:val="22"/>
          <w:szCs w:val="22"/>
        </w:rPr>
        <w:t>ese</w:t>
      </w:r>
      <w:r w:rsidRPr="00FB6E71">
        <w:rPr>
          <w:rFonts w:asciiTheme="minorHAnsi" w:hAnsiTheme="minorHAnsi"/>
          <w:bCs/>
          <w:color w:val="auto"/>
          <w:sz w:val="22"/>
          <w:szCs w:val="22"/>
        </w:rPr>
        <w:t xml:space="preserve"> w</w:t>
      </w:r>
      <w:r>
        <w:rPr>
          <w:rFonts w:asciiTheme="minorHAnsi" w:hAnsiTheme="minorHAnsi"/>
          <w:bCs/>
          <w:color w:val="auto"/>
          <w:sz w:val="22"/>
          <w:szCs w:val="22"/>
        </w:rPr>
        <w:t>ill</w:t>
      </w:r>
      <w:r w:rsidRPr="00FB6E71">
        <w:rPr>
          <w:rFonts w:asciiTheme="minorHAnsi" w:hAnsiTheme="minorHAnsi"/>
          <w:bCs/>
          <w:color w:val="auto"/>
          <w:sz w:val="22"/>
          <w:szCs w:val="22"/>
        </w:rPr>
        <w:t xml:space="preserve"> be facilitated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including </w:t>
      </w:r>
      <w:r w:rsidRPr="00FB6E71">
        <w:rPr>
          <w:rFonts w:ascii="Calibri" w:eastAsia="Times New Roman" w:hAnsi="Calibri" w:cs="Times New Roman"/>
          <w:color w:val="auto"/>
          <w:sz w:val="22"/>
          <w:szCs w:val="22"/>
        </w:rPr>
        <w:t>the PCNI state officers.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Intrastate coordination through </w:t>
      </w:r>
      <w:r>
        <w:rPr>
          <w:rFonts w:asciiTheme="minorHAnsi" w:hAnsiTheme="minorHAnsi"/>
          <w:b/>
          <w:bCs/>
          <w:color w:val="auto"/>
          <w:sz w:val="22"/>
          <w:szCs w:val="22"/>
        </w:rPr>
        <w:t>s</w:t>
      </w:r>
      <w:r w:rsidRPr="00FB6E71">
        <w:rPr>
          <w:rFonts w:asciiTheme="minorHAnsi" w:hAnsiTheme="minorHAnsi"/>
          <w:b/>
          <w:bCs/>
          <w:color w:val="auto"/>
          <w:sz w:val="22"/>
          <w:szCs w:val="22"/>
        </w:rPr>
        <w:t xml:space="preserve">tate </w:t>
      </w:r>
      <w:r>
        <w:rPr>
          <w:rFonts w:asciiTheme="minorHAnsi" w:hAnsiTheme="minorHAnsi"/>
          <w:b/>
          <w:bCs/>
          <w:color w:val="auto"/>
          <w:sz w:val="22"/>
          <w:szCs w:val="22"/>
        </w:rPr>
        <w:t>s</w:t>
      </w:r>
      <w:r w:rsidRPr="00FB6E71">
        <w:rPr>
          <w:rFonts w:asciiTheme="minorHAnsi" w:hAnsiTheme="minorHAnsi"/>
          <w:b/>
          <w:bCs/>
          <w:color w:val="auto"/>
          <w:sz w:val="22"/>
          <w:szCs w:val="22"/>
        </w:rPr>
        <w:t xml:space="preserve">teering </w:t>
      </w:r>
      <w:r>
        <w:rPr>
          <w:rFonts w:asciiTheme="minorHAnsi" w:hAnsiTheme="minorHAnsi"/>
          <w:b/>
          <w:bCs/>
          <w:color w:val="auto"/>
          <w:sz w:val="22"/>
          <w:szCs w:val="22"/>
        </w:rPr>
        <w:t>c</w:t>
      </w:r>
      <w:r w:rsidRPr="00FB6E71">
        <w:rPr>
          <w:rFonts w:asciiTheme="minorHAnsi" w:hAnsiTheme="minorHAnsi"/>
          <w:b/>
          <w:bCs/>
          <w:color w:val="auto"/>
          <w:sz w:val="22"/>
          <w:szCs w:val="22"/>
        </w:rPr>
        <w:t>ommittees</w:t>
      </w:r>
      <w:r>
        <w:rPr>
          <w:rFonts w:asciiTheme="minorHAnsi" w:hAnsiTheme="minorHAnsi"/>
          <w:b/>
          <w:bCs/>
          <w:color w:val="auto"/>
          <w:sz w:val="22"/>
          <w:szCs w:val="22"/>
        </w:rPr>
        <w:t>.</w:t>
      </w:r>
      <w:r w:rsidRPr="00FB6E71">
        <w:rPr>
          <w:rFonts w:asciiTheme="minorHAnsi" w:hAnsiTheme="minorHAnsi"/>
          <w:bCs/>
          <w:color w:val="auto"/>
          <w:sz w:val="22"/>
          <w:szCs w:val="22"/>
        </w:rPr>
        <w:t xml:space="preserve"> At the state level, the project will support the coordination and collective decision making among MDAs involved in the recovery and peace building process through the setup of a recovery and peace building steering committee. The </w:t>
      </w:r>
      <w:r>
        <w:rPr>
          <w:rFonts w:asciiTheme="minorHAnsi" w:hAnsiTheme="minorHAnsi"/>
          <w:bCs/>
          <w:color w:val="auto"/>
          <w:sz w:val="22"/>
          <w:szCs w:val="22"/>
        </w:rPr>
        <w:t>s</w:t>
      </w:r>
      <w:r w:rsidRPr="00FB6E71">
        <w:rPr>
          <w:rFonts w:asciiTheme="minorHAnsi" w:hAnsiTheme="minorHAnsi"/>
          <w:bCs/>
          <w:color w:val="auto"/>
          <w:sz w:val="22"/>
          <w:szCs w:val="22"/>
        </w:rPr>
        <w:t xml:space="preserve">tate steering </w:t>
      </w:r>
      <w:r w:rsidRPr="00FB6E71">
        <w:rPr>
          <w:rFonts w:ascii="Calibri" w:eastAsia="Times New Roman" w:hAnsi="Calibri" w:cs="Times New Roman"/>
          <w:color w:val="auto"/>
          <w:sz w:val="22"/>
          <w:szCs w:val="22"/>
        </w:rPr>
        <w:t>committees</w:t>
      </w:r>
      <w:r w:rsidRPr="00FB6E71">
        <w:rPr>
          <w:rFonts w:asciiTheme="minorHAnsi" w:hAnsiTheme="minorHAnsi"/>
          <w:bCs/>
          <w:color w:val="auto"/>
          <w:sz w:val="22"/>
          <w:szCs w:val="22"/>
        </w:rPr>
        <w:t xml:space="preserve"> will coordinate and overs</w:t>
      </w:r>
      <w:r>
        <w:rPr>
          <w:rFonts w:asciiTheme="minorHAnsi" w:hAnsiTheme="minorHAnsi"/>
          <w:bCs/>
          <w:color w:val="auto"/>
          <w:sz w:val="22"/>
          <w:szCs w:val="22"/>
        </w:rPr>
        <w:t>ee</w:t>
      </w:r>
      <w:r w:rsidRPr="00FB6E71">
        <w:rPr>
          <w:rFonts w:asciiTheme="minorHAnsi" w:hAnsiTheme="minorHAnsi"/>
          <w:bCs/>
          <w:color w:val="auto"/>
          <w:sz w:val="22"/>
          <w:szCs w:val="22"/>
        </w:rPr>
        <w:t xml:space="preserve"> the implementation of recovery and peace building efforts at the state level, ensuring synergies across initiatives supported by different development partners. </w:t>
      </w:r>
    </w:p>
    <w:p w:rsidR="007F2DE7" w:rsidRPr="00FB6E71" w:rsidP="007F2DE7">
      <w:pPr>
        <w:keepNext/>
        <w:keepLines/>
        <w:widowControl/>
        <w:spacing w:after="240"/>
        <w:ind w:left="-634"/>
        <w:rPr>
          <w:rFonts w:asciiTheme="minorHAnsi" w:hAnsiTheme="minorHAnsi"/>
          <w:i/>
          <w:color w:val="auto"/>
          <w:sz w:val="22"/>
          <w:szCs w:val="22"/>
        </w:rPr>
      </w:pPr>
      <w:r w:rsidRPr="00FB6E71">
        <w:rPr>
          <w:rFonts w:asciiTheme="minorHAnsi" w:hAnsiTheme="minorHAnsi"/>
          <w:i/>
          <w:color w:val="auto"/>
          <w:sz w:val="22"/>
          <w:szCs w:val="22"/>
        </w:rPr>
        <w:t xml:space="preserve">Project Implementation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State-level PCUs.</w:t>
      </w:r>
      <w:r w:rsidRPr="00FB6E71">
        <w:rPr>
          <w:rFonts w:asciiTheme="minorHAnsi" w:hAnsiTheme="minorHAnsi"/>
          <w:bCs/>
          <w:color w:val="auto"/>
          <w:sz w:val="22"/>
          <w:szCs w:val="22"/>
        </w:rPr>
        <w:t xml:space="preserve"> A state-level coordination mechanism in each of the states will</w:t>
      </w:r>
      <w:r>
        <w:rPr>
          <w:rFonts w:asciiTheme="minorHAnsi" w:hAnsiTheme="minorHAnsi"/>
          <w:bCs/>
          <w:color w:val="auto"/>
          <w:sz w:val="22"/>
          <w:szCs w:val="22"/>
        </w:rPr>
        <w:t xml:space="preserve"> be</w:t>
      </w:r>
      <w:r w:rsidRPr="00FB6E71">
        <w:rPr>
          <w:rFonts w:asciiTheme="minorHAnsi" w:hAnsiTheme="minorHAnsi"/>
          <w:bCs/>
          <w:color w:val="auto"/>
          <w:sz w:val="22"/>
          <w:szCs w:val="22"/>
        </w:rPr>
        <w:t xml:space="preserve"> established to ensure effective multi-sectoral coordination across all recovery and peace building initiatives. State PCUs will ensure technical, M&amp;E, fiduciary</w:t>
      </w:r>
      <w:r>
        <w:rPr>
          <w:rFonts w:asciiTheme="minorHAnsi" w:hAnsiTheme="minorHAnsi"/>
          <w:bCs/>
          <w:color w:val="auto"/>
          <w:sz w:val="22"/>
          <w:szCs w:val="22"/>
        </w:rPr>
        <w:t>,</w:t>
      </w:r>
      <w:r w:rsidRPr="00FB6E71">
        <w:rPr>
          <w:rFonts w:asciiTheme="minorHAnsi" w:hAnsiTheme="minorHAnsi"/>
          <w:bCs/>
          <w:color w:val="auto"/>
          <w:sz w:val="22"/>
          <w:szCs w:val="22"/>
        </w:rPr>
        <w:t xml:space="preserve"> and safeguards oversight. The PCUs will focus on quality and process oversight, FM, procurement, reporting, contract management, </w:t>
      </w:r>
      <w:r>
        <w:rPr>
          <w:rFonts w:asciiTheme="minorHAnsi" w:hAnsiTheme="minorHAnsi"/>
          <w:bCs/>
          <w:color w:val="auto"/>
          <w:sz w:val="22"/>
          <w:szCs w:val="22"/>
        </w:rPr>
        <w:t xml:space="preserve">and </w:t>
      </w:r>
      <w:r w:rsidRPr="00FB6E71">
        <w:rPr>
          <w:rFonts w:asciiTheme="minorHAnsi" w:hAnsiTheme="minorHAnsi"/>
          <w:bCs/>
          <w:color w:val="auto"/>
          <w:sz w:val="22"/>
          <w:szCs w:val="22"/>
        </w:rPr>
        <w:t xml:space="preserve">M&amp;E and </w:t>
      </w:r>
      <w:r>
        <w:rPr>
          <w:rFonts w:asciiTheme="minorHAnsi" w:hAnsiTheme="minorHAnsi"/>
          <w:bCs/>
          <w:color w:val="auto"/>
          <w:sz w:val="22"/>
          <w:szCs w:val="22"/>
        </w:rPr>
        <w:t xml:space="preserve">on </w:t>
      </w:r>
      <w:r w:rsidRPr="00FB6E71">
        <w:rPr>
          <w:rFonts w:asciiTheme="minorHAnsi" w:hAnsiTheme="minorHAnsi"/>
          <w:bCs/>
          <w:color w:val="auto"/>
          <w:sz w:val="22"/>
          <w:szCs w:val="22"/>
        </w:rPr>
        <w:t xml:space="preserve">ensuring social and environmental safeguards compliance. For Component 1, the PCUs will also be in charge of implementation functions given its cross-sectoral and cross-cutting nature. For Components 2 and 3, the implementation functions and responsibilities will be assigned to the relevant </w:t>
      </w:r>
      <w:r>
        <w:rPr>
          <w:rFonts w:asciiTheme="minorHAnsi" w:hAnsiTheme="minorHAnsi"/>
          <w:bCs/>
          <w:color w:val="auto"/>
          <w:sz w:val="22"/>
          <w:szCs w:val="22"/>
        </w:rPr>
        <w:t>s</w:t>
      </w:r>
      <w:r w:rsidRPr="00FB6E71">
        <w:rPr>
          <w:rFonts w:asciiTheme="minorHAnsi" w:hAnsiTheme="minorHAnsi"/>
          <w:bCs/>
          <w:color w:val="auto"/>
          <w:sz w:val="22"/>
          <w:szCs w:val="22"/>
        </w:rPr>
        <w:t xml:space="preserve">tate line departments, where there is capacity. To develop economies of scale and a coherent state-led crisis recovery program, the PCUs will also ensure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MCRP’s coordination with related infrastructure projects supported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IsDB and AfDB.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For Component 1, project implementation will be carried out by the </w:t>
      </w:r>
      <w:r>
        <w:rPr>
          <w:rFonts w:asciiTheme="minorHAnsi" w:hAnsiTheme="minorHAnsi"/>
          <w:bCs/>
          <w:color w:val="auto"/>
          <w:sz w:val="22"/>
          <w:szCs w:val="22"/>
        </w:rPr>
        <w:t>s</w:t>
      </w:r>
      <w:r w:rsidRPr="00FB6E71">
        <w:rPr>
          <w:rFonts w:asciiTheme="minorHAnsi" w:hAnsiTheme="minorHAnsi"/>
          <w:bCs/>
          <w:color w:val="auto"/>
          <w:sz w:val="22"/>
          <w:szCs w:val="22"/>
        </w:rPr>
        <w:t>tate PCUs, t</w:t>
      </w:r>
      <w:r w:rsidRPr="00FB6E71">
        <w:rPr>
          <w:rFonts w:asciiTheme="minorHAnsi" w:hAnsiTheme="minorHAnsi"/>
          <w:sz w:val="22"/>
          <w:szCs w:val="22"/>
        </w:rPr>
        <w:t xml:space="preserve">aking into account the intersectoral nature of the component and that functions such as return and reintegration of forcibly displaced population or social cohesion fall beyond the mandate of a single </w:t>
      </w:r>
      <w:r>
        <w:rPr>
          <w:rFonts w:asciiTheme="minorHAnsi" w:hAnsiTheme="minorHAnsi"/>
          <w:sz w:val="22"/>
          <w:szCs w:val="22"/>
        </w:rPr>
        <w:t>m</w:t>
      </w:r>
      <w:r w:rsidRPr="00FB6E71">
        <w:rPr>
          <w:rFonts w:asciiTheme="minorHAnsi" w:hAnsiTheme="minorHAnsi"/>
          <w:sz w:val="22"/>
          <w:szCs w:val="22"/>
        </w:rPr>
        <w:t>inistry. In this case, the PCUs will be responsible for carrying out technical functions of site identification, development of bidding documents</w:t>
      </w:r>
      <w:r>
        <w:rPr>
          <w:rFonts w:asciiTheme="minorHAnsi" w:hAnsiTheme="minorHAnsi"/>
          <w:sz w:val="22"/>
          <w:szCs w:val="22"/>
        </w:rPr>
        <w:t>,</w:t>
      </w:r>
      <w:r w:rsidRPr="00FB6E71">
        <w:rPr>
          <w:rFonts w:asciiTheme="minorHAnsi" w:hAnsiTheme="minorHAnsi"/>
          <w:sz w:val="22"/>
          <w:szCs w:val="22"/>
        </w:rPr>
        <w:t xml:space="preserve"> and technical assurance and oversight. For Component 2, </w:t>
      </w:r>
      <w:r w:rsidRPr="00FB6E71">
        <w:rPr>
          <w:rFonts w:asciiTheme="minorHAnsi" w:hAnsiTheme="minorHAnsi"/>
          <w:bCs/>
          <w:color w:val="auto"/>
          <w:sz w:val="22"/>
          <w:szCs w:val="22"/>
        </w:rPr>
        <w:t xml:space="preserve">project implementation will be carried out by the relevant sectoral/technical MDAs in each </w:t>
      </w:r>
      <w:r>
        <w:rPr>
          <w:rFonts w:asciiTheme="minorHAnsi" w:hAnsiTheme="minorHAnsi"/>
          <w:bCs/>
          <w:color w:val="auto"/>
          <w:sz w:val="22"/>
          <w:szCs w:val="22"/>
        </w:rPr>
        <w:t>s</w:t>
      </w:r>
      <w:r w:rsidRPr="00FB6E71">
        <w:rPr>
          <w:rFonts w:asciiTheme="minorHAnsi" w:hAnsiTheme="minorHAnsi"/>
          <w:bCs/>
          <w:color w:val="auto"/>
          <w:sz w:val="22"/>
          <w:szCs w:val="22"/>
        </w:rPr>
        <w:t xml:space="preserve">tate. The project will finance the operating costs of the respective project teams in these MDAs to ensure that existing capacity and organizational structures are used and enhanced where necessary. The staff working on the project will report to </w:t>
      </w:r>
      <w:r>
        <w:rPr>
          <w:rFonts w:asciiTheme="minorHAnsi" w:hAnsiTheme="minorHAnsi"/>
          <w:bCs/>
          <w:color w:val="auto"/>
          <w:sz w:val="22"/>
          <w:szCs w:val="22"/>
        </w:rPr>
        <w:t xml:space="preserve">the </w:t>
      </w:r>
      <w:r w:rsidRPr="00FB6E71">
        <w:rPr>
          <w:rFonts w:asciiTheme="minorHAnsi" w:hAnsiTheme="minorHAnsi"/>
          <w:bCs/>
          <w:color w:val="auto"/>
          <w:sz w:val="22"/>
          <w:szCs w:val="22"/>
        </w:rPr>
        <w:t>respective line agency hierarchy on a da</w:t>
      </w:r>
      <w:r>
        <w:rPr>
          <w:rFonts w:asciiTheme="minorHAnsi" w:hAnsiTheme="minorHAnsi"/>
          <w:bCs/>
          <w:color w:val="auto"/>
          <w:sz w:val="22"/>
          <w:szCs w:val="22"/>
        </w:rPr>
        <w:t>il</w:t>
      </w:r>
      <w:r w:rsidRPr="00FB6E71">
        <w:rPr>
          <w:rFonts w:asciiTheme="minorHAnsi" w:hAnsiTheme="minorHAnsi"/>
          <w:bCs/>
          <w:color w:val="auto"/>
          <w:sz w:val="22"/>
          <w:szCs w:val="22"/>
        </w:rPr>
        <w:t xml:space="preserve">y basis for technical implementation and </w:t>
      </w:r>
      <w:r>
        <w:rPr>
          <w:rFonts w:asciiTheme="minorHAnsi" w:hAnsiTheme="minorHAnsi"/>
          <w:bCs/>
          <w:color w:val="auto"/>
          <w:sz w:val="22"/>
          <w:szCs w:val="22"/>
        </w:rPr>
        <w:t xml:space="preserve">will </w:t>
      </w:r>
      <w:r w:rsidRPr="00FB6E71">
        <w:rPr>
          <w:rFonts w:asciiTheme="minorHAnsi" w:hAnsiTheme="minorHAnsi"/>
          <w:bCs/>
          <w:color w:val="auto"/>
          <w:sz w:val="22"/>
          <w:szCs w:val="22"/>
        </w:rPr>
        <w:t xml:space="preserve">report back to the PCUs on a regular basis for overall project implementation progress. </w:t>
      </w:r>
      <w:r w:rsidRPr="00FB6E71">
        <w:rPr>
          <w:rFonts w:asciiTheme="minorHAnsi" w:hAnsiTheme="minorHAnsi"/>
          <w:sz w:val="22"/>
          <w:szCs w:val="22"/>
        </w:rPr>
        <w:t xml:space="preserve">Component 3 will be implemented by both the federal and state coordination units. </w:t>
      </w:r>
    </w:p>
    <w:p w:rsidR="007F2DE7" w:rsidRPr="00FB6E71" w:rsidP="007F2DE7">
      <w:pPr>
        <w:pStyle w:val="Caption"/>
        <w:keepNext/>
        <w:keepLines/>
        <w:widowControl/>
        <w:spacing w:before="120" w:after="120"/>
        <w:jc w:val="center"/>
        <w:rPr>
          <w:rFonts w:asciiTheme="minorHAnsi" w:hAnsiTheme="minorHAnsi"/>
          <w:b/>
          <w:i w:val="0"/>
          <w:color w:val="auto"/>
        </w:rPr>
      </w:pPr>
      <w:bookmarkStart w:id="132" w:name="_Ref475626609"/>
      <w:r w:rsidRPr="00FB6E71">
        <w:rPr>
          <w:rFonts w:asciiTheme="minorHAnsi" w:hAnsiTheme="minorHAnsi"/>
          <w:b/>
          <w:i w:val="0"/>
          <w:color w:val="auto"/>
        </w:rPr>
        <w:t>Figure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Figure_2. \* ARABIC </w:instrText>
      </w:r>
      <w:r w:rsidRPr="00FB6E71">
        <w:rPr>
          <w:rFonts w:asciiTheme="minorHAnsi" w:hAnsiTheme="minorHAnsi"/>
          <w:b/>
          <w:i w:val="0"/>
          <w:color w:val="auto"/>
        </w:rPr>
        <w:fldChar w:fldCharType="separate"/>
      </w:r>
      <w:r w:rsidRPr="00FB6E71">
        <w:rPr>
          <w:rFonts w:asciiTheme="minorHAnsi" w:hAnsiTheme="minorHAnsi"/>
          <w:b/>
          <w:i w:val="0"/>
          <w:color w:val="auto"/>
        </w:rPr>
        <w:t>1</w:t>
      </w:r>
      <w:r w:rsidRPr="00FB6E71">
        <w:rPr>
          <w:rFonts w:asciiTheme="minorHAnsi" w:hAnsiTheme="minorHAnsi"/>
          <w:b/>
          <w:i w:val="0"/>
          <w:color w:val="auto"/>
        </w:rPr>
        <w:fldChar w:fldCharType="end"/>
      </w:r>
      <w:bookmarkEnd w:id="132"/>
      <w:r>
        <w:rPr>
          <w:rFonts w:asciiTheme="minorHAnsi" w:hAnsiTheme="minorHAnsi"/>
          <w:b/>
          <w:i w:val="0"/>
          <w:color w:val="auto"/>
        </w:rPr>
        <w:t>.</w:t>
      </w:r>
      <w:r w:rsidRPr="00FB6E71">
        <w:rPr>
          <w:rFonts w:asciiTheme="minorHAnsi" w:hAnsiTheme="minorHAnsi"/>
          <w:b/>
          <w:i w:val="0"/>
          <w:color w:val="auto"/>
        </w:rPr>
        <w:t xml:space="preserve"> State-level Coordinating Structure</w:t>
      </w:r>
    </w:p>
    <w:p w:rsidR="007F2DE7" w:rsidP="007F2DE7">
      <w:pPr>
        <w:widowControl/>
        <w:jc w:val="center"/>
        <w:rPr>
          <w:rFonts w:asciiTheme="minorHAnsi" w:hAnsiTheme="minorHAnsi"/>
          <w:i/>
          <w:color w:val="auto"/>
          <w:sz w:val="18"/>
          <w:szCs w:val="18"/>
          <w:lang w:bidi="en-US"/>
        </w:rPr>
      </w:pPr>
      <w:r w:rsidRPr="00075482">
        <w:rPr>
          <w:rFonts w:asciiTheme="minorHAnsi" w:hAnsiTheme="minorHAnsi"/>
          <w:i/>
          <w:noProof/>
          <w:color w:val="auto"/>
          <w:sz w:val="18"/>
          <w:szCs w:val="18"/>
        </w:rPr>
        <w:drawing>
          <wp:inline distT="0" distB="0" distL="0" distR="0">
            <wp:extent cx="5920576" cy="2928285"/>
            <wp:effectExtent l="0" t="0" r="444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9823" cy="2942750"/>
                    </a:xfrm>
                    <a:prstGeom prst="rect">
                      <a:avLst/>
                    </a:prstGeom>
                    <a:noFill/>
                  </pic:spPr>
                </pic:pic>
              </a:graphicData>
            </a:graphic>
          </wp:inline>
        </w:drawing>
      </w:r>
    </w:p>
    <w:p w:rsidR="007F2DE7" w:rsidRPr="00FB6E71" w:rsidP="007F2DE7">
      <w:pPr>
        <w:widowControl/>
        <w:spacing w:after="240"/>
        <w:rPr>
          <w:rFonts w:asciiTheme="minorHAnsi" w:hAnsiTheme="minorHAnsi"/>
          <w:color w:val="auto"/>
          <w:sz w:val="18"/>
          <w:szCs w:val="18"/>
          <w:lang w:bidi="en-US"/>
        </w:rPr>
      </w:pPr>
      <w:r w:rsidRPr="00075482">
        <w:rPr>
          <w:rFonts w:asciiTheme="minorHAnsi" w:hAnsiTheme="minorHAnsi"/>
          <w:i/>
          <w:color w:val="auto"/>
          <w:sz w:val="18"/>
          <w:szCs w:val="18"/>
          <w:lang w:bidi="en-US"/>
        </w:rPr>
        <w:t>Note:</w:t>
      </w:r>
      <w:r>
        <w:rPr>
          <w:rFonts w:asciiTheme="minorHAnsi" w:hAnsiTheme="minorHAnsi"/>
          <w:color w:val="auto"/>
          <w:sz w:val="18"/>
          <w:szCs w:val="18"/>
          <w:lang w:bidi="en-US"/>
        </w:rPr>
        <w:t xml:space="preserve"> IFI = International Financial Institution.</w:t>
      </w:r>
    </w:p>
    <w:p w:rsidR="007F2DE7" w:rsidRPr="00FB6E71" w:rsidP="007F2DE7">
      <w:pPr>
        <w:keepNext/>
        <w:keepLines/>
        <w:widowControl/>
        <w:spacing w:after="240"/>
        <w:ind w:left="-634"/>
        <w:rPr>
          <w:rFonts w:asciiTheme="minorHAnsi" w:hAnsiTheme="minorHAnsi"/>
          <w:i/>
          <w:color w:val="auto"/>
          <w:sz w:val="22"/>
          <w:szCs w:val="22"/>
        </w:rPr>
      </w:pPr>
      <w:r w:rsidRPr="00FB6E71">
        <w:rPr>
          <w:rFonts w:asciiTheme="minorHAnsi" w:hAnsiTheme="minorHAnsi"/>
          <w:i/>
          <w:color w:val="auto"/>
          <w:sz w:val="22"/>
          <w:szCs w:val="22"/>
        </w:rPr>
        <w:t>Proposed Capacity Building for Program Implementation under the MCRP</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MCRP will strengthen the capacity of the federal and state governments to implement the recovery and stabilization Strategic Action Plan, produced based on the RPBA findings, by mobilizing project implementation and management tools</w:t>
      </w:r>
      <w:r>
        <w:rPr>
          <w:rFonts w:asciiTheme="minorHAnsi" w:hAnsiTheme="minorHAnsi"/>
          <w:b/>
          <w:bCs/>
          <w:color w:val="auto"/>
          <w:sz w:val="22"/>
          <w:szCs w:val="22"/>
        </w:rPr>
        <w:t>,</w:t>
      </w:r>
      <w:r w:rsidRPr="00FB6E71">
        <w:rPr>
          <w:rFonts w:asciiTheme="minorHAnsi" w:hAnsiTheme="minorHAnsi"/>
          <w:b/>
          <w:bCs/>
          <w:color w:val="auto"/>
          <w:sz w:val="22"/>
          <w:szCs w:val="22"/>
        </w:rPr>
        <w:t xml:space="preserve"> which will feed into and support the overall implementation framework as it evolves. </w:t>
      </w:r>
      <w:r w:rsidRPr="00FB6E71">
        <w:rPr>
          <w:rFonts w:asciiTheme="minorHAnsi" w:hAnsiTheme="minorHAnsi"/>
          <w:bCs/>
          <w:color w:val="auto"/>
          <w:sz w:val="22"/>
          <w:szCs w:val="22"/>
        </w:rPr>
        <w:t>For instance,</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to</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ensure adequate planning and execution of the projects funded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the World Bank will build state government capacity</w:t>
      </w:r>
      <w:r w:rsidRPr="00FB6E71">
        <w:rPr>
          <w:rFonts w:asciiTheme="minorHAnsi" w:hAnsiTheme="minorHAnsi"/>
          <w:b/>
          <w:bCs/>
          <w:color w:val="auto"/>
          <w:sz w:val="22"/>
          <w:szCs w:val="22"/>
        </w:rPr>
        <w:t xml:space="preserve"> </w:t>
      </w:r>
      <w:r w:rsidRPr="00FB6E71">
        <w:rPr>
          <w:rFonts w:asciiTheme="minorHAnsi" w:hAnsiTheme="minorHAnsi"/>
          <w:bCs/>
          <w:color w:val="auto"/>
          <w:sz w:val="22"/>
          <w:szCs w:val="22"/>
        </w:rPr>
        <w:t xml:space="preserve">for public investment and asset management across the board. To ensure effective monitoring of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MCRP implementation at the federal, state, and local levels, the World Bank will promote the use of shared </w:t>
      </w:r>
      <w:r>
        <w:rPr>
          <w:rFonts w:asciiTheme="minorHAnsi" w:hAnsiTheme="minorHAnsi"/>
          <w:bCs/>
          <w:color w:val="auto"/>
          <w:sz w:val="22"/>
          <w:szCs w:val="22"/>
        </w:rPr>
        <w:t>m</w:t>
      </w:r>
      <w:r w:rsidRPr="00FB6E71">
        <w:rPr>
          <w:rFonts w:asciiTheme="minorHAnsi" w:hAnsiTheme="minorHAnsi"/>
          <w:bCs/>
          <w:color w:val="auto"/>
          <w:sz w:val="22"/>
          <w:szCs w:val="22"/>
        </w:rPr>
        <w:t xml:space="preserve">anagement </w:t>
      </w:r>
      <w:r>
        <w:rPr>
          <w:rFonts w:asciiTheme="minorHAnsi" w:hAnsiTheme="minorHAnsi"/>
          <w:bCs/>
          <w:color w:val="auto"/>
          <w:sz w:val="22"/>
          <w:szCs w:val="22"/>
        </w:rPr>
        <w:t>i</w:t>
      </w:r>
      <w:r w:rsidRPr="00FB6E71">
        <w:rPr>
          <w:rFonts w:asciiTheme="minorHAnsi" w:hAnsiTheme="minorHAnsi"/>
          <w:bCs/>
          <w:color w:val="auto"/>
          <w:sz w:val="22"/>
          <w:szCs w:val="22"/>
        </w:rPr>
        <w:t xml:space="preserve">nformation </w:t>
      </w:r>
      <w:r>
        <w:rPr>
          <w:rFonts w:asciiTheme="minorHAnsi" w:hAnsiTheme="minorHAnsi"/>
          <w:bCs/>
          <w:color w:val="auto"/>
          <w:sz w:val="22"/>
          <w:szCs w:val="22"/>
        </w:rPr>
        <w:t>s</w:t>
      </w:r>
      <w:r w:rsidRPr="00FB6E71">
        <w:rPr>
          <w:rFonts w:asciiTheme="minorHAnsi" w:hAnsiTheme="minorHAnsi"/>
          <w:bCs/>
          <w:color w:val="auto"/>
          <w:sz w:val="22"/>
          <w:szCs w:val="22"/>
        </w:rPr>
        <w:t>ystems by the three tiers of government and across public agencies as well as public disclosure of information, feeding policy dialogue</w:t>
      </w:r>
      <w:r>
        <w:rPr>
          <w:rFonts w:asciiTheme="minorHAnsi" w:hAnsiTheme="minorHAnsi"/>
          <w:bCs/>
          <w:color w:val="auto"/>
          <w:sz w:val="22"/>
          <w:szCs w:val="22"/>
        </w:rPr>
        <w:t>,</w:t>
      </w:r>
      <w:r w:rsidRPr="00FB6E71">
        <w:rPr>
          <w:rFonts w:asciiTheme="minorHAnsi" w:hAnsiTheme="minorHAnsi"/>
          <w:bCs/>
          <w:color w:val="auto"/>
          <w:sz w:val="22"/>
          <w:szCs w:val="22"/>
        </w:rPr>
        <w:t xml:space="preserve"> and strengthening social accountability across the board. TA provided by the project will aim at mainstreaming the use</w:t>
      </w:r>
      <w:r>
        <w:rPr>
          <w:rFonts w:asciiTheme="minorHAnsi" w:hAnsiTheme="minorHAnsi"/>
          <w:bCs/>
          <w:color w:val="auto"/>
          <w:sz w:val="22"/>
          <w:szCs w:val="22"/>
        </w:rPr>
        <w:t xml:space="preserve"> of</w:t>
      </w:r>
      <w:r w:rsidRPr="00FB6E71">
        <w:rPr>
          <w:rFonts w:asciiTheme="minorHAnsi" w:hAnsiTheme="minorHAnsi"/>
          <w:bCs/>
          <w:color w:val="auto"/>
          <w:sz w:val="22"/>
          <w:szCs w:val="22"/>
        </w:rPr>
        <w:t xml:space="preserve"> and leveraging of the project implementation tools for the implementation of the recovery and stabilization Strategic Action Plan as a whole.</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TA will be provided at the federal and state levels to strengthen the implementation of the overall recovery and stabilization Strategic Action Plan. </w:t>
      </w:r>
      <w:r w:rsidRPr="00FB6E71">
        <w:rPr>
          <w:rFonts w:asciiTheme="minorHAnsi" w:hAnsiTheme="minorHAnsi"/>
          <w:bCs/>
          <w:color w:val="auto"/>
          <w:sz w:val="22"/>
          <w:szCs w:val="22"/>
        </w:rPr>
        <w:t xml:space="preserve">It will focus on the following areas: planning, budgeting, FM, M&amp;E, procurement, social and environmental safeguards, </w:t>
      </w:r>
      <w:r>
        <w:rPr>
          <w:rFonts w:asciiTheme="minorHAnsi" w:hAnsiTheme="minorHAnsi"/>
          <w:bCs/>
          <w:color w:val="auto"/>
          <w:sz w:val="22"/>
          <w:szCs w:val="22"/>
        </w:rPr>
        <w:t xml:space="preserve">and </w:t>
      </w:r>
      <w:r w:rsidRPr="00FB6E71">
        <w:rPr>
          <w:rFonts w:asciiTheme="minorHAnsi" w:hAnsiTheme="minorHAnsi"/>
          <w:bCs/>
          <w:color w:val="auto"/>
          <w:sz w:val="22"/>
          <w:szCs w:val="22"/>
        </w:rPr>
        <w:t>social accountability.</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At the federal level, given the evolving institutional framework for the implementation of the Buhari </w:t>
      </w:r>
      <w:r>
        <w:rPr>
          <w:rFonts w:asciiTheme="minorHAnsi" w:hAnsiTheme="minorHAnsi"/>
          <w:bCs/>
          <w:color w:val="auto"/>
          <w:sz w:val="22"/>
          <w:szCs w:val="22"/>
        </w:rPr>
        <w:t>P</w:t>
      </w:r>
      <w:r w:rsidRPr="00FB6E71">
        <w:rPr>
          <w:rFonts w:asciiTheme="minorHAnsi" w:hAnsiTheme="minorHAnsi"/>
          <w:bCs/>
          <w:color w:val="auto"/>
          <w:sz w:val="22"/>
          <w:szCs w:val="22"/>
        </w:rPr>
        <w:t>lan (</w:t>
      </w:r>
      <w:r>
        <w:rPr>
          <w:rFonts w:asciiTheme="minorHAnsi" w:hAnsiTheme="minorHAnsi"/>
          <w:bCs/>
          <w:color w:val="auto"/>
          <w:sz w:val="22"/>
          <w:szCs w:val="22"/>
        </w:rPr>
        <w:t xml:space="preserve">with </w:t>
      </w:r>
      <w:r w:rsidRPr="00FB6E71">
        <w:rPr>
          <w:rFonts w:asciiTheme="minorHAnsi" w:hAnsiTheme="minorHAnsi"/>
          <w:bCs/>
          <w:color w:val="auto"/>
          <w:sz w:val="22"/>
          <w:szCs w:val="22"/>
        </w:rPr>
        <w:t>the PCNI yet to be operationalized and the establishment of a new ad hoc executive agency, the NEDC, under</w:t>
      </w:r>
      <w:r>
        <w:rPr>
          <w:rFonts w:asciiTheme="minorHAnsi" w:hAnsiTheme="minorHAnsi"/>
          <w:bCs/>
          <w:color w:val="auto"/>
          <w:sz w:val="22"/>
          <w:szCs w:val="22"/>
        </w:rPr>
        <w:t xml:space="preserve"> </w:t>
      </w:r>
      <w:r w:rsidRPr="00FB6E71">
        <w:rPr>
          <w:rFonts w:asciiTheme="minorHAnsi" w:hAnsiTheme="minorHAnsi"/>
          <w:bCs/>
          <w:color w:val="auto"/>
          <w:sz w:val="22"/>
          <w:szCs w:val="22"/>
        </w:rPr>
        <w:t xml:space="preserve">way), the project will help strengthen interagency coordination between all relevant line ministries and parastatals and the leveraging of their respective roles and responsibility to ensure adequate implementation of the Buhari </w:t>
      </w:r>
      <w:r>
        <w:rPr>
          <w:rFonts w:asciiTheme="minorHAnsi" w:hAnsiTheme="minorHAnsi"/>
          <w:bCs/>
          <w:color w:val="auto"/>
          <w:sz w:val="22"/>
          <w:szCs w:val="22"/>
        </w:rPr>
        <w:t>P</w:t>
      </w:r>
      <w:r w:rsidRPr="00FB6E71">
        <w:rPr>
          <w:rFonts w:asciiTheme="minorHAnsi" w:hAnsiTheme="minorHAnsi"/>
          <w:bCs/>
          <w:color w:val="auto"/>
          <w:sz w:val="22"/>
          <w:szCs w:val="22"/>
        </w:rPr>
        <w:t xml:space="preserve">lan. TA to </w:t>
      </w:r>
      <w:r>
        <w:rPr>
          <w:rFonts w:asciiTheme="minorHAnsi" w:hAnsiTheme="minorHAnsi"/>
          <w:bCs/>
          <w:color w:val="auto"/>
          <w:sz w:val="22"/>
          <w:szCs w:val="22"/>
        </w:rPr>
        <w:t xml:space="preserve">the </w:t>
      </w:r>
      <w:r w:rsidRPr="00FB6E71">
        <w:rPr>
          <w:rFonts w:asciiTheme="minorHAnsi" w:hAnsiTheme="minorHAnsi"/>
          <w:bCs/>
          <w:color w:val="auto"/>
          <w:sz w:val="22"/>
          <w:szCs w:val="22"/>
        </w:rPr>
        <w:t>PCNI will aim at ensuring that it can successfully leverage all the critical functions exercised by other nodal government entities, namely the FMBNP for the monitoring of expenditure, and so on. Accordingly, it will aim at strengthening the institutional environment</w:t>
      </w:r>
      <w:r>
        <w:rPr>
          <w:rFonts w:asciiTheme="minorHAnsi" w:hAnsiTheme="minorHAnsi"/>
          <w:bCs/>
          <w:color w:val="auto"/>
          <w:sz w:val="22"/>
          <w:szCs w:val="22"/>
        </w:rPr>
        <w:t>,</w:t>
      </w:r>
      <w:r w:rsidRPr="00FB6E71">
        <w:rPr>
          <w:rFonts w:asciiTheme="minorHAnsi" w:hAnsiTheme="minorHAnsi"/>
          <w:bCs/>
          <w:color w:val="auto"/>
          <w:sz w:val="22"/>
          <w:szCs w:val="22"/>
        </w:rPr>
        <w:t xml:space="preserve"> which will allow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to operate effectively. Not all listed functions need </w:t>
      </w:r>
      <w:r>
        <w:rPr>
          <w:rFonts w:asciiTheme="minorHAnsi" w:hAnsiTheme="minorHAnsi"/>
          <w:bCs/>
          <w:color w:val="auto"/>
          <w:sz w:val="22"/>
          <w:szCs w:val="22"/>
        </w:rPr>
        <w:t xml:space="preserve">to </w:t>
      </w:r>
      <w:r w:rsidRPr="00FB6E71">
        <w:rPr>
          <w:rFonts w:asciiTheme="minorHAnsi" w:hAnsiTheme="minorHAnsi"/>
          <w:bCs/>
          <w:color w:val="auto"/>
          <w:sz w:val="22"/>
          <w:szCs w:val="22"/>
        </w:rPr>
        <w:t xml:space="preserve">be internalized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PCNI</w:t>
      </w:r>
      <w:r>
        <w:rPr>
          <w:rFonts w:asciiTheme="minorHAnsi" w:hAnsiTheme="minorHAnsi"/>
          <w:bCs/>
          <w:color w:val="auto"/>
          <w:sz w:val="22"/>
          <w:szCs w:val="22"/>
        </w:rPr>
        <w:t>,</w:t>
      </w:r>
      <w:r w:rsidRPr="00FB6E71">
        <w:rPr>
          <w:rFonts w:asciiTheme="minorHAnsi" w:hAnsiTheme="minorHAnsi"/>
          <w:bCs/>
          <w:color w:val="auto"/>
          <w:sz w:val="22"/>
          <w:szCs w:val="22"/>
        </w:rPr>
        <w:t xml:space="preserve"> but all need to be leveraged by it</w:t>
      </w:r>
      <w:r>
        <w:rPr>
          <w:rFonts w:asciiTheme="minorHAnsi" w:hAnsiTheme="minorHAnsi"/>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A</w:t>
      </w:r>
      <w:r w:rsidRPr="00FB6E71">
        <w:rPr>
          <w:rFonts w:asciiTheme="minorHAnsi" w:hAnsiTheme="minorHAnsi"/>
          <w:bCs/>
          <w:color w:val="auto"/>
          <w:sz w:val="22"/>
          <w:szCs w:val="22"/>
        </w:rPr>
        <w:t>ccordingly, the project will ensure that all relevant information generated under different government entities on the stabilization and recovery of the NE will be made available to the PCNI.</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2</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Strengthening the Institutional Framework at the Federal Level for the Implementation of the Buhari Plan</w:t>
      </w:r>
    </w:p>
    <w:tbl>
      <w:tblPr>
        <w:tblStyle w:val="TableGrid"/>
        <w:tblW w:w="5000" w:type="pct"/>
        <w:jc w:val="center"/>
        <w:tblLayout w:type="fixed"/>
        <w:tblCellMar>
          <w:left w:w="101" w:type="dxa"/>
          <w:right w:w="101" w:type="dxa"/>
        </w:tblCellMar>
        <w:tblLook w:val="04A0"/>
      </w:tblPr>
      <w:tblGrid>
        <w:gridCol w:w="1255"/>
        <w:gridCol w:w="2790"/>
        <w:gridCol w:w="5305"/>
      </w:tblGrid>
      <w:tr w:rsidTr="007F2DE7">
        <w:tblPrEx>
          <w:tblW w:w="5000" w:type="pct"/>
          <w:jc w:val="center"/>
          <w:tblLayout w:type="fixed"/>
          <w:tblCellMar>
            <w:left w:w="101" w:type="dxa"/>
            <w:right w:w="101" w:type="dxa"/>
          </w:tblCellMar>
          <w:tblLook w:val="04A0"/>
        </w:tblPrEx>
        <w:trPr>
          <w:cantSplit/>
          <w:tblHeader/>
          <w:jc w:val="center"/>
        </w:trPr>
        <w:tc>
          <w:tcPr>
            <w:tcW w:w="1255" w:type="dxa"/>
            <w:noWrap/>
            <w:tcMar>
              <w:left w:w="29" w:type="dxa"/>
              <w:right w:w="29" w:type="dxa"/>
            </w:tcMar>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Functions</w:t>
            </w:r>
          </w:p>
        </w:tc>
        <w:tc>
          <w:tcPr>
            <w:tcW w:w="2790" w:type="dxa"/>
            <w:noWrap/>
            <w:tcMar>
              <w:left w:w="29" w:type="dxa"/>
              <w:right w:w="29" w:type="dxa"/>
            </w:tcMar>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Stakeholders</w:t>
            </w:r>
          </w:p>
        </w:tc>
        <w:tc>
          <w:tcPr>
            <w:tcW w:w="5305" w:type="dxa"/>
            <w:noWrap/>
            <w:tcMar>
              <w:left w:w="29" w:type="dxa"/>
              <w:right w:w="29" w:type="dxa"/>
            </w:tcMar>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 xml:space="preserve">Entry </w:t>
            </w:r>
            <w:r>
              <w:rPr>
                <w:rFonts w:asciiTheme="minorHAnsi" w:hAnsiTheme="minorHAnsi"/>
                <w:b/>
                <w:sz w:val="18"/>
                <w:szCs w:val="18"/>
              </w:rPr>
              <w:t>P</w:t>
            </w:r>
            <w:r w:rsidRPr="00FB6E71">
              <w:rPr>
                <w:rFonts w:asciiTheme="minorHAnsi" w:hAnsiTheme="minorHAnsi"/>
                <w:b/>
                <w:sz w:val="18"/>
                <w:szCs w:val="18"/>
              </w:rPr>
              <w:t>oints for TA</w:t>
            </w:r>
          </w:p>
        </w:tc>
      </w:tr>
      <w:tr w:rsidTr="007F2DE7">
        <w:tblPrEx>
          <w:tblW w:w="5000" w:type="pct"/>
          <w:jc w:val="center"/>
          <w:tblLayout w:type="fixed"/>
          <w:tblCellMar>
            <w:left w:w="101" w:type="dxa"/>
            <w:right w:w="101" w:type="dxa"/>
          </w:tblCellMar>
          <w:tblLook w:val="04A0"/>
        </w:tblPrEx>
        <w:trPr>
          <w:cantSplit/>
          <w:jc w:val="center"/>
        </w:trPr>
        <w:tc>
          <w:tcPr>
            <w:tcW w:w="1255" w:type="dxa"/>
            <w:noWrap/>
            <w:tcMar>
              <w:left w:w="29" w:type="dxa"/>
              <w:right w:w="29" w:type="dxa"/>
            </w:tcMar>
          </w:tcPr>
          <w:p w:rsidR="007F2DE7" w:rsidRPr="00FB6E71" w:rsidP="007F2DE7">
            <w:pPr>
              <w:rPr>
                <w:rFonts w:asciiTheme="minorHAnsi" w:hAnsiTheme="minorHAnsi"/>
                <w:b/>
                <w:sz w:val="18"/>
                <w:szCs w:val="18"/>
              </w:rPr>
            </w:pPr>
            <w:r w:rsidRPr="00FB6E71">
              <w:rPr>
                <w:rFonts w:asciiTheme="minorHAnsi" w:hAnsiTheme="minorHAnsi"/>
                <w:b/>
                <w:sz w:val="18"/>
                <w:szCs w:val="18"/>
              </w:rPr>
              <w:t>Planning</w:t>
            </w:r>
          </w:p>
        </w:tc>
        <w:tc>
          <w:tcPr>
            <w:tcW w:w="2790" w:type="dxa"/>
            <w:noWrap/>
            <w:tcMar>
              <w:left w:w="29" w:type="dxa"/>
              <w:right w:w="29" w:type="dxa"/>
            </w:tcMar>
          </w:tcPr>
          <w:p w:rsidR="007F2DE7" w:rsidP="007F2DE7">
            <w:pPr>
              <w:rPr>
                <w:rFonts w:asciiTheme="minorHAnsi" w:hAnsiTheme="minorHAnsi"/>
                <w:sz w:val="18"/>
                <w:szCs w:val="18"/>
              </w:rPr>
            </w:pPr>
            <w:r w:rsidRPr="00FB6E71">
              <w:rPr>
                <w:rFonts w:asciiTheme="minorHAnsi" w:hAnsiTheme="minorHAnsi"/>
                <w:sz w:val="18"/>
                <w:szCs w:val="18"/>
              </w:rPr>
              <w:t>FMBNP</w:t>
            </w:r>
          </w:p>
          <w:p w:rsidR="007F2DE7" w:rsidRPr="00FB6E71" w:rsidP="007F2DE7">
            <w:pPr>
              <w:rPr>
                <w:rFonts w:asciiTheme="minorHAnsi" w:hAnsiTheme="minorHAnsi"/>
                <w:sz w:val="18"/>
                <w:szCs w:val="18"/>
              </w:rPr>
            </w:pPr>
          </w:p>
          <w:p w:rsidR="007F2DE7" w:rsidRPr="00FB6E71" w:rsidP="007F2DE7">
            <w:pPr>
              <w:spacing w:after="100" w:afterAutospacing="1"/>
              <w:rPr>
                <w:rFonts w:asciiTheme="minorHAnsi" w:hAnsiTheme="minorHAnsi"/>
                <w:sz w:val="18"/>
                <w:szCs w:val="18"/>
              </w:rPr>
            </w:pPr>
            <w:r w:rsidRPr="00FB6E71">
              <w:rPr>
                <w:rFonts w:asciiTheme="minorHAnsi" w:hAnsiTheme="minorHAnsi"/>
                <w:sz w:val="18"/>
                <w:szCs w:val="18"/>
              </w:rPr>
              <w:t>Relevant line ministries and parastatals (education, health, and so on)</w:t>
            </w:r>
          </w:p>
        </w:tc>
        <w:tc>
          <w:tcPr>
            <w:tcW w:w="5305" w:type="dxa"/>
            <w:noWrap/>
            <w:tcMar>
              <w:left w:w="29" w:type="dxa"/>
              <w:right w:w="29" w:type="dxa"/>
            </w:tcMar>
          </w:tcPr>
          <w:p w:rsidR="007F2DE7" w:rsidRPr="00FB6E71" w:rsidP="007F2DE7">
            <w:pPr>
              <w:pStyle w:val="ListParagraph"/>
              <w:widowControl/>
              <w:numPr>
                <w:ilvl w:val="0"/>
                <w:numId w:val="10"/>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Factoring in the recovery and stabilization plan into national macrofiscal planning (including the M</w:t>
            </w:r>
            <w:r>
              <w:rPr>
                <w:rFonts w:asciiTheme="minorHAnsi" w:hAnsiTheme="minorHAnsi"/>
                <w:sz w:val="18"/>
                <w:szCs w:val="18"/>
              </w:rPr>
              <w:t xml:space="preserve">edium-term </w:t>
            </w:r>
            <w:r w:rsidRPr="00FB6E71">
              <w:rPr>
                <w:rFonts w:asciiTheme="minorHAnsi" w:hAnsiTheme="minorHAnsi"/>
                <w:sz w:val="18"/>
                <w:szCs w:val="18"/>
              </w:rPr>
              <w:t>E</w:t>
            </w:r>
            <w:r>
              <w:rPr>
                <w:rFonts w:asciiTheme="minorHAnsi" w:hAnsiTheme="minorHAnsi"/>
                <w:sz w:val="18"/>
                <w:szCs w:val="18"/>
              </w:rPr>
              <w:t xml:space="preserve">xpenditure </w:t>
            </w:r>
            <w:r w:rsidRPr="00FB6E71">
              <w:rPr>
                <w:rFonts w:asciiTheme="minorHAnsi" w:hAnsiTheme="minorHAnsi"/>
                <w:sz w:val="18"/>
                <w:szCs w:val="18"/>
              </w:rPr>
              <w:t>F</w:t>
            </w:r>
            <w:r>
              <w:rPr>
                <w:rFonts w:asciiTheme="minorHAnsi" w:hAnsiTheme="minorHAnsi"/>
                <w:sz w:val="18"/>
                <w:szCs w:val="18"/>
              </w:rPr>
              <w:t>ramework</w:t>
            </w:r>
            <w:r w:rsidRPr="00FB6E71">
              <w:rPr>
                <w:rFonts w:asciiTheme="minorHAnsi" w:hAnsiTheme="minorHAnsi"/>
                <w:sz w:val="18"/>
                <w:szCs w:val="18"/>
              </w:rPr>
              <w:t>)</w:t>
            </w:r>
          </w:p>
          <w:p w:rsidR="007F2DE7" w:rsidRPr="00FB6E71" w:rsidP="007F2DE7">
            <w:pPr>
              <w:pStyle w:val="ListParagraph"/>
              <w:widowControl/>
              <w:numPr>
                <w:ilvl w:val="0"/>
                <w:numId w:val="10"/>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Factoring in the Buhari </w:t>
            </w:r>
            <w:r>
              <w:rPr>
                <w:rFonts w:asciiTheme="minorHAnsi" w:hAnsiTheme="minorHAnsi"/>
                <w:sz w:val="18"/>
                <w:szCs w:val="18"/>
              </w:rPr>
              <w:t>P</w:t>
            </w:r>
            <w:r w:rsidRPr="00FB6E71">
              <w:rPr>
                <w:rFonts w:asciiTheme="minorHAnsi" w:hAnsiTheme="minorHAnsi"/>
                <w:sz w:val="18"/>
                <w:szCs w:val="18"/>
              </w:rPr>
              <w:t xml:space="preserve">lan into budget planning, in relevant </w:t>
            </w:r>
            <w:r>
              <w:rPr>
                <w:rFonts w:asciiTheme="minorHAnsi" w:hAnsiTheme="minorHAnsi"/>
                <w:sz w:val="18"/>
                <w:szCs w:val="18"/>
              </w:rPr>
              <w:t>multi-tiered systems of support</w:t>
            </w:r>
            <w:r w:rsidRPr="00FB6E71">
              <w:rPr>
                <w:rFonts w:asciiTheme="minorHAnsi" w:hAnsiTheme="minorHAnsi"/>
                <w:sz w:val="18"/>
                <w:szCs w:val="18"/>
              </w:rPr>
              <w:t xml:space="preserve"> (education, health, and so on)</w:t>
            </w:r>
          </w:p>
          <w:p w:rsidR="007F2DE7" w:rsidRPr="00FB6E71" w:rsidP="007F2DE7">
            <w:pPr>
              <w:pStyle w:val="ListParagraph"/>
              <w:widowControl/>
              <w:numPr>
                <w:ilvl w:val="0"/>
                <w:numId w:val="10"/>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Alignment of sector resource allocation with the Buhari </w:t>
            </w:r>
            <w:r>
              <w:rPr>
                <w:rFonts w:asciiTheme="minorHAnsi" w:hAnsiTheme="minorHAnsi"/>
                <w:sz w:val="18"/>
                <w:szCs w:val="18"/>
              </w:rPr>
              <w:t>P</w:t>
            </w:r>
            <w:r w:rsidRPr="00FB6E71">
              <w:rPr>
                <w:rFonts w:asciiTheme="minorHAnsi" w:hAnsiTheme="minorHAnsi"/>
                <w:sz w:val="18"/>
                <w:szCs w:val="18"/>
              </w:rPr>
              <w:t>lan</w:t>
            </w:r>
          </w:p>
        </w:tc>
      </w:tr>
      <w:tr w:rsidTr="007F2DE7">
        <w:tblPrEx>
          <w:tblW w:w="5000" w:type="pct"/>
          <w:jc w:val="center"/>
          <w:tblLayout w:type="fixed"/>
          <w:tblCellMar>
            <w:left w:w="101" w:type="dxa"/>
            <w:right w:w="101" w:type="dxa"/>
          </w:tblCellMar>
          <w:tblLook w:val="04A0"/>
        </w:tblPrEx>
        <w:trPr>
          <w:cantSplit/>
          <w:jc w:val="center"/>
        </w:trPr>
        <w:tc>
          <w:tcPr>
            <w:tcW w:w="1255" w:type="dxa"/>
            <w:noWrap/>
            <w:tcMar>
              <w:left w:w="29" w:type="dxa"/>
              <w:right w:w="29" w:type="dxa"/>
            </w:tcMar>
          </w:tcPr>
          <w:p w:rsidR="007F2DE7" w:rsidRPr="00FB6E71" w:rsidP="007F2DE7">
            <w:pPr>
              <w:rPr>
                <w:rFonts w:asciiTheme="minorHAnsi" w:hAnsiTheme="minorHAnsi"/>
                <w:b/>
                <w:sz w:val="18"/>
                <w:szCs w:val="18"/>
              </w:rPr>
            </w:pPr>
            <w:r w:rsidRPr="00FB6E71">
              <w:rPr>
                <w:rFonts w:asciiTheme="minorHAnsi" w:hAnsiTheme="minorHAnsi"/>
                <w:b/>
                <w:sz w:val="18"/>
                <w:szCs w:val="18"/>
              </w:rPr>
              <w:t>Financing</w:t>
            </w:r>
          </w:p>
        </w:tc>
        <w:tc>
          <w:tcPr>
            <w:tcW w:w="2790" w:type="dxa"/>
            <w:noWrap/>
            <w:tcMar>
              <w:left w:w="29" w:type="dxa"/>
              <w:right w:w="29" w:type="dxa"/>
            </w:tcMar>
          </w:tcPr>
          <w:p w:rsidR="007F2DE7" w:rsidRPr="00FB6E71" w:rsidP="007F2DE7">
            <w:pPr>
              <w:spacing w:after="120"/>
              <w:rPr>
                <w:rFonts w:asciiTheme="minorHAnsi" w:hAnsiTheme="minorHAnsi"/>
                <w:sz w:val="18"/>
                <w:szCs w:val="18"/>
              </w:rPr>
            </w:pPr>
            <w:r w:rsidRPr="00FB6E71">
              <w:rPr>
                <w:rFonts w:asciiTheme="minorHAnsi" w:hAnsiTheme="minorHAnsi"/>
                <w:sz w:val="18"/>
                <w:szCs w:val="18"/>
              </w:rPr>
              <w:t>FMoF</w:t>
            </w:r>
          </w:p>
          <w:p w:rsidR="007F2DE7" w:rsidRPr="00FB6E71" w:rsidP="007F2DE7">
            <w:pPr>
              <w:spacing w:after="120"/>
              <w:rPr>
                <w:rFonts w:asciiTheme="minorHAnsi" w:hAnsiTheme="minorHAnsi"/>
                <w:sz w:val="18"/>
                <w:szCs w:val="18"/>
              </w:rPr>
            </w:pPr>
            <w:r w:rsidRPr="00FB6E71">
              <w:rPr>
                <w:rFonts w:asciiTheme="minorHAnsi" w:hAnsiTheme="minorHAnsi"/>
                <w:sz w:val="18"/>
                <w:szCs w:val="18"/>
              </w:rPr>
              <w:t>UBEC for the construction of school facilities</w:t>
            </w:r>
          </w:p>
          <w:p w:rsidR="007F2DE7" w:rsidRPr="00FB6E71" w:rsidP="007F2DE7">
            <w:pPr>
              <w:spacing w:after="120"/>
              <w:rPr>
                <w:rFonts w:asciiTheme="minorHAnsi" w:hAnsiTheme="minorHAnsi"/>
                <w:sz w:val="18"/>
                <w:szCs w:val="18"/>
              </w:rPr>
            </w:pPr>
            <w:r w:rsidRPr="00FB6E71">
              <w:rPr>
                <w:rFonts w:asciiTheme="minorHAnsi" w:hAnsiTheme="minorHAnsi"/>
                <w:sz w:val="18"/>
                <w:szCs w:val="18"/>
              </w:rPr>
              <w:t xml:space="preserve">NPHCDA </w:t>
            </w:r>
          </w:p>
        </w:tc>
        <w:tc>
          <w:tcPr>
            <w:tcW w:w="5305" w:type="dxa"/>
            <w:noWrap/>
            <w:tcMar>
              <w:left w:w="29" w:type="dxa"/>
              <w:right w:w="29" w:type="dxa"/>
            </w:tcMar>
          </w:tcPr>
          <w:p w:rsidR="007F2DE7" w:rsidRPr="00FB6E71" w:rsidP="007F2DE7">
            <w:pPr>
              <w:pStyle w:val="ListParagraph"/>
              <w:widowControl/>
              <w:numPr>
                <w:ilvl w:val="0"/>
                <w:numId w:val="11"/>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Monitoring BAY state</w:t>
            </w:r>
            <w:r>
              <w:rPr>
                <w:rFonts w:asciiTheme="minorHAnsi" w:hAnsiTheme="minorHAnsi"/>
                <w:sz w:val="18"/>
                <w:szCs w:val="18"/>
              </w:rPr>
              <w:t>s’</w:t>
            </w:r>
            <w:r w:rsidRPr="00FB6E71">
              <w:rPr>
                <w:rFonts w:asciiTheme="minorHAnsi" w:hAnsiTheme="minorHAnsi"/>
                <w:sz w:val="18"/>
                <w:szCs w:val="18"/>
              </w:rPr>
              <w:t xml:space="preserve"> compliance with the </w:t>
            </w:r>
            <w:r>
              <w:rPr>
                <w:rFonts w:asciiTheme="minorHAnsi" w:hAnsiTheme="minorHAnsi"/>
                <w:sz w:val="18"/>
                <w:szCs w:val="18"/>
              </w:rPr>
              <w:t>f</w:t>
            </w:r>
            <w:r w:rsidRPr="00FB6E71">
              <w:rPr>
                <w:rFonts w:asciiTheme="minorHAnsi" w:hAnsiTheme="minorHAnsi"/>
                <w:sz w:val="18"/>
                <w:szCs w:val="18"/>
              </w:rPr>
              <w:t xml:space="preserve">iscal sustainability plan </w:t>
            </w:r>
          </w:p>
          <w:p w:rsidR="007F2DE7" w:rsidRPr="00FB6E71" w:rsidP="007F2DE7">
            <w:pPr>
              <w:pStyle w:val="ListParagraph"/>
              <w:widowControl/>
              <w:numPr>
                <w:ilvl w:val="0"/>
                <w:numId w:val="11"/>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M&amp;E of physical outputs of the Universal Basic Education </w:t>
            </w:r>
            <w:r>
              <w:rPr>
                <w:rFonts w:asciiTheme="minorHAnsi" w:hAnsiTheme="minorHAnsi"/>
                <w:sz w:val="18"/>
                <w:szCs w:val="18"/>
              </w:rPr>
              <w:t>I</w:t>
            </w:r>
            <w:r w:rsidRPr="00FB6E71">
              <w:rPr>
                <w:rFonts w:asciiTheme="minorHAnsi" w:hAnsiTheme="minorHAnsi"/>
                <w:sz w:val="18"/>
                <w:szCs w:val="18"/>
              </w:rPr>
              <w:t xml:space="preserve">ntervention </w:t>
            </w:r>
            <w:r>
              <w:rPr>
                <w:rFonts w:asciiTheme="minorHAnsi" w:hAnsiTheme="minorHAnsi"/>
                <w:sz w:val="18"/>
                <w:szCs w:val="18"/>
              </w:rPr>
              <w:t>F</w:t>
            </w:r>
            <w:r w:rsidRPr="00FB6E71">
              <w:rPr>
                <w:rFonts w:asciiTheme="minorHAnsi" w:hAnsiTheme="minorHAnsi"/>
                <w:sz w:val="18"/>
                <w:szCs w:val="18"/>
              </w:rPr>
              <w:t>und</w:t>
            </w:r>
          </w:p>
        </w:tc>
      </w:tr>
      <w:tr w:rsidTr="007F2DE7">
        <w:tblPrEx>
          <w:tblW w:w="5000" w:type="pct"/>
          <w:jc w:val="center"/>
          <w:tblLayout w:type="fixed"/>
          <w:tblCellMar>
            <w:left w:w="101" w:type="dxa"/>
            <w:right w:w="101" w:type="dxa"/>
          </w:tblCellMar>
          <w:tblLook w:val="04A0"/>
        </w:tblPrEx>
        <w:trPr>
          <w:cantSplit/>
          <w:jc w:val="center"/>
        </w:trPr>
        <w:tc>
          <w:tcPr>
            <w:tcW w:w="1255" w:type="dxa"/>
            <w:noWrap/>
            <w:tcMar>
              <w:left w:w="29" w:type="dxa"/>
              <w:right w:w="29" w:type="dxa"/>
            </w:tcMar>
          </w:tcPr>
          <w:p w:rsidR="007F2DE7" w:rsidRPr="00FB6E71" w:rsidP="007F2DE7">
            <w:pPr>
              <w:rPr>
                <w:rFonts w:asciiTheme="minorHAnsi" w:hAnsiTheme="minorHAnsi"/>
                <w:b/>
                <w:sz w:val="18"/>
                <w:szCs w:val="18"/>
              </w:rPr>
            </w:pPr>
            <w:r w:rsidRPr="00FB6E71">
              <w:rPr>
                <w:rFonts w:asciiTheme="minorHAnsi" w:hAnsiTheme="minorHAnsi"/>
                <w:b/>
                <w:sz w:val="18"/>
                <w:szCs w:val="18"/>
              </w:rPr>
              <w:t>Monitoring</w:t>
            </w:r>
          </w:p>
        </w:tc>
        <w:tc>
          <w:tcPr>
            <w:tcW w:w="2790" w:type="dxa"/>
            <w:noWrap/>
            <w:tcMar>
              <w:left w:w="29" w:type="dxa"/>
              <w:right w:w="29" w:type="dxa"/>
            </w:tcMar>
          </w:tcPr>
          <w:p w:rsidR="007F2DE7" w:rsidRPr="00FB6E71" w:rsidP="007F2DE7">
            <w:pPr>
              <w:spacing w:after="120"/>
              <w:rPr>
                <w:rFonts w:asciiTheme="minorHAnsi" w:hAnsiTheme="minorHAnsi"/>
                <w:sz w:val="18"/>
                <w:szCs w:val="18"/>
              </w:rPr>
            </w:pPr>
            <w:r w:rsidRPr="00FB6E71">
              <w:rPr>
                <w:rFonts w:asciiTheme="minorHAnsi" w:hAnsiTheme="minorHAnsi"/>
                <w:sz w:val="18"/>
                <w:szCs w:val="18"/>
              </w:rPr>
              <w:t>FMBNP (Capex M&amp;E framework)</w:t>
            </w:r>
          </w:p>
          <w:p w:rsidR="007F2DE7" w:rsidRPr="00FB6E71" w:rsidP="007F2DE7">
            <w:pPr>
              <w:spacing w:after="120"/>
              <w:rPr>
                <w:rFonts w:asciiTheme="minorHAnsi" w:hAnsiTheme="minorHAnsi"/>
                <w:sz w:val="18"/>
                <w:szCs w:val="18"/>
              </w:rPr>
            </w:pPr>
            <w:r w:rsidRPr="00FB6E71">
              <w:rPr>
                <w:rFonts w:asciiTheme="minorHAnsi" w:hAnsiTheme="minorHAnsi"/>
                <w:sz w:val="18"/>
                <w:szCs w:val="18"/>
              </w:rPr>
              <w:t>National Bureau of Statistics</w:t>
            </w:r>
          </w:p>
        </w:tc>
        <w:tc>
          <w:tcPr>
            <w:tcW w:w="5305" w:type="dxa"/>
            <w:noWrap/>
            <w:tcMar>
              <w:left w:w="29" w:type="dxa"/>
              <w:right w:w="29" w:type="dxa"/>
            </w:tcMar>
          </w:tcPr>
          <w:p w:rsidR="007F2DE7" w:rsidRPr="00FB6E71" w:rsidP="007F2DE7">
            <w:pPr>
              <w:pStyle w:val="ListParagraph"/>
              <w:widowControl/>
              <w:numPr>
                <w:ilvl w:val="0"/>
                <w:numId w:val="12"/>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Feeding in the project M&amp;E system into the Capex M&amp;E framework</w:t>
            </w:r>
          </w:p>
          <w:p w:rsidR="007F2DE7" w:rsidRPr="00FB6E71" w:rsidP="007F2DE7">
            <w:pPr>
              <w:pStyle w:val="ListParagraph"/>
              <w:widowControl/>
              <w:numPr>
                <w:ilvl w:val="0"/>
                <w:numId w:val="12"/>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TA by </w:t>
            </w:r>
            <w:r>
              <w:rPr>
                <w:rFonts w:asciiTheme="minorHAnsi" w:hAnsiTheme="minorHAnsi"/>
                <w:sz w:val="18"/>
                <w:szCs w:val="18"/>
              </w:rPr>
              <w:t xml:space="preserve">the </w:t>
            </w:r>
            <w:r w:rsidRPr="00FB6E71">
              <w:rPr>
                <w:rFonts w:asciiTheme="minorHAnsi" w:hAnsiTheme="minorHAnsi"/>
                <w:sz w:val="18"/>
                <w:szCs w:val="18"/>
              </w:rPr>
              <w:t>N</w:t>
            </w:r>
            <w:r>
              <w:rPr>
                <w:rFonts w:asciiTheme="minorHAnsi" w:hAnsiTheme="minorHAnsi"/>
                <w:sz w:val="18"/>
                <w:szCs w:val="18"/>
              </w:rPr>
              <w:t xml:space="preserve">ational </w:t>
            </w:r>
            <w:r w:rsidRPr="00FB6E71">
              <w:rPr>
                <w:rFonts w:asciiTheme="minorHAnsi" w:hAnsiTheme="minorHAnsi"/>
                <w:sz w:val="18"/>
                <w:szCs w:val="18"/>
              </w:rPr>
              <w:t>B</w:t>
            </w:r>
            <w:r>
              <w:rPr>
                <w:rFonts w:asciiTheme="minorHAnsi" w:hAnsiTheme="minorHAnsi"/>
                <w:sz w:val="18"/>
                <w:szCs w:val="18"/>
              </w:rPr>
              <w:t xml:space="preserve">ureau of </w:t>
            </w:r>
            <w:r w:rsidRPr="00FB6E71">
              <w:rPr>
                <w:rFonts w:asciiTheme="minorHAnsi" w:hAnsiTheme="minorHAnsi"/>
                <w:sz w:val="18"/>
                <w:szCs w:val="18"/>
              </w:rPr>
              <w:t>S</w:t>
            </w:r>
            <w:r>
              <w:rPr>
                <w:rFonts w:asciiTheme="minorHAnsi" w:hAnsiTheme="minorHAnsi"/>
                <w:sz w:val="18"/>
                <w:szCs w:val="18"/>
              </w:rPr>
              <w:t>tatistics</w:t>
            </w:r>
            <w:r w:rsidRPr="00FB6E71">
              <w:rPr>
                <w:rFonts w:asciiTheme="minorHAnsi" w:hAnsiTheme="minorHAnsi"/>
                <w:sz w:val="18"/>
                <w:szCs w:val="18"/>
              </w:rPr>
              <w:t xml:space="preserve"> to state bureaus of statistics</w:t>
            </w:r>
          </w:p>
        </w:tc>
      </w:tr>
      <w:tr w:rsidTr="007F2DE7">
        <w:tblPrEx>
          <w:tblW w:w="5000" w:type="pct"/>
          <w:jc w:val="center"/>
          <w:tblLayout w:type="fixed"/>
          <w:tblCellMar>
            <w:left w:w="101" w:type="dxa"/>
            <w:right w:w="101" w:type="dxa"/>
          </w:tblCellMar>
          <w:tblLook w:val="04A0"/>
        </w:tblPrEx>
        <w:trPr>
          <w:cantSplit/>
          <w:jc w:val="center"/>
        </w:trPr>
        <w:tc>
          <w:tcPr>
            <w:tcW w:w="1255" w:type="dxa"/>
            <w:noWrap/>
            <w:tcMar>
              <w:left w:w="29" w:type="dxa"/>
              <w:right w:w="29" w:type="dxa"/>
            </w:tcMar>
          </w:tcPr>
          <w:p w:rsidR="007F2DE7" w:rsidRPr="00FB6E71" w:rsidP="007F2DE7">
            <w:pPr>
              <w:rPr>
                <w:rFonts w:asciiTheme="minorHAnsi" w:hAnsiTheme="minorHAnsi"/>
                <w:b/>
                <w:sz w:val="18"/>
                <w:szCs w:val="18"/>
              </w:rPr>
            </w:pPr>
            <w:r w:rsidRPr="00FB6E71">
              <w:rPr>
                <w:rFonts w:asciiTheme="minorHAnsi" w:hAnsiTheme="minorHAnsi"/>
                <w:b/>
                <w:sz w:val="18"/>
                <w:szCs w:val="18"/>
              </w:rPr>
              <w:t>Coordination</w:t>
            </w:r>
          </w:p>
        </w:tc>
        <w:tc>
          <w:tcPr>
            <w:tcW w:w="2790" w:type="dxa"/>
            <w:noWrap/>
            <w:tcMar>
              <w:left w:w="29" w:type="dxa"/>
              <w:right w:w="29" w:type="dxa"/>
            </w:tcMar>
          </w:tcPr>
          <w:p w:rsidR="007F2DE7" w:rsidRPr="00FB6E71" w:rsidP="007F2DE7">
            <w:pPr>
              <w:spacing w:after="120"/>
              <w:rPr>
                <w:rFonts w:asciiTheme="minorHAnsi" w:hAnsiTheme="minorHAnsi"/>
                <w:sz w:val="18"/>
                <w:szCs w:val="18"/>
              </w:rPr>
            </w:pPr>
            <w:r w:rsidRPr="00FB6E71">
              <w:rPr>
                <w:rFonts w:asciiTheme="minorHAnsi" w:hAnsiTheme="minorHAnsi"/>
                <w:sz w:val="18"/>
                <w:szCs w:val="18"/>
              </w:rPr>
              <w:t>V</w:t>
            </w:r>
            <w:r>
              <w:rPr>
                <w:rFonts w:asciiTheme="minorHAnsi" w:hAnsiTheme="minorHAnsi"/>
                <w:sz w:val="18"/>
                <w:szCs w:val="18"/>
              </w:rPr>
              <w:t xml:space="preserve">ice </w:t>
            </w:r>
            <w:r w:rsidRPr="00FB6E71">
              <w:rPr>
                <w:rFonts w:asciiTheme="minorHAnsi" w:hAnsiTheme="minorHAnsi"/>
                <w:sz w:val="18"/>
                <w:szCs w:val="18"/>
              </w:rPr>
              <w:t>P</w:t>
            </w:r>
            <w:r>
              <w:rPr>
                <w:rFonts w:asciiTheme="minorHAnsi" w:hAnsiTheme="minorHAnsi"/>
                <w:sz w:val="18"/>
                <w:szCs w:val="18"/>
              </w:rPr>
              <w:t>resident’s</w:t>
            </w:r>
            <w:r w:rsidRPr="00FB6E71">
              <w:rPr>
                <w:rFonts w:asciiTheme="minorHAnsi" w:hAnsiTheme="minorHAnsi"/>
                <w:sz w:val="18"/>
                <w:szCs w:val="18"/>
              </w:rPr>
              <w:t xml:space="preserve"> office (National Economic Council)</w:t>
            </w:r>
          </w:p>
          <w:p w:rsidR="007F2DE7" w:rsidRPr="00FB6E71" w:rsidP="007F2DE7">
            <w:pPr>
              <w:spacing w:after="120"/>
              <w:rPr>
                <w:rFonts w:asciiTheme="minorHAnsi" w:hAnsiTheme="minorHAnsi"/>
                <w:sz w:val="18"/>
                <w:szCs w:val="18"/>
              </w:rPr>
            </w:pPr>
            <w:r w:rsidRPr="00FB6E71">
              <w:rPr>
                <w:rFonts w:asciiTheme="minorHAnsi" w:hAnsiTheme="minorHAnsi"/>
                <w:sz w:val="18"/>
                <w:szCs w:val="18"/>
              </w:rPr>
              <w:t xml:space="preserve">National Governors’ Forum secretariat (in preparation of National Economic Council meetings) </w:t>
            </w:r>
          </w:p>
        </w:tc>
        <w:tc>
          <w:tcPr>
            <w:tcW w:w="5305" w:type="dxa"/>
            <w:noWrap/>
            <w:tcMar>
              <w:left w:w="29" w:type="dxa"/>
              <w:right w:w="29" w:type="dxa"/>
            </w:tcMar>
          </w:tcPr>
          <w:p w:rsidR="007F2DE7" w:rsidRPr="00FB6E71" w:rsidP="007F2DE7">
            <w:pPr>
              <w:pStyle w:val="ListParagraph"/>
              <w:widowControl/>
              <w:numPr>
                <w:ilvl w:val="0"/>
                <w:numId w:val="13"/>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Strengthening capacity of </w:t>
            </w:r>
            <w:r>
              <w:rPr>
                <w:rFonts w:asciiTheme="minorHAnsi" w:hAnsiTheme="minorHAnsi"/>
                <w:sz w:val="18"/>
                <w:szCs w:val="18"/>
              </w:rPr>
              <w:t xml:space="preserve">the </w:t>
            </w:r>
            <w:r w:rsidRPr="00FB6E71">
              <w:rPr>
                <w:rFonts w:asciiTheme="minorHAnsi" w:hAnsiTheme="minorHAnsi"/>
                <w:sz w:val="18"/>
                <w:szCs w:val="18"/>
              </w:rPr>
              <w:t>V</w:t>
            </w:r>
            <w:r>
              <w:rPr>
                <w:rFonts w:asciiTheme="minorHAnsi" w:hAnsiTheme="minorHAnsi"/>
                <w:sz w:val="18"/>
                <w:szCs w:val="18"/>
              </w:rPr>
              <w:t xml:space="preserve">ice </w:t>
            </w:r>
            <w:r w:rsidRPr="00FB6E71">
              <w:rPr>
                <w:rFonts w:asciiTheme="minorHAnsi" w:hAnsiTheme="minorHAnsi"/>
                <w:sz w:val="18"/>
                <w:szCs w:val="18"/>
              </w:rPr>
              <w:t>P</w:t>
            </w:r>
            <w:r>
              <w:rPr>
                <w:rFonts w:asciiTheme="minorHAnsi" w:hAnsiTheme="minorHAnsi"/>
                <w:sz w:val="18"/>
                <w:szCs w:val="18"/>
              </w:rPr>
              <w:t>resident’s office</w:t>
            </w:r>
            <w:r w:rsidRPr="00FB6E71">
              <w:rPr>
                <w:rFonts w:asciiTheme="minorHAnsi" w:hAnsiTheme="minorHAnsi"/>
                <w:sz w:val="18"/>
                <w:szCs w:val="18"/>
              </w:rPr>
              <w:t xml:space="preserve"> for interagency coordination</w:t>
            </w:r>
          </w:p>
          <w:p w:rsidR="007F2DE7" w:rsidRPr="00FB6E71" w:rsidP="007F2DE7">
            <w:pPr>
              <w:pStyle w:val="ListParagraph"/>
              <w:widowControl/>
              <w:numPr>
                <w:ilvl w:val="0"/>
                <w:numId w:val="13"/>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Strengthening interstate policy coordination through peer learning and review </w:t>
            </w:r>
          </w:p>
        </w:tc>
      </w:tr>
    </w:tbl>
    <w:p w:rsidR="007F2DE7" w:rsidRPr="00FB6E71" w:rsidP="007F2DE7">
      <w:pPr>
        <w:widowControl/>
        <w:spacing w:after="240"/>
        <w:rPr>
          <w:rFonts w:asciiTheme="minorHAnsi" w:hAnsiTheme="minorHAnsi"/>
          <w:color w:val="auto"/>
          <w:sz w:val="18"/>
          <w:szCs w:val="18"/>
          <w:lang w:bidi="en-US"/>
        </w:rPr>
      </w:pPr>
      <w:r w:rsidRPr="00FB6E71">
        <w:rPr>
          <w:rFonts w:asciiTheme="minorHAnsi" w:hAnsiTheme="minorHAnsi"/>
          <w:i/>
          <w:color w:val="auto"/>
          <w:sz w:val="18"/>
          <w:szCs w:val="18"/>
          <w:lang w:bidi="en-US"/>
        </w:rPr>
        <w:t>Note:</w:t>
      </w:r>
      <w:r w:rsidRPr="00FB6E71">
        <w:rPr>
          <w:rFonts w:asciiTheme="minorHAnsi" w:hAnsiTheme="minorHAnsi"/>
          <w:color w:val="auto"/>
          <w:sz w:val="18"/>
          <w:szCs w:val="18"/>
          <w:lang w:bidi="en-US"/>
        </w:rPr>
        <w:t xml:space="preserve"> </w:t>
      </w:r>
      <w:r>
        <w:rPr>
          <w:rFonts w:asciiTheme="minorHAnsi" w:hAnsiTheme="minorHAnsi"/>
          <w:color w:val="auto"/>
          <w:sz w:val="18"/>
          <w:szCs w:val="18"/>
          <w:lang w:bidi="en-US"/>
        </w:rPr>
        <w:t xml:space="preserve">NPHCDA = National Primary Health Care Development Agency; </w:t>
      </w:r>
      <w:r w:rsidRPr="00FB6E71">
        <w:rPr>
          <w:rFonts w:asciiTheme="minorHAnsi" w:hAnsiTheme="minorHAnsi"/>
          <w:color w:val="auto"/>
          <w:sz w:val="18"/>
          <w:szCs w:val="18"/>
          <w:lang w:bidi="en-US"/>
        </w:rPr>
        <w:t>UBEC = Universal Basic Education Commission.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At the state level, the implementation of MCRP will synergize with other relevant World Bank and other donors’ operations to maximize the impact on service delivery of activities.</w:t>
      </w:r>
      <w:r w:rsidRPr="00FB6E71">
        <w:rPr>
          <w:rFonts w:asciiTheme="minorHAnsi" w:hAnsiTheme="minorHAnsi"/>
          <w:bCs/>
          <w:color w:val="auto"/>
          <w:sz w:val="22"/>
          <w:szCs w:val="22"/>
        </w:rPr>
        <w:t xml:space="preserve"> This will essentially focus on the reconstruction of public facilities funded under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that is, strengthening the link between physical outputs and development outcomes. Such coordination will strengthen the link between the rebuilding of public infrastructure under the project and access to quality service delivery</w:t>
      </w:r>
      <w:r>
        <w:rPr>
          <w:rFonts w:asciiTheme="minorHAnsi" w:hAnsiTheme="minorHAnsi"/>
          <w:bCs/>
          <w:color w:val="auto"/>
          <w:sz w:val="22"/>
          <w:szCs w:val="22"/>
        </w:rPr>
        <w:t>;</w:t>
      </w:r>
      <w:r w:rsidRPr="00FB6E71">
        <w:rPr>
          <w:rFonts w:asciiTheme="minorHAnsi" w:hAnsiTheme="minorHAnsi"/>
          <w:bCs/>
          <w:color w:val="auto"/>
          <w:sz w:val="22"/>
          <w:szCs w:val="22"/>
        </w:rPr>
        <w:t xml:space="preserve"> for example, school facilities rebuilt under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will be provided with qualified teachers, educational material</w:t>
      </w:r>
      <w:r>
        <w:rPr>
          <w:rFonts w:asciiTheme="minorHAnsi" w:hAnsiTheme="minorHAnsi"/>
          <w:bCs/>
          <w:color w:val="auto"/>
          <w:sz w:val="22"/>
          <w:szCs w:val="22"/>
        </w:rPr>
        <w:t>,</w:t>
      </w:r>
      <w:r w:rsidRPr="00FB6E71">
        <w:rPr>
          <w:rFonts w:asciiTheme="minorHAnsi" w:hAnsiTheme="minorHAnsi"/>
          <w:bCs/>
          <w:color w:val="auto"/>
          <w:sz w:val="22"/>
          <w:szCs w:val="22"/>
        </w:rPr>
        <w:t xml:space="preserve"> and adequate management capacity (school principal, school-based management committees, </w:t>
      </w:r>
      <w:r>
        <w:rPr>
          <w:rFonts w:asciiTheme="minorHAnsi" w:hAnsiTheme="minorHAnsi"/>
          <w:bCs/>
          <w:color w:val="auto"/>
          <w:sz w:val="22"/>
          <w:szCs w:val="22"/>
        </w:rPr>
        <w:t xml:space="preserve">and </w:t>
      </w:r>
      <w:r w:rsidRPr="00FB6E71">
        <w:rPr>
          <w:rFonts w:asciiTheme="minorHAnsi" w:hAnsiTheme="minorHAnsi"/>
          <w:bCs/>
          <w:color w:val="auto"/>
          <w:sz w:val="22"/>
          <w:szCs w:val="22"/>
        </w:rPr>
        <w:t xml:space="preserve">oversight of school performance) so that pupils enrollment effectively increases.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The project </w:t>
      </w:r>
      <w:r>
        <w:rPr>
          <w:rFonts w:asciiTheme="minorHAnsi" w:hAnsiTheme="minorHAnsi"/>
          <w:bCs/>
          <w:color w:val="auto"/>
          <w:sz w:val="22"/>
          <w:szCs w:val="22"/>
        </w:rPr>
        <w:t>R</w:t>
      </w:r>
      <w:r w:rsidRPr="00FB6E71">
        <w:rPr>
          <w:rFonts w:asciiTheme="minorHAnsi" w:hAnsiTheme="minorHAnsi"/>
          <w:bCs/>
          <w:color w:val="auto"/>
          <w:sz w:val="22"/>
          <w:szCs w:val="22"/>
        </w:rPr>
        <w:t>esult</w:t>
      </w:r>
      <w:r>
        <w:rPr>
          <w:rFonts w:asciiTheme="minorHAnsi" w:hAnsiTheme="minorHAnsi"/>
          <w:bCs/>
          <w:color w:val="auto"/>
          <w:sz w:val="22"/>
          <w:szCs w:val="22"/>
        </w:rPr>
        <w:t>s</w:t>
      </w:r>
      <w:r w:rsidRPr="00FB6E71">
        <w:rPr>
          <w:rFonts w:asciiTheme="minorHAnsi" w:hAnsiTheme="minorHAnsi"/>
          <w:bCs/>
          <w:color w:val="auto"/>
          <w:sz w:val="22"/>
          <w:szCs w:val="22"/>
        </w:rPr>
        <w:t xml:space="preserve"> </w:t>
      </w:r>
      <w:r>
        <w:rPr>
          <w:rFonts w:asciiTheme="minorHAnsi" w:hAnsiTheme="minorHAnsi"/>
          <w:bCs/>
          <w:color w:val="auto"/>
          <w:sz w:val="22"/>
          <w:szCs w:val="22"/>
        </w:rPr>
        <w:t>F</w:t>
      </w:r>
      <w:r w:rsidRPr="00FB6E71">
        <w:rPr>
          <w:rFonts w:asciiTheme="minorHAnsi" w:hAnsiTheme="minorHAnsi"/>
          <w:bCs/>
          <w:color w:val="auto"/>
          <w:sz w:val="22"/>
          <w:szCs w:val="22"/>
        </w:rPr>
        <w:t xml:space="preserve">ramework is also designed to align with those of these other World Bank projects to provide the BAY state governments with an M&amp;E tool for the whole delivery chain in the relevant sectors, from financial inputs to service delivery outcomes </w:t>
      </w:r>
      <w:r>
        <w:rPr>
          <w:rFonts w:asciiTheme="minorHAnsi" w:hAnsiTheme="minorHAnsi"/>
          <w:bCs/>
          <w:color w:val="auto"/>
          <w:sz w:val="22"/>
          <w:szCs w:val="22"/>
        </w:rPr>
        <w:t>through</w:t>
      </w:r>
      <w:r w:rsidRPr="00FB6E71">
        <w:rPr>
          <w:rFonts w:asciiTheme="minorHAnsi" w:hAnsiTheme="minorHAnsi"/>
          <w:bCs/>
          <w:color w:val="auto"/>
          <w:sz w:val="22"/>
          <w:szCs w:val="22"/>
        </w:rPr>
        <w:t xml:space="preserve"> physical outputs. For that purpose</w:t>
      </w:r>
      <w:r>
        <w:rPr>
          <w:rFonts w:asciiTheme="minorHAnsi" w:hAnsiTheme="minorHAnsi"/>
          <w:bCs/>
          <w:color w:val="auto"/>
          <w:sz w:val="22"/>
          <w:szCs w:val="22"/>
        </w:rPr>
        <w:t>,</w:t>
      </w:r>
      <w:r w:rsidRPr="00FB6E71">
        <w:rPr>
          <w:rFonts w:asciiTheme="minorHAnsi" w:hAnsiTheme="minorHAnsi"/>
          <w:bCs/>
          <w:color w:val="auto"/>
          <w:sz w:val="22"/>
          <w:szCs w:val="22"/>
        </w:rPr>
        <w:t xml:space="preserve"> all state-level project management units should coordinate under the aegis of the MCRP state-level coordinating units and share information on common challenges and results. </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3</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Synergizing </w:t>
      </w:r>
      <w:r>
        <w:rPr>
          <w:rFonts w:asciiTheme="minorHAnsi" w:hAnsiTheme="minorHAnsi"/>
          <w:b/>
          <w:i w:val="0"/>
          <w:color w:val="auto"/>
        </w:rPr>
        <w:t xml:space="preserve">the </w:t>
      </w:r>
      <w:r w:rsidRPr="00FB6E71">
        <w:rPr>
          <w:rFonts w:asciiTheme="minorHAnsi" w:hAnsiTheme="minorHAnsi"/>
          <w:b/>
          <w:i w:val="0"/>
          <w:color w:val="auto"/>
        </w:rPr>
        <w:t>MCRP with Other World Bank Operations in the NE</w:t>
      </w:r>
    </w:p>
    <w:tbl>
      <w:tblPr>
        <w:tblStyle w:val="TableGrid"/>
        <w:tblW w:w="5000" w:type="pct"/>
        <w:jc w:val="center"/>
        <w:tblLook w:val="04A0"/>
      </w:tblPr>
      <w:tblGrid>
        <w:gridCol w:w="1435"/>
        <w:gridCol w:w="1530"/>
        <w:gridCol w:w="6385"/>
      </w:tblGrid>
      <w:tr w:rsidTr="007F2DE7">
        <w:tblPrEx>
          <w:tblW w:w="5000" w:type="pct"/>
          <w:jc w:val="center"/>
          <w:tblLook w:val="04A0"/>
        </w:tblPrEx>
        <w:trPr>
          <w:cantSplit/>
          <w:tblHeader/>
          <w:jc w:val="center"/>
        </w:trPr>
        <w:tc>
          <w:tcPr>
            <w:tcW w:w="1435" w:type="dxa"/>
            <w:noWrap/>
            <w:tcMar>
              <w:left w:w="29" w:type="dxa"/>
              <w:right w:w="29" w:type="dxa"/>
            </w:tcMar>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Thematic Areas</w:t>
            </w:r>
          </w:p>
        </w:tc>
        <w:tc>
          <w:tcPr>
            <w:tcW w:w="1530" w:type="dxa"/>
            <w:noWrap/>
            <w:tcMar>
              <w:left w:w="29" w:type="dxa"/>
              <w:right w:w="29" w:type="dxa"/>
            </w:tcMar>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World Bank Projects to Synergize with</w:t>
            </w:r>
          </w:p>
        </w:tc>
        <w:tc>
          <w:tcPr>
            <w:tcW w:w="6385" w:type="dxa"/>
            <w:noWrap/>
            <w:tcMar>
              <w:left w:w="29" w:type="dxa"/>
              <w:right w:w="29" w:type="dxa"/>
            </w:tcMar>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Complementarities to Build on</w:t>
            </w:r>
          </w:p>
        </w:tc>
      </w:tr>
      <w:tr w:rsidTr="007F2DE7">
        <w:tblPrEx>
          <w:tblW w:w="5000" w:type="pct"/>
          <w:jc w:val="center"/>
          <w:tblLook w:val="04A0"/>
        </w:tblPrEx>
        <w:trPr>
          <w:cantSplit/>
          <w:jc w:val="center"/>
        </w:trPr>
        <w:tc>
          <w:tcPr>
            <w:tcW w:w="14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Local governance</w:t>
            </w:r>
          </w:p>
        </w:tc>
        <w:tc>
          <w:tcPr>
            <w:tcW w:w="153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SLOGOR</w:t>
            </w:r>
          </w:p>
          <w:p w:rsidR="007F2DE7" w:rsidRPr="00FB6E71" w:rsidP="007F2DE7">
            <w:pPr>
              <w:rPr>
                <w:rFonts w:asciiTheme="minorHAnsi" w:hAnsiTheme="minorHAnsi"/>
                <w:sz w:val="18"/>
                <w:szCs w:val="18"/>
              </w:rPr>
            </w:pPr>
            <w:r w:rsidRPr="00FB6E71">
              <w:rPr>
                <w:rFonts w:asciiTheme="minorHAnsi" w:hAnsiTheme="minorHAnsi"/>
                <w:sz w:val="18"/>
                <w:szCs w:val="18"/>
              </w:rPr>
              <w:t>PSGRD</w:t>
            </w:r>
          </w:p>
          <w:p w:rsidR="007F2DE7" w:rsidRPr="00FB6E71" w:rsidP="007F2DE7">
            <w:pPr>
              <w:rPr>
                <w:rFonts w:asciiTheme="minorHAnsi" w:hAnsiTheme="minorHAnsi"/>
                <w:sz w:val="18"/>
                <w:szCs w:val="18"/>
              </w:rPr>
            </w:pPr>
            <w:r w:rsidRPr="00FB6E71">
              <w:rPr>
                <w:rFonts w:asciiTheme="minorHAnsi" w:hAnsiTheme="minorHAnsi"/>
                <w:sz w:val="18"/>
                <w:szCs w:val="18"/>
              </w:rPr>
              <w:t>CSDP</w:t>
            </w:r>
          </w:p>
          <w:p w:rsidR="007F2DE7" w:rsidRPr="00FB6E71" w:rsidP="007F2DE7">
            <w:pPr>
              <w:rPr>
                <w:rFonts w:asciiTheme="minorHAnsi" w:hAnsiTheme="minorHAnsi"/>
                <w:sz w:val="18"/>
                <w:szCs w:val="18"/>
              </w:rPr>
            </w:pPr>
            <w:r w:rsidRPr="00FB6E71">
              <w:rPr>
                <w:rFonts w:asciiTheme="minorHAnsi" w:hAnsiTheme="minorHAnsi"/>
                <w:sz w:val="18"/>
                <w:szCs w:val="18"/>
              </w:rPr>
              <w:t>FADAMA</w:t>
            </w:r>
            <w:r>
              <w:rPr>
                <w:rFonts w:asciiTheme="minorHAnsi" w:hAnsiTheme="minorHAnsi"/>
                <w:sz w:val="18"/>
                <w:szCs w:val="18"/>
              </w:rPr>
              <w:t xml:space="preserve"> III</w:t>
            </w:r>
          </w:p>
        </w:tc>
        <w:tc>
          <w:tcPr>
            <w:tcW w:w="6385" w:type="dxa"/>
            <w:noWrap/>
            <w:tcMar>
              <w:left w:w="29" w:type="dxa"/>
              <w:right w:w="29" w:type="dxa"/>
            </w:tcMar>
          </w:tcPr>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TA to state Ministries of Local Governments on accounting, auditing, budgeting, procurement, tax administration, community-level planning</w:t>
            </w:r>
            <w:r>
              <w:rPr>
                <w:rFonts w:asciiTheme="minorHAnsi" w:hAnsiTheme="minorHAnsi"/>
                <w:sz w:val="18"/>
                <w:szCs w:val="18"/>
              </w:rPr>
              <w:t>,</w:t>
            </w:r>
            <w:r w:rsidRPr="00FB6E71">
              <w:rPr>
                <w:rFonts w:asciiTheme="minorHAnsi" w:hAnsiTheme="minorHAnsi"/>
                <w:sz w:val="18"/>
                <w:szCs w:val="18"/>
              </w:rPr>
              <w:t xml:space="preserve"> and M&amp;E</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TA to state auditor general for local governments </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Social accountability mechanisms including in planning, budgeting</w:t>
            </w:r>
            <w:r>
              <w:rPr>
                <w:rFonts w:asciiTheme="minorHAnsi" w:hAnsiTheme="minorHAnsi"/>
                <w:sz w:val="18"/>
                <w:szCs w:val="18"/>
              </w:rPr>
              <w:t>,</w:t>
            </w:r>
            <w:r w:rsidRPr="00FB6E71">
              <w:rPr>
                <w:rFonts w:asciiTheme="minorHAnsi" w:hAnsiTheme="minorHAnsi"/>
                <w:sz w:val="18"/>
                <w:szCs w:val="18"/>
              </w:rPr>
              <w:t xml:space="preserve"> and public procurement </w:t>
            </w:r>
          </w:p>
        </w:tc>
      </w:tr>
      <w:tr w:rsidTr="007F2DE7">
        <w:tblPrEx>
          <w:tblW w:w="5000" w:type="pct"/>
          <w:jc w:val="center"/>
          <w:tblLook w:val="04A0"/>
        </w:tblPrEx>
        <w:trPr>
          <w:cantSplit/>
          <w:jc w:val="center"/>
        </w:trPr>
        <w:tc>
          <w:tcPr>
            <w:tcW w:w="14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FM</w:t>
            </w:r>
          </w:p>
        </w:tc>
        <w:tc>
          <w:tcPr>
            <w:tcW w:w="153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SLOGOR</w:t>
            </w:r>
          </w:p>
          <w:p w:rsidR="007F2DE7" w:rsidRPr="00FB6E71" w:rsidP="007F2DE7">
            <w:pPr>
              <w:rPr>
                <w:rFonts w:asciiTheme="minorHAnsi" w:hAnsiTheme="minorHAnsi"/>
                <w:sz w:val="18"/>
                <w:szCs w:val="18"/>
              </w:rPr>
            </w:pPr>
            <w:r w:rsidRPr="00FB6E71">
              <w:rPr>
                <w:rFonts w:asciiTheme="minorHAnsi" w:hAnsiTheme="minorHAnsi"/>
                <w:sz w:val="18"/>
                <w:szCs w:val="18"/>
              </w:rPr>
              <w:t>PSGRD</w:t>
            </w:r>
          </w:p>
        </w:tc>
        <w:tc>
          <w:tcPr>
            <w:tcW w:w="6385" w:type="dxa"/>
            <w:noWrap/>
            <w:tcMar>
              <w:left w:w="29" w:type="dxa"/>
              <w:right w:w="29" w:type="dxa"/>
            </w:tcMar>
          </w:tcPr>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Public procurement</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 xml:space="preserve">Budget execution </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External audit</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Capacity building for FM in line ministries</w:t>
            </w:r>
          </w:p>
        </w:tc>
      </w:tr>
      <w:tr w:rsidTr="007F2DE7">
        <w:tblPrEx>
          <w:tblW w:w="5000" w:type="pct"/>
          <w:jc w:val="center"/>
          <w:tblLook w:val="04A0"/>
        </w:tblPrEx>
        <w:trPr>
          <w:cantSplit/>
          <w:jc w:val="center"/>
        </w:trPr>
        <w:tc>
          <w:tcPr>
            <w:tcW w:w="14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Education</w:t>
            </w:r>
          </w:p>
        </w:tc>
        <w:tc>
          <w:tcPr>
            <w:tcW w:w="153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SEPIP AF</w:t>
            </w:r>
          </w:p>
        </w:tc>
        <w:tc>
          <w:tcPr>
            <w:tcW w:w="6385" w:type="dxa"/>
            <w:noWrap/>
            <w:tcMar>
              <w:left w:w="29" w:type="dxa"/>
              <w:right w:w="29" w:type="dxa"/>
            </w:tcMar>
          </w:tcPr>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Teacher management and deployment</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School management</w:t>
            </w:r>
          </w:p>
        </w:tc>
      </w:tr>
      <w:tr w:rsidTr="007F2DE7">
        <w:tblPrEx>
          <w:tblW w:w="5000" w:type="pct"/>
          <w:jc w:val="center"/>
          <w:tblLook w:val="04A0"/>
        </w:tblPrEx>
        <w:trPr>
          <w:cantSplit/>
          <w:jc w:val="center"/>
        </w:trPr>
        <w:tc>
          <w:tcPr>
            <w:tcW w:w="14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Health</w:t>
            </w:r>
          </w:p>
        </w:tc>
        <w:tc>
          <w:tcPr>
            <w:tcW w:w="153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NSHIP AF</w:t>
            </w:r>
          </w:p>
        </w:tc>
        <w:tc>
          <w:tcPr>
            <w:tcW w:w="6385" w:type="dxa"/>
            <w:noWrap/>
            <w:tcMar>
              <w:left w:w="29" w:type="dxa"/>
              <w:right w:w="29" w:type="dxa"/>
            </w:tcMar>
          </w:tcPr>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Increased coverage and quality of child and maternal health care</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Free pediatric and obstetric care</w:t>
            </w:r>
          </w:p>
        </w:tc>
      </w:tr>
      <w:tr w:rsidTr="007F2DE7">
        <w:tblPrEx>
          <w:tblW w:w="5000" w:type="pct"/>
          <w:jc w:val="center"/>
          <w:tblLook w:val="04A0"/>
        </w:tblPrEx>
        <w:trPr>
          <w:cantSplit/>
          <w:jc w:val="center"/>
        </w:trPr>
        <w:tc>
          <w:tcPr>
            <w:tcW w:w="14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Agriculture</w:t>
            </w:r>
          </w:p>
        </w:tc>
        <w:tc>
          <w:tcPr>
            <w:tcW w:w="153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FADAMA III AF</w:t>
            </w:r>
          </w:p>
        </w:tc>
        <w:tc>
          <w:tcPr>
            <w:tcW w:w="6385" w:type="dxa"/>
            <w:noWrap/>
            <w:tcMar>
              <w:left w:w="29" w:type="dxa"/>
              <w:right w:w="29" w:type="dxa"/>
            </w:tcMar>
          </w:tcPr>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Generation of community-owned infrastructure projects</w:t>
            </w:r>
          </w:p>
          <w:p w:rsidR="007F2DE7" w:rsidRPr="00FB6E71" w:rsidP="007F2DE7">
            <w:pPr>
              <w:pStyle w:val="ListParagraph"/>
              <w:widowControl/>
              <w:numPr>
                <w:ilvl w:val="0"/>
                <w:numId w:val="14"/>
              </w:numPr>
              <w:autoSpaceDE/>
              <w:autoSpaceDN/>
              <w:adjustRightInd/>
              <w:ind w:left="288" w:hanging="288"/>
              <w:contextualSpacing w:val="0"/>
              <w:rPr>
                <w:rFonts w:asciiTheme="minorHAnsi" w:hAnsiTheme="minorHAnsi"/>
                <w:sz w:val="18"/>
                <w:szCs w:val="18"/>
              </w:rPr>
            </w:pPr>
            <w:r w:rsidRPr="00FB6E71">
              <w:rPr>
                <w:rFonts w:asciiTheme="minorHAnsi" w:hAnsiTheme="minorHAnsi"/>
                <w:sz w:val="18"/>
                <w:szCs w:val="18"/>
              </w:rPr>
              <w:t>Institutionalization of users groups</w:t>
            </w:r>
          </w:p>
        </w:tc>
      </w:tr>
    </w:tbl>
    <w:p w:rsidR="007F2DE7" w:rsidRPr="00FB6E71" w:rsidP="007F2DE7">
      <w:pPr>
        <w:widowControl/>
        <w:spacing w:after="240"/>
        <w:rPr>
          <w:rFonts w:asciiTheme="minorHAnsi" w:hAnsiTheme="minorHAnsi"/>
          <w:color w:val="auto"/>
          <w:sz w:val="18"/>
          <w:szCs w:val="18"/>
          <w:lang w:bidi="en-US"/>
        </w:rPr>
      </w:pPr>
      <w:r w:rsidRPr="00FB6E71">
        <w:rPr>
          <w:rFonts w:asciiTheme="minorHAnsi" w:hAnsiTheme="minorHAnsi"/>
          <w:i/>
          <w:color w:val="auto"/>
          <w:sz w:val="18"/>
          <w:szCs w:val="18"/>
          <w:lang w:bidi="en-US"/>
        </w:rPr>
        <w:t>Note:</w:t>
      </w:r>
      <w:r w:rsidRPr="00FB6E71">
        <w:rPr>
          <w:rFonts w:asciiTheme="minorHAnsi" w:hAnsiTheme="minorHAnsi"/>
          <w:color w:val="auto"/>
          <w:sz w:val="18"/>
          <w:szCs w:val="18"/>
          <w:lang w:bidi="en-US"/>
        </w:rPr>
        <w:t xml:space="preserve"> </w:t>
      </w:r>
      <w:r>
        <w:rPr>
          <w:rFonts w:asciiTheme="minorHAnsi" w:hAnsiTheme="minorHAnsi"/>
          <w:color w:val="auto"/>
          <w:sz w:val="18"/>
          <w:szCs w:val="18"/>
          <w:lang w:bidi="en-US"/>
        </w:rPr>
        <w:t>PSGRD = ; SLOGOR</w:t>
      </w:r>
      <w:r w:rsidRPr="00FB6E71">
        <w:rPr>
          <w:rFonts w:asciiTheme="minorHAnsi" w:hAnsiTheme="minorHAnsi"/>
          <w:color w:val="auto"/>
          <w:sz w:val="18"/>
          <w:szCs w:val="18"/>
          <w:lang w:bidi="en-US"/>
        </w:rPr>
        <w:t xml:space="preserv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The following functions will be strengthened for project implementation: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Overall oversight and coordination</w:t>
      </w:r>
      <w:r>
        <w:rPr>
          <w:rFonts w:asciiTheme="minorHAnsi" w:hAnsiTheme="minorHAnsi"/>
          <w:b/>
          <w:bCs/>
          <w:color w:val="auto"/>
          <w:sz w:val="22"/>
          <w:szCs w:val="22"/>
        </w:rPr>
        <w:t>.</w:t>
      </w:r>
      <w:r w:rsidRPr="00FB6E71">
        <w:rPr>
          <w:rFonts w:asciiTheme="minorHAnsi" w:hAnsiTheme="minorHAnsi"/>
          <w:bCs/>
          <w:color w:val="auto"/>
          <w:sz w:val="22"/>
          <w:szCs w:val="22"/>
        </w:rPr>
        <w:t xml:space="preserve"> At the federal level, a dedicated team of experts will be needed to carry out the day-to-day coordination between federal government entities as well as with state governments, policy analysis, reporting on implementation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analytical work. This role will be played by the PCNI as the apex body (and</w:t>
      </w:r>
      <w:r>
        <w:rPr>
          <w:rFonts w:asciiTheme="minorHAnsi" w:hAnsiTheme="minorHAnsi"/>
          <w:bCs/>
          <w:color w:val="auto"/>
          <w:sz w:val="22"/>
          <w:szCs w:val="22"/>
        </w:rPr>
        <w:t>,</w:t>
      </w:r>
      <w:r w:rsidRPr="00FB6E71">
        <w:rPr>
          <w:rFonts w:asciiTheme="minorHAnsi" w:hAnsiTheme="minorHAnsi"/>
          <w:bCs/>
          <w:color w:val="auto"/>
          <w:sz w:val="22"/>
          <w:szCs w:val="22"/>
        </w:rPr>
        <w:t xml:space="preserve"> possibly in the future, by the NEDC) in the exercise of its overall central oversight, coordination, M&amp;E</w:t>
      </w:r>
      <w:r>
        <w:rPr>
          <w:rFonts w:asciiTheme="minorHAnsi" w:hAnsiTheme="minorHAnsi"/>
          <w:bCs/>
          <w:color w:val="auto"/>
          <w:sz w:val="22"/>
          <w:szCs w:val="22"/>
        </w:rPr>
        <w:t>,</w:t>
      </w:r>
      <w:r w:rsidRPr="00FB6E71">
        <w:rPr>
          <w:rFonts w:asciiTheme="minorHAnsi" w:hAnsiTheme="minorHAnsi"/>
          <w:bCs/>
          <w:color w:val="auto"/>
          <w:sz w:val="22"/>
          <w:szCs w:val="22"/>
        </w:rPr>
        <w:t xml:space="preserve"> and project progress reporting responsibilities and functions. As part of this process, the PCNI will consolidate state-level M&amp;E reports at the federal level and furnish the same for the review and information of the federal government, the World Bank</w:t>
      </w:r>
      <w:r>
        <w:rPr>
          <w:rFonts w:asciiTheme="minorHAnsi" w:hAnsiTheme="minorHAnsi"/>
          <w:bCs/>
          <w:color w:val="auto"/>
          <w:sz w:val="22"/>
          <w:szCs w:val="22"/>
        </w:rPr>
        <w:t>,</w:t>
      </w:r>
      <w:r w:rsidRPr="00FB6E71">
        <w:rPr>
          <w:rFonts w:asciiTheme="minorHAnsi" w:hAnsiTheme="minorHAnsi"/>
          <w:bCs/>
          <w:color w:val="auto"/>
          <w:sz w:val="22"/>
          <w:szCs w:val="22"/>
        </w:rPr>
        <w:t xml:space="preserve"> and possibly other development partners. Also, the project will strengthen the coordinating capacity of the PCNI for the implementation of the recovery and stabilization Strategic Action Plan including by ensuring that it avails shared information to inform collective decision making.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Interstate coordination</w:t>
      </w:r>
      <w:r>
        <w:rPr>
          <w:rFonts w:asciiTheme="minorHAnsi" w:hAnsiTheme="minorHAnsi"/>
          <w:b/>
          <w:bCs/>
          <w:color w:val="auto"/>
          <w:sz w:val="22"/>
          <w:szCs w:val="22"/>
        </w:rPr>
        <w:t>.</w:t>
      </w:r>
      <w:r w:rsidRPr="00FB6E71">
        <w:rPr>
          <w:rFonts w:asciiTheme="minorHAnsi" w:hAnsiTheme="minorHAnsi"/>
          <w:bCs/>
          <w:color w:val="auto"/>
          <w:sz w:val="22"/>
          <w:szCs w:val="22"/>
        </w:rPr>
        <w:t xml:space="preserve"> </w:t>
      </w:r>
      <w:r>
        <w:rPr>
          <w:rFonts w:asciiTheme="minorHAnsi" w:hAnsiTheme="minorHAnsi"/>
          <w:bCs/>
          <w:color w:val="auto"/>
          <w:sz w:val="22"/>
          <w:szCs w:val="22"/>
        </w:rPr>
        <w:t>T</w:t>
      </w:r>
      <w:r w:rsidRPr="00FB6E71">
        <w:rPr>
          <w:rFonts w:asciiTheme="minorHAnsi" w:hAnsiTheme="minorHAnsi"/>
          <w:bCs/>
          <w:color w:val="auto"/>
          <w:sz w:val="22"/>
          <w:szCs w:val="22"/>
        </w:rPr>
        <w:t>he project will facilitate peer learning, exchange of experience and emulation across the BAY state governments as well as with non-beneficiar</w:t>
      </w:r>
      <w:r>
        <w:rPr>
          <w:rFonts w:asciiTheme="minorHAnsi" w:hAnsiTheme="minorHAnsi"/>
          <w:bCs/>
          <w:color w:val="auto"/>
          <w:sz w:val="22"/>
          <w:szCs w:val="22"/>
        </w:rPr>
        <w:t>y</w:t>
      </w:r>
      <w:r w:rsidRPr="00FB6E71">
        <w:rPr>
          <w:rFonts w:asciiTheme="minorHAnsi" w:hAnsiTheme="minorHAnsi"/>
          <w:bCs/>
          <w:color w:val="auto"/>
          <w:sz w:val="22"/>
          <w:szCs w:val="22"/>
        </w:rPr>
        <w:t xml:space="preserve"> state governments, </w:t>
      </w:r>
      <w:r>
        <w:rPr>
          <w:rFonts w:asciiTheme="minorHAnsi" w:hAnsiTheme="minorHAnsi"/>
          <w:bCs/>
          <w:color w:val="auto"/>
          <w:sz w:val="22"/>
          <w:szCs w:val="22"/>
        </w:rPr>
        <w:t xml:space="preserve">and </w:t>
      </w:r>
      <w:r w:rsidRPr="00FB6E71">
        <w:rPr>
          <w:rFonts w:asciiTheme="minorHAnsi" w:hAnsiTheme="minorHAnsi"/>
          <w:bCs/>
          <w:color w:val="auto"/>
          <w:sz w:val="22"/>
          <w:szCs w:val="22"/>
        </w:rPr>
        <w:t>leveraging peer pressure (including through the peer review mechanism of the National G</w:t>
      </w:r>
      <w:r w:rsidRPr="00FB6E71">
        <w:rPr>
          <w:rFonts w:ascii="Calibri" w:eastAsia="Times New Roman" w:hAnsi="Calibri" w:cs="Times New Roman"/>
          <w:color w:val="auto"/>
          <w:sz w:val="22"/>
          <w:szCs w:val="22"/>
        </w:rPr>
        <w:t xml:space="preserve">overnors’ Forum).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State PCUs will be reinforced by a PMC that will provide timely and quality support in areas related to technical, fiduciary</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safeguards. </w:t>
      </w:r>
      <w:r w:rsidRPr="00FB6E71">
        <w:rPr>
          <w:rFonts w:asciiTheme="minorHAnsi" w:hAnsiTheme="minorHAnsi"/>
          <w:bCs/>
          <w:color w:val="auto"/>
          <w:sz w:val="22"/>
          <w:szCs w:val="22"/>
        </w:rPr>
        <w:t xml:space="preserve">The PMC will provide implementation support to the PCUs on a phased basis. This will include intensive support in the first year to build the capacity of the PCUs and then gradually phase out over the lifetime of the project. The PMC shall be expected to provide the PCUs with intensive </w:t>
      </w:r>
      <w:r>
        <w:rPr>
          <w:rFonts w:asciiTheme="minorHAnsi" w:hAnsiTheme="minorHAnsi"/>
          <w:bCs/>
          <w:color w:val="auto"/>
          <w:sz w:val="22"/>
          <w:szCs w:val="22"/>
        </w:rPr>
        <w:t>‘</w:t>
      </w:r>
      <w:r w:rsidRPr="00FB6E71">
        <w:rPr>
          <w:rFonts w:asciiTheme="minorHAnsi" w:hAnsiTheme="minorHAnsi"/>
          <w:bCs/>
          <w:color w:val="auto"/>
          <w:sz w:val="22"/>
          <w:szCs w:val="22"/>
        </w:rPr>
        <w:t>on</w:t>
      </w:r>
      <w:r>
        <w:rPr>
          <w:rFonts w:asciiTheme="minorHAnsi" w:hAnsiTheme="minorHAnsi"/>
          <w:bCs/>
          <w:color w:val="auto"/>
          <w:sz w:val="22"/>
          <w:szCs w:val="22"/>
        </w:rPr>
        <w:t>-</w:t>
      </w:r>
      <w:r w:rsidRPr="00FB6E71">
        <w:rPr>
          <w:rFonts w:asciiTheme="minorHAnsi" w:hAnsiTheme="minorHAnsi"/>
          <w:bCs/>
          <w:color w:val="auto"/>
          <w:sz w:val="22"/>
          <w:szCs w:val="22"/>
        </w:rPr>
        <w:t>the</w:t>
      </w:r>
      <w:r>
        <w:rPr>
          <w:rFonts w:asciiTheme="minorHAnsi" w:hAnsiTheme="minorHAnsi"/>
          <w:bCs/>
          <w:color w:val="auto"/>
          <w:sz w:val="22"/>
          <w:szCs w:val="22"/>
        </w:rPr>
        <w:t>-</w:t>
      </w:r>
      <w:r w:rsidRPr="00FB6E71">
        <w:rPr>
          <w:rFonts w:asciiTheme="minorHAnsi" w:hAnsiTheme="minorHAnsi"/>
          <w:bCs/>
          <w:color w:val="auto"/>
          <w:sz w:val="22"/>
          <w:szCs w:val="22"/>
        </w:rPr>
        <w:t>job</w:t>
      </w:r>
      <w:r>
        <w:rPr>
          <w:rFonts w:asciiTheme="minorHAnsi" w:hAnsiTheme="minorHAnsi"/>
          <w:bCs/>
          <w:color w:val="auto"/>
          <w:sz w:val="22"/>
          <w:szCs w:val="22"/>
        </w:rPr>
        <w:t>’</w:t>
      </w:r>
      <w:r w:rsidRPr="00FB6E71">
        <w:rPr>
          <w:rFonts w:asciiTheme="minorHAnsi" w:hAnsiTheme="minorHAnsi"/>
          <w:bCs/>
          <w:color w:val="auto"/>
          <w:sz w:val="22"/>
          <w:szCs w:val="22"/>
        </w:rPr>
        <w:t xml:space="preserve"> training during the first phase of the project. The PMC will ensure that the management of all aspects of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implementation including fiduciary, safeguards</w:t>
      </w:r>
      <w:r>
        <w:rPr>
          <w:rFonts w:asciiTheme="minorHAnsi" w:hAnsiTheme="minorHAnsi"/>
          <w:bCs/>
          <w:color w:val="auto"/>
          <w:sz w:val="22"/>
          <w:szCs w:val="22"/>
        </w:rPr>
        <w:t>,</w:t>
      </w:r>
      <w:r w:rsidRPr="00FB6E71">
        <w:rPr>
          <w:rFonts w:asciiTheme="minorHAnsi" w:hAnsiTheme="minorHAnsi"/>
          <w:bCs/>
          <w:color w:val="auto"/>
          <w:sz w:val="22"/>
          <w:szCs w:val="22"/>
        </w:rPr>
        <w:t xml:space="preserve"> and technical is done in accordance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guidelines of the World Bank and within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procedures of the state governments. The PMC will be mandated to help state governments internalize its managerial inputs so as to enhance the sustainability of the MCRP results. </w:t>
      </w:r>
    </w:p>
    <w:p w:rsidR="007F2DE7" w:rsidRPr="00FB6E71" w:rsidP="00302E0C">
      <w:pPr>
        <w:widowControl/>
        <w:numPr>
          <w:ilvl w:val="0"/>
          <w:numId w:val="45"/>
        </w:numPr>
        <w:spacing w:after="240"/>
        <w:ind w:left="1195" w:hanging="475"/>
        <w:jc w:val="both"/>
        <w:rPr>
          <w:rFonts w:asciiTheme="minorHAnsi" w:hAnsiTheme="minorHAnsi"/>
          <w:sz w:val="22"/>
          <w:szCs w:val="22"/>
        </w:rPr>
      </w:pPr>
      <w:r w:rsidRPr="00FB6E71">
        <w:rPr>
          <w:rFonts w:asciiTheme="minorHAnsi" w:hAnsiTheme="minorHAnsi"/>
          <w:sz w:val="22"/>
          <w:szCs w:val="22"/>
        </w:rPr>
        <w:t>On technical aspects, the PMC will support the PCUs and line departments in the definition of the design brief and consultants</w:t>
      </w:r>
      <w:r>
        <w:rPr>
          <w:rFonts w:asciiTheme="minorHAnsi" w:hAnsiTheme="minorHAnsi"/>
          <w:sz w:val="22"/>
          <w:szCs w:val="22"/>
        </w:rPr>
        <w:t>’</w:t>
      </w:r>
      <w:r w:rsidRPr="00FB6E71">
        <w:rPr>
          <w:rFonts w:asciiTheme="minorHAnsi" w:hAnsiTheme="minorHAnsi"/>
          <w:sz w:val="22"/>
          <w:szCs w:val="22"/>
        </w:rPr>
        <w:t xml:space="preserve"> terms of reference (ToR) for feasibility studies and detailed design and advice on monitoring the project with emphasis on the quality, cost</w:t>
      </w:r>
      <w:r>
        <w:rPr>
          <w:rFonts w:asciiTheme="minorHAnsi" w:hAnsiTheme="minorHAnsi"/>
          <w:sz w:val="22"/>
          <w:szCs w:val="22"/>
        </w:rPr>
        <w:t>,</w:t>
      </w:r>
      <w:r w:rsidRPr="00FB6E71">
        <w:rPr>
          <w:rFonts w:asciiTheme="minorHAnsi" w:hAnsiTheme="minorHAnsi"/>
          <w:sz w:val="22"/>
          <w:szCs w:val="22"/>
        </w:rPr>
        <w:t xml:space="preserve"> and progress of construction. </w:t>
      </w:r>
    </w:p>
    <w:p w:rsidR="007F2DE7" w:rsidRPr="00FB6E71" w:rsidP="00302E0C">
      <w:pPr>
        <w:widowControl/>
        <w:numPr>
          <w:ilvl w:val="0"/>
          <w:numId w:val="45"/>
        </w:numPr>
        <w:spacing w:after="240"/>
        <w:ind w:left="1195" w:hanging="475"/>
        <w:jc w:val="both"/>
        <w:rPr>
          <w:rFonts w:asciiTheme="minorHAnsi" w:hAnsiTheme="minorHAnsi"/>
          <w:sz w:val="22"/>
          <w:szCs w:val="22"/>
        </w:rPr>
      </w:pPr>
      <w:r w:rsidRPr="00FB6E71">
        <w:rPr>
          <w:rFonts w:asciiTheme="minorHAnsi" w:hAnsiTheme="minorHAnsi"/>
          <w:sz w:val="22"/>
          <w:szCs w:val="22"/>
        </w:rPr>
        <w:t>On fiduciary matters, the PMC w</w:t>
      </w:r>
      <w:r>
        <w:rPr>
          <w:rFonts w:asciiTheme="minorHAnsi" w:hAnsiTheme="minorHAnsi"/>
          <w:sz w:val="22"/>
          <w:szCs w:val="22"/>
        </w:rPr>
        <w:t>ill</w:t>
      </w:r>
      <w:r w:rsidRPr="00FB6E71">
        <w:rPr>
          <w:rFonts w:asciiTheme="minorHAnsi" w:hAnsiTheme="minorHAnsi"/>
          <w:sz w:val="22"/>
          <w:szCs w:val="22"/>
        </w:rPr>
        <w:t xml:space="preserve"> support the preparation of the PPs, </w:t>
      </w:r>
      <w:r>
        <w:rPr>
          <w:rFonts w:asciiTheme="minorHAnsi" w:hAnsiTheme="minorHAnsi"/>
          <w:sz w:val="22"/>
          <w:szCs w:val="22"/>
        </w:rPr>
        <w:t>p</w:t>
      </w:r>
      <w:r w:rsidRPr="00FB6E71">
        <w:rPr>
          <w:rFonts w:asciiTheme="minorHAnsi" w:hAnsiTheme="minorHAnsi"/>
          <w:sz w:val="22"/>
          <w:szCs w:val="22"/>
        </w:rPr>
        <w:t xml:space="preserve">roject </w:t>
      </w:r>
      <w:r>
        <w:rPr>
          <w:rFonts w:asciiTheme="minorHAnsi" w:hAnsiTheme="minorHAnsi"/>
          <w:sz w:val="22"/>
          <w:szCs w:val="22"/>
        </w:rPr>
        <w:t>w</w:t>
      </w:r>
      <w:r w:rsidRPr="00FB6E71">
        <w:rPr>
          <w:rFonts w:asciiTheme="minorHAnsi" w:hAnsiTheme="minorHAnsi"/>
          <w:sz w:val="22"/>
          <w:szCs w:val="22"/>
        </w:rPr>
        <w:t xml:space="preserve">ork </w:t>
      </w:r>
      <w:r>
        <w:rPr>
          <w:rFonts w:asciiTheme="minorHAnsi" w:hAnsiTheme="minorHAnsi"/>
          <w:sz w:val="22"/>
          <w:szCs w:val="22"/>
        </w:rPr>
        <w:t>p</w:t>
      </w:r>
      <w:r w:rsidRPr="00FB6E71">
        <w:rPr>
          <w:rFonts w:asciiTheme="minorHAnsi" w:hAnsiTheme="minorHAnsi"/>
          <w:sz w:val="22"/>
          <w:szCs w:val="22"/>
        </w:rPr>
        <w:t>lans</w:t>
      </w:r>
      <w:r>
        <w:rPr>
          <w:rFonts w:asciiTheme="minorHAnsi" w:hAnsiTheme="minorHAnsi"/>
          <w:sz w:val="22"/>
          <w:szCs w:val="22"/>
        </w:rPr>
        <w:t>,</w:t>
      </w:r>
      <w:r w:rsidRPr="00FB6E71">
        <w:rPr>
          <w:rFonts w:asciiTheme="minorHAnsi" w:hAnsiTheme="minorHAnsi"/>
          <w:sz w:val="22"/>
          <w:szCs w:val="22"/>
        </w:rPr>
        <w:t xml:space="preserve"> and </w:t>
      </w:r>
      <w:r>
        <w:rPr>
          <w:rFonts w:asciiTheme="minorHAnsi" w:hAnsiTheme="minorHAnsi"/>
          <w:sz w:val="22"/>
          <w:szCs w:val="22"/>
        </w:rPr>
        <w:t>p</w:t>
      </w:r>
      <w:r w:rsidRPr="00FB6E71">
        <w:rPr>
          <w:rFonts w:asciiTheme="minorHAnsi" w:hAnsiTheme="minorHAnsi"/>
          <w:sz w:val="22"/>
          <w:szCs w:val="22"/>
        </w:rPr>
        <w:t xml:space="preserve">rocurement </w:t>
      </w:r>
      <w:r>
        <w:rPr>
          <w:rFonts w:asciiTheme="minorHAnsi" w:hAnsiTheme="minorHAnsi"/>
          <w:sz w:val="22"/>
          <w:szCs w:val="22"/>
        </w:rPr>
        <w:t>s</w:t>
      </w:r>
      <w:r w:rsidRPr="00FB6E71">
        <w:rPr>
          <w:rFonts w:asciiTheme="minorHAnsi" w:hAnsiTheme="minorHAnsi"/>
          <w:sz w:val="22"/>
          <w:szCs w:val="22"/>
        </w:rPr>
        <w:t xml:space="preserve">chedules for </w:t>
      </w:r>
      <w:r>
        <w:rPr>
          <w:rFonts w:asciiTheme="minorHAnsi" w:hAnsiTheme="minorHAnsi"/>
          <w:sz w:val="22"/>
          <w:szCs w:val="22"/>
        </w:rPr>
        <w:t>g</w:t>
      </w:r>
      <w:r w:rsidRPr="00FB6E71">
        <w:rPr>
          <w:rFonts w:asciiTheme="minorHAnsi" w:hAnsiTheme="minorHAnsi"/>
          <w:sz w:val="22"/>
          <w:szCs w:val="22"/>
        </w:rPr>
        <w:t xml:space="preserve">oods and </w:t>
      </w:r>
      <w:r>
        <w:rPr>
          <w:rFonts w:asciiTheme="minorHAnsi" w:hAnsiTheme="minorHAnsi"/>
          <w:sz w:val="22"/>
          <w:szCs w:val="22"/>
        </w:rPr>
        <w:t>w</w:t>
      </w:r>
      <w:r w:rsidRPr="00FB6E71">
        <w:rPr>
          <w:rFonts w:asciiTheme="minorHAnsi" w:hAnsiTheme="minorHAnsi"/>
          <w:sz w:val="22"/>
          <w:szCs w:val="22"/>
        </w:rPr>
        <w:t>orks as well as bidding document for various packages contained in the PP according to agreed timelines. In addition, the PMC will support the yearly budget preparation according to the work plan and assist</w:t>
      </w:r>
      <w:r>
        <w:rPr>
          <w:rFonts w:asciiTheme="minorHAnsi" w:hAnsiTheme="minorHAnsi"/>
          <w:sz w:val="22"/>
          <w:szCs w:val="22"/>
        </w:rPr>
        <w:t xml:space="preserve"> in the</w:t>
      </w:r>
      <w:r w:rsidRPr="00FB6E71">
        <w:rPr>
          <w:rFonts w:asciiTheme="minorHAnsi" w:hAnsiTheme="minorHAnsi"/>
          <w:sz w:val="22"/>
          <w:szCs w:val="22"/>
        </w:rPr>
        <w:t xml:space="preserve"> FM according to the World Bank requirements.</w:t>
      </w:r>
    </w:p>
    <w:p w:rsidR="007F2DE7" w:rsidRPr="00FB6E71" w:rsidP="00302E0C">
      <w:pPr>
        <w:widowControl/>
        <w:numPr>
          <w:ilvl w:val="0"/>
          <w:numId w:val="45"/>
        </w:numPr>
        <w:spacing w:after="240"/>
        <w:ind w:left="1195" w:hanging="475"/>
        <w:jc w:val="both"/>
        <w:rPr>
          <w:rFonts w:asciiTheme="minorHAnsi" w:hAnsiTheme="minorHAnsi"/>
          <w:sz w:val="22"/>
          <w:szCs w:val="22"/>
        </w:rPr>
      </w:pPr>
      <w:r w:rsidRPr="00FB6E71">
        <w:rPr>
          <w:rFonts w:asciiTheme="minorHAnsi" w:hAnsiTheme="minorHAnsi"/>
          <w:sz w:val="22"/>
          <w:szCs w:val="22"/>
        </w:rPr>
        <w:t xml:space="preserve">On safeguards, the PMC will assist in ensuring that subprojects are implemented in accordance </w:t>
      </w:r>
      <w:r>
        <w:rPr>
          <w:rFonts w:asciiTheme="minorHAnsi" w:hAnsiTheme="minorHAnsi"/>
          <w:sz w:val="22"/>
          <w:szCs w:val="22"/>
        </w:rPr>
        <w:t>with</w:t>
      </w:r>
      <w:r w:rsidRPr="00FB6E71">
        <w:rPr>
          <w:rFonts w:asciiTheme="minorHAnsi" w:hAnsiTheme="minorHAnsi"/>
          <w:sz w:val="22"/>
          <w:szCs w:val="22"/>
        </w:rPr>
        <w:t xml:space="preserve"> best practices and guidelines set out by the SAP and will draft the relevant consultants’ ToR for the preparation and implementation of site</w:t>
      </w:r>
      <w:r>
        <w:rPr>
          <w:rFonts w:asciiTheme="minorHAnsi" w:hAnsiTheme="minorHAnsi"/>
          <w:sz w:val="22"/>
          <w:szCs w:val="22"/>
        </w:rPr>
        <w:t>-</w:t>
      </w:r>
      <w:r w:rsidRPr="00FB6E71">
        <w:rPr>
          <w:rFonts w:asciiTheme="minorHAnsi" w:hAnsiTheme="minorHAnsi"/>
          <w:sz w:val="22"/>
          <w:szCs w:val="22"/>
        </w:rPr>
        <w:t xml:space="preserve">specific ESMPs and/or ESIAs and RAPs/ARAPs. </w:t>
      </w: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Detailed Component-level Implementation Arrangements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For Component 1, project implementation will be carried out by the </w:t>
      </w:r>
      <w:r>
        <w:rPr>
          <w:rFonts w:asciiTheme="minorHAnsi" w:hAnsiTheme="minorHAnsi"/>
          <w:b/>
          <w:bCs/>
          <w:color w:val="auto"/>
          <w:sz w:val="22"/>
          <w:szCs w:val="22"/>
        </w:rPr>
        <w:t>s</w:t>
      </w:r>
      <w:r w:rsidRPr="00FB6E71">
        <w:rPr>
          <w:rFonts w:asciiTheme="minorHAnsi" w:hAnsiTheme="minorHAnsi"/>
          <w:b/>
          <w:bCs/>
          <w:color w:val="auto"/>
          <w:sz w:val="22"/>
          <w:szCs w:val="22"/>
        </w:rPr>
        <w:t>tate PCUs.</w:t>
      </w:r>
      <w:r w:rsidRPr="00FB6E71">
        <w:rPr>
          <w:rFonts w:asciiTheme="minorHAnsi" w:hAnsiTheme="minorHAnsi"/>
          <w:bCs/>
          <w:color w:val="auto"/>
          <w:sz w:val="22"/>
          <w:szCs w:val="22"/>
        </w:rPr>
        <w:t xml:space="preserve"> T</w:t>
      </w:r>
      <w:r w:rsidRPr="00FB6E71">
        <w:rPr>
          <w:rFonts w:asciiTheme="minorHAnsi" w:hAnsiTheme="minorHAnsi"/>
          <w:sz w:val="22"/>
          <w:szCs w:val="22"/>
        </w:rPr>
        <w:t xml:space="preserve">aking into account the intersectoral nature of the component and that functions such as return and reintegration of IDP or social cohesion fall beyond the mandate of a single </w:t>
      </w:r>
      <w:r>
        <w:rPr>
          <w:rFonts w:asciiTheme="minorHAnsi" w:hAnsiTheme="minorHAnsi"/>
          <w:sz w:val="22"/>
          <w:szCs w:val="22"/>
        </w:rPr>
        <w:t>m</w:t>
      </w:r>
      <w:r w:rsidRPr="00FB6E71">
        <w:rPr>
          <w:rFonts w:asciiTheme="minorHAnsi" w:hAnsiTheme="minorHAnsi"/>
          <w:sz w:val="22"/>
          <w:szCs w:val="22"/>
        </w:rPr>
        <w:t>inistry, the PCUs will be responsible for carrying out technical functions of site identification, development of bidding documents</w:t>
      </w:r>
      <w:r>
        <w:rPr>
          <w:rFonts w:asciiTheme="minorHAnsi" w:hAnsiTheme="minorHAnsi"/>
          <w:sz w:val="22"/>
          <w:szCs w:val="22"/>
        </w:rPr>
        <w:t>,</w:t>
      </w:r>
      <w:r w:rsidRPr="00FB6E71">
        <w:rPr>
          <w:rFonts w:asciiTheme="minorHAnsi" w:hAnsiTheme="minorHAnsi"/>
          <w:sz w:val="22"/>
          <w:szCs w:val="22"/>
        </w:rPr>
        <w:t xml:space="preserve"> and technical assurance and oversight. Currently</w:t>
      </w:r>
      <w:r>
        <w:rPr>
          <w:rFonts w:asciiTheme="minorHAnsi" w:hAnsiTheme="minorHAnsi"/>
          <w:sz w:val="22"/>
          <w:szCs w:val="22"/>
        </w:rPr>
        <w:t>,</w:t>
      </w:r>
      <w:r w:rsidRPr="00FB6E71">
        <w:rPr>
          <w:rFonts w:asciiTheme="minorHAnsi" w:hAnsiTheme="minorHAnsi"/>
          <w:sz w:val="22"/>
          <w:szCs w:val="22"/>
        </w:rPr>
        <w:t xml:space="preserve"> there is no multi</w:t>
      </w:r>
      <w:r>
        <w:rPr>
          <w:rFonts w:asciiTheme="minorHAnsi" w:hAnsiTheme="minorHAnsi"/>
          <w:sz w:val="22"/>
          <w:szCs w:val="22"/>
        </w:rPr>
        <w:t>-</w:t>
      </w:r>
      <w:r w:rsidRPr="00FB6E71">
        <w:rPr>
          <w:rFonts w:asciiTheme="minorHAnsi" w:hAnsiTheme="minorHAnsi"/>
          <w:sz w:val="22"/>
          <w:szCs w:val="22"/>
        </w:rPr>
        <w:t>sector implementing agency in all states in charge of peace building, reconciliation</w:t>
      </w:r>
      <w:r>
        <w:rPr>
          <w:rFonts w:asciiTheme="minorHAnsi" w:hAnsiTheme="minorHAnsi"/>
          <w:sz w:val="22"/>
          <w:szCs w:val="22"/>
        </w:rPr>
        <w:t>,</w:t>
      </w:r>
      <w:r w:rsidRPr="00FB6E71">
        <w:rPr>
          <w:rFonts w:asciiTheme="minorHAnsi" w:hAnsiTheme="minorHAnsi"/>
          <w:sz w:val="22"/>
          <w:szCs w:val="22"/>
        </w:rPr>
        <w:t xml:space="preserve"> and return and reintegration of forcibly displaced persons, given that these are relatively new issues in the </w:t>
      </w:r>
      <w:r>
        <w:rPr>
          <w:rFonts w:asciiTheme="minorHAnsi" w:hAnsiTheme="minorHAnsi"/>
          <w:sz w:val="22"/>
          <w:szCs w:val="22"/>
        </w:rPr>
        <w:t>s</w:t>
      </w:r>
      <w:r w:rsidRPr="00FB6E71">
        <w:rPr>
          <w:rFonts w:asciiTheme="minorHAnsi" w:hAnsiTheme="minorHAnsi"/>
          <w:sz w:val="22"/>
          <w:szCs w:val="22"/>
        </w:rPr>
        <w:t>tates. The Ministries of Women Affairs and Social Development, Youth and Sports, Local Government</w:t>
      </w:r>
      <w:r>
        <w:rPr>
          <w:rFonts w:asciiTheme="minorHAnsi" w:hAnsiTheme="minorHAnsi"/>
          <w:sz w:val="22"/>
          <w:szCs w:val="22"/>
        </w:rPr>
        <w:t>,</w:t>
      </w:r>
      <w:r w:rsidRPr="00FB6E71">
        <w:rPr>
          <w:rFonts w:asciiTheme="minorHAnsi" w:hAnsiTheme="minorHAnsi"/>
          <w:sz w:val="22"/>
          <w:szCs w:val="22"/>
        </w:rPr>
        <w:t xml:space="preserve"> and Chieftaincy Affairs and agencies such as NEMA and State </w:t>
      </w:r>
      <w:r w:rsidRPr="00FB6E71">
        <w:rPr>
          <w:rFonts w:asciiTheme="minorHAnsi" w:hAnsiTheme="minorHAnsi"/>
          <w:bCs/>
          <w:color w:val="auto"/>
          <w:sz w:val="22"/>
          <w:szCs w:val="22"/>
        </w:rPr>
        <w:t>Emergency Management Agencies</w:t>
      </w:r>
      <w:r w:rsidRPr="00FB6E71">
        <w:rPr>
          <w:rFonts w:asciiTheme="minorHAnsi" w:hAnsiTheme="minorHAnsi"/>
          <w:sz w:val="22"/>
          <w:szCs w:val="22"/>
        </w:rPr>
        <w:t xml:space="preserve"> perform some technical functions on different areas covered by the component. Yet, capacity in some sectoral ministries is limited, translating into significant administrative delays and poor coordination among existing government institutions</w:t>
      </w:r>
      <w:r>
        <w:rPr>
          <w:rFonts w:asciiTheme="minorHAnsi" w:hAnsiTheme="minorHAnsi"/>
          <w:sz w:val="22"/>
          <w:szCs w:val="22"/>
        </w:rPr>
        <w:t>,</w:t>
      </w:r>
      <w:r w:rsidRPr="00FB6E71">
        <w:rPr>
          <w:rFonts w:asciiTheme="minorHAnsi" w:hAnsiTheme="minorHAnsi"/>
          <w:sz w:val="22"/>
          <w:szCs w:val="22"/>
        </w:rPr>
        <w:t xml:space="preserve"> which will affect the timely and effective implementation of the project. Institutional mandates on the activities covered by the component are also mixed and</w:t>
      </w:r>
      <w:r>
        <w:rPr>
          <w:rFonts w:asciiTheme="minorHAnsi" w:hAnsiTheme="minorHAnsi"/>
          <w:sz w:val="22"/>
          <w:szCs w:val="22"/>
        </w:rPr>
        <w:t>,</w:t>
      </w:r>
      <w:r w:rsidRPr="00FB6E71">
        <w:rPr>
          <w:rFonts w:asciiTheme="minorHAnsi" w:hAnsiTheme="minorHAnsi"/>
          <w:sz w:val="22"/>
          <w:szCs w:val="22"/>
        </w:rPr>
        <w:t xml:space="preserve"> in some cases, unclear. To facilitate implementation, the PCUs w</w:t>
      </w:r>
      <w:r>
        <w:rPr>
          <w:rFonts w:asciiTheme="minorHAnsi" w:hAnsiTheme="minorHAnsi"/>
          <w:sz w:val="22"/>
          <w:szCs w:val="22"/>
        </w:rPr>
        <w:t>ill</w:t>
      </w:r>
      <w:r w:rsidRPr="00FB6E71">
        <w:rPr>
          <w:rFonts w:asciiTheme="minorHAnsi" w:hAnsiTheme="minorHAnsi"/>
          <w:sz w:val="22"/>
          <w:szCs w:val="22"/>
        </w:rPr>
        <w:t xml:space="preserve"> coordinate the provision of inputs of these key ministries in relevant issues through the project </w:t>
      </w:r>
      <w:r>
        <w:rPr>
          <w:rFonts w:asciiTheme="minorHAnsi" w:hAnsiTheme="minorHAnsi"/>
          <w:sz w:val="22"/>
          <w:szCs w:val="22"/>
        </w:rPr>
        <w:t>s</w:t>
      </w:r>
      <w:r w:rsidRPr="00FB6E71">
        <w:rPr>
          <w:rFonts w:asciiTheme="minorHAnsi" w:hAnsiTheme="minorHAnsi"/>
          <w:sz w:val="22"/>
          <w:szCs w:val="22"/>
        </w:rPr>
        <w:t xml:space="preserve">teering </w:t>
      </w:r>
      <w:r>
        <w:rPr>
          <w:rFonts w:asciiTheme="minorHAnsi" w:hAnsiTheme="minorHAnsi"/>
          <w:sz w:val="22"/>
          <w:szCs w:val="22"/>
        </w:rPr>
        <w:t>c</w:t>
      </w:r>
      <w:r w:rsidRPr="00FB6E71">
        <w:rPr>
          <w:rFonts w:asciiTheme="minorHAnsi" w:hAnsiTheme="minorHAnsi"/>
          <w:sz w:val="22"/>
          <w:szCs w:val="22"/>
        </w:rPr>
        <w:t xml:space="preserve">ommittee and </w:t>
      </w:r>
      <w:r>
        <w:rPr>
          <w:rFonts w:asciiTheme="minorHAnsi" w:hAnsiTheme="minorHAnsi"/>
          <w:sz w:val="22"/>
          <w:szCs w:val="22"/>
        </w:rPr>
        <w:t xml:space="preserve">will </w:t>
      </w:r>
      <w:r w:rsidRPr="00FB6E71">
        <w:rPr>
          <w:rFonts w:asciiTheme="minorHAnsi" w:hAnsiTheme="minorHAnsi"/>
          <w:sz w:val="22"/>
          <w:szCs w:val="22"/>
        </w:rPr>
        <w:t xml:space="preserve">provide periodic reports of the project’s physical and financial activities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For Component 2, project implementation will be carried out by the relevant sectoral/technical MDAs in each </w:t>
      </w:r>
      <w:r>
        <w:rPr>
          <w:rFonts w:asciiTheme="minorHAnsi" w:hAnsiTheme="minorHAnsi"/>
          <w:b/>
          <w:bCs/>
          <w:color w:val="auto"/>
          <w:sz w:val="22"/>
          <w:szCs w:val="22"/>
        </w:rPr>
        <w:t>s</w:t>
      </w:r>
      <w:r w:rsidRPr="00FB6E71">
        <w:rPr>
          <w:rFonts w:asciiTheme="minorHAnsi" w:hAnsiTheme="minorHAnsi"/>
          <w:b/>
          <w:bCs/>
          <w:color w:val="auto"/>
          <w:sz w:val="22"/>
          <w:szCs w:val="22"/>
        </w:rPr>
        <w:t>tate.</w:t>
      </w:r>
      <w:r w:rsidRPr="00FB6E71">
        <w:rPr>
          <w:rFonts w:asciiTheme="minorHAnsi" w:hAnsiTheme="minorHAnsi"/>
          <w:bCs/>
          <w:color w:val="auto"/>
          <w:sz w:val="22"/>
          <w:szCs w:val="22"/>
        </w:rPr>
        <w:t xml:space="preserve"> The project will finance the operating costs of the respective project teams in these MDAs to ensure that existing capacity and organizational structures are used and enhanced where necessary. The staff working on the project will report to </w:t>
      </w:r>
      <w:r>
        <w:rPr>
          <w:rFonts w:asciiTheme="minorHAnsi" w:hAnsiTheme="minorHAnsi"/>
          <w:bCs/>
          <w:color w:val="auto"/>
          <w:sz w:val="22"/>
          <w:szCs w:val="22"/>
        </w:rPr>
        <w:t xml:space="preserve">the </w:t>
      </w:r>
      <w:r w:rsidRPr="00FB6E71">
        <w:rPr>
          <w:rFonts w:asciiTheme="minorHAnsi" w:hAnsiTheme="minorHAnsi"/>
          <w:bCs/>
          <w:color w:val="auto"/>
          <w:sz w:val="22"/>
          <w:szCs w:val="22"/>
        </w:rPr>
        <w:t>respective line agency hierarchy on a da</w:t>
      </w:r>
      <w:r>
        <w:rPr>
          <w:rFonts w:asciiTheme="minorHAnsi" w:hAnsiTheme="minorHAnsi"/>
          <w:bCs/>
          <w:color w:val="auto"/>
          <w:sz w:val="22"/>
          <w:szCs w:val="22"/>
        </w:rPr>
        <w:t>il</w:t>
      </w:r>
      <w:r w:rsidRPr="00FB6E71">
        <w:rPr>
          <w:rFonts w:asciiTheme="minorHAnsi" w:hAnsiTheme="minorHAnsi"/>
          <w:bCs/>
          <w:color w:val="auto"/>
          <w:sz w:val="22"/>
          <w:szCs w:val="22"/>
        </w:rPr>
        <w:t xml:space="preserve">y basis for technical implementation and report back to the PCUs on a regular basis for overall project implementation progress. </w:t>
      </w:r>
    </w:p>
    <w:p w:rsidR="007F2DE7" w:rsidRPr="00601647" w:rsidP="00302E0C">
      <w:pPr>
        <w:pStyle w:val="ListParagraph"/>
        <w:widowControl/>
        <w:numPr>
          <w:ilvl w:val="1"/>
          <w:numId w:val="44"/>
        </w:numPr>
        <w:spacing w:after="240"/>
        <w:ind w:left="1195" w:hanging="475"/>
        <w:contextualSpacing w:val="0"/>
        <w:jc w:val="both"/>
        <w:rPr>
          <w:rFonts w:asciiTheme="minorHAnsi" w:hAnsiTheme="minorHAnsi"/>
          <w:sz w:val="22"/>
          <w:szCs w:val="22"/>
        </w:rPr>
      </w:pPr>
      <w:r w:rsidRPr="00FB6E71">
        <w:rPr>
          <w:rFonts w:asciiTheme="minorHAnsi" w:hAnsiTheme="minorHAnsi"/>
          <w:b/>
          <w:sz w:val="22"/>
        </w:rPr>
        <w:t>Transport</w:t>
      </w:r>
      <w:r>
        <w:rPr>
          <w:rFonts w:asciiTheme="minorHAnsi" w:hAnsiTheme="minorHAnsi"/>
          <w:b/>
          <w:sz w:val="22"/>
        </w:rPr>
        <w:t>.</w:t>
      </w:r>
      <w:r w:rsidRPr="00FB6E71">
        <w:rPr>
          <w:rFonts w:asciiTheme="minorHAnsi" w:hAnsiTheme="minorHAnsi"/>
          <w:sz w:val="22"/>
        </w:rPr>
        <w:t xml:space="preserve"> Transport interventions w</w:t>
      </w:r>
      <w:r>
        <w:rPr>
          <w:rFonts w:asciiTheme="minorHAnsi" w:hAnsiTheme="minorHAnsi"/>
          <w:sz w:val="22"/>
        </w:rPr>
        <w:t>ill</w:t>
      </w:r>
      <w:r w:rsidRPr="00FB6E71">
        <w:rPr>
          <w:rFonts w:asciiTheme="minorHAnsi" w:hAnsiTheme="minorHAnsi"/>
          <w:sz w:val="22"/>
        </w:rPr>
        <w:t xml:space="preserve"> be aligned with each state’s rural development policies and </w:t>
      </w:r>
      <w:r>
        <w:rPr>
          <w:rFonts w:asciiTheme="minorHAnsi" w:hAnsiTheme="minorHAnsi"/>
          <w:sz w:val="22"/>
        </w:rPr>
        <w:t xml:space="preserve">will be </w:t>
      </w:r>
      <w:r w:rsidRPr="00FB6E71">
        <w:rPr>
          <w:rFonts w:asciiTheme="minorHAnsi" w:hAnsiTheme="minorHAnsi"/>
          <w:sz w:val="22"/>
        </w:rPr>
        <w:t xml:space="preserve">implemented by the state ministry in charge of rural roads (for example, state Ministry of Agriculture and Rural Development or state Ministry of Public Works, depending on the state). Given </w:t>
      </w:r>
      <w:r>
        <w:rPr>
          <w:rFonts w:asciiTheme="minorHAnsi" w:hAnsiTheme="minorHAnsi"/>
          <w:sz w:val="22"/>
        </w:rPr>
        <w:t xml:space="preserve">the </w:t>
      </w:r>
      <w:r w:rsidRPr="00FB6E71">
        <w:rPr>
          <w:rFonts w:asciiTheme="minorHAnsi" w:hAnsiTheme="minorHAnsi"/>
          <w:sz w:val="22"/>
        </w:rPr>
        <w:t>capacity limitations, these state-level entities w</w:t>
      </w:r>
      <w:r>
        <w:rPr>
          <w:rFonts w:asciiTheme="minorHAnsi" w:hAnsiTheme="minorHAnsi"/>
          <w:sz w:val="22"/>
        </w:rPr>
        <w:t>ill</w:t>
      </w:r>
      <w:r w:rsidRPr="00FB6E71">
        <w:rPr>
          <w:rFonts w:asciiTheme="minorHAnsi" w:hAnsiTheme="minorHAnsi"/>
          <w:sz w:val="22"/>
        </w:rPr>
        <w:t xml:space="preserve"> need strengthening for effective project implementation. Toward that end, the MCRP w</w:t>
      </w:r>
      <w:r>
        <w:rPr>
          <w:rFonts w:asciiTheme="minorHAnsi" w:hAnsiTheme="minorHAnsi"/>
          <w:sz w:val="22"/>
        </w:rPr>
        <w:t>ill</w:t>
      </w:r>
      <w:r w:rsidRPr="00FB6E71">
        <w:rPr>
          <w:rFonts w:asciiTheme="minorHAnsi" w:hAnsiTheme="minorHAnsi"/>
          <w:sz w:val="22"/>
        </w:rPr>
        <w:t xml:space="preserve"> look to profit from the lessons learned from and the capacity developed by the </w:t>
      </w:r>
      <w:r w:rsidRPr="00FB6E71">
        <w:rPr>
          <w:rFonts w:asciiTheme="minorHAnsi" w:hAnsiTheme="minorHAnsi"/>
          <w:sz w:val="22"/>
          <w:szCs w:val="22"/>
        </w:rPr>
        <w:t xml:space="preserve">World Bank’s </w:t>
      </w:r>
      <w:r w:rsidRPr="00FB6E71">
        <w:rPr>
          <w:rFonts w:asciiTheme="minorHAnsi" w:hAnsiTheme="minorHAnsi"/>
          <w:sz w:val="22"/>
        </w:rPr>
        <w:t xml:space="preserve">RAMP. The RAMP </w:t>
      </w:r>
      <w:r>
        <w:rPr>
          <w:rFonts w:asciiTheme="minorHAnsi" w:hAnsiTheme="minorHAnsi"/>
          <w:sz w:val="22"/>
        </w:rPr>
        <w:t>i</w:t>
      </w:r>
      <w:r w:rsidRPr="00FB6E71">
        <w:rPr>
          <w:rFonts w:asciiTheme="minorHAnsi" w:hAnsiTheme="minorHAnsi"/>
          <w:sz w:val="22"/>
        </w:rPr>
        <w:t xml:space="preserve">mplementation </w:t>
      </w:r>
      <w:r>
        <w:rPr>
          <w:rFonts w:asciiTheme="minorHAnsi" w:hAnsiTheme="minorHAnsi"/>
          <w:sz w:val="22"/>
        </w:rPr>
        <w:t>u</w:t>
      </w:r>
      <w:r w:rsidRPr="00FB6E71">
        <w:rPr>
          <w:rFonts w:asciiTheme="minorHAnsi" w:hAnsiTheme="minorHAnsi"/>
          <w:sz w:val="22"/>
        </w:rPr>
        <w:t xml:space="preserve">nits are already staffed with key operational professionals including civil servants and consultants (for example, road engineers, procurement specialist, accountant, M&amp;E specialist, </w:t>
      </w:r>
      <w:r>
        <w:rPr>
          <w:rFonts w:asciiTheme="minorHAnsi" w:hAnsiTheme="minorHAnsi"/>
          <w:sz w:val="22"/>
        </w:rPr>
        <w:t xml:space="preserve">and </w:t>
      </w:r>
      <w:r w:rsidRPr="00FB6E71">
        <w:rPr>
          <w:rFonts w:asciiTheme="minorHAnsi" w:hAnsiTheme="minorHAnsi"/>
          <w:sz w:val="22"/>
        </w:rPr>
        <w:t xml:space="preserve">environmentalist) and led by a </w:t>
      </w:r>
      <w:r>
        <w:rPr>
          <w:rFonts w:asciiTheme="minorHAnsi" w:hAnsiTheme="minorHAnsi"/>
          <w:sz w:val="22"/>
        </w:rPr>
        <w:t>s</w:t>
      </w:r>
      <w:r w:rsidRPr="00FB6E71">
        <w:rPr>
          <w:rFonts w:asciiTheme="minorHAnsi" w:hAnsiTheme="minorHAnsi"/>
          <w:sz w:val="22"/>
        </w:rPr>
        <w:t xml:space="preserve">tate </w:t>
      </w:r>
      <w:r>
        <w:rPr>
          <w:rFonts w:asciiTheme="minorHAnsi" w:hAnsiTheme="minorHAnsi"/>
          <w:sz w:val="22"/>
        </w:rPr>
        <w:t>c</w:t>
      </w:r>
      <w:r w:rsidRPr="00FB6E71">
        <w:rPr>
          <w:rFonts w:asciiTheme="minorHAnsi" w:hAnsiTheme="minorHAnsi"/>
          <w:sz w:val="22"/>
        </w:rPr>
        <w:t xml:space="preserve">oordinator. The key responsibilities of the </w:t>
      </w:r>
      <w:r>
        <w:rPr>
          <w:rFonts w:asciiTheme="minorHAnsi" w:hAnsiTheme="minorHAnsi"/>
          <w:sz w:val="22"/>
        </w:rPr>
        <w:t>i</w:t>
      </w:r>
      <w:r w:rsidRPr="00FB6E71">
        <w:rPr>
          <w:rFonts w:asciiTheme="minorHAnsi" w:hAnsiTheme="minorHAnsi"/>
          <w:sz w:val="22"/>
        </w:rPr>
        <w:t xml:space="preserve">mplementation </w:t>
      </w:r>
      <w:r>
        <w:rPr>
          <w:rFonts w:asciiTheme="minorHAnsi" w:hAnsiTheme="minorHAnsi"/>
          <w:sz w:val="22"/>
        </w:rPr>
        <w:t>u</w:t>
      </w:r>
      <w:r w:rsidRPr="00FB6E71">
        <w:rPr>
          <w:rFonts w:asciiTheme="minorHAnsi" w:hAnsiTheme="minorHAnsi"/>
          <w:sz w:val="22"/>
        </w:rPr>
        <w:t xml:space="preserve">nits include </w:t>
      </w:r>
    </w:p>
    <w:p w:rsidR="007F2DE7" w:rsidRPr="00601647" w:rsidP="00302E0C">
      <w:pPr>
        <w:pStyle w:val="ListParagraph"/>
        <w:widowControl/>
        <w:numPr>
          <w:ilvl w:val="1"/>
          <w:numId w:val="57"/>
        </w:numPr>
        <w:spacing w:after="240"/>
        <w:ind w:left="1670" w:hanging="475"/>
        <w:contextualSpacing w:val="0"/>
        <w:jc w:val="both"/>
        <w:rPr>
          <w:rFonts w:asciiTheme="minorHAnsi" w:hAnsiTheme="minorHAnsi"/>
          <w:sz w:val="22"/>
          <w:szCs w:val="22"/>
        </w:rPr>
      </w:pPr>
      <w:r>
        <w:rPr>
          <w:rFonts w:asciiTheme="minorHAnsi" w:hAnsiTheme="minorHAnsi"/>
          <w:sz w:val="22"/>
        </w:rPr>
        <w:t>M</w:t>
      </w:r>
      <w:r w:rsidRPr="00FB6E71">
        <w:rPr>
          <w:rFonts w:asciiTheme="minorHAnsi" w:hAnsiTheme="minorHAnsi"/>
          <w:sz w:val="22"/>
        </w:rPr>
        <w:t xml:space="preserve">anagement of </w:t>
      </w:r>
      <w:r>
        <w:rPr>
          <w:rFonts w:asciiTheme="minorHAnsi" w:hAnsiTheme="minorHAnsi"/>
          <w:sz w:val="22"/>
        </w:rPr>
        <w:t xml:space="preserve">the </w:t>
      </w:r>
      <w:r w:rsidRPr="00FB6E71">
        <w:rPr>
          <w:rFonts w:asciiTheme="minorHAnsi" w:hAnsiTheme="minorHAnsi"/>
          <w:sz w:val="22"/>
        </w:rPr>
        <w:t xml:space="preserve">project activities during </w:t>
      </w:r>
      <w:r>
        <w:rPr>
          <w:rFonts w:asciiTheme="minorHAnsi" w:hAnsiTheme="minorHAnsi"/>
          <w:sz w:val="22"/>
        </w:rPr>
        <w:t xml:space="preserve">the </w:t>
      </w:r>
      <w:r w:rsidRPr="00FB6E71">
        <w:rPr>
          <w:rFonts w:asciiTheme="minorHAnsi" w:hAnsiTheme="minorHAnsi"/>
          <w:sz w:val="22"/>
        </w:rPr>
        <w:t xml:space="preserve">implementation phase; </w:t>
      </w:r>
    </w:p>
    <w:p w:rsidR="007F2DE7" w:rsidRPr="00601647" w:rsidP="00302E0C">
      <w:pPr>
        <w:pStyle w:val="ListParagraph"/>
        <w:widowControl/>
        <w:numPr>
          <w:ilvl w:val="1"/>
          <w:numId w:val="57"/>
        </w:numPr>
        <w:spacing w:after="240"/>
        <w:ind w:left="1670" w:hanging="475"/>
        <w:contextualSpacing w:val="0"/>
        <w:jc w:val="both"/>
        <w:rPr>
          <w:rFonts w:asciiTheme="minorHAnsi" w:hAnsiTheme="minorHAnsi"/>
          <w:sz w:val="22"/>
          <w:szCs w:val="22"/>
        </w:rPr>
      </w:pPr>
      <w:r>
        <w:rPr>
          <w:rFonts w:asciiTheme="minorHAnsi" w:hAnsiTheme="minorHAnsi"/>
          <w:sz w:val="22"/>
        </w:rPr>
        <w:t>E</w:t>
      </w:r>
      <w:r w:rsidRPr="00FB6E71">
        <w:rPr>
          <w:rFonts w:asciiTheme="minorHAnsi" w:hAnsiTheme="minorHAnsi"/>
          <w:sz w:val="22"/>
        </w:rPr>
        <w:t xml:space="preserve">nsuring the sustainability of </w:t>
      </w:r>
      <w:r>
        <w:rPr>
          <w:rFonts w:asciiTheme="minorHAnsi" w:hAnsiTheme="minorHAnsi"/>
          <w:sz w:val="22"/>
        </w:rPr>
        <w:t xml:space="preserve">the </w:t>
      </w:r>
      <w:r w:rsidRPr="00FB6E71">
        <w:rPr>
          <w:rFonts w:asciiTheme="minorHAnsi" w:hAnsiTheme="minorHAnsi"/>
          <w:sz w:val="22"/>
        </w:rPr>
        <w:t>project</w:t>
      </w:r>
      <w:r>
        <w:rPr>
          <w:rFonts w:asciiTheme="minorHAnsi" w:hAnsiTheme="minorHAnsi"/>
          <w:sz w:val="22"/>
        </w:rPr>
        <w:t>’</w:t>
      </w:r>
      <w:r w:rsidRPr="00FB6E71">
        <w:rPr>
          <w:rFonts w:asciiTheme="minorHAnsi" w:hAnsiTheme="minorHAnsi"/>
          <w:sz w:val="22"/>
        </w:rPr>
        <w:t>s rural transport investments through designing, implementing</w:t>
      </w:r>
      <w:r>
        <w:rPr>
          <w:rFonts w:asciiTheme="minorHAnsi" w:hAnsiTheme="minorHAnsi"/>
          <w:sz w:val="22"/>
        </w:rPr>
        <w:t>,</w:t>
      </w:r>
      <w:r w:rsidRPr="00FB6E71">
        <w:rPr>
          <w:rFonts w:asciiTheme="minorHAnsi" w:hAnsiTheme="minorHAnsi"/>
          <w:sz w:val="22"/>
        </w:rPr>
        <w:t xml:space="preserve"> and promoting sound road maintenance practices, in coordination with LGAs</w:t>
      </w:r>
      <w:r>
        <w:rPr>
          <w:rFonts w:asciiTheme="minorHAnsi" w:hAnsiTheme="minorHAnsi"/>
          <w:sz w:val="22"/>
        </w:rPr>
        <w:t>,</w:t>
      </w:r>
      <w:r w:rsidRPr="00FB6E71">
        <w:rPr>
          <w:rFonts w:asciiTheme="minorHAnsi" w:hAnsiTheme="minorHAnsi"/>
          <w:sz w:val="22"/>
        </w:rPr>
        <w:t xml:space="preserve"> whenever appropriate; </w:t>
      </w:r>
    </w:p>
    <w:p w:rsidR="007F2DE7" w:rsidRPr="00601647" w:rsidP="00302E0C">
      <w:pPr>
        <w:pStyle w:val="ListParagraph"/>
        <w:widowControl/>
        <w:numPr>
          <w:ilvl w:val="1"/>
          <w:numId w:val="57"/>
        </w:numPr>
        <w:spacing w:after="240"/>
        <w:ind w:left="1670" w:hanging="475"/>
        <w:contextualSpacing w:val="0"/>
        <w:jc w:val="both"/>
        <w:rPr>
          <w:rFonts w:asciiTheme="minorHAnsi" w:hAnsiTheme="minorHAnsi"/>
          <w:sz w:val="22"/>
          <w:szCs w:val="22"/>
        </w:rPr>
      </w:pPr>
      <w:r>
        <w:rPr>
          <w:rFonts w:asciiTheme="minorHAnsi" w:hAnsiTheme="minorHAnsi"/>
          <w:sz w:val="22"/>
        </w:rPr>
        <w:t>E</w:t>
      </w:r>
      <w:r w:rsidRPr="00FB6E71">
        <w:rPr>
          <w:rFonts w:asciiTheme="minorHAnsi" w:hAnsiTheme="minorHAnsi"/>
          <w:sz w:val="22"/>
        </w:rPr>
        <w:t xml:space="preserve">nsuring the alignment of </w:t>
      </w:r>
      <w:r>
        <w:rPr>
          <w:rFonts w:asciiTheme="minorHAnsi" w:hAnsiTheme="minorHAnsi"/>
          <w:sz w:val="22"/>
        </w:rPr>
        <w:t xml:space="preserve">the </w:t>
      </w:r>
      <w:r w:rsidRPr="00FB6E71">
        <w:rPr>
          <w:rFonts w:asciiTheme="minorHAnsi" w:hAnsiTheme="minorHAnsi"/>
          <w:sz w:val="22"/>
        </w:rPr>
        <w:t>project activities with the state</w:t>
      </w:r>
      <w:r>
        <w:rPr>
          <w:rFonts w:asciiTheme="minorHAnsi" w:hAnsiTheme="minorHAnsi"/>
          <w:sz w:val="22"/>
        </w:rPr>
        <w:t>’</w:t>
      </w:r>
      <w:r w:rsidRPr="00FB6E71">
        <w:rPr>
          <w:rFonts w:asciiTheme="minorHAnsi" w:hAnsiTheme="minorHAnsi"/>
          <w:sz w:val="22"/>
        </w:rPr>
        <w:t>s rural development policies and contribut</w:t>
      </w:r>
      <w:r>
        <w:rPr>
          <w:rFonts w:asciiTheme="minorHAnsi" w:hAnsiTheme="minorHAnsi"/>
          <w:sz w:val="22"/>
        </w:rPr>
        <w:t>ing</w:t>
      </w:r>
      <w:r w:rsidRPr="00FB6E71">
        <w:rPr>
          <w:rFonts w:asciiTheme="minorHAnsi" w:hAnsiTheme="minorHAnsi"/>
          <w:sz w:val="22"/>
        </w:rPr>
        <w:t xml:space="preserve"> to the design and implementation of sound rural transport policies at the state level; and </w:t>
      </w:r>
    </w:p>
    <w:p w:rsidR="007F2DE7" w:rsidRPr="00FB6E71" w:rsidP="00302E0C">
      <w:pPr>
        <w:pStyle w:val="ListParagraph"/>
        <w:widowControl/>
        <w:numPr>
          <w:ilvl w:val="1"/>
          <w:numId w:val="57"/>
        </w:numPr>
        <w:spacing w:after="240"/>
        <w:ind w:left="1670" w:hanging="475"/>
        <w:contextualSpacing w:val="0"/>
        <w:jc w:val="both"/>
        <w:rPr>
          <w:rFonts w:asciiTheme="minorHAnsi" w:hAnsiTheme="minorHAnsi"/>
          <w:sz w:val="22"/>
          <w:szCs w:val="22"/>
        </w:rPr>
      </w:pPr>
      <w:r>
        <w:rPr>
          <w:rFonts w:asciiTheme="minorHAnsi" w:hAnsiTheme="minorHAnsi"/>
          <w:sz w:val="22"/>
        </w:rPr>
        <w:t>P</w:t>
      </w:r>
      <w:r w:rsidRPr="00FB6E71">
        <w:rPr>
          <w:rFonts w:asciiTheme="minorHAnsi" w:hAnsiTheme="minorHAnsi"/>
          <w:sz w:val="22"/>
        </w:rPr>
        <w:t xml:space="preserve">eriodic reporting and documentation of the status of </w:t>
      </w:r>
      <w:r>
        <w:rPr>
          <w:rFonts w:asciiTheme="minorHAnsi" w:hAnsiTheme="minorHAnsi"/>
          <w:sz w:val="22"/>
        </w:rPr>
        <w:t xml:space="preserve">the </w:t>
      </w:r>
      <w:r w:rsidRPr="00FB6E71">
        <w:rPr>
          <w:rFonts w:asciiTheme="minorHAnsi" w:hAnsiTheme="minorHAnsi"/>
          <w:sz w:val="22"/>
        </w:rPr>
        <w:t xml:space="preserve">project implementation. </w:t>
      </w:r>
    </w:p>
    <w:p w:rsidR="007F2DE7" w:rsidRPr="00FB6E71" w:rsidP="00302E0C">
      <w:pPr>
        <w:pStyle w:val="ListParagraph"/>
        <w:widowControl/>
        <w:numPr>
          <w:ilvl w:val="1"/>
          <w:numId w:val="44"/>
        </w:numPr>
        <w:spacing w:after="240"/>
        <w:ind w:left="1195" w:hanging="475"/>
        <w:contextualSpacing w:val="0"/>
        <w:jc w:val="both"/>
        <w:rPr>
          <w:rFonts w:asciiTheme="minorHAnsi" w:hAnsiTheme="minorHAnsi"/>
          <w:sz w:val="22"/>
          <w:szCs w:val="22"/>
        </w:rPr>
      </w:pPr>
      <w:r w:rsidRPr="00FB6E71">
        <w:rPr>
          <w:rFonts w:asciiTheme="minorHAnsi" w:hAnsiTheme="minorHAnsi"/>
          <w:b/>
          <w:sz w:val="22"/>
          <w:szCs w:val="22"/>
        </w:rPr>
        <w:t>Water and sanitation</w:t>
      </w:r>
      <w:r>
        <w:rPr>
          <w:rFonts w:asciiTheme="minorHAnsi" w:hAnsiTheme="minorHAnsi"/>
          <w:b/>
          <w:sz w:val="22"/>
          <w:szCs w:val="22"/>
        </w:rPr>
        <w:t>.</w:t>
      </w:r>
      <w:r w:rsidRPr="00FB6E71">
        <w:rPr>
          <w:rFonts w:asciiTheme="minorHAnsi" w:hAnsiTheme="minorHAnsi"/>
          <w:sz w:val="22"/>
          <w:szCs w:val="22"/>
        </w:rPr>
        <w:t xml:space="preserve"> </w:t>
      </w:r>
      <w:r w:rsidRPr="00FB6E71">
        <w:rPr>
          <w:rFonts w:asciiTheme="minorHAnsi" w:hAnsiTheme="minorHAnsi"/>
          <w:bCs/>
          <w:sz w:val="22"/>
          <w:szCs w:val="22"/>
        </w:rPr>
        <w:t xml:space="preserve">State governments in Nigeria, through agencies such as water supply authorities, State Water Boards (SWBs), and the Small Towns Water and Sanitation Agency are responsible for the </w:t>
      </w:r>
      <w:r>
        <w:rPr>
          <w:rFonts w:asciiTheme="minorHAnsi" w:hAnsiTheme="minorHAnsi"/>
          <w:bCs/>
          <w:sz w:val="22"/>
          <w:szCs w:val="22"/>
        </w:rPr>
        <w:t>“</w:t>
      </w:r>
      <w:r w:rsidRPr="00FB6E71">
        <w:rPr>
          <w:rFonts w:asciiTheme="minorHAnsi" w:hAnsiTheme="minorHAnsi"/>
          <w:sz w:val="22"/>
          <w:szCs w:val="22"/>
        </w:rPr>
        <w:t>establishment, operation, quality control, and maintenance of urban and semi-urban water supply systems and in some cases for rural supply. They are also responsible for licensing and monitoring private water suppliers, monitoring the quality of water supplied to the public, and providing TA to LGA</w:t>
      </w:r>
      <w:r w:rsidRPr="00FB6E71">
        <w:rPr>
          <w:rFonts w:asciiTheme="minorHAnsi" w:hAnsiTheme="minorHAnsi"/>
          <w:sz w:val="22"/>
        </w:rPr>
        <w:t>s.</w:t>
      </w:r>
      <w:r w:rsidRPr="00FB6E71">
        <w:rPr>
          <w:rFonts w:asciiTheme="minorHAnsi" w:hAnsiTheme="minorHAnsi"/>
          <w:sz w:val="22"/>
          <w:szCs w:val="22"/>
        </w:rPr>
        <w:t>”</w:t>
      </w:r>
      <w:r>
        <w:rPr>
          <w:rFonts w:asciiTheme="minorHAnsi" w:hAnsiTheme="minorHAnsi"/>
          <w:sz w:val="22"/>
          <w:szCs w:val="22"/>
          <w:vertAlign w:val="superscript"/>
        </w:rPr>
        <w:footnoteReference w:id="16"/>
      </w:r>
      <w:r w:rsidRPr="00FB6E71">
        <w:rPr>
          <w:rFonts w:asciiTheme="minorHAnsi" w:hAnsiTheme="minorHAnsi"/>
          <w:sz w:val="22"/>
          <w:szCs w:val="22"/>
        </w:rPr>
        <w:t xml:space="preserve"> However, in the NE</w:t>
      </w:r>
      <w:r>
        <w:rPr>
          <w:rFonts w:asciiTheme="minorHAnsi" w:hAnsiTheme="minorHAnsi"/>
          <w:sz w:val="22"/>
          <w:szCs w:val="22"/>
        </w:rPr>
        <w:t>,</w:t>
      </w:r>
      <w:r w:rsidRPr="00FB6E71">
        <w:rPr>
          <w:rFonts w:asciiTheme="minorHAnsi" w:hAnsiTheme="minorHAnsi"/>
          <w:sz w:val="22"/>
          <w:szCs w:val="22"/>
        </w:rPr>
        <w:t xml:space="preserve"> the supply of water has been hampered by capacity issues at the state level and more recently by the effects of the conflict. As such and considering the minimal presence of the World Bank in the water sector in the NE, implementation of the MCRP will be supported by a PMC for procurement, FM, contract management, coordination</w:t>
      </w:r>
      <w:r>
        <w:rPr>
          <w:rFonts w:asciiTheme="minorHAnsi" w:hAnsiTheme="minorHAnsi"/>
          <w:sz w:val="22"/>
          <w:szCs w:val="22"/>
        </w:rPr>
        <w:t>,</w:t>
      </w:r>
      <w:r w:rsidRPr="00FB6E71">
        <w:rPr>
          <w:rFonts w:asciiTheme="minorHAnsi" w:hAnsiTheme="minorHAnsi"/>
          <w:sz w:val="22"/>
          <w:szCs w:val="22"/>
        </w:rPr>
        <w:t xml:space="preserve"> and M&amp;E. In addition, three design and construction supervision consultants, one for each state, will be responsible for the works design and construction supervision. The PMC is expected to coordinate with </w:t>
      </w:r>
      <w:r>
        <w:rPr>
          <w:rFonts w:asciiTheme="minorHAnsi" w:hAnsiTheme="minorHAnsi"/>
          <w:sz w:val="22"/>
          <w:szCs w:val="22"/>
        </w:rPr>
        <w:t xml:space="preserve">the </w:t>
      </w:r>
      <w:r w:rsidRPr="00FB6E71">
        <w:rPr>
          <w:rFonts w:asciiTheme="minorHAnsi" w:hAnsiTheme="minorHAnsi"/>
          <w:sz w:val="22"/>
          <w:szCs w:val="22"/>
        </w:rPr>
        <w:t xml:space="preserve">SWBs in the BAY states to ensure capacity building and a smooth handover of provision of services and </w:t>
      </w:r>
      <w:r>
        <w:rPr>
          <w:rFonts w:asciiTheme="minorHAnsi" w:hAnsiTheme="minorHAnsi"/>
          <w:sz w:val="22"/>
          <w:szCs w:val="22"/>
        </w:rPr>
        <w:t xml:space="preserve">to </w:t>
      </w:r>
      <w:r w:rsidRPr="00FB6E71">
        <w:rPr>
          <w:rFonts w:asciiTheme="minorHAnsi" w:hAnsiTheme="minorHAnsi"/>
          <w:sz w:val="22"/>
          <w:szCs w:val="22"/>
        </w:rPr>
        <w:t xml:space="preserve">be consistent with the sector reforms framework that has been developed under </w:t>
      </w:r>
      <w:r>
        <w:rPr>
          <w:rFonts w:asciiTheme="minorHAnsi" w:hAnsiTheme="minorHAnsi"/>
          <w:sz w:val="22"/>
          <w:szCs w:val="22"/>
        </w:rPr>
        <w:t xml:space="preserve">the </w:t>
      </w:r>
      <w:r w:rsidRPr="00FB6E71">
        <w:rPr>
          <w:rFonts w:asciiTheme="minorHAnsi" w:hAnsiTheme="minorHAnsi"/>
          <w:sz w:val="22"/>
          <w:szCs w:val="22"/>
        </w:rPr>
        <w:t xml:space="preserve">previous World Bank </w:t>
      </w:r>
      <w:r>
        <w:rPr>
          <w:rFonts w:asciiTheme="minorHAnsi" w:hAnsiTheme="minorHAnsi"/>
          <w:sz w:val="22"/>
          <w:szCs w:val="22"/>
        </w:rPr>
        <w:t>w</w:t>
      </w:r>
      <w:r w:rsidRPr="00FB6E71">
        <w:rPr>
          <w:rFonts w:asciiTheme="minorHAnsi" w:hAnsiTheme="minorHAnsi"/>
          <w:sz w:val="22"/>
          <w:szCs w:val="22"/>
        </w:rPr>
        <w:t>ater projects.</w:t>
      </w:r>
    </w:p>
    <w:p w:rsidR="007F2DE7" w:rsidRPr="00FB6E71" w:rsidP="00302E0C">
      <w:pPr>
        <w:pStyle w:val="ListParagraph"/>
        <w:widowControl/>
        <w:numPr>
          <w:ilvl w:val="1"/>
          <w:numId w:val="44"/>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b/>
          <w:sz w:val="22"/>
          <w:szCs w:val="22"/>
        </w:rPr>
        <w:t>Education</w:t>
      </w:r>
      <w:r>
        <w:rPr>
          <w:rFonts w:asciiTheme="minorHAnsi" w:hAnsiTheme="minorHAnsi"/>
          <w:b/>
          <w:sz w:val="22"/>
          <w:szCs w:val="22"/>
        </w:rPr>
        <w:t>.</w:t>
      </w:r>
      <w:r w:rsidRPr="00FB6E71">
        <w:rPr>
          <w:rFonts w:asciiTheme="minorHAnsi" w:hAnsiTheme="minorHAnsi"/>
          <w:sz w:val="22"/>
          <w:szCs w:val="22"/>
        </w:rPr>
        <w:t xml:space="preserve"> </w:t>
      </w:r>
      <w:r w:rsidRPr="00FB6E71">
        <w:rPr>
          <w:rFonts w:asciiTheme="minorHAnsi" w:hAnsiTheme="minorHAnsi"/>
          <w:bCs/>
          <w:color w:val="auto"/>
          <w:sz w:val="22"/>
          <w:szCs w:val="22"/>
        </w:rPr>
        <w:t xml:space="preserve">The implementation arrangements will follow </w:t>
      </w:r>
      <w:r>
        <w:rPr>
          <w:rFonts w:asciiTheme="minorHAnsi" w:hAnsiTheme="minorHAnsi"/>
          <w:bCs/>
          <w:color w:val="auto"/>
          <w:sz w:val="22"/>
          <w:szCs w:val="22"/>
        </w:rPr>
        <w:t>a</w:t>
      </w:r>
      <w:r w:rsidRPr="00FB6E71">
        <w:rPr>
          <w:rFonts w:asciiTheme="minorHAnsi" w:hAnsiTheme="minorHAnsi"/>
          <w:bCs/>
          <w:color w:val="auto"/>
          <w:sz w:val="22"/>
          <w:szCs w:val="22"/>
        </w:rPr>
        <w:t xml:space="preserve"> similar structure as proposed in SEPIP, which builds on the existing government administrative structures. As the project will be implemented at the state level or below, the responsibility for the implementation of the proposed schemes for the education sector will lie within the State Ministry of Education in each of the BAY states. Given the weakness in capacity and the challenging postconflict context in the BAY states, there is likely a need to strengthen the implementation capacity through assistance provided by other partners such as NGOs, CSOs</w:t>
      </w:r>
      <w:r>
        <w:rPr>
          <w:rFonts w:asciiTheme="minorHAnsi" w:hAnsiTheme="minorHAnsi"/>
          <w:bCs/>
          <w:color w:val="auto"/>
          <w:sz w:val="22"/>
          <w:szCs w:val="22"/>
        </w:rPr>
        <w:t>,</w:t>
      </w:r>
      <w:r w:rsidRPr="00FB6E71">
        <w:rPr>
          <w:rFonts w:asciiTheme="minorHAnsi" w:hAnsiTheme="minorHAnsi"/>
          <w:bCs/>
          <w:color w:val="auto"/>
          <w:sz w:val="22"/>
          <w:szCs w:val="22"/>
        </w:rPr>
        <w:t xml:space="preserve"> and community-based organizations. To closely monitor results and collect evidence of progress, M&amp;E units in each State Ministry of Education will take the responsibility of monitoring and reporting, with overall monitoring by </w:t>
      </w:r>
      <w:r w:rsidRPr="00FB6E71">
        <w:rPr>
          <w:rFonts w:asciiTheme="minorHAnsi" w:hAnsiTheme="minorHAnsi"/>
          <w:bCs/>
          <w:sz w:val="22"/>
          <w:szCs w:val="22"/>
        </w:rPr>
        <w:t>the UBEC</w:t>
      </w:r>
      <w:r w:rsidRPr="00FB6E71">
        <w:rPr>
          <w:rFonts w:asciiTheme="minorHAnsi" w:hAnsiTheme="minorHAnsi"/>
          <w:bCs/>
          <w:color w:val="auto"/>
          <w:sz w:val="22"/>
          <w:szCs w:val="22"/>
        </w:rPr>
        <w:t xml:space="preserve"> on behalf of the Federal Ministry of Education at the federal level and third-party validation by CSOs at the community/school level. </w:t>
      </w:r>
    </w:p>
    <w:p w:rsidR="007F2DE7" w:rsidRPr="00FB6E71" w:rsidP="00302E0C">
      <w:pPr>
        <w:pStyle w:val="ListParagraph"/>
        <w:widowControl/>
        <w:numPr>
          <w:ilvl w:val="1"/>
          <w:numId w:val="44"/>
        </w:numPr>
        <w:spacing w:after="240"/>
        <w:ind w:left="1195" w:hanging="475"/>
        <w:contextualSpacing w:val="0"/>
        <w:jc w:val="both"/>
        <w:rPr>
          <w:rFonts w:asciiTheme="minorHAnsi" w:hAnsiTheme="minorHAnsi"/>
          <w:sz w:val="22"/>
          <w:szCs w:val="22"/>
        </w:rPr>
      </w:pPr>
      <w:r w:rsidRPr="00FB6E71">
        <w:rPr>
          <w:rFonts w:asciiTheme="minorHAnsi" w:hAnsiTheme="minorHAnsi"/>
          <w:b/>
          <w:sz w:val="22"/>
          <w:szCs w:val="22"/>
        </w:rPr>
        <w:t>Health</w:t>
      </w:r>
      <w:r>
        <w:rPr>
          <w:rFonts w:asciiTheme="minorHAnsi" w:hAnsiTheme="minorHAnsi"/>
          <w:b/>
          <w:sz w:val="22"/>
          <w:szCs w:val="22"/>
        </w:rPr>
        <w:t>.</w:t>
      </w:r>
      <w:r w:rsidRPr="00FB6E71">
        <w:rPr>
          <w:rFonts w:asciiTheme="minorHAnsi" w:hAnsiTheme="minorHAnsi"/>
          <w:sz w:val="22"/>
          <w:szCs w:val="22"/>
        </w:rPr>
        <w:t xml:space="preserve"> </w:t>
      </w:r>
      <w:r w:rsidRPr="00FB6E71">
        <w:rPr>
          <w:rFonts w:asciiTheme="minorHAnsi" w:hAnsiTheme="minorHAnsi"/>
          <w:bCs/>
          <w:sz w:val="22"/>
          <w:szCs w:val="22"/>
        </w:rPr>
        <w:t>The State Primary Health Care Development Agencies are responsible for primary health care service provision, as well as the construction of primary care centers, but their capacity is limited and w</w:t>
      </w:r>
      <w:r>
        <w:rPr>
          <w:rFonts w:asciiTheme="minorHAnsi" w:hAnsiTheme="minorHAnsi"/>
          <w:bCs/>
          <w:sz w:val="22"/>
          <w:szCs w:val="22"/>
        </w:rPr>
        <w:t>ill</w:t>
      </w:r>
      <w:r w:rsidRPr="00FB6E71">
        <w:rPr>
          <w:rFonts w:asciiTheme="minorHAnsi" w:hAnsiTheme="minorHAnsi"/>
          <w:bCs/>
          <w:sz w:val="22"/>
          <w:szCs w:val="22"/>
        </w:rPr>
        <w:t xml:space="preserve"> need strengthening for effective project implementation. Local primary health care centers are the responsibility of LGAs, while hospitals are the responsibility of the </w:t>
      </w:r>
      <w:r>
        <w:rPr>
          <w:rFonts w:asciiTheme="minorHAnsi" w:hAnsiTheme="minorHAnsi"/>
          <w:bCs/>
          <w:sz w:val="22"/>
          <w:szCs w:val="22"/>
        </w:rPr>
        <w:t>s</w:t>
      </w:r>
      <w:r w:rsidRPr="00FB6E71">
        <w:rPr>
          <w:rFonts w:asciiTheme="minorHAnsi" w:hAnsiTheme="minorHAnsi"/>
          <w:bCs/>
          <w:sz w:val="22"/>
          <w:szCs w:val="22"/>
        </w:rPr>
        <w:t>tates.</w:t>
      </w:r>
    </w:p>
    <w:p w:rsidR="007F2DE7" w:rsidRPr="00FB6E71" w:rsidP="00302E0C">
      <w:pPr>
        <w:pStyle w:val="ListParagraph"/>
        <w:widowControl/>
        <w:numPr>
          <w:ilvl w:val="1"/>
          <w:numId w:val="44"/>
        </w:numPr>
        <w:spacing w:after="240"/>
        <w:ind w:left="1195" w:hanging="475"/>
        <w:contextualSpacing w:val="0"/>
        <w:jc w:val="both"/>
        <w:rPr>
          <w:rFonts w:asciiTheme="minorHAnsi" w:hAnsiTheme="minorHAnsi"/>
          <w:sz w:val="22"/>
          <w:szCs w:val="22"/>
        </w:rPr>
      </w:pPr>
      <w:r w:rsidRPr="00FB6E71">
        <w:rPr>
          <w:rFonts w:asciiTheme="minorHAnsi" w:hAnsiTheme="minorHAnsi"/>
          <w:b/>
          <w:sz w:val="22"/>
          <w:szCs w:val="22"/>
        </w:rPr>
        <w:t>Public buildings and other community infrastructure</w:t>
      </w:r>
      <w:r>
        <w:rPr>
          <w:rFonts w:asciiTheme="minorHAnsi" w:hAnsiTheme="minorHAnsi"/>
          <w:b/>
          <w:sz w:val="22"/>
          <w:szCs w:val="22"/>
        </w:rPr>
        <w:t>.</w:t>
      </w:r>
      <w:r w:rsidRPr="00FB6E71">
        <w:rPr>
          <w:rFonts w:asciiTheme="minorHAnsi" w:hAnsiTheme="minorHAnsi"/>
          <w:sz w:val="22"/>
          <w:szCs w:val="22"/>
        </w:rPr>
        <w:t xml:space="preserve"> Reconstruction of local government offices and branches at the ward level as well as area courts w</w:t>
      </w:r>
      <w:r>
        <w:rPr>
          <w:rFonts w:asciiTheme="minorHAnsi" w:hAnsiTheme="minorHAnsi"/>
          <w:sz w:val="22"/>
          <w:szCs w:val="22"/>
        </w:rPr>
        <w:t>ill</w:t>
      </w:r>
      <w:r w:rsidRPr="00FB6E71">
        <w:rPr>
          <w:rFonts w:asciiTheme="minorHAnsi" w:hAnsiTheme="minorHAnsi"/>
          <w:sz w:val="22"/>
          <w:szCs w:val="22"/>
        </w:rPr>
        <w:t xml:space="preserve"> be overseen by the State Ministry of Public Works, in line with relevant building codes and standards.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Component 3 will be implemented by both the federal and state coordination units. It is envisaged that the PMC w</w:t>
      </w:r>
      <w:r>
        <w:rPr>
          <w:rFonts w:asciiTheme="minorHAnsi" w:hAnsiTheme="minorHAnsi"/>
          <w:sz w:val="22"/>
          <w:szCs w:val="22"/>
        </w:rPr>
        <w:t>ill</w:t>
      </w:r>
      <w:r w:rsidRPr="00FB6E71">
        <w:rPr>
          <w:rFonts w:asciiTheme="minorHAnsi" w:hAnsiTheme="minorHAnsi"/>
          <w:sz w:val="22"/>
          <w:szCs w:val="22"/>
        </w:rPr>
        <w:t xml:space="preserve"> be hired by </w:t>
      </w:r>
      <w:r>
        <w:rPr>
          <w:rFonts w:asciiTheme="minorHAnsi" w:hAnsiTheme="minorHAnsi"/>
          <w:sz w:val="22"/>
          <w:szCs w:val="22"/>
        </w:rPr>
        <w:t xml:space="preserve">the </w:t>
      </w:r>
      <w:r w:rsidRPr="00FB6E71">
        <w:rPr>
          <w:rFonts w:asciiTheme="minorHAnsi" w:hAnsiTheme="minorHAnsi"/>
          <w:sz w:val="22"/>
          <w:szCs w:val="22"/>
        </w:rPr>
        <w:t xml:space="preserve">PCNI on behalf of the </w:t>
      </w:r>
      <w:r>
        <w:rPr>
          <w:rFonts w:asciiTheme="minorHAnsi" w:hAnsiTheme="minorHAnsi"/>
          <w:sz w:val="22"/>
          <w:szCs w:val="22"/>
        </w:rPr>
        <w:t>s</w:t>
      </w:r>
      <w:r w:rsidRPr="00FB6E71">
        <w:rPr>
          <w:rFonts w:asciiTheme="minorHAnsi" w:hAnsiTheme="minorHAnsi"/>
          <w:sz w:val="22"/>
          <w:szCs w:val="22"/>
        </w:rPr>
        <w:t>tates. Other development partners could be invited to provide financial support to the PMC if needed, instead of every partner engaging the PMCs separately.</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The MCRP will build on existing sectoral policy coordination and standard-setting mechanisms already in place.</w:t>
      </w:r>
      <w:r w:rsidRPr="00FB6E71">
        <w:rPr>
          <w:rFonts w:asciiTheme="minorHAnsi" w:hAnsiTheme="minorHAnsi"/>
          <w:sz w:val="22"/>
          <w:szCs w:val="22"/>
        </w:rPr>
        <w:t xml:space="preserve"> </w:t>
      </w:r>
      <w:r>
        <w:rPr>
          <w:rFonts w:asciiTheme="minorHAnsi" w:hAnsiTheme="minorHAnsi"/>
          <w:sz w:val="22"/>
          <w:szCs w:val="22"/>
        </w:rPr>
        <w:t>Because</w:t>
      </w:r>
      <w:r w:rsidRPr="00FB6E71">
        <w:rPr>
          <w:rFonts w:asciiTheme="minorHAnsi" w:hAnsiTheme="minorHAnsi"/>
          <w:sz w:val="22"/>
          <w:szCs w:val="22"/>
        </w:rPr>
        <w:t xml:space="preserve"> </w:t>
      </w:r>
      <w:r>
        <w:rPr>
          <w:rFonts w:asciiTheme="minorHAnsi" w:hAnsiTheme="minorHAnsi"/>
          <w:sz w:val="22"/>
          <w:szCs w:val="22"/>
        </w:rPr>
        <w:t>this</w:t>
      </w:r>
      <w:r w:rsidRPr="00FB6E71">
        <w:rPr>
          <w:rFonts w:asciiTheme="minorHAnsi" w:hAnsiTheme="minorHAnsi"/>
          <w:sz w:val="22"/>
          <w:szCs w:val="22"/>
        </w:rPr>
        <w:t xml:space="preserve"> is a multi-sector project, different sectors of intervention will be addressed. Activities in each respective sector will align with </w:t>
      </w:r>
      <w:r w:rsidRPr="00FB6E71">
        <w:rPr>
          <w:rFonts w:asciiTheme="minorHAnsi" w:hAnsiTheme="minorHAnsi"/>
          <w:bCs/>
          <w:color w:val="auto"/>
          <w:sz w:val="22"/>
          <w:szCs w:val="22"/>
        </w:rPr>
        <w:t>existing</w:t>
      </w:r>
      <w:r w:rsidRPr="00FB6E71">
        <w:rPr>
          <w:rFonts w:asciiTheme="minorHAnsi" w:hAnsiTheme="minorHAnsi"/>
          <w:sz w:val="22"/>
          <w:szCs w:val="22"/>
        </w:rPr>
        <w:t xml:space="preserve"> mechanisms to coordinate and harmonize standards and policies. Below is a list of sectoral coordination mechanisms already in place that the project will ensure consistency with:</w:t>
      </w:r>
    </w:p>
    <w:p w:rsidR="007F2DE7" w:rsidRPr="00FB6E71" w:rsidP="00302E0C">
      <w:pPr>
        <w:pStyle w:val="ListParagraph"/>
        <w:widowControl/>
        <w:numPr>
          <w:ilvl w:val="1"/>
          <w:numId w:val="43"/>
        </w:numPr>
        <w:spacing w:after="240"/>
        <w:ind w:left="1195" w:hanging="475"/>
        <w:contextualSpacing w:val="0"/>
        <w:jc w:val="both"/>
        <w:rPr>
          <w:rFonts w:asciiTheme="minorHAnsi" w:hAnsiTheme="minorHAnsi"/>
          <w:sz w:val="22"/>
        </w:rPr>
      </w:pPr>
      <w:r w:rsidRPr="00612FC5">
        <w:rPr>
          <w:rFonts w:asciiTheme="minorHAnsi" w:hAnsiTheme="minorHAnsi"/>
          <w:b/>
          <w:sz w:val="22"/>
        </w:rPr>
        <w:t>Transport (road and bridge reconstruction)</w:t>
      </w:r>
      <w:r>
        <w:rPr>
          <w:rFonts w:asciiTheme="minorHAnsi" w:hAnsiTheme="minorHAnsi"/>
          <w:b/>
          <w:sz w:val="22"/>
        </w:rPr>
        <w:t>.</w:t>
      </w:r>
      <w:r w:rsidRPr="00FB6E71">
        <w:rPr>
          <w:rFonts w:asciiTheme="minorHAnsi" w:hAnsiTheme="minorHAnsi"/>
          <w:sz w:val="22"/>
        </w:rPr>
        <w:t xml:space="preserve"> Given the importance of coordination at the federal level in transport projects, the proposed project w</w:t>
      </w:r>
      <w:r>
        <w:rPr>
          <w:rFonts w:asciiTheme="minorHAnsi" w:hAnsiTheme="minorHAnsi"/>
          <w:sz w:val="22"/>
        </w:rPr>
        <w:t>ill</w:t>
      </w:r>
      <w:r w:rsidRPr="00FB6E71">
        <w:rPr>
          <w:rFonts w:asciiTheme="minorHAnsi" w:hAnsiTheme="minorHAnsi"/>
          <w:sz w:val="22"/>
        </w:rPr>
        <w:t xml:space="preserve"> coordinate with the Federal Ministry of Agriculture and Water </w:t>
      </w:r>
      <w:r>
        <w:rPr>
          <w:rFonts w:asciiTheme="minorHAnsi" w:hAnsiTheme="minorHAnsi"/>
          <w:sz w:val="22"/>
        </w:rPr>
        <w:t>R</w:t>
      </w:r>
      <w:r w:rsidRPr="00FB6E71">
        <w:rPr>
          <w:rFonts w:asciiTheme="minorHAnsi" w:hAnsiTheme="minorHAnsi"/>
          <w:sz w:val="22"/>
        </w:rPr>
        <w:t>esources. Nigeria’s constitution assigns important independent responsibility for roads to all three levels of government—the 774 LGAs, the 36 states</w:t>
      </w:r>
      <w:r>
        <w:rPr>
          <w:rFonts w:asciiTheme="minorHAnsi" w:hAnsiTheme="minorHAnsi"/>
          <w:sz w:val="22"/>
        </w:rPr>
        <w:t>,</w:t>
      </w:r>
      <w:r w:rsidRPr="00FB6E71">
        <w:rPr>
          <w:rFonts w:asciiTheme="minorHAnsi" w:hAnsiTheme="minorHAnsi"/>
          <w:sz w:val="22"/>
        </w:rPr>
        <w:t xml:space="preserve"> and the Federal Government. Each state is responsible for planning, budgeting</w:t>
      </w:r>
      <w:r>
        <w:rPr>
          <w:rFonts w:asciiTheme="minorHAnsi" w:hAnsiTheme="minorHAnsi"/>
          <w:sz w:val="22"/>
        </w:rPr>
        <w:t>,</w:t>
      </w:r>
      <w:r w:rsidRPr="00FB6E71">
        <w:rPr>
          <w:rFonts w:asciiTheme="minorHAnsi" w:hAnsiTheme="minorHAnsi"/>
          <w:sz w:val="22"/>
        </w:rPr>
        <w:t xml:space="preserve"> financing</w:t>
      </w:r>
      <w:r>
        <w:rPr>
          <w:rFonts w:asciiTheme="minorHAnsi" w:hAnsiTheme="minorHAnsi"/>
          <w:sz w:val="22"/>
        </w:rPr>
        <w:t>,</w:t>
      </w:r>
      <w:r w:rsidRPr="00FB6E71">
        <w:rPr>
          <w:rFonts w:asciiTheme="minorHAnsi" w:hAnsiTheme="minorHAnsi"/>
          <w:sz w:val="22"/>
        </w:rPr>
        <w:t xml:space="preserve"> and executing construction and maintenance of the roads under its jurisdiction. Many rural roads in the past were built by </w:t>
      </w:r>
      <w:r>
        <w:rPr>
          <w:rFonts w:asciiTheme="minorHAnsi" w:hAnsiTheme="minorHAnsi"/>
          <w:sz w:val="22"/>
        </w:rPr>
        <w:t>f</w:t>
      </w:r>
      <w:r w:rsidRPr="00FB6E71">
        <w:rPr>
          <w:rFonts w:asciiTheme="minorHAnsi" w:hAnsiTheme="minorHAnsi"/>
          <w:sz w:val="22"/>
        </w:rPr>
        <w:t>ederal agencies such as the Directorate of Food</w:t>
      </w:r>
      <w:r>
        <w:rPr>
          <w:rFonts w:asciiTheme="minorHAnsi" w:hAnsiTheme="minorHAnsi"/>
          <w:sz w:val="22"/>
        </w:rPr>
        <w:t>,</w:t>
      </w:r>
      <w:r w:rsidRPr="00FB6E71">
        <w:rPr>
          <w:rFonts w:asciiTheme="minorHAnsi" w:hAnsiTheme="minorHAnsi"/>
          <w:sz w:val="22"/>
        </w:rPr>
        <w:t xml:space="preserve"> Roads</w:t>
      </w:r>
      <w:r>
        <w:rPr>
          <w:rFonts w:asciiTheme="minorHAnsi" w:hAnsiTheme="minorHAnsi"/>
          <w:sz w:val="22"/>
        </w:rPr>
        <w:t>,</w:t>
      </w:r>
      <w:r w:rsidRPr="00FB6E71">
        <w:rPr>
          <w:rFonts w:asciiTheme="minorHAnsi" w:hAnsiTheme="minorHAnsi"/>
          <w:sz w:val="22"/>
        </w:rPr>
        <w:t xml:space="preserve"> and Rural Infrastructure</w:t>
      </w:r>
      <w:r>
        <w:rPr>
          <w:rFonts w:asciiTheme="minorHAnsi" w:hAnsiTheme="minorHAnsi"/>
          <w:sz w:val="22"/>
        </w:rPr>
        <w:t>,</w:t>
      </w:r>
      <w:r w:rsidRPr="00FB6E71">
        <w:rPr>
          <w:rFonts w:asciiTheme="minorHAnsi" w:hAnsiTheme="minorHAnsi"/>
          <w:sz w:val="22"/>
        </w:rPr>
        <w:t xml:space="preserve"> but, with the winding up of those programs or diminution of financial allocations, responsibility has effectively devolved to </w:t>
      </w:r>
      <w:r>
        <w:rPr>
          <w:rFonts w:asciiTheme="minorHAnsi" w:hAnsiTheme="minorHAnsi"/>
          <w:sz w:val="22"/>
        </w:rPr>
        <w:t>the s</w:t>
      </w:r>
      <w:r w:rsidRPr="00FB6E71">
        <w:rPr>
          <w:rFonts w:asciiTheme="minorHAnsi" w:hAnsiTheme="minorHAnsi"/>
          <w:sz w:val="22"/>
        </w:rPr>
        <w:t>tate</w:t>
      </w:r>
      <w:r>
        <w:rPr>
          <w:rFonts w:asciiTheme="minorHAnsi" w:hAnsiTheme="minorHAnsi"/>
          <w:sz w:val="22"/>
        </w:rPr>
        <w:t xml:space="preserve"> governments</w:t>
      </w:r>
      <w:r w:rsidRPr="00FB6E71">
        <w:rPr>
          <w:rFonts w:asciiTheme="minorHAnsi" w:hAnsiTheme="minorHAnsi"/>
          <w:sz w:val="22"/>
        </w:rPr>
        <w:t xml:space="preserve"> and particularly local governments.</w:t>
      </w:r>
    </w:p>
    <w:p w:rsidR="007F2DE7" w:rsidRPr="00FB6E71" w:rsidP="00302E0C">
      <w:pPr>
        <w:pStyle w:val="ListParagraph"/>
        <w:widowControl/>
        <w:numPr>
          <w:ilvl w:val="1"/>
          <w:numId w:val="43"/>
        </w:numPr>
        <w:spacing w:after="240"/>
        <w:ind w:left="1195" w:hanging="475"/>
        <w:contextualSpacing w:val="0"/>
        <w:jc w:val="both"/>
        <w:rPr>
          <w:rFonts w:asciiTheme="minorHAnsi" w:hAnsiTheme="minorHAnsi"/>
          <w:sz w:val="22"/>
          <w:szCs w:val="22"/>
        </w:rPr>
      </w:pPr>
      <w:r w:rsidRPr="00FB6E71">
        <w:rPr>
          <w:rFonts w:asciiTheme="minorHAnsi" w:hAnsiTheme="minorHAnsi"/>
          <w:b/>
          <w:sz w:val="22"/>
          <w:szCs w:val="22"/>
        </w:rPr>
        <w:t>Water and sanitation</w:t>
      </w:r>
      <w:r>
        <w:rPr>
          <w:rFonts w:asciiTheme="minorHAnsi" w:hAnsiTheme="minorHAnsi"/>
          <w:b/>
          <w:sz w:val="22"/>
          <w:szCs w:val="22"/>
        </w:rPr>
        <w:t>.</w:t>
      </w:r>
      <w:r>
        <w:rPr>
          <w:rFonts w:asciiTheme="minorHAnsi" w:hAnsiTheme="minorHAnsi"/>
          <w:sz w:val="22"/>
          <w:szCs w:val="22"/>
        </w:rPr>
        <w:t xml:space="preserve"> </w:t>
      </w:r>
      <w:r w:rsidRPr="00FB6E71">
        <w:rPr>
          <w:rFonts w:asciiTheme="minorHAnsi" w:hAnsiTheme="minorHAnsi"/>
          <w:sz w:val="22"/>
          <w:szCs w:val="22"/>
        </w:rPr>
        <w:t>The Federal Ministry of Water Resources’ 2000 National Water Supply and Sanitation Policy defined the roles of the different tiers of government in Nigeria regarding water and sanitation (</w:t>
      </w:r>
      <w:r>
        <w:rPr>
          <w:rFonts w:asciiTheme="minorHAnsi" w:hAnsiTheme="minorHAnsi"/>
          <w:sz w:val="22"/>
          <w:szCs w:val="22"/>
        </w:rPr>
        <w:t>f</w:t>
      </w:r>
      <w:r w:rsidRPr="00FB6E71">
        <w:rPr>
          <w:rFonts w:asciiTheme="minorHAnsi" w:hAnsiTheme="minorHAnsi"/>
          <w:sz w:val="22"/>
          <w:szCs w:val="22"/>
        </w:rPr>
        <w:t xml:space="preserve">ederal, </w:t>
      </w:r>
      <w:r>
        <w:rPr>
          <w:rFonts w:asciiTheme="minorHAnsi" w:hAnsiTheme="minorHAnsi"/>
          <w:sz w:val="22"/>
          <w:szCs w:val="22"/>
        </w:rPr>
        <w:t>s</w:t>
      </w:r>
      <w:r w:rsidRPr="00FB6E71">
        <w:rPr>
          <w:rFonts w:asciiTheme="minorHAnsi" w:hAnsiTheme="minorHAnsi"/>
          <w:sz w:val="22"/>
          <w:szCs w:val="22"/>
        </w:rPr>
        <w:t>tate</w:t>
      </w:r>
      <w:r>
        <w:rPr>
          <w:rFonts w:asciiTheme="minorHAnsi" w:hAnsiTheme="minorHAnsi"/>
          <w:sz w:val="22"/>
          <w:szCs w:val="22"/>
        </w:rPr>
        <w:t>,</w:t>
      </w:r>
      <w:r w:rsidRPr="00FB6E71">
        <w:rPr>
          <w:rFonts w:asciiTheme="minorHAnsi" w:hAnsiTheme="minorHAnsi"/>
          <w:sz w:val="22"/>
          <w:szCs w:val="22"/>
        </w:rPr>
        <w:t xml:space="preserve"> and local). The project will ensure complementarity with the World Bank</w:t>
      </w:r>
      <w:r>
        <w:rPr>
          <w:rFonts w:asciiTheme="minorHAnsi" w:hAnsiTheme="minorHAnsi"/>
          <w:sz w:val="22"/>
          <w:szCs w:val="22"/>
        </w:rPr>
        <w:t xml:space="preserve"> </w:t>
      </w:r>
      <w:r w:rsidRPr="00FB6E71">
        <w:rPr>
          <w:rFonts w:asciiTheme="minorHAnsi" w:hAnsiTheme="minorHAnsi"/>
          <w:sz w:val="22"/>
          <w:szCs w:val="22"/>
        </w:rPr>
        <w:t xml:space="preserve">funded </w:t>
      </w:r>
      <w:r>
        <w:rPr>
          <w:rFonts w:asciiTheme="minorHAnsi" w:hAnsiTheme="minorHAnsi"/>
          <w:sz w:val="22"/>
          <w:szCs w:val="22"/>
        </w:rPr>
        <w:t>Third</w:t>
      </w:r>
      <w:r w:rsidRPr="00FB6E71">
        <w:rPr>
          <w:rFonts w:asciiTheme="minorHAnsi" w:hAnsiTheme="minorHAnsi"/>
          <w:sz w:val="22"/>
          <w:szCs w:val="22"/>
        </w:rPr>
        <w:t xml:space="preserve"> National Urban Water Sector Reform Project for </w:t>
      </w:r>
      <w:r>
        <w:rPr>
          <w:rFonts w:asciiTheme="minorHAnsi" w:hAnsiTheme="minorHAnsi"/>
          <w:sz w:val="22"/>
          <w:szCs w:val="22"/>
        </w:rPr>
        <w:t xml:space="preserve">the </w:t>
      </w:r>
      <w:r w:rsidRPr="00FB6E71">
        <w:rPr>
          <w:rFonts w:asciiTheme="minorHAnsi" w:hAnsiTheme="minorHAnsi"/>
          <w:sz w:val="22"/>
          <w:szCs w:val="22"/>
        </w:rPr>
        <w:t>development of sector reform action plans in the BAY states.</w:t>
      </w:r>
    </w:p>
    <w:p w:rsidR="007F2DE7" w:rsidRPr="00FB6E71" w:rsidP="00302E0C">
      <w:pPr>
        <w:pStyle w:val="ListParagraph"/>
        <w:widowControl/>
        <w:numPr>
          <w:ilvl w:val="1"/>
          <w:numId w:val="43"/>
        </w:numPr>
        <w:spacing w:after="240"/>
        <w:ind w:left="1195" w:hanging="475"/>
        <w:contextualSpacing w:val="0"/>
        <w:jc w:val="both"/>
        <w:rPr>
          <w:rFonts w:asciiTheme="minorHAnsi" w:hAnsiTheme="minorHAnsi"/>
          <w:sz w:val="22"/>
        </w:rPr>
      </w:pPr>
      <w:r w:rsidRPr="00612FC5">
        <w:rPr>
          <w:rFonts w:asciiTheme="minorHAnsi" w:hAnsiTheme="minorHAnsi"/>
          <w:b/>
          <w:sz w:val="22"/>
          <w:szCs w:val="22"/>
        </w:rPr>
        <w:t>Education (school reconstruction)</w:t>
      </w:r>
      <w:r>
        <w:rPr>
          <w:rFonts w:asciiTheme="minorHAnsi" w:hAnsiTheme="minorHAnsi"/>
          <w:b/>
          <w:sz w:val="22"/>
          <w:szCs w:val="22"/>
        </w:rPr>
        <w:t>.</w:t>
      </w:r>
      <w:r w:rsidRPr="00FB6E71">
        <w:rPr>
          <w:rFonts w:asciiTheme="minorHAnsi" w:hAnsiTheme="minorHAnsi"/>
          <w:bCs/>
          <w:sz w:val="22"/>
          <w:szCs w:val="22"/>
        </w:rPr>
        <w:t xml:space="preserve"> The Federal Ministry of Education will be the sectoral authority and </w:t>
      </w:r>
      <w:r>
        <w:rPr>
          <w:rFonts w:asciiTheme="minorHAnsi" w:hAnsiTheme="minorHAnsi"/>
          <w:bCs/>
          <w:sz w:val="22"/>
          <w:szCs w:val="22"/>
        </w:rPr>
        <w:t xml:space="preserve">will </w:t>
      </w:r>
      <w:r w:rsidRPr="00FB6E71">
        <w:rPr>
          <w:rFonts w:asciiTheme="minorHAnsi" w:hAnsiTheme="minorHAnsi"/>
          <w:bCs/>
          <w:sz w:val="22"/>
          <w:szCs w:val="22"/>
        </w:rPr>
        <w:t xml:space="preserve">undertake overall oversight and coordination at the federal level, mainly through the UBEC. Given the security concerns in the project states and the Build-Back-Better principle set for </w:t>
      </w:r>
      <w:r>
        <w:rPr>
          <w:rFonts w:asciiTheme="minorHAnsi" w:hAnsiTheme="minorHAnsi"/>
          <w:bCs/>
          <w:sz w:val="22"/>
          <w:szCs w:val="22"/>
        </w:rPr>
        <w:t xml:space="preserve">the </w:t>
      </w:r>
      <w:r w:rsidRPr="00FB6E71">
        <w:rPr>
          <w:rFonts w:asciiTheme="minorHAnsi" w:hAnsiTheme="minorHAnsi"/>
          <w:bCs/>
          <w:sz w:val="22"/>
          <w:szCs w:val="22"/>
        </w:rPr>
        <w:t xml:space="preserve">MCRP, federal-level coordination and supervision will also be required to monitor and evaluate the compliance of each scheme toward the </w:t>
      </w:r>
      <w:r>
        <w:rPr>
          <w:rFonts w:asciiTheme="minorHAnsi" w:hAnsiTheme="minorHAnsi"/>
          <w:bCs/>
          <w:sz w:val="22"/>
          <w:szCs w:val="22"/>
        </w:rPr>
        <w:t>f</w:t>
      </w:r>
      <w:r w:rsidRPr="00FB6E71">
        <w:rPr>
          <w:rFonts w:asciiTheme="minorHAnsi" w:hAnsiTheme="minorHAnsi"/>
          <w:bCs/>
          <w:sz w:val="22"/>
          <w:szCs w:val="22"/>
        </w:rPr>
        <w:t>ederal standards to ensure the quality of construction and procurement of teaching and learning equipment and materials.</w:t>
      </w:r>
    </w:p>
    <w:p w:rsidR="007F2DE7" w:rsidRPr="00FB6E71" w:rsidP="00302E0C">
      <w:pPr>
        <w:pStyle w:val="ListParagraph"/>
        <w:widowControl/>
        <w:numPr>
          <w:ilvl w:val="1"/>
          <w:numId w:val="43"/>
        </w:numPr>
        <w:spacing w:after="240"/>
        <w:ind w:left="1195" w:hanging="475"/>
        <w:contextualSpacing w:val="0"/>
        <w:jc w:val="both"/>
        <w:rPr>
          <w:rFonts w:asciiTheme="minorHAnsi" w:hAnsiTheme="minorHAnsi"/>
          <w:sz w:val="22"/>
        </w:rPr>
      </w:pPr>
      <w:r w:rsidRPr="00612FC5">
        <w:rPr>
          <w:rFonts w:asciiTheme="minorHAnsi" w:hAnsiTheme="minorHAnsi"/>
          <w:b/>
          <w:sz w:val="22"/>
        </w:rPr>
        <w:t>Health (health center reconstruction)</w:t>
      </w:r>
      <w:r>
        <w:rPr>
          <w:rFonts w:asciiTheme="minorHAnsi" w:hAnsiTheme="minorHAnsi"/>
          <w:b/>
          <w:sz w:val="22"/>
        </w:rPr>
        <w:t>.</w:t>
      </w:r>
      <w:r w:rsidRPr="00FB6E71">
        <w:rPr>
          <w:rFonts w:asciiTheme="minorHAnsi" w:hAnsiTheme="minorHAnsi"/>
          <w:sz w:val="22"/>
          <w:szCs w:val="22"/>
        </w:rPr>
        <w:t xml:space="preserve"> </w:t>
      </w:r>
      <w:r w:rsidRPr="00FB6E71">
        <w:rPr>
          <w:rFonts w:asciiTheme="minorHAnsi" w:hAnsiTheme="minorHAnsi"/>
          <w:bCs/>
          <w:sz w:val="22"/>
          <w:szCs w:val="22"/>
        </w:rPr>
        <w:t xml:space="preserve">The NPHCDA has the overall </w:t>
      </w:r>
      <w:r w:rsidRPr="00FB6E71">
        <w:rPr>
          <w:rFonts w:asciiTheme="minorHAnsi" w:hAnsiTheme="minorHAnsi"/>
          <w:sz w:val="22"/>
          <w:szCs w:val="22"/>
        </w:rPr>
        <w:t>mandate</w:t>
      </w:r>
      <w:r w:rsidRPr="00FB6E71">
        <w:rPr>
          <w:rFonts w:asciiTheme="minorHAnsi" w:hAnsiTheme="minorHAnsi"/>
          <w:bCs/>
          <w:sz w:val="22"/>
          <w:szCs w:val="22"/>
        </w:rPr>
        <w:t xml:space="preserve"> for primary health care oversight and policy coordination. A national primary health care bill was passed in 2015, </w:t>
      </w:r>
      <w:r>
        <w:rPr>
          <w:rFonts w:asciiTheme="minorHAnsi" w:hAnsiTheme="minorHAnsi"/>
          <w:bCs/>
          <w:sz w:val="22"/>
          <w:szCs w:val="22"/>
        </w:rPr>
        <w:t>‘</w:t>
      </w:r>
      <w:r w:rsidRPr="00FB6E71">
        <w:rPr>
          <w:rFonts w:asciiTheme="minorHAnsi" w:hAnsiTheme="minorHAnsi"/>
          <w:bCs/>
          <w:sz w:val="22"/>
          <w:szCs w:val="22"/>
        </w:rPr>
        <w:t xml:space="preserve">Primary Health Care </w:t>
      </w:r>
      <w:r>
        <w:rPr>
          <w:rFonts w:asciiTheme="minorHAnsi" w:hAnsiTheme="minorHAnsi"/>
          <w:bCs/>
          <w:sz w:val="22"/>
          <w:szCs w:val="22"/>
        </w:rPr>
        <w:t>u</w:t>
      </w:r>
      <w:r w:rsidRPr="00FB6E71">
        <w:rPr>
          <w:rFonts w:asciiTheme="minorHAnsi" w:hAnsiTheme="minorHAnsi"/>
          <w:bCs/>
          <w:sz w:val="22"/>
          <w:szCs w:val="22"/>
        </w:rPr>
        <w:t>nder One Roof</w:t>
      </w:r>
      <w:r>
        <w:rPr>
          <w:rFonts w:asciiTheme="minorHAnsi" w:hAnsiTheme="minorHAnsi"/>
          <w:bCs/>
          <w:sz w:val="22"/>
          <w:szCs w:val="22"/>
        </w:rPr>
        <w:t>’</w:t>
      </w:r>
      <w:r w:rsidRPr="00FB6E71">
        <w:rPr>
          <w:rFonts w:asciiTheme="minorHAnsi" w:hAnsiTheme="minorHAnsi"/>
          <w:bCs/>
          <w:sz w:val="22"/>
          <w:szCs w:val="22"/>
        </w:rPr>
        <w:t>, pertaining to budgeting human resource and FM. There are no standard guidelines at the national level for health facility construction or design.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Pr>
          <w:rFonts w:asciiTheme="minorHAnsi" w:hAnsiTheme="minorHAnsi"/>
          <w:sz w:val="22"/>
          <w:szCs w:val="22"/>
        </w:rPr>
        <w:fldChar w:fldCharType="begin"/>
      </w:r>
      <w:r>
        <w:rPr>
          <w:rFonts w:asciiTheme="minorHAnsi" w:hAnsiTheme="minorHAnsi"/>
          <w:sz w:val="22"/>
          <w:szCs w:val="22"/>
        </w:rPr>
        <w:instrText xml:space="preserve"> REF _Ref475703639 \h  \* MERGEFORMAT </w:instrText>
      </w:r>
      <w:r>
        <w:rPr>
          <w:rFonts w:asciiTheme="minorHAnsi" w:hAnsiTheme="minorHAnsi"/>
          <w:sz w:val="22"/>
          <w:szCs w:val="22"/>
        </w:rPr>
        <w:fldChar w:fldCharType="separate"/>
      </w:r>
      <w:r w:rsidRPr="00612FC5">
        <w:rPr>
          <w:rFonts w:asciiTheme="minorHAnsi" w:hAnsiTheme="minorHAnsi"/>
          <w:sz w:val="22"/>
          <w:szCs w:val="22"/>
        </w:rPr>
        <w:t>Table 2.4</w:t>
      </w:r>
      <w:r>
        <w:rPr>
          <w:rFonts w:asciiTheme="minorHAnsi" w:hAnsiTheme="minorHAnsi"/>
          <w:sz w:val="22"/>
          <w:szCs w:val="22"/>
        </w:rPr>
        <w:fldChar w:fldCharType="end"/>
      </w:r>
      <w:r w:rsidRPr="00FB6E71">
        <w:rPr>
          <w:rFonts w:asciiTheme="minorHAnsi" w:hAnsiTheme="minorHAnsi"/>
          <w:sz w:val="22"/>
          <w:szCs w:val="22"/>
        </w:rPr>
        <w:t xml:space="preserve"> lays out the responsibilities of the PCU and the respective sectoral MDA for </w:t>
      </w:r>
      <w:r>
        <w:rPr>
          <w:rFonts w:asciiTheme="minorHAnsi" w:hAnsiTheme="minorHAnsi"/>
          <w:sz w:val="22"/>
          <w:szCs w:val="22"/>
        </w:rPr>
        <w:t>the</w:t>
      </w:r>
      <w:r w:rsidRPr="00FB6E71">
        <w:rPr>
          <w:rFonts w:asciiTheme="minorHAnsi" w:hAnsiTheme="minorHAnsi"/>
          <w:sz w:val="22"/>
          <w:szCs w:val="22"/>
        </w:rPr>
        <w:t xml:space="preserve"> respective sector and subcomponent of intervention</w:t>
      </w:r>
      <w:r>
        <w:rPr>
          <w:rFonts w:asciiTheme="minorHAnsi" w:hAnsiTheme="minorHAnsi"/>
          <w:sz w:val="22"/>
          <w:szCs w:val="22"/>
        </w:rPr>
        <w:t>:</w:t>
      </w:r>
    </w:p>
    <w:p w:rsidR="007F2DE7" w:rsidRPr="00FB6E71" w:rsidP="007F2DE7">
      <w:pPr>
        <w:pStyle w:val="Caption"/>
        <w:keepNext/>
        <w:keepLines/>
        <w:widowControl/>
        <w:spacing w:before="120" w:after="120"/>
        <w:jc w:val="center"/>
        <w:rPr>
          <w:rFonts w:asciiTheme="minorHAnsi" w:hAnsiTheme="minorHAnsi"/>
          <w:b/>
          <w:i w:val="0"/>
          <w:color w:val="auto"/>
        </w:rPr>
      </w:pPr>
      <w:bookmarkStart w:id="133" w:name="_Ref475703639"/>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4</w:t>
      </w:r>
      <w:r w:rsidRPr="00FB6E71">
        <w:rPr>
          <w:rFonts w:asciiTheme="minorHAnsi" w:hAnsiTheme="minorHAnsi"/>
          <w:b/>
          <w:i w:val="0"/>
          <w:color w:val="auto"/>
        </w:rPr>
        <w:fldChar w:fldCharType="end"/>
      </w:r>
      <w:bookmarkEnd w:id="133"/>
      <w:r>
        <w:rPr>
          <w:rFonts w:asciiTheme="minorHAnsi" w:hAnsiTheme="minorHAnsi"/>
          <w:b/>
          <w:i w:val="0"/>
          <w:color w:val="auto"/>
        </w:rPr>
        <w:t>.</w:t>
      </w:r>
      <w:r w:rsidRPr="00FB6E71">
        <w:rPr>
          <w:rFonts w:asciiTheme="minorHAnsi" w:hAnsiTheme="minorHAnsi"/>
          <w:b/>
          <w:i w:val="0"/>
          <w:color w:val="auto"/>
        </w:rPr>
        <w:t xml:space="preserve"> Responsibilities of the PCU and MDA by Sector</w:t>
      </w:r>
    </w:p>
    <w:tbl>
      <w:tblPr>
        <w:tblW w:w="5000" w:type="pct"/>
        <w:jc w:val="center"/>
        <w:tblLayout w:type="fixed"/>
        <w:tblCellMar>
          <w:left w:w="0" w:type="dxa"/>
          <w:right w:w="0" w:type="dxa"/>
        </w:tblCellMar>
        <w:tblLook w:val="04A0"/>
      </w:tblPr>
      <w:tblGrid>
        <w:gridCol w:w="1880"/>
        <w:gridCol w:w="3960"/>
        <w:gridCol w:w="3500"/>
      </w:tblGrid>
      <w:tr w:rsidTr="007F2DE7">
        <w:tblPrEx>
          <w:tblW w:w="5000" w:type="pct"/>
          <w:jc w:val="center"/>
          <w:tblLayout w:type="fixed"/>
          <w:tblCellMar>
            <w:left w:w="0" w:type="dxa"/>
            <w:right w:w="0" w:type="dxa"/>
          </w:tblCellMar>
          <w:tblLook w:val="04A0"/>
        </w:tblPrEx>
        <w:trPr>
          <w:cantSplit/>
          <w:trHeight w:val="20"/>
          <w:tblHeader/>
          <w:jc w:val="center"/>
        </w:trPr>
        <w:tc>
          <w:tcPr>
            <w:tcW w:w="18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Activity</w:t>
            </w:r>
          </w:p>
        </w:tc>
        <w:tc>
          <w:tcPr>
            <w:tcW w:w="396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PCU</w:t>
            </w:r>
          </w:p>
        </w:tc>
        <w:tc>
          <w:tcPr>
            <w:tcW w:w="350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MDA</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1.1. Support to safe and voluntary return and/or reintegration of displaced persons:</w:t>
            </w:r>
          </w:p>
          <w:p w:rsidR="007F2DE7" w:rsidRPr="00FB6E71" w:rsidP="007F2DE7">
            <w:pPr>
              <w:widowControl/>
              <w:spacing w:after="120"/>
              <w:rPr>
                <w:rFonts w:asciiTheme="minorHAnsi" w:hAnsiTheme="minorHAnsi"/>
                <w:i/>
                <w:sz w:val="18"/>
                <w:szCs w:val="18"/>
              </w:rPr>
            </w:pPr>
            <w:r w:rsidRPr="00FB6E71">
              <w:rPr>
                <w:rFonts w:asciiTheme="minorHAnsi" w:hAnsiTheme="minorHAnsi"/>
                <w:i/>
                <w:sz w:val="18"/>
                <w:szCs w:val="18"/>
              </w:rPr>
              <w:t>Ministr</w:t>
            </w:r>
            <w:r>
              <w:rPr>
                <w:rFonts w:asciiTheme="minorHAnsi" w:hAnsiTheme="minorHAnsi"/>
                <w:i/>
                <w:sz w:val="18"/>
                <w:szCs w:val="18"/>
              </w:rPr>
              <w:t>ies</w:t>
            </w:r>
            <w:r w:rsidRPr="00FB6E71">
              <w:rPr>
                <w:rFonts w:asciiTheme="minorHAnsi" w:hAnsiTheme="minorHAnsi"/>
                <w:i/>
                <w:sz w:val="18"/>
                <w:szCs w:val="18"/>
              </w:rPr>
              <w:t xml:space="preserve"> of Women Affairs, Chieftaincy Affairs, Youth and Sports</w:t>
            </w:r>
            <w:r>
              <w:rPr>
                <w:rFonts w:asciiTheme="minorHAnsi" w:hAnsiTheme="minorHAnsi"/>
                <w:i/>
                <w:sz w:val="18"/>
                <w:szCs w:val="18"/>
              </w:rPr>
              <w:t>,</w:t>
            </w:r>
            <w:r w:rsidRPr="00FB6E71">
              <w:rPr>
                <w:rFonts w:asciiTheme="minorHAnsi" w:hAnsiTheme="minorHAnsi"/>
                <w:i/>
                <w:sz w:val="18"/>
                <w:szCs w:val="18"/>
              </w:rPr>
              <w:t xml:space="preserve"> and Local Government through </w:t>
            </w:r>
            <w:r>
              <w:rPr>
                <w:rFonts w:asciiTheme="minorHAnsi" w:hAnsiTheme="minorHAnsi"/>
                <w:i/>
                <w:sz w:val="18"/>
                <w:szCs w:val="18"/>
              </w:rPr>
              <w:t xml:space="preserve">the </w:t>
            </w:r>
            <w:r w:rsidRPr="00FB6E71">
              <w:rPr>
                <w:rFonts w:asciiTheme="minorHAnsi" w:hAnsiTheme="minorHAnsi"/>
                <w:i/>
                <w:sz w:val="18"/>
                <w:szCs w:val="18"/>
              </w:rPr>
              <w:t>Project Steering Committee</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and preparation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bidding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Procurement of contractors and supervision consultants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assurance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w:t>
            </w:r>
          </w:p>
        </w:tc>
        <w:tc>
          <w:tcPr>
            <w:tcW w:w="3500" w:type="dxa"/>
            <w:tcBorders>
              <w:top w:val="nil"/>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Clearance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Clearance of designs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Clearance of bidding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assurance</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1.2. Strengthening of reconciliation, peace building</w:t>
            </w:r>
            <w:r>
              <w:rPr>
                <w:rFonts w:asciiTheme="minorHAnsi" w:hAnsiTheme="minorHAnsi"/>
                <w:b/>
                <w:sz w:val="18"/>
                <w:szCs w:val="18"/>
              </w:rPr>
              <w:t>,</w:t>
            </w:r>
            <w:r w:rsidRPr="00FB6E71">
              <w:rPr>
                <w:rFonts w:asciiTheme="minorHAnsi" w:hAnsiTheme="minorHAnsi"/>
                <w:b/>
                <w:sz w:val="18"/>
                <w:szCs w:val="18"/>
              </w:rPr>
              <w:t xml:space="preserve"> and community cohesion:</w:t>
            </w:r>
          </w:p>
          <w:p w:rsidR="007F2DE7" w:rsidRPr="00FB6E71" w:rsidP="007F2DE7">
            <w:pPr>
              <w:widowControl/>
              <w:spacing w:after="120"/>
              <w:rPr>
                <w:rFonts w:asciiTheme="minorHAnsi" w:hAnsiTheme="minorHAnsi"/>
                <w:i/>
                <w:sz w:val="18"/>
                <w:szCs w:val="18"/>
                <w:u w:val="single"/>
              </w:rPr>
            </w:pPr>
            <w:r w:rsidRPr="00FB6E71">
              <w:rPr>
                <w:rFonts w:asciiTheme="minorHAnsi" w:hAnsiTheme="minorHAnsi"/>
                <w:i/>
                <w:sz w:val="18"/>
                <w:szCs w:val="18"/>
              </w:rPr>
              <w:t>Ministr</w:t>
            </w:r>
            <w:r>
              <w:rPr>
                <w:rFonts w:asciiTheme="minorHAnsi" w:hAnsiTheme="minorHAnsi"/>
                <w:i/>
                <w:sz w:val="18"/>
                <w:szCs w:val="18"/>
              </w:rPr>
              <w:t>ies</w:t>
            </w:r>
            <w:r w:rsidRPr="00FB6E71">
              <w:rPr>
                <w:rFonts w:asciiTheme="minorHAnsi" w:hAnsiTheme="minorHAnsi"/>
                <w:i/>
                <w:sz w:val="18"/>
                <w:szCs w:val="18"/>
              </w:rPr>
              <w:t xml:space="preserve"> of Women Affairs, Chieftaincy Affairs, Youth and Sports, and Local Government through </w:t>
            </w:r>
            <w:r>
              <w:rPr>
                <w:rFonts w:asciiTheme="minorHAnsi" w:hAnsiTheme="minorHAnsi"/>
                <w:i/>
                <w:sz w:val="18"/>
                <w:szCs w:val="18"/>
              </w:rPr>
              <w:t xml:space="preserve">the </w:t>
            </w:r>
            <w:r w:rsidRPr="00FB6E71">
              <w:rPr>
                <w:rFonts w:asciiTheme="minorHAnsi" w:hAnsiTheme="minorHAnsi"/>
                <w:i/>
                <w:sz w:val="18"/>
                <w:szCs w:val="18"/>
              </w:rPr>
              <w:t>Project Steering Committee</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and preparation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bidding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Procurement of contractors and supervision consultants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w:t>
            </w:r>
            <w:r>
              <w:rPr>
                <w:rFonts w:asciiTheme="minorHAnsi" w:hAnsiTheme="minorHAnsi"/>
                <w:sz w:val="18"/>
                <w:szCs w:val="18"/>
              </w:rPr>
              <w:t>a</w:t>
            </w:r>
            <w:r w:rsidRPr="00FB6E71">
              <w:rPr>
                <w:rFonts w:asciiTheme="minorHAnsi" w:hAnsiTheme="minorHAnsi"/>
                <w:sz w:val="18"/>
                <w:szCs w:val="18"/>
              </w:rPr>
              <w:t>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w:t>
            </w:r>
          </w:p>
        </w:tc>
        <w:tc>
          <w:tcPr>
            <w:tcW w:w="3500" w:type="dxa"/>
            <w:tcBorders>
              <w:top w:val="nil"/>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Clearance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Clearance of designs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Clearance of bidding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assurance</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 xml:space="preserve">1.3. Strengthening of local governance and citizen engagement: </w:t>
            </w:r>
          </w:p>
          <w:p w:rsidR="007F2DE7" w:rsidRPr="00FB6E71" w:rsidP="007F2DE7">
            <w:pPr>
              <w:widowControl/>
              <w:spacing w:after="120"/>
              <w:rPr>
                <w:rFonts w:asciiTheme="minorHAnsi" w:hAnsiTheme="minorHAnsi"/>
                <w:i/>
                <w:sz w:val="18"/>
                <w:szCs w:val="18"/>
                <w:u w:val="single"/>
              </w:rPr>
            </w:pPr>
            <w:r w:rsidRPr="00FB6E71">
              <w:rPr>
                <w:rFonts w:asciiTheme="minorHAnsi" w:hAnsiTheme="minorHAnsi"/>
                <w:i/>
                <w:sz w:val="18"/>
                <w:szCs w:val="18"/>
              </w:rPr>
              <w:t>Ministr</w:t>
            </w:r>
            <w:r>
              <w:rPr>
                <w:rFonts w:asciiTheme="minorHAnsi" w:hAnsiTheme="minorHAnsi"/>
                <w:i/>
                <w:sz w:val="18"/>
                <w:szCs w:val="18"/>
              </w:rPr>
              <w:t>ies</w:t>
            </w:r>
            <w:r w:rsidRPr="00FB6E71">
              <w:rPr>
                <w:rFonts w:asciiTheme="minorHAnsi" w:hAnsiTheme="minorHAnsi"/>
                <w:i/>
                <w:sz w:val="18"/>
                <w:szCs w:val="18"/>
              </w:rPr>
              <w:t xml:space="preserve"> of Women Affairs, Chieftaincy Affairs, Youth and Sports</w:t>
            </w:r>
            <w:r>
              <w:rPr>
                <w:rFonts w:asciiTheme="minorHAnsi" w:hAnsiTheme="minorHAnsi"/>
                <w:i/>
                <w:sz w:val="18"/>
                <w:szCs w:val="18"/>
              </w:rPr>
              <w:t>,</w:t>
            </w:r>
            <w:r w:rsidRPr="00FB6E71">
              <w:rPr>
                <w:rFonts w:asciiTheme="minorHAnsi" w:hAnsiTheme="minorHAnsi"/>
                <w:i/>
                <w:sz w:val="18"/>
                <w:szCs w:val="18"/>
              </w:rPr>
              <w:t xml:space="preserve"> and Local Government through </w:t>
            </w:r>
            <w:r>
              <w:rPr>
                <w:rFonts w:asciiTheme="minorHAnsi" w:hAnsiTheme="minorHAnsi"/>
                <w:i/>
                <w:sz w:val="18"/>
                <w:szCs w:val="18"/>
              </w:rPr>
              <w:t xml:space="preserve">the </w:t>
            </w:r>
            <w:r w:rsidRPr="00FB6E71">
              <w:rPr>
                <w:rFonts w:asciiTheme="minorHAnsi" w:hAnsiTheme="minorHAnsi"/>
                <w:i/>
                <w:sz w:val="18"/>
                <w:szCs w:val="18"/>
              </w:rPr>
              <w:t>Project Steering Committee</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and preparation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bidding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Procurement of contractors and supervision consultants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assurance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w:t>
            </w:r>
          </w:p>
        </w:tc>
        <w:tc>
          <w:tcPr>
            <w:tcW w:w="3500" w:type="dxa"/>
            <w:tcBorders>
              <w:top w:val="nil"/>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Clearance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Clearance of designs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Clearance of bidding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assurance</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 xml:space="preserve">2.1. Roads and </w:t>
            </w:r>
            <w:r>
              <w:rPr>
                <w:rFonts w:asciiTheme="minorHAnsi" w:hAnsiTheme="minorHAnsi"/>
                <w:b/>
                <w:sz w:val="18"/>
                <w:szCs w:val="18"/>
              </w:rPr>
              <w:t>b</w:t>
            </w:r>
            <w:r w:rsidRPr="00FB6E71">
              <w:rPr>
                <w:rFonts w:asciiTheme="minorHAnsi" w:hAnsiTheme="minorHAnsi"/>
                <w:b/>
                <w:sz w:val="18"/>
                <w:szCs w:val="18"/>
              </w:rPr>
              <w:t xml:space="preserve">ridges: </w:t>
            </w:r>
          </w:p>
          <w:p w:rsidR="007F2DE7" w:rsidRPr="00FB6E71" w:rsidP="007F2DE7">
            <w:pPr>
              <w:widowControl/>
              <w:spacing w:after="120"/>
              <w:rPr>
                <w:rFonts w:asciiTheme="minorHAnsi" w:hAnsiTheme="minorHAnsi"/>
                <w:i/>
                <w:sz w:val="18"/>
                <w:szCs w:val="18"/>
              </w:rPr>
            </w:pPr>
            <w:r w:rsidRPr="00FB6E71">
              <w:rPr>
                <w:rFonts w:asciiTheme="minorHAnsi" w:hAnsiTheme="minorHAnsi"/>
                <w:i/>
                <w:sz w:val="18"/>
                <w:szCs w:val="18"/>
              </w:rPr>
              <w:t>State Ministry of Agriculture and Rural Development or State Ministry of Public Works (depending on the state)</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tc>
        <w:tc>
          <w:tcPr>
            <w:tcW w:w="3500" w:type="dxa"/>
            <w:tcBorders>
              <w:top w:val="nil"/>
              <w:left w:val="nil"/>
              <w:bottom w:val="single" w:sz="8" w:space="0" w:color="auto"/>
              <w:right w:val="single" w:sz="8" w:space="0" w:color="auto"/>
            </w:tcBorders>
            <w:tcMar>
              <w:top w:w="0" w:type="dxa"/>
              <w:left w:w="108" w:type="dxa"/>
              <w:bottom w:w="0" w:type="dxa"/>
              <w:right w:w="108" w:type="dxa"/>
            </w:tcMar>
            <w:hideMark/>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of roads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contractors and supervision consultants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w:t>
            </w:r>
            <w:r>
              <w:rPr>
                <w:rFonts w:asciiTheme="minorHAnsi" w:hAnsiTheme="minorHAnsi"/>
                <w:sz w:val="18"/>
                <w:szCs w:val="18"/>
              </w:rPr>
              <w:t>a</w:t>
            </w:r>
            <w:r w:rsidRPr="00FB6E71">
              <w:rPr>
                <w:rFonts w:asciiTheme="minorHAnsi" w:hAnsiTheme="minorHAnsi"/>
                <w:sz w:val="18"/>
                <w:szCs w:val="18"/>
              </w:rPr>
              <w:t>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Operations and maintenance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 of works</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2.2. Water and sanitation:</w:t>
            </w:r>
          </w:p>
          <w:p w:rsidR="007F2DE7" w:rsidRPr="00FB6E71" w:rsidP="007F2DE7">
            <w:pPr>
              <w:widowControl/>
              <w:spacing w:after="120"/>
              <w:rPr>
                <w:rFonts w:asciiTheme="minorHAnsi" w:hAnsiTheme="minorHAnsi"/>
                <w:i/>
                <w:sz w:val="18"/>
                <w:szCs w:val="18"/>
              </w:rPr>
            </w:pPr>
            <w:r w:rsidRPr="00FB6E71">
              <w:rPr>
                <w:rFonts w:asciiTheme="minorHAnsi" w:hAnsiTheme="minorHAnsi"/>
                <w:bCs/>
                <w:i/>
                <w:sz w:val="18"/>
                <w:szCs w:val="18"/>
              </w:rPr>
              <w:t>SWBs and the Small Towns Water and Sanitation Agency</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tc>
        <w:tc>
          <w:tcPr>
            <w:tcW w:w="3500" w:type="dxa"/>
            <w:tcBorders>
              <w:top w:val="nil"/>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of sites in need of upgraded WASH facilities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contractors and supervision consultants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assurance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Operations and maintenance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 of works</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2.3. Education:</w:t>
            </w:r>
          </w:p>
          <w:p w:rsidR="007F2DE7" w:rsidRPr="00FB6E71" w:rsidP="007F2DE7">
            <w:pPr>
              <w:widowControl/>
              <w:spacing w:after="120"/>
              <w:rPr>
                <w:rFonts w:asciiTheme="minorHAnsi" w:hAnsiTheme="minorHAnsi"/>
                <w:sz w:val="18"/>
                <w:szCs w:val="18"/>
              </w:rPr>
            </w:pPr>
            <w:r w:rsidRPr="00FB6E71">
              <w:rPr>
                <w:rFonts w:asciiTheme="minorHAnsi" w:hAnsiTheme="minorHAnsi"/>
                <w:bCs/>
                <w:i/>
                <w:sz w:val="18"/>
                <w:szCs w:val="18"/>
              </w:rPr>
              <w:t xml:space="preserve">State Ministry of Education </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tc>
        <w:tc>
          <w:tcPr>
            <w:tcW w:w="3500" w:type="dxa"/>
            <w:tcBorders>
              <w:top w:val="nil"/>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of schools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contractors and supervision consultants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assurance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Operations and maintenance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 of works</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2.4. Health:</w:t>
            </w:r>
          </w:p>
          <w:p w:rsidR="007F2DE7" w:rsidRPr="00FB6E71" w:rsidP="007F2DE7">
            <w:pPr>
              <w:widowControl/>
              <w:spacing w:after="120"/>
              <w:rPr>
                <w:rFonts w:asciiTheme="minorHAnsi" w:hAnsiTheme="minorHAnsi"/>
                <w:sz w:val="18"/>
                <w:szCs w:val="18"/>
                <w:u w:val="single"/>
              </w:rPr>
            </w:pPr>
            <w:r w:rsidRPr="00FB6E71">
              <w:rPr>
                <w:rFonts w:asciiTheme="minorHAnsi" w:hAnsiTheme="minorHAnsi"/>
                <w:bCs/>
                <w:i/>
                <w:sz w:val="18"/>
                <w:szCs w:val="18"/>
              </w:rPr>
              <w:t>State Primary Health Care Development Agencies</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tc>
        <w:tc>
          <w:tcPr>
            <w:tcW w:w="3500" w:type="dxa"/>
            <w:tcBorders>
              <w:top w:val="nil"/>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of primary health facilitates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contractors and supervision consultants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w:t>
            </w:r>
            <w:r>
              <w:rPr>
                <w:rFonts w:asciiTheme="minorHAnsi" w:hAnsiTheme="minorHAnsi"/>
                <w:sz w:val="18"/>
                <w:szCs w:val="18"/>
              </w:rPr>
              <w:t>a</w:t>
            </w:r>
            <w:r w:rsidRPr="00FB6E71">
              <w:rPr>
                <w:rFonts w:asciiTheme="minorHAnsi" w:hAnsiTheme="minorHAnsi"/>
                <w:sz w:val="18"/>
                <w:szCs w:val="18"/>
              </w:rPr>
              <w:t>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Operations and maintenance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 of works</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sz w:val="18"/>
                <w:szCs w:val="18"/>
              </w:rPr>
            </w:pPr>
            <w:r w:rsidRPr="00FB6E71">
              <w:rPr>
                <w:rFonts w:asciiTheme="minorHAnsi" w:hAnsiTheme="minorHAnsi"/>
                <w:b/>
                <w:sz w:val="18"/>
                <w:szCs w:val="18"/>
              </w:rPr>
              <w:t xml:space="preserve">2.5. Public </w:t>
            </w:r>
            <w:r>
              <w:rPr>
                <w:rFonts w:asciiTheme="minorHAnsi" w:hAnsiTheme="minorHAnsi"/>
                <w:b/>
                <w:sz w:val="18"/>
                <w:szCs w:val="18"/>
              </w:rPr>
              <w:t>b</w:t>
            </w:r>
            <w:r w:rsidRPr="00FB6E71">
              <w:rPr>
                <w:rFonts w:asciiTheme="minorHAnsi" w:hAnsiTheme="minorHAnsi"/>
                <w:b/>
                <w:sz w:val="18"/>
                <w:szCs w:val="18"/>
              </w:rPr>
              <w:t xml:space="preserve">uildings: </w:t>
            </w:r>
          </w:p>
          <w:p w:rsidR="007F2DE7" w:rsidRPr="00FB6E71" w:rsidP="007F2DE7">
            <w:pPr>
              <w:widowControl/>
              <w:spacing w:after="120"/>
              <w:rPr>
                <w:rFonts w:asciiTheme="minorHAnsi" w:hAnsiTheme="minorHAnsi"/>
                <w:sz w:val="18"/>
                <w:szCs w:val="18"/>
              </w:rPr>
            </w:pPr>
            <w:r w:rsidRPr="00FB6E71">
              <w:rPr>
                <w:rFonts w:asciiTheme="minorHAnsi" w:hAnsiTheme="minorHAnsi"/>
                <w:i/>
                <w:sz w:val="18"/>
                <w:szCs w:val="18"/>
              </w:rPr>
              <w:t>State Ministry of Public Works</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goods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 oversight and controls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w:t>
            </w:r>
            <w:r>
              <w:rPr>
                <w:rFonts w:asciiTheme="minorHAnsi" w:hAnsiTheme="minorHAnsi"/>
                <w:sz w:val="18"/>
                <w:szCs w:val="18"/>
              </w:rPr>
              <w:t>ication of</w:t>
            </w:r>
            <w:r w:rsidRPr="00FB6E71">
              <w:rPr>
                <w:rFonts w:asciiTheme="minorHAnsi" w:hAnsiTheme="minorHAnsi"/>
                <w:sz w:val="18"/>
                <w:szCs w:val="18"/>
              </w:rPr>
              <w:t xml:space="preserve"> progress reports</w:t>
            </w:r>
          </w:p>
        </w:tc>
        <w:tc>
          <w:tcPr>
            <w:tcW w:w="3500" w:type="dxa"/>
            <w:tcBorders>
              <w:top w:val="nil"/>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of public buildings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Participation in procurement of works, goods</w:t>
            </w:r>
            <w:r>
              <w:rPr>
                <w:rFonts w:asciiTheme="minorHAnsi" w:hAnsiTheme="minorHAnsi"/>
                <w:sz w:val="18"/>
                <w:szCs w:val="18"/>
              </w:rPr>
              <w:t>,</w:t>
            </w:r>
            <w:r w:rsidRPr="00FB6E71">
              <w:rPr>
                <w:rFonts w:asciiTheme="minorHAnsi" w:hAnsiTheme="minorHAnsi"/>
                <w:sz w:val="18"/>
                <w:szCs w:val="18"/>
              </w:rPr>
              <w:t xml:space="preserve"> and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w:t>
            </w:r>
            <w:r>
              <w:rPr>
                <w:rFonts w:asciiTheme="minorHAnsi" w:hAnsiTheme="minorHAnsi"/>
                <w:sz w:val="18"/>
                <w:szCs w:val="18"/>
              </w:rPr>
              <w:t>a</w:t>
            </w:r>
            <w:r w:rsidRPr="00FB6E71">
              <w:rPr>
                <w:rFonts w:asciiTheme="minorHAnsi" w:hAnsiTheme="minorHAnsi"/>
                <w:sz w:val="18"/>
                <w:szCs w:val="18"/>
              </w:rPr>
              <w:t>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 of works</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bCs/>
                <w:sz w:val="18"/>
                <w:szCs w:val="18"/>
              </w:rPr>
            </w:pPr>
            <w:r w:rsidRPr="00FB6E71">
              <w:rPr>
                <w:rFonts w:asciiTheme="minorHAnsi" w:hAnsiTheme="minorHAnsi"/>
                <w:b/>
                <w:bCs/>
                <w:sz w:val="18"/>
                <w:szCs w:val="18"/>
              </w:rPr>
              <w:t xml:space="preserve">3.1. Institutional </w:t>
            </w:r>
            <w:r>
              <w:rPr>
                <w:rFonts w:asciiTheme="minorHAnsi" w:hAnsiTheme="minorHAnsi"/>
                <w:b/>
                <w:bCs/>
                <w:sz w:val="18"/>
                <w:szCs w:val="18"/>
              </w:rPr>
              <w:t>c</w:t>
            </w:r>
            <w:r w:rsidRPr="00FB6E71">
              <w:rPr>
                <w:rFonts w:asciiTheme="minorHAnsi" w:hAnsiTheme="minorHAnsi"/>
                <w:b/>
                <w:bCs/>
                <w:sz w:val="18"/>
                <w:szCs w:val="18"/>
              </w:rPr>
              <w:t xml:space="preserve">apacity </w:t>
            </w:r>
            <w:r>
              <w:rPr>
                <w:rFonts w:asciiTheme="minorHAnsi" w:hAnsiTheme="minorHAnsi"/>
                <w:b/>
                <w:bCs/>
                <w:sz w:val="18"/>
                <w:szCs w:val="18"/>
              </w:rPr>
              <w:t>b</w:t>
            </w:r>
            <w:r w:rsidRPr="00FB6E71">
              <w:rPr>
                <w:rFonts w:asciiTheme="minorHAnsi" w:hAnsiTheme="minorHAnsi"/>
                <w:b/>
                <w:bCs/>
                <w:sz w:val="18"/>
                <w:szCs w:val="18"/>
              </w:rPr>
              <w:t xml:space="preserve">uilding: </w:t>
            </w:r>
          </w:p>
          <w:p w:rsidR="007F2DE7" w:rsidRPr="00FB6E71" w:rsidP="007F2DE7">
            <w:pPr>
              <w:widowControl/>
              <w:spacing w:after="120"/>
              <w:rPr>
                <w:rFonts w:asciiTheme="minorHAnsi" w:hAnsiTheme="minorHAnsi"/>
                <w:i/>
                <w:sz w:val="18"/>
                <w:szCs w:val="18"/>
                <w:u w:val="single"/>
              </w:rPr>
            </w:pPr>
            <w:r w:rsidRPr="00FB6E71">
              <w:rPr>
                <w:rFonts w:asciiTheme="minorHAnsi" w:hAnsiTheme="minorHAnsi"/>
                <w:bCs/>
                <w:i/>
                <w:sz w:val="18"/>
                <w:szCs w:val="18"/>
              </w:rPr>
              <w:t xml:space="preserve">State governments and </w:t>
            </w:r>
            <w:r>
              <w:rPr>
                <w:rFonts w:asciiTheme="minorHAnsi" w:hAnsiTheme="minorHAnsi"/>
                <w:bCs/>
                <w:i/>
                <w:sz w:val="18"/>
                <w:szCs w:val="18"/>
              </w:rPr>
              <w:t xml:space="preserve">the </w:t>
            </w:r>
            <w:r w:rsidRPr="00FB6E71">
              <w:rPr>
                <w:rFonts w:asciiTheme="minorHAnsi" w:hAnsiTheme="minorHAnsi"/>
                <w:bCs/>
                <w:i/>
                <w:sz w:val="18"/>
                <w:szCs w:val="18"/>
              </w:rPr>
              <w:t>PCNI</w:t>
            </w:r>
            <w:r w:rsidRPr="00FB6E71">
              <w:rPr>
                <w:rFonts w:asciiTheme="minorHAnsi" w:hAnsiTheme="minorHAnsi"/>
                <w:bCs/>
                <w:i/>
                <w:sz w:val="18"/>
                <w:szCs w:val="18"/>
                <w:u w:val="single"/>
              </w:rPr>
              <w:t xml:space="preserve"> </w:t>
            </w:r>
          </w:p>
        </w:tc>
        <w:tc>
          <w:tcPr>
            <w:tcW w:w="3960"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tc>
        <w:tc>
          <w:tcPr>
            <w:tcW w:w="3500" w:type="dxa"/>
            <w:tcBorders>
              <w:top w:val="nil"/>
              <w:left w:val="nil"/>
              <w:bottom w:val="single" w:sz="4" w:space="0" w:color="auto"/>
              <w:right w:val="single" w:sz="8" w:space="0" w:color="auto"/>
            </w:tcBorders>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and preparation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designs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Preparation of bid documents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contractors and supervision consultants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Site supervision </w:t>
            </w:r>
            <w:r>
              <w:rPr>
                <w:rFonts w:asciiTheme="minorHAnsi" w:hAnsiTheme="minorHAnsi"/>
                <w:sz w:val="18"/>
                <w:szCs w:val="18"/>
              </w:rPr>
              <w:t>and</w:t>
            </w:r>
            <w:r w:rsidRPr="00FB6E71">
              <w:rPr>
                <w:rFonts w:asciiTheme="minorHAnsi" w:hAnsiTheme="minorHAnsi"/>
                <w:sz w:val="18"/>
                <w:szCs w:val="18"/>
              </w:rPr>
              <w:t xml:space="preserve"> technical quality </w:t>
            </w:r>
            <w:r>
              <w:rPr>
                <w:rFonts w:asciiTheme="minorHAnsi" w:hAnsiTheme="minorHAnsi"/>
                <w:sz w:val="18"/>
                <w:szCs w:val="18"/>
              </w:rPr>
              <w:t>a</w:t>
            </w:r>
            <w:r w:rsidRPr="00FB6E71">
              <w:rPr>
                <w:rFonts w:asciiTheme="minorHAnsi" w:hAnsiTheme="minorHAnsi"/>
                <w:sz w:val="18"/>
                <w:szCs w:val="18"/>
              </w:rPr>
              <w:t>ssurance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Contract management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Operations and maintenance </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w:t>
            </w:r>
          </w:p>
        </w:tc>
      </w:tr>
      <w:tr w:rsidTr="007F2DE7">
        <w:tblPrEx>
          <w:tblW w:w="5000" w:type="pct"/>
          <w:jc w:val="center"/>
          <w:tblLayout w:type="fixed"/>
          <w:tblCellMar>
            <w:left w:w="0" w:type="dxa"/>
            <w:right w:w="0" w:type="dxa"/>
          </w:tblCellMar>
          <w:tblLook w:val="04A0"/>
        </w:tblPrEx>
        <w:trPr>
          <w:cantSplit/>
          <w:trHeight w:val="20"/>
          <w:jc w:val="center"/>
        </w:trPr>
        <w:tc>
          <w:tcPr>
            <w:tcW w:w="18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F2DE7" w:rsidRPr="00FB6E71" w:rsidP="007F2DE7">
            <w:pPr>
              <w:widowControl/>
              <w:spacing w:after="120"/>
              <w:rPr>
                <w:rFonts w:asciiTheme="minorHAnsi" w:hAnsiTheme="minorHAnsi"/>
                <w:b/>
                <w:sz w:val="18"/>
                <w:szCs w:val="18"/>
              </w:rPr>
            </w:pPr>
            <w:r w:rsidRPr="00FB6E71">
              <w:rPr>
                <w:rFonts w:asciiTheme="minorHAnsi" w:hAnsiTheme="minorHAnsi"/>
                <w:b/>
                <w:bCs/>
                <w:sz w:val="18"/>
                <w:szCs w:val="18"/>
              </w:rPr>
              <w:t xml:space="preserve">3.2. Program </w:t>
            </w:r>
            <w:r>
              <w:rPr>
                <w:rFonts w:asciiTheme="minorHAnsi" w:hAnsiTheme="minorHAnsi"/>
                <w:b/>
                <w:bCs/>
                <w:sz w:val="18"/>
                <w:szCs w:val="18"/>
              </w:rPr>
              <w:t>m</w:t>
            </w:r>
            <w:r w:rsidRPr="00FB6E71">
              <w:rPr>
                <w:rFonts w:asciiTheme="minorHAnsi" w:hAnsiTheme="minorHAnsi"/>
                <w:b/>
                <w:bCs/>
                <w:sz w:val="18"/>
                <w:szCs w:val="18"/>
              </w:rPr>
              <w:t xml:space="preserve">anagement </w:t>
            </w:r>
            <w:r>
              <w:rPr>
                <w:rFonts w:asciiTheme="minorHAnsi" w:hAnsiTheme="minorHAnsi"/>
                <w:b/>
                <w:bCs/>
                <w:sz w:val="18"/>
                <w:szCs w:val="18"/>
              </w:rPr>
              <w:t>s</w:t>
            </w:r>
            <w:r w:rsidRPr="00FB6E71">
              <w:rPr>
                <w:rFonts w:asciiTheme="minorHAnsi" w:hAnsiTheme="minorHAnsi"/>
                <w:b/>
                <w:bCs/>
                <w:sz w:val="18"/>
                <w:szCs w:val="18"/>
              </w:rPr>
              <w:t>upport</w:t>
            </w:r>
          </w:p>
        </w:tc>
        <w:tc>
          <w:tcPr>
            <w:tcW w:w="396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Quality and process oversight</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Procurement of services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Seek</w:t>
            </w:r>
            <w:r>
              <w:rPr>
                <w:rFonts w:asciiTheme="minorHAnsi" w:hAnsiTheme="minorHAnsi"/>
                <w:sz w:val="18"/>
                <w:szCs w:val="18"/>
              </w:rPr>
              <w:t>ing of</w:t>
            </w:r>
            <w:r w:rsidRPr="00FB6E71">
              <w:rPr>
                <w:rFonts w:asciiTheme="minorHAnsi" w:hAnsiTheme="minorHAnsi"/>
                <w:sz w:val="18"/>
                <w:szCs w:val="18"/>
              </w:rPr>
              <w:t xml:space="preserve"> World Bank no-objections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Financial reporting</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M&amp;E</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Identification and preparation of interventions and schemes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 xml:space="preserve">Procurement and supervision </w:t>
            </w:r>
            <w:r>
              <w:rPr>
                <w:rFonts w:asciiTheme="minorHAnsi" w:hAnsiTheme="minorHAnsi"/>
                <w:sz w:val="18"/>
                <w:szCs w:val="18"/>
              </w:rPr>
              <w:t xml:space="preserve">of </w:t>
            </w:r>
            <w:r w:rsidRPr="00FB6E71">
              <w:rPr>
                <w:rFonts w:asciiTheme="minorHAnsi" w:hAnsiTheme="minorHAnsi"/>
                <w:sz w:val="18"/>
                <w:szCs w:val="18"/>
              </w:rPr>
              <w:t>consultants</w:t>
            </w:r>
          </w:p>
          <w:p w:rsidR="007F2DE7" w:rsidRPr="00FB6E71" w:rsidP="007F2DE7">
            <w:pPr>
              <w:widowControl/>
              <w:numPr>
                <w:ilvl w:val="0"/>
                <w:numId w:val="9"/>
              </w:numPr>
              <w:autoSpaceDE/>
              <w:autoSpaceDN/>
              <w:adjustRightInd/>
              <w:ind w:left="288" w:hanging="288"/>
              <w:rPr>
                <w:rFonts w:asciiTheme="minorHAnsi" w:hAnsiTheme="minorHAnsi"/>
                <w:sz w:val="18"/>
                <w:szCs w:val="18"/>
              </w:rPr>
            </w:pPr>
            <w:r w:rsidRPr="00FB6E71">
              <w:rPr>
                <w:rFonts w:asciiTheme="minorHAnsi" w:hAnsiTheme="minorHAnsi"/>
                <w:sz w:val="18"/>
                <w:szCs w:val="18"/>
              </w:rPr>
              <w:t>Certification and payment</w:t>
            </w:r>
          </w:p>
        </w:tc>
        <w:tc>
          <w:tcPr>
            <w:tcW w:w="35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F2DE7" w:rsidRPr="00FB6E71" w:rsidP="007F2DE7">
            <w:pPr>
              <w:widowControl/>
              <w:autoSpaceDE/>
              <w:autoSpaceDN/>
              <w:adjustRightInd/>
              <w:spacing w:after="120"/>
              <w:rPr>
                <w:rFonts w:asciiTheme="minorHAnsi" w:hAnsiTheme="minorHAnsi"/>
                <w:sz w:val="18"/>
                <w:szCs w:val="18"/>
              </w:rPr>
            </w:pPr>
            <w:r>
              <w:rPr>
                <w:rFonts w:asciiTheme="minorHAnsi" w:hAnsiTheme="minorHAnsi"/>
                <w:sz w:val="18"/>
                <w:szCs w:val="18"/>
              </w:rPr>
              <w:t>n.a.</w:t>
            </w:r>
          </w:p>
        </w:tc>
      </w:tr>
    </w:tbl>
    <w:p w:rsidR="007F2DE7" w:rsidRPr="00FB6E71" w:rsidP="007F2DE7">
      <w:pPr>
        <w:widowControl/>
        <w:jc w:val="center"/>
        <w:rPr>
          <w:rFonts w:asciiTheme="minorHAnsi" w:hAnsiTheme="minorHAnsi"/>
          <w:color w:val="auto"/>
          <w:sz w:val="18"/>
          <w:szCs w:val="18"/>
          <w:lang w:bidi="en-US"/>
        </w:rPr>
      </w:pP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Investment Planning Principles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proposed project is aligned with and contributes to the four strategic outcomes for recovery and peace building set out by the RPBA, </w:t>
      </w:r>
      <w:r w:rsidRPr="00FB6E71">
        <w:rPr>
          <w:rFonts w:asciiTheme="minorHAnsi" w:hAnsiTheme="minorHAnsi"/>
          <w:bCs/>
          <w:color w:val="auto"/>
          <w:sz w:val="22"/>
          <w:szCs w:val="22"/>
        </w:rPr>
        <w:t>including (a) safe, voluntary</w:t>
      </w:r>
      <w:r>
        <w:rPr>
          <w:rFonts w:asciiTheme="minorHAnsi" w:hAnsiTheme="minorHAnsi"/>
          <w:bCs/>
          <w:color w:val="auto"/>
          <w:sz w:val="22"/>
          <w:szCs w:val="22"/>
        </w:rPr>
        <w:t>,</w:t>
      </w:r>
      <w:r w:rsidRPr="00FB6E71">
        <w:rPr>
          <w:rFonts w:asciiTheme="minorHAnsi" w:hAnsiTheme="minorHAnsi"/>
          <w:bCs/>
          <w:color w:val="auto"/>
          <w:sz w:val="22"/>
          <w:szCs w:val="22"/>
        </w:rPr>
        <w:t xml:space="preserve"> and dignified return and resettlement of displaced populations; (b) improved human security, reconciliation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violence prevention; (c) enhanced government accountability and citizen engagement in service delivery; and (d) increased equity in the provision of basic services and employment opportunities.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Following the recovery framework outlined in the RPBA, achieving these outcomes w</w:t>
      </w:r>
      <w:r>
        <w:rPr>
          <w:rFonts w:asciiTheme="minorHAnsi" w:hAnsiTheme="minorHAnsi"/>
          <w:b/>
          <w:bCs/>
          <w:color w:val="auto"/>
          <w:sz w:val="22"/>
          <w:szCs w:val="22"/>
        </w:rPr>
        <w:t>ill</w:t>
      </w:r>
      <w:r w:rsidRPr="00FB6E71">
        <w:rPr>
          <w:rFonts w:asciiTheme="minorHAnsi" w:hAnsiTheme="minorHAnsi"/>
          <w:b/>
          <w:bCs/>
          <w:color w:val="auto"/>
          <w:sz w:val="22"/>
          <w:szCs w:val="22"/>
        </w:rPr>
        <w:t xml:space="preserve"> require four areas of intervention</w:t>
      </w:r>
      <w:r w:rsidRPr="00663041">
        <w:rPr>
          <w:rFonts w:asciiTheme="minorHAnsi" w:hAnsiTheme="minorHAnsi"/>
          <w:b/>
          <w:bCs/>
          <w:color w:val="auto"/>
          <w:sz w:val="22"/>
          <w:szCs w:val="22"/>
        </w:rPr>
        <w:t>,</w:t>
      </w:r>
      <w:r w:rsidRPr="00FB6E71">
        <w:rPr>
          <w:rFonts w:asciiTheme="minorHAnsi" w:hAnsiTheme="minorHAnsi"/>
          <w:bCs/>
          <w:color w:val="auto"/>
          <w:sz w:val="22"/>
          <w:szCs w:val="22"/>
        </w:rPr>
        <w:t xml:space="preserve"> including (a) peace building and social cohesion activities to integrate the forcibly displaced into local planning and strengthen integration between forcibly displaced population and host communities; (b) rapid infrastructure rehabilitation and service delivery restoration and improvement; (c) quick injection of short-term employment opportunities, followed by sustainable restoration of livelihoods; and (d) a conflict</w:t>
      </w:r>
      <w:r>
        <w:rPr>
          <w:rFonts w:asciiTheme="minorHAnsi" w:hAnsiTheme="minorHAnsi"/>
          <w:bCs/>
          <w:color w:val="auto"/>
          <w:sz w:val="22"/>
          <w:szCs w:val="22"/>
        </w:rPr>
        <w:t>-</w:t>
      </w:r>
      <w:r w:rsidRPr="00FB6E71">
        <w:rPr>
          <w:rFonts w:asciiTheme="minorHAnsi" w:hAnsiTheme="minorHAnsi"/>
          <w:bCs/>
          <w:color w:val="auto"/>
          <w:sz w:val="22"/>
          <w:szCs w:val="22"/>
        </w:rPr>
        <w:t xml:space="preserve">sensitive and inclusive approach to programming and implementation of programmatic responses. The principles outlined in the RPBA of building back better and do no harm </w:t>
      </w:r>
      <w:r>
        <w:rPr>
          <w:rFonts w:asciiTheme="minorHAnsi" w:hAnsiTheme="minorHAnsi"/>
          <w:bCs/>
          <w:color w:val="auto"/>
          <w:sz w:val="22"/>
          <w:szCs w:val="22"/>
        </w:rPr>
        <w:t>have</w:t>
      </w:r>
      <w:r w:rsidRPr="00FB6E71">
        <w:rPr>
          <w:rFonts w:asciiTheme="minorHAnsi" w:hAnsiTheme="minorHAnsi"/>
          <w:bCs/>
          <w:color w:val="auto"/>
          <w:sz w:val="22"/>
          <w:szCs w:val="22"/>
        </w:rPr>
        <w:t xml:space="preserve"> be</w:t>
      </w:r>
      <w:r>
        <w:rPr>
          <w:rFonts w:asciiTheme="minorHAnsi" w:hAnsiTheme="minorHAnsi"/>
          <w:bCs/>
          <w:color w:val="auto"/>
          <w:sz w:val="22"/>
          <w:szCs w:val="22"/>
        </w:rPr>
        <w:t>en</w:t>
      </w:r>
      <w:r w:rsidRPr="00FB6E71">
        <w:rPr>
          <w:rFonts w:asciiTheme="minorHAnsi" w:hAnsiTheme="minorHAnsi"/>
          <w:bCs/>
          <w:color w:val="auto"/>
          <w:sz w:val="22"/>
          <w:szCs w:val="22"/>
        </w:rPr>
        <w:t xml:space="preserve"> integrated into the preparation </w:t>
      </w:r>
      <w:r>
        <w:rPr>
          <w:rFonts w:asciiTheme="minorHAnsi" w:hAnsiTheme="minorHAnsi"/>
          <w:bCs/>
          <w:color w:val="auto"/>
          <w:sz w:val="22"/>
          <w:szCs w:val="22"/>
        </w:rPr>
        <w:t>and will continue to guide the</w:t>
      </w:r>
      <w:r w:rsidRPr="00FB6E71">
        <w:rPr>
          <w:rFonts w:asciiTheme="minorHAnsi" w:hAnsiTheme="minorHAnsi"/>
          <w:bCs/>
          <w:color w:val="auto"/>
          <w:sz w:val="22"/>
          <w:szCs w:val="22"/>
        </w:rPr>
        <w:t xml:space="preserve"> implementation of the project.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The suggested project design is based on providing a programmatic, multi-sector</w:t>
      </w:r>
      <w:r>
        <w:rPr>
          <w:rFonts w:asciiTheme="minorHAnsi" w:hAnsiTheme="minorHAnsi"/>
          <w:b/>
          <w:bCs/>
          <w:color w:val="auto"/>
          <w:sz w:val="22"/>
          <w:szCs w:val="22"/>
        </w:rPr>
        <w:t>,</w:t>
      </w:r>
      <w:r w:rsidRPr="00FB6E71">
        <w:rPr>
          <w:rFonts w:asciiTheme="minorHAnsi" w:hAnsiTheme="minorHAnsi"/>
          <w:b/>
          <w:bCs/>
          <w:color w:val="auto"/>
          <w:sz w:val="22"/>
          <w:szCs w:val="22"/>
        </w:rPr>
        <w:t xml:space="preserve"> and multi-partner solution to crisis recovery in the three BAY states.</w:t>
      </w:r>
      <w:r w:rsidRPr="00FB6E71">
        <w:rPr>
          <w:rFonts w:asciiTheme="minorHAnsi" w:hAnsiTheme="minorHAnsi"/>
          <w:bCs/>
          <w:color w:val="auto"/>
          <w:sz w:val="22"/>
          <w:szCs w:val="22"/>
        </w:rPr>
        <w:t xml:space="preserve"> Informed by area-based crisis recovery experiences, the proposed activities will be built on a three-component integrated approach of social, economic</w:t>
      </w:r>
      <w:r>
        <w:rPr>
          <w:rFonts w:asciiTheme="minorHAnsi" w:hAnsiTheme="minorHAnsi"/>
          <w:bCs/>
          <w:color w:val="auto"/>
          <w:sz w:val="22"/>
          <w:szCs w:val="22"/>
        </w:rPr>
        <w:t>,</w:t>
      </w:r>
      <w:r w:rsidRPr="00FB6E71">
        <w:rPr>
          <w:rFonts w:asciiTheme="minorHAnsi" w:hAnsiTheme="minorHAnsi"/>
          <w:bCs/>
          <w:color w:val="auto"/>
          <w:sz w:val="22"/>
          <w:szCs w:val="22"/>
        </w:rPr>
        <w:t xml:space="preserve"> and infrastructure/service delivery restoration and recovery. Livelihood restoration is proposed to be a cross</w:t>
      </w:r>
      <w:r>
        <w:rPr>
          <w:rFonts w:asciiTheme="minorHAnsi" w:hAnsiTheme="minorHAnsi"/>
          <w:bCs/>
          <w:color w:val="auto"/>
          <w:sz w:val="22"/>
          <w:szCs w:val="22"/>
        </w:rPr>
        <w:t>-</w:t>
      </w:r>
      <w:r w:rsidRPr="00FB6E71">
        <w:rPr>
          <w:rFonts w:asciiTheme="minorHAnsi" w:hAnsiTheme="minorHAnsi"/>
          <w:bCs/>
          <w:color w:val="auto"/>
          <w:sz w:val="22"/>
          <w:szCs w:val="22"/>
        </w:rPr>
        <w:t>cutting consideration that is folded into the design and implementation of all components of the project. This w</w:t>
      </w:r>
      <w:r>
        <w:rPr>
          <w:rFonts w:asciiTheme="minorHAnsi" w:hAnsiTheme="minorHAnsi"/>
          <w:bCs/>
          <w:color w:val="auto"/>
          <w:sz w:val="22"/>
          <w:szCs w:val="22"/>
        </w:rPr>
        <w:t>ill</w:t>
      </w:r>
      <w:r w:rsidRPr="00FB6E71">
        <w:rPr>
          <w:rFonts w:asciiTheme="minorHAnsi" w:hAnsiTheme="minorHAnsi"/>
          <w:bCs/>
          <w:color w:val="auto"/>
          <w:sz w:val="22"/>
          <w:szCs w:val="22"/>
        </w:rPr>
        <w:t xml:space="preserve"> include exploring opportunities to adopt labor-intensive approaches for reconstruction, engaging </w:t>
      </w:r>
      <w:r>
        <w:rPr>
          <w:rFonts w:asciiTheme="minorHAnsi" w:hAnsiTheme="minorHAnsi"/>
          <w:bCs/>
          <w:color w:val="auto"/>
          <w:sz w:val="22"/>
          <w:szCs w:val="22"/>
        </w:rPr>
        <w:t xml:space="preserve">the </w:t>
      </w:r>
      <w:r w:rsidRPr="00FB6E71">
        <w:rPr>
          <w:rFonts w:asciiTheme="minorHAnsi" w:hAnsiTheme="minorHAnsi"/>
          <w:bCs/>
          <w:color w:val="auto"/>
          <w:sz w:val="22"/>
          <w:szCs w:val="22"/>
        </w:rPr>
        <w:t>affected communities. Sustainable restoration of livelihoods w</w:t>
      </w:r>
      <w:r>
        <w:rPr>
          <w:rFonts w:asciiTheme="minorHAnsi" w:hAnsiTheme="minorHAnsi"/>
          <w:bCs/>
          <w:color w:val="auto"/>
          <w:sz w:val="22"/>
          <w:szCs w:val="22"/>
        </w:rPr>
        <w:t>ill</w:t>
      </w:r>
      <w:r w:rsidRPr="00FB6E71">
        <w:rPr>
          <w:rFonts w:asciiTheme="minorHAnsi" w:hAnsiTheme="minorHAnsi"/>
          <w:bCs/>
          <w:color w:val="auto"/>
          <w:sz w:val="22"/>
          <w:szCs w:val="22"/>
        </w:rPr>
        <w:t xml:space="preserve"> also be considered under the social cohesion component, particularly targeting IDP.</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Infrastructure and social service delivery investments can act as a catalyst for peace and stability.</w:t>
      </w:r>
      <w:r w:rsidRPr="00FB6E71">
        <w:rPr>
          <w:rFonts w:asciiTheme="minorHAnsi" w:hAnsiTheme="minorHAnsi"/>
          <w:bCs/>
          <w:color w:val="auto"/>
          <w:sz w:val="22"/>
          <w:szCs w:val="22"/>
        </w:rPr>
        <w:t xml:space="preserve"> Infrastructure development and equitable and sustainable provision of critical social services (education and health are recogni</w:t>
      </w:r>
      <w:r>
        <w:rPr>
          <w:rFonts w:asciiTheme="minorHAnsi" w:hAnsiTheme="minorHAnsi"/>
          <w:bCs/>
          <w:color w:val="auto"/>
          <w:sz w:val="22"/>
          <w:szCs w:val="22"/>
        </w:rPr>
        <w:t>z</w:t>
      </w:r>
      <w:r w:rsidRPr="00FB6E71">
        <w:rPr>
          <w:rFonts w:asciiTheme="minorHAnsi" w:hAnsiTheme="minorHAnsi"/>
          <w:bCs/>
          <w:color w:val="auto"/>
          <w:sz w:val="22"/>
          <w:szCs w:val="22"/>
        </w:rPr>
        <w:t>ed in conflict situations) promote growth of local economies and social cohesion among their people. Economic deprivation, inequitable distribution of economic growth</w:t>
      </w:r>
      <w:r>
        <w:rPr>
          <w:rFonts w:asciiTheme="minorHAnsi" w:hAnsiTheme="minorHAnsi"/>
          <w:bCs/>
          <w:color w:val="auto"/>
          <w:sz w:val="22"/>
          <w:szCs w:val="22"/>
        </w:rPr>
        <w:t>,</w:t>
      </w:r>
      <w:r w:rsidRPr="00FB6E71">
        <w:rPr>
          <w:rFonts w:asciiTheme="minorHAnsi" w:hAnsiTheme="minorHAnsi"/>
          <w:bCs/>
          <w:color w:val="auto"/>
          <w:sz w:val="22"/>
          <w:szCs w:val="22"/>
        </w:rPr>
        <w:t xml:space="preserve"> and perceived neglect of the NE are some of the causal factors that contributed to the conflicts in the region. The project is therefore addressing these needs recognizing that infrastructure and social service sector investments could provide the much-required stimulus to promote livelihoods for local populations, economic growth of local economies, and greater cohesion among its people. In the current socioeconomic and political contexts of the NE, these sectors are important levers to promote peace and economic prosperity in these regions.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Guided by the programmatic approach of recovery responses, the MCRP will respond to the most urgent needs in the three most affected BAY states. </w:t>
      </w:r>
      <w:r w:rsidRPr="00FB6E71">
        <w:rPr>
          <w:rFonts w:asciiTheme="minorHAnsi" w:hAnsiTheme="minorHAnsi"/>
          <w:bCs/>
          <w:color w:val="auto"/>
          <w:sz w:val="22"/>
          <w:szCs w:val="22"/>
        </w:rPr>
        <w:t>The World Bank aims to provide a multi-sector and multi-partner solution to crisis recovery, with the key objective to address service delivery gaps and social cohesion issues created by the protracted BH conflict. Using several guiding principles, the World Bank MCRP team will coordinate with other World Bank project teams, government counterparts</w:t>
      </w:r>
      <w:r>
        <w:rPr>
          <w:rFonts w:asciiTheme="minorHAnsi" w:hAnsiTheme="minorHAnsi"/>
          <w:bCs/>
          <w:color w:val="auto"/>
          <w:sz w:val="22"/>
          <w:szCs w:val="22"/>
        </w:rPr>
        <w:t>,</w:t>
      </w:r>
      <w:r w:rsidRPr="00FB6E71">
        <w:rPr>
          <w:rFonts w:asciiTheme="minorHAnsi" w:hAnsiTheme="minorHAnsi"/>
          <w:bCs/>
          <w:color w:val="auto"/>
          <w:sz w:val="22"/>
          <w:szCs w:val="22"/>
        </w:rPr>
        <w:t xml:space="preserve"> and development partners to support a synchronized programmatic approach with common outcomes (in line with the RPBA).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Flexibility</w:t>
      </w:r>
      <w:r>
        <w:rPr>
          <w:rFonts w:asciiTheme="minorHAnsi" w:hAnsiTheme="minorHAnsi"/>
          <w:b/>
          <w:bCs/>
          <w:color w:val="auto"/>
          <w:sz w:val="22"/>
          <w:szCs w:val="22"/>
        </w:rPr>
        <w:t>.</w:t>
      </w:r>
      <w:r w:rsidRPr="00FB6E71">
        <w:rPr>
          <w:rFonts w:asciiTheme="minorHAnsi" w:hAnsiTheme="minorHAnsi"/>
          <w:bCs/>
          <w:color w:val="auto"/>
          <w:sz w:val="22"/>
          <w:szCs w:val="22"/>
        </w:rPr>
        <w:t xml:space="preserve"> Despite the Government’s military success in regaining territory once held by the BH and restricting insurgency operations to a few pockets of resistance, the BH retains the ability to periodically stage attacks in the NE and occasionally further south. This transition to a more asymmetric conflict means that while the return of forcibly displaced people and reconstruction is possible in some areas, the threat and reality of local attacks continue to undermine the revival of agriculture and economic life and the establishment of stable peace. Given current conditions, displacement is likely to endure, and there will be limited scope for reconciliation in some areas. Urban areas are likely to be more secure than rural ones, despite the likelihood of continued attacks. As a result, the uncertain security situation in the NE will require a flexible, adaptable</w:t>
      </w:r>
      <w:r>
        <w:rPr>
          <w:rFonts w:asciiTheme="minorHAnsi" w:hAnsiTheme="minorHAnsi"/>
          <w:bCs/>
          <w:color w:val="auto"/>
          <w:sz w:val="22"/>
          <w:szCs w:val="22"/>
        </w:rPr>
        <w:t>,</w:t>
      </w:r>
      <w:r w:rsidRPr="00FB6E71">
        <w:rPr>
          <w:rFonts w:asciiTheme="minorHAnsi" w:hAnsiTheme="minorHAnsi"/>
          <w:bCs/>
          <w:color w:val="auto"/>
          <w:sz w:val="22"/>
          <w:szCs w:val="22"/>
        </w:rPr>
        <w:t xml:space="preserve"> and nuanced approach to project design and implementation to minimize and mitigate the impact of such unpredictable threats.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Prioritization and </w:t>
      </w:r>
      <w:r>
        <w:rPr>
          <w:rFonts w:asciiTheme="minorHAnsi" w:hAnsiTheme="minorHAnsi"/>
          <w:b/>
          <w:bCs/>
          <w:color w:val="auto"/>
          <w:sz w:val="22"/>
          <w:szCs w:val="22"/>
        </w:rPr>
        <w:t>c</w:t>
      </w:r>
      <w:r w:rsidRPr="00FB6E71">
        <w:rPr>
          <w:rFonts w:asciiTheme="minorHAnsi" w:hAnsiTheme="minorHAnsi"/>
          <w:b/>
          <w:bCs/>
          <w:color w:val="auto"/>
          <w:sz w:val="22"/>
          <w:szCs w:val="22"/>
        </w:rPr>
        <w:t xml:space="preserve">onflict </w:t>
      </w:r>
      <w:r>
        <w:rPr>
          <w:rFonts w:asciiTheme="minorHAnsi" w:hAnsiTheme="minorHAnsi"/>
          <w:b/>
          <w:bCs/>
          <w:color w:val="auto"/>
          <w:sz w:val="22"/>
          <w:szCs w:val="22"/>
        </w:rPr>
        <w:t>s</w:t>
      </w:r>
      <w:r w:rsidRPr="00FB6E71">
        <w:rPr>
          <w:rFonts w:asciiTheme="minorHAnsi" w:hAnsiTheme="minorHAnsi"/>
          <w:b/>
          <w:bCs/>
          <w:color w:val="auto"/>
          <w:sz w:val="22"/>
          <w:szCs w:val="22"/>
        </w:rPr>
        <w:t>ensitivity</w:t>
      </w:r>
      <w:r>
        <w:rPr>
          <w:rFonts w:asciiTheme="minorHAnsi" w:hAnsiTheme="minorHAnsi"/>
          <w:b/>
          <w:bCs/>
          <w:color w:val="auto"/>
          <w:sz w:val="22"/>
          <w:szCs w:val="22"/>
        </w:rPr>
        <w:t>.</w:t>
      </w:r>
      <w:r w:rsidRPr="00FB6E71">
        <w:rPr>
          <w:rFonts w:asciiTheme="minorHAnsi" w:hAnsiTheme="minorHAnsi"/>
          <w:bCs/>
          <w:color w:val="auto"/>
          <w:sz w:val="22"/>
          <w:szCs w:val="22"/>
        </w:rPr>
        <w:t xml:space="preserve"> Given the overwhelming needs for recovery, peace building</w:t>
      </w:r>
      <w:r>
        <w:rPr>
          <w:rFonts w:asciiTheme="minorHAnsi" w:hAnsiTheme="minorHAnsi"/>
          <w:bCs/>
          <w:color w:val="auto"/>
          <w:sz w:val="22"/>
          <w:szCs w:val="22"/>
        </w:rPr>
        <w:t>,</w:t>
      </w:r>
      <w:r w:rsidRPr="00FB6E71">
        <w:rPr>
          <w:rFonts w:asciiTheme="minorHAnsi" w:hAnsiTheme="minorHAnsi"/>
          <w:bCs/>
          <w:color w:val="auto"/>
          <w:sz w:val="22"/>
          <w:szCs w:val="22"/>
        </w:rPr>
        <w:t xml:space="preserve"> and reconstruction revealed by the RPBA and the available resources from both domestic and international sources, there will necessarily have to be a prioritization of needs and resulting interventions. This prioritization will be led by the GoN and informed by the RPBA’s Strategic Framework for Recovery and Peace Building and existing and planned programs by the GoN and other development partners. The prioritization process, along with overall project preparation and implementation, w</w:t>
      </w:r>
      <w:r>
        <w:rPr>
          <w:rFonts w:asciiTheme="minorHAnsi" w:hAnsiTheme="minorHAnsi"/>
          <w:bCs/>
          <w:color w:val="auto"/>
          <w:sz w:val="22"/>
          <w:szCs w:val="22"/>
        </w:rPr>
        <w:t>ill</w:t>
      </w:r>
      <w:r w:rsidRPr="00FB6E71">
        <w:rPr>
          <w:rFonts w:asciiTheme="minorHAnsi" w:hAnsiTheme="minorHAnsi"/>
          <w:bCs/>
          <w:color w:val="auto"/>
          <w:sz w:val="22"/>
          <w:szCs w:val="22"/>
        </w:rPr>
        <w:t xml:space="preserve"> be conducted adopting a bottom-up approach led by the states and informed by community consultations. Conflict sensitivity will be central to this project, ensuring proper identification and mitigation of conflict risks.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Complementarity</w:t>
      </w:r>
      <w:r>
        <w:rPr>
          <w:rFonts w:asciiTheme="minorHAnsi" w:hAnsiTheme="minorHAnsi"/>
          <w:b/>
          <w:bCs/>
          <w:color w:val="auto"/>
          <w:sz w:val="22"/>
          <w:szCs w:val="22"/>
        </w:rPr>
        <w:t>.</w:t>
      </w:r>
      <w:r w:rsidRPr="00FB6E71">
        <w:rPr>
          <w:rFonts w:asciiTheme="minorHAnsi" w:hAnsiTheme="minorHAnsi"/>
          <w:bCs/>
          <w:color w:val="auto"/>
          <w:sz w:val="22"/>
          <w:szCs w:val="22"/>
        </w:rPr>
        <w:t xml:space="preserve"> In light of the existing and planned recovery strategies and programs by the GoN and development partners, including the World Bank, it is important that the Nigeria MCRP endeavor</w:t>
      </w:r>
      <w:r>
        <w:rPr>
          <w:rFonts w:asciiTheme="minorHAnsi" w:hAnsiTheme="minorHAnsi"/>
          <w:bCs/>
          <w:color w:val="auto"/>
          <w:sz w:val="22"/>
          <w:szCs w:val="22"/>
        </w:rPr>
        <w:t>s</w:t>
      </w:r>
      <w:r w:rsidRPr="00FB6E71">
        <w:rPr>
          <w:rFonts w:asciiTheme="minorHAnsi" w:hAnsiTheme="minorHAnsi"/>
          <w:bCs/>
          <w:color w:val="auto"/>
          <w:sz w:val="22"/>
          <w:szCs w:val="22"/>
        </w:rPr>
        <w:t xml:space="preserve"> to be complementary to those strategies and programs, avoiding overlaps and gaps. For example,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will not cover social protection and livelihood support programs as two AF projects</w:t>
      </w:r>
      <w:r>
        <w:rPr>
          <w:rFonts w:asciiTheme="minorHAnsi" w:hAnsiTheme="minorHAnsi"/>
          <w:bCs/>
          <w:color w:val="auto"/>
          <w:sz w:val="22"/>
          <w:szCs w:val="22"/>
          <w:vertAlign w:val="superscript"/>
        </w:rPr>
        <w:footnoteReference w:id="17"/>
      </w:r>
      <w:r w:rsidRPr="00FB6E71">
        <w:rPr>
          <w:rFonts w:asciiTheme="minorHAnsi" w:hAnsiTheme="minorHAnsi"/>
          <w:bCs/>
          <w:color w:val="auto"/>
          <w:sz w:val="22"/>
          <w:szCs w:val="22"/>
        </w:rPr>
        <w:t xml:space="preserve"> are addressing these needs. Annex </w:t>
      </w:r>
      <w:r>
        <w:rPr>
          <w:rFonts w:asciiTheme="minorHAnsi" w:hAnsiTheme="minorHAnsi"/>
          <w:bCs/>
          <w:color w:val="auto"/>
          <w:sz w:val="22"/>
          <w:szCs w:val="22"/>
        </w:rPr>
        <w:t>5</w:t>
      </w:r>
      <w:r w:rsidRPr="00FB6E71">
        <w:rPr>
          <w:rFonts w:asciiTheme="minorHAnsi" w:hAnsiTheme="minorHAnsi"/>
          <w:bCs/>
          <w:color w:val="auto"/>
          <w:sz w:val="22"/>
          <w:szCs w:val="22"/>
        </w:rPr>
        <w:t xml:space="preserve"> provides a list of all current or proposed interventions in the NE, which the team used as a reference for complementarity considerations in project design.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Calibri" w:hAnsi="Calibri"/>
          <w:b/>
          <w:bCs/>
          <w:color w:val="auto"/>
          <w:sz w:val="22"/>
          <w:szCs w:val="22"/>
        </w:rPr>
        <w:t>Use of geospatial data for geographic targeting</w:t>
      </w:r>
      <w:r>
        <w:rPr>
          <w:rFonts w:ascii="Calibri" w:hAnsi="Calibri"/>
          <w:b/>
          <w:bCs/>
          <w:color w:val="auto"/>
          <w:sz w:val="22"/>
          <w:szCs w:val="22"/>
        </w:rPr>
        <w:t>.</w:t>
      </w:r>
      <w:r w:rsidRPr="00FB6E71">
        <w:rPr>
          <w:rFonts w:ascii="Calibri" w:hAnsi="Calibri"/>
          <w:color w:val="auto"/>
          <w:sz w:val="22"/>
          <w:szCs w:val="22"/>
        </w:rPr>
        <w:t xml:space="preserve"> Geospatial analytics can support systematic and criteria-based targeting of implementation areas according to the principles of </w:t>
      </w:r>
      <w:r>
        <w:rPr>
          <w:rFonts w:ascii="Calibri" w:hAnsi="Calibri"/>
          <w:color w:val="auto"/>
          <w:sz w:val="22"/>
          <w:szCs w:val="22"/>
        </w:rPr>
        <w:t>‘</w:t>
      </w:r>
      <w:r w:rsidRPr="00FB6E71">
        <w:rPr>
          <w:rFonts w:ascii="Calibri" w:hAnsi="Calibri"/>
          <w:color w:val="auto"/>
          <w:sz w:val="22"/>
          <w:szCs w:val="22"/>
        </w:rPr>
        <w:t>impact proportionality</w:t>
      </w:r>
      <w:r>
        <w:rPr>
          <w:rFonts w:ascii="Calibri" w:hAnsi="Calibri"/>
          <w:color w:val="auto"/>
          <w:sz w:val="22"/>
          <w:szCs w:val="22"/>
        </w:rPr>
        <w:t>’</w:t>
      </w:r>
      <w:r w:rsidRPr="00FB6E71">
        <w:rPr>
          <w:rFonts w:ascii="Calibri" w:hAnsi="Calibri"/>
          <w:color w:val="auto"/>
          <w:sz w:val="22"/>
          <w:szCs w:val="22"/>
        </w:rPr>
        <w:t xml:space="preserve"> and </w:t>
      </w:r>
      <w:r>
        <w:rPr>
          <w:rFonts w:ascii="Calibri" w:hAnsi="Calibri"/>
          <w:color w:val="auto"/>
          <w:sz w:val="22"/>
          <w:szCs w:val="22"/>
        </w:rPr>
        <w:t>‘</w:t>
      </w:r>
      <w:r w:rsidRPr="00FB6E71">
        <w:rPr>
          <w:rFonts w:ascii="Calibri" w:hAnsi="Calibri"/>
          <w:color w:val="auto"/>
          <w:sz w:val="22"/>
          <w:szCs w:val="22"/>
        </w:rPr>
        <w:t>impact maximization</w:t>
      </w:r>
      <w:r>
        <w:rPr>
          <w:rFonts w:ascii="Calibri" w:hAnsi="Calibri"/>
          <w:color w:val="auto"/>
          <w:sz w:val="22"/>
          <w:szCs w:val="22"/>
        </w:rPr>
        <w:t>’</w:t>
      </w:r>
      <w:r w:rsidRPr="00FB6E71">
        <w:rPr>
          <w:rFonts w:ascii="Calibri" w:hAnsi="Calibri"/>
          <w:color w:val="auto"/>
          <w:sz w:val="22"/>
          <w:szCs w:val="22"/>
        </w:rPr>
        <w:t xml:space="preserve">. For instance, correlating geographic data layers on the concentration of displaced populations with socioeconomic indicators and the locations and state of service </w:t>
      </w:r>
      <w:r w:rsidRPr="00FB6E71">
        <w:rPr>
          <w:rFonts w:asciiTheme="minorHAnsi" w:hAnsiTheme="minorHAnsi" w:cs="Times New Roman"/>
          <w:sz w:val="22"/>
          <w:szCs w:val="22"/>
        </w:rPr>
        <w:t>infrastructure</w:t>
      </w:r>
      <w:r w:rsidRPr="00FB6E71">
        <w:rPr>
          <w:rFonts w:ascii="Calibri" w:hAnsi="Calibri"/>
          <w:color w:val="auto"/>
          <w:sz w:val="22"/>
          <w:szCs w:val="22"/>
        </w:rPr>
        <w:t xml:space="preserve"> can help determine priority areas </w:t>
      </w:r>
      <w:r>
        <w:rPr>
          <w:rFonts w:ascii="Calibri" w:hAnsi="Calibri"/>
          <w:color w:val="auto"/>
          <w:sz w:val="22"/>
          <w:szCs w:val="22"/>
        </w:rPr>
        <w:t xml:space="preserve">for </w:t>
      </w:r>
      <w:r w:rsidRPr="00FB6E71">
        <w:rPr>
          <w:rFonts w:ascii="Calibri" w:hAnsi="Calibri"/>
          <w:color w:val="auto"/>
          <w:sz w:val="22"/>
          <w:szCs w:val="22"/>
        </w:rPr>
        <w:t xml:space="preserve"> specific needs related to individual interventions. Moreover, relevant contextual information that can feed into geospatial analysis related to the project includes among others (a) IDP concentration by administrative areas; (b) locations of service delivery infrastructure such as schools, hospitals, or roads; (c) socioeconomic indicators by administrative areas, such as poverty, unemployment, and market access; (d) security-related information, such as conflict incidents and road security; (e) aggregated survey data; and (f) information on environmental conditions and so on. The project can partly build upon an existing data management system that has been established for the RPBA, while further data</w:t>
      </w:r>
      <w:r>
        <w:rPr>
          <w:rFonts w:ascii="Calibri" w:hAnsi="Calibri"/>
          <w:color w:val="auto"/>
          <w:sz w:val="22"/>
          <w:szCs w:val="22"/>
        </w:rPr>
        <w:t xml:space="preserve"> </w:t>
      </w:r>
      <w:r w:rsidRPr="00FB6E71">
        <w:rPr>
          <w:rFonts w:ascii="Calibri" w:hAnsi="Calibri"/>
          <w:color w:val="auto"/>
          <w:sz w:val="22"/>
          <w:szCs w:val="22"/>
        </w:rPr>
        <w:t>sets are available through open source channels or partners on the ground. Additional data can be provided through remote sensing and analysis of high</w:t>
      </w:r>
      <w:r>
        <w:rPr>
          <w:rFonts w:ascii="Calibri" w:hAnsi="Calibri"/>
          <w:color w:val="auto"/>
          <w:sz w:val="22"/>
          <w:szCs w:val="22"/>
        </w:rPr>
        <w:t>-</w:t>
      </w:r>
      <w:r w:rsidRPr="00FB6E71">
        <w:rPr>
          <w:rFonts w:ascii="Calibri" w:hAnsi="Calibri"/>
          <w:color w:val="auto"/>
          <w:sz w:val="22"/>
          <w:szCs w:val="22"/>
        </w:rPr>
        <w:t xml:space="preserve"> and low-resolution satellite imagery. Multispectral imagery can</w:t>
      </w:r>
      <w:r>
        <w:rPr>
          <w:rFonts w:ascii="Calibri" w:hAnsi="Calibri"/>
          <w:color w:val="auto"/>
          <w:sz w:val="22"/>
          <w:szCs w:val="22"/>
        </w:rPr>
        <w:t>,</w:t>
      </w:r>
      <w:r w:rsidRPr="00FB6E71">
        <w:rPr>
          <w:rFonts w:ascii="Calibri" w:hAnsi="Calibri"/>
          <w:color w:val="auto"/>
          <w:sz w:val="22"/>
          <w:szCs w:val="22"/>
        </w:rPr>
        <w:t xml:space="preserve"> for instance</w:t>
      </w:r>
      <w:r>
        <w:rPr>
          <w:rFonts w:ascii="Calibri" w:hAnsi="Calibri"/>
          <w:color w:val="auto"/>
          <w:sz w:val="22"/>
          <w:szCs w:val="22"/>
        </w:rPr>
        <w:t>,</w:t>
      </w:r>
      <w:r w:rsidRPr="00FB6E71">
        <w:rPr>
          <w:rFonts w:ascii="Calibri" w:hAnsi="Calibri"/>
          <w:color w:val="auto"/>
          <w:sz w:val="22"/>
          <w:szCs w:val="22"/>
        </w:rPr>
        <w:t xml:space="preserve"> be used to establish baseline data </w:t>
      </w:r>
      <w:r>
        <w:rPr>
          <w:rFonts w:ascii="Calibri" w:hAnsi="Calibri"/>
          <w:color w:val="auto"/>
          <w:sz w:val="22"/>
          <w:szCs w:val="22"/>
        </w:rPr>
        <w:t>for</w:t>
      </w:r>
      <w:r w:rsidRPr="00FB6E71">
        <w:rPr>
          <w:rFonts w:ascii="Calibri" w:hAnsi="Calibri"/>
          <w:color w:val="auto"/>
          <w:sz w:val="22"/>
          <w:szCs w:val="22"/>
        </w:rPr>
        <w:t xml:space="preserve"> the locations and physical conditions of infrastructure, such as roads, hospitals</w:t>
      </w:r>
      <w:r>
        <w:rPr>
          <w:rFonts w:ascii="Calibri" w:hAnsi="Calibri"/>
          <w:color w:val="auto"/>
          <w:sz w:val="22"/>
          <w:szCs w:val="22"/>
        </w:rPr>
        <w:t>,</w:t>
      </w:r>
      <w:r w:rsidRPr="00FB6E71">
        <w:rPr>
          <w:rFonts w:ascii="Calibri" w:hAnsi="Calibri"/>
          <w:color w:val="auto"/>
          <w:sz w:val="22"/>
          <w:szCs w:val="22"/>
        </w:rPr>
        <w:t xml:space="preserve"> and school, where not covered by the RPBA data. The use of such remote sensing solutions can be explored to complement publicly available geographic data</w:t>
      </w:r>
      <w:r>
        <w:rPr>
          <w:rFonts w:ascii="Calibri" w:hAnsi="Calibri"/>
          <w:color w:val="auto"/>
          <w:sz w:val="22"/>
          <w:szCs w:val="22"/>
        </w:rPr>
        <w:t xml:space="preserve"> </w:t>
      </w:r>
      <w:r w:rsidRPr="00FB6E71">
        <w:rPr>
          <w:rFonts w:ascii="Calibri" w:hAnsi="Calibri"/>
          <w:color w:val="auto"/>
          <w:sz w:val="22"/>
          <w:szCs w:val="22"/>
        </w:rPr>
        <w:t xml:space="preserve">sets. </w:t>
      </w: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Investment Prioritization and Selection Process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The selection and prioritization of interventions is based on consultation by the </w:t>
      </w:r>
      <w:r>
        <w:rPr>
          <w:rFonts w:asciiTheme="minorHAnsi" w:hAnsiTheme="minorHAnsi"/>
          <w:b/>
          <w:bCs/>
          <w:color w:val="auto"/>
          <w:sz w:val="22"/>
          <w:szCs w:val="22"/>
        </w:rPr>
        <w:t>s</w:t>
      </w:r>
      <w:r w:rsidRPr="00FB6E71">
        <w:rPr>
          <w:rFonts w:asciiTheme="minorHAnsi" w:hAnsiTheme="minorHAnsi"/>
          <w:b/>
          <w:bCs/>
          <w:color w:val="auto"/>
          <w:sz w:val="22"/>
          <w:szCs w:val="22"/>
        </w:rPr>
        <w:t>tates, taking into account a set of criteria</w:t>
      </w:r>
      <w:r w:rsidRPr="001C5DC8">
        <w:rPr>
          <w:rFonts w:asciiTheme="minorHAnsi" w:hAnsiTheme="minorHAnsi"/>
          <w:b/>
          <w:bCs/>
          <w:color w:val="auto"/>
          <w:sz w:val="22"/>
          <w:szCs w:val="22"/>
        </w:rPr>
        <w:t>.</w:t>
      </w:r>
      <w:r w:rsidRPr="00FB6E71">
        <w:rPr>
          <w:rFonts w:asciiTheme="minorHAnsi" w:hAnsiTheme="minorHAnsi"/>
          <w:bCs/>
          <w:color w:val="auto"/>
          <w:sz w:val="22"/>
          <w:szCs w:val="22"/>
        </w:rPr>
        <w:t xml:space="preserve"> </w:t>
      </w:r>
      <w:r w:rsidRPr="00FB6E71">
        <w:rPr>
          <w:rFonts w:asciiTheme="minorHAnsi" w:hAnsiTheme="minorHAnsi" w:cs="Times New Roman"/>
          <w:sz w:val="22"/>
          <w:szCs w:val="22"/>
        </w:rPr>
        <w:t>It is agreed that the state investment plan preparation w</w:t>
      </w:r>
      <w:r>
        <w:rPr>
          <w:rFonts w:asciiTheme="minorHAnsi" w:hAnsiTheme="minorHAnsi" w:cs="Times New Roman"/>
          <w:sz w:val="22"/>
          <w:szCs w:val="22"/>
        </w:rPr>
        <w:t>ill</w:t>
      </w:r>
      <w:r w:rsidRPr="00FB6E71">
        <w:rPr>
          <w:rFonts w:asciiTheme="minorHAnsi" w:hAnsiTheme="minorHAnsi" w:cs="Times New Roman"/>
          <w:sz w:val="22"/>
          <w:szCs w:val="22"/>
        </w:rPr>
        <w:t xml:space="preserve"> follow a four</w:t>
      </w:r>
      <w:r>
        <w:rPr>
          <w:rFonts w:asciiTheme="minorHAnsi" w:hAnsiTheme="minorHAnsi" w:cs="Times New Roman"/>
          <w:sz w:val="22"/>
          <w:szCs w:val="22"/>
        </w:rPr>
        <w:t>-</w:t>
      </w:r>
      <w:r w:rsidRPr="00FB6E71">
        <w:rPr>
          <w:rFonts w:asciiTheme="minorHAnsi" w:hAnsiTheme="minorHAnsi" w:cs="Times New Roman"/>
          <w:sz w:val="22"/>
          <w:szCs w:val="22"/>
        </w:rPr>
        <w:t xml:space="preserve">stage approach. </w:t>
      </w:r>
      <w:r>
        <w:rPr>
          <w:rFonts w:asciiTheme="minorHAnsi" w:hAnsiTheme="minorHAnsi" w:cs="Times New Roman"/>
          <w:sz w:val="22"/>
          <w:szCs w:val="22"/>
        </w:rPr>
        <w:t>In the f</w:t>
      </w:r>
      <w:r w:rsidRPr="00FB6E71">
        <w:rPr>
          <w:rFonts w:asciiTheme="minorHAnsi" w:hAnsiTheme="minorHAnsi" w:cs="Times New Roman"/>
          <w:sz w:val="22"/>
          <w:szCs w:val="22"/>
        </w:rPr>
        <w:t>irst</w:t>
      </w:r>
      <w:r>
        <w:rPr>
          <w:rFonts w:asciiTheme="minorHAnsi" w:hAnsiTheme="minorHAnsi" w:cs="Times New Roman"/>
          <w:sz w:val="22"/>
          <w:szCs w:val="22"/>
        </w:rPr>
        <w:t xml:space="preserve"> stage</w:t>
      </w:r>
      <w:r w:rsidRPr="00FB6E71">
        <w:rPr>
          <w:rFonts w:asciiTheme="minorHAnsi" w:hAnsiTheme="minorHAnsi" w:cs="Times New Roman"/>
          <w:sz w:val="22"/>
          <w:szCs w:val="22"/>
        </w:rPr>
        <w:t>, based on key criteria agreed with the states at the sector level, interventions w</w:t>
      </w:r>
      <w:r>
        <w:rPr>
          <w:rFonts w:asciiTheme="minorHAnsi" w:hAnsiTheme="minorHAnsi" w:cs="Times New Roman"/>
          <w:sz w:val="22"/>
          <w:szCs w:val="22"/>
        </w:rPr>
        <w:t>ill</w:t>
      </w:r>
      <w:r w:rsidRPr="00FB6E71">
        <w:rPr>
          <w:rFonts w:asciiTheme="minorHAnsi" w:hAnsiTheme="minorHAnsi" w:cs="Times New Roman"/>
          <w:sz w:val="22"/>
          <w:szCs w:val="22"/>
        </w:rPr>
        <w:t xml:space="preserve"> be classified into high, medium</w:t>
      </w:r>
      <w:r>
        <w:rPr>
          <w:rFonts w:asciiTheme="minorHAnsi" w:hAnsiTheme="minorHAnsi" w:cs="Times New Roman"/>
          <w:sz w:val="22"/>
          <w:szCs w:val="22"/>
        </w:rPr>
        <w:t>,</w:t>
      </w:r>
      <w:r w:rsidRPr="00FB6E71">
        <w:rPr>
          <w:rFonts w:asciiTheme="minorHAnsi" w:hAnsiTheme="minorHAnsi" w:cs="Times New Roman"/>
          <w:sz w:val="22"/>
          <w:szCs w:val="22"/>
        </w:rPr>
        <w:t xml:space="preserve"> and low priorities, correspondingly representing urgent and immediate investment needs and medium- and long-term investment needs</w:t>
      </w:r>
      <w:r>
        <w:rPr>
          <w:rFonts w:asciiTheme="minorHAnsi" w:hAnsiTheme="minorHAnsi" w:cs="Times New Roman"/>
          <w:sz w:val="22"/>
          <w:szCs w:val="22"/>
        </w:rPr>
        <w:t>.</w:t>
      </w:r>
      <w:r>
        <w:rPr>
          <w:rStyle w:val="FootnoteReference"/>
          <w:rFonts w:asciiTheme="minorHAnsi" w:hAnsiTheme="minorHAnsi" w:cs="Times New Roman"/>
          <w:sz w:val="22"/>
          <w:szCs w:val="22"/>
        </w:rPr>
        <w:footnoteReference w:id="18"/>
      </w:r>
      <w:r w:rsidRPr="00FB6E71">
        <w:rPr>
          <w:rFonts w:asciiTheme="minorHAnsi" w:hAnsiTheme="minorHAnsi" w:cs="Times New Roman"/>
          <w:sz w:val="22"/>
          <w:szCs w:val="22"/>
        </w:rPr>
        <w:t xml:space="preserve"> The criteria used are listed</w:t>
      </w:r>
      <w:r w:rsidRPr="00FB6E71">
        <w:rPr>
          <w:rFonts w:ascii="Calibri" w:eastAsia="Times New Roman" w:hAnsi="Calibri" w:cs="Times New Roman"/>
          <w:color w:val="auto"/>
          <w:sz w:val="22"/>
          <w:szCs w:val="22"/>
        </w:rPr>
        <w:t xml:space="preserve"> below:</w:t>
      </w:r>
    </w:p>
    <w:p w:rsidR="007F2DE7" w:rsidRPr="00FB6E71" w:rsidP="00302E0C">
      <w:pPr>
        <w:pStyle w:val="ListParagraph"/>
        <w:widowControl/>
        <w:numPr>
          <w:ilvl w:val="0"/>
          <w:numId w:val="33"/>
        </w:numPr>
        <w:spacing w:after="240"/>
        <w:ind w:left="1195" w:hanging="475"/>
        <w:contextualSpacing w:val="0"/>
        <w:jc w:val="both"/>
        <w:rPr>
          <w:rFonts w:asciiTheme="minorHAnsi" w:hAnsiTheme="minorHAnsi" w:cs="Times New Roman"/>
          <w:sz w:val="22"/>
          <w:szCs w:val="22"/>
        </w:rPr>
      </w:pPr>
      <w:r w:rsidRPr="00FB6E71">
        <w:rPr>
          <w:rFonts w:eastAsia="Times New Roman" w:asciiTheme="minorHAnsi" w:hAnsiTheme="minorHAnsi" w:cs="Times New Roman"/>
          <w:sz w:val="22"/>
          <w:szCs w:val="22"/>
          <w:lang w:eastAsia="en-IN"/>
        </w:rPr>
        <w:t>Spatial</w:t>
      </w:r>
      <w:r w:rsidRPr="00FB6E71">
        <w:rPr>
          <w:rFonts w:asciiTheme="minorHAnsi" w:hAnsiTheme="minorHAnsi" w:cs="Times New Roman"/>
          <w:sz w:val="22"/>
          <w:szCs w:val="22"/>
        </w:rPr>
        <w:t xml:space="preserve"> coverage</w:t>
      </w:r>
    </w:p>
    <w:p w:rsidR="007F2DE7" w:rsidRPr="00FB6E71" w:rsidP="00302E0C">
      <w:pPr>
        <w:pStyle w:val="ListParagraph"/>
        <w:widowControl/>
        <w:numPr>
          <w:ilvl w:val="2"/>
          <w:numId w:val="34"/>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Interventions in LGAs/</w:t>
      </w:r>
      <w:r>
        <w:rPr>
          <w:rFonts w:eastAsia="Times New Roman" w:asciiTheme="minorHAnsi" w:hAnsiTheme="minorHAnsi" w:cs="Times New Roman"/>
          <w:sz w:val="22"/>
          <w:szCs w:val="22"/>
          <w:lang w:eastAsia="en-IN"/>
        </w:rPr>
        <w:t>w</w:t>
      </w:r>
      <w:r w:rsidRPr="00FB6E71">
        <w:rPr>
          <w:rFonts w:eastAsia="Times New Roman" w:asciiTheme="minorHAnsi" w:hAnsiTheme="minorHAnsi" w:cs="Times New Roman"/>
          <w:sz w:val="22"/>
          <w:szCs w:val="22"/>
          <w:lang w:eastAsia="en-IN"/>
        </w:rPr>
        <w:t>ards of displacement</w:t>
      </w:r>
    </w:p>
    <w:p w:rsidR="007F2DE7" w:rsidRPr="00FB6E71" w:rsidP="00302E0C">
      <w:pPr>
        <w:pStyle w:val="ListParagraph"/>
        <w:widowControl/>
        <w:numPr>
          <w:ilvl w:val="2"/>
          <w:numId w:val="34"/>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Interventions in LGAs/</w:t>
      </w:r>
      <w:r>
        <w:rPr>
          <w:rFonts w:eastAsia="Times New Roman" w:asciiTheme="minorHAnsi" w:hAnsiTheme="minorHAnsi" w:cs="Times New Roman"/>
          <w:sz w:val="22"/>
          <w:szCs w:val="22"/>
          <w:lang w:eastAsia="en-IN"/>
        </w:rPr>
        <w:t>w</w:t>
      </w:r>
      <w:r w:rsidRPr="00FB6E71">
        <w:rPr>
          <w:rFonts w:eastAsia="Times New Roman" w:asciiTheme="minorHAnsi" w:hAnsiTheme="minorHAnsi" w:cs="Times New Roman"/>
          <w:sz w:val="22"/>
          <w:szCs w:val="22"/>
          <w:lang w:eastAsia="en-IN"/>
        </w:rPr>
        <w:t>ards of return</w:t>
      </w:r>
    </w:p>
    <w:p w:rsidR="007F2DE7" w:rsidRPr="00FB6E71" w:rsidP="00302E0C">
      <w:pPr>
        <w:pStyle w:val="ListParagraph"/>
        <w:widowControl/>
        <w:numPr>
          <w:ilvl w:val="0"/>
          <w:numId w:val="33"/>
        </w:numPr>
        <w:spacing w:after="240"/>
        <w:ind w:left="1195" w:hanging="475"/>
        <w:contextualSpacing w:val="0"/>
        <w:jc w:val="both"/>
        <w:rPr>
          <w:rFonts w:asciiTheme="minorHAnsi" w:hAnsiTheme="minorHAnsi" w:cs="Times New Roman"/>
          <w:sz w:val="22"/>
          <w:szCs w:val="22"/>
        </w:rPr>
      </w:pPr>
      <w:r w:rsidRPr="00FB6E71">
        <w:rPr>
          <w:rFonts w:eastAsia="Times New Roman" w:asciiTheme="minorHAnsi" w:hAnsiTheme="minorHAnsi" w:cs="Times New Roman"/>
          <w:sz w:val="22"/>
          <w:szCs w:val="22"/>
          <w:lang w:eastAsia="en-IN"/>
        </w:rPr>
        <w:t>Beneficiary</w:t>
      </w:r>
      <w:r w:rsidRPr="00FB6E71">
        <w:rPr>
          <w:rFonts w:asciiTheme="minorHAnsi" w:hAnsiTheme="minorHAnsi" w:cs="Times New Roman"/>
          <w:sz w:val="22"/>
          <w:szCs w:val="22"/>
        </w:rPr>
        <w:t xml:space="preserve"> </w:t>
      </w:r>
      <w:r>
        <w:rPr>
          <w:rFonts w:asciiTheme="minorHAnsi" w:hAnsiTheme="minorHAnsi" w:cs="Times New Roman"/>
          <w:sz w:val="22"/>
          <w:szCs w:val="22"/>
        </w:rPr>
        <w:t>c</w:t>
      </w:r>
      <w:r w:rsidRPr="00FB6E71">
        <w:rPr>
          <w:rFonts w:asciiTheme="minorHAnsi" w:hAnsiTheme="minorHAnsi" w:cs="Times New Roman"/>
          <w:sz w:val="22"/>
          <w:szCs w:val="22"/>
        </w:rPr>
        <w:t>overage</w:t>
      </w:r>
    </w:p>
    <w:p w:rsidR="007F2DE7" w:rsidRPr="00FB6E71" w:rsidP="00302E0C">
      <w:pPr>
        <w:pStyle w:val="ListParagraph"/>
        <w:widowControl/>
        <w:numPr>
          <w:ilvl w:val="2"/>
          <w:numId w:val="38"/>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Addressing needs of communities in places of displacement</w:t>
      </w:r>
    </w:p>
    <w:p w:rsidR="007F2DE7" w:rsidRPr="00FB6E71" w:rsidP="00302E0C">
      <w:pPr>
        <w:pStyle w:val="ListParagraph"/>
        <w:widowControl/>
        <w:numPr>
          <w:ilvl w:val="2"/>
          <w:numId w:val="38"/>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Addressing needs of communities in places of origin</w:t>
      </w:r>
    </w:p>
    <w:p w:rsidR="007F2DE7" w:rsidRPr="00FB6E71" w:rsidP="00302E0C">
      <w:pPr>
        <w:pStyle w:val="ListParagraph"/>
        <w:widowControl/>
        <w:numPr>
          <w:ilvl w:val="2"/>
          <w:numId w:val="38"/>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Addressing specific needs of vulnerable groups</w:t>
      </w:r>
    </w:p>
    <w:p w:rsidR="007F2DE7" w:rsidRPr="00FB6E71" w:rsidP="00302E0C">
      <w:pPr>
        <w:pStyle w:val="ListParagraph"/>
        <w:widowControl/>
        <w:numPr>
          <w:ilvl w:val="0"/>
          <w:numId w:val="33"/>
        </w:numPr>
        <w:spacing w:after="240"/>
        <w:ind w:left="1195" w:hanging="475"/>
        <w:contextualSpacing w:val="0"/>
        <w:jc w:val="both"/>
        <w:rPr>
          <w:rFonts w:asciiTheme="minorHAnsi" w:hAnsiTheme="minorHAnsi" w:cs="Times New Roman"/>
          <w:sz w:val="22"/>
          <w:szCs w:val="22"/>
        </w:rPr>
      </w:pPr>
      <w:r w:rsidRPr="00FB6E71">
        <w:rPr>
          <w:rFonts w:eastAsia="Times New Roman" w:asciiTheme="minorHAnsi" w:hAnsiTheme="minorHAnsi" w:cs="Times New Roman"/>
          <w:sz w:val="22"/>
          <w:szCs w:val="22"/>
          <w:lang w:eastAsia="en-IN"/>
        </w:rPr>
        <w:t>Linkages</w:t>
      </w:r>
      <w:r w:rsidRPr="00FB6E71">
        <w:rPr>
          <w:rFonts w:asciiTheme="minorHAnsi" w:hAnsiTheme="minorHAnsi" w:cs="Times New Roman"/>
          <w:sz w:val="22"/>
          <w:szCs w:val="22"/>
        </w:rPr>
        <w:t xml:space="preserve"> with ongoing development assistance programs</w:t>
      </w:r>
    </w:p>
    <w:p w:rsidR="007F2DE7" w:rsidRPr="00FB6E71" w:rsidP="00302E0C">
      <w:pPr>
        <w:pStyle w:val="ListParagraph"/>
        <w:widowControl/>
        <w:numPr>
          <w:ilvl w:val="2"/>
          <w:numId w:val="39"/>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Ongoing government programs</w:t>
      </w:r>
    </w:p>
    <w:p w:rsidR="007F2DE7" w:rsidRPr="00FB6E71" w:rsidP="00302E0C">
      <w:pPr>
        <w:pStyle w:val="ListParagraph"/>
        <w:widowControl/>
        <w:numPr>
          <w:ilvl w:val="2"/>
          <w:numId w:val="39"/>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Buhari Plan interventions</w:t>
      </w:r>
    </w:p>
    <w:p w:rsidR="007F2DE7" w:rsidRPr="00FB6E71" w:rsidP="00302E0C">
      <w:pPr>
        <w:pStyle w:val="ListParagraph"/>
        <w:widowControl/>
        <w:numPr>
          <w:ilvl w:val="2"/>
          <w:numId w:val="39"/>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Linkages with ongoing development partner assistance programs</w:t>
      </w:r>
    </w:p>
    <w:p w:rsidR="007F2DE7" w:rsidRPr="00FB6E71" w:rsidP="00302E0C">
      <w:pPr>
        <w:pStyle w:val="ListParagraph"/>
        <w:widowControl/>
        <w:numPr>
          <w:ilvl w:val="0"/>
          <w:numId w:val="33"/>
        </w:numPr>
        <w:spacing w:after="240"/>
        <w:ind w:left="1195"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Institutional capacity of the state governments to implement program interventions</w:t>
      </w:r>
    </w:p>
    <w:p w:rsidR="007F2DE7" w:rsidRPr="00FB6E71" w:rsidP="00302E0C">
      <w:pPr>
        <w:pStyle w:val="ListParagraph"/>
        <w:widowControl/>
        <w:numPr>
          <w:ilvl w:val="0"/>
          <w:numId w:val="33"/>
        </w:numPr>
        <w:spacing w:after="240"/>
        <w:ind w:left="1195" w:hanging="475"/>
        <w:contextualSpacing w:val="0"/>
        <w:jc w:val="both"/>
        <w:rPr>
          <w:rFonts w:asciiTheme="minorHAnsi" w:hAnsiTheme="minorHAnsi" w:cs="Times New Roman"/>
          <w:sz w:val="22"/>
          <w:szCs w:val="22"/>
        </w:rPr>
      </w:pPr>
      <w:r w:rsidRPr="00FB6E71">
        <w:rPr>
          <w:rFonts w:eastAsia="Times New Roman" w:asciiTheme="minorHAnsi" w:hAnsiTheme="minorHAnsi" w:cs="Times New Roman"/>
          <w:sz w:val="22"/>
          <w:szCs w:val="22"/>
          <w:lang w:eastAsia="en-IN"/>
        </w:rPr>
        <w:t>Contribution</w:t>
      </w:r>
      <w:r w:rsidRPr="00FB6E71">
        <w:rPr>
          <w:rFonts w:asciiTheme="minorHAnsi" w:hAnsiTheme="minorHAnsi" w:cs="Times New Roman"/>
          <w:sz w:val="22"/>
          <w:szCs w:val="22"/>
        </w:rPr>
        <w:t xml:space="preserve"> of the intervention to achieve strategic outcomes</w:t>
      </w:r>
    </w:p>
    <w:p w:rsidR="007F2DE7" w:rsidRPr="00FB6E71" w:rsidP="00302E0C">
      <w:pPr>
        <w:pStyle w:val="ListParagraph"/>
        <w:widowControl/>
        <w:numPr>
          <w:ilvl w:val="2"/>
          <w:numId w:val="40"/>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Contribut</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to the safe, voluntary</w:t>
      </w:r>
      <w:r>
        <w:rPr>
          <w:rFonts w:eastAsia="Times New Roman" w:asciiTheme="minorHAnsi" w:hAnsiTheme="minorHAnsi" w:cs="Times New Roman"/>
          <w:sz w:val="22"/>
          <w:szCs w:val="22"/>
          <w:lang w:eastAsia="en-IN"/>
        </w:rPr>
        <w:t>,</w:t>
      </w:r>
      <w:r w:rsidRPr="00FB6E71">
        <w:rPr>
          <w:rFonts w:eastAsia="Times New Roman" w:asciiTheme="minorHAnsi" w:hAnsiTheme="minorHAnsi" w:cs="Times New Roman"/>
          <w:sz w:val="22"/>
          <w:szCs w:val="22"/>
          <w:lang w:eastAsia="en-IN"/>
        </w:rPr>
        <w:t xml:space="preserve"> and dignified return and resettlement of displaced populations</w:t>
      </w:r>
    </w:p>
    <w:p w:rsidR="007F2DE7" w:rsidRPr="00FB6E71" w:rsidP="00302E0C">
      <w:pPr>
        <w:pStyle w:val="ListParagraph"/>
        <w:widowControl/>
        <w:numPr>
          <w:ilvl w:val="2"/>
          <w:numId w:val="40"/>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Improv</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human security, reconciliation</w:t>
      </w:r>
      <w:r>
        <w:rPr>
          <w:rFonts w:eastAsia="Times New Roman" w:asciiTheme="minorHAnsi" w:hAnsiTheme="minorHAnsi" w:cs="Times New Roman"/>
          <w:sz w:val="22"/>
          <w:szCs w:val="22"/>
          <w:lang w:eastAsia="en-IN"/>
        </w:rPr>
        <w:t>,</w:t>
      </w:r>
      <w:r w:rsidRPr="00FB6E71">
        <w:rPr>
          <w:rFonts w:eastAsia="Times New Roman" w:asciiTheme="minorHAnsi" w:hAnsiTheme="minorHAnsi" w:cs="Times New Roman"/>
          <w:sz w:val="22"/>
          <w:szCs w:val="22"/>
          <w:lang w:eastAsia="en-IN"/>
        </w:rPr>
        <w:t xml:space="preserve"> and violence prevention</w:t>
      </w:r>
    </w:p>
    <w:p w:rsidR="007F2DE7" w:rsidRPr="00FB6E71" w:rsidP="00302E0C">
      <w:pPr>
        <w:pStyle w:val="ListParagraph"/>
        <w:widowControl/>
        <w:numPr>
          <w:ilvl w:val="2"/>
          <w:numId w:val="40"/>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Enhanc</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government accountability and citizen engagement in service delivery</w:t>
      </w:r>
    </w:p>
    <w:p w:rsidR="007F2DE7" w:rsidRPr="00FB6E71" w:rsidP="00302E0C">
      <w:pPr>
        <w:pStyle w:val="ListParagraph"/>
        <w:widowControl/>
        <w:numPr>
          <w:ilvl w:val="2"/>
          <w:numId w:val="40"/>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Increas</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equity in the provision of basic services and employment opportunities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Although</w:t>
      </w:r>
      <w:r>
        <w:rPr>
          <w:rFonts w:asciiTheme="minorHAnsi" w:hAnsiTheme="minorHAnsi" w:cs="Times New Roman"/>
          <w:sz w:val="22"/>
          <w:szCs w:val="22"/>
        </w:rPr>
        <w:t xml:space="preserve"> the</w:t>
      </w:r>
      <w:r w:rsidRPr="00FB6E71">
        <w:rPr>
          <w:rFonts w:asciiTheme="minorHAnsi" w:hAnsiTheme="minorHAnsi" w:cs="Times New Roman"/>
          <w:sz w:val="22"/>
          <w:szCs w:val="22"/>
        </w:rPr>
        <w:t xml:space="preserve"> sector intervention prioritization process followed a simple normative approach of ticking Yes (Y) or </w:t>
      </w:r>
      <w:r w:rsidRPr="00FB6E71">
        <w:rPr>
          <w:rFonts w:asciiTheme="minorHAnsi" w:hAnsiTheme="minorHAnsi"/>
          <w:bCs/>
          <w:color w:val="auto"/>
          <w:sz w:val="22"/>
          <w:szCs w:val="22"/>
        </w:rPr>
        <w:t>No</w:t>
      </w:r>
      <w:r w:rsidRPr="00FB6E71">
        <w:rPr>
          <w:rFonts w:asciiTheme="minorHAnsi" w:hAnsiTheme="minorHAnsi" w:cs="Times New Roman"/>
          <w:sz w:val="22"/>
          <w:szCs w:val="22"/>
        </w:rPr>
        <w:t xml:space="preserve"> (N) for the criteria listed above, state governments are asked to explain the rationale for stating Y or N in the template to make the prioritization process transparent and objective. Based on this process, sector interventions are classified into high, medium</w:t>
      </w:r>
      <w:r>
        <w:rPr>
          <w:rFonts w:asciiTheme="minorHAnsi" w:hAnsiTheme="minorHAnsi" w:cs="Times New Roman"/>
          <w:sz w:val="22"/>
          <w:szCs w:val="22"/>
        </w:rPr>
        <w:t>,</w:t>
      </w:r>
      <w:r w:rsidRPr="00FB6E71">
        <w:rPr>
          <w:rFonts w:asciiTheme="minorHAnsi" w:hAnsiTheme="minorHAnsi" w:cs="Times New Roman"/>
          <w:sz w:val="22"/>
          <w:szCs w:val="22"/>
        </w:rPr>
        <w:t xml:space="preserve"> and low priorities. All the listed interventions w</w:t>
      </w:r>
      <w:r>
        <w:rPr>
          <w:rFonts w:asciiTheme="minorHAnsi" w:hAnsiTheme="minorHAnsi" w:cs="Times New Roman"/>
          <w:sz w:val="22"/>
          <w:szCs w:val="22"/>
        </w:rPr>
        <w:t>ill</w:t>
      </w:r>
      <w:r w:rsidRPr="00FB6E71">
        <w:rPr>
          <w:rFonts w:asciiTheme="minorHAnsi" w:hAnsiTheme="minorHAnsi" w:cs="Times New Roman"/>
          <w:sz w:val="22"/>
          <w:szCs w:val="22"/>
        </w:rPr>
        <w:t xml:space="preserve"> be included in the SPARS as to enable the donor partners and government agencies to structure their respective investment plans.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The second stage in the investment planning process is to break down the identified interventions into projects and rank them based on a set of development indicators. The criteria used for ranking projects are based on input intensity, spatial and beneficiary coverage</w:t>
      </w:r>
      <w:r>
        <w:rPr>
          <w:rFonts w:asciiTheme="minorHAnsi" w:hAnsiTheme="minorHAnsi" w:cs="Times New Roman"/>
          <w:sz w:val="22"/>
          <w:szCs w:val="22"/>
        </w:rPr>
        <w:t>,</w:t>
      </w:r>
      <w:r w:rsidRPr="00FB6E71">
        <w:rPr>
          <w:rFonts w:asciiTheme="minorHAnsi" w:hAnsiTheme="minorHAnsi" w:cs="Times New Roman"/>
          <w:sz w:val="22"/>
          <w:szCs w:val="22"/>
        </w:rPr>
        <w:t xml:space="preserve"> and impacts on development outcomes of the program. Based on a score of 1 to 3 (1 for low rank and 3 for high rank), identified projects are given scores for ranking. Projects getting highest total scores are ranked as high priority and thus are listed as the most urgent and needy project</w:t>
      </w:r>
      <w:r>
        <w:rPr>
          <w:rFonts w:asciiTheme="minorHAnsi" w:hAnsiTheme="minorHAnsi" w:cs="Times New Roman"/>
          <w:sz w:val="22"/>
          <w:szCs w:val="22"/>
        </w:rPr>
        <w:t>s</w:t>
      </w:r>
      <w:r w:rsidRPr="00FB6E71">
        <w:rPr>
          <w:rFonts w:asciiTheme="minorHAnsi" w:hAnsiTheme="minorHAnsi" w:cs="Times New Roman"/>
          <w:sz w:val="22"/>
          <w:szCs w:val="22"/>
        </w:rPr>
        <w:t xml:space="preserve"> for implementation. The criteria used for the project ranking process are listed below:</w:t>
      </w:r>
    </w:p>
    <w:p w:rsidR="007F2DE7" w:rsidRPr="00FB6E71" w:rsidP="00302E0C">
      <w:pPr>
        <w:pStyle w:val="ListParagraph"/>
        <w:widowControl/>
        <w:numPr>
          <w:ilvl w:val="0"/>
          <w:numId w:val="41"/>
        </w:numPr>
        <w:spacing w:after="240"/>
        <w:ind w:left="1195" w:hanging="475"/>
        <w:contextualSpacing w:val="0"/>
        <w:jc w:val="both"/>
        <w:rPr>
          <w:rFonts w:asciiTheme="minorHAnsi" w:hAnsiTheme="minorHAnsi" w:cs="Times New Roman"/>
          <w:sz w:val="22"/>
          <w:szCs w:val="22"/>
        </w:rPr>
      </w:pPr>
      <w:r w:rsidRPr="00FB6E71">
        <w:rPr>
          <w:rFonts w:eastAsia="Times New Roman" w:asciiTheme="minorHAnsi" w:hAnsiTheme="minorHAnsi" w:cs="Times New Roman"/>
          <w:sz w:val="22"/>
          <w:szCs w:val="22"/>
          <w:lang w:eastAsia="en-IN"/>
        </w:rPr>
        <w:t xml:space="preserve">Input </w:t>
      </w:r>
      <w:r>
        <w:rPr>
          <w:rFonts w:eastAsia="Times New Roman" w:asciiTheme="minorHAnsi" w:hAnsiTheme="minorHAnsi" w:cs="Times New Roman"/>
          <w:sz w:val="22"/>
          <w:szCs w:val="22"/>
          <w:lang w:eastAsia="en-IN"/>
        </w:rPr>
        <w:t>i</w:t>
      </w:r>
      <w:r w:rsidRPr="00FB6E71">
        <w:rPr>
          <w:rFonts w:eastAsia="Times New Roman" w:asciiTheme="minorHAnsi" w:hAnsiTheme="minorHAnsi" w:cs="Times New Roman"/>
          <w:sz w:val="22"/>
          <w:szCs w:val="22"/>
          <w:lang w:eastAsia="en-IN"/>
        </w:rPr>
        <w:t>ntensity</w:t>
      </w:r>
    </w:p>
    <w:p w:rsidR="007F2DE7" w:rsidRPr="00FB6E71" w:rsidP="00302E0C">
      <w:pPr>
        <w:pStyle w:val="ListParagraph"/>
        <w:widowControl/>
        <w:numPr>
          <w:ilvl w:val="2"/>
          <w:numId w:val="42"/>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 xml:space="preserve">Job </w:t>
      </w:r>
      <w:r>
        <w:rPr>
          <w:rFonts w:eastAsia="Times New Roman" w:asciiTheme="minorHAnsi" w:hAnsiTheme="minorHAnsi" w:cs="Times New Roman"/>
          <w:sz w:val="22"/>
          <w:szCs w:val="22"/>
          <w:lang w:eastAsia="en-IN"/>
        </w:rPr>
        <w:t>c</w:t>
      </w:r>
      <w:r w:rsidRPr="00FB6E71">
        <w:rPr>
          <w:rFonts w:eastAsia="Times New Roman" w:asciiTheme="minorHAnsi" w:hAnsiTheme="minorHAnsi" w:cs="Times New Roman"/>
          <w:sz w:val="22"/>
          <w:szCs w:val="22"/>
          <w:lang w:eastAsia="en-IN"/>
        </w:rPr>
        <w:t>reation/</w:t>
      </w:r>
      <w:r>
        <w:rPr>
          <w:rFonts w:eastAsia="Times New Roman" w:asciiTheme="minorHAnsi" w:hAnsiTheme="minorHAnsi" w:cs="Times New Roman"/>
          <w:sz w:val="22"/>
          <w:szCs w:val="22"/>
          <w:lang w:eastAsia="en-IN"/>
        </w:rPr>
        <w:t>l</w:t>
      </w:r>
      <w:r w:rsidRPr="00FB6E71">
        <w:rPr>
          <w:rFonts w:eastAsia="Times New Roman" w:asciiTheme="minorHAnsi" w:hAnsiTheme="minorHAnsi" w:cs="Times New Roman"/>
          <w:sz w:val="22"/>
          <w:szCs w:val="22"/>
          <w:lang w:eastAsia="en-IN"/>
        </w:rPr>
        <w:t xml:space="preserve">abor </w:t>
      </w:r>
      <w:r>
        <w:rPr>
          <w:rFonts w:eastAsia="Times New Roman" w:asciiTheme="minorHAnsi" w:hAnsiTheme="minorHAnsi" w:cs="Times New Roman"/>
          <w:sz w:val="22"/>
          <w:szCs w:val="22"/>
          <w:lang w:eastAsia="en-IN"/>
        </w:rPr>
        <w:t>u</w:t>
      </w:r>
      <w:r w:rsidRPr="00FB6E71">
        <w:rPr>
          <w:rFonts w:eastAsia="Times New Roman" w:asciiTheme="minorHAnsi" w:hAnsiTheme="minorHAnsi" w:cs="Times New Roman"/>
          <w:sz w:val="22"/>
          <w:szCs w:val="22"/>
          <w:lang w:eastAsia="en-IN"/>
        </w:rPr>
        <w:t>se</w:t>
      </w:r>
    </w:p>
    <w:p w:rsidR="007F2DE7" w:rsidRPr="00FB6E71" w:rsidP="00302E0C">
      <w:pPr>
        <w:pStyle w:val="ListParagraph"/>
        <w:widowControl/>
        <w:numPr>
          <w:ilvl w:val="2"/>
          <w:numId w:val="42"/>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 xml:space="preserve">Availability of </w:t>
      </w:r>
      <w:r>
        <w:rPr>
          <w:rFonts w:eastAsia="Times New Roman" w:asciiTheme="minorHAnsi" w:hAnsiTheme="minorHAnsi" w:cs="Times New Roman"/>
          <w:sz w:val="22"/>
          <w:szCs w:val="22"/>
          <w:lang w:eastAsia="en-IN"/>
        </w:rPr>
        <w:t>l</w:t>
      </w:r>
      <w:r w:rsidRPr="00FB6E71">
        <w:rPr>
          <w:rFonts w:eastAsia="Times New Roman" w:asciiTheme="minorHAnsi" w:hAnsiTheme="minorHAnsi" w:cs="Times New Roman"/>
          <w:sz w:val="22"/>
          <w:szCs w:val="22"/>
          <w:lang w:eastAsia="en-IN"/>
        </w:rPr>
        <w:t>and</w:t>
      </w:r>
    </w:p>
    <w:p w:rsidR="007F2DE7" w:rsidRPr="00FB6E71" w:rsidP="00302E0C">
      <w:pPr>
        <w:pStyle w:val="ListParagraph"/>
        <w:widowControl/>
        <w:numPr>
          <w:ilvl w:val="2"/>
          <w:numId w:val="42"/>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 xml:space="preserve">Use of </w:t>
      </w:r>
      <w:r>
        <w:rPr>
          <w:rFonts w:eastAsia="Times New Roman" w:asciiTheme="minorHAnsi" w:hAnsiTheme="minorHAnsi" w:cs="Times New Roman"/>
          <w:sz w:val="22"/>
          <w:szCs w:val="22"/>
          <w:lang w:eastAsia="en-IN"/>
        </w:rPr>
        <w:t>l</w:t>
      </w:r>
      <w:r w:rsidRPr="00FB6E71">
        <w:rPr>
          <w:rFonts w:eastAsia="Times New Roman" w:asciiTheme="minorHAnsi" w:hAnsiTheme="minorHAnsi" w:cs="Times New Roman"/>
          <w:sz w:val="22"/>
          <w:szCs w:val="22"/>
          <w:lang w:eastAsia="en-IN"/>
        </w:rPr>
        <w:t xml:space="preserve">ocal </w:t>
      </w:r>
      <w:r>
        <w:rPr>
          <w:rFonts w:eastAsia="Times New Roman" w:asciiTheme="minorHAnsi" w:hAnsiTheme="minorHAnsi" w:cs="Times New Roman"/>
          <w:sz w:val="22"/>
          <w:szCs w:val="22"/>
          <w:lang w:eastAsia="en-IN"/>
        </w:rPr>
        <w:t>m</w:t>
      </w:r>
      <w:r w:rsidRPr="00FB6E71">
        <w:rPr>
          <w:rFonts w:eastAsia="Times New Roman" w:asciiTheme="minorHAnsi" w:hAnsiTheme="minorHAnsi" w:cs="Times New Roman"/>
          <w:sz w:val="22"/>
          <w:szCs w:val="22"/>
          <w:lang w:eastAsia="en-IN"/>
        </w:rPr>
        <w:t>aterials</w:t>
      </w:r>
    </w:p>
    <w:p w:rsidR="007F2DE7" w:rsidRPr="00FB6E71" w:rsidP="00302E0C">
      <w:pPr>
        <w:pStyle w:val="ListParagraph"/>
        <w:widowControl/>
        <w:numPr>
          <w:ilvl w:val="0"/>
          <w:numId w:val="41"/>
        </w:numPr>
        <w:spacing w:after="240"/>
        <w:ind w:left="1195"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 xml:space="preserve">Spatial </w:t>
      </w:r>
      <w:r>
        <w:rPr>
          <w:rFonts w:eastAsia="Times New Roman" w:asciiTheme="minorHAnsi" w:hAnsiTheme="minorHAnsi" w:cs="Times New Roman"/>
          <w:sz w:val="22"/>
          <w:szCs w:val="22"/>
          <w:lang w:eastAsia="en-IN"/>
        </w:rPr>
        <w:t>c</w:t>
      </w:r>
      <w:r w:rsidRPr="00FB6E71">
        <w:rPr>
          <w:rFonts w:eastAsia="Times New Roman" w:asciiTheme="minorHAnsi" w:hAnsiTheme="minorHAnsi" w:cs="Times New Roman"/>
          <w:sz w:val="22"/>
          <w:szCs w:val="22"/>
          <w:lang w:eastAsia="en-IN"/>
        </w:rPr>
        <w:t>overage</w:t>
      </w:r>
    </w:p>
    <w:p w:rsidR="007F2DE7" w:rsidRPr="00FB6E71" w:rsidP="00302E0C">
      <w:pPr>
        <w:pStyle w:val="ListParagraph"/>
        <w:widowControl/>
        <w:numPr>
          <w:ilvl w:val="2"/>
          <w:numId w:val="35"/>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Projects located in place of displacement</w:t>
      </w:r>
    </w:p>
    <w:p w:rsidR="007F2DE7" w:rsidRPr="00FB6E71" w:rsidP="00302E0C">
      <w:pPr>
        <w:pStyle w:val="ListParagraph"/>
        <w:widowControl/>
        <w:numPr>
          <w:ilvl w:val="2"/>
          <w:numId w:val="35"/>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Projects located in place of origin</w:t>
      </w:r>
    </w:p>
    <w:p w:rsidR="007F2DE7" w:rsidRPr="00FB6E71" w:rsidP="00302E0C">
      <w:pPr>
        <w:pStyle w:val="ListParagraph"/>
        <w:widowControl/>
        <w:numPr>
          <w:ilvl w:val="0"/>
          <w:numId w:val="41"/>
        </w:numPr>
        <w:spacing w:after="240"/>
        <w:ind w:left="1195"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 xml:space="preserve">Beneficiary </w:t>
      </w:r>
      <w:r>
        <w:rPr>
          <w:rFonts w:eastAsia="Times New Roman" w:asciiTheme="minorHAnsi" w:hAnsiTheme="minorHAnsi" w:cs="Times New Roman"/>
          <w:sz w:val="22"/>
          <w:szCs w:val="22"/>
          <w:lang w:eastAsia="en-IN"/>
        </w:rPr>
        <w:t>t</w:t>
      </w:r>
      <w:r w:rsidRPr="00FB6E71">
        <w:rPr>
          <w:rFonts w:eastAsia="Times New Roman" w:asciiTheme="minorHAnsi" w:hAnsiTheme="minorHAnsi" w:cs="Times New Roman"/>
          <w:sz w:val="22"/>
          <w:szCs w:val="22"/>
          <w:lang w:eastAsia="en-IN"/>
        </w:rPr>
        <w:t>arget</w:t>
      </w:r>
    </w:p>
    <w:p w:rsidR="007F2DE7" w:rsidRPr="00FB6E71" w:rsidP="00302E0C">
      <w:pPr>
        <w:pStyle w:val="ListParagraph"/>
        <w:widowControl/>
        <w:numPr>
          <w:ilvl w:val="2"/>
          <w:numId w:val="36"/>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Displaced population benefited</w:t>
      </w:r>
    </w:p>
    <w:p w:rsidR="007F2DE7" w:rsidRPr="00FB6E71" w:rsidP="00302E0C">
      <w:pPr>
        <w:pStyle w:val="ListParagraph"/>
        <w:widowControl/>
        <w:numPr>
          <w:ilvl w:val="2"/>
          <w:numId w:val="36"/>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Population in place of origin benefited</w:t>
      </w:r>
    </w:p>
    <w:p w:rsidR="007F2DE7" w:rsidRPr="00FB6E71" w:rsidP="00302E0C">
      <w:pPr>
        <w:pStyle w:val="ListParagraph"/>
        <w:widowControl/>
        <w:numPr>
          <w:ilvl w:val="0"/>
          <w:numId w:val="41"/>
        </w:numPr>
        <w:spacing w:after="240"/>
        <w:ind w:left="1195"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 xml:space="preserve">Impacts on </w:t>
      </w:r>
      <w:r>
        <w:rPr>
          <w:rFonts w:eastAsia="Times New Roman" w:asciiTheme="minorHAnsi" w:hAnsiTheme="minorHAnsi" w:cs="Times New Roman"/>
          <w:sz w:val="22"/>
          <w:szCs w:val="22"/>
          <w:lang w:eastAsia="en-IN"/>
        </w:rPr>
        <w:t>d</w:t>
      </w:r>
      <w:r w:rsidRPr="00FB6E71">
        <w:rPr>
          <w:rFonts w:eastAsia="Times New Roman" w:asciiTheme="minorHAnsi" w:hAnsiTheme="minorHAnsi" w:cs="Times New Roman"/>
          <w:sz w:val="22"/>
          <w:szCs w:val="22"/>
          <w:lang w:eastAsia="en-IN"/>
        </w:rPr>
        <w:t xml:space="preserve">evelopment </w:t>
      </w:r>
      <w:r>
        <w:rPr>
          <w:rFonts w:eastAsia="Times New Roman" w:asciiTheme="minorHAnsi" w:hAnsiTheme="minorHAnsi" w:cs="Times New Roman"/>
          <w:sz w:val="22"/>
          <w:szCs w:val="22"/>
          <w:lang w:eastAsia="en-IN"/>
        </w:rPr>
        <w:t>o</w:t>
      </w:r>
      <w:r w:rsidRPr="00FB6E71">
        <w:rPr>
          <w:rFonts w:eastAsia="Times New Roman" w:asciiTheme="minorHAnsi" w:hAnsiTheme="minorHAnsi" w:cs="Times New Roman"/>
          <w:sz w:val="22"/>
          <w:szCs w:val="22"/>
          <w:lang w:eastAsia="en-IN"/>
        </w:rPr>
        <w:t>utcomes</w:t>
      </w:r>
    </w:p>
    <w:p w:rsidR="007F2DE7" w:rsidRPr="00FB6E71" w:rsidP="00302E0C">
      <w:pPr>
        <w:pStyle w:val="ListParagraph"/>
        <w:widowControl/>
        <w:numPr>
          <w:ilvl w:val="2"/>
          <w:numId w:val="37"/>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Contribut</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to economic growth of local communities</w:t>
      </w:r>
    </w:p>
    <w:p w:rsidR="007F2DE7" w:rsidRPr="00FB6E71" w:rsidP="00302E0C">
      <w:pPr>
        <w:pStyle w:val="ListParagraph"/>
        <w:widowControl/>
        <w:numPr>
          <w:ilvl w:val="2"/>
          <w:numId w:val="37"/>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Contribut</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to welfare of displaced populations</w:t>
      </w:r>
    </w:p>
    <w:p w:rsidR="007F2DE7" w:rsidRPr="00FB6E71" w:rsidP="00302E0C">
      <w:pPr>
        <w:pStyle w:val="ListParagraph"/>
        <w:widowControl/>
        <w:numPr>
          <w:ilvl w:val="2"/>
          <w:numId w:val="37"/>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Promot</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social cohesion</w:t>
      </w:r>
    </w:p>
    <w:p w:rsidR="007F2DE7" w:rsidRPr="00FB6E71" w:rsidP="00302E0C">
      <w:pPr>
        <w:pStyle w:val="ListParagraph"/>
        <w:widowControl/>
        <w:numPr>
          <w:ilvl w:val="2"/>
          <w:numId w:val="37"/>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Promot</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security and peace building</w:t>
      </w:r>
    </w:p>
    <w:p w:rsidR="007F2DE7" w:rsidRPr="00FB6E71" w:rsidP="00302E0C">
      <w:pPr>
        <w:pStyle w:val="ListParagraph"/>
        <w:widowControl/>
        <w:numPr>
          <w:ilvl w:val="2"/>
          <w:numId w:val="37"/>
        </w:numPr>
        <w:spacing w:after="240"/>
        <w:ind w:left="1670" w:hanging="475"/>
        <w:contextualSpacing w:val="0"/>
        <w:jc w:val="both"/>
        <w:rPr>
          <w:rFonts w:eastAsia="Times New Roman" w:asciiTheme="minorHAnsi" w:hAnsiTheme="minorHAnsi" w:cs="Times New Roman"/>
          <w:sz w:val="22"/>
          <w:szCs w:val="22"/>
          <w:lang w:eastAsia="en-IN"/>
        </w:rPr>
      </w:pPr>
      <w:r w:rsidRPr="00FB6E71">
        <w:rPr>
          <w:rFonts w:eastAsia="Times New Roman" w:asciiTheme="minorHAnsi" w:hAnsiTheme="minorHAnsi" w:cs="Times New Roman"/>
          <w:sz w:val="22"/>
          <w:szCs w:val="22"/>
          <w:lang w:eastAsia="en-IN"/>
        </w:rPr>
        <w:t>Protect</w:t>
      </w:r>
      <w:r>
        <w:rPr>
          <w:rFonts w:eastAsia="Times New Roman" w:asciiTheme="minorHAnsi" w:hAnsiTheme="minorHAnsi" w:cs="Times New Roman"/>
          <w:sz w:val="22"/>
          <w:szCs w:val="22"/>
          <w:lang w:eastAsia="en-IN"/>
        </w:rPr>
        <w:t>ing</w:t>
      </w:r>
      <w:r w:rsidRPr="00FB6E71">
        <w:rPr>
          <w:rFonts w:eastAsia="Times New Roman" w:asciiTheme="minorHAnsi" w:hAnsiTheme="minorHAnsi" w:cs="Times New Roman"/>
          <w:sz w:val="22"/>
          <w:szCs w:val="22"/>
          <w:lang w:eastAsia="en-IN"/>
        </w:rPr>
        <w:t xml:space="preserve"> environment</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The third stage in the process is to cost the various projects using locally relevant unit costs. In the absence of detailed cost tables, it is suggested to follow a two</w:t>
      </w:r>
      <w:r>
        <w:rPr>
          <w:rFonts w:asciiTheme="minorHAnsi" w:hAnsiTheme="minorHAnsi" w:cs="Times New Roman"/>
          <w:sz w:val="22"/>
          <w:szCs w:val="22"/>
        </w:rPr>
        <w:t>-</w:t>
      </w:r>
      <w:r w:rsidRPr="00FB6E71">
        <w:rPr>
          <w:rFonts w:asciiTheme="minorHAnsi" w:hAnsiTheme="minorHAnsi" w:cs="Times New Roman"/>
          <w:sz w:val="22"/>
          <w:szCs w:val="22"/>
        </w:rPr>
        <w:t xml:space="preserve">stage costing approach: (a) to cost the various projects </w:t>
      </w:r>
      <w:r w:rsidRPr="00FB6E71">
        <w:rPr>
          <w:rFonts w:asciiTheme="minorHAnsi" w:hAnsiTheme="minorHAnsi"/>
          <w:bCs/>
          <w:color w:val="auto"/>
          <w:sz w:val="22"/>
          <w:szCs w:val="22"/>
        </w:rPr>
        <w:t>using</w:t>
      </w:r>
      <w:r w:rsidRPr="00FB6E71">
        <w:rPr>
          <w:rFonts w:asciiTheme="minorHAnsi" w:hAnsiTheme="minorHAnsi" w:cs="Times New Roman"/>
          <w:sz w:val="22"/>
          <w:szCs w:val="22"/>
        </w:rPr>
        <w:t xml:space="preserve"> unit cost methods, cost</w:t>
      </w:r>
      <w:r>
        <w:rPr>
          <w:rFonts w:asciiTheme="minorHAnsi" w:hAnsiTheme="minorHAnsi" w:cs="Times New Roman"/>
          <w:sz w:val="22"/>
          <w:szCs w:val="22"/>
        </w:rPr>
        <w:t xml:space="preserve"> per square meter</w:t>
      </w:r>
      <w:r w:rsidRPr="00FB6E71">
        <w:rPr>
          <w:rFonts w:asciiTheme="minorHAnsi" w:hAnsiTheme="minorHAnsi" w:cs="Times New Roman"/>
          <w:sz w:val="22"/>
          <w:szCs w:val="22"/>
        </w:rPr>
        <w:t xml:space="preserve"> or cost</w:t>
      </w:r>
      <w:r>
        <w:rPr>
          <w:rFonts w:asciiTheme="minorHAnsi" w:hAnsiTheme="minorHAnsi" w:cs="Times New Roman"/>
          <w:sz w:val="22"/>
          <w:szCs w:val="22"/>
        </w:rPr>
        <w:t xml:space="preserve"> per </w:t>
      </w:r>
      <w:r w:rsidRPr="00FB6E71">
        <w:rPr>
          <w:rFonts w:asciiTheme="minorHAnsi" w:hAnsiTheme="minorHAnsi" w:cs="Times New Roman"/>
          <w:sz w:val="22"/>
          <w:szCs w:val="22"/>
        </w:rPr>
        <w:t>person as the case may be</w:t>
      </w:r>
      <w:r>
        <w:rPr>
          <w:rFonts w:asciiTheme="minorHAnsi" w:hAnsiTheme="minorHAnsi" w:cs="Times New Roman"/>
          <w:sz w:val="22"/>
          <w:szCs w:val="22"/>
        </w:rPr>
        <w:t>,</w:t>
      </w:r>
      <w:r w:rsidRPr="00FB6E71">
        <w:rPr>
          <w:rFonts w:asciiTheme="minorHAnsi" w:hAnsiTheme="minorHAnsi" w:cs="Times New Roman"/>
          <w:sz w:val="22"/>
          <w:szCs w:val="22"/>
        </w:rPr>
        <w:t xml:space="preserve"> and (b) </w:t>
      </w:r>
      <w:r>
        <w:rPr>
          <w:rFonts w:asciiTheme="minorHAnsi" w:hAnsiTheme="minorHAnsi" w:cs="Times New Roman"/>
          <w:sz w:val="22"/>
          <w:szCs w:val="22"/>
        </w:rPr>
        <w:t>to</w:t>
      </w:r>
      <w:r w:rsidRPr="00FB6E71">
        <w:rPr>
          <w:rFonts w:asciiTheme="minorHAnsi" w:hAnsiTheme="minorHAnsi" w:cs="Times New Roman"/>
          <w:sz w:val="22"/>
          <w:szCs w:val="22"/>
        </w:rPr>
        <w:t xml:space="preserve"> subsequently refine the costs using </w:t>
      </w:r>
      <w:r>
        <w:rPr>
          <w:rFonts w:asciiTheme="minorHAnsi" w:hAnsiTheme="minorHAnsi" w:cs="Times New Roman"/>
          <w:sz w:val="22"/>
          <w:szCs w:val="22"/>
        </w:rPr>
        <w:t xml:space="preserve">the </w:t>
      </w:r>
      <w:r w:rsidRPr="00FB6E71">
        <w:rPr>
          <w:rFonts w:asciiTheme="minorHAnsi" w:hAnsiTheme="minorHAnsi" w:cs="Times New Roman"/>
          <w:sz w:val="22"/>
          <w:szCs w:val="22"/>
        </w:rPr>
        <w:t>detailed costing method discussed in the template.</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 xml:space="preserve">The </w:t>
      </w:r>
      <w:r>
        <w:rPr>
          <w:rFonts w:asciiTheme="minorHAnsi" w:hAnsiTheme="minorHAnsi" w:cs="Times New Roman"/>
          <w:sz w:val="22"/>
          <w:szCs w:val="22"/>
        </w:rPr>
        <w:t>f</w:t>
      </w:r>
      <w:r w:rsidRPr="00FB6E71">
        <w:rPr>
          <w:rFonts w:asciiTheme="minorHAnsi" w:hAnsiTheme="minorHAnsi" w:cs="Times New Roman"/>
          <w:sz w:val="22"/>
          <w:szCs w:val="22"/>
        </w:rPr>
        <w:t xml:space="preserve">ourth </w:t>
      </w:r>
      <w:r>
        <w:rPr>
          <w:rFonts w:asciiTheme="minorHAnsi" w:hAnsiTheme="minorHAnsi" w:cs="Times New Roman"/>
          <w:sz w:val="22"/>
          <w:szCs w:val="22"/>
        </w:rPr>
        <w:t>stage</w:t>
      </w:r>
      <w:r w:rsidRPr="00FB6E71">
        <w:rPr>
          <w:rFonts w:asciiTheme="minorHAnsi" w:hAnsiTheme="minorHAnsi" w:cs="Times New Roman"/>
          <w:sz w:val="22"/>
          <w:szCs w:val="22"/>
        </w:rPr>
        <w:t xml:space="preserve"> is to pool together those projects that are identified as </w:t>
      </w:r>
      <w:r>
        <w:rPr>
          <w:rFonts w:asciiTheme="minorHAnsi" w:hAnsiTheme="minorHAnsi" w:cs="Times New Roman"/>
          <w:sz w:val="22"/>
          <w:szCs w:val="22"/>
        </w:rPr>
        <w:t xml:space="preserve">the </w:t>
      </w:r>
      <w:r w:rsidRPr="00FB6E71">
        <w:rPr>
          <w:rFonts w:asciiTheme="minorHAnsi" w:hAnsiTheme="minorHAnsi" w:cs="Times New Roman"/>
          <w:sz w:val="22"/>
          <w:szCs w:val="22"/>
        </w:rPr>
        <w:t>most urgent and needy based on the project ranking and consistent with prioritization of interventions into investment plans. The investment needs estimated during the third stage w</w:t>
      </w:r>
      <w:r>
        <w:rPr>
          <w:rFonts w:asciiTheme="minorHAnsi" w:hAnsiTheme="minorHAnsi" w:cs="Times New Roman"/>
          <w:sz w:val="22"/>
          <w:szCs w:val="22"/>
        </w:rPr>
        <w:t>ill</w:t>
      </w:r>
      <w:r w:rsidRPr="00FB6E71">
        <w:rPr>
          <w:rFonts w:asciiTheme="minorHAnsi" w:hAnsiTheme="minorHAnsi" w:cs="Times New Roman"/>
          <w:sz w:val="22"/>
          <w:szCs w:val="22"/>
        </w:rPr>
        <w:t xml:space="preserve"> be vetted against the compatible projects being implemented by the various humanitarian and development institutions in the same locations, largely covering the same beneficiaries. Based on this funding gap analysis</w:t>
      </w:r>
      <w:r>
        <w:rPr>
          <w:rFonts w:asciiTheme="minorHAnsi" w:hAnsiTheme="minorHAnsi" w:cs="Times New Roman"/>
          <w:sz w:val="22"/>
          <w:szCs w:val="22"/>
        </w:rPr>
        <w:t>,</w:t>
      </w:r>
      <w:r w:rsidRPr="00FB6E71">
        <w:rPr>
          <w:rFonts w:asciiTheme="minorHAnsi" w:hAnsiTheme="minorHAnsi" w:cs="Times New Roman"/>
          <w:sz w:val="22"/>
          <w:szCs w:val="22"/>
        </w:rPr>
        <w:t xml:space="preserve"> the net investment requirements for </w:t>
      </w:r>
      <w:r>
        <w:rPr>
          <w:rFonts w:asciiTheme="minorHAnsi" w:hAnsiTheme="minorHAnsi" w:cs="Times New Roman"/>
          <w:sz w:val="22"/>
          <w:szCs w:val="22"/>
        </w:rPr>
        <w:t xml:space="preserve">the remaining key investment needs to be met </w:t>
      </w:r>
      <w:r w:rsidRPr="00FB6E71">
        <w:rPr>
          <w:rFonts w:asciiTheme="minorHAnsi" w:hAnsiTheme="minorHAnsi" w:cs="Times New Roman"/>
          <w:sz w:val="22"/>
          <w:szCs w:val="22"/>
        </w:rPr>
        <w:t>w</w:t>
      </w:r>
      <w:r>
        <w:rPr>
          <w:rFonts w:asciiTheme="minorHAnsi" w:hAnsiTheme="minorHAnsi" w:cs="Times New Roman"/>
          <w:sz w:val="22"/>
          <w:szCs w:val="22"/>
        </w:rPr>
        <w:t>ill</w:t>
      </w:r>
      <w:r w:rsidRPr="00FB6E71">
        <w:rPr>
          <w:rFonts w:asciiTheme="minorHAnsi" w:hAnsiTheme="minorHAnsi" w:cs="Times New Roman"/>
          <w:sz w:val="22"/>
          <w:szCs w:val="22"/>
        </w:rPr>
        <w:t xml:space="preserve"> be estimated.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 xml:space="preserve">It is quite possible that the net funding gap for the key interventions could be much larger than </w:t>
      </w:r>
      <w:r>
        <w:rPr>
          <w:rFonts w:asciiTheme="minorHAnsi" w:hAnsiTheme="minorHAnsi" w:cs="Times New Roman"/>
          <w:sz w:val="22"/>
          <w:szCs w:val="22"/>
        </w:rPr>
        <w:t xml:space="preserve">the </w:t>
      </w:r>
      <w:r w:rsidRPr="00FB6E71">
        <w:rPr>
          <w:rFonts w:asciiTheme="minorHAnsi" w:hAnsiTheme="minorHAnsi" w:cs="Times New Roman"/>
          <w:sz w:val="22"/>
          <w:szCs w:val="22"/>
        </w:rPr>
        <w:t>potentially available funds under the MCRP.</w:t>
      </w:r>
      <w:r w:rsidRPr="00305ECC">
        <w:rPr>
          <w:rFonts w:asciiTheme="minorHAnsi" w:hAnsiTheme="minorHAnsi" w:cs="Times New Roman"/>
          <w:sz w:val="22"/>
          <w:szCs w:val="22"/>
        </w:rPr>
        <w:t xml:space="preserve"> </w:t>
      </w:r>
      <w:r w:rsidRPr="00FB6E71">
        <w:rPr>
          <w:rFonts w:asciiTheme="minorHAnsi" w:hAnsiTheme="minorHAnsi" w:cs="Times New Roman"/>
          <w:sz w:val="22"/>
          <w:szCs w:val="22"/>
        </w:rPr>
        <w:t>Under this circumstance, it is suggested to follow a</w:t>
      </w:r>
      <w:r>
        <w:rPr>
          <w:rFonts w:asciiTheme="minorHAnsi" w:hAnsiTheme="minorHAnsi" w:cs="Times New Roman"/>
          <w:sz w:val="22"/>
          <w:szCs w:val="22"/>
        </w:rPr>
        <w:t>n</w:t>
      </w:r>
      <w:r w:rsidRPr="00FB6E71">
        <w:rPr>
          <w:rFonts w:asciiTheme="minorHAnsi" w:hAnsiTheme="minorHAnsi" w:cs="Times New Roman"/>
          <w:sz w:val="22"/>
          <w:szCs w:val="22"/>
        </w:rPr>
        <w:t xml:space="preserve"> MCRP funding appropriation mechanism across various states and sectors based on the damage intensity, </w:t>
      </w:r>
      <w:r w:rsidRPr="00FB6E71">
        <w:rPr>
          <w:rFonts w:asciiTheme="minorHAnsi" w:hAnsiTheme="minorHAnsi"/>
          <w:bCs/>
          <w:color w:val="auto"/>
          <w:sz w:val="22"/>
          <w:szCs w:val="22"/>
        </w:rPr>
        <w:t>infrastructure</w:t>
      </w:r>
      <w:r w:rsidRPr="00FB6E71">
        <w:rPr>
          <w:rFonts w:asciiTheme="minorHAnsi" w:hAnsiTheme="minorHAnsi" w:cs="Times New Roman"/>
          <w:sz w:val="22"/>
          <w:szCs w:val="22"/>
        </w:rPr>
        <w:t xml:space="preserve"> rehabilitation needs, project feasibility</w:t>
      </w:r>
      <w:r>
        <w:rPr>
          <w:rFonts w:asciiTheme="minorHAnsi" w:hAnsiTheme="minorHAnsi" w:cs="Times New Roman"/>
          <w:sz w:val="22"/>
          <w:szCs w:val="22"/>
        </w:rPr>
        <w:t>,</w:t>
      </w:r>
      <w:r w:rsidRPr="00FB6E71">
        <w:rPr>
          <w:rFonts w:asciiTheme="minorHAnsi" w:hAnsiTheme="minorHAnsi" w:cs="Times New Roman"/>
          <w:sz w:val="22"/>
          <w:szCs w:val="22"/>
        </w:rPr>
        <w:t xml:space="preserve"> and replicability of projects. The appropriated state-level available fund thus could be taken as the basis for estimating the funds for various key priority projects based on implementation viability of projects.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 xml:space="preserve">The investment phasing into first year (immediate term) and the medium and long terms (2–5 years) could be based on technical feasibility and institutional capacity of projects. Those investments that could be implemented immediately within the prevailing capacity and those </w:t>
      </w:r>
      <w:r>
        <w:rPr>
          <w:rFonts w:asciiTheme="minorHAnsi" w:hAnsiTheme="minorHAnsi" w:cs="Times New Roman"/>
          <w:sz w:val="22"/>
          <w:szCs w:val="22"/>
        </w:rPr>
        <w:t>that</w:t>
      </w:r>
      <w:r w:rsidRPr="00FB6E71">
        <w:rPr>
          <w:rFonts w:asciiTheme="minorHAnsi" w:hAnsiTheme="minorHAnsi" w:cs="Times New Roman"/>
          <w:sz w:val="22"/>
          <w:szCs w:val="22"/>
        </w:rPr>
        <w:t xml:space="preserve"> would show tangible </w:t>
      </w:r>
      <w:r w:rsidRPr="00FB6E71">
        <w:rPr>
          <w:rFonts w:asciiTheme="minorHAnsi" w:hAnsiTheme="minorHAnsi"/>
          <w:bCs/>
          <w:color w:val="auto"/>
          <w:sz w:val="22"/>
          <w:szCs w:val="22"/>
        </w:rPr>
        <w:t>benefits</w:t>
      </w:r>
      <w:r w:rsidRPr="00FB6E71">
        <w:rPr>
          <w:rFonts w:asciiTheme="minorHAnsi" w:hAnsiTheme="minorHAnsi" w:cs="Times New Roman"/>
          <w:sz w:val="22"/>
          <w:szCs w:val="22"/>
        </w:rPr>
        <w:t xml:space="preserve"> on the grounds could be targets for first</w:t>
      </w:r>
      <w:r>
        <w:rPr>
          <w:rFonts w:asciiTheme="minorHAnsi" w:hAnsiTheme="minorHAnsi" w:cs="Times New Roman"/>
          <w:sz w:val="22"/>
          <w:szCs w:val="22"/>
        </w:rPr>
        <w:t>-</w:t>
      </w:r>
      <w:r w:rsidRPr="00FB6E71">
        <w:rPr>
          <w:rFonts w:asciiTheme="minorHAnsi" w:hAnsiTheme="minorHAnsi" w:cs="Times New Roman"/>
          <w:sz w:val="22"/>
          <w:szCs w:val="22"/>
        </w:rPr>
        <w:t>year investments. Needless to state</w:t>
      </w:r>
      <w:r>
        <w:rPr>
          <w:rFonts w:asciiTheme="minorHAnsi" w:hAnsiTheme="minorHAnsi" w:cs="Times New Roman"/>
          <w:sz w:val="22"/>
          <w:szCs w:val="22"/>
        </w:rPr>
        <w:t>,</w:t>
      </w:r>
      <w:r w:rsidRPr="00FB6E71">
        <w:rPr>
          <w:rFonts w:asciiTheme="minorHAnsi" w:hAnsiTheme="minorHAnsi" w:cs="Times New Roman"/>
          <w:sz w:val="22"/>
          <w:szCs w:val="22"/>
        </w:rPr>
        <w:t xml:space="preserve"> if an urgent need is to build </w:t>
      </w:r>
      <w:r>
        <w:rPr>
          <w:rFonts w:asciiTheme="minorHAnsi" w:hAnsiTheme="minorHAnsi" w:cs="Times New Roman"/>
          <w:sz w:val="22"/>
          <w:szCs w:val="22"/>
        </w:rPr>
        <w:t xml:space="preserve">the </w:t>
      </w:r>
      <w:r w:rsidRPr="00FB6E71">
        <w:rPr>
          <w:rFonts w:asciiTheme="minorHAnsi" w:hAnsiTheme="minorHAnsi" w:cs="Times New Roman"/>
          <w:sz w:val="22"/>
          <w:szCs w:val="22"/>
        </w:rPr>
        <w:t>capacity of government functionaries and social mobilization of local communities for effective participation of local stakeholders, then those project activities w</w:t>
      </w:r>
      <w:r>
        <w:rPr>
          <w:rFonts w:asciiTheme="minorHAnsi" w:hAnsiTheme="minorHAnsi" w:cs="Times New Roman"/>
          <w:sz w:val="22"/>
          <w:szCs w:val="22"/>
        </w:rPr>
        <w:t>ill</w:t>
      </w:r>
      <w:r w:rsidRPr="00FB6E71">
        <w:rPr>
          <w:rFonts w:asciiTheme="minorHAnsi" w:hAnsiTheme="minorHAnsi" w:cs="Times New Roman"/>
          <w:sz w:val="22"/>
          <w:szCs w:val="22"/>
        </w:rPr>
        <w:t xml:space="preserve"> be initiated during the first year. The project work plans thus arrived w</w:t>
      </w:r>
      <w:r>
        <w:rPr>
          <w:rFonts w:asciiTheme="minorHAnsi" w:hAnsiTheme="minorHAnsi" w:cs="Times New Roman"/>
          <w:sz w:val="22"/>
          <w:szCs w:val="22"/>
        </w:rPr>
        <w:t>ill</w:t>
      </w:r>
      <w:r w:rsidRPr="00FB6E71">
        <w:rPr>
          <w:rFonts w:asciiTheme="minorHAnsi" w:hAnsiTheme="minorHAnsi" w:cs="Times New Roman"/>
          <w:sz w:val="22"/>
          <w:szCs w:val="22"/>
        </w:rPr>
        <w:t xml:space="preserve"> provide a list of viable and urgent project activity packages for the immediate term and medium and long terms with measurable deliverables and timelines.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Capacity and accessibility constrains the responsiveness of LGAs and communities when effective recovery and peace building needs mobilization down to the village or settlement level. The NE has only 112 LGAs for an estimated population of 19 million people and a landmass of 276,000 km</w:t>
      </w:r>
      <w:r w:rsidRPr="00FB6E71">
        <w:rPr>
          <w:rFonts w:asciiTheme="minorHAnsi" w:hAnsiTheme="minorHAnsi"/>
          <w:sz w:val="22"/>
          <w:szCs w:val="22"/>
          <w:vertAlign w:val="superscript"/>
        </w:rPr>
        <w:t>2</w:t>
      </w:r>
      <w:r w:rsidRPr="00FB6E71">
        <w:rPr>
          <w:rFonts w:asciiTheme="minorHAnsi" w:hAnsiTheme="minorHAnsi"/>
          <w:sz w:val="22"/>
          <w:szCs w:val="22"/>
        </w:rPr>
        <w:t>. On average, each LGA is supposed to cater to the needs of a few hundred thousand people spread over an area of close to 50,000 km</w:t>
      </w:r>
      <w:r w:rsidRPr="00FB6E71">
        <w:rPr>
          <w:rFonts w:asciiTheme="minorHAnsi" w:hAnsiTheme="minorHAnsi"/>
          <w:sz w:val="22"/>
          <w:szCs w:val="22"/>
          <w:vertAlign w:val="superscript"/>
        </w:rPr>
        <w:t>2</w:t>
      </w:r>
      <w:r w:rsidRPr="00FB6E71">
        <w:rPr>
          <w:rFonts w:asciiTheme="minorHAnsi" w:hAnsiTheme="minorHAnsi"/>
          <w:sz w:val="22"/>
          <w:szCs w:val="22"/>
        </w:rPr>
        <w:t xml:space="preserve"> on average and in rural areas scattered across small villages often far from the LGA headquarters. Due to a lack of local elections, local communities are not represented at the LGA level</w:t>
      </w:r>
      <w:r>
        <w:rPr>
          <w:rFonts w:asciiTheme="minorHAnsi" w:hAnsiTheme="minorHAnsi"/>
          <w:sz w:val="22"/>
          <w:szCs w:val="22"/>
        </w:rPr>
        <w:t>—</w:t>
      </w:r>
      <w:r w:rsidRPr="00FB6E71">
        <w:rPr>
          <w:rFonts w:asciiTheme="minorHAnsi" w:hAnsiTheme="minorHAnsi"/>
          <w:sz w:val="22"/>
          <w:szCs w:val="22"/>
        </w:rPr>
        <w:t xml:space="preserve">as they would be if local councilors were elected at the ward level.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This may call for the mobilization of local communities down to the village or settlement level. Informal institutions, such as village heads and community organizations, can be leveraged for that purpose by institutionalizing their participation </w:t>
      </w:r>
      <w:r>
        <w:rPr>
          <w:rFonts w:asciiTheme="minorHAnsi" w:hAnsiTheme="minorHAnsi"/>
          <w:sz w:val="22"/>
          <w:szCs w:val="22"/>
        </w:rPr>
        <w:t>in</w:t>
      </w:r>
      <w:r w:rsidRPr="00FB6E71">
        <w:rPr>
          <w:rFonts w:asciiTheme="minorHAnsi" w:hAnsiTheme="minorHAnsi"/>
          <w:sz w:val="22"/>
          <w:szCs w:val="22"/>
        </w:rPr>
        <w:t xml:space="preserve"> decision making in the implementation of the recovery strategy (for example, for local planning and monitoring). Stakeholders’ representation and participation in local institutions at the community level could also help restore public trust in the Government and its responsiveness to public demands, needs, and expectations.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At the community level, both formal and informal institutions may need to be mobilized to respond to </w:t>
      </w:r>
      <w:r>
        <w:rPr>
          <w:rFonts w:asciiTheme="minorHAnsi" w:hAnsiTheme="minorHAnsi"/>
          <w:sz w:val="22"/>
          <w:szCs w:val="22"/>
        </w:rPr>
        <w:t xml:space="preserve">the </w:t>
      </w:r>
      <w:r w:rsidRPr="00FB6E71">
        <w:rPr>
          <w:rFonts w:asciiTheme="minorHAnsi" w:hAnsiTheme="minorHAnsi"/>
          <w:sz w:val="22"/>
          <w:szCs w:val="22"/>
        </w:rPr>
        <w:t xml:space="preserve">people’s needs. The justice system, with </w:t>
      </w:r>
      <w:r>
        <w:rPr>
          <w:rFonts w:asciiTheme="minorHAnsi" w:hAnsiTheme="minorHAnsi"/>
          <w:sz w:val="22"/>
          <w:szCs w:val="22"/>
        </w:rPr>
        <w:t xml:space="preserve">the </w:t>
      </w:r>
      <w:r w:rsidRPr="00FB6E71">
        <w:rPr>
          <w:rFonts w:asciiTheme="minorHAnsi" w:hAnsiTheme="minorHAnsi"/>
          <w:sz w:val="22"/>
          <w:szCs w:val="22"/>
        </w:rPr>
        <w:t xml:space="preserve">lowest courts operating at </w:t>
      </w:r>
      <w:r>
        <w:rPr>
          <w:rFonts w:asciiTheme="minorHAnsi" w:hAnsiTheme="minorHAnsi"/>
          <w:sz w:val="22"/>
          <w:szCs w:val="22"/>
        </w:rPr>
        <w:t xml:space="preserve">the </w:t>
      </w:r>
      <w:r w:rsidRPr="00FB6E71">
        <w:rPr>
          <w:rFonts w:asciiTheme="minorHAnsi" w:hAnsiTheme="minorHAnsi"/>
          <w:sz w:val="22"/>
          <w:szCs w:val="22"/>
        </w:rPr>
        <w:t>district level at best, needs to be supported and complemented by informal conflict resolution mechanisms at the community level to address personal and collective grievances generated by the conflict situation, including population displacement and return, loss of property, and so on.</w:t>
      </w: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Financial Management</w:t>
      </w:r>
      <w:bookmarkStart w:id="134" w:name="_Toc322959125"/>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An FM assessment of the implementing entities in line with the Financial Management Manual (March 1, 2010) and the AFTFM Financial Management Assessment and Risk Rating Principles (October 2010) was conducted in August 2016. The objective is to determine whether the implementing entities have acceptable FM arrangements, which will ensure (a) that all transactions and balances relating to the project are </w:t>
      </w:r>
      <w:r>
        <w:rPr>
          <w:rFonts w:asciiTheme="minorHAnsi" w:hAnsiTheme="minorHAnsi"/>
          <w:sz w:val="22"/>
          <w:szCs w:val="22"/>
        </w:rPr>
        <w:t xml:space="preserve">recorded </w:t>
      </w:r>
      <w:r w:rsidRPr="00FB6E71">
        <w:rPr>
          <w:rFonts w:asciiTheme="minorHAnsi" w:hAnsiTheme="minorHAnsi"/>
          <w:sz w:val="22"/>
          <w:szCs w:val="22"/>
        </w:rPr>
        <w:t xml:space="preserve">correctly and completely; (b) the preparation of regular, timely, and reliable financial statements; (c) safeguarding of the entity’s assets; and (d) </w:t>
      </w:r>
      <w:r>
        <w:rPr>
          <w:rFonts w:asciiTheme="minorHAnsi" w:hAnsiTheme="minorHAnsi"/>
          <w:sz w:val="22"/>
          <w:szCs w:val="22"/>
        </w:rPr>
        <w:t xml:space="preserve">the </w:t>
      </w:r>
      <w:r w:rsidRPr="00FB6E71">
        <w:rPr>
          <w:rFonts w:asciiTheme="minorHAnsi" w:hAnsiTheme="minorHAnsi"/>
          <w:sz w:val="22"/>
          <w:szCs w:val="22"/>
        </w:rPr>
        <w:t xml:space="preserve">existence of auditing arrangements acceptable to the World Bank.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The overall FM risk for the </w:t>
      </w:r>
      <w:r>
        <w:rPr>
          <w:rFonts w:asciiTheme="minorHAnsi" w:hAnsiTheme="minorHAnsi"/>
          <w:sz w:val="22"/>
          <w:szCs w:val="22"/>
        </w:rPr>
        <w:t>p</w:t>
      </w:r>
      <w:r w:rsidRPr="00FB6E71">
        <w:rPr>
          <w:rFonts w:asciiTheme="minorHAnsi" w:hAnsiTheme="minorHAnsi"/>
          <w:sz w:val="22"/>
          <w:szCs w:val="22"/>
        </w:rPr>
        <w:t xml:space="preserve">roject is assessed </w:t>
      </w:r>
      <w:r w:rsidRPr="00573A71">
        <w:rPr>
          <w:rFonts w:asciiTheme="minorHAnsi" w:hAnsiTheme="minorHAnsi"/>
          <w:sz w:val="22"/>
          <w:szCs w:val="22"/>
        </w:rPr>
        <w:t xml:space="preserve">as High at </w:t>
      </w:r>
      <w:r>
        <w:rPr>
          <w:rFonts w:asciiTheme="minorHAnsi" w:hAnsiTheme="minorHAnsi"/>
          <w:sz w:val="22"/>
          <w:szCs w:val="22"/>
        </w:rPr>
        <w:t xml:space="preserve">the </w:t>
      </w:r>
      <w:r w:rsidRPr="00573A71">
        <w:rPr>
          <w:rFonts w:asciiTheme="minorHAnsi" w:hAnsiTheme="minorHAnsi"/>
          <w:sz w:val="22"/>
          <w:szCs w:val="22"/>
        </w:rPr>
        <w:t>preparation</w:t>
      </w:r>
      <w:r w:rsidRPr="00FB6E71">
        <w:rPr>
          <w:rFonts w:asciiTheme="minorHAnsi" w:hAnsiTheme="minorHAnsi"/>
          <w:sz w:val="22"/>
          <w:szCs w:val="22"/>
        </w:rPr>
        <w:t xml:space="preserve"> phase. </w:t>
      </w:r>
      <w:bookmarkStart w:id="135" w:name="_Toc277757110"/>
      <w:r w:rsidRPr="00FB6E71">
        <w:rPr>
          <w:rFonts w:asciiTheme="minorHAnsi" w:hAnsiTheme="minorHAnsi"/>
          <w:sz w:val="22"/>
          <w:szCs w:val="22"/>
        </w:rPr>
        <w:t xml:space="preserve">This is mainly because of the inherent risks and the multiple implementing levels and not because of the </w:t>
      </w:r>
      <w:r>
        <w:rPr>
          <w:rFonts w:asciiTheme="minorHAnsi" w:hAnsiTheme="minorHAnsi"/>
          <w:sz w:val="22"/>
          <w:szCs w:val="22"/>
        </w:rPr>
        <w:t>c</w:t>
      </w:r>
      <w:r w:rsidRPr="00FB6E71">
        <w:rPr>
          <w:rFonts w:asciiTheme="minorHAnsi" w:hAnsiTheme="minorHAnsi"/>
          <w:sz w:val="22"/>
          <w:szCs w:val="22"/>
        </w:rPr>
        <w:t>ontrol risks associated with the basic elements of the project FM arrangement. However, these inherent risks are well mitigated by the use of the PFMUs and FPFMD, which feature robust controls (internal and external). Also</w:t>
      </w:r>
      <w:r>
        <w:rPr>
          <w:rFonts w:asciiTheme="minorHAnsi" w:hAnsiTheme="minorHAnsi"/>
          <w:sz w:val="22"/>
          <w:szCs w:val="22"/>
        </w:rPr>
        <w:t>,</w:t>
      </w:r>
      <w:r w:rsidRPr="00FB6E71">
        <w:rPr>
          <w:rFonts w:asciiTheme="minorHAnsi" w:hAnsiTheme="minorHAnsi"/>
          <w:sz w:val="22"/>
          <w:szCs w:val="22"/>
        </w:rPr>
        <w:t xml:space="preserve"> the PFMUs have obtained adequate experience in managing financial flows to multiple levels from other projects in the portfolio</w:t>
      </w:r>
      <w:r>
        <w:rPr>
          <w:rFonts w:asciiTheme="minorHAnsi" w:hAnsiTheme="minorHAnsi"/>
          <w:sz w:val="22"/>
          <w:szCs w:val="22"/>
        </w:rPr>
        <w:t>,</w:t>
      </w:r>
      <w:r w:rsidRPr="00FB6E71">
        <w:rPr>
          <w:rFonts w:asciiTheme="minorHAnsi" w:hAnsiTheme="minorHAnsi"/>
          <w:sz w:val="22"/>
          <w:szCs w:val="22"/>
        </w:rPr>
        <w:t xml:space="preserve"> and they will be given additional training. With the mitigation measures, the residual FM risk is High. The mitigation measures include the use of professionally qualified and experienced FM staff and independent and effective internal audit and risk management functions. The Financial Procedures Manual (FPM) will detail an adequate internal controls framework</w:t>
      </w:r>
      <w:r>
        <w:rPr>
          <w:rFonts w:asciiTheme="minorHAnsi" w:hAnsiTheme="minorHAnsi"/>
          <w:sz w:val="22"/>
          <w:szCs w:val="22"/>
        </w:rPr>
        <w:t>,</w:t>
      </w:r>
      <w:r w:rsidRPr="00FB6E71">
        <w:rPr>
          <w:rFonts w:asciiTheme="minorHAnsi" w:hAnsiTheme="minorHAnsi"/>
          <w:sz w:val="22"/>
          <w:szCs w:val="22"/>
        </w:rPr>
        <w:t xml:space="preserve"> which will include enhanced accountability framework over soft expenditures that will apply to the project. Regular reporting arrangements and Implementation Support Plan (ISP) will also ensure that the implementation of the project is closely monitored and that appropriate remedial actions are taken expeditiously. The FM risks will be reviewed during </w:t>
      </w:r>
      <w:r>
        <w:rPr>
          <w:rFonts w:asciiTheme="minorHAnsi" w:hAnsiTheme="minorHAnsi"/>
          <w:sz w:val="22"/>
          <w:szCs w:val="22"/>
        </w:rPr>
        <w:t>p</w:t>
      </w:r>
      <w:r w:rsidRPr="00FB6E71">
        <w:rPr>
          <w:rFonts w:asciiTheme="minorHAnsi" w:hAnsiTheme="minorHAnsi"/>
          <w:sz w:val="22"/>
          <w:szCs w:val="22"/>
        </w:rPr>
        <w:t xml:space="preserve">roject implementation and updated as appropriate.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The PFMUs and FPFMD are established in all states and federal level</w:t>
      </w:r>
      <w:r>
        <w:rPr>
          <w:rFonts w:asciiTheme="minorHAnsi" w:hAnsiTheme="minorHAnsi"/>
          <w:sz w:val="22"/>
          <w:szCs w:val="22"/>
        </w:rPr>
        <w:t>,</w:t>
      </w:r>
      <w:r w:rsidRPr="00FB6E71">
        <w:rPr>
          <w:rFonts w:asciiTheme="minorHAnsi" w:hAnsiTheme="minorHAnsi"/>
          <w:sz w:val="22"/>
          <w:szCs w:val="22"/>
        </w:rPr>
        <w:t xml:space="preserve"> respectively</w:t>
      </w:r>
      <w:r>
        <w:rPr>
          <w:rFonts w:asciiTheme="minorHAnsi" w:hAnsiTheme="minorHAnsi"/>
          <w:sz w:val="22"/>
          <w:szCs w:val="22"/>
        </w:rPr>
        <w:t>,</w:t>
      </w:r>
      <w:r w:rsidRPr="00FB6E71">
        <w:rPr>
          <w:rFonts w:asciiTheme="minorHAnsi" w:hAnsiTheme="minorHAnsi"/>
          <w:sz w:val="22"/>
          <w:szCs w:val="22"/>
        </w:rPr>
        <w:t xml:space="preserve"> through the joint efforts of the Government and the World Bank. These units are presently involved in the implementation of a number of World Bank</w:t>
      </w:r>
      <w:r>
        <w:rPr>
          <w:rFonts w:asciiTheme="minorHAnsi" w:hAnsiTheme="minorHAnsi"/>
          <w:sz w:val="22"/>
          <w:szCs w:val="22"/>
        </w:rPr>
        <w:t xml:space="preserve"> </w:t>
      </w:r>
      <w:r w:rsidRPr="00FB6E71">
        <w:rPr>
          <w:rFonts w:asciiTheme="minorHAnsi" w:hAnsiTheme="minorHAnsi"/>
          <w:sz w:val="22"/>
          <w:szCs w:val="22"/>
        </w:rPr>
        <w:t>assisted projects. The PFMUs and FPFMD feature</w:t>
      </w:r>
      <w:r>
        <w:rPr>
          <w:rFonts w:asciiTheme="minorHAnsi" w:hAnsiTheme="minorHAnsi"/>
          <w:sz w:val="22"/>
          <w:szCs w:val="22"/>
        </w:rPr>
        <w:t>,</w:t>
      </w:r>
      <w:r w:rsidRPr="00FB6E71">
        <w:rPr>
          <w:rFonts w:asciiTheme="minorHAnsi" w:hAnsiTheme="minorHAnsi"/>
          <w:sz w:val="22"/>
          <w:szCs w:val="22"/>
        </w:rPr>
        <w:t xml:space="preserve"> among other things</w:t>
      </w:r>
      <w:r>
        <w:rPr>
          <w:rFonts w:asciiTheme="minorHAnsi" w:hAnsiTheme="minorHAnsi"/>
          <w:sz w:val="22"/>
          <w:szCs w:val="22"/>
        </w:rPr>
        <w:t>,</w:t>
      </w:r>
      <w:r w:rsidRPr="00FB6E71">
        <w:rPr>
          <w:rFonts w:asciiTheme="minorHAnsi" w:hAnsiTheme="minorHAnsi"/>
          <w:sz w:val="22"/>
          <w:szCs w:val="22"/>
        </w:rPr>
        <w:t xml:space="preserve"> the following: (a) all the key elements of FM, including budgeting, funds flow, accounting, internal control, reporting</w:t>
      </w:r>
      <w:r>
        <w:rPr>
          <w:rFonts w:asciiTheme="minorHAnsi" w:hAnsiTheme="minorHAnsi"/>
          <w:sz w:val="22"/>
          <w:szCs w:val="22"/>
        </w:rPr>
        <w:t>,</w:t>
      </w:r>
      <w:r w:rsidRPr="00FB6E71">
        <w:rPr>
          <w:rFonts w:asciiTheme="minorHAnsi" w:hAnsiTheme="minorHAnsi"/>
          <w:sz w:val="22"/>
          <w:szCs w:val="22"/>
        </w:rPr>
        <w:t xml:space="preserve"> and audit; (b) computerized system and robust FM procedures manual; (c) qualified staff </w:t>
      </w:r>
      <w:r>
        <w:rPr>
          <w:rFonts w:asciiTheme="minorHAnsi" w:hAnsiTheme="minorHAnsi"/>
          <w:sz w:val="22"/>
          <w:szCs w:val="22"/>
        </w:rPr>
        <w:t>who</w:t>
      </w:r>
      <w:r w:rsidRPr="00FB6E71">
        <w:rPr>
          <w:rFonts w:asciiTheme="minorHAnsi" w:hAnsiTheme="minorHAnsi"/>
          <w:sz w:val="22"/>
          <w:szCs w:val="22"/>
        </w:rPr>
        <w:t xml:space="preserve"> are well trained in relevant World Bank procedures and requirements, including procurement; (d) robust segregation of functions/duties; (e) a strong control environment, which is required to mitigate fiduciary risks; (f) highly independent and well-trained internal auditors; and (g) full alignment with the Government’s own FM system but with some important enhancements and controls.</w:t>
      </w:r>
      <w:bookmarkEnd w:id="135"/>
      <w:r w:rsidRPr="00FB6E71">
        <w:rPr>
          <w:rFonts w:asciiTheme="minorHAnsi" w:hAnsiTheme="minorHAnsi"/>
          <w:sz w:val="22"/>
          <w:szCs w:val="22"/>
        </w:rPr>
        <w:t xml:space="preserve"> The World Bank’s recent reviews showed that the PFMUs and FPFMD are performing satisfactorily.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The key issues noted within the PFMUs and FPFMD are unretired advances and inadequate documentation for incurred eligible expenditures. To mitigate the risks of unretired travel advances and provision of inappropriate/fraudulent documentation to acquit the travel advances and unjustifiable claims for travel not undertaken, the project will implement an enhanced accountability framework, which is aimed at arresting such eventuality. The details of the enhanced accountability framework will be elaborated in the FPM.</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84FFE">
        <w:rPr>
          <w:rFonts w:asciiTheme="minorHAnsi" w:hAnsiTheme="minorHAnsi"/>
          <w:b/>
          <w:sz w:val="22"/>
          <w:szCs w:val="22"/>
        </w:rPr>
        <w:t>Planning and budgeting.</w:t>
      </w:r>
      <w:r w:rsidRPr="00FB6E71">
        <w:rPr>
          <w:rFonts w:asciiTheme="minorHAnsi" w:hAnsiTheme="minorHAnsi"/>
          <w:sz w:val="22"/>
          <w:szCs w:val="22"/>
        </w:rPr>
        <w:t xml:space="preserve"> On an annual basis, the </w:t>
      </w:r>
      <w:r>
        <w:rPr>
          <w:rFonts w:asciiTheme="minorHAnsi" w:hAnsiTheme="minorHAnsi"/>
          <w:sz w:val="22"/>
          <w:szCs w:val="22"/>
        </w:rPr>
        <w:t>p</w:t>
      </w:r>
      <w:r w:rsidRPr="00FB6E71">
        <w:rPr>
          <w:rFonts w:asciiTheme="minorHAnsi" w:hAnsiTheme="minorHAnsi"/>
          <w:sz w:val="22"/>
          <w:szCs w:val="22"/>
        </w:rPr>
        <w:t xml:space="preserve">roject </w:t>
      </w:r>
      <w:r>
        <w:rPr>
          <w:rFonts w:asciiTheme="minorHAnsi" w:hAnsiTheme="minorHAnsi"/>
          <w:sz w:val="22"/>
          <w:szCs w:val="22"/>
        </w:rPr>
        <w:t>a</w:t>
      </w:r>
      <w:r w:rsidRPr="00FB6E71">
        <w:rPr>
          <w:rFonts w:asciiTheme="minorHAnsi" w:hAnsiTheme="minorHAnsi"/>
          <w:sz w:val="22"/>
          <w:szCs w:val="22"/>
        </w:rPr>
        <w:t xml:space="preserve">ccountant at the federal level and </w:t>
      </w:r>
      <w:r>
        <w:rPr>
          <w:rFonts w:asciiTheme="minorHAnsi" w:hAnsiTheme="minorHAnsi"/>
          <w:sz w:val="22"/>
          <w:szCs w:val="22"/>
        </w:rPr>
        <w:t xml:space="preserve">the </w:t>
      </w:r>
      <w:r w:rsidRPr="00FB6E71">
        <w:rPr>
          <w:rFonts w:asciiTheme="minorHAnsi" w:hAnsiTheme="minorHAnsi"/>
          <w:sz w:val="22"/>
          <w:szCs w:val="22"/>
        </w:rPr>
        <w:t xml:space="preserve">state PCUs in consultation with key members of the implementing unit will prepare the budget for the fiscal year based on the work program. The budget will be submitted to the </w:t>
      </w:r>
      <w:r>
        <w:rPr>
          <w:rFonts w:asciiTheme="minorHAnsi" w:hAnsiTheme="minorHAnsi"/>
          <w:sz w:val="22"/>
          <w:szCs w:val="22"/>
        </w:rPr>
        <w:t>task team leader</w:t>
      </w:r>
      <w:r w:rsidRPr="00FB6E71">
        <w:rPr>
          <w:rFonts w:asciiTheme="minorHAnsi" w:hAnsiTheme="minorHAnsi"/>
          <w:sz w:val="22"/>
          <w:szCs w:val="22"/>
        </w:rPr>
        <w:t xml:space="preserve"> at least two months before the beginning of the </w:t>
      </w:r>
      <w:r>
        <w:rPr>
          <w:rFonts w:asciiTheme="minorHAnsi" w:hAnsiTheme="minorHAnsi"/>
          <w:sz w:val="22"/>
          <w:szCs w:val="22"/>
        </w:rPr>
        <w:t>p</w:t>
      </w:r>
      <w:r w:rsidRPr="00FB6E71">
        <w:rPr>
          <w:rFonts w:asciiTheme="minorHAnsi" w:hAnsiTheme="minorHAnsi"/>
          <w:sz w:val="22"/>
          <w:szCs w:val="22"/>
        </w:rPr>
        <w:t>roject fiscal year. Detailed procedures for planning and budgeting will be documented in the FPM.</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84FFE">
        <w:rPr>
          <w:rFonts w:asciiTheme="minorHAnsi" w:hAnsiTheme="minorHAnsi"/>
          <w:b/>
          <w:sz w:val="22"/>
          <w:szCs w:val="22"/>
        </w:rPr>
        <w:t xml:space="preserve">Funds </w:t>
      </w:r>
      <w:r>
        <w:rPr>
          <w:rFonts w:asciiTheme="minorHAnsi" w:hAnsiTheme="minorHAnsi"/>
          <w:b/>
          <w:sz w:val="22"/>
          <w:szCs w:val="22"/>
        </w:rPr>
        <w:t>f</w:t>
      </w:r>
      <w:r w:rsidRPr="00F84FFE">
        <w:rPr>
          <w:rFonts w:asciiTheme="minorHAnsi" w:hAnsiTheme="minorHAnsi"/>
          <w:b/>
          <w:sz w:val="22"/>
          <w:szCs w:val="22"/>
        </w:rPr>
        <w:t>low.</w:t>
      </w:r>
      <w:r w:rsidRPr="00FB6E71">
        <w:rPr>
          <w:rFonts w:asciiTheme="minorHAnsi" w:hAnsiTheme="minorHAnsi"/>
          <w:sz w:val="22"/>
          <w:szCs w:val="22"/>
        </w:rPr>
        <w:t xml:space="preserve"> Project funding will consist mainly of IDA </w:t>
      </w:r>
      <w:r>
        <w:rPr>
          <w:rFonts w:asciiTheme="minorHAnsi" w:hAnsiTheme="minorHAnsi"/>
          <w:sz w:val="22"/>
          <w:szCs w:val="22"/>
        </w:rPr>
        <w:t>C</w:t>
      </w:r>
      <w:r w:rsidRPr="00FB6E71">
        <w:rPr>
          <w:rFonts w:asciiTheme="minorHAnsi" w:hAnsiTheme="minorHAnsi"/>
          <w:sz w:val="22"/>
          <w:szCs w:val="22"/>
        </w:rPr>
        <w:t xml:space="preserve">redit. All project funds will be used in line with the Financing Agreement and the World Bank FM procedures. IDA will disburse the </w:t>
      </w:r>
      <w:r>
        <w:rPr>
          <w:rFonts w:asciiTheme="minorHAnsi" w:hAnsiTheme="minorHAnsi"/>
          <w:sz w:val="22"/>
          <w:szCs w:val="22"/>
        </w:rPr>
        <w:t>C</w:t>
      </w:r>
      <w:r w:rsidRPr="00FB6E71">
        <w:rPr>
          <w:rFonts w:asciiTheme="minorHAnsi" w:hAnsiTheme="minorHAnsi"/>
          <w:sz w:val="22"/>
          <w:szCs w:val="22"/>
        </w:rPr>
        <w:t xml:space="preserve">redit through </w:t>
      </w:r>
      <w:r>
        <w:rPr>
          <w:rFonts w:asciiTheme="minorHAnsi" w:hAnsiTheme="minorHAnsi"/>
          <w:sz w:val="22"/>
          <w:szCs w:val="22"/>
        </w:rPr>
        <w:t xml:space="preserve">a </w:t>
      </w:r>
      <w:r w:rsidRPr="00FB6E71">
        <w:rPr>
          <w:rFonts w:asciiTheme="minorHAnsi" w:hAnsiTheme="minorHAnsi"/>
          <w:sz w:val="22"/>
          <w:szCs w:val="22"/>
        </w:rPr>
        <w:t>DA opened with the Central Bank of Nigeria</w:t>
      </w:r>
      <w:r>
        <w:rPr>
          <w:rFonts w:asciiTheme="minorHAnsi" w:hAnsiTheme="minorHAnsi"/>
          <w:sz w:val="22"/>
          <w:szCs w:val="22"/>
        </w:rPr>
        <w:t>,</w:t>
      </w:r>
      <w:r w:rsidRPr="00FB6E71">
        <w:rPr>
          <w:rFonts w:asciiTheme="minorHAnsi" w:hAnsiTheme="minorHAnsi"/>
          <w:sz w:val="22"/>
          <w:szCs w:val="22"/>
        </w:rPr>
        <w:t xml:space="preserve"> which will be managed by the PCNI/FPFMD</w:t>
      </w:r>
      <w:r>
        <w:rPr>
          <w:rFonts w:asciiTheme="minorHAnsi" w:hAnsiTheme="minorHAnsi"/>
          <w:sz w:val="22"/>
          <w:szCs w:val="22"/>
        </w:rPr>
        <w:t>,</w:t>
      </w:r>
      <w:r w:rsidRPr="00FB6E71">
        <w:rPr>
          <w:rFonts w:asciiTheme="minorHAnsi" w:hAnsiTheme="minorHAnsi"/>
          <w:sz w:val="22"/>
          <w:szCs w:val="22"/>
        </w:rPr>
        <w:t xml:space="preserve"> and D</w:t>
      </w:r>
      <w:r>
        <w:rPr>
          <w:rFonts w:asciiTheme="minorHAnsi" w:hAnsiTheme="minorHAnsi"/>
          <w:sz w:val="22"/>
          <w:szCs w:val="22"/>
        </w:rPr>
        <w:t>A</w:t>
      </w:r>
      <w:r w:rsidRPr="00FB6E71">
        <w:rPr>
          <w:rFonts w:asciiTheme="minorHAnsi" w:hAnsiTheme="minorHAnsi"/>
          <w:sz w:val="22"/>
          <w:szCs w:val="22"/>
        </w:rPr>
        <w:t>s for the respective PCUs, opened with reputable commercial banks acceptable to IDA</w:t>
      </w:r>
      <w:r>
        <w:rPr>
          <w:rFonts w:asciiTheme="minorHAnsi" w:hAnsiTheme="minorHAnsi"/>
          <w:sz w:val="22"/>
          <w:szCs w:val="22"/>
        </w:rPr>
        <w:t>,</w:t>
      </w:r>
      <w:r w:rsidRPr="00FB6E71">
        <w:rPr>
          <w:rFonts w:asciiTheme="minorHAnsi" w:hAnsiTheme="minorHAnsi"/>
          <w:sz w:val="22"/>
          <w:szCs w:val="22"/>
        </w:rPr>
        <w:t xml:space="preserve"> which will be managed by </w:t>
      </w:r>
      <w:r>
        <w:rPr>
          <w:rFonts w:asciiTheme="minorHAnsi" w:hAnsiTheme="minorHAnsi"/>
          <w:sz w:val="22"/>
          <w:szCs w:val="22"/>
        </w:rPr>
        <w:t xml:space="preserve">the </w:t>
      </w:r>
      <w:r w:rsidRPr="00FB6E71">
        <w:rPr>
          <w:rFonts w:asciiTheme="minorHAnsi" w:hAnsiTheme="minorHAnsi"/>
          <w:sz w:val="22"/>
          <w:szCs w:val="22"/>
        </w:rPr>
        <w:t>PCU/PFMU. The specific banking arrangements are as follows</w:t>
      </w:r>
      <w:r>
        <w:rPr>
          <w:rFonts w:asciiTheme="minorHAnsi" w:hAnsiTheme="minorHAnsi"/>
          <w:sz w:val="22"/>
          <w:szCs w:val="22"/>
        </w:rPr>
        <w:t>:</w:t>
      </w:r>
    </w:p>
    <w:p w:rsidR="007F2DE7" w:rsidRPr="00FB6E71" w:rsidP="00302E0C">
      <w:pPr>
        <w:pStyle w:val="ListParagraph"/>
        <w:widowControl/>
        <w:numPr>
          <w:ilvl w:val="1"/>
          <w:numId w:val="32"/>
        </w:numPr>
        <w:autoSpaceDE/>
        <w:autoSpaceDN/>
        <w:adjustRightInd/>
        <w:spacing w:after="240"/>
        <w:ind w:left="1195" w:hanging="475"/>
        <w:contextualSpacing w:val="0"/>
        <w:jc w:val="both"/>
        <w:rPr>
          <w:rFonts w:asciiTheme="minorHAnsi" w:hAnsiTheme="minorHAnsi"/>
          <w:sz w:val="22"/>
          <w:szCs w:val="22"/>
        </w:rPr>
      </w:pPr>
      <w:r w:rsidRPr="00F84FFE">
        <w:rPr>
          <w:rFonts w:asciiTheme="minorHAnsi" w:hAnsiTheme="minorHAnsi"/>
          <w:b/>
          <w:sz w:val="22"/>
          <w:szCs w:val="22"/>
        </w:rPr>
        <w:t xml:space="preserve">For </w:t>
      </w:r>
      <w:r>
        <w:rPr>
          <w:rFonts w:asciiTheme="minorHAnsi" w:hAnsiTheme="minorHAnsi"/>
          <w:b/>
          <w:sz w:val="22"/>
          <w:szCs w:val="22"/>
        </w:rPr>
        <w:t xml:space="preserve">the </w:t>
      </w:r>
      <w:r w:rsidRPr="00F84FFE">
        <w:rPr>
          <w:rFonts w:asciiTheme="minorHAnsi" w:hAnsiTheme="minorHAnsi"/>
          <w:b/>
          <w:sz w:val="22"/>
          <w:szCs w:val="22"/>
        </w:rPr>
        <w:t>PCNI</w:t>
      </w:r>
      <w:r>
        <w:rPr>
          <w:rFonts w:asciiTheme="minorHAnsi" w:hAnsiTheme="minorHAnsi"/>
          <w:b/>
          <w:sz w:val="22"/>
          <w:szCs w:val="22"/>
        </w:rPr>
        <w:t>.</w:t>
      </w:r>
      <w:r w:rsidRPr="00FB6E71">
        <w:rPr>
          <w:rFonts w:asciiTheme="minorHAnsi" w:hAnsiTheme="minorHAnsi"/>
          <w:i/>
          <w:sz w:val="22"/>
          <w:szCs w:val="22"/>
        </w:rPr>
        <w:t xml:space="preserve"> </w:t>
      </w:r>
      <w:r w:rsidRPr="00FB6E71">
        <w:rPr>
          <w:rFonts w:eastAsia="Calibri" w:asciiTheme="minorHAnsi" w:hAnsiTheme="minorHAnsi"/>
          <w:sz w:val="22"/>
          <w:szCs w:val="22"/>
        </w:rPr>
        <w:t>A U.S. dollar DA to which initial deposit and replenishments from IDA will be lodged. In addition</w:t>
      </w:r>
      <w:r>
        <w:rPr>
          <w:rFonts w:eastAsia="Calibri" w:asciiTheme="minorHAnsi" w:hAnsiTheme="minorHAnsi"/>
          <w:sz w:val="22"/>
          <w:szCs w:val="22"/>
        </w:rPr>
        <w:t>,</w:t>
      </w:r>
      <w:r w:rsidRPr="00FB6E71">
        <w:rPr>
          <w:rFonts w:eastAsia="Calibri" w:asciiTheme="minorHAnsi" w:hAnsiTheme="minorHAnsi"/>
          <w:sz w:val="22"/>
          <w:szCs w:val="22"/>
        </w:rPr>
        <w:t xml:space="preserve"> one </w:t>
      </w:r>
      <w:r>
        <w:rPr>
          <w:rFonts w:eastAsia="Calibri" w:asciiTheme="minorHAnsi" w:hAnsiTheme="minorHAnsi"/>
          <w:sz w:val="22"/>
          <w:szCs w:val="22"/>
        </w:rPr>
        <w:t>c</w:t>
      </w:r>
      <w:r w:rsidRPr="00FB6E71">
        <w:rPr>
          <w:rFonts w:eastAsia="Calibri" w:asciiTheme="minorHAnsi" w:hAnsiTheme="minorHAnsi"/>
          <w:sz w:val="22"/>
          <w:szCs w:val="22"/>
        </w:rPr>
        <w:t>urrent (</w:t>
      </w:r>
      <w:r>
        <w:rPr>
          <w:rFonts w:eastAsia="Calibri" w:asciiTheme="minorHAnsi" w:hAnsiTheme="minorHAnsi"/>
          <w:sz w:val="22"/>
          <w:szCs w:val="22"/>
        </w:rPr>
        <w:t>d</w:t>
      </w:r>
      <w:r w:rsidRPr="00FB6E71">
        <w:rPr>
          <w:rFonts w:eastAsia="Calibri" w:asciiTheme="minorHAnsi" w:hAnsiTheme="minorHAnsi"/>
          <w:sz w:val="22"/>
          <w:szCs w:val="22"/>
        </w:rPr>
        <w:t>rawdown) account in naira to which drawdowns from the DA will be credited in respect of incurred eligible expenditures, after payments for incurred eligible expenditures, ha</w:t>
      </w:r>
      <w:r>
        <w:rPr>
          <w:rFonts w:eastAsia="Calibri" w:asciiTheme="minorHAnsi" w:hAnsiTheme="minorHAnsi"/>
          <w:sz w:val="22"/>
          <w:szCs w:val="22"/>
        </w:rPr>
        <w:t>ving</w:t>
      </w:r>
      <w:r w:rsidRPr="00FB6E71">
        <w:rPr>
          <w:rFonts w:eastAsia="Calibri" w:asciiTheme="minorHAnsi" w:hAnsiTheme="minorHAnsi"/>
          <w:sz w:val="22"/>
          <w:szCs w:val="22"/>
        </w:rPr>
        <w:t xml:space="preserve"> a balance not exceeding </w:t>
      </w:r>
      <w:r>
        <w:rPr>
          <w:rFonts w:eastAsia="Calibri" w:asciiTheme="minorHAnsi" w:hAnsiTheme="minorHAnsi"/>
          <w:sz w:val="22"/>
          <w:szCs w:val="22"/>
        </w:rPr>
        <w:t>three</w:t>
      </w:r>
      <w:r w:rsidRPr="00FB6E71">
        <w:rPr>
          <w:rFonts w:eastAsia="Calibri" w:asciiTheme="minorHAnsi" w:hAnsiTheme="minorHAnsi"/>
          <w:sz w:val="22"/>
          <w:szCs w:val="22"/>
        </w:rPr>
        <w:t xml:space="preserve"> months</w:t>
      </w:r>
      <w:r>
        <w:rPr>
          <w:rFonts w:eastAsia="Calibri" w:asciiTheme="minorHAnsi" w:hAnsiTheme="minorHAnsi"/>
          <w:sz w:val="22"/>
          <w:szCs w:val="22"/>
        </w:rPr>
        <w:t>’</w:t>
      </w:r>
      <w:r w:rsidRPr="00FB6E71">
        <w:rPr>
          <w:rFonts w:eastAsia="Calibri" w:asciiTheme="minorHAnsi" w:hAnsiTheme="minorHAnsi"/>
          <w:sz w:val="22"/>
          <w:szCs w:val="22"/>
        </w:rPr>
        <w:t xml:space="preserve"> forecast expenditures.</w:t>
      </w:r>
    </w:p>
    <w:p w:rsidR="007F2DE7" w:rsidRPr="00FB6E71" w:rsidP="00302E0C">
      <w:pPr>
        <w:pStyle w:val="ListParagraph"/>
        <w:widowControl/>
        <w:numPr>
          <w:ilvl w:val="1"/>
          <w:numId w:val="32"/>
        </w:numPr>
        <w:autoSpaceDE/>
        <w:autoSpaceDN/>
        <w:adjustRightInd/>
        <w:spacing w:after="240"/>
        <w:ind w:left="1195" w:hanging="475"/>
        <w:contextualSpacing w:val="0"/>
        <w:jc w:val="both"/>
        <w:rPr>
          <w:rFonts w:asciiTheme="minorHAnsi" w:hAnsiTheme="minorHAnsi"/>
          <w:sz w:val="22"/>
          <w:szCs w:val="22"/>
        </w:rPr>
      </w:pPr>
      <w:r w:rsidRPr="00F84FFE">
        <w:rPr>
          <w:rFonts w:eastAsia="Calibri" w:asciiTheme="minorHAnsi" w:hAnsiTheme="minorHAnsi"/>
          <w:b/>
          <w:sz w:val="22"/>
          <w:szCs w:val="22"/>
        </w:rPr>
        <w:t xml:space="preserve">For the </w:t>
      </w:r>
      <w:r>
        <w:rPr>
          <w:rFonts w:eastAsia="Calibri" w:asciiTheme="minorHAnsi" w:hAnsiTheme="minorHAnsi"/>
          <w:b/>
          <w:sz w:val="22"/>
          <w:szCs w:val="22"/>
        </w:rPr>
        <w:t>s</w:t>
      </w:r>
      <w:r w:rsidRPr="00F84FFE">
        <w:rPr>
          <w:rFonts w:eastAsia="Calibri" w:asciiTheme="minorHAnsi" w:hAnsiTheme="minorHAnsi"/>
          <w:b/>
          <w:sz w:val="22"/>
          <w:szCs w:val="22"/>
        </w:rPr>
        <w:t xml:space="preserve">tate </w:t>
      </w:r>
      <w:r w:rsidRPr="00F84FFE">
        <w:rPr>
          <w:rFonts w:asciiTheme="minorHAnsi" w:hAnsiTheme="minorHAnsi"/>
          <w:b/>
          <w:sz w:val="22"/>
          <w:szCs w:val="22"/>
        </w:rPr>
        <w:t>PCUs</w:t>
      </w:r>
      <w:r>
        <w:rPr>
          <w:rFonts w:asciiTheme="minorHAnsi" w:hAnsiTheme="minorHAnsi"/>
          <w:b/>
          <w:sz w:val="22"/>
          <w:szCs w:val="22"/>
        </w:rPr>
        <w:t>.</w:t>
      </w:r>
      <w:r w:rsidRPr="00FB6E71">
        <w:rPr>
          <w:rFonts w:asciiTheme="minorHAnsi" w:hAnsiTheme="minorHAnsi"/>
          <w:sz w:val="22"/>
          <w:szCs w:val="22"/>
        </w:rPr>
        <w:t xml:space="preserve"> </w:t>
      </w:r>
      <w:r w:rsidRPr="00FB6E71">
        <w:rPr>
          <w:rFonts w:eastAsia="Calibri" w:asciiTheme="minorHAnsi" w:hAnsiTheme="minorHAnsi"/>
          <w:sz w:val="22"/>
          <w:szCs w:val="22"/>
        </w:rPr>
        <w:t>A U.S. dollar DA to which initial deposit and replenishments from IDA will be lodged. One current (</w:t>
      </w:r>
      <w:r>
        <w:rPr>
          <w:rFonts w:eastAsia="Calibri" w:asciiTheme="minorHAnsi" w:hAnsiTheme="minorHAnsi"/>
          <w:sz w:val="22"/>
          <w:szCs w:val="22"/>
        </w:rPr>
        <w:t>d</w:t>
      </w:r>
      <w:r w:rsidRPr="00FB6E71">
        <w:rPr>
          <w:rFonts w:eastAsia="Calibri" w:asciiTheme="minorHAnsi" w:hAnsiTheme="minorHAnsi"/>
          <w:sz w:val="22"/>
          <w:szCs w:val="22"/>
        </w:rPr>
        <w:t xml:space="preserve">rawdown) account in naira to which drawdowns from the DA will be credited in respect of incurred eligible expenditures, maintaining balances on this account as close to zero as possible after payments.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84FFE">
        <w:rPr>
          <w:rFonts w:asciiTheme="minorHAnsi" w:hAnsiTheme="minorHAnsi"/>
          <w:b/>
          <w:sz w:val="22"/>
          <w:szCs w:val="22"/>
        </w:rPr>
        <w:t>Accounting</w:t>
      </w:r>
      <w:r>
        <w:rPr>
          <w:rFonts w:asciiTheme="minorHAnsi" w:hAnsiTheme="minorHAnsi"/>
          <w:b/>
          <w:sz w:val="22"/>
          <w:szCs w:val="22"/>
        </w:rPr>
        <w:t>.</w:t>
      </w:r>
      <w:r w:rsidRPr="00FB6E71">
        <w:rPr>
          <w:rFonts w:asciiTheme="minorHAnsi" w:hAnsiTheme="minorHAnsi"/>
          <w:sz w:val="22"/>
          <w:szCs w:val="22"/>
        </w:rPr>
        <w:t xml:space="preserve"> IDA funds will be accounted for by the </w:t>
      </w:r>
      <w:r>
        <w:rPr>
          <w:rFonts w:asciiTheme="minorHAnsi" w:hAnsiTheme="minorHAnsi"/>
          <w:sz w:val="22"/>
          <w:szCs w:val="22"/>
        </w:rPr>
        <w:t>p</w:t>
      </w:r>
      <w:r w:rsidRPr="00FB6E71">
        <w:rPr>
          <w:rFonts w:asciiTheme="minorHAnsi" w:hAnsiTheme="minorHAnsi"/>
          <w:sz w:val="22"/>
          <w:szCs w:val="22"/>
        </w:rPr>
        <w:t xml:space="preserve">roject on a cash basis. </w:t>
      </w:r>
      <w:r>
        <w:rPr>
          <w:rFonts w:asciiTheme="minorHAnsi" w:hAnsiTheme="minorHAnsi"/>
          <w:sz w:val="22"/>
          <w:szCs w:val="22"/>
        </w:rPr>
        <w:t>A c</w:t>
      </w:r>
      <w:r w:rsidRPr="00FB6E71">
        <w:rPr>
          <w:rFonts w:asciiTheme="minorHAnsi" w:hAnsiTheme="minorHAnsi"/>
          <w:sz w:val="22"/>
          <w:szCs w:val="22"/>
        </w:rPr>
        <w:t xml:space="preserve">omputerized accounting system will be used. Annual financial statements will be prepared in accordance with the relevant International Public Sector Accounting Standards. All accounting and control procedures will be documented in the FPM, a living document </w:t>
      </w:r>
      <w:r>
        <w:rPr>
          <w:rFonts w:asciiTheme="minorHAnsi" w:hAnsiTheme="minorHAnsi"/>
          <w:sz w:val="22"/>
          <w:szCs w:val="22"/>
        </w:rPr>
        <w:t>that</w:t>
      </w:r>
      <w:r w:rsidRPr="00FB6E71">
        <w:rPr>
          <w:rFonts w:asciiTheme="minorHAnsi" w:hAnsiTheme="minorHAnsi"/>
          <w:sz w:val="22"/>
          <w:szCs w:val="22"/>
        </w:rPr>
        <w:t xml:space="preserve"> will be subject to review as appropriate.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84FFE">
        <w:rPr>
          <w:rFonts w:asciiTheme="minorHAnsi" w:hAnsiTheme="minorHAnsi"/>
          <w:b/>
          <w:sz w:val="22"/>
          <w:szCs w:val="22"/>
        </w:rPr>
        <w:t xml:space="preserve">Financial </w:t>
      </w:r>
      <w:r>
        <w:rPr>
          <w:rFonts w:asciiTheme="minorHAnsi" w:hAnsiTheme="minorHAnsi"/>
          <w:b/>
          <w:sz w:val="22"/>
          <w:szCs w:val="22"/>
        </w:rPr>
        <w:t>r</w:t>
      </w:r>
      <w:r w:rsidRPr="00F84FFE">
        <w:rPr>
          <w:rFonts w:asciiTheme="minorHAnsi" w:hAnsiTheme="minorHAnsi"/>
          <w:b/>
          <w:sz w:val="22"/>
          <w:szCs w:val="22"/>
        </w:rPr>
        <w:t>eporting</w:t>
      </w:r>
      <w:r>
        <w:rPr>
          <w:rFonts w:asciiTheme="minorHAnsi" w:hAnsiTheme="minorHAnsi"/>
          <w:b/>
          <w:sz w:val="22"/>
          <w:szCs w:val="22"/>
        </w:rPr>
        <w:t>.</w:t>
      </w:r>
      <w:r w:rsidRPr="00FB6E71">
        <w:rPr>
          <w:rFonts w:asciiTheme="minorHAnsi" w:hAnsiTheme="minorHAnsi"/>
          <w:sz w:val="22"/>
          <w:szCs w:val="22"/>
        </w:rPr>
        <w:t xml:space="preserve"> Calendar semester IFRs will be prepared by the </w:t>
      </w:r>
      <w:r>
        <w:rPr>
          <w:rFonts w:asciiTheme="minorHAnsi" w:hAnsiTheme="minorHAnsi"/>
          <w:sz w:val="22"/>
          <w:szCs w:val="22"/>
        </w:rPr>
        <w:t>f</w:t>
      </w:r>
      <w:r w:rsidRPr="00FB6E71">
        <w:rPr>
          <w:rFonts w:asciiTheme="minorHAnsi" w:hAnsiTheme="minorHAnsi"/>
          <w:sz w:val="22"/>
          <w:szCs w:val="22"/>
        </w:rPr>
        <w:t xml:space="preserve">ederal entity and the PCUs. The IFRs will be submitted to IDA within 45 days after the end of the calendar semester. The formats of </w:t>
      </w:r>
      <w:r>
        <w:rPr>
          <w:rFonts w:asciiTheme="minorHAnsi" w:hAnsiTheme="minorHAnsi"/>
          <w:sz w:val="22"/>
          <w:szCs w:val="22"/>
        </w:rPr>
        <w:t xml:space="preserve">the </w:t>
      </w:r>
      <w:r w:rsidRPr="00FB6E71">
        <w:rPr>
          <w:rFonts w:asciiTheme="minorHAnsi" w:hAnsiTheme="minorHAnsi"/>
          <w:sz w:val="22"/>
          <w:szCs w:val="22"/>
        </w:rPr>
        <w:t xml:space="preserve">IFRs </w:t>
      </w:r>
      <w:r>
        <w:rPr>
          <w:rFonts w:asciiTheme="minorHAnsi" w:hAnsiTheme="minorHAnsi"/>
          <w:sz w:val="22"/>
          <w:szCs w:val="22"/>
        </w:rPr>
        <w:t>were agreed at project negotiations</w:t>
      </w:r>
      <w:r w:rsidRPr="00FB6E71">
        <w:rPr>
          <w:rFonts w:asciiTheme="minorHAnsi" w:hAnsiTheme="minorHAnsi"/>
          <w:sz w:val="22"/>
          <w:szCs w:val="22"/>
        </w:rPr>
        <w:t>. Annual project financial statement</w:t>
      </w:r>
      <w:r>
        <w:rPr>
          <w:rFonts w:asciiTheme="minorHAnsi" w:hAnsiTheme="minorHAnsi"/>
          <w:sz w:val="22"/>
          <w:szCs w:val="22"/>
        </w:rPr>
        <w:t>s</w:t>
      </w:r>
      <w:r w:rsidRPr="00FB6E71">
        <w:rPr>
          <w:rFonts w:asciiTheme="minorHAnsi" w:hAnsiTheme="minorHAnsi"/>
          <w:sz w:val="22"/>
          <w:szCs w:val="22"/>
        </w:rPr>
        <w:t xml:space="preserve"> will be prepared and audited. The audit report will be submitted to IDA within </w:t>
      </w:r>
      <w:r>
        <w:rPr>
          <w:rFonts w:asciiTheme="minorHAnsi" w:hAnsiTheme="minorHAnsi"/>
          <w:sz w:val="22"/>
          <w:szCs w:val="22"/>
        </w:rPr>
        <w:t>six</w:t>
      </w:r>
      <w:r w:rsidRPr="00FB6E71">
        <w:rPr>
          <w:rFonts w:asciiTheme="minorHAnsi" w:hAnsiTheme="minorHAnsi"/>
          <w:sz w:val="22"/>
          <w:szCs w:val="22"/>
        </w:rPr>
        <w:t xml:space="preserve"> months </w:t>
      </w:r>
      <w:r>
        <w:rPr>
          <w:rFonts w:asciiTheme="minorHAnsi" w:hAnsiTheme="minorHAnsi"/>
          <w:sz w:val="22"/>
          <w:szCs w:val="22"/>
        </w:rPr>
        <w:t>from</w:t>
      </w:r>
      <w:r w:rsidRPr="00FB6E71">
        <w:rPr>
          <w:rFonts w:asciiTheme="minorHAnsi" w:hAnsiTheme="minorHAnsi"/>
          <w:sz w:val="22"/>
          <w:szCs w:val="22"/>
        </w:rPr>
        <w:t xml:space="preserve"> the end of the fiscal year by the FPFMD and PCUs. Regular periodic returns will be made to the federal and state Accountants General for consolidation in the government accounts.</w:t>
      </w:r>
    </w:p>
    <w:p w:rsidR="007F2DE7" w:rsidRPr="00FB6E71" w:rsidP="00302E0C">
      <w:pPr>
        <w:pStyle w:val="ListParagraph"/>
        <w:widowControl/>
        <w:numPr>
          <w:ilvl w:val="0"/>
          <w:numId w:val="30"/>
        </w:numPr>
        <w:spacing w:after="240"/>
        <w:ind w:left="0" w:firstLine="0"/>
        <w:contextualSpacing w:val="0"/>
        <w:jc w:val="both"/>
        <w:rPr>
          <w:rFonts w:asciiTheme="minorHAnsi" w:hAnsiTheme="minorHAnsi"/>
          <w:sz w:val="22"/>
          <w:szCs w:val="22"/>
        </w:rPr>
      </w:pPr>
      <w:r w:rsidRPr="00F84FFE">
        <w:rPr>
          <w:rFonts w:asciiTheme="minorHAnsi" w:hAnsiTheme="minorHAnsi"/>
          <w:b/>
          <w:sz w:val="22"/>
          <w:szCs w:val="22"/>
        </w:rPr>
        <w:t xml:space="preserve">Internal </w:t>
      </w:r>
      <w:r>
        <w:rPr>
          <w:rFonts w:asciiTheme="minorHAnsi" w:hAnsiTheme="minorHAnsi"/>
          <w:b/>
          <w:sz w:val="22"/>
          <w:szCs w:val="22"/>
        </w:rPr>
        <w:t>c</w:t>
      </w:r>
      <w:r w:rsidRPr="00F84FFE">
        <w:rPr>
          <w:rFonts w:asciiTheme="minorHAnsi" w:hAnsiTheme="minorHAnsi"/>
          <w:b/>
          <w:sz w:val="22"/>
          <w:szCs w:val="22"/>
        </w:rPr>
        <w:t>ontrol</w:t>
      </w:r>
      <w:r>
        <w:rPr>
          <w:rFonts w:asciiTheme="minorHAnsi" w:hAnsiTheme="minorHAnsi"/>
          <w:b/>
          <w:sz w:val="22"/>
          <w:szCs w:val="22"/>
        </w:rPr>
        <w:t>.</w:t>
      </w:r>
      <w:r w:rsidRPr="00FB6E71">
        <w:rPr>
          <w:rFonts w:asciiTheme="minorHAnsi" w:hAnsiTheme="minorHAnsi"/>
          <w:sz w:val="22"/>
          <w:szCs w:val="22"/>
        </w:rPr>
        <w:t xml:space="preserve"> Adequate internal controls are in place at both </w:t>
      </w:r>
      <w:r>
        <w:rPr>
          <w:rFonts w:asciiTheme="minorHAnsi" w:hAnsiTheme="minorHAnsi"/>
          <w:sz w:val="22"/>
          <w:szCs w:val="22"/>
        </w:rPr>
        <w:t xml:space="preserve">the </w:t>
      </w:r>
      <w:r w:rsidRPr="00FB6E71">
        <w:rPr>
          <w:rFonts w:asciiTheme="minorHAnsi" w:hAnsiTheme="minorHAnsi"/>
          <w:sz w:val="22"/>
          <w:szCs w:val="22"/>
        </w:rPr>
        <w:t xml:space="preserve">PFMUs and FPFMD but will be strengthened further. The control features at both </w:t>
      </w:r>
      <w:r>
        <w:rPr>
          <w:rFonts w:asciiTheme="minorHAnsi" w:hAnsiTheme="minorHAnsi"/>
          <w:sz w:val="22"/>
          <w:szCs w:val="22"/>
        </w:rPr>
        <w:t xml:space="preserve">the </w:t>
      </w:r>
      <w:r w:rsidRPr="00FB6E71">
        <w:rPr>
          <w:rFonts w:asciiTheme="minorHAnsi" w:hAnsiTheme="minorHAnsi"/>
          <w:sz w:val="22"/>
          <w:szCs w:val="22"/>
        </w:rPr>
        <w:t>PFMUs and FPFMD include robust FM procedures manual</w:t>
      </w:r>
      <w:r>
        <w:rPr>
          <w:rFonts w:asciiTheme="minorHAnsi" w:hAnsiTheme="minorHAnsi"/>
          <w:sz w:val="22"/>
          <w:szCs w:val="22"/>
        </w:rPr>
        <w:t>;</w:t>
      </w:r>
      <w:r w:rsidRPr="00FB6E71">
        <w:rPr>
          <w:rFonts w:asciiTheme="minorHAnsi" w:hAnsiTheme="minorHAnsi"/>
          <w:sz w:val="22"/>
          <w:szCs w:val="22"/>
        </w:rPr>
        <w:t xml:space="preserve"> relevantly qualified staff </w:t>
      </w:r>
      <w:r>
        <w:rPr>
          <w:rFonts w:asciiTheme="minorHAnsi" w:hAnsiTheme="minorHAnsi"/>
          <w:sz w:val="22"/>
          <w:szCs w:val="22"/>
        </w:rPr>
        <w:t>who</w:t>
      </w:r>
      <w:r w:rsidRPr="00FB6E71">
        <w:rPr>
          <w:rFonts w:asciiTheme="minorHAnsi" w:hAnsiTheme="minorHAnsi"/>
          <w:sz w:val="22"/>
          <w:szCs w:val="22"/>
        </w:rPr>
        <w:t xml:space="preserve"> are well trained in relevant World Bank procedures and requirements, including procurement; robust segregation of functions/duties</w:t>
      </w:r>
      <w:r>
        <w:rPr>
          <w:rFonts w:asciiTheme="minorHAnsi" w:hAnsiTheme="minorHAnsi"/>
          <w:sz w:val="22"/>
          <w:szCs w:val="22"/>
        </w:rPr>
        <w:t>;</w:t>
      </w:r>
      <w:r w:rsidRPr="00FB6E71">
        <w:rPr>
          <w:rFonts w:asciiTheme="minorHAnsi" w:hAnsiTheme="minorHAnsi"/>
          <w:sz w:val="22"/>
          <w:szCs w:val="22"/>
        </w:rPr>
        <w:t xml:space="preserve"> and highly independent and well-trained internal auditors. The FM staff are appointed by each </w:t>
      </w:r>
      <w:r>
        <w:rPr>
          <w:rFonts w:asciiTheme="minorHAnsi" w:hAnsiTheme="minorHAnsi"/>
          <w:sz w:val="22"/>
          <w:szCs w:val="22"/>
        </w:rPr>
        <w:t>s</w:t>
      </w:r>
      <w:r w:rsidRPr="00FB6E71">
        <w:rPr>
          <w:rFonts w:asciiTheme="minorHAnsi" w:hAnsiTheme="minorHAnsi"/>
          <w:sz w:val="22"/>
          <w:szCs w:val="22"/>
        </w:rPr>
        <w:t xml:space="preserve">tate Accountant General and the Accountant General for the </w:t>
      </w:r>
      <w:r>
        <w:rPr>
          <w:rFonts w:asciiTheme="minorHAnsi" w:hAnsiTheme="minorHAnsi"/>
          <w:sz w:val="22"/>
          <w:szCs w:val="22"/>
        </w:rPr>
        <w:t>f</w:t>
      </w:r>
      <w:r w:rsidRPr="00FB6E71">
        <w:rPr>
          <w:rFonts w:asciiTheme="minorHAnsi" w:hAnsiTheme="minorHAnsi"/>
          <w:sz w:val="22"/>
          <w:szCs w:val="22"/>
        </w:rPr>
        <w:t xml:space="preserve">ederation. The </w:t>
      </w:r>
      <w:r>
        <w:rPr>
          <w:rFonts w:asciiTheme="minorHAnsi" w:hAnsiTheme="minorHAnsi"/>
          <w:sz w:val="22"/>
          <w:szCs w:val="22"/>
        </w:rPr>
        <w:t>i</w:t>
      </w:r>
      <w:r w:rsidRPr="00FB6E71">
        <w:rPr>
          <w:rFonts w:asciiTheme="minorHAnsi" w:hAnsiTheme="minorHAnsi"/>
          <w:sz w:val="22"/>
          <w:szCs w:val="22"/>
        </w:rPr>
        <w:t xml:space="preserve">nternal </w:t>
      </w:r>
      <w:r>
        <w:rPr>
          <w:rFonts w:asciiTheme="minorHAnsi" w:hAnsiTheme="minorHAnsi"/>
          <w:sz w:val="22"/>
          <w:szCs w:val="22"/>
        </w:rPr>
        <w:t>a</w:t>
      </w:r>
      <w:r w:rsidRPr="00FB6E71">
        <w:rPr>
          <w:rFonts w:asciiTheme="minorHAnsi" w:hAnsiTheme="minorHAnsi"/>
          <w:sz w:val="22"/>
          <w:szCs w:val="22"/>
        </w:rPr>
        <w:t xml:space="preserve">uditor at </w:t>
      </w:r>
      <w:r>
        <w:rPr>
          <w:rFonts w:asciiTheme="minorHAnsi" w:hAnsiTheme="minorHAnsi"/>
          <w:sz w:val="22"/>
          <w:szCs w:val="22"/>
        </w:rPr>
        <w:t xml:space="preserve">the </w:t>
      </w:r>
      <w:r w:rsidRPr="00FB6E71">
        <w:rPr>
          <w:rFonts w:asciiTheme="minorHAnsi" w:hAnsiTheme="minorHAnsi"/>
          <w:sz w:val="22"/>
          <w:szCs w:val="22"/>
        </w:rPr>
        <w:t xml:space="preserve">PCUs and FPFMD will prepare quarterly </w:t>
      </w:r>
      <w:r>
        <w:rPr>
          <w:rFonts w:asciiTheme="minorHAnsi" w:hAnsiTheme="minorHAnsi"/>
          <w:sz w:val="22"/>
          <w:szCs w:val="22"/>
        </w:rPr>
        <w:t>i</w:t>
      </w:r>
      <w:r w:rsidRPr="00FB6E71">
        <w:rPr>
          <w:rFonts w:asciiTheme="minorHAnsi" w:hAnsiTheme="minorHAnsi"/>
          <w:sz w:val="22"/>
          <w:szCs w:val="22"/>
        </w:rPr>
        <w:t xml:space="preserve">nternal </w:t>
      </w:r>
      <w:r>
        <w:rPr>
          <w:rFonts w:asciiTheme="minorHAnsi" w:hAnsiTheme="minorHAnsi"/>
          <w:sz w:val="22"/>
          <w:szCs w:val="22"/>
        </w:rPr>
        <w:t>a</w:t>
      </w:r>
      <w:r w:rsidRPr="00FB6E71">
        <w:rPr>
          <w:rFonts w:asciiTheme="minorHAnsi" w:hAnsiTheme="minorHAnsi"/>
          <w:sz w:val="22"/>
          <w:szCs w:val="22"/>
        </w:rPr>
        <w:t xml:space="preserve">udit </w:t>
      </w:r>
      <w:r>
        <w:rPr>
          <w:rFonts w:asciiTheme="minorHAnsi" w:hAnsiTheme="minorHAnsi"/>
          <w:sz w:val="22"/>
          <w:szCs w:val="22"/>
        </w:rPr>
        <w:t>r</w:t>
      </w:r>
      <w:r w:rsidRPr="00FB6E71">
        <w:rPr>
          <w:rFonts w:asciiTheme="minorHAnsi" w:hAnsiTheme="minorHAnsi"/>
          <w:sz w:val="22"/>
          <w:szCs w:val="22"/>
        </w:rPr>
        <w:t>eport</w:t>
      </w:r>
      <w:r>
        <w:rPr>
          <w:rFonts w:asciiTheme="minorHAnsi" w:hAnsiTheme="minorHAnsi"/>
          <w:sz w:val="22"/>
          <w:szCs w:val="22"/>
        </w:rPr>
        <w:t>s</w:t>
      </w:r>
      <w:r w:rsidRPr="00FB6E71">
        <w:rPr>
          <w:rFonts w:asciiTheme="minorHAnsi" w:hAnsiTheme="minorHAnsi"/>
          <w:sz w:val="22"/>
          <w:szCs w:val="22"/>
        </w:rPr>
        <w:t xml:space="preserve"> and submit to IDA within 45 days of </w:t>
      </w:r>
      <w:r>
        <w:rPr>
          <w:rFonts w:asciiTheme="minorHAnsi" w:hAnsiTheme="minorHAnsi"/>
          <w:sz w:val="22"/>
          <w:szCs w:val="22"/>
        </w:rPr>
        <w:t xml:space="preserve">the end of </w:t>
      </w:r>
      <w:r w:rsidRPr="00FB6E71">
        <w:rPr>
          <w:rFonts w:asciiTheme="minorHAnsi" w:hAnsiTheme="minorHAnsi"/>
          <w:sz w:val="22"/>
          <w:szCs w:val="22"/>
        </w:rPr>
        <w:t xml:space="preserve">each quarter. Additional controls in the form of an enhanced accountability framework will be implemented to mitigate the risk of misuse of funds for soft expenditures (travels, workshops, study tours, and so on). The enhanced accountability framework will be elaborated in the </w:t>
      </w:r>
      <w:r w:rsidRPr="00FB6E71">
        <w:rPr>
          <w:rFonts w:ascii="Calibri" w:eastAsia="Times New Roman" w:hAnsi="Calibri" w:cs="Times New Roman"/>
          <w:color w:val="auto"/>
          <w:sz w:val="22"/>
          <w:szCs w:val="22"/>
        </w:rPr>
        <w:t>FPM.</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84FFE">
        <w:rPr>
          <w:rFonts w:asciiTheme="minorHAnsi" w:hAnsiTheme="minorHAnsi"/>
          <w:sz w:val="22"/>
          <w:szCs w:val="22"/>
        </w:rPr>
        <w:t xml:space="preserve">The annual financial statements of the project </w:t>
      </w:r>
      <w:r w:rsidRPr="00F84FFE">
        <w:rPr>
          <w:rFonts w:asciiTheme="minorHAnsi" w:eastAsiaTheme="minorHAnsi" w:hAnsiTheme="minorHAnsi"/>
          <w:sz w:val="22"/>
          <w:szCs w:val="22"/>
        </w:rPr>
        <w:t>will</w:t>
      </w:r>
      <w:r w:rsidRPr="00F84FFE">
        <w:rPr>
          <w:rFonts w:asciiTheme="minorHAnsi" w:hAnsiTheme="minorHAnsi"/>
          <w:sz w:val="22"/>
          <w:szCs w:val="22"/>
        </w:rPr>
        <w:t xml:space="preserve"> be audited by an independent external auditor appointed on the </w:t>
      </w:r>
      <w:r w:rsidRPr="00FB6E71">
        <w:rPr>
          <w:rFonts w:asciiTheme="minorHAnsi" w:hAnsiTheme="minorHAnsi"/>
          <w:sz w:val="22"/>
          <w:szCs w:val="22"/>
        </w:rPr>
        <w:t xml:space="preserve">basis of ToR acceptable to IDA. The auditor will express an opinion on the </w:t>
      </w:r>
      <w:r>
        <w:rPr>
          <w:rFonts w:asciiTheme="minorHAnsi" w:hAnsiTheme="minorHAnsi"/>
          <w:sz w:val="22"/>
          <w:szCs w:val="22"/>
        </w:rPr>
        <w:t>a</w:t>
      </w:r>
      <w:r w:rsidRPr="00FB6E71">
        <w:rPr>
          <w:rFonts w:asciiTheme="minorHAnsi" w:hAnsiTheme="minorHAnsi"/>
          <w:sz w:val="22"/>
          <w:szCs w:val="22"/>
        </w:rPr>
        <w:t xml:space="preserve">nnual </w:t>
      </w:r>
      <w:r>
        <w:rPr>
          <w:rFonts w:asciiTheme="minorHAnsi" w:hAnsiTheme="minorHAnsi"/>
          <w:sz w:val="22"/>
          <w:szCs w:val="22"/>
        </w:rPr>
        <w:t>f</w:t>
      </w:r>
      <w:r w:rsidRPr="00FB6E71">
        <w:rPr>
          <w:rFonts w:asciiTheme="minorHAnsi" w:hAnsiTheme="minorHAnsi"/>
          <w:sz w:val="22"/>
          <w:szCs w:val="22"/>
        </w:rPr>
        <w:t xml:space="preserve">inancial </w:t>
      </w:r>
      <w:r>
        <w:rPr>
          <w:rFonts w:asciiTheme="minorHAnsi" w:hAnsiTheme="minorHAnsi"/>
          <w:sz w:val="22"/>
          <w:szCs w:val="22"/>
        </w:rPr>
        <w:t>s</w:t>
      </w:r>
      <w:r w:rsidRPr="00FB6E71">
        <w:rPr>
          <w:rFonts w:asciiTheme="minorHAnsi" w:hAnsiTheme="minorHAnsi"/>
          <w:sz w:val="22"/>
          <w:szCs w:val="22"/>
        </w:rPr>
        <w:t xml:space="preserve">tatements in compliance with International Standards on Auditing and will provide </w:t>
      </w:r>
      <w:r>
        <w:rPr>
          <w:rFonts w:asciiTheme="minorHAnsi" w:hAnsiTheme="minorHAnsi"/>
          <w:sz w:val="22"/>
          <w:szCs w:val="22"/>
        </w:rPr>
        <w:t xml:space="preserve">a </w:t>
      </w:r>
      <w:r w:rsidRPr="00FB6E71">
        <w:rPr>
          <w:rFonts w:asciiTheme="minorHAnsi" w:hAnsiTheme="minorHAnsi"/>
          <w:sz w:val="22"/>
          <w:szCs w:val="22"/>
        </w:rPr>
        <w:t>special opinion on the expenditures incurred on training/workshop/study tours, and so on</w:t>
      </w:r>
      <w:r>
        <w:rPr>
          <w:rFonts w:asciiTheme="minorHAnsi" w:hAnsiTheme="minorHAnsi"/>
          <w:sz w:val="22"/>
          <w:szCs w:val="22"/>
        </w:rPr>
        <w:t>,</w:t>
      </w:r>
      <w:r w:rsidRPr="00FB6E71">
        <w:rPr>
          <w:rFonts w:asciiTheme="minorHAnsi" w:hAnsiTheme="minorHAnsi"/>
          <w:sz w:val="22"/>
          <w:szCs w:val="22"/>
        </w:rPr>
        <w:t xml:space="preserve"> identifying any expenditure that is considered ineligible based on established policy. In addition to the audit report</w:t>
      </w:r>
      <w:r>
        <w:rPr>
          <w:rFonts w:asciiTheme="minorHAnsi" w:hAnsiTheme="minorHAnsi"/>
          <w:sz w:val="22"/>
          <w:szCs w:val="22"/>
        </w:rPr>
        <w:t>,</w:t>
      </w:r>
      <w:r w:rsidRPr="00FB6E71">
        <w:rPr>
          <w:rFonts w:asciiTheme="minorHAnsi" w:hAnsiTheme="minorHAnsi"/>
          <w:sz w:val="22"/>
          <w:szCs w:val="22"/>
        </w:rPr>
        <w:t xml:space="preserve"> the external auditors will prepare a Management Letter. Copy of the audited financial statements along with the Management Letter will be submitted to IDA not later than six months after the end of each financial year. </w:t>
      </w:r>
    </w:p>
    <w:p w:rsidR="007F2DE7" w:rsidRPr="00FB6E71" w:rsidP="007F2DE7">
      <w:pPr>
        <w:keepNext/>
        <w:keepLines/>
        <w:widowControl/>
        <w:spacing w:after="240"/>
        <w:ind w:left="-634"/>
        <w:rPr>
          <w:rFonts w:asciiTheme="minorHAnsi" w:hAnsiTheme="minorHAnsi"/>
          <w:i/>
          <w:color w:val="auto"/>
          <w:sz w:val="22"/>
          <w:szCs w:val="22"/>
        </w:rPr>
      </w:pPr>
      <w:r w:rsidRPr="00FB6E71">
        <w:rPr>
          <w:rFonts w:asciiTheme="minorHAnsi" w:hAnsiTheme="minorHAnsi"/>
          <w:i/>
          <w:color w:val="auto"/>
          <w:sz w:val="22"/>
          <w:szCs w:val="22"/>
        </w:rPr>
        <w:t>FM Action Plan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Actions to be taken for the project to further strengthen its FM system are listed in </w:t>
      </w:r>
      <w:r>
        <w:rPr>
          <w:rFonts w:asciiTheme="minorHAnsi" w:hAnsiTheme="minorHAnsi"/>
          <w:sz w:val="22"/>
          <w:szCs w:val="22"/>
        </w:rPr>
        <w:fldChar w:fldCharType="begin"/>
      </w:r>
      <w:r>
        <w:rPr>
          <w:rFonts w:asciiTheme="minorHAnsi" w:hAnsiTheme="minorHAnsi"/>
          <w:sz w:val="22"/>
          <w:szCs w:val="22"/>
        </w:rPr>
        <w:instrText xml:space="preserve"> REF _Ref475711038 \h  \* MERGEFORMAT </w:instrText>
      </w:r>
      <w:r>
        <w:rPr>
          <w:rFonts w:asciiTheme="minorHAnsi" w:hAnsiTheme="minorHAnsi"/>
          <w:sz w:val="22"/>
          <w:szCs w:val="22"/>
        </w:rPr>
        <w:fldChar w:fldCharType="separate"/>
      </w:r>
      <w:r w:rsidRPr="0043437E">
        <w:rPr>
          <w:rFonts w:asciiTheme="minorHAnsi" w:hAnsiTheme="minorHAnsi"/>
          <w:sz w:val="22"/>
          <w:szCs w:val="22"/>
        </w:rPr>
        <w:t>table 2.5</w:t>
      </w:r>
      <w:r>
        <w:rPr>
          <w:rFonts w:asciiTheme="minorHAnsi" w:hAnsiTheme="minorHAnsi"/>
          <w:sz w:val="22"/>
          <w:szCs w:val="22"/>
        </w:rPr>
        <w:fldChar w:fldCharType="end"/>
      </w:r>
      <w:r>
        <w:rPr>
          <w:rFonts w:asciiTheme="minorHAnsi" w:hAnsiTheme="minorHAnsi"/>
          <w:sz w:val="22"/>
          <w:szCs w:val="22"/>
        </w:rPr>
        <w:t>:</w:t>
      </w:r>
      <w:r w:rsidRPr="00FB6E71">
        <w:rPr>
          <w:rFonts w:asciiTheme="minorHAnsi" w:hAnsiTheme="minorHAnsi"/>
          <w:sz w:val="22"/>
          <w:szCs w:val="22"/>
        </w:rPr>
        <w:t xml:space="preserve"> </w:t>
      </w:r>
    </w:p>
    <w:p w:rsidR="007F2DE7" w:rsidRPr="00FB6E71" w:rsidP="007F2DE7">
      <w:pPr>
        <w:pStyle w:val="Caption"/>
        <w:keepNext/>
        <w:keepLines/>
        <w:widowControl/>
        <w:spacing w:before="120" w:after="120"/>
        <w:jc w:val="center"/>
        <w:rPr>
          <w:rFonts w:asciiTheme="minorHAnsi" w:hAnsiTheme="minorHAnsi"/>
          <w:b/>
          <w:i w:val="0"/>
          <w:color w:val="auto"/>
        </w:rPr>
      </w:pPr>
      <w:bookmarkStart w:id="136" w:name="_Ref475711038"/>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5</w:t>
      </w:r>
      <w:r w:rsidRPr="00FB6E71">
        <w:rPr>
          <w:rFonts w:asciiTheme="minorHAnsi" w:hAnsiTheme="minorHAnsi"/>
          <w:b/>
          <w:i w:val="0"/>
          <w:color w:val="auto"/>
        </w:rPr>
        <w:fldChar w:fldCharType="end"/>
      </w:r>
      <w:bookmarkEnd w:id="136"/>
      <w:r>
        <w:rPr>
          <w:rFonts w:asciiTheme="minorHAnsi" w:hAnsiTheme="minorHAnsi"/>
          <w:b/>
          <w:i w:val="0"/>
          <w:color w:val="auto"/>
        </w:rPr>
        <w:t>.</w:t>
      </w:r>
      <w:r w:rsidRPr="00FB6E71">
        <w:rPr>
          <w:rFonts w:asciiTheme="minorHAnsi" w:hAnsiTheme="minorHAnsi"/>
          <w:b/>
          <w:i w:val="0"/>
          <w:color w:val="auto"/>
        </w:rPr>
        <w:t xml:space="preserve"> FM Action Plan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5"/>
        <w:gridCol w:w="4050"/>
        <w:gridCol w:w="2610"/>
        <w:gridCol w:w="233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20"/>
          <w:tblHeader/>
          <w:jc w:val="center"/>
        </w:trPr>
        <w:tc>
          <w:tcPr>
            <w:tcW w:w="355" w:type="dxa"/>
            <w:shd w:val="clear" w:color="auto" w:fill="D9D9D9" w:themeFill="background1" w:themeFillShade="D9"/>
            <w:noWrap/>
            <w:tcMar>
              <w:left w:w="29" w:type="dxa"/>
              <w:right w:w="29" w:type="dxa"/>
            </w:tcMar>
            <w:vAlign w:val="center"/>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No.</w:t>
            </w:r>
          </w:p>
        </w:tc>
        <w:tc>
          <w:tcPr>
            <w:tcW w:w="4050" w:type="dxa"/>
            <w:shd w:val="clear" w:color="auto" w:fill="D9D9D9" w:themeFill="background1" w:themeFillShade="D9"/>
            <w:noWrap/>
            <w:tcMar>
              <w:left w:w="29" w:type="dxa"/>
              <w:right w:w="29" w:type="dxa"/>
            </w:tcMar>
            <w:vAlign w:val="center"/>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Action</w:t>
            </w:r>
          </w:p>
        </w:tc>
        <w:tc>
          <w:tcPr>
            <w:tcW w:w="2610" w:type="dxa"/>
            <w:shd w:val="clear" w:color="auto" w:fill="D9D9D9" w:themeFill="background1" w:themeFillShade="D9"/>
            <w:noWrap/>
            <w:tcMar>
              <w:left w:w="29" w:type="dxa"/>
              <w:right w:w="29" w:type="dxa"/>
            </w:tcMar>
            <w:vAlign w:val="center"/>
          </w:tcPr>
          <w:p w:rsidR="007F2DE7" w:rsidRPr="00FB6E71" w:rsidP="007F2DE7">
            <w:pPr>
              <w:jc w:val="center"/>
              <w:rPr>
                <w:rFonts w:asciiTheme="minorHAnsi" w:hAnsiTheme="minorHAnsi"/>
                <w:b/>
                <w:bCs/>
                <w:sz w:val="18"/>
                <w:szCs w:val="18"/>
              </w:rPr>
            </w:pPr>
            <w:r>
              <w:rPr>
                <w:rFonts w:asciiTheme="minorHAnsi" w:hAnsiTheme="minorHAnsi"/>
                <w:b/>
                <w:bCs/>
                <w:sz w:val="18"/>
                <w:szCs w:val="18"/>
              </w:rPr>
              <w:t>D</w:t>
            </w:r>
            <w:r w:rsidRPr="00FB6E71">
              <w:rPr>
                <w:rFonts w:asciiTheme="minorHAnsi" w:hAnsiTheme="minorHAnsi"/>
                <w:b/>
                <w:bCs/>
                <w:sz w:val="18"/>
                <w:szCs w:val="18"/>
              </w:rPr>
              <w:t>ue Date</w:t>
            </w:r>
          </w:p>
        </w:tc>
        <w:tc>
          <w:tcPr>
            <w:tcW w:w="2335" w:type="dxa"/>
            <w:shd w:val="clear" w:color="auto" w:fill="D9D9D9" w:themeFill="background1" w:themeFillShade="D9"/>
            <w:noWrap/>
            <w:tcMar>
              <w:left w:w="29" w:type="dxa"/>
              <w:right w:w="29" w:type="dxa"/>
            </w:tcMar>
            <w:vAlign w:val="center"/>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Responsible</w:t>
            </w:r>
            <w:r>
              <w:rPr>
                <w:rFonts w:asciiTheme="minorHAnsi" w:hAnsiTheme="minorHAnsi"/>
                <w:b/>
                <w:bCs/>
                <w:sz w:val="18"/>
                <w:szCs w:val="18"/>
              </w:rPr>
              <w:t xml:space="preserve"> Entity</w:t>
            </w:r>
          </w:p>
        </w:tc>
      </w:tr>
      <w:tr w:rsidTr="007F2DE7">
        <w:tblPrEx>
          <w:tblW w:w="5000" w:type="pct"/>
          <w:jc w:val="center"/>
          <w:tblLayout w:type="fixed"/>
          <w:tblLook w:val="0000"/>
        </w:tblPrEx>
        <w:trPr>
          <w:cantSplit/>
          <w:trHeight w:val="20"/>
          <w:jc w:val="center"/>
        </w:trPr>
        <w:tc>
          <w:tcPr>
            <w:tcW w:w="355" w:type="dxa"/>
            <w:tcBorders>
              <w:top w:val="nil"/>
            </w:tcBorders>
            <w:noWrap/>
            <w:tcMar>
              <w:left w:w="29" w:type="dxa"/>
              <w:right w:w="29" w:type="dxa"/>
            </w:tcMar>
          </w:tcPr>
          <w:p w:rsidR="007F2DE7" w:rsidRPr="00FB6E71" w:rsidP="007F2DE7">
            <w:pPr>
              <w:jc w:val="center"/>
              <w:rPr>
                <w:rFonts w:asciiTheme="minorHAnsi" w:hAnsiTheme="minorHAnsi"/>
                <w:sz w:val="18"/>
                <w:szCs w:val="18"/>
              </w:rPr>
            </w:pPr>
            <w:r w:rsidRPr="00FB6E71">
              <w:rPr>
                <w:rFonts w:asciiTheme="minorHAnsi" w:hAnsiTheme="minorHAnsi"/>
                <w:sz w:val="18"/>
                <w:szCs w:val="18"/>
              </w:rPr>
              <w:t>1</w:t>
            </w:r>
          </w:p>
        </w:tc>
        <w:tc>
          <w:tcPr>
            <w:tcW w:w="4050" w:type="dxa"/>
            <w:tcBorders>
              <w:top w:val="nil"/>
            </w:tcBorders>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 xml:space="preserve">Agreement of format of IFR, </w:t>
            </w:r>
            <w:r>
              <w:rPr>
                <w:rFonts w:asciiTheme="minorHAnsi" w:hAnsiTheme="minorHAnsi"/>
                <w:sz w:val="18"/>
                <w:szCs w:val="18"/>
              </w:rPr>
              <w:t>a</w:t>
            </w:r>
            <w:r w:rsidRPr="00FB6E71">
              <w:rPr>
                <w:rFonts w:asciiTheme="minorHAnsi" w:hAnsiTheme="minorHAnsi"/>
                <w:sz w:val="18"/>
                <w:szCs w:val="18"/>
              </w:rPr>
              <w:t xml:space="preserve">nnual </w:t>
            </w:r>
            <w:r>
              <w:rPr>
                <w:rFonts w:asciiTheme="minorHAnsi" w:hAnsiTheme="minorHAnsi"/>
                <w:sz w:val="18"/>
                <w:szCs w:val="18"/>
              </w:rPr>
              <w:t>f</w:t>
            </w:r>
            <w:r w:rsidRPr="00FB6E71">
              <w:rPr>
                <w:rFonts w:asciiTheme="minorHAnsi" w:hAnsiTheme="minorHAnsi"/>
                <w:sz w:val="18"/>
                <w:szCs w:val="18"/>
              </w:rPr>
              <w:t xml:space="preserve">inancial </w:t>
            </w:r>
            <w:r>
              <w:rPr>
                <w:rFonts w:asciiTheme="minorHAnsi" w:hAnsiTheme="minorHAnsi"/>
                <w:sz w:val="18"/>
                <w:szCs w:val="18"/>
              </w:rPr>
              <w:t>s</w:t>
            </w:r>
            <w:r w:rsidRPr="00FB6E71">
              <w:rPr>
                <w:rFonts w:asciiTheme="minorHAnsi" w:hAnsiTheme="minorHAnsi"/>
                <w:sz w:val="18"/>
                <w:szCs w:val="18"/>
              </w:rPr>
              <w:t>tatement</w:t>
            </w:r>
            <w:r>
              <w:rPr>
                <w:rFonts w:asciiTheme="minorHAnsi" w:hAnsiTheme="minorHAnsi"/>
                <w:sz w:val="18"/>
                <w:szCs w:val="18"/>
              </w:rPr>
              <w:t>s,</w:t>
            </w:r>
            <w:r w:rsidRPr="00FB6E71">
              <w:rPr>
                <w:rFonts w:asciiTheme="minorHAnsi" w:hAnsiTheme="minorHAnsi"/>
                <w:sz w:val="18"/>
                <w:szCs w:val="18"/>
              </w:rPr>
              <w:t xml:space="preserve"> and </w:t>
            </w:r>
            <w:r>
              <w:rPr>
                <w:rFonts w:asciiTheme="minorHAnsi" w:hAnsiTheme="minorHAnsi"/>
                <w:sz w:val="18"/>
                <w:szCs w:val="18"/>
              </w:rPr>
              <w:t>e</w:t>
            </w:r>
            <w:r w:rsidRPr="00FB6E71">
              <w:rPr>
                <w:rFonts w:asciiTheme="minorHAnsi" w:hAnsiTheme="minorHAnsi"/>
                <w:sz w:val="18"/>
                <w:szCs w:val="18"/>
              </w:rPr>
              <w:t xml:space="preserve">xternal </w:t>
            </w:r>
            <w:r>
              <w:rPr>
                <w:rFonts w:asciiTheme="minorHAnsi" w:hAnsiTheme="minorHAnsi"/>
                <w:sz w:val="18"/>
                <w:szCs w:val="18"/>
              </w:rPr>
              <w:t>a</w:t>
            </w:r>
            <w:r w:rsidRPr="00FB6E71">
              <w:rPr>
                <w:rFonts w:asciiTheme="minorHAnsi" w:hAnsiTheme="minorHAnsi"/>
                <w:sz w:val="18"/>
                <w:szCs w:val="18"/>
              </w:rPr>
              <w:t>uditors</w:t>
            </w:r>
            <w:r>
              <w:rPr>
                <w:rFonts w:asciiTheme="minorHAnsi" w:hAnsiTheme="minorHAnsi"/>
                <w:sz w:val="18"/>
                <w:szCs w:val="18"/>
              </w:rPr>
              <w:t>’</w:t>
            </w:r>
            <w:r w:rsidRPr="00FB6E71">
              <w:rPr>
                <w:rFonts w:asciiTheme="minorHAnsi" w:hAnsiTheme="minorHAnsi"/>
                <w:sz w:val="18"/>
                <w:szCs w:val="18"/>
              </w:rPr>
              <w:t xml:space="preserve"> ToR </w:t>
            </w:r>
          </w:p>
        </w:tc>
        <w:tc>
          <w:tcPr>
            <w:tcW w:w="2610" w:type="dxa"/>
            <w:tcBorders>
              <w:top w:val="nil"/>
            </w:tcBorders>
            <w:noWrap/>
            <w:tcMar>
              <w:left w:w="29" w:type="dxa"/>
              <w:right w:w="29" w:type="dxa"/>
            </w:tcMar>
          </w:tcPr>
          <w:p w:rsidR="007F2DE7" w:rsidRPr="00FB6E71" w:rsidP="007F2DE7">
            <w:pPr>
              <w:rPr>
                <w:rFonts w:asciiTheme="minorHAnsi" w:hAnsiTheme="minorHAnsi"/>
                <w:sz w:val="18"/>
                <w:szCs w:val="18"/>
              </w:rPr>
            </w:pPr>
            <w:r w:rsidRPr="001A0C92">
              <w:rPr>
                <w:rFonts w:asciiTheme="minorHAnsi" w:hAnsiTheme="minorHAnsi"/>
                <w:sz w:val="18"/>
                <w:szCs w:val="18"/>
              </w:rPr>
              <w:t>Completed</w:t>
            </w:r>
          </w:p>
        </w:tc>
        <w:tc>
          <w:tcPr>
            <w:tcW w:w="2335" w:type="dxa"/>
            <w:tcBorders>
              <w:top w:val="nil"/>
            </w:tcBorders>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PCNI/FPFMD and PCU/PFMU with support and guidance of IDA task team</w:t>
            </w:r>
          </w:p>
        </w:tc>
      </w:tr>
      <w:tr w:rsidTr="007F2DE7">
        <w:tblPrEx>
          <w:tblW w:w="5000" w:type="pct"/>
          <w:jc w:val="center"/>
          <w:tblLayout w:type="fixed"/>
          <w:tblLook w:val="0000"/>
        </w:tblPrEx>
        <w:trPr>
          <w:cantSplit/>
          <w:trHeight w:val="20"/>
          <w:jc w:val="center"/>
        </w:trPr>
        <w:tc>
          <w:tcPr>
            <w:tcW w:w="355" w:type="dxa"/>
            <w:noWrap/>
            <w:tcMar>
              <w:left w:w="29" w:type="dxa"/>
              <w:right w:w="29" w:type="dxa"/>
            </w:tcMar>
          </w:tcPr>
          <w:p w:rsidR="007F2DE7" w:rsidRPr="00FB6E71" w:rsidP="007F2DE7">
            <w:pPr>
              <w:jc w:val="center"/>
              <w:rPr>
                <w:rFonts w:asciiTheme="minorHAnsi" w:hAnsiTheme="minorHAnsi"/>
                <w:sz w:val="18"/>
                <w:szCs w:val="18"/>
              </w:rPr>
            </w:pPr>
            <w:r w:rsidRPr="00FB6E71">
              <w:rPr>
                <w:rFonts w:asciiTheme="minorHAnsi" w:hAnsiTheme="minorHAnsi"/>
                <w:sz w:val="18"/>
                <w:szCs w:val="18"/>
              </w:rPr>
              <w:t>2</w:t>
            </w:r>
          </w:p>
        </w:tc>
        <w:tc>
          <w:tcPr>
            <w:tcW w:w="405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 xml:space="preserve">Train designated PFMU and FPFMD staff in World Bank FM procedures and </w:t>
            </w:r>
            <w:r>
              <w:rPr>
                <w:rFonts w:asciiTheme="minorHAnsi" w:hAnsiTheme="minorHAnsi"/>
                <w:sz w:val="18"/>
                <w:szCs w:val="18"/>
              </w:rPr>
              <w:t>d</w:t>
            </w:r>
            <w:r w:rsidRPr="00FB6E71">
              <w:rPr>
                <w:rFonts w:asciiTheme="minorHAnsi" w:hAnsiTheme="minorHAnsi"/>
                <w:sz w:val="18"/>
                <w:szCs w:val="18"/>
              </w:rPr>
              <w:t xml:space="preserve">isbursement </w:t>
            </w:r>
            <w:r>
              <w:rPr>
                <w:rFonts w:asciiTheme="minorHAnsi" w:hAnsiTheme="minorHAnsi"/>
                <w:sz w:val="18"/>
                <w:szCs w:val="18"/>
              </w:rPr>
              <w:t>g</w:t>
            </w:r>
            <w:r w:rsidRPr="00FB6E71">
              <w:rPr>
                <w:rFonts w:asciiTheme="minorHAnsi" w:hAnsiTheme="minorHAnsi"/>
                <w:sz w:val="18"/>
                <w:szCs w:val="18"/>
              </w:rPr>
              <w:t>uidelines.</w:t>
            </w:r>
          </w:p>
        </w:tc>
        <w:tc>
          <w:tcPr>
            <w:tcW w:w="2610" w:type="dxa"/>
            <w:noWrap/>
            <w:tcMar>
              <w:left w:w="29" w:type="dxa"/>
              <w:right w:w="29" w:type="dxa"/>
            </w:tcMar>
          </w:tcPr>
          <w:p w:rsidR="007F2DE7" w:rsidRPr="00FB6E71" w:rsidP="007F2DE7">
            <w:pPr>
              <w:rPr>
                <w:rFonts w:asciiTheme="minorHAnsi" w:hAnsiTheme="minorHAnsi"/>
                <w:sz w:val="18"/>
                <w:szCs w:val="18"/>
              </w:rPr>
            </w:pPr>
            <w:r w:rsidRPr="001A0C92">
              <w:rPr>
                <w:rFonts w:asciiTheme="minorHAnsi" w:hAnsiTheme="minorHAnsi"/>
                <w:sz w:val="18"/>
                <w:szCs w:val="18"/>
              </w:rPr>
              <w:t>Before effectiveness</w:t>
            </w:r>
          </w:p>
        </w:tc>
        <w:tc>
          <w:tcPr>
            <w:tcW w:w="23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PCNI/FPFMD and PCU/PFMU</w:t>
            </w:r>
          </w:p>
        </w:tc>
      </w:tr>
      <w:tr w:rsidTr="007F2DE7">
        <w:tblPrEx>
          <w:tblW w:w="5000" w:type="pct"/>
          <w:jc w:val="center"/>
          <w:tblLayout w:type="fixed"/>
          <w:tblLook w:val="0000"/>
        </w:tblPrEx>
        <w:trPr>
          <w:cantSplit/>
          <w:trHeight w:val="20"/>
          <w:jc w:val="center"/>
        </w:trPr>
        <w:tc>
          <w:tcPr>
            <w:tcW w:w="355" w:type="dxa"/>
            <w:noWrap/>
            <w:tcMar>
              <w:left w:w="29" w:type="dxa"/>
              <w:right w:w="29" w:type="dxa"/>
            </w:tcMar>
          </w:tcPr>
          <w:p w:rsidR="007F2DE7" w:rsidRPr="00FB6E71" w:rsidP="007F2DE7">
            <w:pPr>
              <w:jc w:val="center"/>
              <w:rPr>
                <w:rFonts w:asciiTheme="minorHAnsi" w:hAnsiTheme="minorHAnsi"/>
                <w:sz w:val="18"/>
                <w:szCs w:val="18"/>
              </w:rPr>
            </w:pPr>
            <w:r w:rsidRPr="00FB6E71">
              <w:rPr>
                <w:rFonts w:asciiTheme="minorHAnsi" w:hAnsiTheme="minorHAnsi"/>
                <w:sz w:val="18"/>
                <w:szCs w:val="18"/>
              </w:rPr>
              <w:t>3</w:t>
            </w:r>
          </w:p>
        </w:tc>
        <w:tc>
          <w:tcPr>
            <w:tcW w:w="405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 xml:space="preserve">Appoint external auditor </w:t>
            </w:r>
          </w:p>
        </w:tc>
        <w:tc>
          <w:tcPr>
            <w:tcW w:w="2610" w:type="dxa"/>
            <w:noWrap/>
            <w:tcMar>
              <w:left w:w="29" w:type="dxa"/>
              <w:right w:w="29" w:type="dxa"/>
            </w:tcMar>
          </w:tcPr>
          <w:p w:rsidR="007F2DE7" w:rsidRPr="00FB6E71" w:rsidP="007F2DE7">
            <w:pPr>
              <w:rPr>
                <w:rFonts w:asciiTheme="minorHAnsi" w:hAnsiTheme="minorHAnsi"/>
                <w:sz w:val="18"/>
                <w:szCs w:val="18"/>
              </w:rPr>
            </w:pPr>
            <w:r w:rsidRPr="001A0C92">
              <w:rPr>
                <w:rFonts w:asciiTheme="minorHAnsi" w:hAnsiTheme="minorHAnsi"/>
                <w:sz w:val="18"/>
                <w:szCs w:val="18"/>
              </w:rPr>
              <w:t>Within 90 days after effectiveness</w:t>
            </w:r>
          </w:p>
        </w:tc>
        <w:tc>
          <w:tcPr>
            <w:tcW w:w="23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PCNI/FPFMD and PCU/PFMU</w:t>
            </w:r>
          </w:p>
        </w:tc>
      </w:tr>
      <w:tr w:rsidTr="007F2DE7">
        <w:tblPrEx>
          <w:tblW w:w="5000" w:type="pct"/>
          <w:jc w:val="center"/>
          <w:tblLayout w:type="fixed"/>
          <w:tblLook w:val="0000"/>
        </w:tblPrEx>
        <w:trPr>
          <w:cantSplit/>
          <w:trHeight w:val="20"/>
          <w:jc w:val="center"/>
        </w:trPr>
        <w:tc>
          <w:tcPr>
            <w:tcW w:w="355" w:type="dxa"/>
            <w:noWrap/>
            <w:tcMar>
              <w:left w:w="29" w:type="dxa"/>
              <w:right w:w="29" w:type="dxa"/>
            </w:tcMar>
          </w:tcPr>
          <w:p w:rsidR="007F2DE7" w:rsidRPr="00FB6E71" w:rsidP="007F2DE7">
            <w:pPr>
              <w:jc w:val="center"/>
              <w:rPr>
                <w:rFonts w:asciiTheme="minorHAnsi" w:hAnsiTheme="minorHAnsi"/>
                <w:sz w:val="18"/>
                <w:szCs w:val="18"/>
              </w:rPr>
            </w:pPr>
            <w:r w:rsidRPr="00FB6E71">
              <w:rPr>
                <w:rFonts w:asciiTheme="minorHAnsi" w:hAnsiTheme="minorHAnsi"/>
                <w:sz w:val="18"/>
                <w:szCs w:val="18"/>
              </w:rPr>
              <w:t>4</w:t>
            </w:r>
          </w:p>
        </w:tc>
        <w:tc>
          <w:tcPr>
            <w:tcW w:w="405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 xml:space="preserve">Designate </w:t>
            </w:r>
            <w:r>
              <w:rPr>
                <w:rFonts w:asciiTheme="minorHAnsi" w:hAnsiTheme="minorHAnsi"/>
                <w:sz w:val="18"/>
                <w:szCs w:val="18"/>
              </w:rPr>
              <w:t>project accountant</w:t>
            </w:r>
            <w:r w:rsidRPr="00FB6E71">
              <w:rPr>
                <w:rFonts w:asciiTheme="minorHAnsi" w:hAnsiTheme="minorHAnsi"/>
                <w:sz w:val="18"/>
                <w:szCs w:val="18"/>
              </w:rPr>
              <w:t xml:space="preserve"> </w:t>
            </w:r>
            <w:r>
              <w:rPr>
                <w:rFonts w:asciiTheme="minorHAnsi" w:hAnsiTheme="minorHAnsi"/>
                <w:sz w:val="18"/>
                <w:szCs w:val="18"/>
              </w:rPr>
              <w:t>project internal auditor,</w:t>
            </w:r>
            <w:r w:rsidRPr="00FB6E71">
              <w:rPr>
                <w:rFonts w:asciiTheme="minorHAnsi" w:hAnsiTheme="minorHAnsi"/>
                <w:sz w:val="18"/>
                <w:szCs w:val="18"/>
              </w:rPr>
              <w:t xml:space="preserve"> and support</w:t>
            </w:r>
            <w:r>
              <w:rPr>
                <w:rFonts w:asciiTheme="minorHAnsi" w:hAnsiTheme="minorHAnsi"/>
                <w:sz w:val="18"/>
                <w:szCs w:val="18"/>
              </w:rPr>
              <w:t>ing</w:t>
            </w:r>
            <w:r w:rsidRPr="00FB6E71">
              <w:rPr>
                <w:rFonts w:asciiTheme="minorHAnsi" w:hAnsiTheme="minorHAnsi"/>
                <w:sz w:val="18"/>
                <w:szCs w:val="18"/>
              </w:rPr>
              <w:t xml:space="preserve"> accounting technicians </w:t>
            </w:r>
          </w:p>
        </w:tc>
        <w:tc>
          <w:tcPr>
            <w:tcW w:w="2610" w:type="dxa"/>
            <w:noWrap/>
            <w:tcMar>
              <w:left w:w="29" w:type="dxa"/>
              <w:right w:w="29" w:type="dxa"/>
            </w:tcMar>
          </w:tcPr>
          <w:p w:rsidR="007F2DE7" w:rsidRPr="00FB6E71" w:rsidP="007F2DE7">
            <w:pPr>
              <w:rPr>
                <w:rFonts w:asciiTheme="minorHAnsi" w:hAnsiTheme="minorHAnsi"/>
                <w:sz w:val="18"/>
                <w:szCs w:val="18"/>
              </w:rPr>
            </w:pPr>
            <w:r w:rsidRPr="001A0C92">
              <w:rPr>
                <w:rFonts w:asciiTheme="minorHAnsi" w:hAnsiTheme="minorHAnsi"/>
                <w:sz w:val="18"/>
                <w:szCs w:val="18"/>
              </w:rPr>
              <w:t xml:space="preserve">Within 60 days after  negotiations </w:t>
            </w:r>
          </w:p>
        </w:tc>
        <w:tc>
          <w:tcPr>
            <w:tcW w:w="23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PCNI/FPFMD and PCU/PFMU</w:t>
            </w:r>
          </w:p>
        </w:tc>
      </w:tr>
      <w:tr w:rsidTr="007F2DE7">
        <w:tblPrEx>
          <w:tblW w:w="5000" w:type="pct"/>
          <w:jc w:val="center"/>
          <w:tblLayout w:type="fixed"/>
          <w:tblLook w:val="0000"/>
        </w:tblPrEx>
        <w:trPr>
          <w:cantSplit/>
          <w:trHeight w:val="20"/>
          <w:jc w:val="center"/>
        </w:trPr>
        <w:tc>
          <w:tcPr>
            <w:tcW w:w="355" w:type="dxa"/>
            <w:noWrap/>
            <w:tcMar>
              <w:left w:w="29" w:type="dxa"/>
              <w:right w:w="29" w:type="dxa"/>
            </w:tcMar>
          </w:tcPr>
          <w:p w:rsidR="007F2DE7" w:rsidRPr="00FB6E71" w:rsidP="007F2DE7">
            <w:pPr>
              <w:jc w:val="center"/>
              <w:rPr>
                <w:rFonts w:asciiTheme="minorHAnsi" w:hAnsiTheme="minorHAnsi"/>
                <w:sz w:val="18"/>
                <w:szCs w:val="18"/>
              </w:rPr>
            </w:pPr>
            <w:r w:rsidRPr="00FB6E71">
              <w:rPr>
                <w:rFonts w:asciiTheme="minorHAnsi" w:hAnsiTheme="minorHAnsi"/>
                <w:sz w:val="18"/>
                <w:szCs w:val="18"/>
              </w:rPr>
              <w:t>5</w:t>
            </w:r>
          </w:p>
        </w:tc>
        <w:tc>
          <w:tcPr>
            <w:tcW w:w="4050"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 xml:space="preserve">Agreement on </w:t>
            </w:r>
            <w:r>
              <w:rPr>
                <w:rFonts w:asciiTheme="minorHAnsi" w:hAnsiTheme="minorHAnsi"/>
                <w:sz w:val="18"/>
                <w:szCs w:val="18"/>
              </w:rPr>
              <w:t>m</w:t>
            </w:r>
            <w:r w:rsidRPr="00FB6E71">
              <w:rPr>
                <w:rFonts w:asciiTheme="minorHAnsi" w:hAnsiTheme="minorHAnsi"/>
                <w:sz w:val="18"/>
                <w:szCs w:val="18"/>
              </w:rPr>
              <w:t xml:space="preserve">emorandum of financial services and service standards </w:t>
            </w:r>
          </w:p>
        </w:tc>
        <w:tc>
          <w:tcPr>
            <w:tcW w:w="2610" w:type="dxa"/>
            <w:noWrap/>
            <w:tcMar>
              <w:left w:w="29" w:type="dxa"/>
              <w:right w:w="29" w:type="dxa"/>
            </w:tcMar>
          </w:tcPr>
          <w:p w:rsidR="007F2DE7" w:rsidRPr="00FB6E71" w:rsidP="007F2DE7">
            <w:pPr>
              <w:rPr>
                <w:rFonts w:asciiTheme="minorHAnsi" w:hAnsiTheme="minorHAnsi"/>
                <w:sz w:val="18"/>
                <w:szCs w:val="18"/>
              </w:rPr>
            </w:pPr>
            <w:r w:rsidRPr="001A0C92">
              <w:rPr>
                <w:rFonts w:asciiTheme="minorHAnsi" w:hAnsiTheme="minorHAnsi"/>
                <w:sz w:val="18"/>
                <w:szCs w:val="18"/>
              </w:rPr>
              <w:t>Within 60 days after  negotiations</w:t>
            </w:r>
          </w:p>
        </w:tc>
        <w:tc>
          <w:tcPr>
            <w:tcW w:w="2335" w:type="dxa"/>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PCNI/FPFMD and PCU/PFMU</w:t>
            </w:r>
          </w:p>
        </w:tc>
      </w:tr>
      <w:tr w:rsidTr="007F2DE7">
        <w:tblPrEx>
          <w:tblW w:w="5000" w:type="pct"/>
          <w:jc w:val="center"/>
          <w:tblLayout w:type="fixed"/>
          <w:tblLook w:val="0000"/>
        </w:tblPrEx>
        <w:trPr>
          <w:cantSplit/>
          <w:trHeight w:val="20"/>
          <w:jc w:val="center"/>
        </w:trPr>
        <w:tc>
          <w:tcPr>
            <w:tcW w:w="355" w:type="dxa"/>
            <w:tcBorders>
              <w:top w:val="single" w:sz="4" w:space="0" w:color="auto"/>
              <w:left w:val="single" w:sz="4" w:space="0" w:color="auto"/>
              <w:bottom w:val="single" w:sz="4" w:space="0" w:color="auto"/>
              <w:right w:val="single" w:sz="4" w:space="0" w:color="auto"/>
            </w:tcBorders>
            <w:noWrap/>
            <w:tcMar>
              <w:left w:w="29" w:type="dxa"/>
              <w:right w:w="29" w:type="dxa"/>
            </w:tcMar>
          </w:tcPr>
          <w:p w:rsidR="007F2DE7" w:rsidRPr="00FB6E71" w:rsidP="007F2DE7">
            <w:pPr>
              <w:jc w:val="center"/>
              <w:rPr>
                <w:rFonts w:asciiTheme="minorHAnsi" w:hAnsiTheme="minorHAnsi"/>
                <w:sz w:val="18"/>
                <w:szCs w:val="18"/>
              </w:rPr>
            </w:pPr>
            <w:r w:rsidRPr="00FB6E71">
              <w:rPr>
                <w:rFonts w:asciiTheme="minorHAnsi" w:hAnsiTheme="minorHAnsi"/>
                <w:sz w:val="18"/>
                <w:szCs w:val="18"/>
              </w:rPr>
              <w:t>6</w:t>
            </w:r>
          </w:p>
        </w:tc>
        <w:tc>
          <w:tcPr>
            <w:tcW w:w="4050" w:type="dxa"/>
            <w:tcBorders>
              <w:top w:val="single" w:sz="4" w:space="0" w:color="auto"/>
              <w:left w:val="single" w:sz="4" w:space="0" w:color="auto"/>
              <w:bottom w:val="single" w:sz="4" w:space="0" w:color="auto"/>
              <w:right w:val="single" w:sz="4" w:space="0" w:color="auto"/>
            </w:tcBorders>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 xml:space="preserve">Update computerized accounting system at </w:t>
            </w:r>
            <w:r>
              <w:rPr>
                <w:rFonts w:asciiTheme="minorHAnsi" w:hAnsiTheme="minorHAnsi"/>
                <w:sz w:val="18"/>
                <w:szCs w:val="18"/>
              </w:rPr>
              <w:t xml:space="preserve">the </w:t>
            </w:r>
            <w:r w:rsidRPr="00FB6E71">
              <w:rPr>
                <w:rFonts w:asciiTheme="minorHAnsi" w:hAnsiTheme="minorHAnsi"/>
                <w:sz w:val="18"/>
                <w:szCs w:val="18"/>
              </w:rPr>
              <w:t>PCNI and PCUs</w:t>
            </w:r>
          </w:p>
        </w:tc>
        <w:tc>
          <w:tcPr>
            <w:tcW w:w="2610" w:type="dxa"/>
            <w:tcBorders>
              <w:top w:val="single" w:sz="4" w:space="0" w:color="auto"/>
              <w:left w:val="single" w:sz="4" w:space="0" w:color="auto"/>
              <w:bottom w:val="single" w:sz="4" w:space="0" w:color="auto"/>
              <w:right w:val="single" w:sz="4" w:space="0" w:color="auto"/>
            </w:tcBorders>
            <w:noWrap/>
            <w:tcMar>
              <w:left w:w="29" w:type="dxa"/>
              <w:right w:w="29" w:type="dxa"/>
            </w:tcMar>
          </w:tcPr>
          <w:p w:rsidR="007F2DE7" w:rsidRPr="00FB6E71" w:rsidP="007F2DE7">
            <w:pPr>
              <w:rPr>
                <w:rFonts w:asciiTheme="minorHAnsi" w:hAnsiTheme="minorHAnsi"/>
                <w:sz w:val="18"/>
                <w:szCs w:val="18"/>
              </w:rPr>
            </w:pPr>
            <w:r w:rsidRPr="001A0C92">
              <w:rPr>
                <w:rFonts w:asciiTheme="minorHAnsi" w:hAnsiTheme="minorHAnsi"/>
                <w:sz w:val="18"/>
                <w:szCs w:val="18"/>
              </w:rPr>
              <w:t xml:space="preserve">Within 90 days after effectiveness </w:t>
            </w:r>
          </w:p>
        </w:tc>
        <w:tc>
          <w:tcPr>
            <w:tcW w:w="2335" w:type="dxa"/>
            <w:tcBorders>
              <w:top w:val="single" w:sz="4" w:space="0" w:color="auto"/>
              <w:left w:val="single" w:sz="4" w:space="0" w:color="auto"/>
              <w:bottom w:val="single" w:sz="4" w:space="0" w:color="auto"/>
              <w:right w:val="single" w:sz="4" w:space="0" w:color="auto"/>
            </w:tcBorders>
            <w:noWrap/>
            <w:tcMar>
              <w:left w:w="29" w:type="dxa"/>
              <w:right w:w="29" w:type="dxa"/>
            </w:tcMar>
          </w:tcPr>
          <w:p w:rsidR="007F2DE7" w:rsidRPr="00FB6E71" w:rsidP="007F2DE7">
            <w:pPr>
              <w:rPr>
                <w:rFonts w:asciiTheme="minorHAnsi" w:hAnsiTheme="minorHAnsi"/>
                <w:sz w:val="18"/>
                <w:szCs w:val="18"/>
              </w:rPr>
            </w:pPr>
            <w:r w:rsidRPr="00FB6E71">
              <w:rPr>
                <w:rFonts w:asciiTheme="minorHAnsi" w:hAnsiTheme="minorHAnsi"/>
                <w:sz w:val="18"/>
                <w:szCs w:val="18"/>
              </w:rPr>
              <w:t>PCNI/FPFMD and PCU/PFMU</w:t>
            </w:r>
          </w:p>
        </w:tc>
      </w:tr>
    </w:tbl>
    <w:p w:rsidR="007F2DE7" w:rsidRPr="00FB6E71" w:rsidP="007F2DE7">
      <w:pPr>
        <w:widowControl/>
        <w:jc w:val="center"/>
        <w:rPr>
          <w:rFonts w:asciiTheme="minorHAnsi" w:hAnsiTheme="minorHAnsi"/>
          <w:color w:val="auto"/>
          <w:sz w:val="18"/>
          <w:szCs w:val="18"/>
          <w:lang w:bidi="en-US"/>
        </w:rPr>
      </w:pPr>
      <w:bookmarkEnd w:id="134"/>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Disbursements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The project will use transaction-based disbursement procedures and not report-based disbursements at effectiveness. Disbursements to the various implementing units will be flexible, based on the approved work plan. Details of the disbursement arrangement </w:t>
      </w:r>
      <w:r>
        <w:rPr>
          <w:rFonts w:asciiTheme="minorHAnsi" w:hAnsiTheme="minorHAnsi"/>
          <w:sz w:val="22"/>
          <w:szCs w:val="22"/>
        </w:rPr>
        <w:t>have been specified</w:t>
      </w:r>
      <w:r w:rsidRPr="00FB6E71">
        <w:rPr>
          <w:rFonts w:asciiTheme="minorHAnsi" w:hAnsiTheme="minorHAnsi"/>
          <w:sz w:val="22"/>
          <w:szCs w:val="22"/>
        </w:rPr>
        <w:t xml:space="preserve"> in the Disbursement Letter</w:t>
      </w:r>
      <w:r>
        <w:rPr>
          <w:rFonts w:asciiTheme="minorHAnsi" w:hAnsiTheme="minorHAnsi"/>
          <w:sz w:val="22"/>
          <w:szCs w:val="22"/>
        </w:rPr>
        <w:t>, which has been agreed upon at negotiations</w:t>
      </w:r>
      <w:r w:rsidRPr="00FB6E71">
        <w:rPr>
          <w:rFonts w:asciiTheme="minorHAnsi" w:hAnsiTheme="minorHAnsi"/>
          <w:sz w:val="22"/>
          <w:szCs w:val="22"/>
        </w:rPr>
        <w:t xml:space="preserve">. </w:t>
      </w:r>
      <w:r>
        <w:rPr>
          <w:rFonts w:asciiTheme="minorHAnsi" w:hAnsiTheme="minorHAnsi"/>
          <w:sz w:val="22"/>
          <w:szCs w:val="22"/>
        </w:rPr>
        <w:fldChar w:fldCharType="begin"/>
      </w:r>
      <w:r>
        <w:rPr>
          <w:rFonts w:asciiTheme="minorHAnsi" w:hAnsiTheme="minorHAnsi"/>
          <w:sz w:val="22"/>
          <w:szCs w:val="22"/>
        </w:rPr>
        <w:instrText xml:space="preserve"> REF _Ref475711370 \h  \* MERGEFORMAT </w:instrText>
      </w:r>
      <w:r>
        <w:rPr>
          <w:rFonts w:asciiTheme="minorHAnsi" w:hAnsiTheme="minorHAnsi"/>
          <w:sz w:val="22"/>
          <w:szCs w:val="22"/>
        </w:rPr>
        <w:fldChar w:fldCharType="separate"/>
      </w:r>
      <w:r w:rsidRPr="000964CB">
        <w:rPr>
          <w:rFonts w:asciiTheme="minorHAnsi" w:hAnsiTheme="minorHAnsi"/>
          <w:sz w:val="22"/>
          <w:szCs w:val="22"/>
        </w:rPr>
        <w:t>Table 2.6</w:t>
      </w:r>
      <w:r>
        <w:rPr>
          <w:rFonts w:asciiTheme="minorHAnsi" w:hAnsiTheme="minorHAnsi"/>
          <w:sz w:val="22"/>
          <w:szCs w:val="22"/>
        </w:rPr>
        <w:fldChar w:fldCharType="end"/>
      </w:r>
      <w:r w:rsidRPr="00FB6E71">
        <w:rPr>
          <w:rFonts w:asciiTheme="minorHAnsi" w:hAnsiTheme="minorHAnsi"/>
          <w:sz w:val="22"/>
          <w:szCs w:val="22"/>
        </w:rPr>
        <w:t xml:space="preserve"> sets out the expenditure components and percentages to be financed out of the credit proceeds.</w:t>
      </w:r>
    </w:p>
    <w:p w:rsidR="007F2DE7" w:rsidRPr="00FB6E71" w:rsidP="007F2DE7">
      <w:pPr>
        <w:pStyle w:val="Caption"/>
        <w:keepNext/>
        <w:keepLines/>
        <w:widowControl/>
        <w:spacing w:before="120" w:after="120"/>
        <w:jc w:val="center"/>
        <w:rPr>
          <w:rFonts w:asciiTheme="minorHAnsi" w:hAnsiTheme="minorHAnsi"/>
          <w:b/>
          <w:i w:val="0"/>
          <w:color w:val="auto"/>
        </w:rPr>
      </w:pPr>
      <w:bookmarkStart w:id="137" w:name="_Ref475711370"/>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6</w:t>
      </w:r>
      <w:r w:rsidRPr="00FB6E71">
        <w:rPr>
          <w:rFonts w:asciiTheme="minorHAnsi" w:hAnsiTheme="minorHAnsi"/>
          <w:b/>
          <w:i w:val="0"/>
          <w:color w:val="auto"/>
        </w:rPr>
        <w:fldChar w:fldCharType="end"/>
      </w:r>
      <w:bookmarkEnd w:id="137"/>
      <w:r>
        <w:rPr>
          <w:rFonts w:asciiTheme="minorHAnsi" w:hAnsiTheme="minorHAnsi"/>
          <w:b/>
          <w:i w:val="0"/>
          <w:color w:val="auto"/>
        </w:rPr>
        <w:t>.</w:t>
      </w:r>
      <w:r w:rsidRPr="00FB6E71">
        <w:rPr>
          <w:rFonts w:asciiTheme="minorHAnsi" w:hAnsiTheme="minorHAnsi"/>
          <w:b/>
          <w:i w:val="0"/>
          <w:color w:val="auto"/>
        </w:rPr>
        <w:t xml:space="preserve"> Allocation of Credit Proceeds to Be Financed for Eligible Expenditures in Each Category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5"/>
        <w:gridCol w:w="2160"/>
        <w:gridCol w:w="242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0"/>
          <w:tblHeader/>
          <w:jc w:val="center"/>
        </w:trPr>
        <w:tc>
          <w:tcPr>
            <w:tcW w:w="4765" w:type="dxa"/>
            <w:noWrap/>
            <w:tcMar>
              <w:left w:w="29" w:type="dxa"/>
              <w:right w:w="29" w:type="dxa"/>
            </w:tcMar>
            <w:vAlign w:val="center"/>
          </w:tcPr>
          <w:p w:rsidR="007F2DE7" w:rsidRPr="00FB6E71" w:rsidP="007F2DE7">
            <w:pPr>
              <w:pStyle w:val="ModelNrmlSingle"/>
              <w:spacing w:after="0"/>
              <w:ind w:firstLine="0"/>
              <w:jc w:val="center"/>
              <w:rPr>
                <w:rFonts w:asciiTheme="minorHAnsi" w:hAnsiTheme="minorHAnsi"/>
                <w:b/>
                <w:bCs/>
                <w:sz w:val="18"/>
                <w:szCs w:val="18"/>
              </w:rPr>
            </w:pPr>
            <w:r w:rsidRPr="00FB6E71">
              <w:rPr>
                <w:rFonts w:asciiTheme="minorHAnsi" w:hAnsiTheme="minorHAnsi"/>
                <w:b/>
                <w:bCs/>
                <w:sz w:val="18"/>
                <w:szCs w:val="18"/>
              </w:rPr>
              <w:t>Categories</w:t>
            </w:r>
          </w:p>
        </w:tc>
        <w:tc>
          <w:tcPr>
            <w:tcW w:w="2160" w:type="dxa"/>
            <w:noWrap/>
            <w:tcMar>
              <w:left w:w="29" w:type="dxa"/>
              <w:right w:w="29" w:type="dxa"/>
            </w:tcMar>
            <w:vAlign w:val="center"/>
          </w:tcPr>
          <w:p w:rsidR="007F2DE7" w:rsidRPr="00FB6E71" w:rsidP="007F2DE7">
            <w:pPr>
              <w:pStyle w:val="ModelNrmlSingle"/>
              <w:spacing w:after="0"/>
              <w:ind w:firstLine="0"/>
              <w:jc w:val="center"/>
              <w:rPr>
                <w:rFonts w:asciiTheme="minorHAnsi" w:hAnsiTheme="minorHAnsi"/>
                <w:b/>
                <w:bCs/>
                <w:sz w:val="18"/>
                <w:szCs w:val="18"/>
              </w:rPr>
            </w:pPr>
            <w:r w:rsidRPr="00FB6E71">
              <w:rPr>
                <w:rFonts w:asciiTheme="minorHAnsi" w:hAnsiTheme="minorHAnsi"/>
                <w:b/>
                <w:bCs/>
                <w:sz w:val="18"/>
                <w:szCs w:val="18"/>
              </w:rPr>
              <w:t>Amount of the Credit Allocated (Expressed in US$)</w:t>
            </w:r>
          </w:p>
        </w:tc>
        <w:tc>
          <w:tcPr>
            <w:tcW w:w="2425" w:type="dxa"/>
            <w:noWrap/>
            <w:tcMar>
              <w:left w:w="29" w:type="dxa"/>
              <w:right w:w="29" w:type="dxa"/>
            </w:tcMar>
            <w:vAlign w:val="center"/>
          </w:tcPr>
          <w:p w:rsidR="007F2DE7" w:rsidRPr="00FB6E71" w:rsidP="007F2DE7">
            <w:pPr>
              <w:pStyle w:val="ModelNrmlSingle"/>
              <w:spacing w:after="0"/>
              <w:ind w:firstLine="0"/>
              <w:jc w:val="center"/>
              <w:rPr>
                <w:rFonts w:asciiTheme="minorHAnsi" w:hAnsiTheme="minorHAnsi"/>
                <w:b/>
                <w:bCs/>
                <w:sz w:val="18"/>
                <w:szCs w:val="18"/>
              </w:rPr>
            </w:pPr>
            <w:r w:rsidRPr="00FB6E71">
              <w:rPr>
                <w:rFonts w:asciiTheme="minorHAnsi" w:hAnsiTheme="minorHAnsi"/>
                <w:b/>
                <w:bCs/>
                <w:sz w:val="18"/>
                <w:szCs w:val="18"/>
              </w:rPr>
              <w:t>Percentage of Expenditures to Be Financed (Inclusive of Taxes)</w:t>
            </w:r>
          </w:p>
        </w:tc>
      </w:tr>
      <w:tr w:rsidTr="007F2DE7">
        <w:tblPrEx>
          <w:tblW w:w="5000" w:type="pct"/>
          <w:jc w:val="center"/>
          <w:tblLook w:val="0000"/>
        </w:tblPrEx>
        <w:trPr>
          <w:cantSplit/>
          <w:trHeight w:val="20"/>
          <w:jc w:val="center"/>
        </w:trPr>
        <w:tc>
          <w:tcPr>
            <w:tcW w:w="4765" w:type="dxa"/>
            <w:noWrap/>
            <w:tcMar>
              <w:left w:w="29" w:type="dxa"/>
              <w:right w:w="29" w:type="dxa"/>
            </w:tcMar>
          </w:tcPr>
          <w:p w:rsidR="007F2DE7" w:rsidRPr="00FB6E71" w:rsidP="007F2DE7">
            <w:pPr>
              <w:pStyle w:val="ModelNrmlSingle"/>
              <w:spacing w:after="0"/>
              <w:ind w:firstLine="0"/>
              <w:jc w:val="left"/>
              <w:rPr>
                <w:rFonts w:asciiTheme="minorHAnsi" w:hAnsiTheme="minorHAnsi"/>
                <w:sz w:val="18"/>
                <w:szCs w:val="18"/>
              </w:rPr>
            </w:pPr>
            <w:r w:rsidRPr="00FB6E71">
              <w:rPr>
                <w:rFonts w:asciiTheme="minorHAnsi" w:hAnsiTheme="minorHAnsi"/>
                <w:sz w:val="18"/>
                <w:szCs w:val="18"/>
              </w:rPr>
              <w:t>1. Strengthening Peace Building, Stability, and Social Cohesion</w:t>
            </w:r>
          </w:p>
        </w:tc>
        <w:tc>
          <w:tcPr>
            <w:tcW w:w="2160"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30,000,000</w:t>
            </w:r>
          </w:p>
        </w:tc>
        <w:tc>
          <w:tcPr>
            <w:tcW w:w="2425"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100</w:t>
            </w:r>
          </w:p>
        </w:tc>
      </w:tr>
      <w:tr w:rsidTr="007F2DE7">
        <w:tblPrEx>
          <w:tblW w:w="5000" w:type="pct"/>
          <w:jc w:val="center"/>
          <w:tblLook w:val="0000"/>
        </w:tblPrEx>
        <w:trPr>
          <w:cantSplit/>
          <w:trHeight w:val="20"/>
          <w:jc w:val="center"/>
        </w:trPr>
        <w:tc>
          <w:tcPr>
            <w:tcW w:w="4765" w:type="dxa"/>
            <w:noWrap/>
            <w:tcMar>
              <w:left w:w="29" w:type="dxa"/>
              <w:right w:w="29" w:type="dxa"/>
            </w:tcMar>
          </w:tcPr>
          <w:p w:rsidR="007F2DE7" w:rsidRPr="00FB6E71" w:rsidP="007F2DE7">
            <w:pPr>
              <w:pStyle w:val="ModelNrmlSingle"/>
              <w:spacing w:after="0"/>
              <w:ind w:firstLine="0"/>
              <w:jc w:val="left"/>
              <w:rPr>
                <w:rFonts w:asciiTheme="minorHAnsi" w:hAnsiTheme="minorHAnsi"/>
                <w:sz w:val="18"/>
                <w:szCs w:val="18"/>
              </w:rPr>
            </w:pPr>
            <w:r w:rsidRPr="00FB6E71">
              <w:rPr>
                <w:rFonts w:asciiTheme="minorHAnsi" w:hAnsiTheme="minorHAnsi"/>
                <w:sz w:val="18"/>
                <w:szCs w:val="18"/>
              </w:rPr>
              <w:t>2. Infrastructure Rehabilitation and Service Delivery Restoration and Improvement</w:t>
            </w:r>
          </w:p>
        </w:tc>
        <w:tc>
          <w:tcPr>
            <w:tcW w:w="2160"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110,000,000</w:t>
            </w:r>
          </w:p>
        </w:tc>
        <w:tc>
          <w:tcPr>
            <w:tcW w:w="2425"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100</w:t>
            </w:r>
          </w:p>
        </w:tc>
      </w:tr>
      <w:tr w:rsidTr="007F2DE7">
        <w:tblPrEx>
          <w:tblW w:w="5000" w:type="pct"/>
          <w:jc w:val="center"/>
          <w:tblLook w:val="0000"/>
        </w:tblPrEx>
        <w:trPr>
          <w:cantSplit/>
          <w:trHeight w:val="20"/>
          <w:jc w:val="center"/>
        </w:trPr>
        <w:tc>
          <w:tcPr>
            <w:tcW w:w="4765" w:type="dxa"/>
            <w:noWrap/>
            <w:tcMar>
              <w:left w:w="29" w:type="dxa"/>
              <w:right w:w="29" w:type="dxa"/>
            </w:tcMar>
          </w:tcPr>
          <w:p w:rsidR="007F2DE7" w:rsidRPr="00FB6E71" w:rsidP="007F2DE7">
            <w:pPr>
              <w:pStyle w:val="ModelNrmlSingle"/>
              <w:spacing w:after="0"/>
              <w:ind w:firstLine="0"/>
              <w:jc w:val="left"/>
              <w:rPr>
                <w:rFonts w:asciiTheme="minorHAnsi" w:hAnsiTheme="minorHAnsi"/>
                <w:sz w:val="18"/>
                <w:szCs w:val="18"/>
              </w:rPr>
            </w:pPr>
            <w:r w:rsidRPr="00FB6E71">
              <w:rPr>
                <w:rFonts w:asciiTheme="minorHAnsi" w:hAnsiTheme="minorHAnsi"/>
                <w:sz w:val="18"/>
                <w:szCs w:val="18"/>
              </w:rPr>
              <w:t>3. Technical Assistance and Program Management Support</w:t>
            </w:r>
          </w:p>
        </w:tc>
        <w:tc>
          <w:tcPr>
            <w:tcW w:w="2160"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20,000,000</w:t>
            </w:r>
          </w:p>
        </w:tc>
        <w:tc>
          <w:tcPr>
            <w:tcW w:w="2425"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100</w:t>
            </w:r>
          </w:p>
        </w:tc>
      </w:tr>
      <w:tr w:rsidTr="007F2DE7">
        <w:tblPrEx>
          <w:tblW w:w="5000" w:type="pct"/>
          <w:jc w:val="center"/>
          <w:tblLook w:val="0000"/>
        </w:tblPrEx>
        <w:trPr>
          <w:cantSplit/>
          <w:trHeight w:val="20"/>
          <w:jc w:val="center"/>
        </w:trPr>
        <w:tc>
          <w:tcPr>
            <w:tcW w:w="4765" w:type="dxa"/>
            <w:noWrap/>
            <w:tcMar>
              <w:left w:w="29" w:type="dxa"/>
              <w:right w:w="29" w:type="dxa"/>
            </w:tcMar>
          </w:tcPr>
          <w:p w:rsidR="007F2DE7" w:rsidRPr="00FB6E71" w:rsidP="007F2DE7">
            <w:pPr>
              <w:pStyle w:val="ModelNrmlSingle"/>
              <w:spacing w:after="0"/>
              <w:ind w:firstLine="0"/>
              <w:jc w:val="left"/>
              <w:rPr>
                <w:rFonts w:asciiTheme="minorHAnsi" w:hAnsiTheme="minorHAnsi"/>
                <w:sz w:val="18"/>
                <w:szCs w:val="18"/>
              </w:rPr>
            </w:pPr>
            <w:r w:rsidRPr="00FB6E71">
              <w:rPr>
                <w:rFonts w:asciiTheme="minorHAnsi" w:hAnsiTheme="minorHAnsi"/>
                <w:sz w:val="18"/>
                <w:szCs w:val="18"/>
              </w:rPr>
              <w:t xml:space="preserve">4. </w:t>
            </w:r>
            <w:r w:rsidRPr="00FB6E71">
              <w:rPr>
                <w:rFonts w:asciiTheme="minorHAnsi" w:hAnsiTheme="minorHAnsi"/>
                <w:bCs/>
                <w:sz w:val="18"/>
                <w:szCs w:val="18"/>
              </w:rPr>
              <w:t>Contingent Emergency Response</w:t>
            </w:r>
          </w:p>
        </w:tc>
        <w:tc>
          <w:tcPr>
            <w:tcW w:w="2160"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0</w:t>
            </w:r>
          </w:p>
        </w:tc>
        <w:tc>
          <w:tcPr>
            <w:tcW w:w="2425"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100</w:t>
            </w:r>
          </w:p>
        </w:tc>
      </w:tr>
      <w:tr w:rsidTr="007F2DE7">
        <w:tblPrEx>
          <w:tblW w:w="5000" w:type="pct"/>
          <w:jc w:val="center"/>
          <w:tblLook w:val="0000"/>
        </w:tblPrEx>
        <w:trPr>
          <w:cantSplit/>
          <w:trHeight w:val="20"/>
          <w:jc w:val="center"/>
        </w:trPr>
        <w:tc>
          <w:tcPr>
            <w:tcW w:w="4765" w:type="dxa"/>
            <w:noWrap/>
            <w:tcMar>
              <w:left w:w="29" w:type="dxa"/>
              <w:right w:w="29" w:type="dxa"/>
            </w:tcMar>
          </w:tcPr>
          <w:p w:rsidR="007F2DE7" w:rsidRPr="00FB6E71" w:rsidP="007F2DE7">
            <w:pPr>
              <w:pStyle w:val="ModelNrmlSingle"/>
              <w:spacing w:after="0"/>
              <w:ind w:firstLine="0"/>
              <w:jc w:val="left"/>
              <w:rPr>
                <w:rFonts w:asciiTheme="minorHAnsi" w:hAnsiTheme="minorHAnsi"/>
                <w:sz w:val="18"/>
                <w:szCs w:val="18"/>
              </w:rPr>
            </w:pPr>
            <w:r w:rsidRPr="00FB6E71">
              <w:rPr>
                <w:rFonts w:asciiTheme="minorHAnsi" w:hAnsiTheme="minorHAnsi"/>
                <w:sz w:val="18"/>
                <w:szCs w:val="18"/>
              </w:rPr>
              <w:t>5. Unallocated Amount</w:t>
            </w:r>
          </w:p>
        </w:tc>
        <w:tc>
          <w:tcPr>
            <w:tcW w:w="2160"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40,000,000</w:t>
            </w:r>
          </w:p>
        </w:tc>
        <w:tc>
          <w:tcPr>
            <w:tcW w:w="2425"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100</w:t>
            </w:r>
          </w:p>
        </w:tc>
      </w:tr>
      <w:tr w:rsidTr="007F2DE7">
        <w:tblPrEx>
          <w:tblW w:w="5000" w:type="pct"/>
          <w:jc w:val="center"/>
          <w:tblLook w:val="0000"/>
        </w:tblPrEx>
        <w:trPr>
          <w:cantSplit/>
          <w:trHeight w:val="20"/>
          <w:jc w:val="center"/>
        </w:trPr>
        <w:tc>
          <w:tcPr>
            <w:tcW w:w="4765" w:type="dxa"/>
            <w:noWrap/>
            <w:tcMar>
              <w:left w:w="29" w:type="dxa"/>
              <w:right w:w="29" w:type="dxa"/>
            </w:tcMar>
          </w:tcPr>
          <w:p w:rsidR="007F2DE7" w:rsidRPr="00FB6E71" w:rsidP="007F2DE7">
            <w:pPr>
              <w:pStyle w:val="ModelNrmlSingle"/>
              <w:spacing w:after="0"/>
              <w:ind w:firstLine="0"/>
              <w:rPr>
                <w:rFonts w:asciiTheme="minorHAnsi" w:hAnsiTheme="minorHAnsi"/>
                <w:b/>
                <w:bCs/>
                <w:sz w:val="18"/>
                <w:szCs w:val="18"/>
              </w:rPr>
            </w:pPr>
            <w:r w:rsidRPr="00FB6E71">
              <w:rPr>
                <w:rFonts w:asciiTheme="minorHAnsi" w:hAnsiTheme="minorHAnsi"/>
                <w:b/>
                <w:bCs/>
                <w:sz w:val="18"/>
                <w:szCs w:val="18"/>
              </w:rPr>
              <w:t>TOTAL AMOUNT</w:t>
            </w:r>
          </w:p>
        </w:tc>
        <w:tc>
          <w:tcPr>
            <w:tcW w:w="2160"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200,000,000</w:t>
            </w:r>
          </w:p>
        </w:tc>
        <w:tc>
          <w:tcPr>
            <w:tcW w:w="2425" w:type="dxa"/>
            <w:noWrap/>
            <w:tcMar>
              <w:left w:w="29" w:type="dxa"/>
              <w:right w:w="29" w:type="dxa"/>
            </w:tcMar>
          </w:tcPr>
          <w:p w:rsidR="007F2DE7" w:rsidRPr="00FB6E71" w:rsidP="007F2DE7">
            <w:pPr>
              <w:pStyle w:val="ModelNrmlSingle"/>
              <w:spacing w:after="0"/>
              <w:ind w:firstLine="0"/>
              <w:jc w:val="center"/>
              <w:rPr>
                <w:rFonts w:asciiTheme="minorHAnsi" w:hAnsiTheme="minorHAnsi"/>
                <w:sz w:val="18"/>
                <w:szCs w:val="18"/>
              </w:rPr>
            </w:pPr>
            <w:r w:rsidRPr="00FB6E71">
              <w:rPr>
                <w:rFonts w:asciiTheme="minorHAnsi" w:hAnsiTheme="minorHAnsi"/>
                <w:sz w:val="18"/>
                <w:szCs w:val="18"/>
              </w:rPr>
              <w:t>100</w:t>
            </w:r>
          </w:p>
        </w:tc>
      </w:tr>
    </w:tbl>
    <w:p w:rsidR="007F2DE7" w:rsidRPr="00FB6E71" w:rsidP="007F2DE7">
      <w:pPr>
        <w:widowControl/>
        <w:jc w:val="center"/>
        <w:rPr>
          <w:rFonts w:asciiTheme="minorHAnsi" w:hAnsiTheme="minorHAnsi"/>
          <w:color w:val="auto"/>
          <w:sz w:val="18"/>
          <w:szCs w:val="18"/>
          <w:lang w:bidi="en-US"/>
        </w:rPr>
      </w:pP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Project funds are proposed to be apportioned to the three BAY states, according to the resource allocation </w:t>
      </w:r>
      <w:r>
        <w:rPr>
          <w:rFonts w:asciiTheme="minorHAnsi" w:hAnsiTheme="minorHAnsi"/>
          <w:bCs/>
          <w:color w:val="auto"/>
          <w:sz w:val="22"/>
          <w:szCs w:val="22"/>
        </w:rPr>
        <w:t xml:space="preserve">in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_Ref475711370 \h  \* MERGEFORMAT </w:instrText>
      </w:r>
      <w:r>
        <w:rPr>
          <w:rFonts w:asciiTheme="minorHAnsi" w:hAnsiTheme="minorHAnsi"/>
          <w:bCs/>
          <w:color w:val="auto"/>
          <w:sz w:val="22"/>
          <w:szCs w:val="22"/>
        </w:rPr>
        <w:fldChar w:fldCharType="separate"/>
      </w:r>
      <w:r w:rsidRPr="006258A5">
        <w:rPr>
          <w:rFonts w:asciiTheme="minorHAnsi" w:hAnsiTheme="minorHAnsi"/>
          <w:bCs/>
          <w:color w:val="auto"/>
          <w:sz w:val="22"/>
          <w:szCs w:val="22"/>
        </w:rPr>
        <w:t>table 2.6</w:t>
      </w:r>
      <w:r>
        <w:rPr>
          <w:rFonts w:asciiTheme="minorHAnsi" w:hAnsiTheme="minorHAnsi"/>
          <w:bCs/>
          <w:color w:val="auto"/>
          <w:sz w:val="22"/>
          <w:szCs w:val="22"/>
        </w:rPr>
        <w:fldChar w:fldCharType="end"/>
      </w:r>
      <w:r w:rsidRPr="00FB6E71">
        <w:rPr>
          <w:rFonts w:asciiTheme="minorHAnsi" w:hAnsiTheme="minorHAnsi"/>
          <w:bCs/>
          <w:color w:val="auto"/>
          <w:sz w:val="22"/>
          <w:szCs w:val="22"/>
        </w:rPr>
        <w:t>. This is based on a combination of factors</w:t>
      </w:r>
      <w:r>
        <w:rPr>
          <w:rFonts w:asciiTheme="minorHAnsi" w:hAnsiTheme="minorHAnsi"/>
          <w:bCs/>
          <w:color w:val="auto"/>
          <w:sz w:val="22"/>
          <w:szCs w:val="22"/>
        </w:rPr>
        <w:t>,</w:t>
      </w:r>
      <w:r w:rsidRPr="00FB6E71">
        <w:rPr>
          <w:rFonts w:asciiTheme="minorHAnsi" w:hAnsiTheme="minorHAnsi"/>
          <w:bCs/>
          <w:color w:val="auto"/>
          <w:sz w:val="22"/>
          <w:szCs w:val="22"/>
        </w:rPr>
        <w:t xml:space="preserve"> including relative level of needs, implementation readiness and absorption capacity, and prevailing and expected security levels and risks. The current distribution is based on total current overall allocation of US$155 million to the </w:t>
      </w:r>
      <w:r>
        <w:rPr>
          <w:rFonts w:asciiTheme="minorHAnsi" w:hAnsiTheme="minorHAnsi"/>
          <w:bCs/>
          <w:color w:val="auto"/>
          <w:sz w:val="22"/>
          <w:szCs w:val="22"/>
        </w:rPr>
        <w:t>s</w:t>
      </w:r>
      <w:r w:rsidRPr="00FB6E71">
        <w:rPr>
          <w:rFonts w:asciiTheme="minorHAnsi" w:hAnsiTheme="minorHAnsi"/>
          <w:bCs/>
          <w:color w:val="auto"/>
          <w:sz w:val="22"/>
          <w:szCs w:val="22"/>
        </w:rPr>
        <w:t>tates, including US$65 million for Borno (3</w:t>
      </w:r>
      <w:r>
        <w:rPr>
          <w:rFonts w:asciiTheme="minorHAnsi" w:hAnsiTheme="minorHAnsi"/>
          <w:bCs/>
          <w:color w:val="auto"/>
          <w:sz w:val="22"/>
          <w:szCs w:val="22"/>
        </w:rPr>
        <w:t>2</w:t>
      </w:r>
      <w:r w:rsidRPr="00FB6E71">
        <w:rPr>
          <w:rFonts w:asciiTheme="minorHAnsi" w:hAnsiTheme="minorHAnsi"/>
          <w:bCs/>
          <w:color w:val="auto"/>
          <w:sz w:val="22"/>
          <w:szCs w:val="22"/>
        </w:rPr>
        <w:t xml:space="preserve">.5 percent of total project resources) and US$45 million (22.5 percent of total project resources) each for Yobe and Adamawa. The Federal Government will receive 2.5 percent of project resources in TA and project management. Each component amount will be distributed according to the same percentages, with the possible exception of any components that require the use of common resources such as certain types of project management costs, which could be handled through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The PMC, for example, is expected to be hired and managed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on behalf of the three </w:t>
      </w:r>
      <w:r>
        <w:rPr>
          <w:rFonts w:asciiTheme="minorHAnsi" w:hAnsiTheme="minorHAnsi"/>
          <w:bCs/>
          <w:color w:val="auto"/>
          <w:sz w:val="22"/>
          <w:szCs w:val="22"/>
        </w:rPr>
        <w:t>s</w:t>
      </w:r>
      <w:r w:rsidRPr="00FB6E71">
        <w:rPr>
          <w:rFonts w:asciiTheme="minorHAnsi" w:hAnsiTheme="minorHAnsi"/>
          <w:bCs/>
          <w:color w:val="auto"/>
          <w:sz w:val="22"/>
          <w:szCs w:val="22"/>
        </w:rPr>
        <w:t>tates.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The remaining US$40 million will remain unallocated</w:t>
      </w:r>
      <w:r>
        <w:rPr>
          <w:rFonts w:asciiTheme="minorHAnsi" w:hAnsiTheme="minorHAnsi"/>
          <w:bCs/>
          <w:color w:val="auto"/>
          <w:sz w:val="22"/>
          <w:szCs w:val="22"/>
        </w:rPr>
        <w:t>,</w:t>
      </w:r>
      <w:r w:rsidRPr="00FB6E71">
        <w:rPr>
          <w:rFonts w:asciiTheme="minorHAnsi" w:hAnsiTheme="minorHAnsi"/>
          <w:bCs/>
          <w:color w:val="auto"/>
          <w:sz w:val="22"/>
          <w:szCs w:val="22"/>
        </w:rPr>
        <w:t xml:space="preserve"> and its distribution will only be decided at the project midterm stage, based on a set of criteria. This is due to the very fluid situation in the country, with regard to the security situation, the movement of displaced persons, </w:t>
      </w:r>
      <w:r>
        <w:rPr>
          <w:rFonts w:asciiTheme="minorHAnsi" w:hAnsiTheme="minorHAnsi"/>
          <w:bCs/>
          <w:color w:val="auto"/>
          <w:sz w:val="22"/>
          <w:szCs w:val="22"/>
        </w:rPr>
        <w:t xml:space="preserve">and the </w:t>
      </w:r>
      <w:r w:rsidRPr="00FB6E71">
        <w:rPr>
          <w:rFonts w:asciiTheme="minorHAnsi" w:hAnsiTheme="minorHAnsi"/>
          <w:bCs/>
          <w:color w:val="auto"/>
          <w:sz w:val="22"/>
          <w:szCs w:val="22"/>
        </w:rPr>
        <w:t xml:space="preserve">available financing from the Government’s budget and donors for specific sectors in the respective </w:t>
      </w:r>
      <w:r>
        <w:rPr>
          <w:rFonts w:asciiTheme="minorHAnsi" w:hAnsiTheme="minorHAnsi"/>
          <w:bCs/>
          <w:color w:val="auto"/>
          <w:sz w:val="22"/>
          <w:szCs w:val="22"/>
        </w:rPr>
        <w:t>s</w:t>
      </w:r>
      <w:r w:rsidRPr="00FB6E71">
        <w:rPr>
          <w:rFonts w:asciiTheme="minorHAnsi" w:hAnsiTheme="minorHAnsi"/>
          <w:bCs/>
          <w:color w:val="auto"/>
          <w:sz w:val="22"/>
          <w:szCs w:val="22"/>
        </w:rPr>
        <w:t xml:space="preserve">tates. This will also provide an incentive for the </w:t>
      </w:r>
      <w:r>
        <w:rPr>
          <w:rFonts w:asciiTheme="minorHAnsi" w:hAnsiTheme="minorHAnsi"/>
          <w:bCs/>
          <w:color w:val="auto"/>
          <w:sz w:val="22"/>
          <w:szCs w:val="22"/>
        </w:rPr>
        <w:t>s</w:t>
      </w:r>
      <w:r w:rsidRPr="00FB6E71">
        <w:rPr>
          <w:rFonts w:asciiTheme="minorHAnsi" w:hAnsiTheme="minorHAnsi"/>
          <w:bCs/>
          <w:color w:val="auto"/>
          <w:sz w:val="22"/>
          <w:szCs w:val="22"/>
        </w:rPr>
        <w:t>tates to demonstrate their absorptive capacity and not delay disbursements and will mainly affect Component 2. Criteria will</w:t>
      </w:r>
      <w:r>
        <w:rPr>
          <w:rFonts w:asciiTheme="minorHAnsi" w:hAnsiTheme="minorHAnsi"/>
          <w:bCs/>
          <w:color w:val="auto"/>
          <w:sz w:val="22"/>
          <w:szCs w:val="22"/>
        </w:rPr>
        <w:t>,</w:t>
      </w:r>
      <w:r w:rsidRPr="00FB6E71">
        <w:rPr>
          <w:rFonts w:asciiTheme="minorHAnsi" w:hAnsiTheme="minorHAnsi"/>
          <w:bCs/>
          <w:color w:val="auto"/>
          <w:sz w:val="22"/>
          <w:szCs w:val="22"/>
        </w:rPr>
        <w:t xml:space="preserve"> therefore</w:t>
      </w:r>
      <w:r>
        <w:rPr>
          <w:rFonts w:asciiTheme="minorHAnsi" w:hAnsiTheme="minorHAnsi"/>
          <w:bCs/>
          <w:color w:val="auto"/>
          <w:sz w:val="22"/>
          <w:szCs w:val="22"/>
        </w:rPr>
        <w:t>,</w:t>
      </w:r>
      <w:r w:rsidRPr="00FB6E71">
        <w:rPr>
          <w:rFonts w:asciiTheme="minorHAnsi" w:hAnsiTheme="minorHAnsi"/>
          <w:bCs/>
          <w:color w:val="auto"/>
          <w:sz w:val="22"/>
          <w:szCs w:val="22"/>
        </w:rPr>
        <w:t xml:space="preserve"> consider factors such as implementation performance, level of support from other development partners and relative unmet needs in the project sectors, and a reassessment of the security situation. Such allocation shall be done through the FMoF in consultation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PCNI and the BAY states. Once this allocation is decided, this remaining balance will be allocated to the respective </w:t>
      </w:r>
      <w:r>
        <w:rPr>
          <w:rFonts w:asciiTheme="minorHAnsi" w:hAnsiTheme="minorHAnsi"/>
          <w:bCs/>
          <w:color w:val="auto"/>
          <w:sz w:val="22"/>
          <w:szCs w:val="22"/>
        </w:rPr>
        <w:t>s</w:t>
      </w:r>
      <w:r w:rsidRPr="00FB6E71">
        <w:rPr>
          <w:rFonts w:asciiTheme="minorHAnsi" w:hAnsiTheme="minorHAnsi"/>
          <w:bCs/>
          <w:color w:val="auto"/>
          <w:sz w:val="22"/>
          <w:szCs w:val="22"/>
        </w:rPr>
        <w:t xml:space="preserve">tates’ </w:t>
      </w:r>
      <w:r>
        <w:rPr>
          <w:rFonts w:asciiTheme="minorHAnsi" w:hAnsiTheme="minorHAnsi"/>
          <w:bCs/>
          <w:color w:val="auto"/>
          <w:sz w:val="22"/>
          <w:szCs w:val="22"/>
        </w:rPr>
        <w:t>DAs</w:t>
      </w:r>
      <w:r w:rsidRPr="00FB6E71">
        <w:rPr>
          <w:rFonts w:asciiTheme="minorHAnsi" w:hAnsiTheme="minorHAnsi"/>
          <w:bCs/>
          <w:color w:val="auto"/>
          <w:sz w:val="22"/>
          <w:szCs w:val="22"/>
        </w:rPr>
        <w:t xml:space="preserve">. </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7</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Project Resource Distribution across States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2"/>
        <w:gridCol w:w="2240"/>
        <w:gridCol w:w="3798"/>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20"/>
          <w:jc w:val="center"/>
        </w:trPr>
        <w:tc>
          <w:tcPr>
            <w:tcW w:w="3312"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b/>
                <w:sz w:val="18"/>
                <w:szCs w:val="18"/>
              </w:rPr>
            </w:pPr>
            <w:r w:rsidRPr="00FB6E71">
              <w:rPr>
                <w:rFonts w:ascii="Calibri" w:eastAsia="Times New Roman" w:hAnsi="Calibri" w:cs="Times New Roman"/>
                <w:b/>
                <w:sz w:val="18"/>
                <w:szCs w:val="18"/>
              </w:rPr>
              <w:t>State</w:t>
            </w:r>
          </w:p>
        </w:tc>
        <w:tc>
          <w:tcPr>
            <w:tcW w:w="22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b/>
                <w:sz w:val="18"/>
                <w:szCs w:val="18"/>
              </w:rPr>
            </w:pPr>
            <w:r w:rsidRPr="00FB6E71">
              <w:rPr>
                <w:rFonts w:ascii="Calibri" w:eastAsia="Times New Roman" w:hAnsi="Calibri" w:cs="Times New Roman"/>
                <w:b/>
                <w:sz w:val="18"/>
                <w:szCs w:val="18"/>
              </w:rPr>
              <w:t>% Allocation</w:t>
            </w:r>
          </w:p>
        </w:tc>
        <w:tc>
          <w:tcPr>
            <w:tcW w:w="3798" w:type="dxa"/>
            <w:shd w:val="clear" w:color="auto" w:fill="auto"/>
            <w:vAlign w:val="center"/>
            <w:hideMark/>
          </w:tcPr>
          <w:p w:rsidR="007F2DE7" w:rsidRPr="00FB6E71" w:rsidP="007F2DE7">
            <w:pPr>
              <w:widowControl/>
              <w:autoSpaceDE/>
              <w:autoSpaceDN/>
              <w:adjustRightInd/>
              <w:jc w:val="center"/>
              <w:rPr>
                <w:rFonts w:ascii="Calibri" w:eastAsia="Times New Roman" w:hAnsi="Calibri" w:cs="Times New Roman"/>
                <w:b/>
                <w:sz w:val="18"/>
                <w:szCs w:val="18"/>
              </w:rPr>
            </w:pPr>
            <w:r w:rsidRPr="00FB6E71">
              <w:rPr>
                <w:rFonts w:ascii="Calibri" w:eastAsia="Times New Roman" w:hAnsi="Calibri" w:cs="Times New Roman"/>
                <w:b/>
                <w:sz w:val="18"/>
                <w:szCs w:val="18"/>
              </w:rPr>
              <w:t>Proposed Allocation (US$, millions)</w:t>
            </w:r>
          </w:p>
        </w:tc>
      </w:tr>
      <w:tr w:rsidTr="007F2DE7">
        <w:tblPrEx>
          <w:tblW w:w="5000" w:type="pct"/>
          <w:jc w:val="center"/>
          <w:tblLook w:val="04A0"/>
        </w:tblPrEx>
        <w:trPr>
          <w:cantSplit/>
          <w:trHeight w:val="20"/>
          <w:jc w:val="center"/>
        </w:trPr>
        <w:tc>
          <w:tcPr>
            <w:tcW w:w="3312" w:type="dxa"/>
            <w:shd w:val="clear" w:color="auto" w:fill="auto"/>
            <w:noWrap/>
            <w:vAlign w:val="center"/>
            <w:hideMark/>
          </w:tcPr>
          <w:p w:rsidR="007F2DE7" w:rsidRPr="00FB6E71" w:rsidP="007F2DE7">
            <w:pPr>
              <w:widowControl/>
              <w:autoSpaceDE/>
              <w:autoSpaceDN/>
              <w:adjustRightInd/>
              <w:rPr>
                <w:rFonts w:ascii="Calibri" w:eastAsia="Times New Roman" w:hAnsi="Calibri" w:cs="Times New Roman"/>
                <w:sz w:val="18"/>
                <w:szCs w:val="18"/>
              </w:rPr>
            </w:pPr>
            <w:r w:rsidRPr="00FB6E71">
              <w:rPr>
                <w:rFonts w:ascii="Calibri" w:eastAsia="Times New Roman" w:hAnsi="Calibri" w:cs="Times New Roman"/>
                <w:sz w:val="18"/>
                <w:szCs w:val="18"/>
              </w:rPr>
              <w:t>Borno</w:t>
            </w:r>
          </w:p>
        </w:tc>
        <w:tc>
          <w:tcPr>
            <w:tcW w:w="22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3</w:t>
            </w:r>
            <w:r>
              <w:rPr>
                <w:rFonts w:ascii="Calibri" w:eastAsia="Times New Roman" w:hAnsi="Calibri" w:cs="Times New Roman"/>
                <w:sz w:val="18"/>
                <w:szCs w:val="18"/>
              </w:rPr>
              <w:t>2</w:t>
            </w:r>
            <w:r w:rsidRPr="00FB6E71">
              <w:rPr>
                <w:rFonts w:ascii="Calibri" w:eastAsia="Times New Roman" w:hAnsi="Calibri" w:cs="Times New Roman"/>
                <w:sz w:val="18"/>
                <w:szCs w:val="18"/>
              </w:rPr>
              <w:t>.5</w:t>
            </w:r>
          </w:p>
        </w:tc>
        <w:tc>
          <w:tcPr>
            <w:tcW w:w="3798"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65</w:t>
            </w:r>
          </w:p>
        </w:tc>
      </w:tr>
      <w:tr w:rsidTr="007F2DE7">
        <w:tblPrEx>
          <w:tblW w:w="5000" w:type="pct"/>
          <w:jc w:val="center"/>
          <w:tblLook w:val="04A0"/>
        </w:tblPrEx>
        <w:trPr>
          <w:cantSplit/>
          <w:trHeight w:val="20"/>
          <w:jc w:val="center"/>
        </w:trPr>
        <w:tc>
          <w:tcPr>
            <w:tcW w:w="3312" w:type="dxa"/>
            <w:shd w:val="clear" w:color="auto" w:fill="auto"/>
            <w:noWrap/>
            <w:vAlign w:val="center"/>
            <w:hideMark/>
          </w:tcPr>
          <w:p w:rsidR="007F2DE7" w:rsidRPr="00FB6E71" w:rsidP="007F2DE7">
            <w:pPr>
              <w:widowControl/>
              <w:autoSpaceDE/>
              <w:autoSpaceDN/>
              <w:adjustRightInd/>
              <w:rPr>
                <w:rFonts w:ascii="Calibri" w:eastAsia="Times New Roman" w:hAnsi="Calibri" w:cs="Times New Roman"/>
                <w:sz w:val="18"/>
                <w:szCs w:val="18"/>
              </w:rPr>
            </w:pPr>
            <w:r w:rsidRPr="00FB6E71">
              <w:rPr>
                <w:rFonts w:ascii="Calibri" w:eastAsia="Times New Roman" w:hAnsi="Calibri" w:cs="Times New Roman"/>
                <w:sz w:val="18"/>
                <w:szCs w:val="18"/>
              </w:rPr>
              <w:t>Yobe</w:t>
            </w:r>
          </w:p>
        </w:tc>
        <w:tc>
          <w:tcPr>
            <w:tcW w:w="22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22.5</w:t>
            </w:r>
          </w:p>
        </w:tc>
        <w:tc>
          <w:tcPr>
            <w:tcW w:w="3798"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45</w:t>
            </w:r>
          </w:p>
        </w:tc>
      </w:tr>
      <w:tr w:rsidTr="007F2DE7">
        <w:tblPrEx>
          <w:tblW w:w="5000" w:type="pct"/>
          <w:jc w:val="center"/>
          <w:tblLook w:val="04A0"/>
        </w:tblPrEx>
        <w:trPr>
          <w:cantSplit/>
          <w:trHeight w:val="20"/>
          <w:jc w:val="center"/>
        </w:trPr>
        <w:tc>
          <w:tcPr>
            <w:tcW w:w="3312" w:type="dxa"/>
            <w:shd w:val="clear" w:color="auto" w:fill="auto"/>
            <w:noWrap/>
            <w:vAlign w:val="center"/>
            <w:hideMark/>
          </w:tcPr>
          <w:p w:rsidR="007F2DE7" w:rsidRPr="00FB6E71" w:rsidP="007F2DE7">
            <w:pPr>
              <w:widowControl/>
              <w:autoSpaceDE/>
              <w:autoSpaceDN/>
              <w:adjustRightInd/>
              <w:rPr>
                <w:rFonts w:ascii="Calibri" w:eastAsia="Times New Roman" w:hAnsi="Calibri" w:cs="Times New Roman"/>
                <w:sz w:val="18"/>
                <w:szCs w:val="18"/>
              </w:rPr>
            </w:pPr>
            <w:r w:rsidRPr="00FB6E71">
              <w:rPr>
                <w:rFonts w:ascii="Calibri" w:eastAsia="Times New Roman" w:hAnsi="Calibri" w:cs="Times New Roman"/>
                <w:sz w:val="18"/>
                <w:szCs w:val="18"/>
              </w:rPr>
              <w:t>Adamawa</w:t>
            </w:r>
          </w:p>
        </w:tc>
        <w:tc>
          <w:tcPr>
            <w:tcW w:w="22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22.5</w:t>
            </w:r>
          </w:p>
        </w:tc>
        <w:tc>
          <w:tcPr>
            <w:tcW w:w="3798"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45</w:t>
            </w:r>
          </w:p>
        </w:tc>
      </w:tr>
      <w:tr w:rsidTr="007F2DE7">
        <w:tblPrEx>
          <w:tblW w:w="5000" w:type="pct"/>
          <w:jc w:val="center"/>
          <w:tblLook w:val="04A0"/>
        </w:tblPrEx>
        <w:trPr>
          <w:cantSplit/>
          <w:trHeight w:val="20"/>
          <w:jc w:val="center"/>
        </w:trPr>
        <w:tc>
          <w:tcPr>
            <w:tcW w:w="3312" w:type="dxa"/>
            <w:shd w:val="clear" w:color="auto" w:fill="auto"/>
            <w:noWrap/>
            <w:vAlign w:val="center"/>
          </w:tcPr>
          <w:p w:rsidR="007F2DE7" w:rsidRPr="00FB6E71" w:rsidP="007F2DE7">
            <w:pPr>
              <w:widowControl/>
              <w:autoSpaceDE/>
              <w:autoSpaceDN/>
              <w:adjustRightInd/>
              <w:rPr>
                <w:rFonts w:ascii="Calibri" w:eastAsia="Times New Roman" w:hAnsi="Calibri" w:cs="Times New Roman"/>
                <w:sz w:val="18"/>
                <w:szCs w:val="18"/>
              </w:rPr>
            </w:pPr>
            <w:r w:rsidRPr="00FB6E71">
              <w:rPr>
                <w:rFonts w:ascii="Calibri" w:eastAsia="Times New Roman" w:hAnsi="Calibri" w:cs="Times New Roman"/>
                <w:sz w:val="18"/>
                <w:szCs w:val="18"/>
              </w:rPr>
              <w:t>Federal Government (PCNI)</w:t>
            </w:r>
          </w:p>
        </w:tc>
        <w:tc>
          <w:tcPr>
            <w:tcW w:w="2240" w:type="dxa"/>
            <w:shd w:val="clear" w:color="auto" w:fill="auto"/>
            <w:noWrap/>
            <w:vAlign w:val="center"/>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2.5</w:t>
            </w:r>
          </w:p>
        </w:tc>
        <w:tc>
          <w:tcPr>
            <w:tcW w:w="3798" w:type="dxa"/>
            <w:shd w:val="clear" w:color="auto" w:fill="auto"/>
            <w:noWrap/>
            <w:vAlign w:val="center"/>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5</w:t>
            </w:r>
          </w:p>
        </w:tc>
      </w:tr>
      <w:tr w:rsidTr="007F2DE7">
        <w:tblPrEx>
          <w:tblW w:w="5000" w:type="pct"/>
          <w:jc w:val="center"/>
          <w:tblLook w:val="04A0"/>
        </w:tblPrEx>
        <w:trPr>
          <w:cantSplit/>
          <w:trHeight w:val="20"/>
          <w:jc w:val="center"/>
        </w:trPr>
        <w:tc>
          <w:tcPr>
            <w:tcW w:w="3312" w:type="dxa"/>
            <w:shd w:val="clear" w:color="auto" w:fill="auto"/>
            <w:vAlign w:val="center"/>
            <w:hideMark/>
          </w:tcPr>
          <w:p w:rsidR="007F2DE7" w:rsidRPr="00FB6E71" w:rsidP="007F2DE7">
            <w:pPr>
              <w:widowControl/>
              <w:autoSpaceDE/>
              <w:autoSpaceDN/>
              <w:adjustRightInd/>
              <w:rPr>
                <w:rFonts w:ascii="Calibri" w:eastAsia="Times New Roman" w:hAnsi="Calibri" w:cs="Times New Roman"/>
                <w:sz w:val="18"/>
                <w:szCs w:val="18"/>
              </w:rPr>
            </w:pPr>
            <w:r w:rsidRPr="00FB6E71">
              <w:rPr>
                <w:rFonts w:ascii="Calibri" w:eastAsia="Times New Roman" w:hAnsi="Calibri" w:cs="Times New Roman"/>
                <w:sz w:val="18"/>
                <w:szCs w:val="18"/>
              </w:rPr>
              <w:t>Unallocated</w:t>
            </w:r>
          </w:p>
        </w:tc>
        <w:tc>
          <w:tcPr>
            <w:tcW w:w="2240"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20</w:t>
            </w:r>
          </w:p>
        </w:tc>
        <w:tc>
          <w:tcPr>
            <w:tcW w:w="3798"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sz w:val="18"/>
                <w:szCs w:val="18"/>
              </w:rPr>
            </w:pPr>
            <w:r w:rsidRPr="00FB6E71">
              <w:rPr>
                <w:rFonts w:ascii="Calibri" w:eastAsia="Times New Roman" w:hAnsi="Calibri" w:cs="Times New Roman"/>
                <w:sz w:val="18"/>
                <w:szCs w:val="18"/>
              </w:rPr>
              <w:t>40</w:t>
            </w:r>
          </w:p>
        </w:tc>
      </w:tr>
      <w:tr w:rsidTr="007F2DE7">
        <w:tblPrEx>
          <w:tblW w:w="5000" w:type="pct"/>
          <w:jc w:val="center"/>
          <w:tblLook w:val="04A0"/>
        </w:tblPrEx>
        <w:trPr>
          <w:cantSplit/>
          <w:trHeight w:val="20"/>
          <w:jc w:val="center"/>
        </w:trPr>
        <w:tc>
          <w:tcPr>
            <w:tcW w:w="5552" w:type="dxa"/>
            <w:gridSpan w:val="2"/>
            <w:shd w:val="clear" w:color="auto" w:fill="auto"/>
            <w:noWrap/>
            <w:vAlign w:val="center"/>
            <w:hideMark/>
          </w:tcPr>
          <w:p w:rsidR="007F2DE7" w:rsidRPr="00FB6E71" w:rsidP="007F2DE7">
            <w:pPr>
              <w:widowControl/>
              <w:autoSpaceDE/>
              <w:autoSpaceDN/>
              <w:adjustRightInd/>
              <w:rPr>
                <w:rFonts w:ascii="Calibri" w:eastAsia="Times New Roman" w:hAnsi="Calibri" w:cs="Times New Roman"/>
                <w:b/>
                <w:bCs/>
                <w:sz w:val="18"/>
                <w:szCs w:val="18"/>
              </w:rPr>
            </w:pPr>
            <w:r w:rsidRPr="00FB6E71">
              <w:rPr>
                <w:rFonts w:ascii="Calibri" w:eastAsia="Times New Roman" w:hAnsi="Calibri" w:cs="Times New Roman"/>
                <w:b/>
                <w:bCs/>
                <w:sz w:val="18"/>
                <w:szCs w:val="18"/>
              </w:rPr>
              <w:t>Total</w:t>
            </w:r>
          </w:p>
        </w:tc>
        <w:tc>
          <w:tcPr>
            <w:tcW w:w="3798" w:type="dxa"/>
            <w:shd w:val="clear" w:color="auto" w:fill="auto"/>
            <w:noWrap/>
            <w:vAlign w:val="center"/>
            <w:hideMark/>
          </w:tcPr>
          <w:p w:rsidR="007F2DE7" w:rsidRPr="00FB6E71" w:rsidP="007F2DE7">
            <w:pPr>
              <w:widowControl/>
              <w:autoSpaceDE/>
              <w:autoSpaceDN/>
              <w:adjustRightInd/>
              <w:jc w:val="center"/>
              <w:rPr>
                <w:rFonts w:ascii="Calibri" w:eastAsia="Times New Roman" w:hAnsi="Calibri" w:cs="Times New Roman"/>
                <w:b/>
                <w:bCs/>
                <w:sz w:val="18"/>
                <w:szCs w:val="18"/>
              </w:rPr>
            </w:pPr>
            <w:r w:rsidRPr="00FB6E71">
              <w:rPr>
                <w:rFonts w:ascii="Calibri" w:eastAsia="Times New Roman" w:hAnsi="Calibri" w:cs="Times New Roman"/>
                <w:b/>
                <w:bCs/>
                <w:sz w:val="18"/>
                <w:szCs w:val="18"/>
              </w:rPr>
              <w:t>200</w:t>
            </w:r>
          </w:p>
        </w:tc>
      </w:tr>
    </w:tbl>
    <w:p w:rsidR="007F2DE7" w:rsidRPr="00FB6E71" w:rsidP="007F2DE7">
      <w:pPr>
        <w:spacing w:line="20" w:lineRule="exact"/>
        <w:ind w:left="-792"/>
        <w:rPr>
          <w:rFonts w:asciiTheme="minorHAnsi" w:hAnsiTheme="minorHAnsi"/>
          <w:b/>
          <w:bCs/>
          <w:color w:val="7F7F7F" w:themeColor="text1" w:themeTint="80"/>
          <w:sz w:val="22"/>
          <w:szCs w:val="22"/>
        </w:rPr>
      </w:pPr>
    </w:p>
    <w:p w:rsidR="007F2DE7" w:rsidRPr="00FB6E71" w:rsidP="007F2DE7">
      <w:pPr>
        <w:spacing w:line="20" w:lineRule="exact"/>
        <w:ind w:left="-792"/>
        <w:rPr>
          <w:rFonts w:asciiTheme="minorHAnsi" w:hAnsiTheme="minorHAnsi"/>
          <w:b/>
          <w:bCs/>
          <w:color w:val="7F7F7F" w:themeColor="text1" w:themeTint="80"/>
          <w:sz w:val="22"/>
          <w:szCs w:val="22"/>
        </w:rPr>
      </w:pPr>
    </w:p>
    <w:p w:rsidR="007F2DE7" w:rsidRPr="00FB6E71" w:rsidP="007F2DE7">
      <w:pPr>
        <w:widowControl/>
        <w:jc w:val="center"/>
        <w:rPr>
          <w:rFonts w:asciiTheme="minorHAnsi" w:hAnsiTheme="minorHAnsi"/>
          <w:color w:val="auto"/>
          <w:sz w:val="18"/>
          <w:szCs w:val="18"/>
          <w:lang w:bidi="en-US"/>
        </w:rPr>
      </w:pP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Retroactive financing could be considered under the credit in line with </w:t>
      </w:r>
      <w:r>
        <w:rPr>
          <w:rFonts w:asciiTheme="minorHAnsi" w:hAnsiTheme="minorHAnsi"/>
          <w:sz w:val="22"/>
          <w:szCs w:val="22"/>
        </w:rPr>
        <w:t xml:space="preserve">the following </w:t>
      </w:r>
      <w:r w:rsidRPr="00FB6E71">
        <w:rPr>
          <w:rFonts w:asciiTheme="minorHAnsi" w:hAnsiTheme="minorHAnsi"/>
          <w:sz w:val="22"/>
          <w:szCs w:val="22"/>
        </w:rPr>
        <w:t xml:space="preserve">World Bank requirements: </w:t>
      </w:r>
      <w:r w:rsidRPr="00FB6E71">
        <w:rPr>
          <w:rFonts w:asciiTheme="minorHAnsi" w:hAnsiTheme="minorHAnsi"/>
          <w:bCs/>
          <w:sz w:val="22"/>
          <w:szCs w:val="22"/>
        </w:rPr>
        <w:t xml:space="preserve">(a) the activities financed by retroactive financing are related to the </w:t>
      </w:r>
      <w:r>
        <w:rPr>
          <w:rFonts w:asciiTheme="minorHAnsi" w:hAnsiTheme="minorHAnsi"/>
          <w:bCs/>
          <w:sz w:val="22"/>
          <w:szCs w:val="22"/>
        </w:rPr>
        <w:t>development objectives</w:t>
      </w:r>
      <w:r w:rsidRPr="00FB6E71">
        <w:rPr>
          <w:rFonts w:asciiTheme="minorHAnsi" w:hAnsiTheme="minorHAnsi"/>
          <w:bCs/>
          <w:sz w:val="22"/>
          <w:szCs w:val="22"/>
        </w:rPr>
        <w:t xml:space="preserve"> and are included in the </w:t>
      </w:r>
      <w:r>
        <w:rPr>
          <w:rFonts w:asciiTheme="minorHAnsi" w:hAnsiTheme="minorHAnsi"/>
          <w:bCs/>
          <w:sz w:val="22"/>
          <w:szCs w:val="22"/>
        </w:rPr>
        <w:t>p</w:t>
      </w:r>
      <w:r w:rsidRPr="00FB6E71">
        <w:rPr>
          <w:rFonts w:asciiTheme="minorHAnsi" w:hAnsiTheme="minorHAnsi"/>
          <w:bCs/>
          <w:sz w:val="22"/>
          <w:szCs w:val="22"/>
        </w:rPr>
        <w:t xml:space="preserve">roject description; (b) the payments are for items procured in accordance with the applicable World Bank procurement rules; (c) the </w:t>
      </w:r>
      <w:r>
        <w:rPr>
          <w:rFonts w:asciiTheme="minorHAnsi" w:hAnsiTheme="minorHAnsi"/>
          <w:bCs/>
          <w:sz w:val="22"/>
          <w:szCs w:val="22"/>
        </w:rPr>
        <w:t xml:space="preserve">aggregate </w:t>
      </w:r>
      <w:r w:rsidRPr="00FB6E71">
        <w:rPr>
          <w:rFonts w:asciiTheme="minorHAnsi" w:hAnsiTheme="minorHAnsi"/>
          <w:bCs/>
          <w:sz w:val="22"/>
          <w:szCs w:val="22"/>
        </w:rPr>
        <w:t xml:space="preserve">amount of retroactive financing </w:t>
      </w:r>
      <w:r>
        <w:rPr>
          <w:rFonts w:asciiTheme="minorHAnsi" w:hAnsiTheme="minorHAnsi"/>
          <w:bCs/>
          <w:sz w:val="22"/>
          <w:szCs w:val="22"/>
        </w:rPr>
        <w:t>shall not exceed 20 percent of the loan amount (SDR 29.7 million, or US$ 40 million equivalent)</w:t>
      </w:r>
      <w:r w:rsidRPr="00FB6E71">
        <w:rPr>
          <w:rFonts w:asciiTheme="minorHAnsi" w:hAnsiTheme="minorHAnsi"/>
          <w:bCs/>
          <w:sz w:val="22"/>
          <w:szCs w:val="22"/>
        </w:rPr>
        <w:t xml:space="preserve">; and (d) the payments are made by the </w:t>
      </w:r>
      <w:r>
        <w:rPr>
          <w:rFonts w:asciiTheme="minorHAnsi" w:hAnsiTheme="minorHAnsi"/>
          <w:bCs/>
          <w:sz w:val="22"/>
          <w:szCs w:val="22"/>
        </w:rPr>
        <w:t>B</w:t>
      </w:r>
      <w:r w:rsidRPr="00FB6E71">
        <w:rPr>
          <w:rFonts w:asciiTheme="minorHAnsi" w:hAnsiTheme="minorHAnsi"/>
          <w:bCs/>
          <w:sz w:val="22"/>
          <w:szCs w:val="22"/>
        </w:rPr>
        <w:t xml:space="preserve">orrower </w:t>
      </w:r>
      <w:r>
        <w:rPr>
          <w:rFonts w:asciiTheme="minorHAnsi" w:hAnsiTheme="minorHAnsi"/>
          <w:bCs/>
          <w:sz w:val="22"/>
          <w:szCs w:val="22"/>
        </w:rPr>
        <w:t xml:space="preserve"> on or after May 1, 2016 for eligible expenditures under Components 1, 2, or 3</w:t>
      </w:r>
      <w:r w:rsidRPr="00FB6E71">
        <w:rPr>
          <w:rFonts w:asciiTheme="minorHAnsi" w:hAnsiTheme="minorHAnsi"/>
          <w:bCs/>
          <w:sz w:val="22"/>
          <w:szCs w:val="22"/>
        </w:rPr>
        <w:t>.</w:t>
      </w: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Procurement</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sz w:val="22"/>
          <w:szCs w:val="22"/>
        </w:rPr>
        <w:t xml:space="preserve">Procurement </w:t>
      </w:r>
      <w:r>
        <w:rPr>
          <w:rFonts w:asciiTheme="minorHAnsi" w:hAnsiTheme="minorHAnsi"/>
          <w:b/>
          <w:bCs/>
          <w:sz w:val="22"/>
          <w:szCs w:val="22"/>
        </w:rPr>
        <w:t>p</w:t>
      </w:r>
      <w:r w:rsidRPr="00FB6E71">
        <w:rPr>
          <w:rFonts w:asciiTheme="minorHAnsi" w:hAnsiTheme="minorHAnsi"/>
          <w:b/>
          <w:bCs/>
          <w:sz w:val="22"/>
          <w:szCs w:val="22"/>
        </w:rPr>
        <w:t>rocedures</w:t>
      </w:r>
      <w:r>
        <w:rPr>
          <w:rFonts w:asciiTheme="minorHAnsi" w:hAnsiTheme="minorHAnsi"/>
          <w:b/>
          <w:bCs/>
          <w:sz w:val="22"/>
          <w:szCs w:val="22"/>
        </w:rPr>
        <w:t>.</w:t>
      </w:r>
      <w:r w:rsidRPr="00FB6E71">
        <w:rPr>
          <w:rFonts w:asciiTheme="minorHAnsi" w:hAnsiTheme="minorHAnsi"/>
          <w:b/>
          <w:bCs/>
          <w:sz w:val="22"/>
          <w:szCs w:val="22"/>
        </w:rPr>
        <w:t xml:space="preserve"> </w:t>
      </w:r>
      <w:r w:rsidRPr="00FB6E71">
        <w:rPr>
          <w:rFonts w:asciiTheme="minorHAnsi" w:hAnsiTheme="minorHAnsi"/>
          <w:bCs/>
          <w:sz w:val="22"/>
          <w:szCs w:val="22"/>
        </w:rPr>
        <w:t xml:space="preserve">With regard to </w:t>
      </w:r>
      <w:r>
        <w:rPr>
          <w:rFonts w:asciiTheme="minorHAnsi" w:hAnsiTheme="minorHAnsi"/>
          <w:bCs/>
          <w:sz w:val="22"/>
          <w:szCs w:val="22"/>
        </w:rPr>
        <w:t>o</w:t>
      </w:r>
      <w:r w:rsidRPr="00FB6E71">
        <w:rPr>
          <w:rFonts w:asciiTheme="minorHAnsi" w:hAnsiTheme="minorHAnsi"/>
          <w:bCs/>
          <w:sz w:val="22"/>
          <w:szCs w:val="22"/>
        </w:rPr>
        <w:t xml:space="preserve">perational </w:t>
      </w:r>
      <w:r>
        <w:rPr>
          <w:rFonts w:asciiTheme="minorHAnsi" w:hAnsiTheme="minorHAnsi"/>
          <w:bCs/>
          <w:sz w:val="22"/>
          <w:szCs w:val="22"/>
        </w:rPr>
        <w:t>c</w:t>
      </w:r>
      <w:r w:rsidRPr="00FB6E71">
        <w:rPr>
          <w:rFonts w:asciiTheme="minorHAnsi" w:hAnsiTheme="minorHAnsi"/>
          <w:bCs/>
          <w:sz w:val="22"/>
          <w:szCs w:val="22"/>
        </w:rPr>
        <w:t xml:space="preserve">ontext, procurement under </w:t>
      </w:r>
      <w:r w:rsidRPr="00FB6E71">
        <w:rPr>
          <w:rFonts w:asciiTheme="minorHAnsi" w:hAnsiTheme="minorHAnsi"/>
          <w:sz w:val="22"/>
          <w:szCs w:val="22"/>
        </w:rPr>
        <w:t>the</w:t>
      </w:r>
      <w:r w:rsidRPr="00FB6E71">
        <w:rPr>
          <w:rFonts w:asciiTheme="minorHAnsi" w:hAnsiTheme="minorHAnsi"/>
          <w:bCs/>
          <w:sz w:val="22"/>
          <w:szCs w:val="22"/>
        </w:rPr>
        <w:t xml:space="preserve"> proposed MCRP will be carried out in accordance </w:t>
      </w:r>
      <w:r w:rsidRPr="00374B35">
        <w:rPr>
          <w:rFonts w:asciiTheme="minorHAnsi" w:hAnsiTheme="minorHAnsi"/>
          <w:bCs/>
          <w:sz w:val="22"/>
          <w:szCs w:val="22"/>
        </w:rPr>
        <w:t xml:space="preserve">with the World Bank Procurement Regulations for IPF Borrowers </w:t>
      </w:r>
      <w:r>
        <w:rPr>
          <w:rFonts w:asciiTheme="minorHAnsi" w:hAnsiTheme="minorHAnsi"/>
          <w:bCs/>
          <w:sz w:val="22"/>
          <w:szCs w:val="22"/>
        </w:rPr>
        <w:t>of</w:t>
      </w:r>
      <w:r w:rsidRPr="00374B35">
        <w:rPr>
          <w:rFonts w:asciiTheme="minorHAnsi" w:hAnsiTheme="minorHAnsi"/>
          <w:bCs/>
          <w:sz w:val="22"/>
          <w:szCs w:val="22"/>
        </w:rPr>
        <w:t xml:space="preserve"> July 2016</w:t>
      </w:r>
      <w:r>
        <w:rPr>
          <w:rFonts w:asciiTheme="minorHAnsi" w:hAnsiTheme="minorHAnsi"/>
          <w:bCs/>
          <w:sz w:val="22"/>
          <w:szCs w:val="22"/>
        </w:rPr>
        <w:t>;</w:t>
      </w:r>
      <w:r w:rsidRPr="00374B35">
        <w:rPr>
          <w:rFonts w:asciiTheme="minorHAnsi" w:hAnsiTheme="minorHAnsi"/>
          <w:bCs/>
          <w:sz w:val="22"/>
          <w:szCs w:val="22"/>
        </w:rPr>
        <w:t xml:space="preserve"> the </w:t>
      </w:r>
      <w:r>
        <w:rPr>
          <w:rFonts w:asciiTheme="minorHAnsi" w:hAnsiTheme="minorHAnsi"/>
          <w:bCs/>
          <w:sz w:val="22"/>
          <w:szCs w:val="22"/>
        </w:rPr>
        <w:t>‘</w:t>
      </w:r>
      <w:r w:rsidRPr="00374B35">
        <w:rPr>
          <w:rFonts w:asciiTheme="minorHAnsi" w:hAnsiTheme="minorHAnsi"/>
          <w:bCs/>
          <w:sz w:val="22"/>
          <w:szCs w:val="22"/>
        </w:rPr>
        <w:t>Guidelines on Preventing and Combating Fraud and Corruption in Projects Financed by IBRD Loans and IDA Credits and Grants</w:t>
      </w:r>
      <w:r>
        <w:rPr>
          <w:rFonts w:asciiTheme="minorHAnsi" w:hAnsiTheme="minorHAnsi"/>
          <w:bCs/>
          <w:sz w:val="22"/>
          <w:szCs w:val="22"/>
        </w:rPr>
        <w:t>’</w:t>
      </w:r>
      <w:r w:rsidRPr="00374B35">
        <w:rPr>
          <w:rFonts w:asciiTheme="minorHAnsi" w:hAnsiTheme="minorHAnsi"/>
          <w:bCs/>
          <w:sz w:val="22"/>
          <w:szCs w:val="22"/>
        </w:rPr>
        <w:t>, dated October 15, 2006 and revised in January 2011</w:t>
      </w:r>
      <w:r>
        <w:rPr>
          <w:rFonts w:asciiTheme="minorHAnsi" w:hAnsiTheme="minorHAnsi"/>
          <w:bCs/>
          <w:sz w:val="22"/>
          <w:szCs w:val="22"/>
        </w:rPr>
        <w:t xml:space="preserve"> and as of July 1, 2016;</w:t>
      </w:r>
      <w:r w:rsidRPr="00374B35">
        <w:rPr>
          <w:rFonts w:asciiTheme="minorHAnsi" w:hAnsiTheme="minorHAnsi"/>
          <w:bCs/>
          <w:sz w:val="22"/>
          <w:szCs w:val="22"/>
        </w:rPr>
        <w:t xml:space="preserve"> and other provisions stipulated in the Financing Agreement. All p</w:t>
      </w:r>
      <w:r w:rsidRPr="00FB6E71">
        <w:rPr>
          <w:rFonts w:asciiTheme="minorHAnsi" w:hAnsiTheme="minorHAnsi"/>
          <w:bCs/>
          <w:sz w:val="22"/>
          <w:szCs w:val="22"/>
        </w:rPr>
        <w:t>rocuring entities as well as bidders and service providers, that is, suppliers, contractors</w:t>
      </w:r>
      <w:r>
        <w:rPr>
          <w:rFonts w:asciiTheme="minorHAnsi" w:hAnsiTheme="minorHAnsi"/>
          <w:bCs/>
          <w:sz w:val="22"/>
          <w:szCs w:val="22"/>
        </w:rPr>
        <w:t>,</w:t>
      </w:r>
      <w:r w:rsidRPr="00FB6E71">
        <w:rPr>
          <w:rFonts w:asciiTheme="minorHAnsi" w:hAnsiTheme="minorHAnsi"/>
          <w:bCs/>
          <w:sz w:val="22"/>
          <w:szCs w:val="22"/>
        </w:rPr>
        <w:t xml:space="preserve"> and consultants</w:t>
      </w:r>
      <w:r>
        <w:rPr>
          <w:rFonts w:asciiTheme="minorHAnsi" w:hAnsiTheme="minorHAnsi"/>
          <w:bCs/>
          <w:sz w:val="22"/>
          <w:szCs w:val="22"/>
        </w:rPr>
        <w:t>,</w:t>
      </w:r>
      <w:r w:rsidRPr="00FB6E71">
        <w:rPr>
          <w:rFonts w:asciiTheme="minorHAnsi" w:hAnsiTheme="minorHAnsi"/>
          <w:bCs/>
          <w:sz w:val="22"/>
          <w:szCs w:val="22"/>
        </w:rPr>
        <w:t xml:space="preserve"> shall be expected to observe the highest standard of ethics during the procurement and execution of contracts financed under the project in accordance with Section I and II of the World Bank Procurement Regulations for IPF Borrowers </w:t>
      </w:r>
      <w:r>
        <w:rPr>
          <w:rFonts w:asciiTheme="minorHAnsi" w:hAnsiTheme="minorHAnsi"/>
          <w:bCs/>
          <w:sz w:val="22"/>
          <w:szCs w:val="22"/>
        </w:rPr>
        <w:t>of</w:t>
      </w:r>
      <w:r w:rsidRPr="00FB6E71">
        <w:rPr>
          <w:rFonts w:asciiTheme="minorHAnsi" w:hAnsiTheme="minorHAnsi"/>
          <w:bCs/>
          <w:sz w:val="22"/>
          <w:szCs w:val="22"/>
        </w:rPr>
        <w:t xml:space="preserve"> July 2016. The project design has provided a window for the </w:t>
      </w:r>
      <w:r>
        <w:rPr>
          <w:rFonts w:asciiTheme="minorHAnsi" w:hAnsiTheme="minorHAnsi"/>
          <w:bCs/>
          <w:sz w:val="22"/>
          <w:szCs w:val="22"/>
        </w:rPr>
        <w:t>B</w:t>
      </w:r>
      <w:r w:rsidRPr="00FB6E71">
        <w:rPr>
          <w:rFonts w:asciiTheme="minorHAnsi" w:hAnsiTheme="minorHAnsi"/>
          <w:bCs/>
          <w:sz w:val="22"/>
          <w:szCs w:val="22"/>
        </w:rPr>
        <w:t xml:space="preserve">orrower to carry out </w:t>
      </w:r>
      <w:r>
        <w:rPr>
          <w:rFonts w:asciiTheme="minorHAnsi" w:hAnsiTheme="minorHAnsi"/>
          <w:bCs/>
          <w:sz w:val="22"/>
          <w:szCs w:val="22"/>
        </w:rPr>
        <w:t>a</w:t>
      </w:r>
      <w:r w:rsidRPr="00FB6E71">
        <w:rPr>
          <w:rFonts w:asciiTheme="minorHAnsi" w:hAnsiTheme="minorHAnsi"/>
          <w:bCs/>
          <w:sz w:val="22"/>
          <w:szCs w:val="22"/>
        </w:rPr>
        <w:t xml:space="preserve">dvance </w:t>
      </w:r>
      <w:r>
        <w:rPr>
          <w:rFonts w:asciiTheme="minorHAnsi" w:hAnsiTheme="minorHAnsi"/>
          <w:bCs/>
          <w:sz w:val="22"/>
          <w:szCs w:val="22"/>
        </w:rPr>
        <w:t>c</w:t>
      </w:r>
      <w:r w:rsidRPr="00FB6E71">
        <w:rPr>
          <w:rFonts w:asciiTheme="minorHAnsi" w:hAnsiTheme="minorHAnsi"/>
          <w:bCs/>
          <w:sz w:val="22"/>
          <w:szCs w:val="22"/>
        </w:rPr>
        <w:t xml:space="preserve">ontracting and </w:t>
      </w:r>
      <w:r>
        <w:rPr>
          <w:rFonts w:asciiTheme="minorHAnsi" w:hAnsiTheme="minorHAnsi"/>
          <w:bCs/>
          <w:sz w:val="22"/>
          <w:szCs w:val="22"/>
        </w:rPr>
        <w:t>r</w:t>
      </w:r>
      <w:r w:rsidRPr="00FB6E71">
        <w:rPr>
          <w:rFonts w:asciiTheme="minorHAnsi" w:hAnsiTheme="minorHAnsi"/>
          <w:bCs/>
          <w:sz w:val="22"/>
          <w:szCs w:val="22"/>
        </w:rPr>
        <w:t xml:space="preserve">etroactive </w:t>
      </w:r>
      <w:r>
        <w:rPr>
          <w:rFonts w:asciiTheme="minorHAnsi" w:hAnsiTheme="minorHAnsi"/>
          <w:bCs/>
          <w:sz w:val="22"/>
          <w:szCs w:val="22"/>
        </w:rPr>
        <w:t>f</w:t>
      </w:r>
      <w:r w:rsidRPr="00FB6E71">
        <w:rPr>
          <w:rFonts w:asciiTheme="minorHAnsi" w:hAnsiTheme="minorHAnsi"/>
          <w:bCs/>
          <w:sz w:val="22"/>
          <w:szCs w:val="22"/>
        </w:rPr>
        <w:t>inancing in accordance with Section V (</w:t>
      </w:r>
      <w:r w:rsidRPr="00AB5199">
        <w:rPr>
          <w:rFonts w:asciiTheme="minorHAnsi" w:hAnsiTheme="minorHAnsi"/>
          <w:bCs/>
          <w:sz w:val="22"/>
          <w:szCs w:val="22"/>
        </w:rPr>
        <w:t>Paragraphs 5.1 and</w:t>
      </w:r>
      <w:r>
        <w:rPr>
          <w:rFonts w:asciiTheme="minorHAnsi" w:hAnsiTheme="minorHAnsi"/>
          <w:bCs/>
          <w:sz w:val="22"/>
          <w:szCs w:val="22"/>
        </w:rPr>
        <w:t xml:space="preserve"> </w:t>
      </w:r>
      <w:r w:rsidRPr="00FB6E71">
        <w:rPr>
          <w:rFonts w:asciiTheme="minorHAnsi" w:hAnsiTheme="minorHAnsi"/>
          <w:bCs/>
          <w:sz w:val="22"/>
          <w:szCs w:val="22"/>
        </w:rPr>
        <w:t xml:space="preserve">5.2) of the World Bank Procurement Regulations for IPF Borrowers </w:t>
      </w:r>
      <w:r>
        <w:rPr>
          <w:rFonts w:asciiTheme="minorHAnsi" w:hAnsiTheme="minorHAnsi"/>
          <w:bCs/>
          <w:sz w:val="22"/>
          <w:szCs w:val="22"/>
        </w:rPr>
        <w:t>of</w:t>
      </w:r>
      <w:r w:rsidRPr="00FB6E71">
        <w:rPr>
          <w:rFonts w:asciiTheme="minorHAnsi" w:hAnsiTheme="minorHAnsi"/>
          <w:bCs/>
          <w:sz w:val="22"/>
          <w:szCs w:val="22"/>
        </w:rPr>
        <w:t xml:space="preserve"> July 2016. The retroactive financing will be allowed up to 20 percent of the credit covering the expenditures incurred by the project with effect from September 2016 </w:t>
      </w:r>
      <w:r>
        <w:rPr>
          <w:rFonts w:asciiTheme="minorHAnsi" w:hAnsiTheme="minorHAnsi"/>
          <w:bCs/>
          <w:sz w:val="22"/>
          <w:szCs w:val="22"/>
        </w:rPr>
        <w:t>before</w:t>
      </w:r>
      <w:r w:rsidRPr="00FB6E71">
        <w:rPr>
          <w:rFonts w:asciiTheme="minorHAnsi" w:hAnsiTheme="minorHAnsi"/>
          <w:bCs/>
          <w:sz w:val="22"/>
          <w:szCs w:val="22"/>
        </w:rPr>
        <w:t xml:space="preserve"> the signing of the Credit Agreement under the activities agreed with the World Bank. </w:t>
      </w:r>
    </w:p>
    <w:p w:rsidR="007F2DE7" w:rsidRPr="00302E0C" w:rsidP="00302E0C">
      <w:pPr>
        <w:pStyle w:val="ListParagraph"/>
        <w:widowControl/>
        <w:numPr>
          <w:ilvl w:val="0"/>
          <w:numId w:val="30"/>
        </w:numPr>
        <w:spacing w:after="240"/>
        <w:ind w:left="0" w:firstLine="0"/>
        <w:contextualSpacing w:val="0"/>
        <w:jc w:val="both"/>
        <w:rPr>
          <w:rFonts w:asciiTheme="minorHAnsi" w:hAnsiTheme="minorHAnsi"/>
          <w:bCs/>
          <w:sz w:val="22"/>
          <w:szCs w:val="22"/>
        </w:rPr>
      </w:pPr>
      <w:r w:rsidRPr="003003C1">
        <w:rPr>
          <w:rFonts w:asciiTheme="minorHAnsi" w:hAnsiTheme="minorHAnsi"/>
          <w:b/>
          <w:bCs/>
          <w:sz w:val="22"/>
          <w:szCs w:val="22"/>
        </w:rPr>
        <w:t>Preparation of the PPSD.</w:t>
      </w:r>
      <w:r w:rsidRPr="00302E0C">
        <w:rPr>
          <w:rFonts w:asciiTheme="minorHAnsi" w:hAnsiTheme="minorHAnsi"/>
          <w:bCs/>
          <w:sz w:val="22"/>
          <w:szCs w:val="22"/>
        </w:rPr>
        <w:t xml:space="preserve"> </w:t>
      </w:r>
      <w:r>
        <w:rPr>
          <w:rFonts w:asciiTheme="minorHAnsi" w:hAnsiTheme="minorHAnsi"/>
          <w:bCs/>
          <w:sz w:val="22"/>
          <w:szCs w:val="22"/>
        </w:rPr>
        <w:t>A draft PPSD has been prepared and discussed between the Borrower and the World Bank prior to negotiations and will be finalized and be in place for operationalization by the Borrower before project effectiveness.</w:t>
      </w:r>
      <w:r w:rsidRPr="00FB6E71">
        <w:rPr>
          <w:rFonts w:asciiTheme="minorHAnsi" w:hAnsiTheme="minorHAnsi"/>
          <w:bCs/>
          <w:sz w:val="22"/>
          <w:szCs w:val="22"/>
        </w:rPr>
        <w:t xml:space="preserve"> </w:t>
      </w:r>
      <w:r>
        <w:rPr>
          <w:rFonts w:asciiTheme="minorHAnsi" w:hAnsiTheme="minorHAnsi"/>
          <w:bCs/>
          <w:sz w:val="22"/>
          <w:szCs w:val="22"/>
        </w:rPr>
        <w:t>The PPSD</w:t>
      </w:r>
      <w:r w:rsidRPr="00FB6E71">
        <w:rPr>
          <w:rFonts w:asciiTheme="minorHAnsi" w:hAnsiTheme="minorHAnsi"/>
          <w:bCs/>
          <w:sz w:val="22"/>
          <w:szCs w:val="22"/>
        </w:rPr>
        <w:t xml:space="preserve"> describe</w:t>
      </w:r>
      <w:r>
        <w:rPr>
          <w:rFonts w:asciiTheme="minorHAnsi" w:hAnsiTheme="minorHAnsi"/>
          <w:bCs/>
          <w:sz w:val="22"/>
          <w:szCs w:val="22"/>
        </w:rPr>
        <w:t>s</w:t>
      </w:r>
      <w:r w:rsidRPr="00FB6E71">
        <w:rPr>
          <w:rFonts w:asciiTheme="minorHAnsi" w:hAnsiTheme="minorHAnsi"/>
          <w:bCs/>
          <w:sz w:val="22"/>
          <w:szCs w:val="22"/>
        </w:rPr>
        <w:t xml:space="preserve"> how procurement activities will support project operations for the achievement of the PDOs and deliver value for money. The PPSD </w:t>
      </w:r>
      <w:r>
        <w:rPr>
          <w:rFonts w:asciiTheme="minorHAnsi" w:hAnsiTheme="minorHAnsi"/>
          <w:bCs/>
          <w:sz w:val="22"/>
          <w:szCs w:val="22"/>
        </w:rPr>
        <w:t>is</w:t>
      </w:r>
      <w:r w:rsidRPr="00FB6E71">
        <w:rPr>
          <w:rFonts w:asciiTheme="minorHAnsi" w:hAnsiTheme="minorHAnsi"/>
          <w:bCs/>
          <w:sz w:val="22"/>
          <w:szCs w:val="22"/>
        </w:rPr>
        <w:t xml:space="preserve"> linked to the overall project implementation strategy at both the country- and the state-level operations by ensuring proper sequencing of procurement activities. It also provide</w:t>
      </w:r>
      <w:r>
        <w:rPr>
          <w:rFonts w:asciiTheme="minorHAnsi" w:hAnsiTheme="minorHAnsi"/>
          <w:bCs/>
          <w:sz w:val="22"/>
          <w:szCs w:val="22"/>
        </w:rPr>
        <w:t>s</w:t>
      </w:r>
      <w:r w:rsidRPr="00FB6E71">
        <w:rPr>
          <w:rFonts w:asciiTheme="minorHAnsi" w:hAnsiTheme="minorHAnsi"/>
          <w:bCs/>
          <w:sz w:val="22"/>
          <w:szCs w:val="22"/>
        </w:rPr>
        <w:t xml:space="preserve"> information regarding: </w:t>
      </w:r>
      <w:r>
        <w:rPr>
          <w:rFonts w:asciiTheme="minorHAnsi" w:hAnsiTheme="minorHAnsi"/>
          <w:bCs/>
          <w:sz w:val="22"/>
          <w:szCs w:val="22"/>
        </w:rPr>
        <w:t>i</w:t>
      </w:r>
      <w:r w:rsidRPr="00FB6E71">
        <w:rPr>
          <w:rFonts w:asciiTheme="minorHAnsi" w:hAnsiTheme="minorHAnsi"/>
          <w:bCs/>
          <w:sz w:val="22"/>
          <w:szCs w:val="22"/>
        </w:rPr>
        <w:t xml:space="preserve">nstitutional </w:t>
      </w:r>
      <w:r>
        <w:rPr>
          <w:rFonts w:asciiTheme="minorHAnsi" w:hAnsiTheme="minorHAnsi"/>
          <w:bCs/>
          <w:sz w:val="22"/>
          <w:szCs w:val="22"/>
        </w:rPr>
        <w:t>a</w:t>
      </w:r>
      <w:r w:rsidRPr="00FB6E71">
        <w:rPr>
          <w:rFonts w:asciiTheme="minorHAnsi" w:hAnsiTheme="minorHAnsi"/>
          <w:bCs/>
          <w:sz w:val="22"/>
          <w:szCs w:val="22"/>
        </w:rPr>
        <w:t xml:space="preserve">rrangements for </w:t>
      </w:r>
      <w:r>
        <w:rPr>
          <w:rFonts w:asciiTheme="minorHAnsi" w:hAnsiTheme="minorHAnsi"/>
          <w:bCs/>
          <w:sz w:val="22"/>
          <w:szCs w:val="22"/>
        </w:rPr>
        <w:t>p</w:t>
      </w:r>
      <w:r w:rsidRPr="00FB6E71">
        <w:rPr>
          <w:rFonts w:asciiTheme="minorHAnsi" w:hAnsiTheme="minorHAnsi"/>
          <w:bCs/>
          <w:sz w:val="22"/>
          <w:szCs w:val="22"/>
        </w:rPr>
        <w:t xml:space="preserve">rocurement; roles and responsibilities; thresholds, </w:t>
      </w:r>
      <w:r>
        <w:rPr>
          <w:rFonts w:asciiTheme="minorHAnsi" w:hAnsiTheme="minorHAnsi"/>
          <w:bCs/>
          <w:sz w:val="22"/>
          <w:szCs w:val="22"/>
        </w:rPr>
        <w:t>p</w:t>
      </w:r>
      <w:r w:rsidRPr="00FB6E71">
        <w:rPr>
          <w:rFonts w:asciiTheme="minorHAnsi" w:hAnsiTheme="minorHAnsi"/>
          <w:bCs/>
          <w:sz w:val="22"/>
          <w:szCs w:val="22"/>
        </w:rPr>
        <w:t xml:space="preserve">rocurement </w:t>
      </w:r>
      <w:r>
        <w:rPr>
          <w:rFonts w:asciiTheme="minorHAnsi" w:hAnsiTheme="minorHAnsi"/>
          <w:bCs/>
          <w:sz w:val="22"/>
          <w:szCs w:val="22"/>
        </w:rPr>
        <w:t>m</w:t>
      </w:r>
      <w:r w:rsidRPr="00FB6E71">
        <w:rPr>
          <w:rFonts w:asciiTheme="minorHAnsi" w:hAnsiTheme="minorHAnsi"/>
          <w:bCs/>
          <w:sz w:val="22"/>
          <w:szCs w:val="22"/>
        </w:rPr>
        <w:t xml:space="preserve">ethods, </w:t>
      </w:r>
      <w:r>
        <w:rPr>
          <w:rFonts w:asciiTheme="minorHAnsi" w:hAnsiTheme="minorHAnsi"/>
          <w:bCs/>
          <w:sz w:val="22"/>
          <w:szCs w:val="22"/>
        </w:rPr>
        <w:t>and p</w:t>
      </w:r>
      <w:r w:rsidRPr="00FB6E71">
        <w:rPr>
          <w:rFonts w:asciiTheme="minorHAnsi" w:hAnsiTheme="minorHAnsi"/>
          <w:bCs/>
          <w:sz w:val="22"/>
          <w:szCs w:val="22"/>
        </w:rPr>
        <w:t xml:space="preserve">rior </w:t>
      </w:r>
      <w:r>
        <w:rPr>
          <w:rFonts w:asciiTheme="minorHAnsi" w:hAnsiTheme="minorHAnsi"/>
          <w:bCs/>
          <w:sz w:val="22"/>
          <w:szCs w:val="22"/>
        </w:rPr>
        <w:t>r</w:t>
      </w:r>
      <w:r w:rsidRPr="00FB6E71">
        <w:rPr>
          <w:rFonts w:asciiTheme="minorHAnsi" w:hAnsiTheme="minorHAnsi"/>
          <w:bCs/>
          <w:sz w:val="22"/>
          <w:szCs w:val="22"/>
        </w:rPr>
        <w:t>eviews</w:t>
      </w:r>
      <w:r>
        <w:rPr>
          <w:rFonts w:asciiTheme="minorHAnsi" w:hAnsiTheme="minorHAnsi"/>
          <w:bCs/>
          <w:sz w:val="22"/>
          <w:szCs w:val="22"/>
        </w:rPr>
        <w:t>;</w:t>
      </w:r>
      <w:r w:rsidRPr="00FB6E71">
        <w:rPr>
          <w:rFonts w:asciiTheme="minorHAnsi" w:hAnsiTheme="minorHAnsi"/>
          <w:bCs/>
          <w:sz w:val="22"/>
          <w:szCs w:val="22"/>
        </w:rPr>
        <w:t xml:space="preserve"> and other requirements needed for carrying out procurement shall be elaborated in detail in the strategy. The PPSD also include</w:t>
      </w:r>
      <w:r>
        <w:rPr>
          <w:rFonts w:asciiTheme="minorHAnsi" w:hAnsiTheme="minorHAnsi"/>
          <w:bCs/>
          <w:sz w:val="22"/>
          <w:szCs w:val="22"/>
        </w:rPr>
        <w:t>s</w:t>
      </w:r>
      <w:r w:rsidRPr="00FB6E71">
        <w:rPr>
          <w:rFonts w:asciiTheme="minorHAnsi" w:hAnsiTheme="minorHAnsi"/>
          <w:bCs/>
          <w:sz w:val="22"/>
          <w:szCs w:val="22"/>
        </w:rPr>
        <w:t xml:space="preserve"> </w:t>
      </w:r>
      <w:r>
        <w:rPr>
          <w:rFonts w:asciiTheme="minorHAnsi" w:hAnsiTheme="minorHAnsi"/>
          <w:bCs/>
          <w:sz w:val="22"/>
          <w:szCs w:val="22"/>
        </w:rPr>
        <w:t xml:space="preserve">a </w:t>
      </w:r>
      <w:r w:rsidRPr="00FB6E71">
        <w:rPr>
          <w:rFonts w:asciiTheme="minorHAnsi" w:hAnsiTheme="minorHAnsi"/>
          <w:bCs/>
          <w:sz w:val="22"/>
          <w:szCs w:val="22"/>
        </w:rPr>
        <w:t>detail</w:t>
      </w:r>
      <w:r>
        <w:rPr>
          <w:rFonts w:asciiTheme="minorHAnsi" w:hAnsiTheme="minorHAnsi"/>
          <w:bCs/>
          <w:sz w:val="22"/>
          <w:szCs w:val="22"/>
        </w:rPr>
        <w:t>ed</w:t>
      </w:r>
      <w:r w:rsidRPr="00FB6E71">
        <w:rPr>
          <w:rFonts w:asciiTheme="minorHAnsi" w:hAnsiTheme="minorHAnsi"/>
          <w:bCs/>
          <w:sz w:val="22"/>
          <w:szCs w:val="22"/>
        </w:rPr>
        <w:t xml:space="preserve"> description of </w:t>
      </w:r>
      <w:r>
        <w:rPr>
          <w:rFonts w:asciiTheme="minorHAnsi" w:hAnsiTheme="minorHAnsi"/>
          <w:bCs/>
          <w:sz w:val="22"/>
          <w:szCs w:val="22"/>
        </w:rPr>
        <w:t xml:space="preserve">the </w:t>
      </w:r>
      <w:r w:rsidRPr="00FB6E71">
        <w:rPr>
          <w:rFonts w:asciiTheme="minorHAnsi" w:hAnsiTheme="minorHAnsi"/>
          <w:bCs/>
          <w:sz w:val="22"/>
          <w:szCs w:val="22"/>
        </w:rPr>
        <w:t>procurement capacity needed by the executing agencies/sectors for carrying procurement with specific focus on managing contract implementation, governance structure</w:t>
      </w:r>
      <w:r>
        <w:rPr>
          <w:rFonts w:asciiTheme="minorHAnsi" w:hAnsiTheme="minorHAnsi"/>
          <w:bCs/>
          <w:sz w:val="22"/>
          <w:szCs w:val="22"/>
        </w:rPr>
        <w:t>,</w:t>
      </w:r>
      <w:r w:rsidRPr="00FB6E71">
        <w:rPr>
          <w:rFonts w:asciiTheme="minorHAnsi" w:hAnsiTheme="minorHAnsi"/>
          <w:bCs/>
          <w:sz w:val="22"/>
          <w:szCs w:val="22"/>
        </w:rPr>
        <w:t xml:space="preserve"> and </w:t>
      </w:r>
      <w:r>
        <w:rPr>
          <w:rFonts w:asciiTheme="minorHAnsi" w:hAnsiTheme="minorHAnsi"/>
          <w:bCs/>
          <w:sz w:val="22"/>
          <w:szCs w:val="22"/>
        </w:rPr>
        <w:t>a</w:t>
      </w:r>
      <w:r w:rsidRPr="00FB6E71">
        <w:rPr>
          <w:rFonts w:asciiTheme="minorHAnsi" w:hAnsiTheme="minorHAnsi"/>
          <w:bCs/>
          <w:sz w:val="22"/>
          <w:szCs w:val="22"/>
        </w:rPr>
        <w:t xml:space="preserve">ccountability framework. Other aspects to be captured are behavior and capabilities of the market (that is, </w:t>
      </w:r>
      <w:r>
        <w:rPr>
          <w:rFonts w:asciiTheme="minorHAnsi" w:hAnsiTheme="minorHAnsi"/>
          <w:bCs/>
          <w:sz w:val="22"/>
          <w:szCs w:val="22"/>
        </w:rPr>
        <w:t>m</w:t>
      </w:r>
      <w:r w:rsidRPr="00FB6E71">
        <w:rPr>
          <w:rFonts w:asciiTheme="minorHAnsi" w:hAnsiTheme="minorHAnsi"/>
          <w:bCs/>
          <w:sz w:val="22"/>
          <w:szCs w:val="22"/>
        </w:rPr>
        <w:t xml:space="preserve">arket analysis or sounding) to respond to the PP. The MCRP activities will require strong technical capability by </w:t>
      </w:r>
      <w:r>
        <w:rPr>
          <w:rFonts w:asciiTheme="minorHAnsi" w:hAnsiTheme="minorHAnsi"/>
          <w:bCs/>
          <w:sz w:val="22"/>
          <w:szCs w:val="22"/>
        </w:rPr>
        <w:t xml:space="preserve">the </w:t>
      </w:r>
      <w:r w:rsidRPr="00FB6E71">
        <w:rPr>
          <w:rFonts w:asciiTheme="minorHAnsi" w:hAnsiTheme="minorHAnsi"/>
          <w:bCs/>
          <w:sz w:val="22"/>
          <w:szCs w:val="22"/>
        </w:rPr>
        <w:t>executing agencies for the preparation of proper technical specifications to avert lack</w:t>
      </w:r>
      <w:r>
        <w:rPr>
          <w:rFonts w:asciiTheme="minorHAnsi" w:hAnsiTheme="minorHAnsi"/>
          <w:bCs/>
          <w:sz w:val="22"/>
          <w:szCs w:val="22"/>
        </w:rPr>
        <w:t xml:space="preserve"> of</w:t>
      </w:r>
      <w:r w:rsidRPr="00FB6E71">
        <w:rPr>
          <w:rFonts w:asciiTheme="minorHAnsi" w:hAnsiTheme="minorHAnsi"/>
          <w:bCs/>
          <w:sz w:val="22"/>
          <w:szCs w:val="22"/>
        </w:rPr>
        <w:t xml:space="preserve"> or inadequate market response. </w:t>
      </w:r>
      <w:r>
        <w:rPr>
          <w:rFonts w:asciiTheme="minorHAnsi" w:hAnsiTheme="minorHAnsi"/>
          <w:bCs/>
          <w:sz w:val="22"/>
          <w:szCs w:val="22"/>
        </w:rPr>
        <w:t>T</w:t>
      </w:r>
      <w:r w:rsidRPr="00FB6E71">
        <w:rPr>
          <w:rFonts w:asciiTheme="minorHAnsi" w:hAnsiTheme="minorHAnsi"/>
          <w:bCs/>
          <w:sz w:val="22"/>
          <w:szCs w:val="22"/>
        </w:rPr>
        <w:t xml:space="preserve">he capacity or a plan to enhance the capability of the client will be </w:t>
      </w:r>
      <w:r>
        <w:rPr>
          <w:rFonts w:asciiTheme="minorHAnsi" w:hAnsiTheme="minorHAnsi"/>
          <w:bCs/>
          <w:sz w:val="22"/>
          <w:szCs w:val="22"/>
        </w:rPr>
        <w:t xml:space="preserve">further </w:t>
      </w:r>
      <w:r w:rsidRPr="00FB6E71">
        <w:rPr>
          <w:rFonts w:asciiTheme="minorHAnsi" w:hAnsiTheme="minorHAnsi"/>
          <w:bCs/>
          <w:sz w:val="22"/>
          <w:szCs w:val="22"/>
        </w:rPr>
        <w:t xml:space="preserve">described in the </w:t>
      </w:r>
      <w:r>
        <w:rPr>
          <w:rFonts w:asciiTheme="minorHAnsi" w:hAnsiTheme="minorHAnsi"/>
          <w:bCs/>
          <w:sz w:val="22"/>
          <w:szCs w:val="22"/>
        </w:rPr>
        <w:t>final PPSD</w:t>
      </w:r>
      <w:r w:rsidRPr="00FB6E71">
        <w:rPr>
          <w:rFonts w:asciiTheme="minorHAnsi" w:hAnsiTheme="minorHAnsi"/>
          <w:bCs/>
          <w:sz w:val="22"/>
          <w:szCs w:val="22"/>
        </w:rPr>
        <w:t>. Also, special arrangements like direct contracting</w:t>
      </w:r>
      <w:r>
        <w:rPr>
          <w:rFonts w:asciiTheme="minorHAnsi" w:hAnsiTheme="minorHAnsi"/>
          <w:bCs/>
          <w:sz w:val="22"/>
          <w:szCs w:val="22"/>
        </w:rPr>
        <w:t>;</w:t>
      </w:r>
      <w:r w:rsidRPr="00FB6E71">
        <w:rPr>
          <w:rFonts w:asciiTheme="minorHAnsi" w:hAnsiTheme="minorHAnsi"/>
          <w:bCs/>
          <w:sz w:val="22"/>
          <w:szCs w:val="22"/>
        </w:rPr>
        <w:t xml:space="preserve"> </w:t>
      </w:r>
      <w:r>
        <w:rPr>
          <w:rFonts w:asciiTheme="minorHAnsi" w:hAnsiTheme="minorHAnsi"/>
          <w:bCs/>
          <w:sz w:val="22"/>
          <w:szCs w:val="22"/>
        </w:rPr>
        <w:t xml:space="preserve">the </w:t>
      </w:r>
      <w:r w:rsidRPr="00FB6E71">
        <w:rPr>
          <w:rFonts w:asciiTheme="minorHAnsi" w:hAnsiTheme="minorHAnsi"/>
          <w:bCs/>
          <w:sz w:val="22"/>
          <w:szCs w:val="22"/>
        </w:rPr>
        <w:t xml:space="preserve">use of SOEs, UN Agencies, third-party monitors, local NGOs, </w:t>
      </w:r>
      <w:r>
        <w:rPr>
          <w:rFonts w:asciiTheme="minorHAnsi" w:hAnsiTheme="minorHAnsi"/>
          <w:bCs/>
          <w:sz w:val="22"/>
          <w:szCs w:val="22"/>
        </w:rPr>
        <w:t>and f</w:t>
      </w:r>
      <w:r w:rsidRPr="00FB6E71">
        <w:rPr>
          <w:rFonts w:asciiTheme="minorHAnsi" w:hAnsiTheme="minorHAnsi"/>
          <w:bCs/>
          <w:sz w:val="22"/>
          <w:szCs w:val="22"/>
        </w:rPr>
        <w:t xml:space="preserve">orce </w:t>
      </w:r>
      <w:r>
        <w:rPr>
          <w:rFonts w:asciiTheme="minorHAnsi" w:hAnsiTheme="minorHAnsi"/>
          <w:bCs/>
          <w:sz w:val="22"/>
          <w:szCs w:val="22"/>
        </w:rPr>
        <w:t>a</w:t>
      </w:r>
      <w:r w:rsidRPr="00FB6E71">
        <w:rPr>
          <w:rFonts w:asciiTheme="minorHAnsi" w:hAnsiTheme="minorHAnsi"/>
          <w:bCs/>
          <w:sz w:val="22"/>
          <w:szCs w:val="22"/>
        </w:rPr>
        <w:t>ccount</w:t>
      </w:r>
      <w:r>
        <w:rPr>
          <w:rFonts w:asciiTheme="minorHAnsi" w:hAnsiTheme="minorHAnsi"/>
          <w:bCs/>
          <w:sz w:val="22"/>
          <w:szCs w:val="22"/>
        </w:rPr>
        <w:t>;</w:t>
      </w:r>
      <w:r w:rsidRPr="00FB6E71">
        <w:rPr>
          <w:rFonts w:asciiTheme="minorHAnsi" w:hAnsiTheme="minorHAnsi"/>
          <w:bCs/>
          <w:sz w:val="22"/>
          <w:szCs w:val="22"/>
        </w:rPr>
        <w:t xml:space="preserve"> or civil servants needs, results-based arrangements, </w:t>
      </w:r>
      <w:r>
        <w:rPr>
          <w:rFonts w:asciiTheme="minorHAnsi" w:hAnsiTheme="minorHAnsi"/>
          <w:bCs/>
          <w:sz w:val="22"/>
          <w:szCs w:val="22"/>
        </w:rPr>
        <w:t xml:space="preserve">and </w:t>
      </w:r>
      <w:r w:rsidRPr="00FB6E71">
        <w:rPr>
          <w:rFonts w:asciiTheme="minorHAnsi" w:hAnsiTheme="minorHAnsi"/>
          <w:bCs/>
          <w:sz w:val="22"/>
          <w:szCs w:val="22"/>
        </w:rPr>
        <w:t>need for prequalification, if any, will be described</w:t>
      </w:r>
      <w:r>
        <w:rPr>
          <w:rFonts w:asciiTheme="minorHAnsi" w:hAnsiTheme="minorHAnsi"/>
          <w:bCs/>
          <w:sz w:val="22"/>
          <w:szCs w:val="22"/>
        </w:rPr>
        <w:t xml:space="preserve"> in the final PPSD</w:t>
      </w:r>
      <w:r w:rsidRPr="00FB6E71">
        <w:rPr>
          <w:rFonts w:asciiTheme="minorHAnsi" w:hAnsiTheme="minorHAnsi"/>
          <w:bCs/>
          <w:sz w:val="22"/>
          <w:szCs w:val="22"/>
        </w:rPr>
        <w:t xml:space="preserve">. The </w:t>
      </w:r>
      <w:r>
        <w:rPr>
          <w:rFonts w:asciiTheme="minorHAnsi" w:hAnsiTheme="minorHAnsi"/>
          <w:bCs/>
          <w:sz w:val="22"/>
          <w:szCs w:val="22"/>
        </w:rPr>
        <w:t>final PPSD</w:t>
      </w:r>
      <w:r w:rsidRPr="00FB6E71">
        <w:rPr>
          <w:rFonts w:asciiTheme="minorHAnsi" w:hAnsiTheme="minorHAnsi"/>
          <w:bCs/>
          <w:sz w:val="22"/>
          <w:szCs w:val="22"/>
        </w:rPr>
        <w:t xml:space="preserve"> will also include a summary on </w:t>
      </w:r>
      <w:r>
        <w:rPr>
          <w:rFonts w:asciiTheme="minorHAnsi" w:hAnsiTheme="minorHAnsi"/>
          <w:bCs/>
          <w:sz w:val="22"/>
          <w:szCs w:val="22"/>
        </w:rPr>
        <w:t>p</w:t>
      </w:r>
      <w:r w:rsidRPr="00FB6E71">
        <w:rPr>
          <w:rFonts w:asciiTheme="minorHAnsi" w:hAnsiTheme="minorHAnsi"/>
          <w:bCs/>
          <w:sz w:val="22"/>
          <w:szCs w:val="22"/>
        </w:rPr>
        <w:t xml:space="preserve">rocurement </w:t>
      </w:r>
      <w:r>
        <w:rPr>
          <w:rFonts w:asciiTheme="minorHAnsi" w:hAnsiTheme="minorHAnsi"/>
          <w:bCs/>
          <w:sz w:val="22"/>
          <w:szCs w:val="22"/>
        </w:rPr>
        <w:t>r</w:t>
      </w:r>
      <w:r w:rsidRPr="00FB6E71">
        <w:rPr>
          <w:rFonts w:asciiTheme="minorHAnsi" w:hAnsiTheme="minorHAnsi"/>
          <w:bCs/>
          <w:sz w:val="22"/>
          <w:szCs w:val="22"/>
        </w:rPr>
        <w:t xml:space="preserve">isk, </w:t>
      </w:r>
      <w:r>
        <w:rPr>
          <w:rFonts w:asciiTheme="minorHAnsi" w:hAnsiTheme="minorHAnsi"/>
          <w:bCs/>
          <w:sz w:val="22"/>
          <w:szCs w:val="22"/>
        </w:rPr>
        <w:t>m</w:t>
      </w:r>
      <w:r w:rsidRPr="00FB6E71">
        <w:rPr>
          <w:rFonts w:asciiTheme="minorHAnsi" w:hAnsiTheme="minorHAnsi"/>
          <w:bCs/>
          <w:sz w:val="22"/>
          <w:szCs w:val="22"/>
        </w:rPr>
        <w:t xml:space="preserve">itigation </w:t>
      </w:r>
      <w:r>
        <w:rPr>
          <w:rFonts w:asciiTheme="minorHAnsi" w:hAnsiTheme="minorHAnsi"/>
          <w:bCs/>
          <w:sz w:val="22"/>
          <w:szCs w:val="22"/>
        </w:rPr>
        <w:t>a</w:t>
      </w:r>
      <w:r w:rsidRPr="00FB6E71">
        <w:rPr>
          <w:rFonts w:asciiTheme="minorHAnsi" w:hAnsiTheme="minorHAnsi"/>
          <w:bCs/>
          <w:sz w:val="22"/>
          <w:szCs w:val="22"/>
        </w:rPr>
        <w:t xml:space="preserve">ction </w:t>
      </w:r>
      <w:r>
        <w:rPr>
          <w:rFonts w:asciiTheme="minorHAnsi" w:hAnsiTheme="minorHAnsi"/>
          <w:bCs/>
          <w:sz w:val="22"/>
          <w:szCs w:val="22"/>
        </w:rPr>
        <w:t>p</w:t>
      </w:r>
      <w:r w:rsidRPr="00FB6E71">
        <w:rPr>
          <w:rFonts w:asciiTheme="minorHAnsi" w:hAnsiTheme="minorHAnsi"/>
          <w:bCs/>
          <w:sz w:val="22"/>
          <w:szCs w:val="22"/>
        </w:rPr>
        <w:t xml:space="preserve">lan, </w:t>
      </w:r>
      <w:r>
        <w:rPr>
          <w:rFonts w:asciiTheme="minorHAnsi" w:hAnsiTheme="minorHAnsi"/>
          <w:bCs/>
          <w:sz w:val="22"/>
          <w:szCs w:val="22"/>
        </w:rPr>
        <w:t>and p</w:t>
      </w:r>
      <w:r w:rsidRPr="00FB6E71">
        <w:rPr>
          <w:rFonts w:asciiTheme="minorHAnsi" w:hAnsiTheme="minorHAnsi"/>
          <w:bCs/>
          <w:sz w:val="22"/>
          <w:szCs w:val="22"/>
        </w:rPr>
        <w:t xml:space="preserve">rocurement </w:t>
      </w:r>
      <w:r>
        <w:rPr>
          <w:rFonts w:asciiTheme="minorHAnsi" w:hAnsiTheme="minorHAnsi"/>
          <w:bCs/>
          <w:sz w:val="22"/>
          <w:szCs w:val="22"/>
        </w:rPr>
        <w:t>i</w:t>
      </w:r>
      <w:r w:rsidRPr="00FB6E71">
        <w:rPr>
          <w:rFonts w:asciiTheme="minorHAnsi" w:hAnsiTheme="minorHAnsi"/>
          <w:bCs/>
          <w:sz w:val="22"/>
          <w:szCs w:val="22"/>
        </w:rPr>
        <w:t xml:space="preserve">mplementation </w:t>
      </w:r>
      <w:r>
        <w:rPr>
          <w:rFonts w:asciiTheme="minorHAnsi" w:hAnsiTheme="minorHAnsi"/>
          <w:bCs/>
          <w:sz w:val="22"/>
          <w:szCs w:val="22"/>
        </w:rPr>
        <w:t>s</w:t>
      </w:r>
      <w:r w:rsidRPr="00FB6E71">
        <w:rPr>
          <w:rFonts w:asciiTheme="minorHAnsi" w:hAnsiTheme="minorHAnsi"/>
          <w:bCs/>
          <w:sz w:val="22"/>
          <w:szCs w:val="22"/>
        </w:rPr>
        <w:t xml:space="preserve">upport and </w:t>
      </w:r>
      <w:r>
        <w:rPr>
          <w:rFonts w:asciiTheme="minorHAnsi" w:hAnsiTheme="minorHAnsi"/>
          <w:bCs/>
          <w:sz w:val="22"/>
          <w:szCs w:val="22"/>
        </w:rPr>
        <w:t>s</w:t>
      </w:r>
      <w:r w:rsidRPr="00FB6E71">
        <w:rPr>
          <w:rFonts w:asciiTheme="minorHAnsi" w:hAnsiTheme="minorHAnsi"/>
          <w:bCs/>
          <w:sz w:val="22"/>
          <w:szCs w:val="22"/>
        </w:rPr>
        <w:t xml:space="preserve">upervision plan.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sz w:val="22"/>
          <w:szCs w:val="22"/>
        </w:rPr>
        <w:t xml:space="preserve">The key features of </w:t>
      </w:r>
      <w:r>
        <w:rPr>
          <w:rFonts w:asciiTheme="minorHAnsi" w:hAnsiTheme="minorHAnsi"/>
          <w:bCs/>
          <w:sz w:val="22"/>
          <w:szCs w:val="22"/>
        </w:rPr>
        <w:t xml:space="preserve">the </w:t>
      </w:r>
      <w:r w:rsidRPr="00FB6E71">
        <w:rPr>
          <w:rFonts w:asciiTheme="minorHAnsi" w:hAnsiTheme="minorHAnsi"/>
          <w:bCs/>
          <w:sz w:val="22"/>
          <w:szCs w:val="22"/>
        </w:rPr>
        <w:t>New Procurement Framework that have been triggered and included in the MCRP PPSD</w:t>
      </w:r>
      <w:r>
        <w:rPr>
          <w:rFonts w:asciiTheme="minorHAnsi" w:hAnsiTheme="minorHAnsi"/>
          <w:bCs/>
          <w:sz w:val="22"/>
          <w:szCs w:val="22"/>
        </w:rPr>
        <w:t xml:space="preserve"> are</w:t>
      </w:r>
      <w:r w:rsidRPr="00FB6E71">
        <w:rPr>
          <w:rFonts w:asciiTheme="minorHAnsi" w:hAnsiTheme="minorHAnsi"/>
          <w:bCs/>
          <w:sz w:val="22"/>
          <w:szCs w:val="22"/>
        </w:rPr>
        <w:t xml:space="preserve"> </w:t>
      </w:r>
      <w:r>
        <w:rPr>
          <w:rFonts w:asciiTheme="minorHAnsi" w:hAnsiTheme="minorHAnsi"/>
          <w:bCs/>
          <w:sz w:val="22"/>
          <w:szCs w:val="22"/>
        </w:rPr>
        <w:t>a</w:t>
      </w:r>
      <w:r w:rsidRPr="00FB6E71">
        <w:rPr>
          <w:rFonts w:asciiTheme="minorHAnsi" w:hAnsiTheme="minorHAnsi"/>
          <w:bCs/>
          <w:sz w:val="22"/>
          <w:szCs w:val="22"/>
        </w:rPr>
        <w:t xml:space="preserve">dvance </w:t>
      </w:r>
      <w:r>
        <w:rPr>
          <w:rFonts w:asciiTheme="minorHAnsi" w:hAnsiTheme="minorHAnsi"/>
          <w:bCs/>
          <w:sz w:val="22"/>
          <w:szCs w:val="22"/>
        </w:rPr>
        <w:t>c</w:t>
      </w:r>
      <w:r w:rsidRPr="00FB6E71">
        <w:rPr>
          <w:rFonts w:asciiTheme="minorHAnsi" w:hAnsiTheme="minorHAnsi"/>
          <w:bCs/>
          <w:sz w:val="22"/>
          <w:szCs w:val="22"/>
        </w:rPr>
        <w:t xml:space="preserve">ontracting and </w:t>
      </w:r>
      <w:r>
        <w:rPr>
          <w:rFonts w:asciiTheme="minorHAnsi" w:hAnsiTheme="minorHAnsi"/>
          <w:bCs/>
          <w:sz w:val="22"/>
          <w:szCs w:val="22"/>
        </w:rPr>
        <w:t>r</w:t>
      </w:r>
      <w:r w:rsidRPr="00FB6E71">
        <w:rPr>
          <w:rFonts w:asciiTheme="minorHAnsi" w:hAnsiTheme="minorHAnsi"/>
          <w:bCs/>
          <w:sz w:val="22"/>
          <w:szCs w:val="22"/>
        </w:rPr>
        <w:t xml:space="preserve">etroactive </w:t>
      </w:r>
      <w:r>
        <w:rPr>
          <w:rFonts w:asciiTheme="minorHAnsi" w:hAnsiTheme="minorHAnsi"/>
          <w:bCs/>
          <w:sz w:val="22"/>
          <w:szCs w:val="22"/>
        </w:rPr>
        <w:t>f</w:t>
      </w:r>
      <w:r w:rsidRPr="00FB6E71">
        <w:rPr>
          <w:rFonts w:asciiTheme="minorHAnsi" w:hAnsiTheme="minorHAnsi"/>
          <w:bCs/>
          <w:sz w:val="22"/>
          <w:szCs w:val="22"/>
        </w:rPr>
        <w:t xml:space="preserve">inancing; </w:t>
      </w:r>
      <w:r>
        <w:rPr>
          <w:rFonts w:asciiTheme="minorHAnsi" w:hAnsiTheme="minorHAnsi"/>
          <w:bCs/>
          <w:sz w:val="22"/>
          <w:szCs w:val="22"/>
        </w:rPr>
        <w:t>n</w:t>
      </w:r>
      <w:r w:rsidRPr="00FB6E71">
        <w:rPr>
          <w:rFonts w:asciiTheme="minorHAnsi" w:hAnsiTheme="minorHAnsi"/>
          <w:bCs/>
          <w:sz w:val="22"/>
          <w:szCs w:val="22"/>
        </w:rPr>
        <w:t xml:space="preserve">ational </w:t>
      </w:r>
      <w:r>
        <w:rPr>
          <w:rFonts w:asciiTheme="minorHAnsi" w:hAnsiTheme="minorHAnsi"/>
          <w:bCs/>
          <w:sz w:val="22"/>
          <w:szCs w:val="22"/>
        </w:rPr>
        <w:t>p</w:t>
      </w:r>
      <w:r w:rsidRPr="00FB6E71">
        <w:rPr>
          <w:rFonts w:asciiTheme="minorHAnsi" w:hAnsiTheme="minorHAnsi"/>
          <w:bCs/>
          <w:sz w:val="22"/>
          <w:szCs w:val="22"/>
        </w:rPr>
        <w:t xml:space="preserve">rocurement </w:t>
      </w:r>
      <w:r>
        <w:rPr>
          <w:rFonts w:asciiTheme="minorHAnsi" w:hAnsiTheme="minorHAnsi"/>
          <w:bCs/>
          <w:sz w:val="22"/>
          <w:szCs w:val="22"/>
        </w:rPr>
        <w:t>p</w:t>
      </w:r>
      <w:r w:rsidRPr="00FB6E71">
        <w:rPr>
          <w:rFonts w:asciiTheme="minorHAnsi" w:hAnsiTheme="minorHAnsi"/>
          <w:bCs/>
          <w:sz w:val="22"/>
          <w:szCs w:val="22"/>
        </w:rPr>
        <w:t xml:space="preserve">rocedures; </w:t>
      </w:r>
      <w:r>
        <w:rPr>
          <w:rFonts w:asciiTheme="minorHAnsi" w:hAnsiTheme="minorHAnsi"/>
          <w:bCs/>
          <w:sz w:val="22"/>
          <w:szCs w:val="22"/>
        </w:rPr>
        <w:t>f</w:t>
      </w:r>
      <w:r w:rsidRPr="00FB6E71">
        <w:rPr>
          <w:rFonts w:asciiTheme="minorHAnsi" w:hAnsiTheme="minorHAnsi"/>
          <w:bCs/>
          <w:sz w:val="22"/>
          <w:szCs w:val="22"/>
        </w:rPr>
        <w:t xml:space="preserve">ragility, </w:t>
      </w:r>
      <w:r>
        <w:rPr>
          <w:rFonts w:asciiTheme="minorHAnsi" w:hAnsiTheme="minorHAnsi"/>
          <w:bCs/>
          <w:sz w:val="22"/>
          <w:szCs w:val="22"/>
        </w:rPr>
        <w:t>c</w:t>
      </w:r>
      <w:r w:rsidRPr="00FB6E71">
        <w:rPr>
          <w:rFonts w:asciiTheme="minorHAnsi" w:hAnsiTheme="minorHAnsi"/>
          <w:bCs/>
          <w:sz w:val="22"/>
          <w:szCs w:val="22"/>
        </w:rPr>
        <w:t xml:space="preserve">onflict, and </w:t>
      </w:r>
      <w:r>
        <w:rPr>
          <w:rFonts w:asciiTheme="minorHAnsi" w:hAnsiTheme="minorHAnsi"/>
          <w:bCs/>
          <w:sz w:val="22"/>
          <w:szCs w:val="22"/>
        </w:rPr>
        <w:t>v</w:t>
      </w:r>
      <w:r w:rsidRPr="00FB6E71">
        <w:rPr>
          <w:rFonts w:asciiTheme="minorHAnsi" w:hAnsiTheme="minorHAnsi"/>
          <w:bCs/>
          <w:sz w:val="22"/>
          <w:szCs w:val="22"/>
        </w:rPr>
        <w:t>iolence/</w:t>
      </w:r>
      <w:r>
        <w:rPr>
          <w:rFonts w:asciiTheme="minorHAnsi" w:hAnsiTheme="minorHAnsi"/>
          <w:bCs/>
          <w:sz w:val="22"/>
          <w:szCs w:val="22"/>
        </w:rPr>
        <w:t>e</w:t>
      </w:r>
      <w:r w:rsidRPr="00FB6E71">
        <w:rPr>
          <w:rFonts w:asciiTheme="minorHAnsi" w:hAnsiTheme="minorHAnsi"/>
          <w:bCs/>
          <w:sz w:val="22"/>
          <w:szCs w:val="22"/>
        </w:rPr>
        <w:t xml:space="preserve">mergency </w:t>
      </w:r>
      <w:r>
        <w:rPr>
          <w:rFonts w:asciiTheme="minorHAnsi" w:hAnsiTheme="minorHAnsi"/>
          <w:bCs/>
          <w:sz w:val="22"/>
          <w:szCs w:val="22"/>
        </w:rPr>
        <w:t>s</w:t>
      </w:r>
      <w:r w:rsidRPr="00FB6E71">
        <w:rPr>
          <w:rFonts w:asciiTheme="minorHAnsi" w:hAnsiTheme="minorHAnsi"/>
          <w:bCs/>
          <w:sz w:val="22"/>
          <w:szCs w:val="22"/>
        </w:rPr>
        <w:t xml:space="preserve">ituations; </w:t>
      </w:r>
      <w:r>
        <w:rPr>
          <w:rFonts w:asciiTheme="minorHAnsi" w:hAnsiTheme="minorHAnsi"/>
          <w:bCs/>
          <w:sz w:val="22"/>
          <w:szCs w:val="22"/>
        </w:rPr>
        <w:t>c</w:t>
      </w:r>
      <w:r w:rsidRPr="00FB6E71">
        <w:rPr>
          <w:rFonts w:asciiTheme="minorHAnsi" w:hAnsiTheme="minorHAnsi"/>
          <w:bCs/>
          <w:sz w:val="22"/>
          <w:szCs w:val="22"/>
        </w:rPr>
        <w:t xml:space="preserve">ontract </w:t>
      </w:r>
      <w:r>
        <w:rPr>
          <w:rFonts w:asciiTheme="minorHAnsi" w:hAnsiTheme="minorHAnsi"/>
          <w:bCs/>
          <w:sz w:val="22"/>
          <w:szCs w:val="22"/>
        </w:rPr>
        <w:t>m</w:t>
      </w:r>
      <w:r w:rsidRPr="00FB6E71">
        <w:rPr>
          <w:rFonts w:asciiTheme="minorHAnsi" w:hAnsiTheme="minorHAnsi"/>
          <w:bCs/>
          <w:sz w:val="22"/>
          <w:szCs w:val="22"/>
        </w:rPr>
        <w:t xml:space="preserve">anagement; use of UN Agencies; </w:t>
      </w:r>
      <w:r>
        <w:rPr>
          <w:rFonts w:asciiTheme="minorHAnsi" w:hAnsiTheme="minorHAnsi"/>
          <w:bCs/>
          <w:sz w:val="22"/>
          <w:szCs w:val="22"/>
        </w:rPr>
        <w:t>h</w:t>
      </w:r>
      <w:r w:rsidRPr="00FB6E71">
        <w:rPr>
          <w:rFonts w:asciiTheme="minorHAnsi" w:hAnsiTheme="minorHAnsi"/>
          <w:bCs/>
          <w:sz w:val="22"/>
          <w:szCs w:val="22"/>
        </w:rPr>
        <w:t xml:space="preserve">ands-on and </w:t>
      </w:r>
      <w:r>
        <w:rPr>
          <w:rFonts w:asciiTheme="minorHAnsi" w:hAnsiTheme="minorHAnsi"/>
          <w:bCs/>
          <w:sz w:val="22"/>
          <w:szCs w:val="22"/>
        </w:rPr>
        <w:t>e</w:t>
      </w:r>
      <w:r w:rsidRPr="00FB6E71">
        <w:rPr>
          <w:rFonts w:asciiTheme="minorHAnsi" w:hAnsiTheme="minorHAnsi"/>
          <w:bCs/>
          <w:sz w:val="22"/>
          <w:szCs w:val="22"/>
        </w:rPr>
        <w:t xml:space="preserve">xpanded </w:t>
      </w:r>
      <w:r>
        <w:rPr>
          <w:rFonts w:asciiTheme="minorHAnsi" w:hAnsiTheme="minorHAnsi"/>
          <w:bCs/>
          <w:sz w:val="22"/>
          <w:szCs w:val="22"/>
        </w:rPr>
        <w:t>i</w:t>
      </w:r>
      <w:r w:rsidRPr="00FB6E71">
        <w:rPr>
          <w:rFonts w:asciiTheme="minorHAnsi" w:hAnsiTheme="minorHAnsi"/>
          <w:bCs/>
          <w:sz w:val="22"/>
          <w:szCs w:val="22"/>
        </w:rPr>
        <w:t>mplementation support and use of NGOs</w:t>
      </w:r>
      <w:r>
        <w:rPr>
          <w:rFonts w:asciiTheme="minorHAnsi" w:hAnsiTheme="minorHAnsi"/>
          <w:bCs/>
          <w:sz w:val="22"/>
          <w:szCs w:val="22"/>
        </w:rPr>
        <w:t>;</w:t>
      </w:r>
      <w:r w:rsidRPr="00FB6E71">
        <w:rPr>
          <w:rFonts w:asciiTheme="minorHAnsi" w:hAnsiTheme="minorHAnsi"/>
          <w:bCs/>
          <w:sz w:val="22"/>
          <w:szCs w:val="22"/>
        </w:rPr>
        <w:t xml:space="preserve"> </w:t>
      </w:r>
      <w:r>
        <w:rPr>
          <w:rFonts w:asciiTheme="minorHAnsi" w:hAnsiTheme="minorHAnsi"/>
          <w:bCs/>
          <w:sz w:val="22"/>
          <w:szCs w:val="22"/>
        </w:rPr>
        <w:t xml:space="preserve">and </w:t>
      </w:r>
      <w:r w:rsidRPr="00FB6E71">
        <w:rPr>
          <w:rFonts w:asciiTheme="minorHAnsi" w:hAnsiTheme="minorHAnsi"/>
          <w:bCs/>
          <w:sz w:val="22"/>
          <w:szCs w:val="22"/>
        </w:rPr>
        <w:t>other aspects includ</w:t>
      </w:r>
      <w:r>
        <w:rPr>
          <w:rFonts w:asciiTheme="minorHAnsi" w:hAnsiTheme="minorHAnsi"/>
          <w:bCs/>
          <w:sz w:val="22"/>
          <w:szCs w:val="22"/>
        </w:rPr>
        <w:t>ing</w:t>
      </w:r>
      <w:r w:rsidRPr="00FB6E71">
        <w:rPr>
          <w:rFonts w:asciiTheme="minorHAnsi" w:hAnsiTheme="minorHAnsi"/>
          <w:bCs/>
          <w:sz w:val="22"/>
          <w:szCs w:val="22"/>
        </w:rPr>
        <w:t xml:space="preserve"> </w:t>
      </w:r>
      <w:r>
        <w:rPr>
          <w:rFonts w:asciiTheme="minorHAnsi" w:hAnsiTheme="minorHAnsi"/>
          <w:bCs/>
          <w:sz w:val="22"/>
          <w:szCs w:val="22"/>
        </w:rPr>
        <w:t>p</w:t>
      </w:r>
      <w:r w:rsidRPr="00FB6E71">
        <w:rPr>
          <w:rFonts w:asciiTheme="minorHAnsi" w:hAnsiTheme="minorHAnsi"/>
          <w:bCs/>
          <w:sz w:val="22"/>
          <w:szCs w:val="22"/>
        </w:rPr>
        <w:t xml:space="preserve">ost </w:t>
      </w:r>
      <w:r>
        <w:rPr>
          <w:rFonts w:asciiTheme="minorHAnsi" w:hAnsiTheme="minorHAnsi"/>
          <w:bCs/>
          <w:sz w:val="22"/>
          <w:szCs w:val="22"/>
        </w:rPr>
        <w:t>p</w:t>
      </w:r>
      <w:r w:rsidRPr="00FB6E71">
        <w:rPr>
          <w:rFonts w:asciiTheme="minorHAnsi" w:hAnsiTheme="minorHAnsi"/>
          <w:bCs/>
          <w:sz w:val="22"/>
          <w:szCs w:val="22"/>
        </w:rPr>
        <w:t xml:space="preserve">rocurement </w:t>
      </w:r>
      <w:r>
        <w:rPr>
          <w:rFonts w:asciiTheme="minorHAnsi" w:hAnsiTheme="minorHAnsi"/>
          <w:bCs/>
          <w:sz w:val="22"/>
          <w:szCs w:val="22"/>
        </w:rPr>
        <w:t>r</w:t>
      </w:r>
      <w:r w:rsidRPr="00FB6E71">
        <w:rPr>
          <w:rFonts w:asciiTheme="minorHAnsi" w:hAnsiTheme="minorHAnsi"/>
          <w:bCs/>
          <w:sz w:val="22"/>
          <w:szCs w:val="22"/>
        </w:rPr>
        <w:t>eview (third-party audit)</w:t>
      </w:r>
      <w:r>
        <w:rPr>
          <w:rFonts w:asciiTheme="minorHAnsi" w:hAnsiTheme="minorHAnsi"/>
          <w:bCs/>
          <w:sz w:val="22"/>
          <w:szCs w:val="22"/>
        </w:rPr>
        <w:t>,</w:t>
      </w:r>
      <w:r w:rsidRPr="00FB6E71">
        <w:rPr>
          <w:rFonts w:asciiTheme="minorHAnsi" w:hAnsiTheme="minorHAnsi"/>
          <w:bCs/>
          <w:sz w:val="22"/>
          <w:szCs w:val="22"/>
        </w:rPr>
        <w:t xml:space="preserve"> </w:t>
      </w:r>
      <w:r>
        <w:rPr>
          <w:rFonts w:asciiTheme="minorHAnsi" w:hAnsiTheme="minorHAnsi"/>
          <w:bCs/>
          <w:sz w:val="22"/>
          <w:szCs w:val="22"/>
        </w:rPr>
        <w:t>request for proposal,</w:t>
      </w:r>
      <w:r w:rsidRPr="00FB6E71">
        <w:rPr>
          <w:rFonts w:asciiTheme="minorHAnsi" w:hAnsiTheme="minorHAnsi"/>
          <w:bCs/>
          <w:sz w:val="22"/>
          <w:szCs w:val="22"/>
        </w:rPr>
        <w:t xml:space="preserve"> </w:t>
      </w:r>
      <w:r>
        <w:rPr>
          <w:rFonts w:asciiTheme="minorHAnsi" w:hAnsiTheme="minorHAnsi"/>
          <w:bCs/>
          <w:sz w:val="22"/>
          <w:szCs w:val="22"/>
        </w:rPr>
        <w:t>s</w:t>
      </w:r>
      <w:r w:rsidRPr="00FB6E71">
        <w:rPr>
          <w:rFonts w:asciiTheme="minorHAnsi" w:hAnsiTheme="minorHAnsi"/>
          <w:bCs/>
          <w:sz w:val="22"/>
          <w:szCs w:val="22"/>
        </w:rPr>
        <w:t xml:space="preserve">ustainable </w:t>
      </w:r>
      <w:r>
        <w:rPr>
          <w:rFonts w:asciiTheme="minorHAnsi" w:hAnsiTheme="minorHAnsi"/>
          <w:bCs/>
          <w:sz w:val="22"/>
          <w:szCs w:val="22"/>
        </w:rPr>
        <w:t>p</w:t>
      </w:r>
      <w:r w:rsidRPr="00FB6E71">
        <w:rPr>
          <w:rFonts w:asciiTheme="minorHAnsi" w:hAnsiTheme="minorHAnsi"/>
          <w:bCs/>
          <w:sz w:val="22"/>
          <w:szCs w:val="22"/>
        </w:rPr>
        <w:t>rocurement</w:t>
      </w:r>
      <w:r>
        <w:rPr>
          <w:rFonts w:asciiTheme="minorHAnsi" w:hAnsiTheme="minorHAnsi"/>
          <w:bCs/>
          <w:sz w:val="22"/>
          <w:szCs w:val="22"/>
        </w:rPr>
        <w:t>,</w:t>
      </w:r>
      <w:r w:rsidRPr="00FB6E71">
        <w:rPr>
          <w:rFonts w:asciiTheme="minorHAnsi" w:hAnsiTheme="minorHAnsi"/>
          <w:bCs/>
          <w:sz w:val="22"/>
          <w:szCs w:val="22"/>
        </w:rPr>
        <w:t xml:space="preserve"> community-driven development</w:t>
      </w:r>
      <w:r>
        <w:rPr>
          <w:rFonts w:asciiTheme="minorHAnsi" w:hAnsiTheme="minorHAnsi"/>
          <w:bCs/>
          <w:sz w:val="22"/>
          <w:szCs w:val="22"/>
        </w:rPr>
        <w:t>,</w:t>
      </w:r>
      <w:r w:rsidRPr="00FB6E71">
        <w:rPr>
          <w:rFonts w:asciiTheme="minorHAnsi" w:hAnsiTheme="minorHAnsi"/>
          <w:bCs/>
          <w:sz w:val="22"/>
          <w:szCs w:val="22"/>
        </w:rPr>
        <w:t xml:space="preserve"> </w:t>
      </w:r>
      <w:r>
        <w:rPr>
          <w:rFonts w:asciiTheme="minorHAnsi" w:hAnsiTheme="minorHAnsi"/>
          <w:bCs/>
          <w:sz w:val="22"/>
          <w:szCs w:val="22"/>
        </w:rPr>
        <w:t>r</w:t>
      </w:r>
      <w:r w:rsidRPr="00FB6E71">
        <w:rPr>
          <w:rFonts w:asciiTheme="minorHAnsi" w:hAnsiTheme="minorHAnsi"/>
          <w:bCs/>
          <w:sz w:val="22"/>
          <w:szCs w:val="22"/>
        </w:rPr>
        <w:t xml:space="preserve">everse </w:t>
      </w:r>
      <w:r>
        <w:rPr>
          <w:rFonts w:asciiTheme="minorHAnsi" w:hAnsiTheme="minorHAnsi"/>
          <w:bCs/>
          <w:sz w:val="22"/>
          <w:szCs w:val="22"/>
        </w:rPr>
        <w:t>m</w:t>
      </w:r>
      <w:r w:rsidRPr="00FB6E71">
        <w:rPr>
          <w:rFonts w:asciiTheme="minorHAnsi" w:hAnsiTheme="minorHAnsi"/>
          <w:bCs/>
          <w:sz w:val="22"/>
          <w:szCs w:val="22"/>
        </w:rPr>
        <w:t>issions, and so on. Following the situation on the ground, the strategy will trigger OP 10.00</w:t>
      </w:r>
      <w:r>
        <w:rPr>
          <w:rFonts w:asciiTheme="minorHAnsi" w:hAnsiTheme="minorHAnsi"/>
          <w:bCs/>
          <w:sz w:val="22"/>
          <w:szCs w:val="22"/>
        </w:rPr>
        <w:t>,</w:t>
      </w:r>
      <w:r w:rsidRPr="00FB6E71">
        <w:rPr>
          <w:rFonts w:asciiTheme="minorHAnsi" w:hAnsiTheme="minorHAnsi"/>
          <w:bCs/>
          <w:sz w:val="22"/>
          <w:szCs w:val="22"/>
        </w:rPr>
        <w:t xml:space="preserve"> paragraph 12 on </w:t>
      </w:r>
      <w:r>
        <w:rPr>
          <w:rFonts w:asciiTheme="minorHAnsi" w:hAnsiTheme="minorHAnsi"/>
          <w:bCs/>
          <w:sz w:val="22"/>
          <w:szCs w:val="22"/>
        </w:rPr>
        <w:t xml:space="preserve">the </w:t>
      </w:r>
      <w:r w:rsidRPr="00FB6E71">
        <w:rPr>
          <w:rFonts w:asciiTheme="minorHAnsi" w:hAnsiTheme="minorHAnsi"/>
          <w:bCs/>
          <w:sz w:val="22"/>
          <w:szCs w:val="22"/>
        </w:rPr>
        <w:t xml:space="preserve">use of emergency procedures. This has become necessary so that the procurement systems and strategy can readily respond to the emergency situations at hand. Phases 1 </w:t>
      </w:r>
      <w:r>
        <w:rPr>
          <w:rFonts w:asciiTheme="minorHAnsi" w:hAnsiTheme="minorHAnsi"/>
          <w:bCs/>
          <w:sz w:val="22"/>
          <w:szCs w:val="22"/>
        </w:rPr>
        <w:t>and</w:t>
      </w:r>
      <w:r w:rsidRPr="00FB6E71">
        <w:rPr>
          <w:rFonts w:asciiTheme="minorHAnsi" w:hAnsiTheme="minorHAnsi"/>
          <w:bCs/>
          <w:sz w:val="22"/>
          <w:szCs w:val="22"/>
        </w:rPr>
        <w:t xml:space="preserve"> 2 of the procurement operation will respond to the emergencies dealing with life</w:t>
      </w:r>
      <w:r>
        <w:rPr>
          <w:rFonts w:asciiTheme="minorHAnsi" w:hAnsiTheme="minorHAnsi"/>
          <w:bCs/>
          <w:sz w:val="22"/>
          <w:szCs w:val="22"/>
        </w:rPr>
        <w:t>-</w:t>
      </w:r>
      <w:r w:rsidRPr="00FB6E71">
        <w:rPr>
          <w:rFonts w:asciiTheme="minorHAnsi" w:hAnsiTheme="minorHAnsi"/>
          <w:bCs/>
          <w:sz w:val="22"/>
          <w:szCs w:val="22"/>
        </w:rPr>
        <w:t>, health</w:t>
      </w:r>
      <w:r>
        <w:rPr>
          <w:rFonts w:asciiTheme="minorHAnsi" w:hAnsiTheme="minorHAnsi"/>
          <w:bCs/>
          <w:sz w:val="22"/>
          <w:szCs w:val="22"/>
        </w:rPr>
        <w:t>-</w:t>
      </w:r>
      <w:r w:rsidRPr="00FB6E71">
        <w:rPr>
          <w:rFonts w:asciiTheme="minorHAnsi" w:hAnsiTheme="minorHAnsi"/>
          <w:bCs/>
          <w:sz w:val="22"/>
          <w:szCs w:val="22"/>
        </w:rPr>
        <w:t>, and safety</w:t>
      </w:r>
      <w:r>
        <w:rPr>
          <w:rFonts w:asciiTheme="minorHAnsi" w:hAnsiTheme="minorHAnsi"/>
          <w:bCs/>
          <w:sz w:val="22"/>
          <w:szCs w:val="22"/>
        </w:rPr>
        <w:t>-</w:t>
      </w:r>
      <w:r w:rsidRPr="00FB6E71">
        <w:rPr>
          <w:rFonts w:asciiTheme="minorHAnsi" w:hAnsiTheme="minorHAnsi"/>
          <w:bCs/>
          <w:sz w:val="22"/>
          <w:szCs w:val="22"/>
        </w:rPr>
        <w:t>threatening conditions; restoration of livelihood</w:t>
      </w:r>
      <w:r>
        <w:rPr>
          <w:rFonts w:asciiTheme="minorHAnsi" w:hAnsiTheme="minorHAnsi"/>
          <w:bCs/>
          <w:sz w:val="22"/>
          <w:szCs w:val="22"/>
        </w:rPr>
        <w:t>;</w:t>
      </w:r>
      <w:r w:rsidRPr="00FB6E71">
        <w:rPr>
          <w:rFonts w:asciiTheme="minorHAnsi" w:hAnsiTheme="minorHAnsi"/>
          <w:bCs/>
          <w:sz w:val="22"/>
          <w:szCs w:val="22"/>
        </w:rPr>
        <w:t xml:space="preserve"> reconstruction</w:t>
      </w:r>
      <w:r>
        <w:rPr>
          <w:rFonts w:asciiTheme="minorHAnsi" w:hAnsiTheme="minorHAnsi"/>
          <w:bCs/>
          <w:sz w:val="22"/>
          <w:szCs w:val="22"/>
        </w:rPr>
        <w:t>;</w:t>
      </w:r>
      <w:r w:rsidRPr="00FB6E71">
        <w:rPr>
          <w:rFonts w:asciiTheme="minorHAnsi" w:hAnsiTheme="minorHAnsi"/>
          <w:bCs/>
          <w:sz w:val="22"/>
          <w:szCs w:val="22"/>
        </w:rPr>
        <w:t xml:space="preserve"> and so on, and will subsequently revert to normal procedures once the emergency is stabilized.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sz w:val="22"/>
          <w:szCs w:val="22"/>
        </w:rPr>
        <w:t xml:space="preserve">The MCRP will build on existing sectoral policy coordination and standard-setting mechanisms already in place. </w:t>
      </w:r>
      <w:r>
        <w:rPr>
          <w:rFonts w:asciiTheme="minorHAnsi" w:hAnsiTheme="minorHAnsi"/>
          <w:bCs/>
          <w:sz w:val="22"/>
          <w:szCs w:val="22"/>
        </w:rPr>
        <w:t>Because</w:t>
      </w:r>
      <w:r w:rsidRPr="00FB6E71">
        <w:rPr>
          <w:rFonts w:asciiTheme="minorHAnsi" w:hAnsiTheme="minorHAnsi"/>
          <w:bCs/>
          <w:sz w:val="22"/>
          <w:szCs w:val="22"/>
        </w:rPr>
        <w:t xml:space="preserve"> </w:t>
      </w:r>
      <w:r>
        <w:rPr>
          <w:rFonts w:asciiTheme="minorHAnsi" w:hAnsiTheme="minorHAnsi"/>
          <w:bCs/>
          <w:sz w:val="22"/>
          <w:szCs w:val="22"/>
        </w:rPr>
        <w:t>this</w:t>
      </w:r>
      <w:r w:rsidRPr="00FB6E71">
        <w:rPr>
          <w:rFonts w:asciiTheme="minorHAnsi" w:hAnsiTheme="minorHAnsi"/>
          <w:bCs/>
          <w:sz w:val="22"/>
          <w:szCs w:val="22"/>
        </w:rPr>
        <w:t xml:space="preserve"> is a multi-sector project, different sectors of intervention will be addressed. Activities in each respective executing agency and</w:t>
      </w:r>
      <w:r>
        <w:rPr>
          <w:rFonts w:asciiTheme="minorHAnsi" w:hAnsiTheme="minorHAnsi"/>
          <w:bCs/>
          <w:sz w:val="22"/>
          <w:szCs w:val="22"/>
        </w:rPr>
        <w:t>/</w:t>
      </w:r>
      <w:r w:rsidRPr="00FB6E71">
        <w:rPr>
          <w:rFonts w:asciiTheme="minorHAnsi" w:hAnsiTheme="minorHAnsi"/>
          <w:bCs/>
          <w:sz w:val="22"/>
          <w:szCs w:val="22"/>
        </w:rPr>
        <w:t xml:space="preserve">or sector will align with existing mechanisms to coordinate and harmonize standards and policies. At the federal level, the coordinating agency or body will ensure that procurement management of all aspects of the MCRP implementation </w:t>
      </w:r>
      <w:r>
        <w:rPr>
          <w:rFonts w:asciiTheme="minorHAnsi" w:hAnsiTheme="minorHAnsi"/>
          <w:bCs/>
          <w:sz w:val="22"/>
          <w:szCs w:val="22"/>
        </w:rPr>
        <w:t xml:space="preserve">is </w:t>
      </w:r>
      <w:r w:rsidRPr="00FB6E71">
        <w:rPr>
          <w:rFonts w:asciiTheme="minorHAnsi" w:hAnsiTheme="minorHAnsi"/>
          <w:bCs/>
          <w:sz w:val="22"/>
          <w:szCs w:val="22"/>
        </w:rPr>
        <w:t xml:space="preserve">carried out by the executing agencies at the state level in accordance with </w:t>
      </w:r>
      <w:r>
        <w:rPr>
          <w:rFonts w:asciiTheme="minorHAnsi" w:hAnsiTheme="minorHAnsi"/>
          <w:bCs/>
          <w:sz w:val="22"/>
          <w:szCs w:val="22"/>
        </w:rPr>
        <w:t xml:space="preserve">the </w:t>
      </w:r>
      <w:r w:rsidRPr="00FB6E71">
        <w:rPr>
          <w:rFonts w:asciiTheme="minorHAnsi" w:hAnsiTheme="minorHAnsi"/>
          <w:bCs/>
          <w:sz w:val="22"/>
          <w:szCs w:val="22"/>
        </w:rPr>
        <w:t xml:space="preserve">procurement regulations of the World Bank and within </w:t>
      </w:r>
      <w:r>
        <w:rPr>
          <w:rFonts w:asciiTheme="minorHAnsi" w:hAnsiTheme="minorHAnsi"/>
          <w:bCs/>
          <w:sz w:val="22"/>
          <w:szCs w:val="22"/>
        </w:rPr>
        <w:t xml:space="preserve">the </w:t>
      </w:r>
      <w:r w:rsidRPr="00FB6E71">
        <w:rPr>
          <w:rFonts w:asciiTheme="minorHAnsi" w:hAnsiTheme="minorHAnsi"/>
          <w:bCs/>
          <w:sz w:val="22"/>
          <w:szCs w:val="22"/>
        </w:rPr>
        <w:t xml:space="preserve">procedures of the state governments. The coordinating </w:t>
      </w:r>
      <w:r>
        <w:rPr>
          <w:rFonts w:asciiTheme="minorHAnsi" w:hAnsiTheme="minorHAnsi"/>
          <w:bCs/>
          <w:sz w:val="22"/>
          <w:szCs w:val="22"/>
        </w:rPr>
        <w:t>s</w:t>
      </w:r>
      <w:r w:rsidRPr="00FB6E71">
        <w:rPr>
          <w:rFonts w:asciiTheme="minorHAnsi" w:hAnsiTheme="minorHAnsi"/>
          <w:bCs/>
          <w:sz w:val="22"/>
          <w:szCs w:val="22"/>
        </w:rPr>
        <w:t xml:space="preserve">ecretariat at </w:t>
      </w:r>
      <w:r>
        <w:rPr>
          <w:rFonts w:asciiTheme="minorHAnsi" w:hAnsiTheme="minorHAnsi"/>
          <w:bCs/>
          <w:sz w:val="22"/>
          <w:szCs w:val="22"/>
        </w:rPr>
        <w:t xml:space="preserve">the </w:t>
      </w:r>
      <w:r w:rsidRPr="00FB6E71">
        <w:rPr>
          <w:rFonts w:asciiTheme="minorHAnsi" w:hAnsiTheme="minorHAnsi"/>
          <w:bCs/>
          <w:sz w:val="22"/>
          <w:szCs w:val="22"/>
        </w:rPr>
        <w:t xml:space="preserve">federal </w:t>
      </w:r>
      <w:r>
        <w:rPr>
          <w:rFonts w:asciiTheme="minorHAnsi" w:hAnsiTheme="minorHAnsi"/>
          <w:bCs/>
          <w:sz w:val="22"/>
          <w:szCs w:val="22"/>
        </w:rPr>
        <w:t xml:space="preserve">level </w:t>
      </w:r>
      <w:r w:rsidRPr="00FB6E71">
        <w:rPr>
          <w:rFonts w:asciiTheme="minorHAnsi" w:hAnsiTheme="minorHAnsi"/>
          <w:bCs/>
          <w:sz w:val="22"/>
          <w:szCs w:val="22"/>
        </w:rPr>
        <w:t>w</w:t>
      </w:r>
      <w:r>
        <w:rPr>
          <w:rFonts w:asciiTheme="minorHAnsi" w:hAnsiTheme="minorHAnsi"/>
          <w:bCs/>
          <w:sz w:val="22"/>
          <w:szCs w:val="22"/>
        </w:rPr>
        <w:t>ill</w:t>
      </w:r>
      <w:r w:rsidRPr="00FB6E71">
        <w:rPr>
          <w:rFonts w:asciiTheme="minorHAnsi" w:hAnsiTheme="minorHAnsi"/>
          <w:bCs/>
          <w:sz w:val="22"/>
          <w:szCs w:val="22"/>
        </w:rPr>
        <w:t xml:space="preserve"> also help provide procurement TA to the states and consolidate procurement monitoring and reports from the </w:t>
      </w:r>
      <w:r>
        <w:rPr>
          <w:rFonts w:asciiTheme="minorHAnsi" w:hAnsiTheme="minorHAnsi"/>
          <w:bCs/>
          <w:sz w:val="22"/>
          <w:szCs w:val="22"/>
        </w:rPr>
        <w:t>s</w:t>
      </w:r>
      <w:r w:rsidRPr="00FB6E71">
        <w:rPr>
          <w:rFonts w:asciiTheme="minorHAnsi" w:hAnsiTheme="minorHAnsi"/>
          <w:bCs/>
          <w:sz w:val="22"/>
          <w:szCs w:val="22"/>
        </w:rPr>
        <w:t xml:space="preserve">tates for reporting on project progress to the Federal Government and the World Bank.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sz w:val="22"/>
          <w:szCs w:val="22"/>
        </w:rPr>
        <w:t xml:space="preserve">At the state level, the PCU in each of the states will be responsible for coordination of procurement management across the sectors in each of the states. The PCU will focus on quality and process oversight, centralized procurement, reporting, </w:t>
      </w:r>
      <w:r>
        <w:rPr>
          <w:rFonts w:asciiTheme="minorHAnsi" w:hAnsiTheme="minorHAnsi"/>
          <w:bCs/>
          <w:sz w:val="22"/>
          <w:szCs w:val="22"/>
        </w:rPr>
        <w:t xml:space="preserve">and </w:t>
      </w:r>
      <w:r w:rsidRPr="00FB6E71">
        <w:rPr>
          <w:rFonts w:asciiTheme="minorHAnsi" w:hAnsiTheme="minorHAnsi"/>
          <w:bCs/>
          <w:sz w:val="22"/>
          <w:szCs w:val="22"/>
        </w:rPr>
        <w:t>contract management and ensur</w:t>
      </w:r>
      <w:r>
        <w:rPr>
          <w:rFonts w:asciiTheme="minorHAnsi" w:hAnsiTheme="minorHAnsi"/>
          <w:bCs/>
          <w:sz w:val="22"/>
          <w:szCs w:val="22"/>
        </w:rPr>
        <w:t>e</w:t>
      </w:r>
      <w:r w:rsidRPr="00FB6E71">
        <w:rPr>
          <w:rFonts w:asciiTheme="minorHAnsi" w:hAnsiTheme="minorHAnsi"/>
          <w:bCs/>
          <w:sz w:val="22"/>
          <w:szCs w:val="22"/>
        </w:rPr>
        <w:t xml:space="preserve"> that the procurement functions assigned to the relevant </w:t>
      </w:r>
      <w:r>
        <w:rPr>
          <w:rFonts w:asciiTheme="minorHAnsi" w:hAnsiTheme="minorHAnsi"/>
          <w:bCs/>
          <w:sz w:val="22"/>
          <w:szCs w:val="22"/>
        </w:rPr>
        <w:t>s</w:t>
      </w:r>
      <w:r w:rsidRPr="00FB6E71">
        <w:rPr>
          <w:rFonts w:asciiTheme="minorHAnsi" w:hAnsiTheme="minorHAnsi"/>
          <w:bCs/>
          <w:sz w:val="22"/>
          <w:szCs w:val="22"/>
        </w:rPr>
        <w:t xml:space="preserve">tate line departments </w:t>
      </w:r>
      <w:r>
        <w:rPr>
          <w:rFonts w:asciiTheme="minorHAnsi" w:hAnsiTheme="minorHAnsi"/>
          <w:bCs/>
          <w:sz w:val="22"/>
          <w:szCs w:val="22"/>
        </w:rPr>
        <w:t>are</w:t>
      </w:r>
      <w:r w:rsidRPr="00FB6E71">
        <w:rPr>
          <w:rFonts w:asciiTheme="minorHAnsi" w:hAnsiTheme="minorHAnsi"/>
          <w:bCs/>
          <w:sz w:val="22"/>
          <w:szCs w:val="22"/>
        </w:rPr>
        <w:t xml:space="preserve"> done in accordance with </w:t>
      </w:r>
      <w:r>
        <w:rPr>
          <w:rFonts w:asciiTheme="minorHAnsi" w:hAnsiTheme="minorHAnsi"/>
          <w:bCs/>
          <w:sz w:val="22"/>
          <w:szCs w:val="22"/>
        </w:rPr>
        <w:t xml:space="preserve">the </w:t>
      </w:r>
      <w:r w:rsidRPr="00FB6E71">
        <w:rPr>
          <w:rFonts w:asciiTheme="minorHAnsi" w:hAnsiTheme="minorHAnsi"/>
          <w:bCs/>
          <w:sz w:val="22"/>
          <w:szCs w:val="22"/>
        </w:rPr>
        <w:t xml:space="preserve">procurement regulations of the World Bank and within </w:t>
      </w:r>
      <w:r>
        <w:rPr>
          <w:rFonts w:asciiTheme="minorHAnsi" w:hAnsiTheme="minorHAnsi"/>
          <w:bCs/>
          <w:sz w:val="22"/>
          <w:szCs w:val="22"/>
        </w:rPr>
        <w:t xml:space="preserve">the </w:t>
      </w:r>
      <w:r w:rsidRPr="00FB6E71">
        <w:rPr>
          <w:rFonts w:asciiTheme="minorHAnsi" w:hAnsiTheme="minorHAnsi"/>
          <w:bCs/>
          <w:sz w:val="22"/>
          <w:szCs w:val="22"/>
        </w:rPr>
        <w:t>procedures of the state governments as defined in the PPSD.</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sz w:val="22"/>
          <w:szCs w:val="22"/>
        </w:rPr>
        <w:t>The MCRP PPSD will provide the basis for procurement planning, which will include</w:t>
      </w:r>
      <w:r>
        <w:rPr>
          <w:rFonts w:asciiTheme="minorHAnsi" w:hAnsiTheme="minorHAnsi"/>
          <w:bCs/>
          <w:sz w:val="22"/>
          <w:szCs w:val="22"/>
        </w:rPr>
        <w:t xml:space="preserve"> the</w:t>
      </w:r>
      <w:r w:rsidRPr="00FB6E71">
        <w:rPr>
          <w:rFonts w:asciiTheme="minorHAnsi" w:hAnsiTheme="minorHAnsi"/>
          <w:bCs/>
          <w:sz w:val="22"/>
          <w:szCs w:val="22"/>
        </w:rPr>
        <w:t xml:space="preserve"> description of procurement activities, procurement risk, approach to market, </w:t>
      </w:r>
      <w:r>
        <w:rPr>
          <w:rFonts w:asciiTheme="minorHAnsi" w:hAnsiTheme="minorHAnsi"/>
          <w:bCs/>
          <w:sz w:val="22"/>
          <w:szCs w:val="22"/>
        </w:rPr>
        <w:t xml:space="preserve">and </w:t>
      </w:r>
      <w:r w:rsidRPr="00FB6E71">
        <w:rPr>
          <w:rFonts w:asciiTheme="minorHAnsi" w:hAnsiTheme="minorHAnsi"/>
          <w:bCs/>
          <w:sz w:val="22"/>
          <w:szCs w:val="22"/>
        </w:rPr>
        <w:t>selection methods. It will also include information on the timing of the procurement activity and the level of research and analysis, supervision</w:t>
      </w:r>
      <w:r>
        <w:rPr>
          <w:rFonts w:asciiTheme="minorHAnsi" w:hAnsiTheme="minorHAnsi"/>
          <w:bCs/>
          <w:sz w:val="22"/>
          <w:szCs w:val="22"/>
        </w:rPr>
        <w:t>,</w:t>
      </w:r>
      <w:r w:rsidRPr="00FB6E71">
        <w:rPr>
          <w:rFonts w:asciiTheme="minorHAnsi" w:hAnsiTheme="minorHAnsi"/>
          <w:bCs/>
          <w:sz w:val="22"/>
          <w:szCs w:val="22"/>
        </w:rPr>
        <w:t xml:space="preserve"> and implementation support appropriate for the activities. Other important elements to be provided in the PPSD will include information regarding </w:t>
      </w:r>
      <w:r>
        <w:rPr>
          <w:rFonts w:asciiTheme="minorHAnsi" w:hAnsiTheme="minorHAnsi"/>
          <w:bCs/>
          <w:sz w:val="22"/>
          <w:szCs w:val="22"/>
        </w:rPr>
        <w:t>p</w:t>
      </w:r>
      <w:r w:rsidRPr="00FB6E71">
        <w:rPr>
          <w:rFonts w:asciiTheme="minorHAnsi" w:hAnsiTheme="minorHAnsi"/>
          <w:bCs/>
          <w:sz w:val="22"/>
          <w:szCs w:val="22"/>
        </w:rPr>
        <w:t xml:space="preserve">rocurement </w:t>
      </w:r>
      <w:r>
        <w:rPr>
          <w:rFonts w:asciiTheme="minorHAnsi" w:hAnsiTheme="minorHAnsi"/>
          <w:bCs/>
          <w:sz w:val="22"/>
          <w:szCs w:val="22"/>
        </w:rPr>
        <w:t>o</w:t>
      </w:r>
      <w:r w:rsidRPr="00FB6E71">
        <w:rPr>
          <w:rFonts w:asciiTheme="minorHAnsi" w:hAnsiTheme="minorHAnsi"/>
          <w:bCs/>
          <w:sz w:val="22"/>
          <w:szCs w:val="22"/>
        </w:rPr>
        <w:t xml:space="preserve">bjectives and </w:t>
      </w:r>
      <w:r>
        <w:rPr>
          <w:rFonts w:asciiTheme="minorHAnsi" w:hAnsiTheme="minorHAnsi"/>
          <w:bCs/>
          <w:sz w:val="22"/>
          <w:szCs w:val="22"/>
        </w:rPr>
        <w:t>k</w:t>
      </w:r>
      <w:r w:rsidRPr="00FB6E71">
        <w:rPr>
          <w:rFonts w:asciiTheme="minorHAnsi" w:hAnsiTheme="minorHAnsi"/>
          <w:bCs/>
          <w:sz w:val="22"/>
          <w:szCs w:val="22"/>
        </w:rPr>
        <w:t xml:space="preserve">ey </w:t>
      </w:r>
      <w:r>
        <w:rPr>
          <w:rFonts w:asciiTheme="minorHAnsi" w:hAnsiTheme="minorHAnsi"/>
          <w:bCs/>
          <w:sz w:val="22"/>
          <w:szCs w:val="22"/>
        </w:rPr>
        <w:t>p</w:t>
      </w:r>
      <w:r w:rsidRPr="00FB6E71">
        <w:rPr>
          <w:rFonts w:asciiTheme="minorHAnsi" w:hAnsiTheme="minorHAnsi"/>
          <w:bCs/>
          <w:sz w:val="22"/>
          <w:szCs w:val="22"/>
        </w:rPr>
        <w:t xml:space="preserve">erformance </w:t>
      </w:r>
      <w:r>
        <w:rPr>
          <w:rFonts w:asciiTheme="minorHAnsi" w:hAnsiTheme="minorHAnsi"/>
          <w:bCs/>
          <w:sz w:val="22"/>
          <w:szCs w:val="22"/>
        </w:rPr>
        <w:t>i</w:t>
      </w:r>
      <w:r w:rsidRPr="00FB6E71">
        <w:rPr>
          <w:rFonts w:asciiTheme="minorHAnsi" w:hAnsiTheme="minorHAnsi"/>
          <w:bCs/>
          <w:sz w:val="22"/>
          <w:szCs w:val="22"/>
        </w:rPr>
        <w:t>ndicators.</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8</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Project Procurement Risk Factors and Mitigation Measures</w:t>
      </w:r>
    </w:p>
    <w:tbl>
      <w:tblPr>
        <w:tblW w:w="5000" w:type="pct"/>
        <w:jc w:val="center"/>
        <w:tblLayout w:type="fixed"/>
        <w:tblLook w:val="00A0"/>
      </w:tblPr>
      <w:tblGrid>
        <w:gridCol w:w="2602"/>
        <w:gridCol w:w="6742"/>
      </w:tblGrid>
      <w:tr w:rsidTr="007F2DE7">
        <w:tblPrEx>
          <w:tblW w:w="5000" w:type="pct"/>
          <w:jc w:val="center"/>
          <w:tblLayout w:type="fixed"/>
          <w:tblLook w:val="00A0"/>
        </w:tblPrEx>
        <w:trPr>
          <w:cantSplit/>
          <w:trHeight w:val="20"/>
          <w:tblHeader/>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hideMark/>
          </w:tcPr>
          <w:p w:rsidR="007F2DE7" w:rsidRPr="00FB6E71" w:rsidP="007F2DE7">
            <w:pPr>
              <w:spacing w:line="256" w:lineRule="auto"/>
              <w:jc w:val="center"/>
              <w:rPr>
                <w:rFonts w:eastAsia="SimSun" w:asciiTheme="minorHAnsi" w:hAnsiTheme="minorHAnsi"/>
                <w:b/>
                <w:sz w:val="18"/>
                <w:szCs w:val="18"/>
              </w:rPr>
            </w:pPr>
            <w:r w:rsidRPr="00FB6E71">
              <w:rPr>
                <w:rFonts w:eastAsia="SimSun" w:asciiTheme="minorHAnsi" w:hAnsiTheme="minorHAnsi"/>
                <w:b/>
                <w:sz w:val="18"/>
                <w:szCs w:val="18"/>
              </w:rPr>
              <w:t>Risk Factor</w:t>
            </w:r>
          </w:p>
        </w:tc>
        <w:tc>
          <w:tcPr>
            <w:tcW w:w="6742"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hideMark/>
          </w:tcPr>
          <w:p w:rsidR="007F2DE7" w:rsidRPr="00FB6E71" w:rsidP="007F2DE7">
            <w:pPr>
              <w:spacing w:line="256" w:lineRule="auto"/>
              <w:jc w:val="center"/>
              <w:rPr>
                <w:rFonts w:eastAsia="SimSun" w:asciiTheme="minorHAnsi" w:hAnsiTheme="minorHAnsi"/>
                <w:b/>
                <w:sz w:val="18"/>
                <w:szCs w:val="18"/>
              </w:rPr>
            </w:pPr>
            <w:r w:rsidRPr="00FB6E71">
              <w:rPr>
                <w:rFonts w:eastAsia="SimSun" w:asciiTheme="minorHAnsi" w:hAnsiTheme="minorHAnsi"/>
                <w:b/>
                <w:sz w:val="18"/>
                <w:szCs w:val="18"/>
              </w:rPr>
              <w:t>Mitigation Measure</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Record keeping and documentation</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widowControl/>
              <w:numPr>
                <w:ilvl w:val="0"/>
                <w:numId w:val="2"/>
              </w:numPr>
              <w:ind w:left="288" w:hanging="288"/>
              <w:rPr>
                <w:rFonts w:eastAsia="SimSun" w:asciiTheme="minorHAnsi" w:hAnsiTheme="minorHAnsi"/>
                <w:sz w:val="18"/>
                <w:szCs w:val="18"/>
              </w:rPr>
            </w:pPr>
            <w:r w:rsidRPr="00FB6E71">
              <w:rPr>
                <w:rFonts w:eastAsia="SimSun" w:asciiTheme="minorHAnsi" w:hAnsiTheme="minorHAnsi"/>
                <w:sz w:val="18"/>
                <w:szCs w:val="18"/>
              </w:rPr>
              <w:t>All implementing agencies will maintain all procurement records duly catalogued and indexed that will facilitate easy access to information</w:t>
            </w:r>
            <w:r>
              <w:rPr>
                <w:rFonts w:eastAsia="SimSun" w:asciiTheme="minorHAnsi" w:hAnsiTheme="minorHAnsi"/>
                <w:sz w:val="18"/>
                <w:szCs w:val="18"/>
              </w:rPr>
              <w:t>.</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Fiduciary Risk relating to main principles of the World Bank Procurement Guidelines</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widowControl/>
              <w:numPr>
                <w:ilvl w:val="0"/>
                <w:numId w:val="2"/>
              </w:numPr>
              <w:ind w:left="288" w:hanging="288"/>
              <w:rPr>
                <w:rFonts w:eastAsia="SimSun" w:asciiTheme="minorHAnsi" w:hAnsiTheme="minorHAnsi"/>
                <w:sz w:val="18"/>
                <w:szCs w:val="18"/>
              </w:rPr>
            </w:pPr>
            <w:r>
              <w:rPr>
                <w:rFonts w:eastAsia="SimSun" w:asciiTheme="minorHAnsi" w:hAnsiTheme="minorHAnsi"/>
                <w:sz w:val="18"/>
                <w:szCs w:val="18"/>
              </w:rPr>
              <w:t>Position e</w:t>
            </w:r>
            <w:r w:rsidRPr="00FB6E71">
              <w:rPr>
                <w:rFonts w:eastAsia="SimSun" w:asciiTheme="minorHAnsi" w:hAnsiTheme="minorHAnsi"/>
                <w:sz w:val="18"/>
                <w:szCs w:val="18"/>
              </w:rPr>
              <w:t>xperienced procurement staff/consultant to guide implementing agencies</w:t>
            </w:r>
            <w:r>
              <w:rPr>
                <w:rFonts w:eastAsia="SimSun" w:asciiTheme="minorHAnsi" w:hAnsiTheme="minorHAnsi"/>
                <w:sz w:val="18"/>
                <w:szCs w:val="18"/>
              </w:rPr>
              <w:t>.</w:t>
            </w:r>
          </w:p>
          <w:p w:rsidR="007F2DE7" w:rsidRPr="00FB6E71" w:rsidP="007F2DE7">
            <w:pPr>
              <w:widowControl/>
              <w:numPr>
                <w:ilvl w:val="0"/>
                <w:numId w:val="2"/>
              </w:numPr>
              <w:ind w:left="288" w:hanging="288"/>
              <w:rPr>
                <w:rFonts w:eastAsia="SimSun" w:asciiTheme="minorHAnsi" w:hAnsiTheme="minorHAnsi"/>
                <w:sz w:val="18"/>
                <w:szCs w:val="18"/>
              </w:rPr>
            </w:pPr>
            <w:r w:rsidRPr="00AB5199">
              <w:rPr>
                <w:rFonts w:eastAsia="SimSun" w:asciiTheme="minorHAnsi" w:hAnsiTheme="minorHAnsi"/>
                <w:sz w:val="18"/>
                <w:szCs w:val="18"/>
              </w:rPr>
              <w:t>Conduct trainin</w:t>
            </w:r>
            <w:r w:rsidRPr="00FB6E71">
              <w:rPr>
                <w:rFonts w:eastAsia="SimSun" w:asciiTheme="minorHAnsi" w:hAnsiTheme="minorHAnsi"/>
                <w:sz w:val="18"/>
                <w:szCs w:val="18"/>
              </w:rPr>
              <w:t xml:space="preserve">g </w:t>
            </w:r>
            <w:r>
              <w:rPr>
                <w:rFonts w:eastAsia="SimSun" w:asciiTheme="minorHAnsi" w:hAnsiTheme="minorHAnsi"/>
                <w:sz w:val="18"/>
                <w:szCs w:val="18"/>
              </w:rPr>
              <w:t>on</w:t>
            </w:r>
            <w:r w:rsidRPr="00FB6E71">
              <w:rPr>
                <w:rFonts w:eastAsia="SimSun" w:asciiTheme="minorHAnsi" w:hAnsiTheme="minorHAnsi"/>
                <w:sz w:val="18"/>
                <w:szCs w:val="18"/>
              </w:rPr>
              <w:t xml:space="preserve"> World Bank procurement procedures</w:t>
            </w:r>
            <w:r>
              <w:rPr>
                <w:rFonts w:eastAsia="SimSun" w:asciiTheme="minorHAnsi" w:hAnsiTheme="minorHAnsi"/>
                <w:sz w:val="18"/>
                <w:szCs w:val="18"/>
              </w:rPr>
              <w:t>.</w:t>
            </w:r>
          </w:p>
          <w:p w:rsidR="007F2DE7" w:rsidRPr="00FB6E71" w:rsidP="007F2DE7">
            <w:pPr>
              <w:widowControl/>
              <w:numPr>
                <w:ilvl w:val="0"/>
                <w:numId w:val="2"/>
              </w:numPr>
              <w:ind w:left="288" w:hanging="288"/>
              <w:rPr>
                <w:rFonts w:eastAsia="SimSun" w:asciiTheme="minorHAnsi" w:hAnsiTheme="minorHAnsi"/>
                <w:sz w:val="18"/>
                <w:szCs w:val="18"/>
              </w:rPr>
            </w:pPr>
            <w:r w:rsidRPr="00FB6E71">
              <w:rPr>
                <w:rFonts w:eastAsia="SimSun" w:asciiTheme="minorHAnsi" w:hAnsiTheme="minorHAnsi"/>
                <w:sz w:val="18"/>
                <w:szCs w:val="18"/>
              </w:rPr>
              <w:t>Conduct training on new World Bank procurement procedures</w:t>
            </w:r>
            <w:r>
              <w:rPr>
                <w:rFonts w:eastAsia="SimSun" w:asciiTheme="minorHAnsi" w:hAnsiTheme="minorHAnsi"/>
                <w:sz w:val="18"/>
                <w:szCs w:val="18"/>
              </w:rPr>
              <w:t>.</w:t>
            </w:r>
            <w:r w:rsidRPr="00FB6E71">
              <w:rPr>
                <w:rFonts w:eastAsia="SimSun" w:asciiTheme="minorHAnsi" w:hAnsiTheme="minorHAnsi"/>
                <w:sz w:val="18"/>
                <w:szCs w:val="18"/>
              </w:rPr>
              <w:t xml:space="preserve"> </w:t>
            </w:r>
          </w:p>
          <w:p w:rsidR="007F2DE7" w:rsidRPr="00FB6E71" w:rsidP="007F2DE7">
            <w:pPr>
              <w:widowControl/>
              <w:numPr>
                <w:ilvl w:val="0"/>
                <w:numId w:val="2"/>
              </w:numPr>
              <w:ind w:left="288" w:hanging="288"/>
              <w:rPr>
                <w:rFonts w:eastAsia="SimSun" w:asciiTheme="minorHAnsi" w:hAnsiTheme="minorHAnsi"/>
                <w:sz w:val="18"/>
                <w:szCs w:val="18"/>
              </w:rPr>
            </w:pPr>
            <w:r>
              <w:rPr>
                <w:rFonts w:eastAsia="SimSun" w:asciiTheme="minorHAnsi" w:hAnsiTheme="minorHAnsi"/>
                <w:sz w:val="18"/>
                <w:szCs w:val="18"/>
              </w:rPr>
              <w:t>Provide r</w:t>
            </w:r>
            <w:r w:rsidRPr="00FB6E71">
              <w:rPr>
                <w:rFonts w:eastAsia="SimSun" w:asciiTheme="minorHAnsi" w:hAnsiTheme="minorHAnsi"/>
                <w:sz w:val="18"/>
                <w:szCs w:val="18"/>
              </w:rPr>
              <w:t>egular supervision support and monitoring</w:t>
            </w:r>
            <w:r>
              <w:rPr>
                <w:rFonts w:eastAsia="SimSun" w:asciiTheme="minorHAnsi" w:hAnsiTheme="minorHAnsi"/>
                <w:sz w:val="18"/>
                <w:szCs w:val="18"/>
              </w:rPr>
              <w:t>.</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Inefficiencies and delays in procurement process</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tcPr>
          <w:p w:rsidR="007F2DE7" w:rsidRPr="00FB6E71" w:rsidP="007F2DE7">
            <w:pPr>
              <w:widowControl/>
              <w:numPr>
                <w:ilvl w:val="0"/>
                <w:numId w:val="3"/>
              </w:numPr>
              <w:ind w:left="288" w:hanging="288"/>
              <w:rPr>
                <w:rFonts w:eastAsia="SimSun" w:asciiTheme="minorHAnsi" w:hAnsiTheme="minorHAnsi"/>
                <w:sz w:val="18"/>
                <w:szCs w:val="18"/>
              </w:rPr>
            </w:pPr>
            <w:r w:rsidRPr="00FB6E71">
              <w:rPr>
                <w:rFonts w:eastAsia="SimSun" w:asciiTheme="minorHAnsi" w:hAnsiTheme="minorHAnsi"/>
                <w:sz w:val="18"/>
                <w:szCs w:val="18"/>
              </w:rPr>
              <w:t>Regular monitoring through the PP</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 xml:space="preserve">Insufficient competition in procurement </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widowControl/>
              <w:numPr>
                <w:ilvl w:val="0"/>
                <w:numId w:val="4"/>
              </w:numPr>
              <w:ind w:left="288" w:hanging="288"/>
              <w:rPr>
                <w:rFonts w:eastAsia="SimSun" w:asciiTheme="minorHAnsi" w:hAnsiTheme="minorHAnsi"/>
                <w:sz w:val="18"/>
                <w:szCs w:val="18"/>
              </w:rPr>
            </w:pPr>
            <w:r w:rsidRPr="00FB6E71">
              <w:rPr>
                <w:rFonts w:eastAsia="SimSun" w:asciiTheme="minorHAnsi" w:hAnsiTheme="minorHAnsi"/>
                <w:sz w:val="18"/>
                <w:szCs w:val="18"/>
              </w:rPr>
              <w:t>Aggregation of smaller contract packages wherever feasible</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 xml:space="preserve">Contract </w:t>
            </w:r>
            <w:r>
              <w:rPr>
                <w:rFonts w:eastAsia="SimSun" w:asciiTheme="minorHAnsi" w:hAnsiTheme="minorHAnsi"/>
                <w:sz w:val="18"/>
                <w:szCs w:val="18"/>
              </w:rPr>
              <w:t>m</w:t>
            </w:r>
            <w:r w:rsidRPr="00FB6E71">
              <w:rPr>
                <w:rFonts w:eastAsia="SimSun" w:asciiTheme="minorHAnsi" w:hAnsiTheme="minorHAnsi"/>
                <w:sz w:val="18"/>
                <w:szCs w:val="18"/>
              </w:rPr>
              <w:t xml:space="preserve">anagement </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widowControl/>
              <w:numPr>
                <w:ilvl w:val="0"/>
                <w:numId w:val="5"/>
              </w:numPr>
              <w:ind w:left="288" w:hanging="288"/>
              <w:rPr>
                <w:rFonts w:eastAsia="SimSun" w:asciiTheme="minorHAnsi" w:hAnsiTheme="minorHAnsi"/>
                <w:sz w:val="18"/>
                <w:szCs w:val="18"/>
              </w:rPr>
            </w:pPr>
            <w:r w:rsidRPr="00FB6E71">
              <w:rPr>
                <w:rFonts w:eastAsia="SimSun" w:asciiTheme="minorHAnsi" w:hAnsiTheme="minorHAnsi"/>
                <w:sz w:val="18"/>
                <w:szCs w:val="18"/>
              </w:rPr>
              <w:t xml:space="preserve">Disclosure of all contract awards or prior contracts and post review contracts in local newspapers and government website </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Probability of staff handling procurements being transferred</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widowControl/>
              <w:numPr>
                <w:ilvl w:val="0"/>
                <w:numId w:val="6"/>
              </w:numPr>
              <w:ind w:left="288" w:hanging="288"/>
              <w:rPr>
                <w:rFonts w:eastAsia="SimSun" w:asciiTheme="minorHAnsi" w:hAnsiTheme="minorHAnsi"/>
                <w:sz w:val="18"/>
                <w:szCs w:val="18"/>
              </w:rPr>
            </w:pPr>
            <w:r w:rsidRPr="00FB6E71">
              <w:rPr>
                <w:rFonts w:eastAsia="SimSun" w:asciiTheme="minorHAnsi" w:hAnsiTheme="minorHAnsi"/>
                <w:sz w:val="18"/>
                <w:szCs w:val="18"/>
              </w:rPr>
              <w:t>Continue dialogue with the Government to retain trained staff</w:t>
            </w:r>
            <w:r>
              <w:rPr>
                <w:rFonts w:eastAsia="SimSun" w:asciiTheme="minorHAnsi" w:hAnsiTheme="minorHAnsi"/>
                <w:sz w:val="18"/>
                <w:szCs w:val="18"/>
              </w:rPr>
              <w:t>.</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 xml:space="preserve">Fraud and corruption risks </w:t>
            </w:r>
            <w:r>
              <w:rPr>
                <w:rFonts w:eastAsia="SimSun" w:asciiTheme="minorHAnsi" w:hAnsiTheme="minorHAnsi"/>
                <w:sz w:val="18"/>
                <w:szCs w:val="18"/>
              </w:rPr>
              <w:t>(</w:t>
            </w:r>
            <w:r w:rsidRPr="00FB6E71">
              <w:rPr>
                <w:rFonts w:eastAsia="SimSun" w:asciiTheme="minorHAnsi" w:hAnsiTheme="minorHAnsi"/>
                <w:sz w:val="18"/>
                <w:szCs w:val="18"/>
              </w:rPr>
              <w:t>including collusion and outside interference</w:t>
            </w:r>
            <w:r>
              <w:rPr>
                <w:rFonts w:eastAsia="SimSun" w:asciiTheme="minorHAnsi" w:hAnsiTheme="minorHAnsi"/>
                <w:sz w:val="18"/>
                <w:szCs w:val="18"/>
              </w:rPr>
              <w:t>)</w:t>
            </w:r>
            <w:r w:rsidRPr="00FB6E71">
              <w:rPr>
                <w:rFonts w:eastAsia="SimSun" w:asciiTheme="minorHAnsi" w:hAnsiTheme="minorHAnsi"/>
                <w:sz w:val="18"/>
                <w:szCs w:val="18"/>
              </w:rPr>
              <w:t xml:space="preserve"> in contracting process</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tcPr>
          <w:p w:rsidR="007F2DE7" w:rsidRPr="00FB6E71" w:rsidP="007F2DE7">
            <w:pPr>
              <w:widowControl/>
              <w:numPr>
                <w:ilvl w:val="0"/>
                <w:numId w:val="6"/>
              </w:numPr>
              <w:ind w:left="288" w:hanging="288"/>
              <w:rPr>
                <w:rFonts w:eastAsia="SimSun" w:asciiTheme="minorHAnsi" w:hAnsiTheme="minorHAnsi"/>
                <w:sz w:val="18"/>
                <w:szCs w:val="18"/>
              </w:rPr>
            </w:pPr>
            <w:r w:rsidRPr="00FB6E71">
              <w:rPr>
                <w:rFonts w:eastAsia="SimSun" w:asciiTheme="minorHAnsi" w:hAnsiTheme="minorHAnsi"/>
                <w:sz w:val="18"/>
                <w:szCs w:val="18"/>
              </w:rPr>
              <w:t>Disclosure of the PP</w:t>
            </w:r>
          </w:p>
          <w:p w:rsidR="007F2DE7" w:rsidRPr="00FB6E71" w:rsidP="007F2DE7">
            <w:pPr>
              <w:widowControl/>
              <w:numPr>
                <w:ilvl w:val="0"/>
                <w:numId w:val="6"/>
              </w:numPr>
              <w:ind w:left="288" w:hanging="288"/>
              <w:rPr>
                <w:rFonts w:eastAsia="SimSun" w:asciiTheme="minorHAnsi" w:hAnsiTheme="minorHAnsi"/>
                <w:sz w:val="18"/>
                <w:szCs w:val="18"/>
              </w:rPr>
            </w:pPr>
            <w:r w:rsidRPr="00FB6E71">
              <w:rPr>
                <w:rFonts w:eastAsia="SimSun" w:asciiTheme="minorHAnsi" w:hAnsiTheme="minorHAnsi"/>
                <w:sz w:val="18"/>
                <w:szCs w:val="18"/>
              </w:rPr>
              <w:t>Disclosure of contract awards</w:t>
            </w:r>
          </w:p>
          <w:p w:rsidR="007F2DE7" w:rsidRPr="00FB6E71" w:rsidP="007F2DE7">
            <w:pPr>
              <w:widowControl/>
              <w:numPr>
                <w:ilvl w:val="0"/>
                <w:numId w:val="6"/>
              </w:numPr>
              <w:ind w:left="288" w:hanging="288"/>
              <w:rPr>
                <w:rFonts w:eastAsia="SimSun" w:asciiTheme="minorHAnsi" w:hAnsiTheme="minorHAnsi"/>
                <w:sz w:val="18"/>
                <w:szCs w:val="18"/>
              </w:rPr>
            </w:pPr>
            <w:r w:rsidRPr="00FB6E71">
              <w:rPr>
                <w:rFonts w:eastAsia="SimSun" w:asciiTheme="minorHAnsi" w:hAnsiTheme="minorHAnsi"/>
                <w:sz w:val="18"/>
                <w:szCs w:val="18"/>
              </w:rPr>
              <w:t>Creating awareness on effects of fraud and corruption</w:t>
            </w:r>
          </w:p>
          <w:p w:rsidR="007F2DE7" w:rsidRPr="00FB6E71" w:rsidP="007F2DE7">
            <w:pPr>
              <w:widowControl/>
              <w:numPr>
                <w:ilvl w:val="0"/>
                <w:numId w:val="6"/>
              </w:numPr>
              <w:ind w:left="288" w:hanging="288"/>
              <w:rPr>
                <w:rFonts w:eastAsia="SimSun" w:asciiTheme="minorHAnsi" w:hAnsiTheme="minorHAnsi"/>
                <w:sz w:val="18"/>
                <w:szCs w:val="18"/>
              </w:rPr>
            </w:pPr>
            <w:r w:rsidRPr="00FB6E71">
              <w:rPr>
                <w:rFonts w:eastAsia="SimSun" w:asciiTheme="minorHAnsi" w:hAnsiTheme="minorHAnsi"/>
                <w:sz w:val="18"/>
                <w:szCs w:val="18"/>
              </w:rPr>
              <w:t xml:space="preserve">Regular reviews such as PPR, internal </w:t>
            </w:r>
            <w:r>
              <w:rPr>
                <w:rFonts w:eastAsia="SimSun" w:asciiTheme="minorHAnsi" w:hAnsiTheme="minorHAnsi"/>
                <w:sz w:val="18"/>
                <w:szCs w:val="18"/>
              </w:rPr>
              <w:t>a</w:t>
            </w:r>
            <w:r w:rsidRPr="00FB6E71">
              <w:rPr>
                <w:rFonts w:eastAsia="SimSun" w:asciiTheme="minorHAnsi" w:hAnsiTheme="minorHAnsi"/>
                <w:sz w:val="18"/>
                <w:szCs w:val="18"/>
              </w:rPr>
              <w:t>udit, external audit, and so on</w:t>
            </w:r>
          </w:p>
        </w:tc>
      </w:tr>
      <w:tr w:rsidTr="007F2DE7">
        <w:tblPrEx>
          <w:tblW w:w="5000" w:type="pct"/>
          <w:jc w:val="center"/>
          <w:tblLayout w:type="fixed"/>
          <w:tblLook w:val="00A0"/>
        </w:tblPrEx>
        <w:trPr>
          <w:cantSplit/>
          <w:trHeight w:val="20"/>
          <w:jc w:val="center"/>
        </w:trPr>
        <w:tc>
          <w:tcPr>
            <w:tcW w:w="260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spacing w:line="256" w:lineRule="auto"/>
              <w:rPr>
                <w:rFonts w:eastAsia="SimSun" w:asciiTheme="minorHAnsi" w:hAnsiTheme="minorHAnsi"/>
                <w:sz w:val="18"/>
                <w:szCs w:val="18"/>
              </w:rPr>
            </w:pPr>
            <w:r w:rsidRPr="00FB6E71">
              <w:rPr>
                <w:rFonts w:eastAsia="SimSun" w:asciiTheme="minorHAnsi" w:hAnsiTheme="minorHAnsi"/>
                <w:sz w:val="18"/>
                <w:szCs w:val="18"/>
              </w:rPr>
              <w:t>Weak complaint redress system</w:t>
            </w:r>
          </w:p>
        </w:tc>
        <w:tc>
          <w:tcPr>
            <w:tcW w:w="674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hideMark/>
          </w:tcPr>
          <w:p w:rsidR="007F2DE7" w:rsidRPr="00FB6E71" w:rsidP="007F2DE7">
            <w:pPr>
              <w:widowControl/>
              <w:numPr>
                <w:ilvl w:val="0"/>
                <w:numId w:val="7"/>
              </w:numPr>
              <w:ind w:left="288" w:hanging="288"/>
              <w:rPr>
                <w:rFonts w:eastAsia="SimSun" w:asciiTheme="minorHAnsi" w:hAnsiTheme="minorHAnsi"/>
                <w:sz w:val="18"/>
                <w:szCs w:val="18"/>
              </w:rPr>
            </w:pPr>
            <w:r w:rsidRPr="00FB6E71">
              <w:rPr>
                <w:rFonts w:eastAsia="SimSun" w:asciiTheme="minorHAnsi" w:hAnsiTheme="minorHAnsi"/>
                <w:sz w:val="18"/>
                <w:szCs w:val="18"/>
              </w:rPr>
              <w:t>Disclosure of complaint redress procedure through ODPP</w:t>
            </w:r>
            <w:r>
              <w:rPr>
                <w:rFonts w:eastAsia="SimSun" w:asciiTheme="minorHAnsi" w:hAnsiTheme="minorHAnsi"/>
                <w:sz w:val="18"/>
                <w:szCs w:val="18"/>
              </w:rPr>
              <w:t>.</w:t>
            </w:r>
            <w:r w:rsidRPr="00FB6E71">
              <w:rPr>
                <w:rFonts w:eastAsia="SimSun" w:asciiTheme="minorHAnsi" w:hAnsiTheme="minorHAnsi"/>
                <w:sz w:val="18"/>
                <w:szCs w:val="18"/>
              </w:rPr>
              <w:t xml:space="preserve"> </w:t>
            </w:r>
          </w:p>
          <w:p w:rsidR="007F2DE7" w:rsidRPr="00FB6E71" w:rsidP="007F2DE7">
            <w:pPr>
              <w:widowControl/>
              <w:numPr>
                <w:ilvl w:val="0"/>
                <w:numId w:val="7"/>
              </w:numPr>
              <w:ind w:left="288" w:hanging="288"/>
              <w:rPr>
                <w:rFonts w:eastAsia="SimSun" w:asciiTheme="minorHAnsi" w:hAnsiTheme="minorHAnsi"/>
                <w:sz w:val="18"/>
                <w:szCs w:val="18"/>
              </w:rPr>
            </w:pPr>
            <w:r w:rsidRPr="00FB6E71">
              <w:rPr>
                <w:rFonts w:eastAsia="SimSun" w:asciiTheme="minorHAnsi" w:hAnsiTheme="minorHAnsi"/>
                <w:sz w:val="18"/>
                <w:szCs w:val="18"/>
              </w:rPr>
              <w:t>Biannual report of all complaints received and action taken</w:t>
            </w:r>
          </w:p>
        </w:tc>
      </w:tr>
    </w:tbl>
    <w:p w:rsidR="007F2DE7" w:rsidRPr="00FB6E71" w:rsidP="007F2DE7">
      <w:pPr>
        <w:widowControl/>
        <w:jc w:val="center"/>
        <w:rPr>
          <w:rFonts w:asciiTheme="minorHAnsi" w:hAnsiTheme="minorHAnsi"/>
          <w:color w:val="auto"/>
          <w:sz w:val="18"/>
          <w:szCs w:val="18"/>
          <w:lang w:bidi="en-US"/>
        </w:rPr>
      </w:pP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9</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Procurement Action Plan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4860"/>
        <w:gridCol w:w="1800"/>
        <w:gridCol w:w="2155"/>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20"/>
          <w:tblHeader/>
          <w:jc w:val="center"/>
        </w:trPr>
        <w:tc>
          <w:tcPr>
            <w:tcW w:w="535" w:type="dxa"/>
            <w:shd w:val="clear" w:color="auto" w:fill="D9D9D9" w:themeFill="background1" w:themeFillShade="D9"/>
            <w:vAlign w:val="center"/>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No.</w:t>
            </w:r>
          </w:p>
        </w:tc>
        <w:tc>
          <w:tcPr>
            <w:tcW w:w="4860" w:type="dxa"/>
            <w:shd w:val="clear" w:color="auto" w:fill="D9D9D9" w:themeFill="background1" w:themeFillShade="D9"/>
            <w:vAlign w:val="center"/>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Action</w:t>
            </w:r>
          </w:p>
        </w:tc>
        <w:tc>
          <w:tcPr>
            <w:tcW w:w="1800" w:type="dxa"/>
            <w:shd w:val="clear" w:color="auto" w:fill="D9D9D9" w:themeFill="background1" w:themeFillShade="D9"/>
            <w:vAlign w:val="center"/>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 xml:space="preserve">Date </w:t>
            </w:r>
            <w:r>
              <w:rPr>
                <w:rFonts w:asciiTheme="minorHAnsi" w:hAnsiTheme="minorHAnsi"/>
                <w:b/>
                <w:bCs/>
                <w:sz w:val="18"/>
                <w:szCs w:val="18"/>
              </w:rPr>
              <w:t>D</w:t>
            </w:r>
            <w:r w:rsidRPr="00FB6E71">
              <w:rPr>
                <w:rFonts w:asciiTheme="minorHAnsi" w:hAnsiTheme="minorHAnsi"/>
                <w:b/>
                <w:bCs/>
                <w:sz w:val="18"/>
                <w:szCs w:val="18"/>
              </w:rPr>
              <w:t>ue by</w:t>
            </w:r>
          </w:p>
        </w:tc>
        <w:tc>
          <w:tcPr>
            <w:tcW w:w="2155" w:type="dxa"/>
            <w:shd w:val="clear" w:color="auto" w:fill="D9D9D9" w:themeFill="background1" w:themeFillShade="D9"/>
            <w:vAlign w:val="center"/>
          </w:tcPr>
          <w:p w:rsidR="007F2DE7" w:rsidRPr="00FB6E71" w:rsidP="007F2DE7">
            <w:pPr>
              <w:jc w:val="center"/>
              <w:rPr>
                <w:rFonts w:asciiTheme="minorHAnsi" w:hAnsiTheme="minorHAnsi"/>
                <w:b/>
                <w:bCs/>
                <w:sz w:val="18"/>
                <w:szCs w:val="18"/>
              </w:rPr>
            </w:pPr>
            <w:r w:rsidRPr="00FB6E71">
              <w:rPr>
                <w:rFonts w:asciiTheme="minorHAnsi" w:hAnsiTheme="minorHAnsi"/>
                <w:b/>
                <w:bCs/>
                <w:sz w:val="18"/>
                <w:szCs w:val="18"/>
              </w:rPr>
              <w:t>Responsible</w:t>
            </w:r>
            <w:r>
              <w:rPr>
                <w:rFonts w:asciiTheme="minorHAnsi" w:hAnsiTheme="minorHAnsi"/>
                <w:b/>
                <w:bCs/>
                <w:sz w:val="18"/>
                <w:szCs w:val="18"/>
              </w:rPr>
              <w:t xml:space="preserve"> Entity</w:t>
            </w:r>
          </w:p>
        </w:tc>
      </w:tr>
      <w:tr w:rsidTr="007F2DE7">
        <w:tblPrEx>
          <w:tblW w:w="5000" w:type="pct"/>
          <w:jc w:val="center"/>
          <w:tblLayout w:type="fixed"/>
          <w:tblLook w:val="0000"/>
        </w:tblPrEx>
        <w:trPr>
          <w:cantSplit/>
          <w:trHeight w:val="20"/>
          <w:jc w:val="center"/>
        </w:trPr>
        <w:tc>
          <w:tcPr>
            <w:tcW w:w="535" w:type="dxa"/>
            <w:tcBorders>
              <w:top w:val="nil"/>
            </w:tcBorders>
          </w:tcPr>
          <w:p w:rsidR="007F2DE7" w:rsidRPr="00FB6E71" w:rsidP="007F2DE7">
            <w:pPr>
              <w:jc w:val="center"/>
              <w:rPr>
                <w:rFonts w:asciiTheme="minorHAnsi" w:hAnsiTheme="minorHAnsi"/>
                <w:sz w:val="18"/>
                <w:szCs w:val="18"/>
              </w:rPr>
            </w:pPr>
            <w:r w:rsidRPr="00FB6E71">
              <w:rPr>
                <w:rFonts w:asciiTheme="minorHAnsi" w:hAnsiTheme="minorHAnsi"/>
                <w:sz w:val="18"/>
                <w:szCs w:val="18"/>
              </w:rPr>
              <w:t>1</w:t>
            </w:r>
          </w:p>
        </w:tc>
        <w:tc>
          <w:tcPr>
            <w:tcW w:w="4860" w:type="dxa"/>
            <w:tcBorders>
              <w:top w:val="nil"/>
            </w:tcBorders>
          </w:tcPr>
          <w:p w:rsidR="007F2DE7" w:rsidRPr="00FB6E71" w:rsidP="007F2DE7">
            <w:pPr>
              <w:rPr>
                <w:rFonts w:asciiTheme="minorHAnsi" w:hAnsiTheme="minorHAnsi"/>
                <w:sz w:val="18"/>
                <w:szCs w:val="18"/>
              </w:rPr>
            </w:pPr>
            <w:r w:rsidRPr="001A0C92">
              <w:rPr>
                <w:rFonts w:asciiTheme="minorHAnsi" w:hAnsiTheme="minorHAnsi"/>
                <w:sz w:val="18"/>
                <w:szCs w:val="18"/>
              </w:rPr>
              <w:t>Preparation of MCRP PPSD: A draft PPSD in place at Negotiations</w:t>
            </w:r>
          </w:p>
        </w:tc>
        <w:tc>
          <w:tcPr>
            <w:tcW w:w="1800" w:type="dxa"/>
            <w:tcBorders>
              <w:top w:val="nil"/>
            </w:tcBorders>
          </w:tcPr>
          <w:p w:rsidR="007F2DE7" w:rsidRPr="00FB6E71" w:rsidP="007F2DE7">
            <w:pPr>
              <w:rPr>
                <w:rFonts w:asciiTheme="minorHAnsi" w:hAnsiTheme="minorHAnsi"/>
                <w:sz w:val="18"/>
                <w:szCs w:val="18"/>
              </w:rPr>
            </w:pPr>
            <w:r w:rsidRPr="001A0C92">
              <w:rPr>
                <w:rFonts w:asciiTheme="minorHAnsi" w:hAnsiTheme="minorHAnsi"/>
                <w:sz w:val="18"/>
                <w:szCs w:val="18"/>
              </w:rPr>
              <w:t xml:space="preserve">Completed </w:t>
            </w:r>
          </w:p>
        </w:tc>
        <w:tc>
          <w:tcPr>
            <w:tcW w:w="2155" w:type="dxa"/>
            <w:tcBorders>
              <w:top w:val="nil"/>
            </w:tcBorders>
          </w:tcPr>
          <w:p w:rsidR="007F2DE7" w:rsidRPr="00FB6E71" w:rsidP="007F2DE7">
            <w:pPr>
              <w:rPr>
                <w:rFonts w:asciiTheme="minorHAnsi" w:hAnsiTheme="minorHAnsi"/>
                <w:sz w:val="18"/>
                <w:szCs w:val="18"/>
              </w:rPr>
            </w:pPr>
            <w:r w:rsidRPr="00FB6E71">
              <w:rPr>
                <w:rFonts w:asciiTheme="minorHAnsi" w:hAnsiTheme="minorHAnsi"/>
                <w:sz w:val="18"/>
                <w:szCs w:val="18"/>
              </w:rPr>
              <w:t>Borrower/World Bank/Partners</w:t>
            </w:r>
          </w:p>
        </w:tc>
      </w:tr>
      <w:tr w:rsidTr="00302E0C">
        <w:tblPrEx>
          <w:tblW w:w="5000" w:type="pct"/>
          <w:jc w:val="center"/>
          <w:tblLayout w:type="fixed"/>
          <w:tblLook w:val="0000"/>
        </w:tblPrEx>
        <w:trPr>
          <w:cantSplit/>
          <w:trHeight w:val="350"/>
          <w:jc w:val="center"/>
        </w:trPr>
        <w:tc>
          <w:tcPr>
            <w:tcW w:w="535" w:type="dxa"/>
          </w:tcPr>
          <w:p w:rsidR="007F2DE7" w:rsidRPr="00FB6E71" w:rsidP="007F2DE7">
            <w:pPr>
              <w:jc w:val="center"/>
              <w:rPr>
                <w:rFonts w:asciiTheme="minorHAnsi" w:hAnsiTheme="minorHAnsi"/>
                <w:sz w:val="18"/>
                <w:szCs w:val="18"/>
              </w:rPr>
            </w:pPr>
            <w:r w:rsidRPr="00FB6E71">
              <w:rPr>
                <w:rFonts w:asciiTheme="minorHAnsi" w:hAnsiTheme="minorHAnsi"/>
                <w:sz w:val="18"/>
                <w:szCs w:val="18"/>
              </w:rPr>
              <w:t>2</w:t>
            </w:r>
          </w:p>
        </w:tc>
        <w:tc>
          <w:tcPr>
            <w:tcW w:w="4860" w:type="dxa"/>
          </w:tcPr>
          <w:p w:rsidR="007F2DE7" w:rsidRPr="00FB6E71" w:rsidP="007F2DE7">
            <w:pPr>
              <w:rPr>
                <w:rFonts w:asciiTheme="minorHAnsi" w:hAnsiTheme="minorHAnsi"/>
                <w:sz w:val="18"/>
                <w:szCs w:val="18"/>
              </w:rPr>
            </w:pPr>
            <w:r w:rsidRPr="001A0C92">
              <w:rPr>
                <w:rFonts w:asciiTheme="minorHAnsi" w:hAnsiTheme="minorHAnsi"/>
                <w:sz w:val="18"/>
                <w:szCs w:val="18"/>
              </w:rPr>
              <w:t>Cleared MCRP PPSD in place for operationalization by the Borrower</w:t>
            </w:r>
          </w:p>
        </w:tc>
        <w:tc>
          <w:tcPr>
            <w:tcW w:w="1800" w:type="dxa"/>
          </w:tcPr>
          <w:p w:rsidR="007F2DE7" w:rsidRPr="00FB6E71" w:rsidP="007F2DE7">
            <w:pPr>
              <w:rPr>
                <w:rFonts w:asciiTheme="minorHAnsi" w:hAnsiTheme="minorHAnsi"/>
                <w:sz w:val="18"/>
                <w:szCs w:val="18"/>
              </w:rPr>
            </w:pPr>
            <w:r w:rsidRPr="001A0C92">
              <w:rPr>
                <w:rFonts w:asciiTheme="minorHAnsi" w:hAnsiTheme="minorHAnsi"/>
                <w:sz w:val="18"/>
                <w:szCs w:val="18"/>
              </w:rPr>
              <w:t>Before project effectiveness</w:t>
            </w:r>
          </w:p>
        </w:tc>
        <w:tc>
          <w:tcPr>
            <w:tcW w:w="2155" w:type="dxa"/>
          </w:tcPr>
          <w:p w:rsidR="007F2DE7" w:rsidRPr="00FB6E71" w:rsidP="007F2DE7">
            <w:pPr>
              <w:rPr>
                <w:rFonts w:asciiTheme="minorHAnsi" w:hAnsiTheme="minorHAnsi"/>
                <w:sz w:val="18"/>
                <w:szCs w:val="18"/>
              </w:rPr>
            </w:pPr>
            <w:r w:rsidRPr="00FB6E71">
              <w:rPr>
                <w:rFonts w:asciiTheme="minorHAnsi" w:hAnsiTheme="minorHAnsi"/>
                <w:sz w:val="18"/>
                <w:szCs w:val="18"/>
              </w:rPr>
              <w:t>World Bank</w:t>
            </w:r>
            <w:r>
              <w:rPr>
                <w:rFonts w:asciiTheme="minorHAnsi" w:hAnsiTheme="minorHAnsi"/>
                <w:sz w:val="18"/>
                <w:szCs w:val="18"/>
              </w:rPr>
              <w:t>/Borrower</w:t>
            </w:r>
          </w:p>
        </w:tc>
      </w:tr>
      <w:tr w:rsidTr="007F2DE7">
        <w:tblPrEx>
          <w:tblW w:w="5000" w:type="pct"/>
          <w:jc w:val="center"/>
          <w:tblLayout w:type="fixed"/>
          <w:tblLook w:val="0000"/>
        </w:tblPrEx>
        <w:trPr>
          <w:cantSplit/>
          <w:trHeight w:val="20"/>
          <w:jc w:val="center"/>
        </w:trPr>
        <w:tc>
          <w:tcPr>
            <w:tcW w:w="535" w:type="dxa"/>
          </w:tcPr>
          <w:p w:rsidR="007F2DE7" w:rsidRPr="00FB6E71" w:rsidP="007F2DE7">
            <w:pPr>
              <w:jc w:val="center"/>
              <w:rPr>
                <w:rFonts w:asciiTheme="minorHAnsi" w:hAnsiTheme="minorHAnsi"/>
                <w:sz w:val="18"/>
                <w:szCs w:val="18"/>
              </w:rPr>
            </w:pPr>
            <w:r w:rsidRPr="00FB6E71">
              <w:rPr>
                <w:rFonts w:asciiTheme="minorHAnsi" w:hAnsiTheme="minorHAnsi"/>
                <w:sz w:val="18"/>
                <w:szCs w:val="18"/>
              </w:rPr>
              <w:t>3</w:t>
            </w:r>
          </w:p>
        </w:tc>
        <w:tc>
          <w:tcPr>
            <w:tcW w:w="4860" w:type="dxa"/>
          </w:tcPr>
          <w:p w:rsidR="007F2DE7" w:rsidRPr="00FB6E71" w:rsidP="007F2DE7">
            <w:pPr>
              <w:rPr>
                <w:rFonts w:asciiTheme="minorHAnsi" w:hAnsiTheme="minorHAnsi"/>
                <w:sz w:val="18"/>
                <w:szCs w:val="18"/>
              </w:rPr>
            </w:pPr>
            <w:r w:rsidRPr="001A0C92">
              <w:rPr>
                <w:rFonts w:asciiTheme="minorHAnsi" w:hAnsiTheme="minorHAnsi"/>
                <w:sz w:val="18"/>
                <w:szCs w:val="18"/>
              </w:rPr>
              <w:t>Designate Procurement focal staff at the Federal and State (Agencies and Sectors)</w:t>
            </w:r>
          </w:p>
        </w:tc>
        <w:tc>
          <w:tcPr>
            <w:tcW w:w="1800" w:type="dxa"/>
          </w:tcPr>
          <w:p w:rsidR="007F2DE7" w:rsidRPr="00FB6E71" w:rsidP="007F2DE7">
            <w:pPr>
              <w:rPr>
                <w:rFonts w:asciiTheme="minorHAnsi" w:hAnsiTheme="minorHAnsi"/>
                <w:sz w:val="18"/>
                <w:szCs w:val="18"/>
              </w:rPr>
            </w:pPr>
            <w:r w:rsidRPr="001A0C92">
              <w:rPr>
                <w:rFonts w:asciiTheme="minorHAnsi" w:hAnsiTheme="minorHAnsi"/>
                <w:sz w:val="18"/>
                <w:szCs w:val="18"/>
              </w:rPr>
              <w:t>Completed, and to be continuously updated</w:t>
            </w:r>
          </w:p>
        </w:tc>
        <w:tc>
          <w:tcPr>
            <w:tcW w:w="2155" w:type="dxa"/>
          </w:tcPr>
          <w:p w:rsidR="007F2DE7" w:rsidRPr="00FB6E71" w:rsidP="007F2DE7">
            <w:pPr>
              <w:rPr>
                <w:rFonts w:asciiTheme="minorHAnsi" w:hAnsiTheme="minorHAnsi"/>
                <w:sz w:val="18"/>
                <w:szCs w:val="18"/>
              </w:rPr>
            </w:pPr>
            <w:r w:rsidRPr="00FB6E71">
              <w:rPr>
                <w:rFonts w:asciiTheme="minorHAnsi" w:hAnsiTheme="minorHAnsi"/>
                <w:sz w:val="18"/>
                <w:szCs w:val="18"/>
              </w:rPr>
              <w:t>Borrower/World Bank</w:t>
            </w:r>
          </w:p>
        </w:tc>
      </w:tr>
      <w:tr w:rsidTr="007F2DE7">
        <w:tblPrEx>
          <w:tblW w:w="5000" w:type="pct"/>
          <w:jc w:val="center"/>
          <w:tblLayout w:type="fixed"/>
          <w:tblLook w:val="0000"/>
        </w:tblPrEx>
        <w:trPr>
          <w:cantSplit/>
          <w:trHeight w:val="20"/>
          <w:jc w:val="center"/>
        </w:trPr>
        <w:tc>
          <w:tcPr>
            <w:tcW w:w="535" w:type="dxa"/>
          </w:tcPr>
          <w:p w:rsidR="007F2DE7" w:rsidRPr="00FB6E71" w:rsidP="007F2DE7">
            <w:pPr>
              <w:jc w:val="center"/>
              <w:rPr>
                <w:rFonts w:asciiTheme="minorHAnsi" w:hAnsiTheme="minorHAnsi"/>
                <w:sz w:val="18"/>
                <w:szCs w:val="18"/>
              </w:rPr>
            </w:pPr>
            <w:r w:rsidRPr="00FB6E71">
              <w:rPr>
                <w:rFonts w:asciiTheme="minorHAnsi" w:hAnsiTheme="minorHAnsi"/>
                <w:sz w:val="18"/>
                <w:szCs w:val="18"/>
              </w:rPr>
              <w:t>4</w:t>
            </w:r>
          </w:p>
        </w:tc>
        <w:tc>
          <w:tcPr>
            <w:tcW w:w="4860" w:type="dxa"/>
          </w:tcPr>
          <w:p w:rsidR="007F2DE7" w:rsidRPr="00FB6E71" w:rsidP="007F2DE7">
            <w:pPr>
              <w:rPr>
                <w:rFonts w:asciiTheme="minorHAnsi" w:hAnsiTheme="minorHAnsi"/>
                <w:sz w:val="18"/>
                <w:szCs w:val="18"/>
              </w:rPr>
            </w:pPr>
            <w:r w:rsidRPr="001A0C92">
              <w:rPr>
                <w:rFonts w:asciiTheme="minorHAnsi" w:hAnsiTheme="minorHAnsi"/>
                <w:sz w:val="18"/>
                <w:szCs w:val="18"/>
              </w:rPr>
              <w:t xml:space="preserve">Train designated Procurement Officers and PCU staff in World Procurement Regulations for Borrowers. </w:t>
            </w:r>
          </w:p>
        </w:tc>
        <w:tc>
          <w:tcPr>
            <w:tcW w:w="1800" w:type="dxa"/>
          </w:tcPr>
          <w:p w:rsidR="007F2DE7" w:rsidRPr="00FB6E71" w:rsidP="007F2DE7">
            <w:pPr>
              <w:rPr>
                <w:rFonts w:asciiTheme="minorHAnsi" w:hAnsiTheme="minorHAnsi"/>
                <w:sz w:val="18"/>
                <w:szCs w:val="18"/>
              </w:rPr>
            </w:pPr>
            <w:r w:rsidRPr="001A0C92">
              <w:rPr>
                <w:rFonts w:asciiTheme="minorHAnsi" w:hAnsiTheme="minorHAnsi"/>
                <w:sz w:val="18"/>
                <w:szCs w:val="18"/>
              </w:rPr>
              <w:t>STEP</w:t>
            </w:r>
            <w:r>
              <w:rPr>
                <w:rFonts w:asciiTheme="minorHAnsi" w:hAnsiTheme="minorHAnsi"/>
                <w:sz w:val="18"/>
                <w:szCs w:val="18"/>
                <w:vertAlign w:val="superscript"/>
              </w:rPr>
              <w:footnoteReference w:id="19"/>
            </w:r>
            <w:r w:rsidRPr="001A0C92">
              <w:rPr>
                <w:rFonts w:asciiTheme="minorHAnsi" w:hAnsiTheme="minorHAnsi"/>
                <w:sz w:val="18"/>
                <w:szCs w:val="18"/>
                <w:vertAlign w:val="superscript"/>
              </w:rPr>
              <w:t xml:space="preserve"> </w:t>
            </w:r>
            <w:r w:rsidRPr="001A0C92">
              <w:rPr>
                <w:rFonts w:asciiTheme="minorHAnsi" w:hAnsiTheme="minorHAnsi"/>
                <w:sz w:val="18"/>
                <w:szCs w:val="18"/>
              </w:rPr>
              <w:t>training completed o</w:t>
            </w:r>
            <w:r>
              <w:rPr>
                <w:rFonts w:asciiTheme="minorHAnsi" w:hAnsiTheme="minorHAnsi"/>
                <w:sz w:val="18"/>
                <w:szCs w:val="18"/>
              </w:rPr>
              <w:t>n</w:t>
            </w:r>
            <w:r w:rsidRPr="00FD18F8">
              <w:rPr>
                <w:rFonts w:asciiTheme="minorHAnsi" w:hAnsiTheme="minorHAnsi"/>
                <w:sz w:val="18"/>
                <w:szCs w:val="18"/>
              </w:rPr>
              <w:t xml:space="preserve"> February</w:t>
            </w:r>
            <w:r w:rsidRPr="001A0C92">
              <w:rPr>
                <w:rFonts w:asciiTheme="minorHAnsi" w:hAnsiTheme="minorHAnsi"/>
                <w:sz w:val="18"/>
                <w:szCs w:val="18"/>
              </w:rPr>
              <w:t xml:space="preserve"> 17th, 2017. Training on Procurement Regulations for Borrowers to be given on a continuous basis.</w:t>
            </w:r>
          </w:p>
        </w:tc>
        <w:tc>
          <w:tcPr>
            <w:tcW w:w="2155" w:type="dxa"/>
          </w:tcPr>
          <w:p w:rsidR="007F2DE7" w:rsidRPr="00FB6E71" w:rsidP="007F2DE7">
            <w:pPr>
              <w:rPr>
                <w:rFonts w:asciiTheme="minorHAnsi" w:hAnsiTheme="minorHAnsi"/>
                <w:sz w:val="18"/>
                <w:szCs w:val="18"/>
              </w:rPr>
            </w:pPr>
            <w:r w:rsidRPr="00FB6E71">
              <w:rPr>
                <w:rFonts w:asciiTheme="minorHAnsi" w:hAnsiTheme="minorHAnsi"/>
                <w:sz w:val="18"/>
                <w:szCs w:val="18"/>
              </w:rPr>
              <w:t>World Bank</w:t>
            </w:r>
            <w:r>
              <w:rPr>
                <w:rFonts w:asciiTheme="minorHAnsi" w:hAnsiTheme="minorHAnsi"/>
                <w:sz w:val="18"/>
                <w:szCs w:val="18"/>
              </w:rPr>
              <w:t>/Partners</w:t>
            </w:r>
          </w:p>
        </w:tc>
      </w:tr>
      <w:tr w:rsidTr="007F2DE7">
        <w:tblPrEx>
          <w:tblW w:w="5000" w:type="pct"/>
          <w:jc w:val="center"/>
          <w:tblLayout w:type="fixed"/>
          <w:tblLook w:val="0000"/>
        </w:tblPrEx>
        <w:trPr>
          <w:cantSplit/>
          <w:trHeight w:val="20"/>
          <w:jc w:val="center"/>
        </w:trPr>
        <w:tc>
          <w:tcPr>
            <w:tcW w:w="535" w:type="dxa"/>
          </w:tcPr>
          <w:p w:rsidR="007F2DE7" w:rsidRPr="00FB6E71" w:rsidP="007F2DE7">
            <w:pPr>
              <w:jc w:val="center"/>
              <w:rPr>
                <w:rFonts w:asciiTheme="minorHAnsi" w:hAnsiTheme="minorHAnsi"/>
                <w:sz w:val="18"/>
                <w:szCs w:val="18"/>
              </w:rPr>
            </w:pPr>
            <w:r w:rsidRPr="00FB6E71">
              <w:rPr>
                <w:rFonts w:asciiTheme="minorHAnsi" w:hAnsiTheme="minorHAnsi"/>
                <w:sz w:val="18"/>
                <w:szCs w:val="18"/>
              </w:rPr>
              <w:t>5</w:t>
            </w:r>
          </w:p>
        </w:tc>
        <w:tc>
          <w:tcPr>
            <w:tcW w:w="4860" w:type="dxa"/>
          </w:tcPr>
          <w:p w:rsidR="007F2DE7" w:rsidRPr="00FB6E71" w:rsidP="007F2DE7">
            <w:pPr>
              <w:rPr>
                <w:rFonts w:asciiTheme="minorHAnsi" w:hAnsiTheme="minorHAnsi"/>
                <w:sz w:val="18"/>
                <w:szCs w:val="18"/>
              </w:rPr>
            </w:pPr>
            <w:r w:rsidRPr="001A0C92">
              <w:rPr>
                <w:rFonts w:asciiTheme="minorHAnsi" w:hAnsiTheme="minorHAnsi"/>
                <w:sz w:val="18"/>
                <w:szCs w:val="18"/>
              </w:rPr>
              <w:t>Agreement on Memorandum of procurement services and service standards as part of PPSD and modalities for advance contracting and retroactive financing</w:t>
            </w:r>
          </w:p>
        </w:tc>
        <w:tc>
          <w:tcPr>
            <w:tcW w:w="1800" w:type="dxa"/>
          </w:tcPr>
          <w:p w:rsidR="007F2DE7" w:rsidRPr="00FB6E71" w:rsidP="007F2DE7">
            <w:pPr>
              <w:rPr>
                <w:rFonts w:asciiTheme="minorHAnsi" w:hAnsiTheme="minorHAnsi"/>
                <w:sz w:val="18"/>
                <w:szCs w:val="18"/>
              </w:rPr>
            </w:pPr>
            <w:r w:rsidRPr="001A0C92">
              <w:rPr>
                <w:rFonts w:asciiTheme="minorHAnsi" w:hAnsiTheme="minorHAnsi"/>
                <w:sz w:val="18"/>
                <w:szCs w:val="18"/>
              </w:rPr>
              <w:t>Immediately and will be reviewed on a continuous basis where necessary</w:t>
            </w:r>
          </w:p>
        </w:tc>
        <w:tc>
          <w:tcPr>
            <w:tcW w:w="2155" w:type="dxa"/>
          </w:tcPr>
          <w:p w:rsidR="007F2DE7" w:rsidRPr="00FB6E71" w:rsidP="007F2DE7">
            <w:pPr>
              <w:rPr>
                <w:rFonts w:asciiTheme="minorHAnsi" w:hAnsiTheme="minorHAnsi"/>
                <w:sz w:val="18"/>
                <w:szCs w:val="18"/>
              </w:rPr>
            </w:pPr>
            <w:r w:rsidRPr="00FB6E71">
              <w:rPr>
                <w:rFonts w:asciiTheme="minorHAnsi" w:hAnsiTheme="minorHAnsi"/>
                <w:sz w:val="18"/>
                <w:szCs w:val="18"/>
              </w:rPr>
              <w:t>Borrower/World Bank/Partners</w:t>
            </w:r>
          </w:p>
        </w:tc>
      </w:tr>
    </w:tbl>
    <w:p w:rsidR="007F2DE7" w:rsidRPr="00FB6E71" w:rsidP="007F2DE7">
      <w:pPr>
        <w:widowControl/>
        <w:jc w:val="center"/>
        <w:rPr>
          <w:rFonts w:asciiTheme="minorHAnsi" w:hAnsiTheme="minorHAnsi"/>
          <w:color w:val="auto"/>
          <w:sz w:val="18"/>
          <w:szCs w:val="18"/>
          <w:lang w:bidi="en-US"/>
        </w:rPr>
      </w:pP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 xml:space="preserve">Environmental and Social (including </w:t>
      </w:r>
      <w:r>
        <w:rPr>
          <w:rFonts w:asciiTheme="minorHAnsi" w:hAnsiTheme="minorHAnsi"/>
          <w:b/>
          <w:color w:val="172D5F"/>
          <w:sz w:val="22"/>
          <w:szCs w:val="22"/>
        </w:rPr>
        <w:t>S</w:t>
      </w:r>
      <w:r w:rsidRPr="00FB6E71">
        <w:rPr>
          <w:rFonts w:asciiTheme="minorHAnsi" w:hAnsiTheme="minorHAnsi"/>
          <w:b/>
          <w:color w:val="172D5F"/>
          <w:sz w:val="22"/>
          <w:szCs w:val="22"/>
        </w:rPr>
        <w:t>afeguards)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 xml:space="preserve">Application of </w:t>
      </w:r>
      <w:r>
        <w:rPr>
          <w:rFonts w:asciiTheme="minorHAnsi" w:hAnsiTheme="minorHAnsi"/>
          <w:b/>
          <w:sz w:val="22"/>
          <w:szCs w:val="22"/>
        </w:rPr>
        <w:t xml:space="preserve">the </w:t>
      </w:r>
      <w:r w:rsidRPr="00FB6E71">
        <w:rPr>
          <w:rFonts w:asciiTheme="minorHAnsi" w:hAnsiTheme="minorHAnsi"/>
          <w:b/>
          <w:sz w:val="22"/>
          <w:szCs w:val="22"/>
        </w:rPr>
        <w:t xml:space="preserve">World Bank </w:t>
      </w:r>
      <w:r>
        <w:rPr>
          <w:rFonts w:asciiTheme="minorHAnsi" w:hAnsiTheme="minorHAnsi"/>
          <w:b/>
          <w:sz w:val="22"/>
          <w:szCs w:val="22"/>
        </w:rPr>
        <w:t>s</w:t>
      </w:r>
      <w:r w:rsidRPr="00FB6E71">
        <w:rPr>
          <w:rFonts w:asciiTheme="minorHAnsi" w:hAnsiTheme="minorHAnsi"/>
          <w:b/>
          <w:sz w:val="22"/>
          <w:szCs w:val="22"/>
        </w:rPr>
        <w:t xml:space="preserve">afeguards </w:t>
      </w:r>
      <w:r>
        <w:rPr>
          <w:rFonts w:asciiTheme="minorHAnsi" w:hAnsiTheme="minorHAnsi"/>
          <w:b/>
          <w:sz w:val="22"/>
          <w:szCs w:val="22"/>
        </w:rPr>
        <w:t>p</w:t>
      </w:r>
      <w:r w:rsidRPr="00FB6E71">
        <w:rPr>
          <w:rFonts w:asciiTheme="minorHAnsi" w:hAnsiTheme="minorHAnsi"/>
          <w:b/>
          <w:sz w:val="22"/>
          <w:szCs w:val="22"/>
        </w:rPr>
        <w:t>olicies</w:t>
      </w:r>
      <w:r>
        <w:rPr>
          <w:rFonts w:asciiTheme="minorHAnsi" w:hAnsiTheme="minorHAnsi"/>
          <w:b/>
          <w:sz w:val="22"/>
          <w:szCs w:val="22"/>
        </w:rPr>
        <w:t>.</w:t>
      </w:r>
      <w:r w:rsidRPr="00FB6E71">
        <w:rPr>
          <w:rFonts w:asciiTheme="minorHAnsi" w:hAnsiTheme="minorHAnsi"/>
          <w:sz w:val="22"/>
          <w:szCs w:val="22"/>
        </w:rPr>
        <w:t xml:space="preserve"> The reconstruction and rehabilitation of affected basic social and physical infrastructure anticipates </w:t>
      </w:r>
      <w:r>
        <w:rPr>
          <w:rFonts w:asciiTheme="minorHAnsi" w:hAnsiTheme="minorHAnsi"/>
          <w:sz w:val="22"/>
          <w:szCs w:val="22"/>
        </w:rPr>
        <w:t xml:space="preserve">the </w:t>
      </w:r>
      <w:r w:rsidRPr="00FB6E71">
        <w:rPr>
          <w:rFonts w:asciiTheme="minorHAnsi" w:hAnsiTheme="minorHAnsi"/>
          <w:sz w:val="22"/>
          <w:szCs w:val="22"/>
        </w:rPr>
        <w:t>construction of new infrastructure to improve existing living conditions in BAY states and improve conditions before the conflict. As such, the project could involve land acquisition</w:t>
      </w:r>
      <w:r>
        <w:rPr>
          <w:rFonts w:asciiTheme="minorHAnsi" w:hAnsiTheme="minorHAnsi"/>
          <w:sz w:val="22"/>
          <w:szCs w:val="22"/>
        </w:rPr>
        <w:t>,</w:t>
      </w:r>
      <w:r w:rsidRPr="00FB6E71">
        <w:rPr>
          <w:rFonts w:asciiTheme="minorHAnsi" w:hAnsiTheme="minorHAnsi"/>
          <w:sz w:val="22"/>
          <w:szCs w:val="22"/>
        </w:rPr>
        <w:t xml:space="preserve"> and based on this condition, the World Bank policy on Involuntary Resettlement </w:t>
      </w:r>
      <w:r>
        <w:rPr>
          <w:rFonts w:asciiTheme="minorHAnsi" w:hAnsiTheme="minorHAnsi"/>
          <w:sz w:val="22"/>
          <w:szCs w:val="22"/>
        </w:rPr>
        <w:t>(</w:t>
      </w:r>
      <w:r w:rsidRPr="00FB6E71">
        <w:rPr>
          <w:rFonts w:asciiTheme="minorHAnsi" w:hAnsiTheme="minorHAnsi"/>
          <w:sz w:val="22"/>
          <w:szCs w:val="22"/>
        </w:rPr>
        <w:t>OP 4.12</w:t>
      </w:r>
      <w:r>
        <w:rPr>
          <w:rFonts w:asciiTheme="minorHAnsi" w:hAnsiTheme="minorHAnsi"/>
          <w:sz w:val="22"/>
          <w:szCs w:val="22"/>
        </w:rPr>
        <w:t>)</w:t>
      </w:r>
      <w:r w:rsidRPr="00FB6E71">
        <w:rPr>
          <w:rFonts w:asciiTheme="minorHAnsi" w:hAnsiTheme="minorHAnsi"/>
          <w:sz w:val="22"/>
          <w:szCs w:val="22"/>
        </w:rPr>
        <w:t xml:space="preserve"> is triggered. </w:t>
      </w:r>
    </w:p>
    <w:p w:rsidR="007F2DE7" w:rsidRPr="00FB6E71" w:rsidP="007F2DE7">
      <w:pPr>
        <w:keepNext/>
        <w:keepLines/>
        <w:widowControl/>
        <w:spacing w:after="240"/>
        <w:ind w:left="-634"/>
        <w:rPr>
          <w:rFonts w:asciiTheme="minorHAnsi" w:hAnsiTheme="minorHAnsi"/>
          <w:b/>
          <w:color w:val="auto"/>
          <w:sz w:val="22"/>
          <w:szCs w:val="22"/>
        </w:rPr>
      </w:pPr>
      <w:r w:rsidRPr="00FB6E71">
        <w:rPr>
          <w:rFonts w:asciiTheme="minorHAnsi" w:hAnsiTheme="minorHAnsi"/>
          <w:b/>
          <w:color w:val="auto"/>
          <w:sz w:val="22"/>
          <w:szCs w:val="22"/>
        </w:rPr>
        <w:t xml:space="preserve">Safeguards Action Plan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rPr>
        <w:t>Objective</w:t>
      </w:r>
      <w:r>
        <w:rPr>
          <w:rFonts w:asciiTheme="minorHAnsi" w:hAnsiTheme="minorHAnsi" w:cs="Times New Roman"/>
          <w:b/>
          <w:sz w:val="22"/>
          <w:szCs w:val="22"/>
        </w:rPr>
        <w:t>.</w:t>
      </w:r>
      <w:r w:rsidRPr="00FB6E71">
        <w:rPr>
          <w:rFonts w:asciiTheme="minorHAnsi" w:hAnsiTheme="minorHAnsi" w:cs="Times New Roman"/>
          <w:sz w:val="22"/>
          <w:szCs w:val="22"/>
        </w:rPr>
        <w:t xml:space="preserve"> The objective of this SAP is to ensure that the planned project activities and related E&amp;S assessment and management instruments and processes will be in compliance with the national legislation of Nigeria as well as the World Bank’s operational safeguards policies and are duly and diligently implemented in a logical sequence with the environmentally and socially relevant project activities. This means that, as a general principle, E&amp;S assessments and instruments should be completed, disclosed</w:t>
      </w:r>
      <w:r>
        <w:rPr>
          <w:rFonts w:asciiTheme="minorHAnsi" w:hAnsiTheme="minorHAnsi" w:cs="Times New Roman"/>
          <w:sz w:val="22"/>
          <w:szCs w:val="22"/>
        </w:rPr>
        <w:t>,</w:t>
      </w:r>
      <w:r w:rsidRPr="00FB6E71">
        <w:rPr>
          <w:rFonts w:asciiTheme="minorHAnsi" w:hAnsiTheme="minorHAnsi" w:cs="Times New Roman"/>
          <w:sz w:val="22"/>
          <w:szCs w:val="22"/>
        </w:rPr>
        <w:t xml:space="preserve"> and consulted on </w:t>
      </w:r>
      <w:r>
        <w:rPr>
          <w:rFonts w:asciiTheme="minorHAnsi" w:hAnsiTheme="minorHAnsi" w:cs="Times New Roman"/>
          <w:sz w:val="22"/>
          <w:szCs w:val="22"/>
        </w:rPr>
        <w:t xml:space="preserve">(a) </w:t>
      </w:r>
      <w:r w:rsidRPr="00FB6E71">
        <w:rPr>
          <w:rFonts w:asciiTheme="minorHAnsi" w:hAnsiTheme="minorHAnsi" w:cs="Times New Roman"/>
          <w:sz w:val="22"/>
          <w:szCs w:val="22"/>
        </w:rPr>
        <w:t>before project-funded activities with relevant E&amp;S footprints may commence and (b) in case of more complex/large</w:t>
      </w:r>
      <w:r>
        <w:rPr>
          <w:rFonts w:asciiTheme="minorHAnsi" w:hAnsiTheme="minorHAnsi" w:cs="Times New Roman"/>
          <w:sz w:val="22"/>
          <w:szCs w:val="22"/>
        </w:rPr>
        <w:t>-</w:t>
      </w:r>
      <w:r w:rsidRPr="00FB6E71">
        <w:rPr>
          <w:rFonts w:asciiTheme="minorHAnsi" w:hAnsiTheme="minorHAnsi" w:cs="Times New Roman"/>
          <w:sz w:val="22"/>
          <w:szCs w:val="22"/>
        </w:rPr>
        <w:t xml:space="preserve">scale activities, before designs are finalized and contracts </w:t>
      </w:r>
      <w:r>
        <w:rPr>
          <w:rFonts w:asciiTheme="minorHAnsi" w:hAnsiTheme="minorHAnsi" w:cs="Times New Roman"/>
          <w:sz w:val="22"/>
          <w:szCs w:val="22"/>
        </w:rPr>
        <w:t xml:space="preserve">are </w:t>
      </w:r>
      <w:r w:rsidRPr="00FB6E71">
        <w:rPr>
          <w:rFonts w:asciiTheme="minorHAnsi" w:hAnsiTheme="minorHAnsi" w:cs="Times New Roman"/>
          <w:sz w:val="22"/>
          <w:szCs w:val="22"/>
        </w:rPr>
        <w:t>awarded.</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rPr>
        <w:t xml:space="preserve">This SAP was prepared by the </w:t>
      </w:r>
      <w:r>
        <w:rPr>
          <w:rFonts w:asciiTheme="minorHAnsi" w:hAnsiTheme="minorHAnsi" w:cs="Times New Roman"/>
          <w:b/>
          <w:sz w:val="22"/>
          <w:szCs w:val="22"/>
        </w:rPr>
        <w:t>t</w:t>
      </w:r>
      <w:r w:rsidRPr="00FB6E71">
        <w:rPr>
          <w:rFonts w:asciiTheme="minorHAnsi" w:hAnsiTheme="minorHAnsi" w:cs="Times New Roman"/>
          <w:b/>
          <w:sz w:val="22"/>
          <w:szCs w:val="22"/>
        </w:rPr>
        <w:t xml:space="preserve">ask </w:t>
      </w:r>
      <w:r>
        <w:rPr>
          <w:rFonts w:asciiTheme="minorHAnsi" w:hAnsiTheme="minorHAnsi" w:cs="Times New Roman"/>
          <w:b/>
          <w:sz w:val="22"/>
          <w:szCs w:val="22"/>
        </w:rPr>
        <w:t>t</w:t>
      </w:r>
      <w:r w:rsidRPr="00FB6E71">
        <w:rPr>
          <w:rFonts w:asciiTheme="minorHAnsi" w:hAnsiTheme="minorHAnsi" w:cs="Times New Roman"/>
          <w:b/>
          <w:sz w:val="22"/>
          <w:szCs w:val="22"/>
        </w:rPr>
        <w:t>eam under OP 10.00, paragraph 12</w:t>
      </w:r>
      <w:r>
        <w:rPr>
          <w:rFonts w:asciiTheme="minorHAnsi" w:hAnsiTheme="minorHAnsi" w:cs="Times New Roman"/>
          <w:b/>
          <w:sz w:val="22"/>
          <w:szCs w:val="22"/>
        </w:rPr>
        <w:t>,</w:t>
      </w:r>
      <w:r w:rsidRPr="00FB6E71">
        <w:rPr>
          <w:rFonts w:asciiTheme="minorHAnsi" w:hAnsiTheme="minorHAnsi" w:cs="Times New Roman"/>
          <w:b/>
          <w:sz w:val="22"/>
          <w:szCs w:val="22"/>
        </w:rPr>
        <w:t xml:space="preserve"> for projects in situations of urgent need for assistance</w:t>
      </w:r>
      <w:r>
        <w:rPr>
          <w:rFonts w:asciiTheme="minorHAnsi" w:hAnsiTheme="minorHAnsi" w:cs="Times New Roman"/>
          <w:b/>
          <w:sz w:val="22"/>
          <w:szCs w:val="22"/>
        </w:rPr>
        <w:t>,</w:t>
      </w:r>
      <w:r w:rsidRPr="00FB6E71">
        <w:rPr>
          <w:rFonts w:asciiTheme="minorHAnsi" w:hAnsiTheme="minorHAnsi" w:cs="Times New Roman"/>
          <w:b/>
          <w:sz w:val="22"/>
          <w:szCs w:val="22"/>
        </w:rPr>
        <w:t xml:space="preserve"> and additional Operational Policies </w:t>
      </w:r>
      <w:r>
        <w:rPr>
          <w:rFonts w:asciiTheme="minorHAnsi" w:hAnsiTheme="minorHAnsi" w:cs="Times New Roman"/>
          <w:b/>
          <w:sz w:val="22"/>
          <w:szCs w:val="22"/>
        </w:rPr>
        <w:t xml:space="preserve">- </w:t>
      </w:r>
      <w:r w:rsidRPr="00FB6E71">
        <w:rPr>
          <w:rFonts w:asciiTheme="minorHAnsi" w:hAnsiTheme="minorHAnsi" w:cs="Times New Roman"/>
          <w:b/>
          <w:sz w:val="22"/>
          <w:szCs w:val="22"/>
        </w:rPr>
        <w:t>OP 4.01, OP 4.04, OP 4.11, and OP 4.12 have been triggered</w:t>
      </w:r>
      <w:r w:rsidRPr="004E283C">
        <w:rPr>
          <w:rFonts w:asciiTheme="minorHAnsi" w:hAnsiTheme="minorHAnsi" w:cs="Times New Roman"/>
          <w:b/>
          <w:sz w:val="22"/>
          <w:szCs w:val="22"/>
        </w:rPr>
        <w:t>.</w:t>
      </w:r>
      <w:r w:rsidRPr="00FB6E71">
        <w:rPr>
          <w:rFonts w:asciiTheme="minorHAnsi" w:hAnsiTheme="minorHAnsi" w:cs="Times New Roman"/>
          <w:sz w:val="22"/>
          <w:szCs w:val="22"/>
        </w:rPr>
        <w:t xml:space="preserve"> As such</w:t>
      </w:r>
      <w:r>
        <w:rPr>
          <w:rFonts w:asciiTheme="minorHAnsi" w:hAnsiTheme="minorHAnsi" w:cs="Times New Roman"/>
          <w:sz w:val="22"/>
          <w:szCs w:val="22"/>
        </w:rPr>
        <w:t>,</w:t>
      </w:r>
      <w:r w:rsidRPr="00FB6E71">
        <w:rPr>
          <w:rFonts w:asciiTheme="minorHAnsi" w:hAnsiTheme="minorHAnsi" w:cs="Times New Roman"/>
          <w:sz w:val="22"/>
          <w:szCs w:val="22"/>
        </w:rPr>
        <w:t xml:space="preserve"> this SAP is subject to public disclosure as part of the </w:t>
      </w:r>
      <w:r>
        <w:rPr>
          <w:rFonts w:asciiTheme="minorHAnsi" w:hAnsiTheme="minorHAnsi" w:cs="Times New Roman"/>
          <w:sz w:val="22"/>
          <w:szCs w:val="22"/>
        </w:rPr>
        <w:t>Project Appraisal Document</w:t>
      </w:r>
      <w:r w:rsidRPr="00FB6E71">
        <w:rPr>
          <w:rFonts w:asciiTheme="minorHAnsi" w:hAnsiTheme="minorHAnsi" w:cs="Times New Roman"/>
          <w:sz w:val="22"/>
          <w:szCs w:val="22"/>
        </w:rPr>
        <w:t xml:space="preserve">. In addition, it </w:t>
      </w:r>
      <w:r>
        <w:rPr>
          <w:rFonts w:asciiTheme="minorHAnsi" w:hAnsiTheme="minorHAnsi" w:cs="Times New Roman"/>
          <w:sz w:val="22"/>
          <w:szCs w:val="22"/>
        </w:rPr>
        <w:t>will be</w:t>
      </w:r>
      <w:r w:rsidRPr="00FB6E71">
        <w:rPr>
          <w:rFonts w:asciiTheme="minorHAnsi" w:hAnsiTheme="minorHAnsi" w:cs="Times New Roman"/>
          <w:sz w:val="22"/>
          <w:szCs w:val="22"/>
        </w:rPr>
        <w:t xml:space="preserve"> disclosed both in-country (in the appropriate communication channels, concerned sector ministries, and other public places of project intervention areas) as well as through the World Bank </w:t>
      </w:r>
      <w:r>
        <w:rPr>
          <w:rFonts w:asciiTheme="minorHAnsi" w:hAnsiTheme="minorHAnsi" w:cs="Times New Roman"/>
          <w:sz w:val="22"/>
          <w:szCs w:val="22"/>
        </w:rPr>
        <w:t>before project effectiveness</w:t>
      </w:r>
      <w:r w:rsidRPr="00FB6E71">
        <w:rPr>
          <w:rFonts w:asciiTheme="minorHAnsi" w:hAnsiTheme="minorHAnsi" w:cs="Times New Roman"/>
          <w:sz w:val="22"/>
          <w:szCs w:val="22"/>
        </w:rPr>
        <w:t>.</w:t>
      </w:r>
    </w:p>
    <w:p w:rsidR="007F2DE7" w:rsidRPr="00FB6E71" w:rsidP="007F2DE7">
      <w:pPr>
        <w:keepNext/>
        <w:keepLines/>
        <w:widowControl/>
        <w:spacing w:after="240"/>
        <w:ind w:left="-634"/>
        <w:rPr>
          <w:rFonts w:asciiTheme="minorHAnsi" w:hAnsiTheme="minorHAnsi"/>
          <w:i/>
          <w:color w:val="auto"/>
          <w:sz w:val="22"/>
          <w:szCs w:val="22"/>
        </w:rPr>
      </w:pPr>
      <w:bookmarkStart w:id="138" w:name="_Toc463858920"/>
      <w:r w:rsidRPr="00FB6E71">
        <w:rPr>
          <w:rFonts w:asciiTheme="minorHAnsi" w:hAnsiTheme="minorHAnsi"/>
          <w:i/>
          <w:color w:val="auto"/>
          <w:sz w:val="22"/>
          <w:szCs w:val="22"/>
        </w:rPr>
        <w:t>Environment</w:t>
      </w:r>
      <w:bookmarkEnd w:id="138"/>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lang w:bidi="en-US"/>
        </w:rPr>
        <w:t xml:space="preserve">The components under </w:t>
      </w:r>
      <w:r>
        <w:rPr>
          <w:rFonts w:asciiTheme="minorHAnsi" w:hAnsiTheme="minorHAnsi" w:cs="Times New Roman"/>
          <w:b/>
          <w:sz w:val="22"/>
          <w:szCs w:val="22"/>
          <w:lang w:bidi="en-US"/>
        </w:rPr>
        <w:t xml:space="preserve">the </w:t>
      </w:r>
      <w:r w:rsidRPr="00FB6E71">
        <w:rPr>
          <w:rFonts w:asciiTheme="minorHAnsi" w:hAnsiTheme="minorHAnsi" w:cs="Times New Roman"/>
          <w:b/>
          <w:sz w:val="22"/>
          <w:szCs w:val="22"/>
          <w:lang w:bidi="en-US"/>
        </w:rPr>
        <w:t>MCRP that would trigger environmental safeguard polices are</w:t>
      </w:r>
      <w:r w:rsidRPr="00FB6E71">
        <w:rPr>
          <w:rFonts w:asciiTheme="minorHAnsi" w:hAnsiTheme="minorHAnsi" w:cs="Times New Roman"/>
          <w:sz w:val="22"/>
          <w:szCs w:val="22"/>
          <w:lang w:bidi="en-US"/>
        </w:rPr>
        <w:t xml:space="preserve"> Component 1: Peace Building and Community Cohesion (rehabilitation and reconstruction of public buildings and community areas) and Component 2: Infrastructure Rehabilitation and Reconstruction.</w:t>
      </w:r>
      <w:r>
        <w:rPr>
          <w:rFonts w:asciiTheme="minorHAnsi" w:hAnsiTheme="minorHAnsi" w:cs="Times New Roman"/>
          <w:sz w:val="22"/>
          <w:szCs w:val="22"/>
          <w:lang w:bidi="en-US"/>
        </w:rPr>
        <w:t xml:space="preserve"> </w:t>
      </w:r>
      <w:r w:rsidRPr="00FB6E71">
        <w:rPr>
          <w:rFonts w:asciiTheme="minorHAnsi" w:hAnsiTheme="minorHAnsi" w:cs="Times New Roman"/>
          <w:color w:val="000000" w:themeColor="text1"/>
          <w:sz w:val="22"/>
          <w:szCs w:val="22"/>
        </w:rPr>
        <w:t xml:space="preserve">The MCRP is being prepared under the provisions of </w:t>
      </w:r>
      <w:r>
        <w:rPr>
          <w:rFonts w:asciiTheme="minorHAnsi" w:hAnsiTheme="minorHAnsi" w:cs="Times New Roman"/>
          <w:color w:val="000000" w:themeColor="text1"/>
          <w:sz w:val="22"/>
          <w:szCs w:val="22"/>
        </w:rPr>
        <w:t>p</w:t>
      </w:r>
      <w:r w:rsidRPr="00FB6E71">
        <w:rPr>
          <w:rFonts w:asciiTheme="minorHAnsi" w:hAnsiTheme="minorHAnsi" w:cs="Times New Roman"/>
          <w:color w:val="000000" w:themeColor="text1"/>
          <w:sz w:val="22"/>
          <w:szCs w:val="22"/>
        </w:rPr>
        <w:t xml:space="preserve">aragraph 12 of OP 10.00 for projects in situations of urgent need for assistance. Thus, the preparation of safeguards instruments is proposed to be deferred to the implementation phase. </w:t>
      </w:r>
      <w:r w:rsidRPr="00FB6E71">
        <w:rPr>
          <w:rFonts w:asciiTheme="minorHAnsi" w:hAnsiTheme="minorHAnsi" w:cs="Times New Roman"/>
          <w:sz w:val="22"/>
          <w:szCs w:val="22"/>
          <w:lang w:bidi="en-US"/>
        </w:rPr>
        <w:t>The four environmental safeguard policies that will be triggered are OP 4.01 (Environmental Assessment), OP 4.04 (Natural Habitats), OP 4.11 (Physical Cultural Resources)</w:t>
      </w:r>
      <w:r>
        <w:rPr>
          <w:rFonts w:asciiTheme="minorHAnsi" w:hAnsiTheme="minorHAnsi" w:cs="Times New Roman"/>
          <w:sz w:val="22"/>
          <w:szCs w:val="22"/>
          <w:lang w:bidi="en-US"/>
        </w:rPr>
        <w:t xml:space="preserve">, and </w:t>
      </w:r>
      <w:r w:rsidRPr="00FB6E71">
        <w:rPr>
          <w:rFonts w:asciiTheme="minorHAnsi" w:hAnsiTheme="minorHAnsi" w:cs="Times New Roman"/>
          <w:sz w:val="22"/>
          <w:szCs w:val="22"/>
          <w:lang w:bidi="en-US"/>
        </w:rPr>
        <w:t xml:space="preserve">OP </w:t>
      </w:r>
      <w:r>
        <w:rPr>
          <w:rFonts w:asciiTheme="minorHAnsi" w:hAnsiTheme="minorHAnsi" w:cs="Times New Roman"/>
          <w:sz w:val="22"/>
          <w:szCs w:val="22"/>
          <w:lang w:bidi="en-US"/>
        </w:rPr>
        <w:t>4.12</w:t>
      </w:r>
      <w:r w:rsidRPr="00FB6E71">
        <w:rPr>
          <w:rFonts w:asciiTheme="minorHAnsi" w:hAnsiTheme="minorHAnsi" w:cs="Times New Roman"/>
          <w:sz w:val="22"/>
          <w:szCs w:val="22"/>
          <w:lang w:bidi="en-US"/>
        </w:rPr>
        <w:t xml:space="preserve"> (</w:t>
      </w:r>
      <w:r>
        <w:rPr>
          <w:rFonts w:asciiTheme="minorHAnsi" w:hAnsiTheme="minorHAnsi" w:cs="Times New Roman"/>
          <w:sz w:val="22"/>
          <w:szCs w:val="22"/>
          <w:lang w:bidi="en-US"/>
        </w:rPr>
        <w:t>Involuntary Resettlement</w:t>
      </w:r>
      <w:r w:rsidRPr="00FB6E71">
        <w:rPr>
          <w:rFonts w:asciiTheme="minorHAnsi" w:hAnsiTheme="minorHAnsi" w:cs="Times New Roman"/>
          <w:sz w:val="22"/>
          <w:szCs w:val="22"/>
          <w:lang w:bidi="en-US"/>
        </w:rPr>
        <w:t xml:space="preserve">). The project is classified as Environmental Category B as </w:t>
      </w:r>
      <w:r>
        <w:rPr>
          <w:rFonts w:asciiTheme="minorHAnsi" w:hAnsiTheme="minorHAnsi" w:cs="Times New Roman"/>
          <w:sz w:val="22"/>
          <w:szCs w:val="22"/>
          <w:lang w:bidi="en-US"/>
        </w:rPr>
        <w:t>no</w:t>
      </w:r>
      <w:r w:rsidRPr="00FB6E71">
        <w:rPr>
          <w:rFonts w:asciiTheme="minorHAnsi" w:hAnsiTheme="minorHAnsi" w:cs="Times New Roman"/>
          <w:sz w:val="22"/>
          <w:szCs w:val="22"/>
          <w:lang w:bidi="en-US"/>
        </w:rPr>
        <w:t xml:space="preserve"> unprecedented or cumulative adverse E&amp;S risks and impacts are envisaged to result from the implementation of activities that will be financed by the World Bank under the MCRP. The project is </w:t>
      </w:r>
      <w:r w:rsidRPr="00FB6E71">
        <w:rPr>
          <w:rFonts w:asciiTheme="minorHAnsi" w:hAnsiTheme="minorHAnsi" w:cs="Times New Roman"/>
          <w:sz w:val="22"/>
          <w:szCs w:val="22"/>
        </w:rPr>
        <w:t>expected</w:t>
      </w:r>
      <w:r w:rsidRPr="00FB6E71">
        <w:rPr>
          <w:rFonts w:asciiTheme="minorHAnsi" w:hAnsiTheme="minorHAnsi" w:cs="Times New Roman"/>
          <w:sz w:val="22"/>
          <w:szCs w:val="22"/>
          <w:lang w:bidi="en-US"/>
        </w:rPr>
        <w:t xml:space="preserve"> to have overall positive E&amp;S impacts through its support to the rehabilitation of conflict</w:t>
      </w:r>
      <w:r>
        <w:rPr>
          <w:rFonts w:asciiTheme="minorHAnsi" w:hAnsiTheme="minorHAnsi" w:cs="Times New Roman"/>
          <w:sz w:val="22"/>
          <w:szCs w:val="22"/>
          <w:lang w:bidi="en-US"/>
        </w:rPr>
        <w:t>-</w:t>
      </w:r>
      <w:r w:rsidRPr="00FB6E71">
        <w:rPr>
          <w:rFonts w:asciiTheme="minorHAnsi" w:hAnsiTheme="minorHAnsi" w:cs="Times New Roman"/>
          <w:sz w:val="22"/>
          <w:szCs w:val="22"/>
          <w:lang w:bidi="en-US"/>
        </w:rPr>
        <w:t xml:space="preserve">damaged infrastructure and natural resources, including forested lands. </w:t>
      </w:r>
      <w:r>
        <w:rPr>
          <w:rFonts w:asciiTheme="minorHAnsi" w:hAnsiTheme="minorHAnsi" w:cs="Times New Roman"/>
          <w:sz w:val="22"/>
          <w:szCs w:val="22"/>
          <w:lang w:bidi="en-US"/>
        </w:rPr>
        <w:fldChar w:fldCharType="begin"/>
      </w:r>
      <w:r>
        <w:rPr>
          <w:rFonts w:asciiTheme="minorHAnsi" w:hAnsiTheme="minorHAnsi" w:cs="Times New Roman"/>
          <w:sz w:val="22"/>
          <w:szCs w:val="22"/>
          <w:lang w:bidi="en-US"/>
        </w:rPr>
        <w:instrText xml:space="preserve"> REF _Ref475981893 \h  \* MERGEFORMAT </w:instrText>
      </w:r>
      <w:r>
        <w:rPr>
          <w:rFonts w:asciiTheme="minorHAnsi" w:hAnsiTheme="minorHAnsi" w:cs="Times New Roman"/>
          <w:sz w:val="22"/>
          <w:szCs w:val="22"/>
          <w:lang w:bidi="en-US"/>
        </w:rPr>
        <w:fldChar w:fldCharType="separate"/>
      </w:r>
      <w:r w:rsidRPr="005E798F">
        <w:rPr>
          <w:rFonts w:asciiTheme="minorHAnsi" w:hAnsiTheme="minorHAnsi" w:cs="Times New Roman"/>
          <w:sz w:val="22"/>
          <w:szCs w:val="22"/>
          <w:lang w:bidi="en-US"/>
        </w:rPr>
        <w:t>Table 2.10</w:t>
      </w:r>
      <w:r>
        <w:rPr>
          <w:rFonts w:asciiTheme="minorHAnsi" w:hAnsiTheme="minorHAnsi" w:cs="Times New Roman"/>
          <w:sz w:val="22"/>
          <w:szCs w:val="22"/>
          <w:lang w:bidi="en-US"/>
        </w:rPr>
        <w:fldChar w:fldCharType="end"/>
      </w:r>
      <w:r w:rsidRPr="00FB6E71">
        <w:rPr>
          <w:rFonts w:asciiTheme="minorHAnsi" w:hAnsiTheme="minorHAnsi" w:cs="Times New Roman"/>
          <w:sz w:val="22"/>
          <w:szCs w:val="22"/>
          <w:lang w:bidi="en-US"/>
        </w:rPr>
        <w:t xml:space="preserve"> depicts the policies and the rationale for their application to the MCRP</w:t>
      </w:r>
      <w:r>
        <w:rPr>
          <w:rFonts w:asciiTheme="minorHAnsi" w:hAnsiTheme="minorHAnsi" w:cs="Times New Roman"/>
          <w:sz w:val="22"/>
          <w:szCs w:val="22"/>
          <w:lang w:bidi="en-US"/>
        </w:rPr>
        <w:t>.</w:t>
      </w:r>
    </w:p>
    <w:p w:rsidR="007F2DE7" w:rsidRPr="00FB6E71" w:rsidP="007F2DE7">
      <w:pPr>
        <w:pStyle w:val="Caption"/>
        <w:keepNext/>
        <w:keepLines/>
        <w:widowControl/>
        <w:spacing w:before="120" w:after="120"/>
        <w:jc w:val="center"/>
        <w:rPr>
          <w:rFonts w:asciiTheme="minorHAnsi" w:hAnsiTheme="minorHAnsi"/>
          <w:b/>
          <w:i w:val="0"/>
          <w:color w:val="auto"/>
        </w:rPr>
      </w:pPr>
      <w:bookmarkStart w:id="139" w:name="_Ref475981893"/>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10</w:t>
      </w:r>
      <w:r w:rsidRPr="00FB6E71">
        <w:rPr>
          <w:rFonts w:asciiTheme="minorHAnsi" w:hAnsiTheme="minorHAnsi"/>
          <w:b/>
          <w:i w:val="0"/>
          <w:color w:val="auto"/>
        </w:rPr>
        <w:fldChar w:fldCharType="end"/>
      </w:r>
      <w:bookmarkEnd w:id="139"/>
      <w:r>
        <w:rPr>
          <w:rFonts w:asciiTheme="minorHAnsi" w:hAnsiTheme="minorHAnsi"/>
          <w:b/>
          <w:i w:val="0"/>
          <w:color w:val="auto"/>
        </w:rPr>
        <w:t>.</w:t>
      </w:r>
      <w:r w:rsidRPr="00FB6E71">
        <w:rPr>
          <w:rFonts w:asciiTheme="minorHAnsi" w:hAnsiTheme="minorHAnsi"/>
          <w:b/>
          <w:i w:val="0"/>
          <w:color w:val="auto"/>
        </w:rPr>
        <w:t xml:space="preserve"> World Bank Safeguards Policies Triggered</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0" w:type="dxa"/>
          <w:right w:w="50" w:type="dxa"/>
        </w:tblCellMar>
        <w:tblLook w:val="0000"/>
      </w:tblPr>
      <w:tblGrid>
        <w:gridCol w:w="1459"/>
        <w:gridCol w:w="1017"/>
        <w:gridCol w:w="6874"/>
      </w:tblGrid>
      <w:tr w:rsidTr="007F2DE7">
        <w:tblPrEx>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0" w:type="dxa"/>
            <w:right w:w="50" w:type="dxa"/>
          </w:tblCellMar>
          <w:tblLook w:val="0000"/>
        </w:tblPrEx>
        <w:trPr>
          <w:cantSplit/>
          <w:trHeight w:val="20"/>
          <w:tblHeader/>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7F2DE7" w:rsidRPr="00FB6E71" w:rsidP="007F2DE7">
            <w:pPr>
              <w:jc w:val="center"/>
              <w:rPr>
                <w:rFonts w:asciiTheme="minorHAnsi" w:hAnsiTheme="minorHAnsi" w:cs="Times New Roman"/>
                <w:b/>
                <w:bCs/>
                <w:sz w:val="18"/>
                <w:szCs w:val="18"/>
              </w:rPr>
            </w:pPr>
            <w:r w:rsidRPr="00FB6E71">
              <w:rPr>
                <w:rFonts w:asciiTheme="minorHAnsi" w:hAnsiTheme="minorHAnsi" w:cs="Times New Roman"/>
                <w:b/>
                <w:bCs/>
                <w:sz w:val="18"/>
                <w:szCs w:val="18"/>
              </w:rPr>
              <w:t>Safeguard Policies</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7F2DE7" w:rsidRPr="00FB6E71" w:rsidP="007F2DE7">
            <w:pPr>
              <w:ind w:left="34"/>
              <w:jc w:val="center"/>
              <w:rPr>
                <w:rFonts w:asciiTheme="minorHAnsi" w:hAnsiTheme="minorHAnsi" w:cs="Times New Roman"/>
                <w:b/>
                <w:bCs/>
                <w:sz w:val="18"/>
                <w:szCs w:val="18"/>
              </w:rPr>
            </w:pPr>
            <w:r w:rsidRPr="00FB6E71">
              <w:rPr>
                <w:rFonts w:asciiTheme="minorHAnsi" w:hAnsiTheme="minorHAnsi" w:cs="Times New Roman"/>
                <w:b/>
                <w:bCs/>
                <w:sz w:val="18"/>
                <w:szCs w:val="18"/>
              </w:rPr>
              <w:t>Triggered</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7F2DE7" w:rsidRPr="00FB6E71" w:rsidP="007F2DE7">
            <w:pPr>
              <w:jc w:val="center"/>
              <w:rPr>
                <w:rFonts w:asciiTheme="minorHAnsi" w:hAnsiTheme="minorHAnsi" w:cs="Times New Roman"/>
                <w:b/>
                <w:bCs/>
                <w:sz w:val="18"/>
                <w:szCs w:val="18"/>
              </w:rPr>
            </w:pPr>
            <w:r w:rsidRPr="00FB6E71">
              <w:rPr>
                <w:rFonts w:asciiTheme="minorHAnsi" w:hAnsiTheme="minorHAnsi" w:cs="Times New Roman"/>
                <w:b/>
                <w:bCs/>
                <w:sz w:val="18"/>
                <w:szCs w:val="18"/>
              </w:rPr>
              <w:t>Explanation</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Environmental Assessment </w:t>
            </w:r>
            <w:r>
              <w:rPr>
                <w:rFonts w:asciiTheme="minorHAnsi" w:hAnsiTheme="minorHAnsi" w:cs="Times New Roman"/>
                <w:sz w:val="18"/>
                <w:szCs w:val="18"/>
              </w:rPr>
              <w:t xml:space="preserve">- </w:t>
            </w:r>
            <w:r w:rsidRPr="00FB6E71">
              <w:rPr>
                <w:rFonts w:asciiTheme="minorHAnsi" w:hAnsiTheme="minorHAnsi" w:cs="Times New Roman"/>
                <w:sz w:val="18"/>
                <w:szCs w:val="18"/>
              </w:rPr>
              <w:t>OP/BP 4.01</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b/>
                <w:bCs/>
                <w:sz w:val="18"/>
                <w:szCs w:val="18"/>
              </w:rPr>
            </w:pPr>
            <w:r w:rsidRPr="00FB6E71">
              <w:rPr>
                <w:rFonts w:asciiTheme="minorHAnsi" w:hAnsiTheme="minorHAnsi" w:cs="Times New Roman"/>
                <w:sz w:val="18"/>
                <w:szCs w:val="18"/>
              </w:rPr>
              <w:t>Yes</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The nature of the proposed project activities triggers includes the rehabilitation of existing infrastructure</w:t>
            </w:r>
            <w:r>
              <w:rPr>
                <w:rFonts w:asciiTheme="minorHAnsi" w:hAnsiTheme="minorHAnsi" w:cs="Times New Roman"/>
                <w:sz w:val="18"/>
                <w:szCs w:val="18"/>
              </w:rPr>
              <w:t>,</w:t>
            </w:r>
            <w:r w:rsidRPr="00FB6E71">
              <w:rPr>
                <w:rFonts w:asciiTheme="minorHAnsi" w:hAnsiTheme="minorHAnsi" w:cs="Times New Roman"/>
                <w:sz w:val="18"/>
                <w:szCs w:val="18"/>
              </w:rPr>
              <w:t xml:space="preserve"> which could result in adverse E&amp;S impacts</w:t>
            </w:r>
            <w:r>
              <w:rPr>
                <w:rFonts w:asciiTheme="minorHAnsi" w:hAnsiTheme="minorHAnsi" w:cs="Times New Roman"/>
                <w:sz w:val="18"/>
                <w:szCs w:val="18"/>
              </w:rPr>
              <w:t>,</w:t>
            </w:r>
            <w:r w:rsidRPr="00FB6E71">
              <w:rPr>
                <w:rFonts w:asciiTheme="minorHAnsi" w:hAnsiTheme="minorHAnsi" w:cs="Times New Roman"/>
                <w:sz w:val="18"/>
                <w:szCs w:val="18"/>
              </w:rPr>
              <w:t xml:space="preserve"> thereby triggering OP/BP 4.01. Considering the limited scale and magnitude of rehabilitation and improvement works as well as the confinement of activities to existing footprints, the proposed operation is classified as category ‘B’. At this point in time, the locations of the activities that will be financed by the project is not known in sufficient detail. Site</w:t>
            </w:r>
            <w:r>
              <w:rPr>
                <w:rFonts w:asciiTheme="minorHAnsi" w:hAnsiTheme="minorHAnsi" w:cs="Times New Roman"/>
                <w:sz w:val="18"/>
                <w:szCs w:val="18"/>
              </w:rPr>
              <w:t>-</w:t>
            </w:r>
            <w:r w:rsidRPr="00FB6E71">
              <w:rPr>
                <w:rFonts w:asciiTheme="minorHAnsi" w:hAnsiTheme="minorHAnsi" w:cs="Times New Roman"/>
                <w:sz w:val="18"/>
                <w:szCs w:val="18"/>
              </w:rPr>
              <w:t>specific safeguards instruments such as ESIAs, stand-alone ESMPs, RAPs</w:t>
            </w:r>
            <w:r>
              <w:rPr>
                <w:rFonts w:asciiTheme="minorHAnsi" w:hAnsiTheme="minorHAnsi" w:cs="Times New Roman"/>
                <w:sz w:val="18"/>
                <w:szCs w:val="18"/>
              </w:rPr>
              <w:t>,</w:t>
            </w:r>
            <w:r w:rsidRPr="00FB6E71">
              <w:rPr>
                <w:rFonts w:asciiTheme="minorHAnsi" w:hAnsiTheme="minorHAnsi" w:cs="Times New Roman"/>
                <w:sz w:val="18"/>
                <w:szCs w:val="18"/>
              </w:rPr>
              <w:t xml:space="preserve"> and </w:t>
            </w:r>
            <w:r>
              <w:rPr>
                <w:rFonts w:asciiTheme="minorHAnsi" w:hAnsiTheme="minorHAnsi" w:cs="Times New Roman"/>
                <w:sz w:val="18"/>
                <w:szCs w:val="18"/>
              </w:rPr>
              <w:t>a</w:t>
            </w:r>
            <w:r w:rsidRPr="00FB6E71">
              <w:rPr>
                <w:rFonts w:asciiTheme="minorHAnsi" w:hAnsiTheme="minorHAnsi" w:cs="Times New Roman"/>
                <w:sz w:val="18"/>
                <w:szCs w:val="18"/>
              </w:rPr>
              <w:t>udits, when needed, will be prepared, consulted upon</w:t>
            </w:r>
            <w:r>
              <w:rPr>
                <w:rFonts w:asciiTheme="minorHAnsi" w:hAnsiTheme="minorHAnsi" w:cs="Times New Roman"/>
                <w:sz w:val="18"/>
                <w:szCs w:val="18"/>
              </w:rPr>
              <w:t>,</w:t>
            </w:r>
            <w:r w:rsidRPr="00FB6E71">
              <w:rPr>
                <w:rFonts w:asciiTheme="minorHAnsi" w:hAnsiTheme="minorHAnsi" w:cs="Times New Roman"/>
                <w:sz w:val="18"/>
                <w:szCs w:val="18"/>
              </w:rPr>
              <w:t xml:space="preserve"> and disclosed by the proponents </w:t>
            </w:r>
            <w:r>
              <w:rPr>
                <w:rFonts w:asciiTheme="minorHAnsi" w:hAnsiTheme="minorHAnsi" w:cs="Times New Roman"/>
                <w:sz w:val="18"/>
                <w:szCs w:val="18"/>
              </w:rPr>
              <w:t>before</w:t>
            </w:r>
            <w:r w:rsidRPr="00FB6E71">
              <w:rPr>
                <w:rFonts w:asciiTheme="minorHAnsi" w:hAnsiTheme="minorHAnsi" w:cs="Times New Roman"/>
                <w:sz w:val="18"/>
                <w:szCs w:val="18"/>
              </w:rPr>
              <w:t xml:space="preserve"> the commencement of civil works and the relevant measures including E&amp;S clauses </w:t>
            </w:r>
            <w:r>
              <w:rPr>
                <w:rFonts w:asciiTheme="minorHAnsi" w:hAnsiTheme="minorHAnsi" w:cs="Times New Roman"/>
                <w:sz w:val="18"/>
                <w:szCs w:val="18"/>
              </w:rPr>
              <w:t xml:space="preserve">will be </w:t>
            </w:r>
            <w:r w:rsidRPr="00FB6E71">
              <w:rPr>
                <w:rFonts w:asciiTheme="minorHAnsi" w:hAnsiTheme="minorHAnsi" w:cs="Times New Roman"/>
                <w:sz w:val="18"/>
                <w:szCs w:val="18"/>
              </w:rPr>
              <w:t>clearly incorporated in contracts.</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Natural Habitats </w:t>
            </w:r>
            <w:r>
              <w:rPr>
                <w:rFonts w:asciiTheme="minorHAnsi" w:hAnsiTheme="minorHAnsi" w:cs="Times New Roman"/>
                <w:sz w:val="18"/>
                <w:szCs w:val="18"/>
              </w:rPr>
              <w:t xml:space="preserve">- </w:t>
            </w:r>
            <w:r w:rsidRPr="00FB6E71">
              <w:rPr>
                <w:rFonts w:asciiTheme="minorHAnsi" w:hAnsiTheme="minorHAnsi" w:cs="Times New Roman"/>
                <w:sz w:val="18"/>
                <w:szCs w:val="18"/>
              </w:rPr>
              <w:t>OP/BP 4.04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b/>
                <w:bCs/>
                <w:sz w:val="18"/>
                <w:szCs w:val="18"/>
              </w:rPr>
            </w:pPr>
            <w:r w:rsidRPr="00FB6E71">
              <w:rPr>
                <w:rFonts w:asciiTheme="minorHAnsi" w:hAnsiTheme="minorHAnsi" w:cs="Times New Roman"/>
                <w:sz w:val="18"/>
                <w:szCs w:val="18"/>
              </w:rPr>
              <w:t>Yes</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This policy is triggered because of activities of reconstruction and rehabilitation of social and physical infrastructure </w:t>
            </w:r>
            <w:r>
              <w:rPr>
                <w:rFonts w:asciiTheme="minorHAnsi" w:hAnsiTheme="minorHAnsi" w:cs="Times New Roman"/>
                <w:sz w:val="18"/>
                <w:szCs w:val="18"/>
              </w:rPr>
              <w:t xml:space="preserve">that </w:t>
            </w:r>
            <w:r w:rsidRPr="00FB6E71">
              <w:rPr>
                <w:rFonts w:asciiTheme="minorHAnsi" w:hAnsiTheme="minorHAnsi" w:cs="Times New Roman"/>
                <w:sz w:val="18"/>
                <w:szCs w:val="18"/>
              </w:rPr>
              <w:t>might be located in or around areas recognized for biodiversity richness. No large</w:t>
            </w:r>
            <w:r>
              <w:rPr>
                <w:rFonts w:asciiTheme="minorHAnsi" w:hAnsiTheme="minorHAnsi" w:cs="Times New Roman"/>
                <w:sz w:val="18"/>
                <w:szCs w:val="18"/>
              </w:rPr>
              <w:t>-</w:t>
            </w:r>
            <w:r w:rsidRPr="00FB6E71">
              <w:rPr>
                <w:rFonts w:asciiTheme="minorHAnsi" w:hAnsiTheme="minorHAnsi" w:cs="Times New Roman"/>
                <w:sz w:val="18"/>
                <w:szCs w:val="18"/>
              </w:rPr>
              <w:t>scale conversion of biodiversity</w:t>
            </w:r>
            <w:r>
              <w:rPr>
                <w:rFonts w:asciiTheme="minorHAnsi" w:hAnsiTheme="minorHAnsi" w:cs="Times New Roman"/>
                <w:sz w:val="18"/>
                <w:szCs w:val="18"/>
              </w:rPr>
              <w:t>-</w:t>
            </w:r>
            <w:r w:rsidRPr="00FB6E71">
              <w:rPr>
                <w:rFonts w:asciiTheme="minorHAnsi" w:hAnsiTheme="minorHAnsi" w:cs="Times New Roman"/>
                <w:sz w:val="18"/>
                <w:szCs w:val="18"/>
              </w:rPr>
              <w:t>rich sites is envisaged. Mitigation measures will be part of the EA process of this project.</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Forests OP/BP </w:t>
            </w:r>
            <w:r>
              <w:rPr>
                <w:rFonts w:asciiTheme="minorHAnsi" w:hAnsiTheme="minorHAnsi" w:cs="Times New Roman"/>
                <w:sz w:val="18"/>
                <w:szCs w:val="18"/>
              </w:rPr>
              <w:t xml:space="preserve">- </w:t>
            </w:r>
            <w:r w:rsidRPr="00FB6E71">
              <w:rPr>
                <w:rFonts w:asciiTheme="minorHAnsi" w:hAnsiTheme="minorHAnsi" w:cs="Times New Roman"/>
                <w:sz w:val="18"/>
                <w:szCs w:val="18"/>
              </w:rPr>
              <w:t>4.36</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b/>
                <w:bCs/>
                <w:sz w:val="18"/>
                <w:szCs w:val="18"/>
              </w:rPr>
            </w:pPr>
            <w:r w:rsidRPr="00FB6E71">
              <w:rPr>
                <w:rFonts w:asciiTheme="minorHAnsi" w:hAnsiTheme="minorHAnsi" w:cs="Times New Roman"/>
                <w:sz w:val="18"/>
                <w:szCs w:val="18"/>
              </w:rPr>
              <w:t>No</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Pr>
                <w:rFonts w:asciiTheme="minorHAnsi" w:hAnsiTheme="minorHAnsi" w:cs="Times New Roman"/>
                <w:sz w:val="18"/>
                <w:szCs w:val="18"/>
              </w:rPr>
              <w:t>n.a.</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Pest Management </w:t>
            </w:r>
            <w:r>
              <w:rPr>
                <w:rFonts w:asciiTheme="minorHAnsi" w:hAnsiTheme="minorHAnsi" w:cs="Times New Roman"/>
                <w:sz w:val="18"/>
                <w:szCs w:val="18"/>
              </w:rPr>
              <w:t xml:space="preserve">- </w:t>
            </w:r>
            <w:r w:rsidRPr="00FB6E71">
              <w:rPr>
                <w:rFonts w:asciiTheme="minorHAnsi" w:hAnsiTheme="minorHAnsi" w:cs="Times New Roman"/>
                <w:sz w:val="18"/>
                <w:szCs w:val="18"/>
              </w:rPr>
              <w:t>OP 4.09</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b/>
                <w:bCs/>
                <w:sz w:val="18"/>
                <w:szCs w:val="18"/>
              </w:rPr>
            </w:pPr>
            <w:r w:rsidRPr="00FB6E71">
              <w:rPr>
                <w:rFonts w:asciiTheme="minorHAnsi" w:hAnsiTheme="minorHAnsi" w:cs="Times New Roman"/>
                <w:sz w:val="18"/>
                <w:szCs w:val="18"/>
              </w:rPr>
              <w:t>No</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b/>
                <w:bCs/>
                <w:iCs/>
                <w:sz w:val="18"/>
                <w:szCs w:val="18"/>
              </w:rPr>
            </w:pPr>
            <w:r>
              <w:rPr>
                <w:rFonts w:asciiTheme="minorHAnsi" w:hAnsiTheme="minorHAnsi" w:cs="Times New Roman"/>
                <w:sz w:val="18"/>
                <w:szCs w:val="18"/>
              </w:rPr>
              <w:t>n.a.</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b/>
                <w:bCs/>
                <w:sz w:val="18"/>
                <w:szCs w:val="18"/>
              </w:rPr>
            </w:pPr>
            <w:r w:rsidRPr="00FB6E71">
              <w:rPr>
                <w:rFonts w:asciiTheme="minorHAnsi" w:hAnsiTheme="minorHAnsi" w:cs="Times New Roman"/>
                <w:sz w:val="18"/>
                <w:szCs w:val="18"/>
              </w:rPr>
              <w:t xml:space="preserve">Physical Cultural Resources </w:t>
            </w:r>
            <w:r>
              <w:rPr>
                <w:rFonts w:asciiTheme="minorHAnsi" w:hAnsiTheme="minorHAnsi" w:cs="Times New Roman"/>
                <w:sz w:val="18"/>
                <w:szCs w:val="18"/>
              </w:rPr>
              <w:t xml:space="preserve">- </w:t>
            </w:r>
            <w:r w:rsidRPr="00FB6E71">
              <w:rPr>
                <w:rFonts w:asciiTheme="minorHAnsi" w:hAnsiTheme="minorHAnsi" w:cs="Times New Roman"/>
                <w:sz w:val="18"/>
                <w:szCs w:val="18"/>
              </w:rPr>
              <w:t>OP/BP 4.11</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sz w:val="18"/>
                <w:szCs w:val="18"/>
              </w:rPr>
            </w:pPr>
            <w:r w:rsidRPr="00FB6E71">
              <w:rPr>
                <w:rFonts w:asciiTheme="minorHAnsi" w:hAnsiTheme="minorHAnsi" w:cs="Times New Roman"/>
                <w:sz w:val="18"/>
                <w:szCs w:val="18"/>
              </w:rPr>
              <w:t>Yes</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This policy was triggered because </w:t>
            </w:r>
            <w:r>
              <w:rPr>
                <w:rFonts w:asciiTheme="minorHAnsi" w:hAnsiTheme="minorHAnsi" w:cs="Times New Roman"/>
                <w:sz w:val="18"/>
                <w:szCs w:val="18"/>
              </w:rPr>
              <w:t>physical cultural resources</w:t>
            </w:r>
            <w:r w:rsidRPr="00FB6E71">
              <w:rPr>
                <w:rFonts w:asciiTheme="minorHAnsi" w:hAnsiTheme="minorHAnsi" w:cs="Times New Roman"/>
                <w:sz w:val="18"/>
                <w:szCs w:val="18"/>
              </w:rPr>
              <w:t xml:space="preserve"> could be </w:t>
            </w:r>
            <w:r>
              <w:rPr>
                <w:rFonts w:asciiTheme="minorHAnsi" w:hAnsiTheme="minorHAnsi" w:cs="Times New Roman"/>
                <w:sz w:val="18"/>
                <w:szCs w:val="18"/>
              </w:rPr>
              <w:t>affected</w:t>
            </w:r>
            <w:r w:rsidRPr="00FB6E71">
              <w:rPr>
                <w:rFonts w:asciiTheme="minorHAnsi" w:hAnsiTheme="minorHAnsi" w:cs="Times New Roman"/>
                <w:sz w:val="18"/>
                <w:szCs w:val="18"/>
              </w:rPr>
              <w:t xml:space="preserve"> at one or more sites. These may include religious sites such as mosques, churches</w:t>
            </w:r>
            <w:r>
              <w:rPr>
                <w:rFonts w:asciiTheme="minorHAnsi" w:hAnsiTheme="minorHAnsi" w:cs="Times New Roman"/>
                <w:sz w:val="18"/>
                <w:szCs w:val="18"/>
              </w:rPr>
              <w:t>,</w:t>
            </w:r>
            <w:r w:rsidRPr="00FB6E71">
              <w:rPr>
                <w:rFonts w:asciiTheme="minorHAnsi" w:hAnsiTheme="minorHAnsi" w:cs="Times New Roman"/>
                <w:sz w:val="18"/>
                <w:szCs w:val="18"/>
              </w:rPr>
              <w:t xml:space="preserve"> and shrines </w:t>
            </w:r>
            <w:r>
              <w:rPr>
                <w:rFonts w:asciiTheme="minorHAnsi" w:hAnsiTheme="minorHAnsi" w:cs="Times New Roman"/>
                <w:sz w:val="18"/>
                <w:szCs w:val="18"/>
              </w:rPr>
              <w:t>as well as</w:t>
            </w:r>
            <w:r w:rsidRPr="00FB6E71">
              <w:rPr>
                <w:rFonts w:asciiTheme="minorHAnsi" w:hAnsiTheme="minorHAnsi" w:cs="Times New Roman"/>
                <w:sz w:val="18"/>
                <w:szCs w:val="18"/>
              </w:rPr>
              <w:t xml:space="preserve"> potential chance finds from civil works related excavation. </w:t>
            </w:r>
          </w:p>
          <w:p w:rsidR="007F2DE7" w:rsidRPr="00FB6E71" w:rsidP="007F2DE7">
            <w:pPr>
              <w:rPr>
                <w:rFonts w:asciiTheme="minorHAnsi" w:hAnsiTheme="minorHAnsi" w:cs="Times New Roman"/>
                <w:sz w:val="18"/>
                <w:szCs w:val="18"/>
              </w:rPr>
            </w:pPr>
          </w:p>
          <w:p w:rsidR="007F2DE7" w:rsidRPr="00FB6E71" w:rsidP="007F2DE7">
            <w:pPr>
              <w:rPr>
                <w:rFonts w:asciiTheme="minorHAnsi" w:hAnsiTheme="minorHAnsi" w:cs="Times New Roman"/>
                <w:b/>
                <w:bCs/>
                <w:sz w:val="18"/>
                <w:szCs w:val="18"/>
              </w:rPr>
            </w:pPr>
            <w:r w:rsidRPr="00FB6E71">
              <w:rPr>
                <w:rFonts w:asciiTheme="minorHAnsi" w:hAnsiTheme="minorHAnsi" w:cs="Times New Roman"/>
                <w:sz w:val="18"/>
                <w:szCs w:val="18"/>
              </w:rPr>
              <w:t>In the event that a known/above</w:t>
            </w:r>
            <w:r>
              <w:rPr>
                <w:rFonts w:asciiTheme="minorHAnsi" w:hAnsiTheme="minorHAnsi" w:cs="Times New Roman"/>
                <w:sz w:val="18"/>
                <w:szCs w:val="18"/>
              </w:rPr>
              <w:t>-</w:t>
            </w:r>
            <w:r w:rsidRPr="00FB6E71">
              <w:rPr>
                <w:rFonts w:asciiTheme="minorHAnsi" w:hAnsiTheme="minorHAnsi" w:cs="Times New Roman"/>
                <w:sz w:val="18"/>
                <w:szCs w:val="18"/>
              </w:rPr>
              <w:t xml:space="preserve">ground cultural heritage is to be rehabilitated or lost, a physical cultural heritage management plan and/or compensation plan will be prepared and implemented by the project proponent. Also, the GoN will prepare </w:t>
            </w:r>
            <w:r>
              <w:rPr>
                <w:rFonts w:asciiTheme="minorHAnsi" w:hAnsiTheme="minorHAnsi" w:cs="Times New Roman"/>
                <w:sz w:val="18"/>
                <w:szCs w:val="18"/>
              </w:rPr>
              <w:t>c</w:t>
            </w:r>
            <w:r w:rsidRPr="00FB6E71">
              <w:rPr>
                <w:rFonts w:asciiTheme="minorHAnsi" w:hAnsiTheme="minorHAnsi" w:cs="Times New Roman"/>
                <w:sz w:val="18"/>
                <w:szCs w:val="18"/>
              </w:rPr>
              <w:t xml:space="preserve">hance </w:t>
            </w:r>
            <w:r>
              <w:rPr>
                <w:rFonts w:asciiTheme="minorHAnsi" w:hAnsiTheme="minorHAnsi" w:cs="Times New Roman"/>
                <w:sz w:val="18"/>
                <w:szCs w:val="18"/>
              </w:rPr>
              <w:t>f</w:t>
            </w:r>
            <w:r w:rsidRPr="00FB6E71">
              <w:rPr>
                <w:rFonts w:asciiTheme="minorHAnsi" w:hAnsiTheme="minorHAnsi" w:cs="Times New Roman"/>
                <w:sz w:val="18"/>
                <w:szCs w:val="18"/>
              </w:rPr>
              <w:t xml:space="preserve">ind </w:t>
            </w:r>
            <w:r>
              <w:rPr>
                <w:rFonts w:asciiTheme="minorHAnsi" w:hAnsiTheme="minorHAnsi" w:cs="Times New Roman"/>
                <w:sz w:val="18"/>
                <w:szCs w:val="18"/>
              </w:rPr>
              <w:t>p</w:t>
            </w:r>
            <w:r w:rsidRPr="00FB6E71">
              <w:rPr>
                <w:rFonts w:asciiTheme="minorHAnsi" w:hAnsiTheme="minorHAnsi" w:cs="Times New Roman"/>
                <w:sz w:val="18"/>
                <w:szCs w:val="18"/>
              </w:rPr>
              <w:t xml:space="preserve">rocedures for </w:t>
            </w:r>
            <w:r>
              <w:rPr>
                <w:rFonts w:asciiTheme="minorHAnsi" w:hAnsiTheme="minorHAnsi" w:cs="Times New Roman"/>
                <w:sz w:val="18"/>
                <w:szCs w:val="18"/>
              </w:rPr>
              <w:t>c</w:t>
            </w:r>
            <w:r w:rsidRPr="00FB6E71">
              <w:rPr>
                <w:rFonts w:asciiTheme="minorHAnsi" w:hAnsiTheme="minorHAnsi" w:cs="Times New Roman"/>
                <w:sz w:val="18"/>
                <w:szCs w:val="18"/>
              </w:rPr>
              <w:t>ontractors to guide them in the proper management of physical cultural properties in case they are found.</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b/>
                <w:bCs/>
                <w:sz w:val="18"/>
                <w:szCs w:val="18"/>
              </w:rPr>
            </w:pPr>
            <w:r w:rsidRPr="00FB6E71">
              <w:rPr>
                <w:rFonts w:asciiTheme="minorHAnsi" w:hAnsiTheme="minorHAnsi" w:cs="Times New Roman"/>
                <w:sz w:val="18"/>
                <w:szCs w:val="18"/>
              </w:rPr>
              <w:t xml:space="preserve">Indigenous Peoples </w:t>
            </w:r>
            <w:r>
              <w:rPr>
                <w:rFonts w:asciiTheme="minorHAnsi" w:hAnsiTheme="minorHAnsi" w:cs="Times New Roman"/>
                <w:sz w:val="18"/>
                <w:szCs w:val="18"/>
              </w:rPr>
              <w:t xml:space="preserve">- </w:t>
            </w:r>
            <w:r w:rsidRPr="00FB6E71">
              <w:rPr>
                <w:rFonts w:asciiTheme="minorHAnsi" w:hAnsiTheme="minorHAnsi" w:cs="Times New Roman"/>
                <w:sz w:val="18"/>
                <w:szCs w:val="18"/>
              </w:rPr>
              <w:t>OP/BP 4.10</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b/>
                <w:bCs/>
                <w:sz w:val="18"/>
                <w:szCs w:val="18"/>
              </w:rPr>
            </w:pPr>
            <w:r w:rsidRPr="00FB6E71">
              <w:rPr>
                <w:rFonts w:asciiTheme="minorHAnsi" w:hAnsiTheme="minorHAnsi" w:cs="Times New Roman"/>
                <w:sz w:val="18"/>
                <w:szCs w:val="18"/>
              </w:rPr>
              <w:t>No</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Pr>
                <w:rFonts w:asciiTheme="minorHAnsi" w:hAnsiTheme="minorHAnsi" w:cs="Times New Roman"/>
                <w:sz w:val="18"/>
                <w:szCs w:val="18"/>
              </w:rPr>
              <w:t>n.a.</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Involuntary Resettlement </w:t>
            </w:r>
            <w:r>
              <w:rPr>
                <w:rFonts w:asciiTheme="minorHAnsi" w:hAnsiTheme="minorHAnsi" w:cs="Times New Roman"/>
                <w:sz w:val="18"/>
                <w:szCs w:val="18"/>
              </w:rPr>
              <w:t xml:space="preserve">- </w:t>
            </w:r>
            <w:r w:rsidRPr="00FB6E71">
              <w:rPr>
                <w:rFonts w:asciiTheme="minorHAnsi" w:hAnsiTheme="minorHAnsi" w:cs="Times New Roman"/>
                <w:sz w:val="18"/>
                <w:szCs w:val="18"/>
              </w:rPr>
              <w:t>OP/BP 4.12</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sz w:val="18"/>
                <w:szCs w:val="18"/>
              </w:rPr>
            </w:pPr>
            <w:r w:rsidRPr="00FB6E71">
              <w:rPr>
                <w:rFonts w:asciiTheme="minorHAnsi" w:hAnsiTheme="minorHAnsi" w:cs="Times New Roman"/>
                <w:sz w:val="18"/>
                <w:szCs w:val="18"/>
              </w:rPr>
              <w:t>Yes</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The need for involuntary resettlement or land acquisition in specific subproject areas will only be known during project implementation, when site-specific plans are available. Therefore, subprojects will be screened for applicability of the resettlement policy</w:t>
            </w:r>
            <w:r>
              <w:rPr>
                <w:rFonts w:asciiTheme="minorHAnsi" w:hAnsiTheme="minorHAnsi" w:cs="Times New Roman"/>
                <w:sz w:val="18"/>
                <w:szCs w:val="18"/>
              </w:rPr>
              <w:t>,</w:t>
            </w:r>
            <w:r w:rsidRPr="00FB6E71">
              <w:rPr>
                <w:rFonts w:asciiTheme="minorHAnsi" w:hAnsiTheme="minorHAnsi" w:cs="Times New Roman"/>
                <w:sz w:val="18"/>
                <w:szCs w:val="18"/>
              </w:rPr>
              <w:t xml:space="preserve"> and any subprojects involving involuntary resettlement or land acquisition will only be approved after preparation of a resettlement plan acceptable to the World Bank. Several issues will increase the complexity of land acquisition. For example, the lack of reliable land record systems and the inability of people losing land to either document ownership or be physically present to make their claims for eligibility. Such situations can increase due to the situation of forced displacement in the NE as well as the weakened local authorities who can mediate in land ownership conflicts</w:t>
            </w:r>
            <w:r>
              <w:rPr>
                <w:rFonts w:asciiTheme="minorHAnsi" w:hAnsiTheme="minorHAnsi" w:cs="Times New Roman"/>
                <w:sz w:val="18"/>
                <w:szCs w:val="18"/>
              </w:rPr>
              <w:t>.</w:t>
            </w:r>
            <w:r w:rsidRPr="00FB6E71">
              <w:rPr>
                <w:rFonts w:asciiTheme="minorHAnsi" w:hAnsiTheme="minorHAnsi" w:cs="Times New Roman"/>
                <w:sz w:val="18"/>
                <w:szCs w:val="18"/>
              </w:rPr>
              <w:t xml:space="preserve"> Site-specific </w:t>
            </w:r>
            <w:r>
              <w:rPr>
                <w:rFonts w:asciiTheme="minorHAnsi" w:hAnsiTheme="minorHAnsi" w:cs="Times New Roman"/>
                <w:sz w:val="18"/>
                <w:szCs w:val="18"/>
              </w:rPr>
              <w:t>r</w:t>
            </w:r>
            <w:r w:rsidRPr="00FB6E71">
              <w:rPr>
                <w:rFonts w:asciiTheme="minorHAnsi" w:hAnsiTheme="minorHAnsi" w:cs="Times New Roman"/>
                <w:sz w:val="18"/>
                <w:szCs w:val="18"/>
              </w:rPr>
              <w:t xml:space="preserve">esettlement </w:t>
            </w:r>
            <w:r>
              <w:rPr>
                <w:rFonts w:asciiTheme="minorHAnsi" w:hAnsiTheme="minorHAnsi" w:cs="Times New Roman"/>
                <w:sz w:val="18"/>
                <w:szCs w:val="18"/>
              </w:rPr>
              <w:t>p</w:t>
            </w:r>
            <w:r w:rsidRPr="00FB6E71">
              <w:rPr>
                <w:rFonts w:asciiTheme="minorHAnsi" w:hAnsiTheme="minorHAnsi" w:cs="Times New Roman"/>
                <w:sz w:val="18"/>
                <w:szCs w:val="18"/>
              </w:rPr>
              <w:t>lans will, therefore, include procedures for identifying eligible project-affected people, calculating and delivering compensation, and mechanisms for land dispute grievance redress.</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Safety of Dams </w:t>
            </w:r>
            <w:r>
              <w:rPr>
                <w:rFonts w:asciiTheme="minorHAnsi" w:hAnsiTheme="minorHAnsi" w:cs="Times New Roman"/>
                <w:sz w:val="18"/>
                <w:szCs w:val="18"/>
              </w:rPr>
              <w:t xml:space="preserve">- </w:t>
            </w:r>
            <w:r w:rsidRPr="00FB6E71">
              <w:rPr>
                <w:rFonts w:asciiTheme="minorHAnsi" w:hAnsiTheme="minorHAnsi" w:cs="Times New Roman"/>
                <w:sz w:val="18"/>
                <w:szCs w:val="18"/>
              </w:rPr>
              <w:t>OP/BP 4.37</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sz w:val="18"/>
                <w:szCs w:val="18"/>
              </w:rPr>
            </w:pPr>
            <w:r w:rsidRPr="00FB6E71">
              <w:rPr>
                <w:rFonts w:asciiTheme="minorHAnsi" w:hAnsiTheme="minorHAnsi" w:cs="Times New Roman"/>
                <w:sz w:val="18"/>
                <w:szCs w:val="18"/>
              </w:rPr>
              <w:t>No</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3C2898">
              <w:rPr>
                <w:rFonts w:asciiTheme="minorHAnsi" w:hAnsiTheme="minorHAnsi" w:cs="Times New Roman"/>
                <w:sz w:val="18"/>
                <w:szCs w:val="18"/>
              </w:rPr>
              <w:t>n.a.</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Projects on International Waterways </w:t>
            </w:r>
            <w:r>
              <w:rPr>
                <w:rFonts w:asciiTheme="minorHAnsi" w:hAnsiTheme="minorHAnsi" w:cs="Times New Roman"/>
                <w:sz w:val="18"/>
                <w:szCs w:val="18"/>
              </w:rPr>
              <w:t xml:space="preserve">- </w:t>
            </w:r>
            <w:r w:rsidRPr="00FB6E71">
              <w:rPr>
                <w:rFonts w:asciiTheme="minorHAnsi" w:hAnsiTheme="minorHAnsi" w:cs="Times New Roman"/>
                <w:sz w:val="18"/>
                <w:szCs w:val="18"/>
              </w:rPr>
              <w:t>OP/BP 7.50</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b/>
                <w:bCs/>
                <w:sz w:val="18"/>
                <w:szCs w:val="18"/>
              </w:rPr>
            </w:pPr>
            <w:r w:rsidRPr="00FB6E71">
              <w:rPr>
                <w:rFonts w:asciiTheme="minorHAnsi" w:hAnsiTheme="minorHAnsi" w:cs="Times New Roman"/>
                <w:sz w:val="18"/>
                <w:szCs w:val="18"/>
              </w:rPr>
              <w:t>No</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3C2898">
              <w:rPr>
                <w:rFonts w:asciiTheme="minorHAnsi" w:hAnsiTheme="minorHAnsi" w:cs="Times New Roman"/>
                <w:sz w:val="18"/>
                <w:szCs w:val="18"/>
              </w:rPr>
              <w:t>n.a.</w:t>
            </w:r>
          </w:p>
        </w:tc>
      </w:tr>
      <w:tr w:rsidTr="007F2DE7">
        <w:tblPrEx>
          <w:tblW w:w="5000" w:type="pct"/>
          <w:jc w:val="center"/>
          <w:tblCellMar>
            <w:left w:w="50" w:type="dxa"/>
            <w:right w:w="50" w:type="dxa"/>
          </w:tblCellMar>
          <w:tblLook w:val="0000"/>
        </w:tblPrEx>
        <w:trPr>
          <w:cantSplit/>
          <w:trHeight w:val="20"/>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FB6E71">
              <w:rPr>
                <w:rFonts w:asciiTheme="minorHAnsi" w:hAnsiTheme="minorHAnsi" w:cs="Times New Roman"/>
                <w:sz w:val="18"/>
                <w:szCs w:val="18"/>
              </w:rPr>
              <w:t xml:space="preserve">Projects in Disputed Areas </w:t>
            </w:r>
            <w:r>
              <w:rPr>
                <w:rFonts w:asciiTheme="minorHAnsi" w:hAnsiTheme="minorHAnsi" w:cs="Times New Roman"/>
                <w:sz w:val="18"/>
                <w:szCs w:val="18"/>
              </w:rPr>
              <w:t xml:space="preserve">- </w:t>
            </w:r>
            <w:r w:rsidRPr="00FB6E71">
              <w:rPr>
                <w:rFonts w:asciiTheme="minorHAnsi" w:hAnsiTheme="minorHAnsi" w:cs="Times New Roman"/>
                <w:sz w:val="18"/>
                <w:szCs w:val="18"/>
              </w:rPr>
              <w:t>OP/BP 7.60</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ind w:left="34"/>
              <w:rPr>
                <w:rFonts w:asciiTheme="minorHAnsi" w:hAnsiTheme="minorHAnsi" w:cs="Times New Roman"/>
                <w:b/>
                <w:bCs/>
                <w:sz w:val="18"/>
                <w:szCs w:val="18"/>
              </w:rPr>
            </w:pPr>
            <w:r w:rsidRPr="00FB6E71">
              <w:rPr>
                <w:rFonts w:asciiTheme="minorHAnsi" w:hAnsiTheme="minorHAnsi" w:cs="Times New Roman"/>
                <w:sz w:val="18"/>
                <w:szCs w:val="18"/>
              </w:rPr>
              <w:t>No</w:t>
            </w:r>
          </w:p>
        </w:tc>
        <w:tc>
          <w:tcPr>
            <w:tcW w:w="3676"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7F2DE7" w:rsidRPr="00FB6E71" w:rsidP="007F2DE7">
            <w:pPr>
              <w:rPr>
                <w:rFonts w:asciiTheme="minorHAnsi" w:hAnsiTheme="minorHAnsi" w:cs="Times New Roman"/>
                <w:sz w:val="18"/>
                <w:szCs w:val="18"/>
              </w:rPr>
            </w:pPr>
            <w:r w:rsidRPr="003C2898">
              <w:rPr>
                <w:rFonts w:asciiTheme="minorHAnsi" w:hAnsiTheme="minorHAnsi" w:cs="Times New Roman"/>
                <w:sz w:val="18"/>
                <w:szCs w:val="18"/>
              </w:rPr>
              <w:t>n.a.</w:t>
            </w:r>
          </w:p>
        </w:tc>
      </w:tr>
    </w:tbl>
    <w:p w:rsidR="007F2DE7" w:rsidRPr="00FB6E71" w:rsidP="007F2DE7">
      <w:pPr>
        <w:widowControl/>
        <w:jc w:val="center"/>
        <w:rPr>
          <w:rFonts w:asciiTheme="minorHAnsi" w:hAnsiTheme="minorHAnsi"/>
          <w:color w:val="auto"/>
          <w:sz w:val="18"/>
          <w:szCs w:val="18"/>
          <w:lang w:bidi="en-US"/>
        </w:rPr>
      </w:pP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lang w:bidi="en-US"/>
        </w:rPr>
        <w:t>Project activities that would trigger environmental impacts include rehabilitation and construction works of schools, hospitals, water intake and sanitation structures, public buildings</w:t>
      </w:r>
      <w:r>
        <w:rPr>
          <w:rFonts w:asciiTheme="minorHAnsi" w:hAnsiTheme="minorHAnsi" w:cs="Times New Roman"/>
          <w:sz w:val="22"/>
          <w:szCs w:val="22"/>
          <w:lang w:bidi="en-US"/>
        </w:rPr>
        <w:t>,</w:t>
      </w:r>
      <w:r w:rsidRPr="00FB6E71">
        <w:rPr>
          <w:rFonts w:asciiTheme="minorHAnsi" w:hAnsiTheme="minorHAnsi" w:cs="Times New Roman"/>
          <w:sz w:val="22"/>
          <w:szCs w:val="22"/>
          <w:lang w:bidi="en-US"/>
        </w:rPr>
        <w:t xml:space="preserve"> and community structures. </w:t>
      </w:r>
      <w:r w:rsidRPr="00FB6E71">
        <w:rPr>
          <w:rFonts w:asciiTheme="minorHAnsi" w:hAnsiTheme="minorHAnsi" w:cs="Times New Roman"/>
          <w:sz w:val="22"/>
          <w:szCs w:val="22"/>
        </w:rPr>
        <w:t>Construction</w:t>
      </w:r>
      <w:r>
        <w:rPr>
          <w:rFonts w:asciiTheme="minorHAnsi" w:hAnsiTheme="minorHAnsi" w:cs="Times New Roman"/>
          <w:sz w:val="22"/>
          <w:szCs w:val="22"/>
        </w:rPr>
        <w:t>-</w:t>
      </w:r>
      <w:r w:rsidRPr="00FB6E71">
        <w:rPr>
          <w:rFonts w:asciiTheme="minorHAnsi" w:hAnsiTheme="minorHAnsi" w:cs="Times New Roman"/>
          <w:sz w:val="22"/>
          <w:szCs w:val="22"/>
          <w:lang w:bidi="en-US"/>
        </w:rPr>
        <w:t>related negative environmental impacts would include clearance of trees, noise nuisance, soil erosion, dust emissions, debris, solid and liquid wastes</w:t>
      </w:r>
      <w:r>
        <w:rPr>
          <w:rFonts w:asciiTheme="minorHAnsi" w:hAnsiTheme="minorHAnsi" w:cs="Times New Roman"/>
          <w:sz w:val="22"/>
          <w:szCs w:val="22"/>
          <w:lang w:bidi="en-US"/>
        </w:rPr>
        <w:t>,</w:t>
      </w:r>
      <w:r w:rsidRPr="00FB6E71">
        <w:rPr>
          <w:rFonts w:asciiTheme="minorHAnsi" w:hAnsiTheme="minorHAnsi" w:cs="Times New Roman"/>
          <w:sz w:val="22"/>
          <w:szCs w:val="22"/>
          <w:lang w:bidi="en-US"/>
        </w:rPr>
        <w:t xml:space="preserve"> and pollution of surface and ground water resources among others. It is also important to recognize </w:t>
      </w:r>
      <w:r w:rsidRPr="00FB6E71">
        <w:rPr>
          <w:rFonts w:asciiTheme="minorHAnsi" w:hAnsiTheme="minorHAnsi" w:cs="Times New Roman"/>
          <w:sz w:val="22"/>
          <w:szCs w:val="22"/>
        </w:rPr>
        <w:t>the</w:t>
      </w:r>
      <w:r w:rsidRPr="00FB6E71">
        <w:rPr>
          <w:rFonts w:asciiTheme="minorHAnsi" w:hAnsiTheme="minorHAnsi" w:cs="Times New Roman"/>
          <w:sz w:val="22"/>
          <w:szCs w:val="22"/>
          <w:lang w:bidi="en-US"/>
        </w:rPr>
        <w:t xml:space="preserve"> practice of HIV/AIDS prevention and sensitization on non-tolerance of inappropriate contacts with underage girls in communities to help ensure a healthy migrant labor force of contractors and communities for civil works during construction periods.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lang w:bidi="en-US"/>
        </w:rPr>
        <w:t>Potential negative E&amp;S impacts.</w:t>
      </w:r>
      <w:r w:rsidRPr="00FB6E71">
        <w:rPr>
          <w:rFonts w:asciiTheme="minorHAnsi" w:hAnsiTheme="minorHAnsi" w:cs="Times New Roman"/>
          <w:sz w:val="22"/>
          <w:szCs w:val="22"/>
          <w:lang w:bidi="en-US"/>
        </w:rPr>
        <w:t xml:space="preserve"> The potentially significant adverse impacts that would result from the project are expected to be site</w:t>
      </w:r>
      <w:r>
        <w:rPr>
          <w:rFonts w:asciiTheme="minorHAnsi" w:hAnsiTheme="minorHAnsi" w:cs="Times New Roman"/>
          <w:sz w:val="22"/>
          <w:szCs w:val="22"/>
          <w:lang w:bidi="en-US"/>
        </w:rPr>
        <w:t>-</w:t>
      </w:r>
      <w:r w:rsidRPr="00FB6E71">
        <w:rPr>
          <w:rFonts w:asciiTheme="minorHAnsi" w:hAnsiTheme="minorHAnsi" w:cs="Times New Roman"/>
          <w:sz w:val="22"/>
          <w:szCs w:val="22"/>
          <w:lang w:bidi="en-US"/>
        </w:rPr>
        <w:t>specific, noncumulative</w:t>
      </w:r>
      <w:r>
        <w:rPr>
          <w:rFonts w:asciiTheme="minorHAnsi" w:hAnsiTheme="minorHAnsi" w:cs="Times New Roman"/>
          <w:sz w:val="22"/>
          <w:szCs w:val="22"/>
          <w:lang w:bidi="en-US"/>
        </w:rPr>
        <w:t>,</w:t>
      </w:r>
      <w:r w:rsidRPr="00FB6E71">
        <w:rPr>
          <w:rFonts w:asciiTheme="minorHAnsi" w:hAnsiTheme="minorHAnsi" w:cs="Times New Roman"/>
          <w:sz w:val="22"/>
          <w:szCs w:val="22"/>
          <w:lang w:bidi="en-US"/>
        </w:rPr>
        <w:t xml:space="preserve"> and relatively easy to mitigate to acceptable levels. Some of the activities, potential adverse impacts</w:t>
      </w:r>
      <w:r>
        <w:rPr>
          <w:rFonts w:asciiTheme="minorHAnsi" w:hAnsiTheme="minorHAnsi" w:cs="Times New Roman"/>
          <w:sz w:val="22"/>
          <w:szCs w:val="22"/>
          <w:lang w:bidi="en-US"/>
        </w:rPr>
        <w:t>,</w:t>
      </w:r>
      <w:r w:rsidRPr="00FB6E71">
        <w:rPr>
          <w:rFonts w:asciiTheme="minorHAnsi" w:hAnsiTheme="minorHAnsi" w:cs="Times New Roman"/>
          <w:sz w:val="22"/>
          <w:szCs w:val="22"/>
          <w:lang w:bidi="en-US"/>
        </w:rPr>
        <w:t xml:space="preserve"> and generic mitigation measures are depicted in the table</w:t>
      </w:r>
      <w:r>
        <w:rPr>
          <w:rFonts w:asciiTheme="minorHAnsi" w:hAnsiTheme="minorHAnsi" w:cs="Times New Roman"/>
          <w:sz w:val="22"/>
          <w:szCs w:val="22"/>
          <w:lang w:bidi="en-US"/>
        </w:rPr>
        <w:t>.</w:t>
      </w:r>
    </w:p>
    <w:p w:rsidR="007F2DE7" w:rsidRPr="00CE2BEF" w:rsidP="007F2DE7">
      <w:pPr>
        <w:pStyle w:val="Caption"/>
        <w:keepNext/>
        <w:keepLines/>
        <w:widowControl/>
        <w:spacing w:before="120" w:after="120"/>
        <w:jc w:val="center"/>
        <w:rPr>
          <w:rFonts w:asciiTheme="minorHAnsi" w:hAnsiTheme="minorHAnsi"/>
          <w:b/>
          <w:i w:val="0"/>
          <w:color w:val="auto"/>
        </w:rPr>
      </w:pPr>
      <w:bookmarkStart w:id="140" w:name="_Toc463856420"/>
      <w:r w:rsidRPr="00CE2BEF">
        <w:rPr>
          <w:rFonts w:asciiTheme="minorHAnsi" w:hAnsiTheme="minorHAnsi"/>
          <w:b/>
          <w:i w:val="0"/>
          <w:color w:val="auto"/>
        </w:rPr>
        <w:t>Table 2.</w:t>
      </w:r>
      <w:r w:rsidRPr="00CE2BEF">
        <w:rPr>
          <w:rFonts w:asciiTheme="minorHAnsi" w:hAnsiTheme="minorHAnsi"/>
          <w:b/>
          <w:i w:val="0"/>
          <w:color w:val="auto"/>
        </w:rPr>
        <w:fldChar w:fldCharType="begin"/>
      </w:r>
      <w:r w:rsidRPr="00CE2BEF">
        <w:rPr>
          <w:rFonts w:asciiTheme="minorHAnsi" w:hAnsiTheme="minorHAnsi"/>
          <w:b/>
          <w:i w:val="0"/>
          <w:color w:val="auto"/>
        </w:rPr>
        <w:instrText xml:space="preserve"> SEQ Table_2. \* ARABIC </w:instrText>
      </w:r>
      <w:r w:rsidRPr="00CE2BEF">
        <w:rPr>
          <w:rFonts w:asciiTheme="minorHAnsi" w:hAnsiTheme="minorHAnsi"/>
          <w:b/>
          <w:i w:val="0"/>
          <w:color w:val="auto"/>
        </w:rPr>
        <w:fldChar w:fldCharType="separate"/>
      </w:r>
      <w:r w:rsidRPr="00CE2BEF">
        <w:rPr>
          <w:rFonts w:asciiTheme="minorHAnsi" w:hAnsiTheme="minorHAnsi"/>
          <w:b/>
          <w:i w:val="0"/>
          <w:color w:val="auto"/>
        </w:rPr>
        <w:t>11</w:t>
      </w:r>
      <w:r w:rsidRPr="00CE2BEF">
        <w:rPr>
          <w:rFonts w:asciiTheme="minorHAnsi" w:hAnsiTheme="minorHAnsi"/>
          <w:b/>
          <w:i w:val="0"/>
          <w:color w:val="auto"/>
        </w:rPr>
        <w:fldChar w:fldCharType="end"/>
      </w:r>
      <w:r>
        <w:rPr>
          <w:rFonts w:asciiTheme="minorHAnsi" w:hAnsiTheme="minorHAnsi"/>
          <w:b/>
          <w:i w:val="0"/>
          <w:color w:val="auto"/>
        </w:rPr>
        <w:t>.</w:t>
      </w:r>
      <w:r w:rsidRPr="00CE2BEF">
        <w:rPr>
          <w:rFonts w:asciiTheme="minorHAnsi" w:hAnsiTheme="minorHAnsi"/>
          <w:b/>
          <w:i w:val="0"/>
          <w:color w:val="auto"/>
        </w:rPr>
        <w:t xml:space="preserve"> Typical Impacts and Mitigation Measures from Rehabilitation of Damaged Infrastructures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5"/>
        <w:gridCol w:w="3049"/>
        <w:gridCol w:w="4596"/>
      </w:tblGrid>
      <w:tr w:rsidTr="007F2DE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20"/>
          <w:tblHeader/>
          <w:jc w:val="center"/>
        </w:trPr>
        <w:tc>
          <w:tcPr>
            <w:tcW w:w="1705" w:type="dxa"/>
            <w:tcBorders>
              <w:top w:val="single" w:sz="4" w:space="0" w:color="auto"/>
            </w:tcBorders>
            <w:vAlign w:val="center"/>
          </w:tcPr>
          <w:p w:rsidR="007F2DE7" w:rsidRPr="00FB6E71" w:rsidP="007F2DE7">
            <w:pPr>
              <w:jc w:val="center"/>
              <w:rPr>
                <w:rFonts w:asciiTheme="minorHAnsi" w:hAnsiTheme="minorHAnsi" w:cs="Times New Roman"/>
                <w:b/>
                <w:bCs/>
                <w:sz w:val="18"/>
                <w:szCs w:val="18"/>
              </w:rPr>
            </w:pPr>
            <w:bookmarkEnd w:id="140"/>
            <w:r w:rsidRPr="00FB6E71">
              <w:rPr>
                <w:rFonts w:asciiTheme="minorHAnsi" w:hAnsiTheme="minorHAnsi" w:cs="Times New Roman"/>
                <w:b/>
                <w:bCs/>
                <w:sz w:val="18"/>
                <w:szCs w:val="18"/>
              </w:rPr>
              <w:t>Project Activities/Environmental Aspects</w:t>
            </w:r>
          </w:p>
        </w:tc>
        <w:tc>
          <w:tcPr>
            <w:tcW w:w="3049" w:type="dxa"/>
            <w:vAlign w:val="center"/>
          </w:tcPr>
          <w:p w:rsidR="007F2DE7" w:rsidRPr="00FB6E71" w:rsidP="007F2DE7">
            <w:pPr>
              <w:jc w:val="center"/>
              <w:rPr>
                <w:rFonts w:asciiTheme="minorHAnsi" w:hAnsiTheme="minorHAnsi" w:cs="Times New Roman"/>
                <w:b/>
                <w:bCs/>
                <w:sz w:val="18"/>
                <w:szCs w:val="18"/>
              </w:rPr>
            </w:pPr>
            <w:r w:rsidRPr="00FB6E71">
              <w:rPr>
                <w:rFonts w:asciiTheme="minorHAnsi" w:hAnsiTheme="minorHAnsi" w:cs="Times New Roman"/>
                <w:b/>
                <w:bCs/>
                <w:sz w:val="18"/>
                <w:szCs w:val="18"/>
              </w:rPr>
              <w:t>Potential and Associated Impacts</w:t>
            </w:r>
          </w:p>
        </w:tc>
        <w:tc>
          <w:tcPr>
            <w:tcW w:w="4596" w:type="dxa"/>
            <w:vAlign w:val="center"/>
          </w:tcPr>
          <w:p w:rsidR="007F2DE7" w:rsidRPr="00FB6E71" w:rsidP="007F2DE7">
            <w:pPr>
              <w:ind w:left="375"/>
              <w:jc w:val="center"/>
              <w:rPr>
                <w:rFonts w:asciiTheme="minorHAnsi" w:hAnsiTheme="minorHAnsi" w:cs="Times New Roman"/>
                <w:b/>
                <w:sz w:val="18"/>
                <w:szCs w:val="18"/>
              </w:rPr>
            </w:pPr>
            <w:r w:rsidRPr="00FB6E71">
              <w:rPr>
                <w:rFonts w:asciiTheme="minorHAnsi" w:hAnsiTheme="minorHAnsi" w:cs="Times New Roman"/>
                <w:b/>
                <w:sz w:val="18"/>
                <w:szCs w:val="18"/>
              </w:rPr>
              <w:t>Mitigation Measures</w:t>
            </w:r>
          </w:p>
        </w:tc>
      </w:tr>
      <w:tr w:rsidTr="007F2DE7">
        <w:tblPrEx>
          <w:tblW w:w="5000" w:type="pct"/>
          <w:jc w:val="center"/>
          <w:tblLayout w:type="fixed"/>
          <w:tblLook w:val="0000"/>
        </w:tblPrEx>
        <w:trPr>
          <w:cantSplit/>
          <w:trHeight w:val="20"/>
          <w:jc w:val="center"/>
        </w:trPr>
        <w:tc>
          <w:tcPr>
            <w:tcW w:w="1705" w:type="dxa"/>
            <w:tcBorders>
              <w:top w:val="single" w:sz="4" w:space="0" w:color="auto"/>
            </w:tcBorders>
            <w:vAlign w:val="center"/>
          </w:tcPr>
          <w:p w:rsidR="007F2DE7" w:rsidRPr="00FB6E71" w:rsidP="007F2DE7">
            <w:pPr>
              <w:rPr>
                <w:rFonts w:asciiTheme="minorHAnsi" w:hAnsiTheme="minorHAnsi" w:cs="Times New Roman"/>
                <w:bCs/>
                <w:sz w:val="18"/>
                <w:szCs w:val="18"/>
              </w:rPr>
            </w:pPr>
            <w:r w:rsidRPr="00FB6E71">
              <w:rPr>
                <w:rFonts w:asciiTheme="minorHAnsi" w:hAnsiTheme="minorHAnsi" w:cs="Times New Roman"/>
                <w:bCs/>
                <w:sz w:val="18"/>
                <w:szCs w:val="18"/>
              </w:rPr>
              <w:t>Direct or indirect impacts on conditions in the NE (applies to all project components)</w:t>
            </w: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 xml:space="preserve">Social unrest, potential conflict with local communities, disruption of work, </w:t>
            </w:r>
            <w:r>
              <w:rPr>
                <w:rFonts w:asciiTheme="minorHAnsi" w:hAnsiTheme="minorHAnsi" w:cs="Times New Roman"/>
                <w:bCs/>
                <w:sz w:val="18"/>
                <w:szCs w:val="18"/>
              </w:rPr>
              <w:t xml:space="preserve">and </w:t>
            </w:r>
            <w:r w:rsidRPr="00FB6E71">
              <w:rPr>
                <w:rFonts w:asciiTheme="minorHAnsi" w:hAnsiTheme="minorHAnsi" w:cs="Times New Roman"/>
                <w:bCs/>
                <w:sz w:val="18"/>
                <w:szCs w:val="18"/>
              </w:rPr>
              <w:t>risks to personnel because of the history of the conflict in the NE</w:t>
            </w:r>
          </w:p>
        </w:tc>
        <w:tc>
          <w:tcPr>
            <w:tcW w:w="4596" w:type="dxa"/>
            <w:shd w:val="clear" w:color="auto" w:fill="auto"/>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Maintain effective two-way dialogue through transparency and disclosure, full and frequent information to the public and concerned NGOs, and established arrangement for community liaison and for handling complaints and grievances.</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Maximize employment opportunities.</w:t>
            </w:r>
          </w:p>
        </w:tc>
      </w:tr>
      <w:tr w:rsidTr="007F2DE7">
        <w:tblPrEx>
          <w:tblW w:w="5000" w:type="pct"/>
          <w:jc w:val="center"/>
          <w:tblLayout w:type="fixed"/>
          <w:tblLook w:val="0000"/>
        </w:tblPrEx>
        <w:trPr>
          <w:cantSplit/>
          <w:trHeight w:val="20"/>
          <w:jc w:val="center"/>
        </w:trPr>
        <w:tc>
          <w:tcPr>
            <w:tcW w:w="1705" w:type="dxa"/>
            <w:vMerge w:val="restart"/>
            <w:tcBorders>
              <w:top w:val="single" w:sz="4" w:space="0" w:color="auto"/>
            </w:tcBorders>
            <w:vAlign w:val="center"/>
          </w:tcPr>
          <w:p w:rsidR="007F2DE7" w:rsidRPr="00FB6E71" w:rsidP="007F2DE7">
            <w:pPr>
              <w:rPr>
                <w:rFonts w:asciiTheme="minorHAnsi" w:hAnsiTheme="minorHAnsi" w:cs="Times New Roman"/>
                <w:bCs/>
                <w:sz w:val="18"/>
                <w:szCs w:val="18"/>
              </w:rPr>
            </w:pPr>
            <w:r w:rsidRPr="00FB6E71">
              <w:rPr>
                <w:rFonts w:asciiTheme="minorHAnsi" w:hAnsiTheme="minorHAnsi" w:cs="Times New Roman"/>
                <w:bCs/>
                <w:sz w:val="18"/>
                <w:szCs w:val="18"/>
              </w:rPr>
              <w:t>Environmental Management Plan and Health and Safety Plan do not exist or are not being implemented.</w:t>
            </w: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Workplace health and safety risks are not being adequately managed.</w:t>
            </w:r>
          </w:p>
        </w:tc>
        <w:tc>
          <w:tcPr>
            <w:tcW w:w="4596" w:type="dxa"/>
            <w:vMerge w:val="restart"/>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Develop and/or implement E</w:t>
            </w:r>
            <w:r>
              <w:rPr>
                <w:rFonts w:asciiTheme="minorHAnsi" w:hAnsiTheme="minorHAnsi" w:cs="Times New Roman"/>
                <w:sz w:val="18"/>
                <w:szCs w:val="18"/>
              </w:rPr>
              <w:t xml:space="preserve">nvironmental </w:t>
            </w:r>
            <w:r w:rsidRPr="00FB6E71">
              <w:rPr>
                <w:rFonts w:asciiTheme="minorHAnsi" w:hAnsiTheme="minorHAnsi" w:cs="Times New Roman"/>
                <w:sz w:val="18"/>
                <w:szCs w:val="18"/>
              </w:rPr>
              <w:t>M</w:t>
            </w:r>
            <w:r>
              <w:rPr>
                <w:rFonts w:asciiTheme="minorHAnsi" w:hAnsiTheme="minorHAnsi" w:cs="Times New Roman"/>
                <w:sz w:val="18"/>
                <w:szCs w:val="18"/>
              </w:rPr>
              <w:t xml:space="preserve">anagement </w:t>
            </w:r>
            <w:r w:rsidRPr="00FB6E71">
              <w:rPr>
                <w:rFonts w:asciiTheme="minorHAnsi" w:hAnsiTheme="minorHAnsi" w:cs="Times New Roman"/>
                <w:sz w:val="18"/>
                <w:szCs w:val="18"/>
              </w:rPr>
              <w:t>P</w:t>
            </w:r>
            <w:r>
              <w:rPr>
                <w:rFonts w:asciiTheme="minorHAnsi" w:hAnsiTheme="minorHAnsi" w:cs="Times New Roman"/>
                <w:sz w:val="18"/>
                <w:szCs w:val="18"/>
              </w:rPr>
              <w:t>lan</w:t>
            </w:r>
            <w:r w:rsidRPr="00FB6E71">
              <w:rPr>
                <w:rFonts w:asciiTheme="minorHAnsi" w:hAnsiTheme="minorHAnsi" w:cs="Times New Roman"/>
                <w:sz w:val="18"/>
                <w:szCs w:val="18"/>
              </w:rPr>
              <w:t xml:space="preserve"> and H</w:t>
            </w:r>
            <w:r>
              <w:rPr>
                <w:rFonts w:asciiTheme="minorHAnsi" w:hAnsiTheme="minorHAnsi" w:cs="Times New Roman"/>
                <w:sz w:val="18"/>
                <w:szCs w:val="18"/>
              </w:rPr>
              <w:t xml:space="preserve">ealth, </w:t>
            </w:r>
            <w:r w:rsidRPr="00FB6E71">
              <w:rPr>
                <w:rFonts w:asciiTheme="minorHAnsi" w:hAnsiTheme="minorHAnsi" w:cs="Times New Roman"/>
                <w:sz w:val="18"/>
                <w:szCs w:val="18"/>
              </w:rPr>
              <w:t>S</w:t>
            </w:r>
            <w:r>
              <w:rPr>
                <w:rFonts w:asciiTheme="minorHAnsi" w:hAnsiTheme="minorHAnsi" w:cs="Times New Roman"/>
                <w:sz w:val="18"/>
                <w:szCs w:val="18"/>
              </w:rPr>
              <w:t xml:space="preserve">afety, and </w:t>
            </w:r>
            <w:r w:rsidRPr="00FB6E71">
              <w:rPr>
                <w:rFonts w:asciiTheme="minorHAnsi" w:hAnsiTheme="minorHAnsi" w:cs="Times New Roman"/>
                <w:sz w:val="18"/>
                <w:szCs w:val="18"/>
              </w:rPr>
              <w:t>E</w:t>
            </w:r>
            <w:r>
              <w:rPr>
                <w:rFonts w:asciiTheme="minorHAnsi" w:hAnsiTheme="minorHAnsi" w:cs="Times New Roman"/>
                <w:sz w:val="18"/>
                <w:szCs w:val="18"/>
              </w:rPr>
              <w:t>nvironment</w:t>
            </w:r>
            <w:r w:rsidRPr="00FB6E71">
              <w:rPr>
                <w:rFonts w:asciiTheme="minorHAnsi" w:hAnsiTheme="minorHAnsi" w:cs="Times New Roman"/>
                <w:sz w:val="18"/>
                <w:szCs w:val="18"/>
              </w:rPr>
              <w:t xml:space="preserve"> Plan.</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Correct substandard conditions requiring urgent attention.</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Develop and implement an action plan to correct other deficiencies.</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Identify and empower (or recruit) responsible individuals to manage health, safety</w:t>
            </w:r>
            <w:r>
              <w:rPr>
                <w:rFonts w:asciiTheme="minorHAnsi" w:hAnsiTheme="minorHAnsi" w:cs="Times New Roman"/>
                <w:sz w:val="18"/>
                <w:szCs w:val="18"/>
              </w:rPr>
              <w:t>,</w:t>
            </w:r>
            <w:r w:rsidRPr="00FB6E71">
              <w:rPr>
                <w:rFonts w:asciiTheme="minorHAnsi" w:hAnsiTheme="minorHAnsi" w:cs="Times New Roman"/>
                <w:sz w:val="18"/>
                <w:szCs w:val="18"/>
              </w:rPr>
              <w:t xml:space="preserve"> and environment at the facility.</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Start or restart awareness training.</w:t>
            </w: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Effluent, emission</w:t>
            </w:r>
            <w:r>
              <w:rPr>
                <w:rFonts w:asciiTheme="minorHAnsi" w:hAnsiTheme="minorHAnsi" w:cs="Times New Roman"/>
                <w:bCs/>
                <w:sz w:val="18"/>
                <w:szCs w:val="18"/>
              </w:rPr>
              <w:t>,</w:t>
            </w:r>
            <w:r w:rsidRPr="00FB6E71">
              <w:rPr>
                <w:rFonts w:asciiTheme="minorHAnsi" w:hAnsiTheme="minorHAnsi" w:cs="Times New Roman"/>
                <w:bCs/>
                <w:sz w:val="18"/>
                <w:szCs w:val="18"/>
              </w:rPr>
              <w:t xml:space="preserve"> and noise standards are not being complied with. Ambient conditions in the area exceed standards.</w:t>
            </w:r>
          </w:p>
        </w:tc>
        <w:tc>
          <w:tcPr>
            <w:tcW w:w="4596" w:type="dxa"/>
            <w:vMerge/>
            <w:vAlign w:val="center"/>
          </w:tcPr>
          <w:p w:rsidR="007F2DE7" w:rsidRPr="00FB6E71" w:rsidP="007F2DE7">
            <w:pPr>
              <w:widowControl/>
              <w:ind w:left="288" w:hanging="288"/>
              <w:rPr>
                <w:rFonts w:asciiTheme="minorHAnsi" w:hAnsiTheme="minorHAnsi" w:cs="Times New Roman"/>
                <w:sz w:val="18"/>
                <w:szCs w:val="18"/>
              </w:rPr>
            </w:pP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tcBorders>
              <w:top w:val="single" w:sz="4" w:space="0" w:color="auto"/>
              <w:bottom w:val="single" w:sz="4" w:space="0" w:color="auto"/>
            </w:tcBorders>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Solid waste management is substandard, with abandoned equipment and accumulations of trash and litter widespread.</w:t>
            </w:r>
          </w:p>
        </w:tc>
        <w:tc>
          <w:tcPr>
            <w:tcW w:w="4596" w:type="dxa"/>
            <w:vMerge/>
            <w:shd w:val="clear" w:color="auto" w:fill="auto"/>
            <w:vAlign w:val="center"/>
          </w:tcPr>
          <w:p w:rsidR="007F2DE7" w:rsidRPr="00FB6E71" w:rsidP="007F2DE7">
            <w:pPr>
              <w:widowControl/>
              <w:ind w:left="288" w:hanging="288"/>
              <w:rPr>
                <w:rFonts w:asciiTheme="minorHAnsi" w:hAnsiTheme="minorHAnsi" w:cs="Times New Roman"/>
                <w:sz w:val="18"/>
                <w:szCs w:val="18"/>
              </w:rPr>
            </w:pPr>
          </w:p>
        </w:tc>
      </w:tr>
      <w:tr w:rsidTr="007F2DE7">
        <w:tblPrEx>
          <w:tblW w:w="5000" w:type="pct"/>
          <w:jc w:val="center"/>
          <w:tblLayout w:type="fixed"/>
          <w:tblLook w:val="0000"/>
        </w:tblPrEx>
        <w:trPr>
          <w:cantSplit/>
          <w:trHeight w:val="20"/>
          <w:jc w:val="center"/>
        </w:trPr>
        <w:tc>
          <w:tcPr>
            <w:tcW w:w="1705" w:type="dxa"/>
            <w:vMerge/>
            <w:tcBorders>
              <w:bottom w:val="single" w:sz="4" w:space="0" w:color="auto"/>
            </w:tcBorders>
            <w:vAlign w:val="center"/>
          </w:tcPr>
          <w:p w:rsidR="007F2DE7" w:rsidRPr="00FB6E71" w:rsidP="007F2DE7">
            <w:pPr>
              <w:rPr>
                <w:rFonts w:asciiTheme="minorHAnsi" w:hAnsiTheme="minorHAnsi" w:cs="Times New Roman"/>
                <w:bCs/>
                <w:sz w:val="18"/>
                <w:szCs w:val="18"/>
              </w:rPr>
            </w:pPr>
          </w:p>
        </w:tc>
        <w:tc>
          <w:tcPr>
            <w:tcW w:w="3049" w:type="dxa"/>
            <w:tcBorders>
              <w:top w:val="single" w:sz="4" w:space="0" w:color="auto"/>
              <w:bottom w:val="single" w:sz="4" w:space="0" w:color="auto"/>
            </w:tcBorders>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Spills and leaks have contaminated soil, structures, and possibly groundwater.</w:t>
            </w:r>
          </w:p>
        </w:tc>
        <w:tc>
          <w:tcPr>
            <w:tcW w:w="4596" w:type="dxa"/>
            <w:vMerge/>
            <w:tcBorders>
              <w:bottom w:val="single" w:sz="4" w:space="0" w:color="auto"/>
            </w:tcBorders>
            <w:shd w:val="clear" w:color="auto" w:fill="auto"/>
            <w:vAlign w:val="center"/>
          </w:tcPr>
          <w:p w:rsidR="007F2DE7" w:rsidRPr="00FB6E71" w:rsidP="007F2DE7">
            <w:pPr>
              <w:widowControl/>
              <w:ind w:left="288" w:hanging="288"/>
              <w:rPr>
                <w:rFonts w:asciiTheme="minorHAnsi" w:hAnsiTheme="minorHAnsi" w:cs="Times New Roman"/>
                <w:sz w:val="18"/>
                <w:szCs w:val="18"/>
              </w:rPr>
            </w:pPr>
          </w:p>
        </w:tc>
      </w:tr>
      <w:tr w:rsidTr="007F2DE7">
        <w:tblPrEx>
          <w:tblW w:w="5000" w:type="pct"/>
          <w:jc w:val="center"/>
          <w:tblLayout w:type="fixed"/>
          <w:tblLook w:val="0000"/>
        </w:tblPrEx>
        <w:trPr>
          <w:cantSplit/>
          <w:trHeight w:val="20"/>
          <w:jc w:val="center"/>
        </w:trPr>
        <w:tc>
          <w:tcPr>
            <w:tcW w:w="1705" w:type="dxa"/>
            <w:vMerge w:val="restart"/>
            <w:tcBorders>
              <w:top w:val="nil"/>
            </w:tcBorders>
            <w:vAlign w:val="center"/>
          </w:tcPr>
          <w:p w:rsidR="007F2DE7" w:rsidRPr="00FB6E71" w:rsidP="007F2DE7">
            <w:pPr>
              <w:rPr>
                <w:rFonts w:asciiTheme="minorHAnsi" w:hAnsiTheme="minorHAnsi" w:cs="Times New Roman"/>
                <w:bCs/>
                <w:sz w:val="18"/>
                <w:szCs w:val="18"/>
              </w:rPr>
            </w:pPr>
            <w:r w:rsidRPr="00FB6E71">
              <w:rPr>
                <w:rFonts w:asciiTheme="minorHAnsi" w:hAnsiTheme="minorHAnsi" w:cs="Times New Roman"/>
                <w:bCs/>
                <w:sz w:val="18"/>
                <w:szCs w:val="18"/>
              </w:rPr>
              <w:t>Environmental and health and safety monitoring is not being conducted.</w:t>
            </w: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No database by which to judge compliance with standards in the workplace or in effluent and emissions.</w:t>
            </w:r>
          </w:p>
        </w:tc>
        <w:tc>
          <w:tcPr>
            <w:tcW w:w="4596" w:type="dxa"/>
            <w:vMerge w:val="restart"/>
            <w:shd w:val="clear" w:color="auto" w:fill="auto"/>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Formulate and/or implement monitoring plans.</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Repair or obtain monitoring equipment.</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Identify and empower (or recruit) responsible individuals to manage monitoring program.</w:t>
            </w: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No database to discern effects on ambient conditions.</w:t>
            </w:r>
          </w:p>
        </w:tc>
        <w:tc>
          <w:tcPr>
            <w:tcW w:w="4596" w:type="dxa"/>
            <w:vMerge/>
            <w:shd w:val="clear" w:color="auto" w:fill="auto"/>
            <w:vAlign w:val="center"/>
          </w:tcPr>
          <w:p w:rsidR="007F2DE7" w:rsidRPr="00FB6E71" w:rsidP="007F2DE7">
            <w:pPr>
              <w:widowControl/>
              <w:ind w:left="288" w:hanging="288"/>
              <w:rPr>
                <w:rFonts w:asciiTheme="minorHAnsi" w:hAnsiTheme="minorHAnsi" w:cs="Times New Roman"/>
                <w:sz w:val="18"/>
                <w:szCs w:val="18"/>
              </w:rPr>
            </w:pPr>
          </w:p>
        </w:tc>
      </w:tr>
      <w:tr w:rsidTr="007F2DE7">
        <w:tblPrEx>
          <w:tblW w:w="5000" w:type="pct"/>
          <w:jc w:val="center"/>
          <w:tblLayout w:type="fixed"/>
          <w:tblLook w:val="0000"/>
        </w:tblPrEx>
        <w:trPr>
          <w:cantSplit/>
          <w:trHeight w:val="20"/>
          <w:jc w:val="center"/>
        </w:trPr>
        <w:tc>
          <w:tcPr>
            <w:tcW w:w="1705" w:type="dxa"/>
            <w:vMerge w:val="restart"/>
            <w:vAlign w:val="center"/>
          </w:tcPr>
          <w:p w:rsidR="007F2DE7" w:rsidRPr="00FB6E71" w:rsidP="007F2DE7">
            <w:pPr>
              <w:rPr>
                <w:rFonts w:asciiTheme="minorHAnsi" w:hAnsiTheme="minorHAnsi" w:cs="Times New Roman"/>
                <w:bCs/>
                <w:sz w:val="18"/>
                <w:szCs w:val="18"/>
              </w:rPr>
            </w:pPr>
            <w:r w:rsidRPr="00FB6E71">
              <w:rPr>
                <w:rFonts w:asciiTheme="minorHAnsi" w:hAnsiTheme="minorHAnsi" w:cs="Times New Roman"/>
                <w:bCs/>
                <w:sz w:val="18"/>
                <w:szCs w:val="18"/>
              </w:rPr>
              <w:t>Immediate and severe health and safety risks exist in the workplace.</w:t>
            </w: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 xml:space="preserve">Workers </w:t>
            </w:r>
            <w:r>
              <w:rPr>
                <w:rFonts w:asciiTheme="minorHAnsi" w:hAnsiTheme="minorHAnsi" w:cs="Times New Roman"/>
                <w:bCs/>
                <w:sz w:val="18"/>
                <w:szCs w:val="18"/>
              </w:rPr>
              <w:t xml:space="preserve">are </w:t>
            </w:r>
            <w:r w:rsidRPr="00FB6E71">
              <w:rPr>
                <w:rFonts w:asciiTheme="minorHAnsi" w:hAnsiTheme="minorHAnsi" w:cs="Times New Roman"/>
                <w:bCs/>
                <w:sz w:val="18"/>
                <w:szCs w:val="18"/>
              </w:rPr>
              <w:t>exposed to hazardous substances such as asbestos</w:t>
            </w:r>
            <w:r>
              <w:rPr>
                <w:rFonts w:asciiTheme="minorHAnsi" w:hAnsiTheme="minorHAnsi" w:cs="Times New Roman"/>
                <w:bCs/>
                <w:sz w:val="18"/>
                <w:szCs w:val="18"/>
              </w:rPr>
              <w:t xml:space="preserve"> and</w:t>
            </w:r>
            <w:r w:rsidRPr="00FB6E71">
              <w:rPr>
                <w:rFonts w:asciiTheme="minorHAnsi" w:hAnsiTheme="minorHAnsi" w:cs="Times New Roman"/>
                <w:bCs/>
                <w:sz w:val="18"/>
                <w:szCs w:val="18"/>
              </w:rPr>
              <w:t xml:space="preserve"> polychlorinated biphenyl contamination.</w:t>
            </w:r>
          </w:p>
        </w:tc>
        <w:tc>
          <w:tcPr>
            <w:tcW w:w="4596" w:type="dxa"/>
            <w:shd w:val="clear" w:color="auto" w:fill="auto"/>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Restrict access and provide protective equipment until condition is abated.</w:t>
            </w: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 xml:space="preserve">Workers </w:t>
            </w:r>
            <w:r>
              <w:rPr>
                <w:rFonts w:asciiTheme="minorHAnsi" w:hAnsiTheme="minorHAnsi" w:cs="Times New Roman"/>
                <w:bCs/>
                <w:sz w:val="18"/>
                <w:szCs w:val="18"/>
              </w:rPr>
              <w:t xml:space="preserve">are </w:t>
            </w:r>
            <w:r w:rsidRPr="00FB6E71">
              <w:rPr>
                <w:rFonts w:asciiTheme="minorHAnsi" w:hAnsiTheme="minorHAnsi" w:cs="Times New Roman"/>
                <w:bCs/>
                <w:sz w:val="18"/>
                <w:szCs w:val="18"/>
              </w:rPr>
              <w:t>exposed to high noise levels, poor ventilation or lighting, and so on.</w:t>
            </w:r>
          </w:p>
        </w:tc>
        <w:tc>
          <w:tcPr>
            <w:tcW w:w="4596" w:type="dxa"/>
            <w:shd w:val="clear" w:color="auto" w:fill="auto"/>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Correct conditions.</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 xml:space="preserve">Enforce use of </w:t>
            </w:r>
            <w:r>
              <w:rPr>
                <w:rFonts w:asciiTheme="minorHAnsi" w:hAnsiTheme="minorHAnsi" w:cs="Times New Roman"/>
                <w:sz w:val="18"/>
                <w:szCs w:val="18"/>
              </w:rPr>
              <w:t>personal protective equipment (</w:t>
            </w:r>
            <w:r w:rsidRPr="00FB6E71">
              <w:rPr>
                <w:rFonts w:asciiTheme="minorHAnsi" w:hAnsiTheme="minorHAnsi" w:cs="Times New Roman"/>
                <w:sz w:val="18"/>
                <w:szCs w:val="18"/>
              </w:rPr>
              <w:t>PPE</w:t>
            </w:r>
            <w:r>
              <w:rPr>
                <w:rFonts w:asciiTheme="minorHAnsi" w:hAnsiTheme="minorHAnsi" w:cs="Times New Roman"/>
                <w:sz w:val="18"/>
                <w:szCs w:val="18"/>
              </w:rPr>
              <w:t>)</w:t>
            </w:r>
            <w:r w:rsidRPr="00FB6E71">
              <w:rPr>
                <w:rFonts w:asciiTheme="minorHAnsi" w:hAnsiTheme="minorHAnsi" w:cs="Times New Roman"/>
                <w:sz w:val="18"/>
                <w:szCs w:val="18"/>
              </w:rPr>
              <w:t>.</w:t>
            </w: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 xml:space="preserve">Workers </w:t>
            </w:r>
            <w:r>
              <w:rPr>
                <w:rFonts w:asciiTheme="minorHAnsi" w:hAnsiTheme="minorHAnsi" w:cs="Times New Roman"/>
                <w:bCs/>
                <w:sz w:val="18"/>
                <w:szCs w:val="18"/>
              </w:rPr>
              <w:t xml:space="preserve">are </w:t>
            </w:r>
            <w:r w:rsidRPr="00FB6E71">
              <w:rPr>
                <w:rFonts w:asciiTheme="minorHAnsi" w:hAnsiTheme="minorHAnsi" w:cs="Times New Roman"/>
                <w:bCs/>
                <w:sz w:val="18"/>
                <w:szCs w:val="18"/>
              </w:rPr>
              <w:t>exposed to risk of electrocution because of old or poorly maintained equipment</w:t>
            </w:r>
            <w:r>
              <w:rPr>
                <w:rFonts w:asciiTheme="minorHAnsi" w:hAnsiTheme="minorHAnsi" w:cs="Times New Roman"/>
                <w:bCs/>
                <w:sz w:val="18"/>
                <w:szCs w:val="18"/>
              </w:rPr>
              <w:t xml:space="preserve"> and</w:t>
            </w:r>
            <w:r w:rsidRPr="00FB6E71">
              <w:rPr>
                <w:rFonts w:asciiTheme="minorHAnsi" w:hAnsiTheme="minorHAnsi" w:cs="Times New Roman"/>
                <w:bCs/>
                <w:sz w:val="18"/>
                <w:szCs w:val="18"/>
              </w:rPr>
              <w:t xml:space="preserve"> lack of safety procedures.</w:t>
            </w:r>
          </w:p>
        </w:tc>
        <w:tc>
          <w:tcPr>
            <w:tcW w:w="4596" w:type="dxa"/>
            <w:shd w:val="clear" w:color="auto" w:fill="auto"/>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Post warning signs and restrict access until condition can be abated.</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 xml:space="preserve">Institute or reinstate </w:t>
            </w:r>
            <w:r>
              <w:rPr>
                <w:rFonts w:asciiTheme="minorHAnsi" w:hAnsiTheme="minorHAnsi" w:cs="Times New Roman"/>
                <w:sz w:val="18"/>
                <w:szCs w:val="18"/>
              </w:rPr>
              <w:t>‘</w:t>
            </w:r>
            <w:r w:rsidRPr="00FB6E71">
              <w:rPr>
                <w:rFonts w:asciiTheme="minorHAnsi" w:hAnsiTheme="minorHAnsi" w:cs="Times New Roman"/>
                <w:sz w:val="18"/>
                <w:szCs w:val="18"/>
              </w:rPr>
              <w:t>lock-out and tag-out</w:t>
            </w:r>
            <w:r>
              <w:rPr>
                <w:rFonts w:asciiTheme="minorHAnsi" w:hAnsiTheme="minorHAnsi" w:cs="Times New Roman"/>
                <w:sz w:val="18"/>
                <w:szCs w:val="18"/>
              </w:rPr>
              <w:t>’</w:t>
            </w:r>
            <w:r w:rsidRPr="00FB6E71">
              <w:rPr>
                <w:rFonts w:asciiTheme="minorHAnsi" w:hAnsiTheme="minorHAnsi" w:cs="Times New Roman"/>
                <w:sz w:val="18"/>
                <w:szCs w:val="18"/>
              </w:rPr>
              <w:t xml:space="preserve"> and similar procedures.</w:t>
            </w:r>
          </w:p>
        </w:tc>
      </w:tr>
      <w:tr w:rsidTr="007F2DE7">
        <w:tblPrEx>
          <w:tblW w:w="5000" w:type="pct"/>
          <w:jc w:val="center"/>
          <w:tblLayout w:type="fixed"/>
          <w:tblLook w:val="0000"/>
        </w:tblPrEx>
        <w:trPr>
          <w:trHeight w:val="20"/>
          <w:jc w:val="center"/>
        </w:trPr>
        <w:tc>
          <w:tcPr>
            <w:tcW w:w="1705" w:type="dxa"/>
            <w:vMerge w:val="restart"/>
            <w:vAlign w:val="center"/>
          </w:tcPr>
          <w:p w:rsidR="007F2DE7" w:rsidRPr="00FB6E71" w:rsidP="007F2DE7">
            <w:pPr>
              <w:rPr>
                <w:rFonts w:asciiTheme="minorHAnsi" w:hAnsiTheme="minorHAnsi" w:cs="Times New Roman"/>
                <w:bCs/>
                <w:sz w:val="18"/>
                <w:szCs w:val="18"/>
              </w:rPr>
            </w:pPr>
            <w:r w:rsidRPr="00FB6E71">
              <w:rPr>
                <w:rFonts w:asciiTheme="minorHAnsi" w:hAnsiTheme="minorHAnsi" w:cs="Times New Roman"/>
                <w:bCs/>
                <w:sz w:val="18"/>
                <w:szCs w:val="18"/>
              </w:rPr>
              <w:t>Hazardous substance contamination</w:t>
            </w: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 xml:space="preserve">Workers </w:t>
            </w:r>
            <w:r>
              <w:rPr>
                <w:rFonts w:asciiTheme="minorHAnsi" w:hAnsiTheme="minorHAnsi" w:cs="Times New Roman"/>
                <w:bCs/>
                <w:sz w:val="18"/>
                <w:szCs w:val="18"/>
              </w:rPr>
              <w:t xml:space="preserve">are </w:t>
            </w:r>
            <w:r w:rsidRPr="00FB6E71">
              <w:rPr>
                <w:rFonts w:asciiTheme="minorHAnsi" w:hAnsiTheme="minorHAnsi" w:cs="Times New Roman"/>
                <w:bCs/>
                <w:sz w:val="18"/>
                <w:szCs w:val="18"/>
              </w:rPr>
              <w:t>exposed to risk.</w:t>
            </w:r>
          </w:p>
        </w:tc>
        <w:tc>
          <w:tcPr>
            <w:tcW w:w="4596" w:type="dxa"/>
            <w:vMerge w:val="restart"/>
            <w:shd w:val="clear" w:color="auto" w:fill="auto"/>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Obtain expert advice in developing a remediation plan.</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Implement the plan.</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In the interim, contain the contamination and restrict access to contaminated areas.</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Test local water supplies and, if affected, provide alternative sources.</w:t>
            </w: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Contamination has or may spread off-site through air, surface</w:t>
            </w:r>
            <w:r>
              <w:rPr>
                <w:rFonts w:asciiTheme="minorHAnsi" w:hAnsiTheme="minorHAnsi" w:cs="Times New Roman"/>
                <w:bCs/>
                <w:sz w:val="18"/>
                <w:szCs w:val="18"/>
              </w:rPr>
              <w:t>,</w:t>
            </w:r>
            <w:r w:rsidRPr="00FB6E71">
              <w:rPr>
                <w:rFonts w:asciiTheme="minorHAnsi" w:hAnsiTheme="minorHAnsi" w:cs="Times New Roman"/>
                <w:bCs/>
                <w:sz w:val="18"/>
                <w:szCs w:val="18"/>
              </w:rPr>
              <w:t xml:space="preserve"> or groundwater or improper disposal.</w:t>
            </w:r>
          </w:p>
        </w:tc>
        <w:tc>
          <w:tcPr>
            <w:tcW w:w="4596" w:type="dxa"/>
            <w:vMerge/>
            <w:shd w:val="clear" w:color="auto" w:fill="auto"/>
            <w:vAlign w:val="center"/>
          </w:tcPr>
          <w:p w:rsidR="007F2DE7" w:rsidRPr="00FB6E71" w:rsidP="007F2DE7">
            <w:pPr>
              <w:widowControl/>
              <w:ind w:left="288" w:hanging="288"/>
              <w:rPr>
                <w:rFonts w:asciiTheme="minorHAnsi" w:hAnsiTheme="minorHAnsi" w:cs="Times New Roman"/>
                <w:sz w:val="18"/>
                <w:szCs w:val="18"/>
              </w:rPr>
            </w:pPr>
          </w:p>
        </w:tc>
      </w:tr>
      <w:tr w:rsidTr="007F2DE7">
        <w:tblPrEx>
          <w:tblW w:w="5000" w:type="pct"/>
          <w:jc w:val="center"/>
          <w:tblLayout w:type="fixed"/>
          <w:tblLook w:val="0000"/>
        </w:tblPrEx>
        <w:trPr>
          <w:cantSplit/>
          <w:trHeight w:val="20"/>
          <w:jc w:val="center"/>
        </w:trPr>
        <w:tc>
          <w:tcPr>
            <w:tcW w:w="1705" w:type="dxa"/>
            <w:vMerge w:val="restart"/>
            <w:vAlign w:val="center"/>
          </w:tcPr>
          <w:p w:rsidR="007F2DE7" w:rsidRPr="00FB6E71" w:rsidP="007F2DE7">
            <w:pPr>
              <w:rPr>
                <w:rFonts w:asciiTheme="minorHAnsi" w:hAnsiTheme="minorHAnsi" w:cs="Times New Roman"/>
                <w:bCs/>
                <w:sz w:val="18"/>
                <w:szCs w:val="18"/>
              </w:rPr>
            </w:pPr>
            <w:r w:rsidRPr="00FB6E71">
              <w:rPr>
                <w:rFonts w:asciiTheme="minorHAnsi" w:hAnsiTheme="minorHAnsi" w:cs="Times New Roman"/>
                <w:bCs/>
                <w:sz w:val="18"/>
                <w:szCs w:val="18"/>
              </w:rPr>
              <w:t>Inadequate security provisions for the facility.</w:t>
            </w: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Social conflict between the facility and the surrounding community</w:t>
            </w:r>
          </w:p>
        </w:tc>
        <w:tc>
          <w:tcPr>
            <w:tcW w:w="4596" w:type="dxa"/>
            <w:vMerge w:val="restart"/>
            <w:shd w:val="clear" w:color="auto" w:fill="auto"/>
            <w:vAlign w:val="center"/>
          </w:tcPr>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Establish effective, ongoing community relations program.</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Install fences and other security features around all dangerous or vulnerable facilities.</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Post warning signs.</w:t>
            </w:r>
          </w:p>
          <w:p w:rsidR="007F2DE7" w:rsidRPr="00FB6E71" w:rsidP="00302E0C">
            <w:pPr>
              <w:widowControl/>
              <w:numPr>
                <w:ilvl w:val="0"/>
                <w:numId w:val="15"/>
              </w:numPr>
              <w:tabs>
                <w:tab w:val="clear" w:pos="720"/>
              </w:tabs>
              <w:autoSpaceDE/>
              <w:autoSpaceDN/>
              <w:adjustRightInd/>
              <w:spacing w:line="259" w:lineRule="auto"/>
              <w:ind w:left="288" w:hanging="288"/>
              <w:rPr>
                <w:rFonts w:asciiTheme="minorHAnsi" w:hAnsiTheme="minorHAnsi" w:cs="Times New Roman"/>
                <w:sz w:val="18"/>
                <w:szCs w:val="18"/>
              </w:rPr>
            </w:pPr>
            <w:r w:rsidRPr="00FB6E71">
              <w:rPr>
                <w:rFonts w:asciiTheme="minorHAnsi" w:hAnsiTheme="minorHAnsi" w:cs="Times New Roman"/>
                <w:sz w:val="18"/>
                <w:szCs w:val="18"/>
              </w:rPr>
              <w:t>Employ adequate number of security personnel.</w:t>
            </w: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Vandalism or sabotage</w:t>
            </w:r>
          </w:p>
        </w:tc>
        <w:tc>
          <w:tcPr>
            <w:tcW w:w="4596" w:type="dxa"/>
            <w:vMerge/>
            <w:shd w:val="clear" w:color="auto" w:fill="auto"/>
            <w:vAlign w:val="center"/>
          </w:tcPr>
          <w:p w:rsidR="007F2DE7" w:rsidRPr="00FB6E71" w:rsidP="00302E0C">
            <w:pPr>
              <w:widowControl/>
              <w:numPr>
                <w:ilvl w:val="0"/>
                <w:numId w:val="15"/>
              </w:numPr>
              <w:tabs>
                <w:tab w:val="num" w:pos="318"/>
                <w:tab w:val="clear" w:pos="720"/>
              </w:tabs>
              <w:autoSpaceDE/>
              <w:autoSpaceDN/>
              <w:adjustRightInd/>
              <w:spacing w:after="160" w:line="259" w:lineRule="auto"/>
              <w:ind w:left="1800"/>
              <w:jc w:val="both"/>
              <w:rPr>
                <w:rFonts w:asciiTheme="minorHAnsi" w:hAnsiTheme="minorHAnsi" w:cs="Times New Roman"/>
                <w:sz w:val="18"/>
                <w:szCs w:val="18"/>
              </w:rPr>
            </w:pPr>
          </w:p>
        </w:tc>
      </w:tr>
      <w:tr w:rsidTr="007F2DE7">
        <w:tblPrEx>
          <w:tblW w:w="5000" w:type="pct"/>
          <w:jc w:val="center"/>
          <w:tblLayout w:type="fixed"/>
          <w:tblLook w:val="0000"/>
        </w:tblPrEx>
        <w:trPr>
          <w:cantSplit/>
          <w:trHeight w:val="20"/>
          <w:jc w:val="center"/>
        </w:trPr>
        <w:tc>
          <w:tcPr>
            <w:tcW w:w="1705" w:type="dxa"/>
            <w:vMerge/>
            <w:vAlign w:val="center"/>
          </w:tcPr>
          <w:p w:rsidR="007F2DE7" w:rsidRPr="00FB6E71" w:rsidP="007F2DE7">
            <w:pPr>
              <w:rPr>
                <w:rFonts w:asciiTheme="minorHAnsi" w:hAnsiTheme="minorHAnsi" w:cs="Times New Roman"/>
                <w:bCs/>
                <w:sz w:val="18"/>
                <w:szCs w:val="18"/>
              </w:rPr>
            </w:pPr>
          </w:p>
        </w:tc>
        <w:tc>
          <w:tcPr>
            <w:tcW w:w="3049" w:type="dxa"/>
            <w:vAlign w:val="center"/>
          </w:tcPr>
          <w:p w:rsidR="007F2DE7" w:rsidRPr="00FB6E71" w:rsidP="007F2DE7">
            <w:pPr>
              <w:widowControl/>
              <w:rPr>
                <w:rFonts w:asciiTheme="minorHAnsi" w:hAnsiTheme="minorHAnsi" w:cs="Times New Roman"/>
                <w:bCs/>
                <w:sz w:val="18"/>
                <w:szCs w:val="18"/>
              </w:rPr>
            </w:pPr>
            <w:r w:rsidRPr="00FB6E71">
              <w:rPr>
                <w:rFonts w:asciiTheme="minorHAnsi" w:hAnsiTheme="minorHAnsi" w:cs="Times New Roman"/>
                <w:bCs/>
                <w:sz w:val="18"/>
                <w:szCs w:val="18"/>
              </w:rPr>
              <w:t xml:space="preserve">Risk of electrocution or injury from contact with high-voltage equipment </w:t>
            </w:r>
          </w:p>
        </w:tc>
        <w:tc>
          <w:tcPr>
            <w:tcW w:w="4596" w:type="dxa"/>
            <w:vMerge/>
            <w:shd w:val="clear" w:color="auto" w:fill="auto"/>
            <w:vAlign w:val="center"/>
          </w:tcPr>
          <w:p w:rsidR="007F2DE7" w:rsidRPr="00FB6E71" w:rsidP="00302E0C">
            <w:pPr>
              <w:widowControl/>
              <w:numPr>
                <w:ilvl w:val="0"/>
                <w:numId w:val="15"/>
              </w:numPr>
              <w:tabs>
                <w:tab w:val="num" w:pos="318"/>
                <w:tab w:val="clear" w:pos="720"/>
              </w:tabs>
              <w:autoSpaceDE/>
              <w:autoSpaceDN/>
              <w:adjustRightInd/>
              <w:spacing w:after="160" w:line="259" w:lineRule="auto"/>
              <w:ind w:left="1800"/>
              <w:jc w:val="both"/>
              <w:rPr>
                <w:rFonts w:asciiTheme="minorHAnsi" w:hAnsiTheme="minorHAnsi" w:cs="Times New Roman"/>
                <w:sz w:val="18"/>
                <w:szCs w:val="18"/>
              </w:rPr>
            </w:pPr>
          </w:p>
        </w:tc>
      </w:tr>
    </w:tbl>
    <w:p w:rsidR="007F2DE7" w:rsidRPr="00FB6E71" w:rsidP="007F2DE7">
      <w:pPr>
        <w:widowControl/>
        <w:jc w:val="center"/>
        <w:rPr>
          <w:rFonts w:asciiTheme="minorHAnsi" w:hAnsiTheme="minorHAnsi"/>
          <w:color w:val="auto"/>
          <w:sz w:val="18"/>
          <w:szCs w:val="18"/>
          <w:lang w:bidi="en-US"/>
        </w:rPr>
      </w:pP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lang w:bidi="en-US"/>
        </w:rPr>
        <w:t xml:space="preserve">Environmental </w:t>
      </w:r>
      <w:r>
        <w:rPr>
          <w:rFonts w:asciiTheme="minorHAnsi" w:hAnsiTheme="minorHAnsi"/>
          <w:b/>
          <w:sz w:val="22"/>
          <w:szCs w:val="22"/>
          <w:lang w:bidi="en-US"/>
        </w:rPr>
        <w:t>s</w:t>
      </w:r>
      <w:r w:rsidRPr="00FB6E71">
        <w:rPr>
          <w:rFonts w:asciiTheme="minorHAnsi" w:hAnsiTheme="minorHAnsi"/>
          <w:b/>
          <w:sz w:val="22"/>
          <w:szCs w:val="22"/>
          <w:lang w:bidi="en-US"/>
        </w:rPr>
        <w:t xml:space="preserve">afeguards </w:t>
      </w:r>
      <w:r>
        <w:rPr>
          <w:rFonts w:asciiTheme="minorHAnsi" w:hAnsiTheme="minorHAnsi"/>
          <w:b/>
          <w:sz w:val="22"/>
          <w:szCs w:val="22"/>
          <w:lang w:bidi="en-US"/>
        </w:rPr>
        <w:t>p</w:t>
      </w:r>
      <w:r w:rsidRPr="00FB6E71">
        <w:rPr>
          <w:rFonts w:asciiTheme="minorHAnsi" w:hAnsiTheme="minorHAnsi"/>
          <w:b/>
          <w:sz w:val="22"/>
          <w:szCs w:val="22"/>
          <w:lang w:bidi="en-US"/>
        </w:rPr>
        <w:t xml:space="preserve">reparation, </w:t>
      </w:r>
      <w:r>
        <w:rPr>
          <w:rFonts w:asciiTheme="minorHAnsi" w:hAnsiTheme="minorHAnsi"/>
          <w:b/>
          <w:sz w:val="22"/>
          <w:szCs w:val="22"/>
          <w:lang w:bidi="en-US"/>
        </w:rPr>
        <w:t>r</w:t>
      </w:r>
      <w:r w:rsidRPr="00FB6E71">
        <w:rPr>
          <w:rFonts w:asciiTheme="minorHAnsi" w:hAnsiTheme="minorHAnsi"/>
          <w:b/>
          <w:sz w:val="22"/>
          <w:szCs w:val="22"/>
          <w:lang w:bidi="en-US"/>
        </w:rPr>
        <w:t>eview</w:t>
      </w:r>
      <w:r>
        <w:rPr>
          <w:rFonts w:asciiTheme="minorHAnsi" w:hAnsiTheme="minorHAnsi"/>
          <w:b/>
          <w:sz w:val="22"/>
          <w:szCs w:val="22"/>
          <w:lang w:bidi="en-US"/>
        </w:rPr>
        <w:t>,</w:t>
      </w:r>
      <w:r w:rsidRPr="00FB6E71">
        <w:rPr>
          <w:rFonts w:asciiTheme="minorHAnsi" w:hAnsiTheme="minorHAnsi"/>
          <w:b/>
          <w:sz w:val="22"/>
          <w:szCs w:val="22"/>
          <w:lang w:bidi="en-US"/>
        </w:rPr>
        <w:t xml:space="preserve"> and </w:t>
      </w:r>
      <w:r>
        <w:rPr>
          <w:rFonts w:asciiTheme="minorHAnsi" w:hAnsiTheme="minorHAnsi"/>
          <w:b/>
          <w:sz w:val="22"/>
          <w:szCs w:val="22"/>
          <w:lang w:bidi="en-US"/>
        </w:rPr>
        <w:t>a</w:t>
      </w:r>
      <w:r w:rsidRPr="00FB6E71">
        <w:rPr>
          <w:rFonts w:asciiTheme="minorHAnsi" w:hAnsiTheme="minorHAnsi"/>
          <w:b/>
          <w:sz w:val="22"/>
          <w:szCs w:val="22"/>
          <w:lang w:bidi="en-US"/>
        </w:rPr>
        <w:t xml:space="preserve">pproval </w:t>
      </w:r>
      <w:r>
        <w:rPr>
          <w:rFonts w:asciiTheme="minorHAnsi" w:hAnsiTheme="minorHAnsi"/>
          <w:b/>
          <w:sz w:val="22"/>
          <w:szCs w:val="22"/>
          <w:lang w:bidi="en-US"/>
        </w:rPr>
        <w:t>p</w:t>
      </w:r>
      <w:r w:rsidRPr="00FB6E71">
        <w:rPr>
          <w:rFonts w:asciiTheme="minorHAnsi" w:hAnsiTheme="minorHAnsi"/>
          <w:b/>
          <w:sz w:val="22"/>
          <w:szCs w:val="22"/>
          <w:lang w:bidi="en-US"/>
        </w:rPr>
        <w:t>rocedure</w:t>
      </w:r>
      <w:r>
        <w:rPr>
          <w:rFonts w:asciiTheme="minorHAnsi" w:hAnsiTheme="minorHAnsi"/>
          <w:b/>
          <w:sz w:val="22"/>
          <w:szCs w:val="22"/>
          <w:lang w:bidi="en-US"/>
        </w:rPr>
        <w:t>.</w:t>
      </w:r>
      <w:r w:rsidRPr="00FB6E71">
        <w:rPr>
          <w:rFonts w:asciiTheme="minorHAnsi" w:hAnsiTheme="minorHAnsi"/>
          <w:sz w:val="22"/>
          <w:szCs w:val="22"/>
          <w:lang w:bidi="en-US"/>
        </w:rPr>
        <w:t xml:space="preserve"> </w:t>
      </w:r>
      <w:r w:rsidRPr="00FB6E71">
        <w:rPr>
          <w:rFonts w:asciiTheme="minorHAnsi" w:hAnsiTheme="minorHAnsi" w:cs="Times New Roman"/>
          <w:sz w:val="22"/>
          <w:szCs w:val="22"/>
          <w:lang w:bidi="en-US"/>
        </w:rPr>
        <w:t>Environmental</w:t>
      </w:r>
      <w:r w:rsidRPr="00FB6E71">
        <w:rPr>
          <w:rFonts w:asciiTheme="minorHAnsi" w:hAnsiTheme="minorHAnsi"/>
          <w:sz w:val="22"/>
          <w:szCs w:val="22"/>
          <w:lang w:bidi="en-US"/>
        </w:rPr>
        <w:t xml:space="preserve"> </w:t>
      </w:r>
      <w:r>
        <w:rPr>
          <w:rFonts w:asciiTheme="minorHAnsi" w:hAnsiTheme="minorHAnsi"/>
          <w:sz w:val="22"/>
          <w:szCs w:val="22"/>
          <w:lang w:bidi="en-US"/>
        </w:rPr>
        <w:t>s</w:t>
      </w:r>
      <w:r w:rsidRPr="00FB6E71">
        <w:rPr>
          <w:rFonts w:asciiTheme="minorHAnsi" w:hAnsiTheme="minorHAnsi"/>
          <w:sz w:val="22"/>
          <w:szCs w:val="22"/>
          <w:lang w:bidi="en-US"/>
        </w:rPr>
        <w:t>afeguards preparation, review</w:t>
      </w:r>
      <w:r>
        <w:rPr>
          <w:rFonts w:asciiTheme="minorHAnsi" w:hAnsiTheme="minorHAnsi"/>
          <w:sz w:val="22"/>
          <w:szCs w:val="22"/>
          <w:lang w:bidi="en-US"/>
        </w:rPr>
        <w:t>,</w:t>
      </w:r>
      <w:r w:rsidRPr="00FB6E71">
        <w:rPr>
          <w:rFonts w:asciiTheme="minorHAnsi" w:hAnsiTheme="minorHAnsi"/>
          <w:sz w:val="22"/>
          <w:szCs w:val="22"/>
          <w:lang w:bidi="en-US"/>
        </w:rPr>
        <w:t xml:space="preserve"> and approval procedure to be followed under this project shall be consistent with the requirements from the Federal Ministry of Environment (FME) of Nigeria as specified in the Environmental Impact Assessment Act (Decree No. 86 of 1992, hereinafter the EIA Act)</w:t>
      </w:r>
      <w:r>
        <w:rPr>
          <w:rFonts w:asciiTheme="minorHAnsi" w:hAnsiTheme="minorHAnsi"/>
          <w:sz w:val="22"/>
          <w:szCs w:val="22"/>
          <w:lang w:bidi="en-US"/>
        </w:rPr>
        <w:t xml:space="preserve"> and</w:t>
      </w:r>
      <w:r w:rsidRPr="00FB6E71">
        <w:rPr>
          <w:rFonts w:asciiTheme="minorHAnsi" w:hAnsiTheme="minorHAnsi"/>
          <w:sz w:val="22"/>
          <w:szCs w:val="22"/>
          <w:lang w:bidi="en-US"/>
        </w:rPr>
        <w:t xml:space="preserve"> the World Bank’s OP 4.01</w:t>
      </w:r>
      <w:r>
        <w:rPr>
          <w:rFonts w:asciiTheme="minorHAnsi" w:hAnsiTheme="minorHAnsi"/>
          <w:sz w:val="22"/>
          <w:szCs w:val="22"/>
          <w:lang w:bidi="en-US"/>
        </w:rPr>
        <w:t>.</w:t>
      </w:r>
      <w:r w:rsidRPr="00FB6E71">
        <w:rPr>
          <w:rFonts w:asciiTheme="minorHAnsi" w:hAnsiTheme="minorHAnsi"/>
          <w:sz w:val="22"/>
          <w:szCs w:val="22"/>
          <w:lang w:bidi="en-US"/>
        </w:rPr>
        <w:t xml:space="preserve"> Compliance with this procedure will constitute part of the evaluation methodology for </w:t>
      </w:r>
      <w:r>
        <w:rPr>
          <w:rFonts w:asciiTheme="minorHAnsi" w:hAnsiTheme="minorHAnsi"/>
          <w:sz w:val="22"/>
          <w:szCs w:val="22"/>
          <w:lang w:bidi="en-US"/>
        </w:rPr>
        <w:t xml:space="preserve">the </w:t>
      </w:r>
      <w:r w:rsidRPr="00FB6E71">
        <w:rPr>
          <w:rFonts w:asciiTheme="minorHAnsi" w:hAnsiTheme="minorHAnsi"/>
          <w:sz w:val="22"/>
          <w:szCs w:val="22"/>
          <w:lang w:bidi="en-US"/>
        </w:rPr>
        <w:t xml:space="preserve">proposed subprojects </w:t>
      </w:r>
      <w:r>
        <w:rPr>
          <w:rFonts w:asciiTheme="minorHAnsi" w:hAnsiTheme="minorHAnsi"/>
          <w:sz w:val="22"/>
          <w:szCs w:val="22"/>
          <w:lang w:bidi="en-US"/>
        </w:rPr>
        <w:t>before</w:t>
      </w:r>
      <w:r w:rsidRPr="00FB6E71">
        <w:rPr>
          <w:rFonts w:asciiTheme="minorHAnsi" w:hAnsiTheme="minorHAnsi"/>
          <w:sz w:val="22"/>
          <w:szCs w:val="22"/>
          <w:lang w:bidi="en-US"/>
        </w:rPr>
        <w:t xml:space="preserve"> approval for </w:t>
      </w:r>
      <w:r>
        <w:rPr>
          <w:rFonts w:asciiTheme="minorHAnsi" w:hAnsiTheme="minorHAnsi"/>
          <w:sz w:val="22"/>
          <w:szCs w:val="22"/>
          <w:lang w:bidi="en-US"/>
        </w:rPr>
        <w:t xml:space="preserve">the </w:t>
      </w:r>
      <w:r w:rsidRPr="00FB6E71">
        <w:rPr>
          <w:rFonts w:asciiTheme="minorHAnsi" w:hAnsiTheme="minorHAnsi"/>
          <w:sz w:val="22"/>
          <w:szCs w:val="22"/>
          <w:lang w:bidi="en-US"/>
        </w:rPr>
        <w:t xml:space="preserve">MCRP support. The steps in the process are project screening, environmental studies and document preparation, ESIA review and approval, and oversight of implementation. Stakeholder consultation is an integral part of the preparation process, and public disclosure and comment are necessary </w:t>
      </w:r>
      <w:r>
        <w:rPr>
          <w:rFonts w:asciiTheme="minorHAnsi" w:hAnsiTheme="minorHAnsi"/>
          <w:sz w:val="22"/>
          <w:szCs w:val="22"/>
          <w:lang w:bidi="en-US"/>
        </w:rPr>
        <w:t>before</w:t>
      </w:r>
      <w:r w:rsidRPr="00FB6E71">
        <w:rPr>
          <w:rFonts w:asciiTheme="minorHAnsi" w:hAnsiTheme="minorHAnsi"/>
          <w:sz w:val="22"/>
          <w:szCs w:val="22"/>
          <w:lang w:bidi="en-US"/>
        </w:rPr>
        <w:t xml:space="preserve"> the decision to accept or reject a proposed subproject on the basis of E&amp;S information.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lang w:bidi="en-US"/>
        </w:rPr>
        <w:t>Screening</w:t>
      </w:r>
      <w:r>
        <w:rPr>
          <w:rFonts w:asciiTheme="minorHAnsi" w:hAnsiTheme="minorHAnsi"/>
          <w:b/>
          <w:sz w:val="22"/>
          <w:szCs w:val="22"/>
          <w:lang w:bidi="en-US"/>
        </w:rPr>
        <w:t>.</w:t>
      </w:r>
      <w:r w:rsidRPr="00FB6E71">
        <w:rPr>
          <w:rFonts w:asciiTheme="minorHAnsi" w:hAnsiTheme="minorHAnsi"/>
          <w:sz w:val="22"/>
          <w:szCs w:val="22"/>
          <w:lang w:bidi="en-US"/>
        </w:rPr>
        <w:t xml:space="preserve"> The screening </w:t>
      </w:r>
      <w:r w:rsidRPr="00FB6E71">
        <w:rPr>
          <w:rFonts w:asciiTheme="minorHAnsi" w:hAnsiTheme="minorHAnsi" w:cs="Times New Roman"/>
          <w:sz w:val="22"/>
          <w:szCs w:val="22"/>
          <w:lang w:bidi="en-US"/>
        </w:rPr>
        <w:t>decision</w:t>
      </w:r>
      <w:r w:rsidRPr="00FB6E71">
        <w:rPr>
          <w:rFonts w:asciiTheme="minorHAnsi" w:hAnsiTheme="minorHAnsi"/>
          <w:sz w:val="22"/>
          <w:szCs w:val="22"/>
          <w:lang w:bidi="en-US"/>
        </w:rPr>
        <w:t xml:space="preserve"> has three parts: the assignment of the EA category, the determination of the safeguards instrument(s) that should be prepared, and the identification of specific/additional World Bank safeguards policies requirements.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lang w:bidi="en-US"/>
        </w:rPr>
        <w:t xml:space="preserve">In Screening Step 1, the proponent should propose the category, using the criteria discussed below. The Environment and Social Safeguards Unit (ESSU) of the PCU, in conjunction with the FME, will review and confirm or modify the category, based on the description of the proposed activity and findings from field visits. All subprojects in </w:t>
      </w:r>
      <w:r>
        <w:rPr>
          <w:rFonts w:asciiTheme="minorHAnsi" w:hAnsiTheme="minorHAnsi"/>
          <w:sz w:val="22"/>
          <w:szCs w:val="22"/>
          <w:lang w:bidi="en-US"/>
        </w:rPr>
        <w:t xml:space="preserve">the </w:t>
      </w:r>
      <w:r w:rsidRPr="00FB6E71">
        <w:rPr>
          <w:rFonts w:asciiTheme="minorHAnsi" w:hAnsiTheme="minorHAnsi"/>
          <w:sz w:val="22"/>
          <w:szCs w:val="22"/>
          <w:lang w:bidi="en-US"/>
        </w:rPr>
        <w:t xml:space="preserve">MCRP are going to be EA Category B and Category C, and GoN Category II, requiring partial assessments and ESMPs. </w:t>
      </w:r>
      <w:r>
        <w:rPr>
          <w:rFonts w:asciiTheme="minorHAnsi" w:hAnsiTheme="minorHAnsi"/>
          <w:sz w:val="22"/>
          <w:szCs w:val="22"/>
          <w:lang w:bidi="en-US"/>
        </w:rPr>
        <w:t xml:space="preserve">The </w:t>
      </w:r>
      <w:r w:rsidRPr="00FB6E71">
        <w:rPr>
          <w:rFonts w:asciiTheme="minorHAnsi" w:hAnsiTheme="minorHAnsi"/>
          <w:sz w:val="22"/>
          <w:szCs w:val="22"/>
          <w:lang w:bidi="en-US"/>
        </w:rPr>
        <w:t xml:space="preserve">MCRP will not support any subprojects classified as Category A and GoN Category I, requiring full </w:t>
      </w:r>
      <w:r w:rsidRPr="00FB6E71">
        <w:rPr>
          <w:rFonts w:ascii="Calibri" w:eastAsia="Times New Roman" w:hAnsi="Calibri" w:cs="Times New Roman"/>
          <w:color w:val="auto"/>
          <w:sz w:val="22"/>
          <w:szCs w:val="22"/>
        </w:rPr>
        <w:t>ESIAs.</w:t>
      </w:r>
      <w:r w:rsidRPr="00FB6E71">
        <w:rPr>
          <w:rFonts w:asciiTheme="minorHAnsi" w:hAnsiTheme="minorHAnsi"/>
          <w:sz w:val="22"/>
          <w:szCs w:val="22"/>
          <w:lang w:bidi="en-US"/>
        </w:rPr>
        <w:t xml:space="preserv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lang w:bidi="en-US"/>
        </w:rPr>
        <w:t xml:space="preserve">For Screening Step 2, the decision on safeguards instrument likely to be needed for each type of subproject shall depend on the scale and location of the project. The proponent of a subproject is encouraged to propose the safeguards instrument, but the ESSU will review and confirm. The FME and the World Bank should be consulted when there are questions of EA category or appropriate safeguards instrument. Rehabilitation of existing facilities will require environmental audits. Screening Step 3 is to determine which of the World Bank’s safeguards policies may be triggered by the particular subproject and what is required to </w:t>
      </w:r>
      <w:r w:rsidRPr="00FB6E71">
        <w:rPr>
          <w:rFonts w:asciiTheme="minorHAnsi" w:hAnsiTheme="minorHAnsi" w:cs="Times New Roman"/>
          <w:sz w:val="22"/>
          <w:szCs w:val="22"/>
          <w:lang w:bidi="en-US"/>
        </w:rPr>
        <w:t>comply</w:t>
      </w:r>
      <w:r w:rsidRPr="00FB6E71">
        <w:rPr>
          <w:rFonts w:asciiTheme="minorHAnsi" w:hAnsiTheme="minorHAnsi"/>
          <w:sz w:val="22"/>
          <w:szCs w:val="22"/>
          <w:lang w:bidi="en-US"/>
        </w:rPr>
        <w:t xml:space="preserve"> with each triggered policy. This determination is subject to review by the ESSU and the World Bank.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lang w:bidi="en-US"/>
        </w:rPr>
        <w:t xml:space="preserve">Preparation of </w:t>
      </w:r>
      <w:r>
        <w:rPr>
          <w:rFonts w:asciiTheme="minorHAnsi" w:hAnsiTheme="minorHAnsi"/>
          <w:b/>
          <w:sz w:val="22"/>
          <w:szCs w:val="22"/>
          <w:lang w:bidi="en-US"/>
        </w:rPr>
        <w:t>s</w:t>
      </w:r>
      <w:r w:rsidRPr="00FB6E71">
        <w:rPr>
          <w:rFonts w:asciiTheme="minorHAnsi" w:hAnsiTheme="minorHAnsi"/>
          <w:b/>
          <w:sz w:val="22"/>
          <w:szCs w:val="22"/>
          <w:lang w:bidi="en-US"/>
        </w:rPr>
        <w:t xml:space="preserve">afeguards </w:t>
      </w:r>
      <w:r>
        <w:rPr>
          <w:rFonts w:asciiTheme="minorHAnsi" w:hAnsiTheme="minorHAnsi"/>
          <w:b/>
          <w:sz w:val="22"/>
          <w:szCs w:val="22"/>
          <w:lang w:bidi="en-US"/>
        </w:rPr>
        <w:t>i</w:t>
      </w:r>
      <w:r w:rsidRPr="00FB6E71">
        <w:rPr>
          <w:rFonts w:asciiTheme="minorHAnsi" w:hAnsiTheme="minorHAnsi"/>
          <w:b/>
          <w:sz w:val="22"/>
          <w:szCs w:val="22"/>
          <w:lang w:bidi="en-US"/>
        </w:rPr>
        <w:t>nstruments</w:t>
      </w:r>
      <w:r>
        <w:rPr>
          <w:rFonts w:asciiTheme="minorHAnsi" w:hAnsiTheme="minorHAnsi"/>
          <w:b/>
          <w:sz w:val="22"/>
          <w:szCs w:val="22"/>
          <w:lang w:bidi="en-US"/>
        </w:rPr>
        <w:t>.</w:t>
      </w:r>
      <w:r w:rsidRPr="00FB6E71">
        <w:rPr>
          <w:rFonts w:asciiTheme="minorHAnsi" w:hAnsiTheme="minorHAnsi"/>
          <w:sz w:val="22"/>
          <w:szCs w:val="22"/>
          <w:lang w:bidi="en-US"/>
        </w:rPr>
        <w:t xml:space="preserve"> Preparation of the applicable safeguards instrument is the responsibility of the subproject proponent/borrower. In line with Environmental Assessment OP 4.01 and Nigeria’s EIA Act of 1992, once the proposed investment location is known, site</w:t>
      </w:r>
      <w:r>
        <w:rPr>
          <w:rFonts w:asciiTheme="minorHAnsi" w:hAnsiTheme="minorHAnsi"/>
          <w:sz w:val="22"/>
          <w:szCs w:val="22"/>
          <w:lang w:bidi="en-US"/>
        </w:rPr>
        <w:t>-</w:t>
      </w:r>
      <w:r w:rsidRPr="00FB6E71">
        <w:rPr>
          <w:rFonts w:asciiTheme="minorHAnsi" w:hAnsiTheme="minorHAnsi"/>
          <w:sz w:val="22"/>
          <w:szCs w:val="22"/>
          <w:lang w:bidi="en-US"/>
        </w:rPr>
        <w:t>specific safeguards instruments</w:t>
      </w:r>
      <w:r>
        <w:rPr>
          <w:rFonts w:asciiTheme="minorHAnsi" w:hAnsiTheme="minorHAnsi"/>
          <w:sz w:val="22"/>
          <w:szCs w:val="22"/>
          <w:lang w:bidi="en-US"/>
        </w:rPr>
        <w:t>, such as</w:t>
      </w:r>
      <w:r w:rsidRPr="00FB6E71">
        <w:rPr>
          <w:rFonts w:asciiTheme="minorHAnsi" w:hAnsiTheme="minorHAnsi"/>
          <w:sz w:val="22"/>
          <w:szCs w:val="22"/>
          <w:lang w:bidi="en-US"/>
        </w:rPr>
        <w:t xml:space="preserve"> ESIA, ESMP, MWMP, and </w:t>
      </w:r>
      <w:r>
        <w:rPr>
          <w:rFonts w:asciiTheme="minorHAnsi" w:hAnsiTheme="minorHAnsi"/>
          <w:sz w:val="22"/>
          <w:szCs w:val="22"/>
          <w:lang w:bidi="en-US"/>
        </w:rPr>
        <w:t>a</w:t>
      </w:r>
      <w:r w:rsidRPr="00FB6E71">
        <w:rPr>
          <w:rFonts w:asciiTheme="minorHAnsi" w:hAnsiTheme="minorHAnsi"/>
          <w:sz w:val="22"/>
          <w:szCs w:val="22"/>
          <w:lang w:bidi="en-US"/>
        </w:rPr>
        <w:t>udit, when necessary, and so on</w:t>
      </w:r>
      <w:r>
        <w:rPr>
          <w:rFonts w:asciiTheme="minorHAnsi" w:hAnsiTheme="minorHAnsi"/>
          <w:sz w:val="22"/>
          <w:szCs w:val="22"/>
          <w:lang w:bidi="en-US"/>
        </w:rPr>
        <w:t>,</w:t>
      </w:r>
      <w:r w:rsidRPr="00FB6E71">
        <w:rPr>
          <w:rFonts w:asciiTheme="minorHAnsi" w:hAnsiTheme="minorHAnsi"/>
          <w:sz w:val="22"/>
          <w:szCs w:val="22"/>
          <w:lang w:bidi="en-US"/>
        </w:rPr>
        <w:t xml:space="preserve"> w</w:t>
      </w:r>
      <w:r>
        <w:rPr>
          <w:rFonts w:asciiTheme="minorHAnsi" w:hAnsiTheme="minorHAnsi"/>
          <w:sz w:val="22"/>
          <w:szCs w:val="22"/>
          <w:lang w:bidi="en-US"/>
        </w:rPr>
        <w:t>ill</w:t>
      </w:r>
      <w:r w:rsidRPr="00FB6E71">
        <w:rPr>
          <w:rFonts w:asciiTheme="minorHAnsi" w:hAnsiTheme="minorHAnsi"/>
          <w:sz w:val="22"/>
          <w:szCs w:val="22"/>
          <w:lang w:bidi="en-US"/>
        </w:rPr>
        <w:t xml:space="preserve"> be prepared by the proponent, consulted upon</w:t>
      </w:r>
      <w:r>
        <w:rPr>
          <w:rFonts w:asciiTheme="minorHAnsi" w:hAnsiTheme="minorHAnsi"/>
          <w:sz w:val="22"/>
          <w:szCs w:val="22"/>
          <w:lang w:bidi="en-US"/>
        </w:rPr>
        <w:t>,</w:t>
      </w:r>
      <w:r w:rsidRPr="00FB6E71">
        <w:rPr>
          <w:rFonts w:asciiTheme="minorHAnsi" w:hAnsiTheme="minorHAnsi"/>
          <w:sz w:val="22"/>
          <w:szCs w:val="22"/>
          <w:lang w:bidi="en-US"/>
        </w:rPr>
        <w:t xml:space="preserve"> and disclosed </w:t>
      </w:r>
      <w:r>
        <w:rPr>
          <w:rFonts w:asciiTheme="minorHAnsi" w:hAnsiTheme="minorHAnsi"/>
          <w:sz w:val="22"/>
          <w:szCs w:val="22"/>
          <w:lang w:bidi="en-US"/>
        </w:rPr>
        <w:t>before</w:t>
      </w:r>
      <w:r w:rsidRPr="00FB6E71">
        <w:rPr>
          <w:rFonts w:asciiTheme="minorHAnsi" w:hAnsiTheme="minorHAnsi"/>
          <w:sz w:val="22"/>
          <w:szCs w:val="22"/>
          <w:lang w:bidi="en-US"/>
        </w:rPr>
        <w:t xml:space="preserve"> commencement of civil works.</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Table_2. \* ARABIC </w:instrText>
      </w:r>
      <w:r w:rsidRPr="00FB6E71">
        <w:rPr>
          <w:rFonts w:asciiTheme="minorHAnsi" w:hAnsiTheme="minorHAnsi"/>
          <w:b/>
          <w:i w:val="0"/>
          <w:color w:val="auto"/>
        </w:rPr>
        <w:fldChar w:fldCharType="separate"/>
      </w:r>
      <w:r>
        <w:rPr>
          <w:rFonts w:asciiTheme="minorHAnsi" w:hAnsiTheme="minorHAnsi"/>
          <w:b/>
          <w:i w:val="0"/>
          <w:noProof/>
          <w:color w:val="auto"/>
        </w:rPr>
        <w:t>12</w:t>
      </w:r>
      <w:r w:rsidRPr="00FB6E71">
        <w:rPr>
          <w:rFonts w:asciiTheme="minorHAnsi" w:hAnsiTheme="minorHAnsi"/>
          <w:b/>
          <w:i w:val="0"/>
          <w:color w:val="auto"/>
        </w:rPr>
        <w:fldChar w:fldCharType="end"/>
      </w:r>
      <w:r>
        <w:rPr>
          <w:rFonts w:asciiTheme="minorHAnsi" w:hAnsiTheme="minorHAnsi"/>
          <w:b/>
          <w:i w:val="0"/>
          <w:color w:val="auto"/>
        </w:rPr>
        <w:t>.</w:t>
      </w:r>
      <w:r w:rsidRPr="00FB6E71">
        <w:rPr>
          <w:rFonts w:asciiTheme="minorHAnsi" w:hAnsiTheme="minorHAnsi"/>
          <w:b/>
          <w:i w:val="0"/>
          <w:color w:val="auto"/>
        </w:rPr>
        <w:t xml:space="preserve"> Timeline for the Delivery of Critical Safeguards Millstones</w:t>
      </w:r>
    </w:p>
    <w:tbl>
      <w:tblPr>
        <w:tblStyle w:val="TableGrid"/>
        <w:tblW w:w="5000" w:type="pct"/>
        <w:jc w:val="center"/>
        <w:tblLook w:val="04A0"/>
      </w:tblPr>
      <w:tblGrid>
        <w:gridCol w:w="4585"/>
        <w:gridCol w:w="1800"/>
        <w:gridCol w:w="2965"/>
      </w:tblGrid>
      <w:tr w:rsidTr="007F2DE7">
        <w:tblPrEx>
          <w:tblW w:w="5000" w:type="pct"/>
          <w:jc w:val="center"/>
          <w:tblLook w:val="04A0"/>
        </w:tblPrEx>
        <w:trPr>
          <w:cantSplit/>
          <w:trHeight w:val="20"/>
          <w:tblHeader/>
          <w:jc w:val="center"/>
        </w:trPr>
        <w:tc>
          <w:tcPr>
            <w:tcW w:w="4585" w:type="dxa"/>
            <w:vAlign w:val="center"/>
          </w:tcPr>
          <w:p w:rsidR="007F2DE7" w:rsidRPr="00FB6E71" w:rsidP="007F2DE7">
            <w:pPr>
              <w:jc w:val="center"/>
              <w:rPr>
                <w:rFonts w:asciiTheme="minorHAnsi" w:hAnsiTheme="minorHAnsi" w:cs="Times New Roman"/>
                <w:b/>
                <w:sz w:val="18"/>
                <w:szCs w:val="18"/>
                <w:lang w:bidi="en-US"/>
              </w:rPr>
            </w:pPr>
            <w:r w:rsidRPr="00FB6E71">
              <w:rPr>
                <w:rFonts w:asciiTheme="minorHAnsi" w:hAnsiTheme="minorHAnsi" w:cs="Times New Roman"/>
                <w:b/>
                <w:sz w:val="18"/>
                <w:szCs w:val="18"/>
                <w:lang w:bidi="en-US"/>
              </w:rPr>
              <w:t>Milestone</w:t>
            </w:r>
          </w:p>
        </w:tc>
        <w:tc>
          <w:tcPr>
            <w:tcW w:w="1800" w:type="dxa"/>
            <w:vAlign w:val="center"/>
          </w:tcPr>
          <w:p w:rsidR="007F2DE7" w:rsidRPr="00FB6E71" w:rsidP="007F2DE7">
            <w:pPr>
              <w:jc w:val="center"/>
              <w:rPr>
                <w:rFonts w:asciiTheme="minorHAnsi" w:hAnsiTheme="minorHAnsi" w:cs="Times New Roman"/>
                <w:b/>
                <w:sz w:val="18"/>
                <w:szCs w:val="18"/>
                <w:lang w:bidi="en-US"/>
              </w:rPr>
            </w:pPr>
            <w:r w:rsidRPr="00FB6E71">
              <w:rPr>
                <w:rFonts w:asciiTheme="minorHAnsi" w:hAnsiTheme="minorHAnsi" w:cs="Times New Roman"/>
                <w:b/>
                <w:sz w:val="18"/>
                <w:szCs w:val="18"/>
                <w:lang w:bidi="en-US"/>
              </w:rPr>
              <w:t>Responsibility</w:t>
            </w:r>
          </w:p>
        </w:tc>
        <w:tc>
          <w:tcPr>
            <w:tcW w:w="2965" w:type="dxa"/>
            <w:vAlign w:val="center"/>
          </w:tcPr>
          <w:p w:rsidR="007F2DE7" w:rsidRPr="00FB6E71" w:rsidP="007F2DE7">
            <w:pPr>
              <w:jc w:val="center"/>
              <w:rPr>
                <w:rFonts w:asciiTheme="minorHAnsi" w:hAnsiTheme="minorHAnsi" w:cs="Times New Roman"/>
                <w:b/>
                <w:sz w:val="18"/>
                <w:szCs w:val="18"/>
                <w:lang w:bidi="en-US"/>
              </w:rPr>
            </w:pPr>
            <w:r w:rsidRPr="00FB6E71">
              <w:rPr>
                <w:rFonts w:asciiTheme="minorHAnsi" w:hAnsiTheme="minorHAnsi" w:cs="Times New Roman"/>
                <w:b/>
                <w:sz w:val="18"/>
                <w:szCs w:val="18"/>
                <w:lang w:bidi="en-US"/>
              </w:rPr>
              <w:t>Timeline</w:t>
            </w:r>
          </w:p>
        </w:tc>
      </w:tr>
      <w:tr w:rsidTr="007F2DE7">
        <w:tblPrEx>
          <w:tblW w:w="5000" w:type="pct"/>
          <w:jc w:val="center"/>
          <w:tblLook w:val="04A0"/>
        </w:tblPrEx>
        <w:trPr>
          <w:cantSplit/>
          <w:trHeight w:val="20"/>
          <w:jc w:val="center"/>
        </w:trPr>
        <w:tc>
          <w:tcPr>
            <w:tcW w:w="458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Establishment of the ESSU at the PCUs</w:t>
            </w:r>
          </w:p>
        </w:tc>
        <w:tc>
          <w:tcPr>
            <w:tcW w:w="1800"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Borrower</w:t>
            </w:r>
          </w:p>
        </w:tc>
        <w:tc>
          <w:tcPr>
            <w:tcW w:w="296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December 30, 2016</w:t>
            </w:r>
          </w:p>
        </w:tc>
      </w:tr>
      <w:tr w:rsidTr="007F2DE7">
        <w:tblPrEx>
          <w:tblW w:w="5000" w:type="pct"/>
          <w:jc w:val="center"/>
          <w:tblLook w:val="04A0"/>
        </w:tblPrEx>
        <w:trPr>
          <w:cantSplit/>
          <w:trHeight w:val="20"/>
          <w:jc w:val="center"/>
        </w:trPr>
        <w:tc>
          <w:tcPr>
            <w:tcW w:w="458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Recruitment of Environment and Social Safeguards Officers at the PCUs</w:t>
            </w:r>
          </w:p>
        </w:tc>
        <w:tc>
          <w:tcPr>
            <w:tcW w:w="1800"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Borrower</w:t>
            </w:r>
          </w:p>
        </w:tc>
        <w:tc>
          <w:tcPr>
            <w:tcW w:w="296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January 20, 2017</w:t>
            </w:r>
          </w:p>
        </w:tc>
      </w:tr>
      <w:tr w:rsidTr="007F2DE7">
        <w:tblPrEx>
          <w:tblW w:w="5000" w:type="pct"/>
          <w:jc w:val="center"/>
          <w:tblLook w:val="04A0"/>
        </w:tblPrEx>
        <w:trPr>
          <w:cantSplit/>
          <w:trHeight w:val="20"/>
          <w:jc w:val="center"/>
        </w:trPr>
        <w:tc>
          <w:tcPr>
            <w:tcW w:w="458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Preparation of the ToRs for ESIA and RAP</w:t>
            </w:r>
          </w:p>
        </w:tc>
        <w:tc>
          <w:tcPr>
            <w:tcW w:w="1800"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Borrower</w:t>
            </w:r>
          </w:p>
        </w:tc>
        <w:tc>
          <w:tcPr>
            <w:tcW w:w="296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January 30, 2017</w:t>
            </w:r>
          </w:p>
        </w:tc>
      </w:tr>
      <w:tr w:rsidTr="007F2DE7">
        <w:tblPrEx>
          <w:tblW w:w="5000" w:type="pct"/>
          <w:jc w:val="center"/>
          <w:tblLook w:val="04A0"/>
        </w:tblPrEx>
        <w:trPr>
          <w:cantSplit/>
          <w:trHeight w:val="20"/>
          <w:jc w:val="center"/>
        </w:trPr>
        <w:tc>
          <w:tcPr>
            <w:tcW w:w="458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 xml:space="preserve">Screening and </w:t>
            </w:r>
            <w:r>
              <w:rPr>
                <w:rFonts w:asciiTheme="minorHAnsi" w:hAnsiTheme="minorHAnsi" w:cs="Times New Roman"/>
                <w:sz w:val="18"/>
                <w:szCs w:val="18"/>
                <w:lang w:bidi="en-US"/>
              </w:rPr>
              <w:t>p</w:t>
            </w:r>
            <w:r w:rsidRPr="00FB6E71">
              <w:rPr>
                <w:rFonts w:asciiTheme="minorHAnsi" w:hAnsiTheme="minorHAnsi" w:cs="Times New Roman"/>
                <w:sz w:val="18"/>
                <w:szCs w:val="18"/>
                <w:lang w:bidi="en-US"/>
              </w:rPr>
              <w:t>reparation of site</w:t>
            </w:r>
            <w:r>
              <w:rPr>
                <w:rFonts w:asciiTheme="minorHAnsi" w:hAnsiTheme="minorHAnsi" w:cs="Times New Roman"/>
                <w:sz w:val="18"/>
                <w:szCs w:val="18"/>
                <w:lang w:bidi="en-US"/>
              </w:rPr>
              <w:t>-</w:t>
            </w:r>
            <w:r w:rsidRPr="00FB6E71">
              <w:rPr>
                <w:rFonts w:asciiTheme="minorHAnsi" w:hAnsiTheme="minorHAnsi" w:cs="Times New Roman"/>
                <w:sz w:val="18"/>
                <w:szCs w:val="18"/>
                <w:lang w:bidi="en-US"/>
              </w:rPr>
              <w:t xml:space="preserve">specific safeguards instruments (ESIA, ESMP, MWMP, RAP, </w:t>
            </w:r>
            <w:r>
              <w:rPr>
                <w:rFonts w:asciiTheme="minorHAnsi" w:hAnsiTheme="minorHAnsi" w:cs="Times New Roman"/>
                <w:sz w:val="18"/>
                <w:szCs w:val="18"/>
                <w:lang w:bidi="en-US"/>
              </w:rPr>
              <w:t>a</w:t>
            </w:r>
            <w:r w:rsidRPr="00FB6E71">
              <w:rPr>
                <w:rFonts w:asciiTheme="minorHAnsi" w:hAnsiTheme="minorHAnsi" w:cs="Times New Roman"/>
                <w:sz w:val="18"/>
                <w:szCs w:val="18"/>
                <w:lang w:bidi="en-US"/>
              </w:rPr>
              <w:t>udit, and so on)</w:t>
            </w:r>
          </w:p>
        </w:tc>
        <w:tc>
          <w:tcPr>
            <w:tcW w:w="1800"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Borrower/Proponent</w:t>
            </w:r>
          </w:p>
        </w:tc>
        <w:tc>
          <w:tcPr>
            <w:tcW w:w="2965" w:type="dxa"/>
          </w:tcPr>
          <w:p w:rsidR="007F2DE7" w:rsidRPr="00FB6E71" w:rsidP="007F2DE7">
            <w:pPr>
              <w:rPr>
                <w:rFonts w:asciiTheme="minorHAnsi" w:hAnsiTheme="minorHAnsi" w:cs="Times New Roman"/>
                <w:sz w:val="18"/>
                <w:szCs w:val="18"/>
                <w:lang w:bidi="en-US"/>
              </w:rPr>
            </w:pPr>
            <w:r w:rsidRPr="00FB6E71">
              <w:rPr>
                <w:rFonts w:asciiTheme="minorHAnsi" w:hAnsiTheme="minorHAnsi" w:cs="Times New Roman"/>
                <w:sz w:val="18"/>
                <w:szCs w:val="18"/>
                <w:lang w:bidi="en-US"/>
              </w:rPr>
              <w:t xml:space="preserve">As soon as the exact locations and details of the subprojects are known and </w:t>
            </w:r>
            <w:r>
              <w:rPr>
                <w:rFonts w:asciiTheme="minorHAnsi" w:hAnsiTheme="minorHAnsi" w:cs="Times New Roman"/>
                <w:sz w:val="18"/>
                <w:szCs w:val="18"/>
                <w:lang w:bidi="en-US"/>
              </w:rPr>
              <w:t>before</w:t>
            </w:r>
            <w:r w:rsidRPr="00FB6E71">
              <w:rPr>
                <w:rFonts w:asciiTheme="minorHAnsi" w:hAnsiTheme="minorHAnsi" w:cs="Times New Roman"/>
                <w:sz w:val="18"/>
                <w:szCs w:val="18"/>
                <w:lang w:bidi="en-US"/>
              </w:rPr>
              <w:t xml:space="preserve"> the commencement of civil works</w:t>
            </w:r>
          </w:p>
        </w:tc>
      </w:tr>
    </w:tbl>
    <w:p w:rsidR="007F2DE7" w:rsidRPr="00FB6E71" w:rsidP="007F2DE7">
      <w:pPr>
        <w:widowControl/>
        <w:jc w:val="center"/>
        <w:rPr>
          <w:rFonts w:asciiTheme="minorHAnsi" w:hAnsiTheme="minorHAnsi"/>
          <w:color w:val="auto"/>
          <w:sz w:val="18"/>
          <w:szCs w:val="18"/>
          <w:lang w:bidi="en-US"/>
        </w:rPr>
      </w:pP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Where an ESIA is being required for a subproject, its proponents should take note of Article 2(4) of the EIA Act that requires direct liaison with the FME: </w:t>
      </w:r>
      <w:r>
        <w:rPr>
          <w:rFonts w:asciiTheme="minorHAnsi" w:hAnsiTheme="minorHAnsi"/>
          <w:sz w:val="22"/>
          <w:szCs w:val="22"/>
        </w:rPr>
        <w:t>“</w:t>
      </w:r>
      <w:r w:rsidRPr="001A0C92">
        <w:rPr>
          <w:rFonts w:asciiTheme="minorHAnsi" w:hAnsiTheme="minorHAnsi"/>
          <w:sz w:val="22"/>
          <w:szCs w:val="22"/>
        </w:rPr>
        <w:t>All agencies, institutions (whether public or private) except exempted pursuant to this Decree, shall before embarking on the proposed project apply in writing to the Agency, so that subject activities can be quickly and surely identified and environmental assessment applied as the activities are being planned.</w:t>
      </w:r>
      <w:r>
        <w:rPr>
          <w:rFonts w:asciiTheme="minorHAnsi" w:hAnsiTheme="minorHAnsi"/>
          <w:sz w:val="22"/>
          <w:szCs w:val="22"/>
        </w:rPr>
        <w:t>”</w:t>
      </w:r>
      <w:r w:rsidRPr="00FB6E71">
        <w:rPr>
          <w:rFonts w:asciiTheme="minorHAnsi" w:hAnsiTheme="minorHAnsi"/>
          <w:i/>
          <w:sz w:val="22"/>
          <w:szCs w:val="22"/>
        </w:rPr>
        <w:t xml:space="preserve"> </w:t>
      </w:r>
      <w:r w:rsidRPr="00FB6E71">
        <w:rPr>
          <w:rFonts w:asciiTheme="minorHAnsi" w:hAnsiTheme="minorHAnsi"/>
          <w:sz w:val="22"/>
          <w:szCs w:val="22"/>
        </w:rPr>
        <w:t>ESIAs and ESMPs must cover the minimum content specified in Article 4 of the ESIA Act as well as in Annex 4 and/or Annex 5 of OP 4.01. It constitutes best practice to prepare the necessary site-specific safeguards instruments before any bidding for works or service provision takes place, ensuring the integration of these instruments into the bidding documentation and clearly defining roles and responsibilities for their implementation. Civil works will commence before the implementation of the different safeguards instruments.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 xml:space="preserve">Public </w:t>
      </w:r>
      <w:r>
        <w:rPr>
          <w:rFonts w:asciiTheme="minorHAnsi" w:hAnsiTheme="minorHAnsi"/>
          <w:b/>
          <w:sz w:val="22"/>
          <w:szCs w:val="22"/>
        </w:rPr>
        <w:t>d</w:t>
      </w:r>
      <w:r w:rsidRPr="00FB6E71">
        <w:rPr>
          <w:rFonts w:asciiTheme="minorHAnsi" w:hAnsiTheme="minorHAnsi"/>
          <w:b/>
          <w:sz w:val="22"/>
          <w:szCs w:val="22"/>
        </w:rPr>
        <w:t xml:space="preserve">isclosure and </w:t>
      </w:r>
      <w:r>
        <w:rPr>
          <w:rFonts w:asciiTheme="minorHAnsi" w:hAnsiTheme="minorHAnsi"/>
          <w:b/>
          <w:sz w:val="22"/>
          <w:szCs w:val="22"/>
        </w:rPr>
        <w:t>c</w:t>
      </w:r>
      <w:r w:rsidRPr="00FB6E71">
        <w:rPr>
          <w:rFonts w:asciiTheme="minorHAnsi" w:hAnsiTheme="minorHAnsi"/>
          <w:b/>
          <w:sz w:val="22"/>
          <w:szCs w:val="22"/>
        </w:rPr>
        <w:t>onsultation</w:t>
      </w:r>
      <w:r>
        <w:rPr>
          <w:rFonts w:asciiTheme="minorHAnsi" w:hAnsiTheme="minorHAnsi"/>
          <w:b/>
          <w:sz w:val="22"/>
          <w:szCs w:val="22"/>
        </w:rPr>
        <w:t>.</w:t>
      </w:r>
      <w:r w:rsidRPr="00FB6E71">
        <w:rPr>
          <w:rFonts w:asciiTheme="minorHAnsi" w:hAnsiTheme="minorHAnsi"/>
          <w:b/>
          <w:i/>
          <w:sz w:val="22"/>
          <w:szCs w:val="22"/>
        </w:rPr>
        <w:t xml:space="preserve"> </w:t>
      </w:r>
      <w:r w:rsidRPr="00FB6E71">
        <w:rPr>
          <w:rFonts w:asciiTheme="minorHAnsi" w:hAnsiTheme="minorHAnsi"/>
          <w:sz w:val="22"/>
          <w:szCs w:val="22"/>
        </w:rPr>
        <w:t xml:space="preserve">The procedure for consultations on subprojects should conform to OP 4.01 and the EIA Act. OP 4.01 requires consultation with stakeholders. For </w:t>
      </w:r>
      <w:r>
        <w:rPr>
          <w:rFonts w:asciiTheme="minorHAnsi" w:hAnsiTheme="minorHAnsi"/>
          <w:sz w:val="22"/>
          <w:szCs w:val="22"/>
        </w:rPr>
        <w:t xml:space="preserve">the </w:t>
      </w:r>
      <w:r w:rsidRPr="00FB6E71">
        <w:rPr>
          <w:rFonts w:asciiTheme="minorHAnsi" w:hAnsiTheme="minorHAnsi"/>
          <w:sz w:val="22"/>
          <w:szCs w:val="22"/>
        </w:rPr>
        <w:t>MCRP, safeguards work on subprojects entails an initial consultation of affected populations and interested NGOs as well as relevant agencies of federal, state</w:t>
      </w:r>
      <w:r>
        <w:rPr>
          <w:rFonts w:asciiTheme="minorHAnsi" w:hAnsiTheme="minorHAnsi"/>
          <w:sz w:val="22"/>
          <w:szCs w:val="22"/>
        </w:rPr>
        <w:t>,</w:t>
      </w:r>
      <w:r w:rsidRPr="00FB6E71">
        <w:rPr>
          <w:rFonts w:asciiTheme="minorHAnsi" w:hAnsiTheme="minorHAnsi"/>
          <w:sz w:val="22"/>
          <w:szCs w:val="22"/>
        </w:rPr>
        <w:t xml:space="preserve"> and local governments to inform them about the proposed activity and solicit recommendations, questions</w:t>
      </w:r>
      <w:r>
        <w:rPr>
          <w:rFonts w:asciiTheme="minorHAnsi" w:hAnsiTheme="minorHAnsi"/>
          <w:sz w:val="22"/>
          <w:szCs w:val="22"/>
        </w:rPr>
        <w:t>,</w:t>
      </w:r>
      <w:r w:rsidRPr="00FB6E71">
        <w:rPr>
          <w:rFonts w:asciiTheme="minorHAnsi" w:hAnsiTheme="minorHAnsi"/>
          <w:sz w:val="22"/>
          <w:szCs w:val="22"/>
        </w:rPr>
        <w:t xml:space="preserve"> and concerns to be addressed in </w:t>
      </w:r>
      <w:r>
        <w:rPr>
          <w:rFonts w:asciiTheme="minorHAnsi" w:hAnsiTheme="minorHAnsi"/>
          <w:sz w:val="22"/>
          <w:szCs w:val="22"/>
        </w:rPr>
        <w:t xml:space="preserve">the </w:t>
      </w:r>
      <w:r w:rsidRPr="00FB6E71">
        <w:rPr>
          <w:rFonts w:asciiTheme="minorHAnsi" w:hAnsiTheme="minorHAnsi"/>
          <w:sz w:val="22"/>
          <w:szCs w:val="22"/>
        </w:rPr>
        <w:t>E&amp;S assessment. Once drafts of safeguards documents are completed, they must be disclosed. Both Nigeria and the World Bank require public disclosure of ESIAs, E</w:t>
      </w:r>
      <w:r>
        <w:rPr>
          <w:rFonts w:asciiTheme="minorHAnsi" w:hAnsiTheme="minorHAnsi"/>
          <w:sz w:val="22"/>
          <w:szCs w:val="22"/>
        </w:rPr>
        <w:t xml:space="preserve">nvironmental </w:t>
      </w:r>
      <w:r w:rsidRPr="00FB6E71">
        <w:rPr>
          <w:rFonts w:asciiTheme="minorHAnsi" w:hAnsiTheme="minorHAnsi"/>
          <w:sz w:val="22"/>
          <w:szCs w:val="22"/>
        </w:rPr>
        <w:t>M</w:t>
      </w:r>
      <w:r>
        <w:rPr>
          <w:rFonts w:asciiTheme="minorHAnsi" w:hAnsiTheme="minorHAnsi"/>
          <w:sz w:val="22"/>
          <w:szCs w:val="22"/>
        </w:rPr>
        <w:t xml:space="preserve">anagement </w:t>
      </w:r>
      <w:r w:rsidRPr="00FB6E71">
        <w:rPr>
          <w:rFonts w:asciiTheme="minorHAnsi" w:hAnsiTheme="minorHAnsi"/>
          <w:sz w:val="22"/>
          <w:szCs w:val="22"/>
        </w:rPr>
        <w:t>P</w:t>
      </w:r>
      <w:r>
        <w:rPr>
          <w:rFonts w:asciiTheme="minorHAnsi" w:hAnsiTheme="minorHAnsi"/>
          <w:sz w:val="22"/>
          <w:szCs w:val="22"/>
        </w:rPr>
        <w:t>lan</w:t>
      </w:r>
      <w:r w:rsidRPr="00FB6E71">
        <w:rPr>
          <w:rFonts w:asciiTheme="minorHAnsi" w:hAnsiTheme="minorHAnsi"/>
          <w:sz w:val="22"/>
          <w:szCs w:val="22"/>
        </w:rPr>
        <w:t xml:space="preserve">s, and RAPs. The World Bank’s requirements are the most detailed and, to comply with them, safeguards documents for </w:t>
      </w:r>
      <w:r>
        <w:rPr>
          <w:rFonts w:asciiTheme="minorHAnsi" w:hAnsiTheme="minorHAnsi"/>
          <w:sz w:val="22"/>
          <w:szCs w:val="22"/>
        </w:rPr>
        <w:t xml:space="preserve">the </w:t>
      </w:r>
      <w:r w:rsidRPr="00FB6E71">
        <w:rPr>
          <w:rFonts w:asciiTheme="minorHAnsi" w:hAnsiTheme="minorHAnsi"/>
          <w:sz w:val="22"/>
          <w:szCs w:val="22"/>
        </w:rPr>
        <w:t xml:space="preserve">MCRP subprojects will be disclosed at public locations in the area affected by the project as well as in appropriate </w:t>
      </w:r>
      <w:r>
        <w:rPr>
          <w:rFonts w:asciiTheme="minorHAnsi" w:hAnsiTheme="minorHAnsi"/>
          <w:sz w:val="22"/>
          <w:szCs w:val="22"/>
        </w:rPr>
        <w:t>s</w:t>
      </w:r>
      <w:r w:rsidRPr="00FB6E71">
        <w:rPr>
          <w:rFonts w:asciiTheme="minorHAnsi" w:hAnsiTheme="minorHAnsi"/>
          <w:sz w:val="22"/>
          <w:szCs w:val="22"/>
        </w:rPr>
        <w:t xml:space="preserve">tate and </w:t>
      </w:r>
      <w:r>
        <w:rPr>
          <w:rFonts w:asciiTheme="minorHAnsi" w:hAnsiTheme="minorHAnsi"/>
          <w:sz w:val="22"/>
          <w:szCs w:val="22"/>
        </w:rPr>
        <w:t>f</w:t>
      </w:r>
      <w:r w:rsidRPr="00FB6E71">
        <w:rPr>
          <w:rFonts w:asciiTheme="minorHAnsi" w:hAnsiTheme="minorHAnsi"/>
          <w:sz w:val="22"/>
          <w:szCs w:val="22"/>
        </w:rPr>
        <w:t>ederal agencies and at the World Bank Headquarters in Washington</w:t>
      </w:r>
      <w:r>
        <w:rPr>
          <w:rFonts w:asciiTheme="minorHAnsi" w:hAnsiTheme="minorHAnsi"/>
          <w:sz w:val="22"/>
          <w:szCs w:val="22"/>
        </w:rPr>
        <w:t>,</w:t>
      </w:r>
      <w:r w:rsidRPr="00FB6E71">
        <w:rPr>
          <w:rFonts w:asciiTheme="minorHAnsi" w:hAnsiTheme="minorHAnsi"/>
          <w:sz w:val="22"/>
          <w:szCs w:val="22"/>
        </w:rPr>
        <w:t xml:space="preserve"> </w:t>
      </w:r>
      <w:r>
        <w:rPr>
          <w:rFonts w:asciiTheme="minorHAnsi" w:hAnsiTheme="minorHAnsi"/>
          <w:sz w:val="22"/>
          <w:szCs w:val="22"/>
        </w:rPr>
        <w:t>f</w:t>
      </w:r>
      <w:r w:rsidRPr="00FB6E71">
        <w:rPr>
          <w:rFonts w:asciiTheme="minorHAnsi" w:hAnsiTheme="minorHAnsi"/>
          <w:sz w:val="22"/>
          <w:szCs w:val="22"/>
        </w:rPr>
        <w:t xml:space="preserve">ollowing a period adequate for the review of those documents, which for </w:t>
      </w:r>
      <w:r>
        <w:rPr>
          <w:rFonts w:asciiTheme="minorHAnsi" w:hAnsiTheme="minorHAnsi"/>
          <w:sz w:val="22"/>
          <w:szCs w:val="22"/>
        </w:rPr>
        <w:t xml:space="preserve">the </w:t>
      </w:r>
      <w:r w:rsidRPr="00FB6E71">
        <w:rPr>
          <w:rFonts w:asciiTheme="minorHAnsi" w:hAnsiTheme="minorHAnsi"/>
          <w:sz w:val="22"/>
          <w:szCs w:val="22"/>
        </w:rPr>
        <w:t xml:space="preserve">MCRP is defined as 30 calendar days for Category B. It is a policy of the World Bank that consultations and disclosure should be in form and language accessible to the stakeholders and that consultation should continue throughout project implementation.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 xml:space="preserve">Safeguards </w:t>
      </w:r>
      <w:r>
        <w:rPr>
          <w:rFonts w:asciiTheme="minorHAnsi" w:hAnsiTheme="minorHAnsi"/>
          <w:b/>
          <w:sz w:val="22"/>
          <w:szCs w:val="22"/>
        </w:rPr>
        <w:t>r</w:t>
      </w:r>
      <w:r w:rsidRPr="00FB6E71">
        <w:rPr>
          <w:rFonts w:asciiTheme="minorHAnsi" w:hAnsiTheme="minorHAnsi"/>
          <w:b/>
          <w:sz w:val="22"/>
          <w:szCs w:val="22"/>
        </w:rPr>
        <w:t xml:space="preserve">eview and </w:t>
      </w:r>
      <w:r>
        <w:rPr>
          <w:rFonts w:asciiTheme="minorHAnsi" w:hAnsiTheme="minorHAnsi"/>
          <w:b/>
          <w:sz w:val="22"/>
          <w:szCs w:val="22"/>
        </w:rPr>
        <w:t>a</w:t>
      </w:r>
      <w:r w:rsidRPr="00FB6E71">
        <w:rPr>
          <w:rFonts w:asciiTheme="minorHAnsi" w:hAnsiTheme="minorHAnsi"/>
          <w:b/>
          <w:sz w:val="22"/>
          <w:szCs w:val="22"/>
        </w:rPr>
        <w:t>pproval</w:t>
      </w:r>
      <w:r>
        <w:rPr>
          <w:rFonts w:asciiTheme="minorHAnsi" w:hAnsiTheme="minorHAnsi"/>
          <w:b/>
          <w:sz w:val="22"/>
          <w:szCs w:val="22"/>
        </w:rPr>
        <w:t>.</w:t>
      </w:r>
      <w:r w:rsidRPr="00FB6E71">
        <w:rPr>
          <w:rFonts w:asciiTheme="minorHAnsi" w:hAnsiTheme="minorHAnsi"/>
          <w:b/>
          <w:i/>
          <w:sz w:val="22"/>
          <w:szCs w:val="22"/>
        </w:rPr>
        <w:t xml:space="preserve"> </w:t>
      </w:r>
      <w:r w:rsidRPr="00FB6E71">
        <w:rPr>
          <w:rFonts w:asciiTheme="minorHAnsi" w:hAnsiTheme="minorHAnsi"/>
          <w:sz w:val="22"/>
          <w:szCs w:val="22"/>
        </w:rPr>
        <w:t xml:space="preserve">No proposed subproject can be approved for </w:t>
      </w:r>
      <w:r>
        <w:rPr>
          <w:rFonts w:asciiTheme="minorHAnsi" w:hAnsiTheme="minorHAnsi"/>
          <w:sz w:val="22"/>
          <w:szCs w:val="22"/>
        </w:rPr>
        <w:t xml:space="preserve">the </w:t>
      </w:r>
      <w:r w:rsidRPr="00FB6E71">
        <w:rPr>
          <w:rFonts w:asciiTheme="minorHAnsi" w:hAnsiTheme="minorHAnsi"/>
          <w:sz w:val="22"/>
          <w:szCs w:val="22"/>
        </w:rPr>
        <w:t xml:space="preserve">MCRP support until the required ESMP study has been approved by the cognizant agency. Specifically, the review process for subprojects that only require ESMPs may not involve the FME. The first reviewer will be the PCU, </w:t>
      </w:r>
      <w:r>
        <w:rPr>
          <w:rFonts w:asciiTheme="minorHAnsi" w:hAnsiTheme="minorHAnsi"/>
          <w:sz w:val="22"/>
          <w:szCs w:val="22"/>
        </w:rPr>
        <w:t>through</w:t>
      </w:r>
      <w:r w:rsidRPr="00FB6E71">
        <w:rPr>
          <w:rFonts w:asciiTheme="minorHAnsi" w:hAnsiTheme="minorHAnsi"/>
          <w:sz w:val="22"/>
          <w:szCs w:val="22"/>
        </w:rPr>
        <w:t xml:space="preserve"> the ESSU. The World Bank will review a representative number of ESMPs for </w:t>
      </w:r>
      <w:r>
        <w:rPr>
          <w:rFonts w:asciiTheme="minorHAnsi" w:hAnsiTheme="minorHAnsi"/>
          <w:sz w:val="22"/>
          <w:szCs w:val="22"/>
        </w:rPr>
        <w:t xml:space="preserve">EA </w:t>
      </w:r>
      <w:r w:rsidRPr="00FB6E71">
        <w:rPr>
          <w:rFonts w:asciiTheme="minorHAnsi" w:hAnsiTheme="minorHAnsi"/>
          <w:sz w:val="22"/>
          <w:szCs w:val="22"/>
        </w:rPr>
        <w:t>Category B. Subprojects w</w:t>
      </w:r>
      <w:r>
        <w:rPr>
          <w:rFonts w:asciiTheme="minorHAnsi" w:hAnsiTheme="minorHAnsi"/>
          <w:sz w:val="22"/>
          <w:szCs w:val="22"/>
        </w:rPr>
        <w:t>ill</w:t>
      </w:r>
      <w:r w:rsidRPr="00FB6E71">
        <w:rPr>
          <w:rFonts w:asciiTheme="minorHAnsi" w:hAnsiTheme="minorHAnsi"/>
          <w:sz w:val="22"/>
          <w:szCs w:val="22"/>
        </w:rPr>
        <w:t xml:space="preserve"> also have to be reviewed and cleared by the World Bank to ensure compliance with its safeguards policies. World Bank prior review will be suspended if the initial ESMPs are of good quality, and the World Bank will thereafter review </w:t>
      </w:r>
      <w:r>
        <w:rPr>
          <w:rFonts w:asciiTheme="minorHAnsi" w:hAnsiTheme="minorHAnsi"/>
          <w:sz w:val="22"/>
          <w:szCs w:val="22"/>
        </w:rPr>
        <w:t xml:space="preserve">the </w:t>
      </w:r>
      <w:r w:rsidRPr="00FB6E71">
        <w:rPr>
          <w:rFonts w:asciiTheme="minorHAnsi" w:hAnsiTheme="minorHAnsi"/>
          <w:sz w:val="22"/>
          <w:szCs w:val="22"/>
        </w:rPr>
        <w:t>implementation of completed ESMPs as part of project supervision.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The </w:t>
      </w:r>
      <w:r>
        <w:rPr>
          <w:rFonts w:asciiTheme="minorHAnsi" w:hAnsiTheme="minorHAnsi"/>
          <w:sz w:val="22"/>
          <w:szCs w:val="22"/>
        </w:rPr>
        <w:t>t</w:t>
      </w:r>
      <w:r w:rsidRPr="00FB6E71">
        <w:rPr>
          <w:rFonts w:asciiTheme="minorHAnsi" w:hAnsiTheme="minorHAnsi"/>
          <w:sz w:val="22"/>
          <w:szCs w:val="22"/>
        </w:rPr>
        <w:t xml:space="preserve">ask </w:t>
      </w:r>
      <w:r>
        <w:rPr>
          <w:rFonts w:asciiTheme="minorHAnsi" w:hAnsiTheme="minorHAnsi"/>
          <w:sz w:val="22"/>
          <w:szCs w:val="22"/>
        </w:rPr>
        <w:t>t</w:t>
      </w:r>
      <w:r w:rsidRPr="00FB6E71">
        <w:rPr>
          <w:rFonts w:asciiTheme="minorHAnsi" w:hAnsiTheme="minorHAnsi"/>
          <w:sz w:val="22"/>
          <w:szCs w:val="22"/>
        </w:rPr>
        <w:t xml:space="preserve">eam will also review ToRs (if required) as well as the ESMPs and limited ESIAs or RAPs/ARAPs if needed to ensure that their scope and quality are satisfactory to the World Bank, will review tender documents and construction contracts regarding due consideration of the safeguards instruments, and will review the </w:t>
      </w:r>
      <w:r w:rsidRPr="00FB6E71">
        <w:rPr>
          <w:rFonts w:asciiTheme="minorHAnsi" w:hAnsiTheme="minorHAnsi" w:cs="Times New Roman"/>
          <w:sz w:val="22"/>
          <w:szCs w:val="22"/>
        </w:rPr>
        <w:t>inclusion</w:t>
      </w:r>
      <w:r w:rsidRPr="00FB6E71">
        <w:rPr>
          <w:rFonts w:asciiTheme="minorHAnsi" w:hAnsiTheme="minorHAnsi"/>
          <w:sz w:val="22"/>
          <w:szCs w:val="22"/>
        </w:rPr>
        <w:t xml:space="preserve"> of effective and enforceable contractual clauses. Finally, the task team will also monitor the implementation of the different prepared instruments through regular supervision missions (which will include an environmental and/or social specialist) during which document reviews, site visits</w:t>
      </w:r>
      <w:r>
        <w:rPr>
          <w:rFonts w:asciiTheme="minorHAnsi" w:hAnsiTheme="minorHAnsi"/>
          <w:sz w:val="22"/>
          <w:szCs w:val="22"/>
        </w:rPr>
        <w:t>,</w:t>
      </w:r>
      <w:r w:rsidRPr="00FB6E71">
        <w:rPr>
          <w:rFonts w:asciiTheme="minorHAnsi" w:hAnsiTheme="minorHAnsi"/>
          <w:sz w:val="22"/>
          <w:szCs w:val="22"/>
        </w:rPr>
        <w:t xml:space="preserve"> and spot-checks will be conducted. Depending on the circumstances (especially the security situation), </w:t>
      </w:r>
      <w:r>
        <w:rPr>
          <w:rFonts w:asciiTheme="minorHAnsi" w:hAnsiTheme="minorHAnsi"/>
          <w:sz w:val="22"/>
          <w:szCs w:val="22"/>
        </w:rPr>
        <w:t>third-party monitoring</w:t>
      </w:r>
      <w:r w:rsidRPr="00FB6E71">
        <w:rPr>
          <w:rFonts w:asciiTheme="minorHAnsi" w:hAnsiTheme="minorHAnsi"/>
          <w:sz w:val="22"/>
          <w:szCs w:val="22"/>
        </w:rPr>
        <w:t xml:space="preserve"> will also be used for supervision and monitoring and w</w:t>
      </w:r>
      <w:r>
        <w:rPr>
          <w:rFonts w:asciiTheme="minorHAnsi" w:hAnsiTheme="minorHAnsi"/>
          <w:sz w:val="22"/>
          <w:szCs w:val="22"/>
        </w:rPr>
        <w:t>ill</w:t>
      </w:r>
      <w:r w:rsidRPr="00FB6E71">
        <w:rPr>
          <w:rFonts w:asciiTheme="minorHAnsi" w:hAnsiTheme="minorHAnsi"/>
          <w:sz w:val="22"/>
          <w:szCs w:val="22"/>
        </w:rPr>
        <w:t xml:space="preserve"> thus complement the efforts of the task team.</w:t>
      </w:r>
    </w:p>
    <w:p w:rsidR="007F2DE7" w:rsidRPr="00FB6E71" w:rsidP="007F2DE7">
      <w:pPr>
        <w:keepNext/>
        <w:keepLines/>
        <w:widowControl/>
        <w:spacing w:after="240"/>
        <w:ind w:left="-634"/>
        <w:rPr>
          <w:rFonts w:asciiTheme="minorHAnsi" w:hAnsiTheme="minorHAnsi"/>
          <w:i/>
          <w:color w:val="auto"/>
          <w:sz w:val="22"/>
          <w:szCs w:val="22"/>
        </w:rPr>
      </w:pPr>
      <w:r w:rsidRPr="00FB6E71">
        <w:rPr>
          <w:rFonts w:asciiTheme="minorHAnsi" w:hAnsiTheme="minorHAnsi"/>
          <w:i/>
          <w:color w:val="auto"/>
          <w:sz w:val="22"/>
          <w:szCs w:val="22"/>
        </w:rPr>
        <w:t>Social</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lang w:bidi="en-US"/>
        </w:rPr>
        <w:t>The components triggering OP 4.12 are</w:t>
      </w:r>
      <w:r w:rsidRPr="00FB6E71">
        <w:rPr>
          <w:rFonts w:asciiTheme="minorHAnsi" w:hAnsiTheme="minorHAnsi" w:cs="Times New Roman"/>
          <w:sz w:val="22"/>
          <w:szCs w:val="22"/>
          <w:lang w:bidi="en-US"/>
        </w:rPr>
        <w:t xml:space="preserve"> Component 1: Peace Building and Community Cohesion (rehabilitation and </w:t>
      </w:r>
      <w:r w:rsidRPr="00FB6E71">
        <w:rPr>
          <w:rFonts w:asciiTheme="minorHAnsi" w:hAnsiTheme="minorHAnsi" w:cs="Times New Roman"/>
          <w:sz w:val="22"/>
          <w:szCs w:val="22"/>
        </w:rPr>
        <w:t>reconstruction</w:t>
      </w:r>
      <w:r w:rsidRPr="00FB6E71">
        <w:rPr>
          <w:rFonts w:asciiTheme="minorHAnsi" w:hAnsiTheme="minorHAnsi" w:cs="Times New Roman"/>
          <w:sz w:val="22"/>
          <w:szCs w:val="22"/>
          <w:lang w:bidi="en-US"/>
        </w:rPr>
        <w:t xml:space="preserve"> of public buildings and community areas) and Component 2: </w:t>
      </w:r>
      <w:r w:rsidRPr="00FB6E71">
        <w:rPr>
          <w:rFonts w:asciiTheme="minorHAnsi" w:hAnsiTheme="minorHAnsi" w:cs="Times New Roman"/>
          <w:sz w:val="22"/>
          <w:szCs w:val="22"/>
        </w:rPr>
        <w:t>Infrastructure</w:t>
      </w:r>
      <w:r w:rsidRPr="00FB6E71">
        <w:rPr>
          <w:rFonts w:asciiTheme="minorHAnsi" w:hAnsiTheme="minorHAnsi" w:cs="Times New Roman"/>
          <w:sz w:val="22"/>
          <w:szCs w:val="22"/>
          <w:lang w:bidi="en-US"/>
        </w:rPr>
        <w:t xml:space="preserve"> Rehabilitation and Reconstruction.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lang w:bidi="en-US"/>
        </w:rPr>
        <w:t>The conflict in the NE has resulted in a humanitarian and forced displacement crisis with acute social and economic impacts.</w:t>
      </w:r>
      <w:r w:rsidRPr="0000311C">
        <w:rPr>
          <w:rFonts w:asciiTheme="minorHAnsi" w:hAnsiTheme="minorHAnsi" w:cs="Times New Roman"/>
          <w:sz w:val="22"/>
          <w:szCs w:val="22"/>
          <w:lang w:bidi="en-US"/>
        </w:rPr>
        <w:t xml:space="preserve"> </w:t>
      </w:r>
      <w:r w:rsidRPr="00FB6E71">
        <w:rPr>
          <w:rFonts w:asciiTheme="minorHAnsi" w:hAnsiTheme="minorHAnsi" w:cs="Times New Roman"/>
          <w:bCs/>
          <w:sz w:val="22"/>
          <w:szCs w:val="22"/>
        </w:rPr>
        <w:t xml:space="preserve">Across the six states of the NE, Borno, Yobe, Adamawa, Bauchi, Gombe, and Taraba, there has </w:t>
      </w:r>
      <w:r w:rsidRPr="00FB6E71">
        <w:rPr>
          <w:rFonts w:asciiTheme="minorHAnsi" w:hAnsiTheme="minorHAnsi" w:cs="Times New Roman"/>
          <w:sz w:val="22"/>
          <w:szCs w:val="22"/>
        </w:rPr>
        <w:t>been</w:t>
      </w:r>
      <w:r w:rsidRPr="00FB6E71">
        <w:rPr>
          <w:rFonts w:asciiTheme="minorHAnsi" w:hAnsiTheme="minorHAnsi" w:cs="Times New Roman"/>
          <w:bCs/>
          <w:sz w:val="22"/>
          <w:szCs w:val="22"/>
        </w:rPr>
        <w:t xml:space="preserve"> estimated infrastructure damage of US$9.2 billion and accumulated output losses of US$8.3 billion (NE Nigeria RPBA, 2016). Beyond the estimated damages, the violent action of the BH has resulted in nearly 1.9 million IDP, the majority of which (77 percent; 1.4 million) originate from Borno State (</w:t>
      </w:r>
      <w:r w:rsidRPr="00FB6E71">
        <w:rPr>
          <w:rFonts w:asciiTheme="minorHAnsi" w:hAnsiTheme="minorHAnsi"/>
          <w:color w:val="auto"/>
          <w:sz w:val="22"/>
          <w:szCs w:val="22"/>
        </w:rPr>
        <w:t>International Organization for Migration</w:t>
      </w:r>
      <w:r w:rsidRPr="00FB6E71">
        <w:rPr>
          <w:rFonts w:asciiTheme="minorHAnsi" w:hAnsiTheme="minorHAnsi" w:cs="Times New Roman"/>
          <w:bCs/>
          <w:sz w:val="22"/>
          <w:szCs w:val="22"/>
        </w:rPr>
        <w:t xml:space="preserve"> Displacement Tracking Matrix XI </w:t>
      </w:r>
      <w:r>
        <w:rPr>
          <w:rFonts w:asciiTheme="minorHAnsi" w:hAnsiTheme="minorHAnsi" w:cs="Times New Roman"/>
          <w:bCs/>
          <w:sz w:val="22"/>
          <w:szCs w:val="22"/>
        </w:rPr>
        <w:t xml:space="preserve">August 30, </w:t>
      </w:r>
      <w:r w:rsidRPr="00FB6E71">
        <w:rPr>
          <w:rFonts w:asciiTheme="minorHAnsi" w:hAnsiTheme="minorHAnsi" w:cs="Times New Roman"/>
          <w:bCs/>
          <w:sz w:val="22"/>
          <w:szCs w:val="22"/>
        </w:rPr>
        <w:t>2016). Most of the displaced population live</w:t>
      </w:r>
      <w:r>
        <w:rPr>
          <w:rFonts w:asciiTheme="minorHAnsi" w:hAnsiTheme="minorHAnsi" w:cs="Times New Roman"/>
          <w:bCs/>
          <w:sz w:val="22"/>
          <w:szCs w:val="22"/>
        </w:rPr>
        <w:t>s</w:t>
      </w:r>
      <w:r w:rsidRPr="00FB6E71">
        <w:rPr>
          <w:rFonts w:asciiTheme="minorHAnsi" w:hAnsiTheme="minorHAnsi" w:cs="Times New Roman"/>
          <w:bCs/>
          <w:sz w:val="22"/>
          <w:szCs w:val="22"/>
        </w:rPr>
        <w:t xml:space="preserve"> in host communities, while only 19 percent live</w:t>
      </w:r>
      <w:r>
        <w:rPr>
          <w:rFonts w:asciiTheme="minorHAnsi" w:hAnsiTheme="minorHAnsi" w:cs="Times New Roman"/>
          <w:bCs/>
          <w:sz w:val="22"/>
          <w:szCs w:val="22"/>
        </w:rPr>
        <w:t>s</w:t>
      </w:r>
      <w:r w:rsidRPr="00FB6E71">
        <w:rPr>
          <w:rFonts w:asciiTheme="minorHAnsi" w:hAnsiTheme="minorHAnsi" w:cs="Times New Roman"/>
          <w:bCs/>
          <w:sz w:val="22"/>
          <w:szCs w:val="22"/>
        </w:rPr>
        <w:t xml:space="preserve"> in camps or camp-like settings. Such situation has resulted in additional stresses to already overstretched resources and services. Project activities will </w:t>
      </w:r>
      <w:r>
        <w:rPr>
          <w:rFonts w:asciiTheme="minorHAnsi" w:hAnsiTheme="minorHAnsi" w:cs="Times New Roman"/>
          <w:bCs/>
          <w:sz w:val="22"/>
          <w:szCs w:val="22"/>
        </w:rPr>
        <w:t xml:space="preserve">be </w:t>
      </w:r>
      <w:r w:rsidRPr="00FB6E71">
        <w:rPr>
          <w:rFonts w:asciiTheme="minorHAnsi" w:hAnsiTheme="minorHAnsi" w:cs="Times New Roman"/>
          <w:bCs/>
          <w:sz w:val="22"/>
          <w:szCs w:val="22"/>
        </w:rPr>
        <w:t>implemented in the states most affected by the conflict in the NE (BAY states)</w:t>
      </w:r>
      <w:r>
        <w:rPr>
          <w:rFonts w:asciiTheme="minorHAnsi" w:hAnsiTheme="minorHAnsi" w:cs="Times New Roman"/>
          <w:bCs/>
          <w:sz w:val="22"/>
          <w:szCs w:val="22"/>
        </w:rPr>
        <w:t>,</w:t>
      </w:r>
      <w:r w:rsidRPr="00FB6E71">
        <w:rPr>
          <w:rFonts w:asciiTheme="minorHAnsi" w:hAnsiTheme="minorHAnsi" w:cs="Times New Roman"/>
          <w:bCs/>
          <w:sz w:val="22"/>
          <w:szCs w:val="22"/>
        </w:rPr>
        <w:t xml:space="preserve"> and as such</w:t>
      </w:r>
      <w:r>
        <w:rPr>
          <w:rFonts w:asciiTheme="minorHAnsi" w:hAnsiTheme="minorHAnsi" w:cs="Times New Roman"/>
          <w:bCs/>
          <w:sz w:val="22"/>
          <w:szCs w:val="22"/>
        </w:rPr>
        <w:t>,</w:t>
      </w:r>
      <w:r w:rsidRPr="00FB6E71">
        <w:rPr>
          <w:rFonts w:asciiTheme="minorHAnsi" w:hAnsiTheme="minorHAnsi" w:cs="Times New Roman"/>
          <w:bCs/>
          <w:sz w:val="22"/>
          <w:szCs w:val="22"/>
        </w:rPr>
        <w:t xml:space="preserve"> social safeguards policies triggered and corresponding mitigating measures will address impacts on conflict</w:t>
      </w:r>
      <w:r>
        <w:rPr>
          <w:rFonts w:asciiTheme="minorHAnsi" w:hAnsiTheme="minorHAnsi" w:cs="Times New Roman"/>
          <w:bCs/>
          <w:sz w:val="22"/>
          <w:szCs w:val="22"/>
        </w:rPr>
        <w:t>-</w:t>
      </w:r>
      <w:r w:rsidRPr="00FB6E71">
        <w:rPr>
          <w:rFonts w:asciiTheme="minorHAnsi" w:hAnsiTheme="minorHAnsi" w:cs="Times New Roman"/>
          <w:bCs/>
          <w:sz w:val="22"/>
          <w:szCs w:val="22"/>
        </w:rPr>
        <w:t>affected population, mostly IDP</w:t>
      </w:r>
      <w:r>
        <w:rPr>
          <w:rFonts w:asciiTheme="minorHAnsi" w:hAnsiTheme="minorHAnsi" w:cs="Times New Roman"/>
          <w:bCs/>
          <w:sz w:val="22"/>
          <w:szCs w:val="22"/>
        </w:rPr>
        <w:t>,</w:t>
      </w:r>
      <w:r w:rsidRPr="00FB6E71">
        <w:rPr>
          <w:rFonts w:asciiTheme="minorHAnsi" w:hAnsiTheme="minorHAnsi" w:cs="Times New Roman"/>
          <w:bCs/>
          <w:sz w:val="22"/>
          <w:szCs w:val="22"/>
        </w:rPr>
        <w:t xml:space="preserve"> refugees, </w:t>
      </w:r>
      <w:r>
        <w:rPr>
          <w:rFonts w:asciiTheme="minorHAnsi" w:hAnsiTheme="minorHAnsi" w:cs="Times New Roman"/>
          <w:bCs/>
          <w:sz w:val="22"/>
          <w:szCs w:val="22"/>
        </w:rPr>
        <w:t xml:space="preserve">and </w:t>
      </w:r>
      <w:r w:rsidRPr="00FB6E71">
        <w:rPr>
          <w:rFonts w:asciiTheme="minorHAnsi" w:hAnsiTheme="minorHAnsi" w:cs="Times New Roman"/>
          <w:bCs/>
          <w:sz w:val="22"/>
          <w:szCs w:val="22"/>
        </w:rPr>
        <w:t xml:space="preserve">host communities and among the vulnerable populations (women, children, elderly, </w:t>
      </w:r>
      <w:r>
        <w:rPr>
          <w:rFonts w:asciiTheme="minorHAnsi" w:hAnsiTheme="minorHAnsi" w:cs="Times New Roman"/>
          <w:bCs/>
          <w:sz w:val="22"/>
          <w:szCs w:val="22"/>
        </w:rPr>
        <w:t xml:space="preserve">and </w:t>
      </w:r>
      <w:r w:rsidRPr="00FB6E71">
        <w:rPr>
          <w:rFonts w:asciiTheme="minorHAnsi" w:hAnsiTheme="minorHAnsi" w:cs="Times New Roman"/>
          <w:bCs/>
          <w:sz w:val="22"/>
          <w:szCs w:val="22"/>
        </w:rPr>
        <w:t xml:space="preserve">physically </w:t>
      </w:r>
      <w:r>
        <w:rPr>
          <w:rFonts w:asciiTheme="minorHAnsi" w:hAnsiTheme="minorHAnsi" w:cs="Times New Roman"/>
          <w:bCs/>
          <w:sz w:val="22"/>
          <w:szCs w:val="22"/>
        </w:rPr>
        <w:t>challenged</w:t>
      </w:r>
      <w:r w:rsidRPr="00FB6E71">
        <w:rPr>
          <w:rFonts w:asciiTheme="minorHAnsi" w:hAnsiTheme="minorHAnsi" w:cs="Times New Roman"/>
          <w:bCs/>
          <w:sz w:val="22"/>
          <w:szCs w:val="22"/>
        </w:rPr>
        <w:t xml:space="preserve"> people).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lang w:bidi="en-US"/>
        </w:rPr>
        <w:t>Forced displacement in the NE add</w:t>
      </w:r>
      <w:r>
        <w:rPr>
          <w:rFonts w:asciiTheme="minorHAnsi" w:hAnsiTheme="minorHAnsi" w:cs="Times New Roman"/>
          <w:b/>
          <w:sz w:val="22"/>
          <w:szCs w:val="22"/>
          <w:lang w:bidi="en-US"/>
        </w:rPr>
        <w:t>s</w:t>
      </w:r>
      <w:r w:rsidRPr="00FB6E71">
        <w:rPr>
          <w:rFonts w:asciiTheme="minorHAnsi" w:hAnsiTheme="minorHAnsi" w:cs="Times New Roman"/>
          <w:b/>
          <w:sz w:val="22"/>
          <w:szCs w:val="22"/>
          <w:lang w:bidi="en-US"/>
        </w:rPr>
        <w:t xml:space="preserve"> additional complexities to comply with OP 4.12. </w:t>
      </w:r>
      <w:r w:rsidRPr="00FB6E71">
        <w:rPr>
          <w:rFonts w:asciiTheme="minorHAnsi" w:hAnsiTheme="minorHAnsi" w:cs="Times New Roman"/>
          <w:bCs/>
          <w:sz w:val="22"/>
          <w:szCs w:val="22"/>
        </w:rPr>
        <w:t xml:space="preserve">Massive displacement as well as weakened traditional authority and other community verification mechanisms make </w:t>
      </w:r>
      <w:r>
        <w:rPr>
          <w:rFonts w:asciiTheme="minorHAnsi" w:hAnsiTheme="minorHAnsi" w:cs="Times New Roman"/>
          <w:bCs/>
          <w:sz w:val="22"/>
          <w:szCs w:val="22"/>
        </w:rPr>
        <w:t xml:space="preserve">it </w:t>
      </w:r>
      <w:r w:rsidRPr="00FB6E71">
        <w:rPr>
          <w:rFonts w:asciiTheme="minorHAnsi" w:hAnsiTheme="minorHAnsi" w:cs="Times New Roman"/>
          <w:bCs/>
          <w:sz w:val="22"/>
          <w:szCs w:val="22"/>
        </w:rPr>
        <w:t xml:space="preserve">difficult to ascertain land </w:t>
      </w:r>
      <w:r w:rsidRPr="00FB6E71">
        <w:rPr>
          <w:rFonts w:asciiTheme="minorHAnsi" w:hAnsiTheme="minorHAnsi" w:cs="Times New Roman"/>
          <w:sz w:val="22"/>
          <w:szCs w:val="22"/>
        </w:rPr>
        <w:t>ownership</w:t>
      </w:r>
      <w:r w:rsidRPr="00FB6E71">
        <w:rPr>
          <w:rFonts w:asciiTheme="minorHAnsi" w:hAnsiTheme="minorHAnsi" w:cs="Times New Roman"/>
          <w:bCs/>
          <w:sz w:val="22"/>
          <w:szCs w:val="22"/>
        </w:rPr>
        <w:t xml:space="preserve"> and use rights in many communities. As a result, resettlement as well</w:t>
      </w:r>
      <w:r>
        <w:rPr>
          <w:rFonts w:asciiTheme="minorHAnsi" w:hAnsiTheme="minorHAnsi" w:cs="Times New Roman"/>
          <w:bCs/>
          <w:sz w:val="22"/>
          <w:szCs w:val="22"/>
        </w:rPr>
        <w:t xml:space="preserve"> as</w:t>
      </w:r>
      <w:r w:rsidRPr="00FB6E71">
        <w:rPr>
          <w:rFonts w:asciiTheme="minorHAnsi" w:hAnsiTheme="minorHAnsi" w:cs="Times New Roman"/>
          <w:bCs/>
          <w:sz w:val="22"/>
          <w:szCs w:val="22"/>
        </w:rPr>
        <w:t xml:space="preserve"> due diligence for establishing ownership of land in instance of voluntary land donation may be challenging and need to be well managed to prevent negative impact. </w:t>
      </w:r>
      <w:r w:rsidRPr="00FB6E71">
        <w:rPr>
          <w:rFonts w:asciiTheme="minorHAnsi" w:hAnsiTheme="minorHAnsi" w:cs="Times New Roman"/>
          <w:sz w:val="22"/>
          <w:szCs w:val="22"/>
        </w:rPr>
        <w:t>In</w:t>
      </w:r>
      <w:r w:rsidRPr="00FB6E71">
        <w:rPr>
          <w:rFonts w:asciiTheme="minorHAnsi" w:hAnsiTheme="minorHAnsi" w:cs="Times New Roman"/>
          <w:bCs/>
          <w:sz w:val="22"/>
          <w:szCs w:val="22"/>
        </w:rPr>
        <w:t xml:space="preserve"> the event of any contestation over land, ownership and user rights will be verified following </w:t>
      </w:r>
      <w:r>
        <w:rPr>
          <w:rFonts w:asciiTheme="minorHAnsi" w:hAnsiTheme="minorHAnsi" w:cs="Times New Roman"/>
          <w:bCs/>
          <w:sz w:val="22"/>
          <w:szCs w:val="22"/>
        </w:rPr>
        <w:t xml:space="preserve">the </w:t>
      </w:r>
      <w:r w:rsidRPr="00FB6E71">
        <w:rPr>
          <w:rFonts w:asciiTheme="minorHAnsi" w:hAnsiTheme="minorHAnsi" w:cs="Times New Roman"/>
          <w:bCs/>
          <w:sz w:val="22"/>
          <w:szCs w:val="22"/>
        </w:rPr>
        <w:t xml:space="preserve">traditional institutions at the </w:t>
      </w:r>
      <w:r>
        <w:rPr>
          <w:rFonts w:asciiTheme="minorHAnsi" w:hAnsiTheme="minorHAnsi" w:cs="Times New Roman"/>
          <w:bCs/>
          <w:sz w:val="22"/>
          <w:szCs w:val="22"/>
        </w:rPr>
        <w:t>w</w:t>
      </w:r>
      <w:r w:rsidRPr="00FB6E71">
        <w:rPr>
          <w:rFonts w:asciiTheme="minorHAnsi" w:hAnsiTheme="minorHAnsi" w:cs="Times New Roman"/>
          <w:bCs/>
          <w:sz w:val="22"/>
          <w:szCs w:val="22"/>
        </w:rPr>
        <w:t>ard/</w:t>
      </w:r>
      <w:r>
        <w:rPr>
          <w:rFonts w:asciiTheme="minorHAnsi" w:hAnsiTheme="minorHAnsi" w:cs="Times New Roman"/>
          <w:bCs/>
          <w:sz w:val="22"/>
          <w:szCs w:val="22"/>
        </w:rPr>
        <w:t>v</w:t>
      </w:r>
      <w:r w:rsidRPr="00FB6E71">
        <w:rPr>
          <w:rFonts w:asciiTheme="minorHAnsi" w:hAnsiTheme="minorHAnsi" w:cs="Times New Roman"/>
          <w:bCs/>
          <w:sz w:val="22"/>
          <w:szCs w:val="22"/>
        </w:rPr>
        <w:t>illage/</w:t>
      </w:r>
      <w:r>
        <w:rPr>
          <w:rFonts w:asciiTheme="minorHAnsi" w:hAnsiTheme="minorHAnsi" w:cs="Times New Roman"/>
          <w:bCs/>
          <w:sz w:val="22"/>
          <w:szCs w:val="22"/>
        </w:rPr>
        <w:t>d</w:t>
      </w:r>
      <w:r w:rsidRPr="00FB6E71">
        <w:rPr>
          <w:rFonts w:asciiTheme="minorHAnsi" w:hAnsiTheme="minorHAnsi" w:cs="Times New Roman"/>
          <w:bCs/>
          <w:sz w:val="22"/>
          <w:szCs w:val="22"/>
        </w:rPr>
        <w:t xml:space="preserve">istrict and </w:t>
      </w:r>
      <w:r>
        <w:rPr>
          <w:rFonts w:asciiTheme="minorHAnsi" w:hAnsiTheme="minorHAnsi" w:cs="Times New Roman"/>
          <w:bCs/>
          <w:sz w:val="22"/>
          <w:szCs w:val="22"/>
        </w:rPr>
        <w:t>e</w:t>
      </w:r>
      <w:r w:rsidRPr="00FB6E71">
        <w:rPr>
          <w:rFonts w:asciiTheme="minorHAnsi" w:hAnsiTheme="minorHAnsi" w:cs="Times New Roman"/>
          <w:bCs/>
          <w:sz w:val="22"/>
          <w:szCs w:val="22"/>
        </w:rPr>
        <w:t>mirate levels as the case may be.</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Also, in some communities in the NE, public institutions such as hospitals and schools have been converted to formal and informal camps for accommodating persons displaced by the conflict</w:t>
      </w:r>
      <w:r>
        <w:rPr>
          <w:rFonts w:asciiTheme="minorHAnsi" w:hAnsiTheme="minorHAnsi" w:cs="Times New Roman"/>
          <w:sz w:val="22"/>
          <w:szCs w:val="22"/>
        </w:rPr>
        <w:t>.</w:t>
      </w:r>
      <w:r w:rsidRPr="003106FB">
        <w:rPr>
          <w:rFonts w:asciiTheme="minorHAnsi" w:hAnsiTheme="minorHAnsi" w:cs="Times New Roman"/>
          <w:sz w:val="22"/>
          <w:szCs w:val="22"/>
        </w:rPr>
        <w:t xml:space="preserve"> </w:t>
      </w:r>
      <w:r>
        <w:rPr>
          <w:rFonts w:asciiTheme="minorHAnsi" w:hAnsiTheme="minorHAnsi" w:cs="Times New Roman"/>
          <w:bCs/>
          <w:sz w:val="22"/>
          <w:szCs w:val="22"/>
        </w:rPr>
        <w:t>A</w:t>
      </w:r>
      <w:r w:rsidRPr="00FB6E71">
        <w:rPr>
          <w:rFonts w:asciiTheme="minorHAnsi" w:hAnsiTheme="minorHAnsi" w:cs="Times New Roman"/>
          <w:bCs/>
          <w:sz w:val="22"/>
          <w:szCs w:val="22"/>
        </w:rPr>
        <w:t>s such</w:t>
      </w:r>
      <w:r>
        <w:rPr>
          <w:rFonts w:asciiTheme="minorHAnsi" w:hAnsiTheme="minorHAnsi" w:cs="Times New Roman"/>
          <w:bCs/>
          <w:sz w:val="22"/>
          <w:szCs w:val="22"/>
        </w:rPr>
        <w:t>,</w:t>
      </w:r>
      <w:r w:rsidRPr="00FB6E71">
        <w:rPr>
          <w:rFonts w:asciiTheme="minorHAnsi" w:hAnsiTheme="minorHAnsi" w:cs="Times New Roman"/>
          <w:bCs/>
          <w:sz w:val="22"/>
          <w:szCs w:val="22"/>
        </w:rPr>
        <w:t xml:space="preserve"> rehabilitation and </w:t>
      </w:r>
      <w:r w:rsidRPr="00FB6E71">
        <w:rPr>
          <w:rFonts w:asciiTheme="minorHAnsi" w:hAnsiTheme="minorHAnsi" w:cs="Times New Roman"/>
          <w:sz w:val="22"/>
          <w:szCs w:val="22"/>
        </w:rPr>
        <w:t>reestablishment</w:t>
      </w:r>
      <w:r w:rsidRPr="00FB6E71">
        <w:rPr>
          <w:rFonts w:asciiTheme="minorHAnsi" w:hAnsiTheme="minorHAnsi" w:cs="Times New Roman"/>
          <w:bCs/>
          <w:sz w:val="22"/>
          <w:szCs w:val="22"/>
        </w:rPr>
        <w:t xml:space="preserve"> of such facilities may require relocating IDP quartered in such facilities. In the event that such activities are likely to occur at </w:t>
      </w:r>
      <w:r>
        <w:rPr>
          <w:rFonts w:asciiTheme="minorHAnsi" w:hAnsiTheme="minorHAnsi" w:cs="Times New Roman"/>
          <w:bCs/>
          <w:sz w:val="22"/>
          <w:szCs w:val="22"/>
        </w:rPr>
        <w:t xml:space="preserve">the </w:t>
      </w:r>
      <w:r w:rsidRPr="00FB6E71">
        <w:rPr>
          <w:rFonts w:asciiTheme="minorHAnsi" w:hAnsiTheme="minorHAnsi" w:cs="Times New Roman"/>
          <w:bCs/>
          <w:sz w:val="22"/>
          <w:szCs w:val="22"/>
        </w:rPr>
        <w:t>implementation phase, the subproject w</w:t>
      </w:r>
      <w:r>
        <w:rPr>
          <w:rFonts w:asciiTheme="minorHAnsi" w:hAnsiTheme="minorHAnsi" w:cs="Times New Roman"/>
          <w:bCs/>
          <w:sz w:val="22"/>
          <w:szCs w:val="22"/>
        </w:rPr>
        <w:t>ill</w:t>
      </w:r>
      <w:r w:rsidRPr="00FB6E71">
        <w:rPr>
          <w:rFonts w:asciiTheme="minorHAnsi" w:hAnsiTheme="minorHAnsi" w:cs="Times New Roman"/>
          <w:bCs/>
          <w:sz w:val="22"/>
          <w:szCs w:val="22"/>
        </w:rPr>
        <w:t xml:space="preserve"> not proceed until appropriate mitigation instruments are prepared.</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lang w:bidi="en-US"/>
        </w:rPr>
        <w:t>In case any activity or subproject involves land acquisition, a</w:t>
      </w:r>
      <w:r>
        <w:rPr>
          <w:rFonts w:asciiTheme="minorHAnsi" w:hAnsiTheme="minorHAnsi" w:cs="Times New Roman"/>
          <w:sz w:val="22"/>
          <w:szCs w:val="22"/>
          <w:lang w:bidi="en-US"/>
        </w:rPr>
        <w:t>n</w:t>
      </w:r>
      <w:r w:rsidRPr="00FB6E71">
        <w:rPr>
          <w:rFonts w:asciiTheme="minorHAnsi" w:hAnsiTheme="minorHAnsi" w:cs="Times New Roman"/>
          <w:sz w:val="22"/>
          <w:szCs w:val="22"/>
          <w:lang w:bidi="en-US"/>
        </w:rPr>
        <w:t xml:space="preserve"> RAP or ARAP will be prepared in compliance with the World Bank policy and Nigerian laws </w:t>
      </w:r>
      <w:r>
        <w:rPr>
          <w:rFonts w:asciiTheme="minorHAnsi" w:hAnsiTheme="minorHAnsi" w:cs="Times New Roman"/>
          <w:sz w:val="22"/>
          <w:szCs w:val="22"/>
          <w:lang w:bidi="en-US"/>
        </w:rPr>
        <w:t>before</w:t>
      </w:r>
      <w:r w:rsidRPr="00FB6E71">
        <w:rPr>
          <w:rFonts w:asciiTheme="minorHAnsi" w:hAnsiTheme="minorHAnsi" w:cs="Times New Roman"/>
          <w:sz w:val="22"/>
          <w:szCs w:val="22"/>
          <w:lang w:bidi="en-US"/>
        </w:rPr>
        <w:t xml:space="preserve"> actual implementation of the activity or subproject. The RAP w</w:t>
      </w:r>
      <w:r>
        <w:rPr>
          <w:rFonts w:asciiTheme="minorHAnsi" w:hAnsiTheme="minorHAnsi" w:cs="Times New Roman"/>
          <w:sz w:val="22"/>
          <w:szCs w:val="22"/>
          <w:lang w:bidi="en-US"/>
        </w:rPr>
        <w:t>ill</w:t>
      </w:r>
      <w:r w:rsidRPr="00FB6E71">
        <w:rPr>
          <w:rFonts w:asciiTheme="minorHAnsi" w:hAnsiTheme="minorHAnsi" w:cs="Times New Roman"/>
          <w:sz w:val="22"/>
          <w:szCs w:val="22"/>
          <w:lang w:bidi="en-US"/>
        </w:rPr>
        <w:t xml:space="preserve"> identify the full range of people affected by the project and specify the procedures that will </w:t>
      </w:r>
      <w:r>
        <w:rPr>
          <w:rFonts w:asciiTheme="minorHAnsi" w:hAnsiTheme="minorHAnsi" w:cs="Times New Roman"/>
          <w:sz w:val="22"/>
          <w:szCs w:val="22"/>
          <w:lang w:bidi="en-US"/>
        </w:rPr>
        <w:t xml:space="preserve">be </w:t>
      </w:r>
      <w:r w:rsidRPr="00FB6E71">
        <w:rPr>
          <w:rFonts w:asciiTheme="minorHAnsi" w:hAnsiTheme="minorHAnsi" w:cs="Times New Roman"/>
          <w:sz w:val="22"/>
          <w:szCs w:val="22"/>
          <w:lang w:bidi="en-US"/>
        </w:rPr>
        <w:t>followed and the actions to be taken by the GoN to properly resettle and compensate affected people and communities The RAP w</w:t>
      </w:r>
      <w:r>
        <w:rPr>
          <w:rFonts w:asciiTheme="minorHAnsi" w:hAnsiTheme="minorHAnsi" w:cs="Times New Roman"/>
          <w:sz w:val="22"/>
          <w:szCs w:val="22"/>
          <w:lang w:bidi="en-US"/>
        </w:rPr>
        <w:t>ill</w:t>
      </w:r>
      <w:r w:rsidRPr="00FB6E71">
        <w:rPr>
          <w:rFonts w:asciiTheme="minorHAnsi" w:hAnsiTheme="minorHAnsi" w:cs="Times New Roman"/>
          <w:sz w:val="22"/>
          <w:szCs w:val="22"/>
          <w:lang w:bidi="en-US"/>
        </w:rPr>
        <w:t xml:space="preserve"> outline eligibility criteria for affected parties, establish rates of compensation for lost assets, and describe levels of assistance for relocation and reconstruction of affected households.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lang w:bidi="en-US"/>
        </w:rPr>
        <w:t>Resettlement screening process</w:t>
      </w:r>
      <w:r>
        <w:rPr>
          <w:rFonts w:asciiTheme="minorHAnsi" w:hAnsiTheme="minorHAnsi" w:cs="Times New Roman"/>
          <w:b/>
          <w:sz w:val="22"/>
          <w:szCs w:val="22"/>
          <w:lang w:bidi="en-US"/>
        </w:rPr>
        <w:t>.</w:t>
      </w:r>
      <w:r w:rsidRPr="00FB6E71">
        <w:rPr>
          <w:rFonts w:asciiTheme="minorHAnsi" w:hAnsiTheme="minorHAnsi" w:cs="Times New Roman"/>
          <w:sz w:val="22"/>
          <w:szCs w:val="22"/>
          <w:lang w:bidi="en-US"/>
        </w:rPr>
        <w:t xml:space="preserve"> The screening process consists of four steps: (a) screening of the subprojects and sites; (b) assignment of resettlement categories and preparation of an RAP; (c) review and approval of </w:t>
      </w:r>
      <w:r>
        <w:rPr>
          <w:rFonts w:asciiTheme="minorHAnsi" w:hAnsiTheme="minorHAnsi" w:cs="Times New Roman"/>
          <w:sz w:val="22"/>
          <w:szCs w:val="22"/>
          <w:lang w:bidi="en-US"/>
        </w:rPr>
        <w:t xml:space="preserve">the </w:t>
      </w:r>
      <w:r w:rsidRPr="00FB6E71">
        <w:rPr>
          <w:rFonts w:asciiTheme="minorHAnsi" w:hAnsiTheme="minorHAnsi" w:cs="Times New Roman"/>
          <w:sz w:val="22"/>
          <w:szCs w:val="22"/>
          <w:lang w:bidi="en-US"/>
        </w:rPr>
        <w:t xml:space="preserve">RAP; and (d) payment of compensations.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bCs/>
          <w:sz w:val="22"/>
          <w:szCs w:val="22"/>
        </w:rPr>
        <w:t>Grievance Redress Mechanism (GRM).</w:t>
      </w:r>
      <w:r w:rsidRPr="00FB6E71">
        <w:rPr>
          <w:rFonts w:asciiTheme="minorHAnsi" w:hAnsiTheme="minorHAnsi" w:cs="Times New Roman"/>
          <w:sz w:val="22"/>
          <w:szCs w:val="22"/>
        </w:rPr>
        <w:t xml:space="preserve"> A multilevel arrangement for registering and addressing grievances and complaints from project-affected people w</w:t>
      </w:r>
      <w:r>
        <w:rPr>
          <w:rFonts w:asciiTheme="minorHAnsi" w:hAnsiTheme="minorHAnsi" w:cs="Times New Roman"/>
          <w:sz w:val="22"/>
          <w:szCs w:val="22"/>
        </w:rPr>
        <w:t>ill</w:t>
      </w:r>
      <w:r w:rsidRPr="00FB6E71">
        <w:rPr>
          <w:rFonts w:asciiTheme="minorHAnsi" w:hAnsiTheme="minorHAnsi" w:cs="Times New Roman"/>
          <w:sz w:val="22"/>
          <w:szCs w:val="22"/>
        </w:rPr>
        <w:t xml:space="preserve"> be developed </w:t>
      </w:r>
      <w:r>
        <w:rPr>
          <w:rFonts w:asciiTheme="minorHAnsi" w:hAnsiTheme="minorHAnsi" w:cs="Times New Roman"/>
          <w:sz w:val="22"/>
          <w:szCs w:val="22"/>
        </w:rPr>
        <w:t>and adopted</w:t>
      </w:r>
      <w:r w:rsidR="004B52BD">
        <w:rPr>
          <w:rFonts w:asciiTheme="minorHAnsi" w:hAnsiTheme="minorHAnsi" w:cs="Times New Roman"/>
          <w:sz w:val="22"/>
          <w:szCs w:val="22"/>
        </w:rPr>
        <w:t xml:space="preserve"> </w:t>
      </w:r>
      <w:r>
        <w:rPr>
          <w:rFonts w:asciiTheme="minorHAnsi" w:hAnsiTheme="minorHAnsi" w:cs="Times New Roman"/>
          <w:sz w:val="22"/>
          <w:szCs w:val="22"/>
        </w:rPr>
        <w:t>at the early stage of project implementation</w:t>
      </w:r>
      <w:r w:rsidRPr="00FB6E71">
        <w:rPr>
          <w:rFonts w:asciiTheme="minorHAnsi" w:hAnsiTheme="minorHAnsi" w:cs="Times New Roman"/>
          <w:sz w:val="22"/>
          <w:szCs w:val="22"/>
        </w:rPr>
        <w:t xml:space="preserve">. The primary </w:t>
      </w:r>
      <w:r w:rsidRPr="00FB6E71">
        <w:rPr>
          <w:rFonts w:asciiTheme="minorHAnsi" w:hAnsiTheme="minorHAnsi" w:cs="Times New Roman"/>
          <w:sz w:val="22"/>
          <w:szCs w:val="22"/>
          <w:lang w:bidi="en-US"/>
        </w:rPr>
        <w:t>purpose</w:t>
      </w:r>
      <w:r w:rsidRPr="00FB6E71">
        <w:rPr>
          <w:rFonts w:asciiTheme="minorHAnsi" w:hAnsiTheme="minorHAnsi" w:cs="Times New Roman"/>
          <w:sz w:val="22"/>
          <w:szCs w:val="22"/>
        </w:rPr>
        <w:t xml:space="preserve"> of the project’s </w:t>
      </w:r>
      <w:r>
        <w:rPr>
          <w:rFonts w:asciiTheme="minorHAnsi" w:hAnsiTheme="minorHAnsi" w:cs="Times New Roman"/>
          <w:sz w:val="22"/>
          <w:szCs w:val="22"/>
        </w:rPr>
        <w:t>GRM</w:t>
      </w:r>
      <w:r w:rsidRPr="00FB6E71">
        <w:rPr>
          <w:rFonts w:asciiTheme="minorHAnsi" w:hAnsiTheme="minorHAnsi" w:cs="Times New Roman"/>
          <w:sz w:val="22"/>
          <w:szCs w:val="22"/>
        </w:rPr>
        <w:t xml:space="preserve"> is to provide clear and accountable means for affected persons to raise complaints and seek remedies when they believe they have been harmed by the project. An effective and responsive </w:t>
      </w:r>
      <w:r>
        <w:rPr>
          <w:rFonts w:asciiTheme="minorHAnsi" w:hAnsiTheme="minorHAnsi" w:cs="Times New Roman"/>
          <w:sz w:val="22"/>
          <w:szCs w:val="22"/>
        </w:rPr>
        <w:t>GRM</w:t>
      </w:r>
      <w:r w:rsidRPr="00FB6E71">
        <w:rPr>
          <w:rFonts w:asciiTheme="minorHAnsi" w:hAnsiTheme="minorHAnsi" w:cs="Times New Roman"/>
          <w:sz w:val="22"/>
          <w:szCs w:val="22"/>
        </w:rPr>
        <w:t xml:space="preserve"> also facilitates project progress by reducing the risk that unaddressed complaints eventually lead to construction delays, lengthy court procedures, or adverse public attention. </w:t>
      </w:r>
      <w:r>
        <w:rPr>
          <w:rFonts w:asciiTheme="minorHAnsi" w:hAnsiTheme="minorHAnsi" w:cs="Times New Roman"/>
          <w:sz w:val="22"/>
          <w:szCs w:val="22"/>
        </w:rPr>
        <w:t>Be</w:t>
      </w:r>
      <w:r w:rsidRPr="00FB6E71">
        <w:rPr>
          <w:rFonts w:asciiTheme="minorHAnsi" w:hAnsiTheme="minorHAnsi" w:cs="Times New Roman"/>
          <w:sz w:val="22"/>
          <w:szCs w:val="22"/>
        </w:rPr>
        <w:t xml:space="preserve">side the project-specific GRM, communities and individuals may submit complaints to the World Bank’s </w:t>
      </w:r>
      <w:r>
        <w:rPr>
          <w:rFonts w:asciiTheme="minorHAnsi" w:hAnsiTheme="minorHAnsi" w:cs="Times New Roman"/>
          <w:sz w:val="22"/>
          <w:szCs w:val="22"/>
        </w:rPr>
        <w:t>GRS</w:t>
      </w:r>
      <w:r w:rsidRPr="00FB6E71">
        <w:rPr>
          <w:rFonts w:asciiTheme="minorHAnsi" w:hAnsiTheme="minorHAnsi" w:cs="Times New Roman"/>
          <w:i/>
          <w:sz w:val="22"/>
          <w:szCs w:val="22"/>
          <w:lang w:bidi="en-US"/>
        </w:rPr>
        <w:t xml:space="preserv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sz w:val="22"/>
          <w:szCs w:val="22"/>
        </w:rPr>
        <w:t>Third-party monitoring</w:t>
      </w:r>
      <w:r>
        <w:rPr>
          <w:rFonts w:asciiTheme="minorHAnsi" w:hAnsiTheme="minorHAnsi" w:cs="Times New Roman"/>
          <w:b/>
          <w:sz w:val="22"/>
          <w:szCs w:val="22"/>
        </w:rPr>
        <w:t>.</w:t>
      </w:r>
      <w:r w:rsidRPr="00FB6E71">
        <w:rPr>
          <w:rFonts w:asciiTheme="minorHAnsi" w:hAnsiTheme="minorHAnsi" w:cs="Times New Roman"/>
          <w:sz w:val="22"/>
          <w:szCs w:val="22"/>
        </w:rPr>
        <w:t xml:space="preserve"> The monitoring of safeguards compliance during project implantation, especially during and after construction </w:t>
      </w:r>
      <w:r w:rsidRPr="00FB6E71">
        <w:rPr>
          <w:rFonts w:asciiTheme="minorHAnsi" w:hAnsiTheme="minorHAnsi" w:cs="Times New Roman"/>
          <w:sz w:val="22"/>
          <w:szCs w:val="22"/>
          <w:lang w:bidi="en-US"/>
        </w:rPr>
        <w:t>works</w:t>
      </w:r>
      <w:r w:rsidRPr="00FB6E71">
        <w:rPr>
          <w:rFonts w:asciiTheme="minorHAnsi" w:hAnsiTheme="minorHAnsi" w:cs="Times New Roman"/>
          <w:sz w:val="22"/>
          <w:szCs w:val="22"/>
        </w:rPr>
        <w:t>, is challenged by the currently poor security situation</w:t>
      </w:r>
      <w:r>
        <w:rPr>
          <w:rFonts w:asciiTheme="minorHAnsi" w:hAnsiTheme="minorHAnsi" w:cs="Times New Roman"/>
          <w:sz w:val="22"/>
          <w:szCs w:val="22"/>
        </w:rPr>
        <w:t xml:space="preserve"> and</w:t>
      </w:r>
      <w:r w:rsidRPr="00FB6E71">
        <w:rPr>
          <w:rFonts w:asciiTheme="minorHAnsi" w:hAnsiTheme="minorHAnsi" w:cs="Times New Roman"/>
          <w:sz w:val="22"/>
          <w:szCs w:val="22"/>
        </w:rPr>
        <w:t xml:space="preserve"> severe access restriction. To this end, safeguards monitoring will be included into the ToR for a third-party monitoring consultant, who will be responsible for ensuring compliance. The ToR for the consultant will have strong field presence </w:t>
      </w:r>
      <w:r>
        <w:rPr>
          <w:rFonts w:asciiTheme="minorHAnsi" w:hAnsiTheme="minorHAnsi" w:cs="Times New Roman"/>
          <w:sz w:val="22"/>
          <w:szCs w:val="22"/>
        </w:rPr>
        <w:t>through</w:t>
      </w:r>
      <w:r w:rsidRPr="00FB6E71">
        <w:rPr>
          <w:rFonts w:asciiTheme="minorHAnsi" w:hAnsiTheme="minorHAnsi" w:cs="Times New Roman"/>
          <w:sz w:val="22"/>
          <w:szCs w:val="22"/>
        </w:rPr>
        <w:t xml:space="preserve"> local agents and will cover key areas and construction activities. The ToR will further specify a detailed methodology and approach for safeguards monitoring, recording</w:t>
      </w:r>
      <w:r>
        <w:rPr>
          <w:rFonts w:asciiTheme="minorHAnsi" w:hAnsiTheme="minorHAnsi" w:cs="Times New Roman"/>
          <w:sz w:val="22"/>
          <w:szCs w:val="22"/>
        </w:rPr>
        <w:t>,</w:t>
      </w:r>
      <w:r w:rsidRPr="00FB6E71">
        <w:rPr>
          <w:rFonts w:asciiTheme="minorHAnsi" w:hAnsiTheme="minorHAnsi" w:cs="Times New Roman"/>
          <w:sz w:val="22"/>
          <w:szCs w:val="22"/>
        </w:rPr>
        <w:t xml:space="preserve"> and reporting as well as measure</w:t>
      </w:r>
      <w:r>
        <w:rPr>
          <w:rFonts w:asciiTheme="minorHAnsi" w:hAnsiTheme="minorHAnsi" w:cs="Times New Roman"/>
          <w:sz w:val="22"/>
          <w:szCs w:val="22"/>
        </w:rPr>
        <w:t>s</w:t>
      </w:r>
      <w:r w:rsidRPr="00FB6E71">
        <w:rPr>
          <w:rFonts w:asciiTheme="minorHAnsi" w:hAnsiTheme="minorHAnsi" w:cs="Times New Roman"/>
          <w:sz w:val="22"/>
          <w:szCs w:val="22"/>
        </w:rPr>
        <w:t xml:space="preserve"> for rectification in case of noncompliance.</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bCs/>
          <w:sz w:val="22"/>
          <w:szCs w:val="22"/>
        </w:rPr>
        <w:t>Gender</w:t>
      </w:r>
      <w:r>
        <w:rPr>
          <w:rFonts w:asciiTheme="minorHAnsi" w:hAnsiTheme="minorHAnsi" w:cs="Times New Roman"/>
          <w:b/>
          <w:bCs/>
          <w:sz w:val="22"/>
          <w:szCs w:val="22"/>
        </w:rPr>
        <w:t>.</w:t>
      </w:r>
      <w:r w:rsidRPr="00FB6E71">
        <w:rPr>
          <w:rFonts w:asciiTheme="minorHAnsi" w:hAnsiTheme="minorHAnsi" w:cs="Times New Roman"/>
          <w:sz w:val="22"/>
          <w:szCs w:val="22"/>
        </w:rPr>
        <w:t xml:space="preserve"> Women comprise a sizeable percentage of the population living in </w:t>
      </w:r>
      <w:r>
        <w:rPr>
          <w:rFonts w:asciiTheme="minorHAnsi" w:hAnsiTheme="minorHAnsi" w:cs="Times New Roman"/>
          <w:sz w:val="22"/>
          <w:szCs w:val="22"/>
        </w:rPr>
        <w:t xml:space="preserve">the </w:t>
      </w:r>
      <w:r w:rsidRPr="00FB6E71">
        <w:rPr>
          <w:rFonts w:asciiTheme="minorHAnsi" w:hAnsiTheme="minorHAnsi" w:cs="Times New Roman"/>
          <w:sz w:val="22"/>
          <w:szCs w:val="22"/>
        </w:rPr>
        <w:t>project areas. To address the differentiated needs of women and men throughout the project implementation, consultations will be carried out in a gender</w:t>
      </w:r>
      <w:r>
        <w:rPr>
          <w:rFonts w:asciiTheme="minorHAnsi" w:hAnsiTheme="minorHAnsi" w:cs="Times New Roman"/>
          <w:sz w:val="22"/>
          <w:szCs w:val="22"/>
        </w:rPr>
        <w:t>-</w:t>
      </w:r>
      <w:r w:rsidRPr="00FB6E71">
        <w:rPr>
          <w:rFonts w:asciiTheme="minorHAnsi" w:hAnsiTheme="minorHAnsi" w:cs="Times New Roman"/>
          <w:sz w:val="22"/>
          <w:szCs w:val="22"/>
          <w:lang w:bidi="en-US"/>
        </w:rPr>
        <w:t>sensitive</w:t>
      </w:r>
      <w:r w:rsidRPr="00FB6E71">
        <w:rPr>
          <w:rFonts w:asciiTheme="minorHAnsi" w:hAnsiTheme="minorHAnsi" w:cs="Times New Roman"/>
          <w:sz w:val="22"/>
          <w:szCs w:val="22"/>
        </w:rPr>
        <w:t xml:space="preserve"> approach and gender-responsive measures will be reflected in the design and evaluation of the project. Gender</w:t>
      </w:r>
      <w:r>
        <w:rPr>
          <w:rFonts w:asciiTheme="minorHAnsi" w:hAnsiTheme="minorHAnsi" w:cs="Times New Roman"/>
          <w:sz w:val="22"/>
          <w:szCs w:val="22"/>
        </w:rPr>
        <w:t>-</w:t>
      </w:r>
      <w:r w:rsidRPr="00FB6E71">
        <w:rPr>
          <w:rFonts w:asciiTheme="minorHAnsi" w:hAnsiTheme="minorHAnsi" w:cs="Times New Roman"/>
          <w:sz w:val="22"/>
          <w:szCs w:val="22"/>
        </w:rPr>
        <w:t>responsive measures include quantitative and qualitative instruments through the implementation of sex-disaggregated surveys and gender focus groups, respectively.</w:t>
      </w:r>
      <w:r w:rsidRPr="00FB6E71">
        <w:rPr>
          <w:rFonts w:asciiTheme="minorHAnsi" w:hAnsiTheme="minorHAnsi" w:cs="Times New Roman"/>
          <w:i/>
          <w:sz w:val="22"/>
          <w:szCs w:val="22"/>
          <w:lang w:bidi="en-US"/>
        </w:rPr>
        <w:t xml:space="preserve"> </w:t>
      </w:r>
      <w:r w:rsidRPr="00FB6E71">
        <w:rPr>
          <w:rFonts w:asciiTheme="minorHAnsi" w:hAnsiTheme="minorHAnsi" w:cs="Times New Roman"/>
          <w:sz w:val="22"/>
          <w:szCs w:val="22"/>
        </w:rPr>
        <w:t xml:space="preserve">Overall, the </w:t>
      </w:r>
      <w:r>
        <w:rPr>
          <w:rFonts w:asciiTheme="minorHAnsi" w:hAnsiTheme="minorHAnsi" w:cs="Times New Roman"/>
          <w:sz w:val="22"/>
          <w:szCs w:val="22"/>
        </w:rPr>
        <w:t>p</w:t>
      </w:r>
      <w:r w:rsidRPr="00FB6E71">
        <w:rPr>
          <w:rFonts w:asciiTheme="minorHAnsi" w:hAnsiTheme="minorHAnsi" w:cs="Times New Roman"/>
          <w:sz w:val="22"/>
          <w:szCs w:val="22"/>
        </w:rPr>
        <w:t xml:space="preserve">roject’s outcomes—improved utility delivery and access to public services—are expected to provide proportionally higher benefits to women, as they are more likely to be tasked with the management of households and the associated chores. </w:t>
      </w:r>
    </w:p>
    <w:p w:rsidR="007F2DE7" w:rsidRPr="00FB6E71" w:rsidP="007F2DE7">
      <w:pPr>
        <w:keepNext/>
        <w:keepLines/>
        <w:widowControl/>
        <w:spacing w:after="240"/>
        <w:ind w:left="-634"/>
        <w:rPr>
          <w:rFonts w:asciiTheme="minorHAnsi" w:hAnsiTheme="minorHAnsi"/>
          <w:i/>
          <w:color w:val="auto"/>
          <w:sz w:val="22"/>
          <w:szCs w:val="22"/>
        </w:rPr>
      </w:pPr>
      <w:r w:rsidRPr="00FB6E71">
        <w:rPr>
          <w:rFonts w:asciiTheme="minorHAnsi" w:hAnsiTheme="minorHAnsi"/>
          <w:i/>
          <w:color w:val="auto"/>
          <w:sz w:val="22"/>
          <w:szCs w:val="22"/>
        </w:rPr>
        <w:t>Safeguards Implementation and Monitoring</w:t>
      </w:r>
    </w:p>
    <w:p w:rsidR="007F2DE7" w:rsidRPr="003106FB"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The World Bank.</w:t>
      </w:r>
      <w:r w:rsidRPr="003106FB">
        <w:rPr>
          <w:rFonts w:asciiTheme="minorHAnsi" w:hAnsiTheme="minorHAnsi" w:cs="Times New Roman"/>
          <w:sz w:val="22"/>
          <w:szCs w:val="22"/>
        </w:rPr>
        <w:t xml:space="preserve"> The World Bank shall review and clear ToR that will be prepared by the client. The World Bank sha</w:t>
      </w:r>
      <w:r>
        <w:rPr>
          <w:rFonts w:asciiTheme="minorHAnsi" w:hAnsiTheme="minorHAnsi" w:cs="Times New Roman"/>
          <w:sz w:val="22"/>
          <w:szCs w:val="22"/>
        </w:rPr>
        <w:t>ll</w:t>
      </w:r>
      <w:r w:rsidRPr="003106FB">
        <w:rPr>
          <w:rFonts w:asciiTheme="minorHAnsi" w:hAnsiTheme="minorHAnsi" w:cs="Times New Roman"/>
          <w:sz w:val="22"/>
          <w:szCs w:val="22"/>
        </w:rPr>
        <w:t xml:space="preserve"> review and clear the report of the screening and scoping exercise, including the confirmation of the EA category, the safeguard policies triggered</w:t>
      </w:r>
      <w:r>
        <w:rPr>
          <w:rFonts w:asciiTheme="minorHAnsi" w:hAnsiTheme="minorHAnsi" w:cs="Times New Roman"/>
          <w:sz w:val="22"/>
          <w:szCs w:val="22"/>
        </w:rPr>
        <w:t>,</w:t>
      </w:r>
      <w:r w:rsidRPr="003106FB">
        <w:rPr>
          <w:rFonts w:asciiTheme="minorHAnsi" w:hAnsiTheme="minorHAnsi" w:cs="Times New Roman"/>
          <w:sz w:val="22"/>
          <w:szCs w:val="22"/>
        </w:rPr>
        <w:t xml:space="preserve"> and the choice of the most appr</w:t>
      </w:r>
      <w:r>
        <w:rPr>
          <w:rFonts w:asciiTheme="minorHAnsi" w:hAnsiTheme="minorHAnsi" w:cs="Times New Roman"/>
          <w:sz w:val="22"/>
          <w:szCs w:val="22"/>
        </w:rPr>
        <w:t>opriate</w:t>
      </w:r>
      <w:r w:rsidRPr="003106FB">
        <w:rPr>
          <w:rFonts w:asciiTheme="minorHAnsi" w:hAnsiTheme="minorHAnsi" w:cs="Times New Roman"/>
          <w:sz w:val="22"/>
          <w:szCs w:val="22"/>
        </w:rPr>
        <w:t xml:space="preserve"> safeguards instrument that will be prepared by the client. The World Bank shall review and clear site</w:t>
      </w:r>
      <w:r>
        <w:rPr>
          <w:rFonts w:asciiTheme="minorHAnsi" w:hAnsiTheme="minorHAnsi" w:cs="Times New Roman"/>
          <w:sz w:val="22"/>
          <w:szCs w:val="22"/>
        </w:rPr>
        <w:t>-</w:t>
      </w:r>
      <w:r w:rsidRPr="003106FB">
        <w:rPr>
          <w:rFonts w:asciiTheme="minorHAnsi" w:hAnsiTheme="minorHAnsi" w:cs="Times New Roman"/>
          <w:sz w:val="22"/>
          <w:szCs w:val="22"/>
        </w:rPr>
        <w:t>specific safeguards instruments (ESIA, ESMP, RAP</w:t>
      </w:r>
      <w:r>
        <w:rPr>
          <w:rFonts w:asciiTheme="minorHAnsi" w:hAnsiTheme="minorHAnsi" w:cs="Times New Roman"/>
          <w:sz w:val="22"/>
          <w:szCs w:val="22"/>
        </w:rPr>
        <w:t>,</w:t>
      </w:r>
      <w:r w:rsidRPr="003106FB">
        <w:rPr>
          <w:rFonts w:asciiTheme="minorHAnsi" w:hAnsiTheme="minorHAnsi" w:cs="Times New Roman"/>
          <w:sz w:val="22"/>
          <w:szCs w:val="22"/>
        </w:rPr>
        <w:t xml:space="preserve"> and </w:t>
      </w:r>
      <w:r>
        <w:rPr>
          <w:rFonts w:asciiTheme="minorHAnsi" w:hAnsiTheme="minorHAnsi" w:cs="Times New Roman"/>
          <w:sz w:val="22"/>
          <w:szCs w:val="22"/>
        </w:rPr>
        <w:t>a</w:t>
      </w:r>
      <w:r w:rsidRPr="003106FB">
        <w:rPr>
          <w:rFonts w:asciiTheme="minorHAnsi" w:hAnsiTheme="minorHAnsi" w:cs="Times New Roman"/>
          <w:sz w:val="22"/>
          <w:szCs w:val="22"/>
        </w:rPr>
        <w:t>udit). The World Bank task team will provide technical guidance and supervision as needed.</w:t>
      </w:r>
    </w:p>
    <w:p w:rsidR="007F2DE7" w:rsidRPr="003106FB"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The borrower.</w:t>
      </w:r>
      <w:r w:rsidRPr="003106FB">
        <w:rPr>
          <w:rFonts w:asciiTheme="minorHAnsi" w:hAnsiTheme="minorHAnsi" w:cs="Times New Roman"/>
          <w:sz w:val="22"/>
          <w:szCs w:val="22"/>
        </w:rPr>
        <w:t xml:space="preserve"> The </w:t>
      </w:r>
      <w:r>
        <w:rPr>
          <w:rFonts w:asciiTheme="minorHAnsi" w:hAnsiTheme="minorHAnsi" w:cs="Times New Roman"/>
          <w:sz w:val="22"/>
          <w:szCs w:val="22"/>
        </w:rPr>
        <w:t>B</w:t>
      </w:r>
      <w:r w:rsidRPr="003106FB">
        <w:rPr>
          <w:rFonts w:asciiTheme="minorHAnsi" w:hAnsiTheme="minorHAnsi" w:cs="Times New Roman"/>
          <w:sz w:val="22"/>
          <w:szCs w:val="22"/>
        </w:rPr>
        <w:t xml:space="preserve">orrower will be responsible for ensuring that </w:t>
      </w:r>
      <w:r>
        <w:rPr>
          <w:rFonts w:asciiTheme="minorHAnsi" w:hAnsiTheme="minorHAnsi" w:cs="Times New Roman"/>
          <w:sz w:val="22"/>
          <w:szCs w:val="22"/>
        </w:rPr>
        <w:t xml:space="preserve">the </w:t>
      </w:r>
      <w:r w:rsidRPr="003106FB">
        <w:rPr>
          <w:rFonts w:asciiTheme="minorHAnsi" w:hAnsiTheme="minorHAnsi" w:cs="Times New Roman"/>
          <w:sz w:val="22"/>
          <w:szCs w:val="22"/>
        </w:rPr>
        <w:t xml:space="preserve">World Bank </w:t>
      </w:r>
      <w:r>
        <w:rPr>
          <w:rFonts w:asciiTheme="minorHAnsi" w:hAnsiTheme="minorHAnsi" w:cs="Times New Roman"/>
          <w:sz w:val="22"/>
          <w:szCs w:val="22"/>
        </w:rPr>
        <w:t>s</w:t>
      </w:r>
      <w:r w:rsidRPr="003106FB">
        <w:rPr>
          <w:rFonts w:asciiTheme="minorHAnsi" w:hAnsiTheme="minorHAnsi" w:cs="Times New Roman"/>
          <w:sz w:val="22"/>
          <w:szCs w:val="22"/>
        </w:rPr>
        <w:t xml:space="preserve">afeguards </w:t>
      </w:r>
      <w:r>
        <w:rPr>
          <w:rFonts w:asciiTheme="minorHAnsi" w:hAnsiTheme="minorHAnsi" w:cs="Times New Roman"/>
          <w:sz w:val="22"/>
          <w:szCs w:val="22"/>
        </w:rPr>
        <w:t>p</w:t>
      </w:r>
      <w:r w:rsidRPr="003106FB">
        <w:rPr>
          <w:rFonts w:asciiTheme="minorHAnsi" w:hAnsiTheme="minorHAnsi" w:cs="Times New Roman"/>
          <w:sz w:val="22"/>
          <w:szCs w:val="22"/>
        </w:rPr>
        <w:t>olicies and the extant EIA laws in Nigeria are complied with. Specifically, the responsibility for the implementation of the above</w:t>
      </w:r>
      <w:r>
        <w:rPr>
          <w:rFonts w:asciiTheme="minorHAnsi" w:hAnsiTheme="minorHAnsi" w:cs="Times New Roman"/>
          <w:sz w:val="22"/>
          <w:szCs w:val="22"/>
        </w:rPr>
        <w:t>-</w:t>
      </w:r>
      <w:r w:rsidRPr="003106FB">
        <w:rPr>
          <w:rFonts w:asciiTheme="minorHAnsi" w:hAnsiTheme="minorHAnsi" w:cs="Times New Roman"/>
          <w:sz w:val="22"/>
          <w:szCs w:val="22"/>
        </w:rPr>
        <w:t xml:space="preserve">described safeguards instruments and processes will be with the ESSU of the overall PCU that will be responsible for compliance with Nigeria’s environmental regulations, as well as the World Bank’s E&amp;S safeguards policies. </w:t>
      </w:r>
    </w:p>
    <w:p w:rsidR="007F2DE7" w:rsidRPr="003106FB"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The PCU.</w:t>
      </w:r>
      <w:r w:rsidRPr="003106FB">
        <w:rPr>
          <w:rFonts w:asciiTheme="minorHAnsi" w:hAnsiTheme="minorHAnsi" w:cs="Times New Roman"/>
          <w:sz w:val="22"/>
          <w:szCs w:val="22"/>
        </w:rPr>
        <w:t xml:space="preserve"> The PCU in each state is the de facto proponent of the MCRP. The PCUs shall ensure that the project complies with </w:t>
      </w:r>
      <w:r>
        <w:rPr>
          <w:rFonts w:asciiTheme="minorHAnsi" w:hAnsiTheme="minorHAnsi" w:cs="Times New Roman"/>
          <w:sz w:val="22"/>
          <w:szCs w:val="22"/>
        </w:rPr>
        <w:t xml:space="preserve">the </w:t>
      </w:r>
      <w:r w:rsidRPr="003106FB">
        <w:rPr>
          <w:rFonts w:asciiTheme="minorHAnsi" w:hAnsiTheme="minorHAnsi" w:cs="Times New Roman"/>
          <w:sz w:val="22"/>
          <w:szCs w:val="22"/>
        </w:rPr>
        <w:t xml:space="preserve">World Bank safeguards </w:t>
      </w:r>
      <w:r>
        <w:rPr>
          <w:rFonts w:asciiTheme="minorHAnsi" w:hAnsiTheme="minorHAnsi" w:cs="Times New Roman"/>
          <w:sz w:val="22"/>
          <w:szCs w:val="22"/>
        </w:rPr>
        <w:t>p</w:t>
      </w:r>
      <w:r w:rsidRPr="003106FB">
        <w:rPr>
          <w:rFonts w:asciiTheme="minorHAnsi" w:hAnsiTheme="minorHAnsi" w:cs="Times New Roman"/>
          <w:sz w:val="22"/>
          <w:szCs w:val="22"/>
        </w:rPr>
        <w:t xml:space="preserve">olicies and the existing EIA laws of Nigeria. The PCUs will ensure that no contracts for works that have a physical impact are signed </w:t>
      </w:r>
      <w:r>
        <w:rPr>
          <w:rFonts w:asciiTheme="minorHAnsi" w:hAnsiTheme="minorHAnsi" w:cs="Times New Roman"/>
          <w:sz w:val="22"/>
          <w:szCs w:val="22"/>
        </w:rPr>
        <w:t>and no</w:t>
      </w:r>
      <w:r w:rsidRPr="003106FB">
        <w:rPr>
          <w:rFonts w:asciiTheme="minorHAnsi" w:hAnsiTheme="minorHAnsi" w:cs="Times New Roman"/>
          <w:sz w:val="22"/>
          <w:szCs w:val="22"/>
        </w:rPr>
        <w:t xml:space="preserve"> reconstruction or rehabilitation of </w:t>
      </w:r>
      <w:r>
        <w:rPr>
          <w:rFonts w:asciiTheme="minorHAnsi" w:hAnsiTheme="minorHAnsi" w:cs="Times New Roman"/>
          <w:sz w:val="22"/>
          <w:szCs w:val="22"/>
        </w:rPr>
        <w:t xml:space="preserve">the </w:t>
      </w:r>
      <w:r w:rsidRPr="003106FB">
        <w:rPr>
          <w:rFonts w:asciiTheme="minorHAnsi" w:hAnsiTheme="minorHAnsi" w:cs="Times New Roman"/>
          <w:sz w:val="22"/>
          <w:szCs w:val="22"/>
        </w:rPr>
        <w:t>proposed activities start without the required safeguards instruments in place.</w:t>
      </w:r>
    </w:p>
    <w:p w:rsidR="007F2DE7" w:rsidRPr="003106FB"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The ESSU of the PCU.</w:t>
      </w:r>
      <w:r w:rsidRPr="003106FB">
        <w:rPr>
          <w:rFonts w:asciiTheme="minorHAnsi" w:hAnsiTheme="minorHAnsi" w:cs="Times New Roman"/>
          <w:sz w:val="22"/>
          <w:szCs w:val="22"/>
        </w:rPr>
        <w:t xml:space="preserve"> The ESSU of the PCU shall be the anchor of all safeguards activities and repository of all safeguards documents of the project. The ESSU will be responsible for ensuring the timely commencement of the preparation of ESMPs and</w:t>
      </w:r>
      <w:r>
        <w:rPr>
          <w:rFonts w:asciiTheme="minorHAnsi" w:hAnsiTheme="minorHAnsi" w:cs="Times New Roman"/>
          <w:sz w:val="22"/>
          <w:szCs w:val="22"/>
        </w:rPr>
        <w:t>,</w:t>
      </w:r>
      <w:r w:rsidRPr="003106FB">
        <w:rPr>
          <w:rFonts w:asciiTheme="minorHAnsi" w:hAnsiTheme="minorHAnsi" w:cs="Times New Roman"/>
          <w:sz w:val="22"/>
          <w:szCs w:val="22"/>
        </w:rPr>
        <w:t xml:space="preserve"> as the case may</w:t>
      </w:r>
      <w:r>
        <w:rPr>
          <w:rFonts w:asciiTheme="minorHAnsi" w:hAnsiTheme="minorHAnsi" w:cs="Times New Roman"/>
          <w:sz w:val="22"/>
          <w:szCs w:val="22"/>
        </w:rPr>
        <w:t xml:space="preserve"> </w:t>
      </w:r>
      <w:r w:rsidRPr="003106FB">
        <w:rPr>
          <w:rFonts w:asciiTheme="minorHAnsi" w:hAnsiTheme="minorHAnsi" w:cs="Times New Roman"/>
          <w:sz w:val="22"/>
          <w:szCs w:val="22"/>
        </w:rPr>
        <w:t>be</w:t>
      </w:r>
      <w:r>
        <w:rPr>
          <w:rFonts w:asciiTheme="minorHAnsi" w:hAnsiTheme="minorHAnsi" w:cs="Times New Roman"/>
          <w:sz w:val="22"/>
          <w:szCs w:val="22"/>
        </w:rPr>
        <w:t>,</w:t>
      </w:r>
      <w:r w:rsidRPr="003106FB">
        <w:rPr>
          <w:rFonts w:asciiTheme="minorHAnsi" w:hAnsiTheme="minorHAnsi" w:cs="Times New Roman"/>
          <w:sz w:val="22"/>
          <w:szCs w:val="22"/>
        </w:rPr>
        <w:t xml:space="preserve"> the limited ESIAs or RAPs/ARAPs as needed. To this end, the unit shall have </w:t>
      </w:r>
      <w:r>
        <w:rPr>
          <w:rFonts w:asciiTheme="minorHAnsi" w:hAnsiTheme="minorHAnsi" w:cs="Times New Roman"/>
          <w:sz w:val="22"/>
          <w:szCs w:val="22"/>
        </w:rPr>
        <w:t xml:space="preserve">one </w:t>
      </w:r>
      <w:r w:rsidRPr="003106FB">
        <w:rPr>
          <w:rFonts w:asciiTheme="minorHAnsi" w:hAnsiTheme="minorHAnsi" w:cs="Times New Roman"/>
          <w:sz w:val="22"/>
          <w:szCs w:val="22"/>
        </w:rPr>
        <w:t xml:space="preserve">suitably qualified Environmental Officer and </w:t>
      </w:r>
      <w:r>
        <w:rPr>
          <w:rFonts w:asciiTheme="minorHAnsi" w:hAnsiTheme="minorHAnsi" w:cs="Times New Roman"/>
          <w:sz w:val="22"/>
          <w:szCs w:val="22"/>
        </w:rPr>
        <w:t xml:space="preserve">one </w:t>
      </w:r>
      <w:r w:rsidRPr="003106FB">
        <w:rPr>
          <w:rFonts w:asciiTheme="minorHAnsi" w:hAnsiTheme="minorHAnsi" w:cs="Times New Roman"/>
          <w:sz w:val="22"/>
          <w:szCs w:val="22"/>
        </w:rPr>
        <w:t xml:space="preserve">Social Safeguards Officer </w:t>
      </w:r>
      <w:r>
        <w:rPr>
          <w:rFonts w:asciiTheme="minorHAnsi" w:hAnsiTheme="minorHAnsi" w:cs="Times New Roman"/>
          <w:sz w:val="22"/>
          <w:szCs w:val="22"/>
        </w:rPr>
        <w:t>who</w:t>
      </w:r>
      <w:r w:rsidRPr="003106FB">
        <w:rPr>
          <w:rFonts w:asciiTheme="minorHAnsi" w:hAnsiTheme="minorHAnsi" w:cs="Times New Roman"/>
          <w:sz w:val="22"/>
          <w:szCs w:val="22"/>
        </w:rPr>
        <w:t xml:space="preserve"> will be assisted by support staff as needed. The Environmental and Social Safeguard Offices shall ensure that safeguards</w:t>
      </w:r>
      <w:r>
        <w:rPr>
          <w:rFonts w:asciiTheme="minorHAnsi" w:hAnsiTheme="minorHAnsi" w:cs="Times New Roman"/>
          <w:sz w:val="22"/>
          <w:szCs w:val="22"/>
        </w:rPr>
        <w:t>-</w:t>
      </w:r>
      <w:r w:rsidRPr="003106FB">
        <w:rPr>
          <w:rFonts w:asciiTheme="minorHAnsi" w:hAnsiTheme="minorHAnsi" w:cs="Times New Roman"/>
          <w:sz w:val="22"/>
          <w:szCs w:val="22"/>
        </w:rPr>
        <w:t>related activities are included in the annual work plan and PP of the project. These officers shall prepare ToRs</w:t>
      </w:r>
      <w:r>
        <w:rPr>
          <w:rFonts w:asciiTheme="minorHAnsi" w:hAnsiTheme="minorHAnsi" w:cs="Times New Roman"/>
          <w:sz w:val="22"/>
          <w:szCs w:val="22"/>
        </w:rPr>
        <w:t>;</w:t>
      </w:r>
      <w:r w:rsidRPr="003106FB">
        <w:rPr>
          <w:rFonts w:asciiTheme="minorHAnsi" w:hAnsiTheme="minorHAnsi" w:cs="Times New Roman"/>
          <w:sz w:val="22"/>
          <w:szCs w:val="22"/>
        </w:rPr>
        <w:t xml:space="preserve"> carry out the screening and scoping of </w:t>
      </w:r>
      <w:r>
        <w:rPr>
          <w:rFonts w:asciiTheme="minorHAnsi" w:hAnsiTheme="minorHAnsi" w:cs="Times New Roman"/>
          <w:sz w:val="22"/>
          <w:szCs w:val="22"/>
        </w:rPr>
        <w:t xml:space="preserve">the </w:t>
      </w:r>
      <w:r w:rsidRPr="003106FB">
        <w:rPr>
          <w:rFonts w:asciiTheme="minorHAnsi" w:hAnsiTheme="minorHAnsi" w:cs="Times New Roman"/>
          <w:sz w:val="22"/>
          <w:szCs w:val="22"/>
        </w:rPr>
        <w:t>proposed project activities</w:t>
      </w:r>
      <w:r>
        <w:rPr>
          <w:rFonts w:asciiTheme="minorHAnsi" w:hAnsiTheme="minorHAnsi" w:cs="Times New Roman"/>
          <w:sz w:val="22"/>
          <w:szCs w:val="22"/>
        </w:rPr>
        <w:t>;</w:t>
      </w:r>
      <w:r w:rsidRPr="003106FB">
        <w:rPr>
          <w:rFonts w:asciiTheme="minorHAnsi" w:hAnsiTheme="minorHAnsi" w:cs="Times New Roman"/>
          <w:sz w:val="22"/>
          <w:szCs w:val="22"/>
        </w:rPr>
        <w:t xml:space="preserve"> carry out supervision missions</w:t>
      </w:r>
      <w:r>
        <w:rPr>
          <w:rFonts w:asciiTheme="minorHAnsi" w:hAnsiTheme="minorHAnsi" w:cs="Times New Roman"/>
          <w:sz w:val="22"/>
          <w:szCs w:val="22"/>
        </w:rPr>
        <w:t>; and</w:t>
      </w:r>
      <w:r w:rsidRPr="003106FB">
        <w:rPr>
          <w:rFonts w:asciiTheme="minorHAnsi" w:hAnsiTheme="minorHAnsi" w:cs="Times New Roman"/>
          <w:sz w:val="22"/>
          <w:szCs w:val="22"/>
        </w:rPr>
        <w:t xml:space="preserve"> build capacities on contractors, workers, and the client as needed. They shall prepare and</w:t>
      </w:r>
      <w:r>
        <w:rPr>
          <w:rFonts w:asciiTheme="minorHAnsi" w:hAnsiTheme="minorHAnsi" w:cs="Times New Roman"/>
          <w:sz w:val="22"/>
          <w:szCs w:val="22"/>
        </w:rPr>
        <w:t>/</w:t>
      </w:r>
      <w:r w:rsidRPr="003106FB">
        <w:rPr>
          <w:rFonts w:asciiTheme="minorHAnsi" w:hAnsiTheme="minorHAnsi" w:cs="Times New Roman"/>
          <w:sz w:val="22"/>
          <w:szCs w:val="22"/>
        </w:rPr>
        <w:t>or supervise the preparation of site</w:t>
      </w:r>
      <w:r>
        <w:rPr>
          <w:rFonts w:asciiTheme="minorHAnsi" w:hAnsiTheme="minorHAnsi" w:cs="Times New Roman"/>
          <w:sz w:val="22"/>
          <w:szCs w:val="22"/>
        </w:rPr>
        <w:t>-</w:t>
      </w:r>
      <w:r w:rsidRPr="003106FB">
        <w:rPr>
          <w:rFonts w:asciiTheme="minorHAnsi" w:hAnsiTheme="minorHAnsi" w:cs="Times New Roman"/>
          <w:sz w:val="22"/>
          <w:szCs w:val="22"/>
        </w:rPr>
        <w:t>specific safeguards instruments before the commencement of civil works. These officers shall ensure adequate reporting on safeguards issues in the quarterly and</w:t>
      </w:r>
      <w:r>
        <w:rPr>
          <w:rFonts w:asciiTheme="minorHAnsi" w:hAnsiTheme="minorHAnsi" w:cs="Times New Roman"/>
          <w:sz w:val="22"/>
          <w:szCs w:val="22"/>
        </w:rPr>
        <w:t>/</w:t>
      </w:r>
      <w:r w:rsidRPr="003106FB">
        <w:rPr>
          <w:rFonts w:asciiTheme="minorHAnsi" w:hAnsiTheme="minorHAnsi" w:cs="Times New Roman"/>
          <w:sz w:val="22"/>
          <w:szCs w:val="22"/>
        </w:rPr>
        <w:t>or statutory reports of the PCU on the project. The ESSU</w:t>
      </w:r>
      <w:r>
        <w:rPr>
          <w:rFonts w:asciiTheme="minorHAnsi" w:hAnsiTheme="minorHAnsi" w:cs="Times New Roman"/>
          <w:sz w:val="22"/>
          <w:szCs w:val="22"/>
        </w:rPr>
        <w:t xml:space="preserve"> will</w:t>
      </w:r>
      <w:r w:rsidRPr="003106FB">
        <w:rPr>
          <w:rFonts w:asciiTheme="minorHAnsi" w:hAnsiTheme="minorHAnsi" w:cs="Times New Roman"/>
          <w:sz w:val="22"/>
          <w:szCs w:val="22"/>
        </w:rPr>
        <w:t xml:space="preserve"> be responsible for the implementation of the GRM of the project. Specifically, </w:t>
      </w:r>
      <w:r>
        <w:rPr>
          <w:rFonts w:asciiTheme="minorHAnsi" w:hAnsiTheme="minorHAnsi" w:cs="Times New Roman"/>
          <w:sz w:val="22"/>
          <w:szCs w:val="22"/>
        </w:rPr>
        <w:t xml:space="preserve">the </w:t>
      </w:r>
      <w:r w:rsidRPr="003106FB">
        <w:rPr>
          <w:rFonts w:asciiTheme="minorHAnsi" w:hAnsiTheme="minorHAnsi" w:cs="Times New Roman"/>
          <w:sz w:val="22"/>
          <w:szCs w:val="22"/>
        </w:rPr>
        <w:t xml:space="preserve">ESSU shall keep log books for documenting complaints and ensure timely acknowledgement and resolution of these complaints. </w:t>
      </w:r>
    </w:p>
    <w:p w:rsidR="007F2DE7" w:rsidRPr="003106FB"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The M&amp;E Unit of the PCU.</w:t>
      </w:r>
      <w:r w:rsidRPr="003106FB">
        <w:rPr>
          <w:rFonts w:asciiTheme="minorHAnsi" w:hAnsiTheme="minorHAnsi" w:cs="Times New Roman"/>
          <w:sz w:val="22"/>
          <w:szCs w:val="22"/>
        </w:rPr>
        <w:t xml:space="preserve"> The M&amp;E </w:t>
      </w:r>
      <w:r>
        <w:rPr>
          <w:rFonts w:asciiTheme="minorHAnsi" w:hAnsiTheme="minorHAnsi" w:cs="Times New Roman"/>
          <w:sz w:val="22"/>
          <w:szCs w:val="22"/>
        </w:rPr>
        <w:t>o</w:t>
      </w:r>
      <w:r w:rsidRPr="003106FB">
        <w:rPr>
          <w:rFonts w:asciiTheme="minorHAnsi" w:hAnsiTheme="minorHAnsi" w:cs="Times New Roman"/>
          <w:sz w:val="22"/>
          <w:szCs w:val="22"/>
        </w:rPr>
        <w:t xml:space="preserve">fficers of the PCU, in close coordination with the </w:t>
      </w:r>
      <w:r>
        <w:rPr>
          <w:rFonts w:asciiTheme="minorHAnsi" w:hAnsiTheme="minorHAnsi" w:cs="Times New Roman"/>
          <w:sz w:val="22"/>
          <w:szCs w:val="22"/>
        </w:rPr>
        <w:t>s</w:t>
      </w:r>
      <w:r w:rsidRPr="003106FB">
        <w:rPr>
          <w:rFonts w:asciiTheme="minorHAnsi" w:hAnsiTheme="minorHAnsi" w:cs="Times New Roman"/>
          <w:sz w:val="22"/>
          <w:szCs w:val="22"/>
        </w:rPr>
        <w:t xml:space="preserve">afeguards units of the PCU, shall ensure that safeguards activities, including the implementation of ESIAs, ESMPs, RAPs, and </w:t>
      </w:r>
      <w:r>
        <w:rPr>
          <w:rFonts w:asciiTheme="minorHAnsi" w:hAnsiTheme="minorHAnsi" w:cs="Times New Roman"/>
          <w:sz w:val="22"/>
          <w:szCs w:val="22"/>
        </w:rPr>
        <w:t>a</w:t>
      </w:r>
      <w:r w:rsidRPr="003106FB">
        <w:rPr>
          <w:rFonts w:asciiTheme="minorHAnsi" w:hAnsiTheme="minorHAnsi" w:cs="Times New Roman"/>
          <w:sz w:val="22"/>
          <w:szCs w:val="22"/>
        </w:rPr>
        <w:t>udits</w:t>
      </w:r>
      <w:r>
        <w:rPr>
          <w:rFonts w:asciiTheme="minorHAnsi" w:hAnsiTheme="minorHAnsi" w:cs="Times New Roman"/>
          <w:sz w:val="22"/>
          <w:szCs w:val="22"/>
        </w:rPr>
        <w:t>,</w:t>
      </w:r>
      <w:r w:rsidRPr="003106FB">
        <w:rPr>
          <w:rFonts w:asciiTheme="minorHAnsi" w:hAnsiTheme="minorHAnsi" w:cs="Times New Roman"/>
          <w:sz w:val="22"/>
          <w:szCs w:val="22"/>
        </w:rPr>
        <w:t xml:space="preserve"> are monitored and included in the </w:t>
      </w:r>
      <w:r w:rsidRPr="003106FB">
        <w:rPr>
          <w:rFonts w:ascii="Calibri" w:eastAsia="Times New Roman" w:hAnsi="Calibri" w:cs="Times New Roman"/>
          <w:color w:val="auto"/>
          <w:sz w:val="22"/>
          <w:szCs w:val="22"/>
        </w:rPr>
        <w:t>progress report of the project.</w:t>
      </w:r>
    </w:p>
    <w:p w:rsidR="007F2DE7" w:rsidRPr="003106FB"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The contractor.</w:t>
      </w:r>
      <w:r w:rsidRPr="003106FB">
        <w:rPr>
          <w:rFonts w:asciiTheme="minorHAnsi" w:hAnsiTheme="minorHAnsi" w:cs="Times New Roman"/>
          <w:sz w:val="22"/>
          <w:szCs w:val="22"/>
        </w:rPr>
        <w:t xml:space="preserve"> The contractor shall ensure that the contract execution is consistent with the provisions of </w:t>
      </w:r>
      <w:r>
        <w:rPr>
          <w:rFonts w:asciiTheme="minorHAnsi" w:hAnsiTheme="minorHAnsi" w:cs="Times New Roman"/>
          <w:sz w:val="22"/>
          <w:szCs w:val="22"/>
        </w:rPr>
        <w:t xml:space="preserve">the </w:t>
      </w:r>
      <w:r w:rsidRPr="003106FB">
        <w:rPr>
          <w:rFonts w:asciiTheme="minorHAnsi" w:hAnsiTheme="minorHAnsi" w:cs="Times New Roman"/>
          <w:sz w:val="22"/>
          <w:szCs w:val="22"/>
        </w:rPr>
        <w:t xml:space="preserve">World Bank </w:t>
      </w:r>
      <w:r>
        <w:rPr>
          <w:rFonts w:asciiTheme="minorHAnsi" w:hAnsiTheme="minorHAnsi" w:cs="Times New Roman"/>
          <w:sz w:val="22"/>
          <w:szCs w:val="22"/>
        </w:rPr>
        <w:t>s</w:t>
      </w:r>
      <w:r w:rsidRPr="003106FB">
        <w:rPr>
          <w:rFonts w:asciiTheme="minorHAnsi" w:hAnsiTheme="minorHAnsi" w:cs="Times New Roman"/>
          <w:sz w:val="22"/>
          <w:szCs w:val="22"/>
        </w:rPr>
        <w:t xml:space="preserve">afeguards </w:t>
      </w:r>
      <w:r>
        <w:rPr>
          <w:rFonts w:asciiTheme="minorHAnsi" w:hAnsiTheme="minorHAnsi" w:cs="Times New Roman"/>
          <w:sz w:val="22"/>
          <w:szCs w:val="22"/>
        </w:rPr>
        <w:t>p</w:t>
      </w:r>
      <w:r w:rsidRPr="003106FB">
        <w:rPr>
          <w:rFonts w:asciiTheme="minorHAnsi" w:hAnsiTheme="minorHAnsi" w:cs="Times New Roman"/>
          <w:sz w:val="22"/>
          <w:szCs w:val="22"/>
        </w:rPr>
        <w:t xml:space="preserve">olicies and the extant EIA laws in Nigeria. The contractor shall employ suitably qualified staff </w:t>
      </w:r>
      <w:r>
        <w:rPr>
          <w:rFonts w:asciiTheme="minorHAnsi" w:hAnsiTheme="minorHAnsi" w:cs="Times New Roman"/>
          <w:sz w:val="22"/>
          <w:szCs w:val="22"/>
        </w:rPr>
        <w:t>(</w:t>
      </w:r>
      <w:r w:rsidRPr="003106FB">
        <w:rPr>
          <w:rFonts w:asciiTheme="minorHAnsi" w:hAnsiTheme="minorHAnsi" w:cs="Times New Roman"/>
          <w:sz w:val="22"/>
          <w:szCs w:val="22"/>
        </w:rPr>
        <w:t xml:space="preserve">supervisor/foreman) </w:t>
      </w:r>
      <w:r>
        <w:rPr>
          <w:rFonts w:asciiTheme="minorHAnsi" w:hAnsiTheme="minorHAnsi" w:cs="Times New Roman"/>
          <w:sz w:val="22"/>
          <w:szCs w:val="22"/>
        </w:rPr>
        <w:t>who</w:t>
      </w:r>
      <w:r w:rsidRPr="003106FB">
        <w:rPr>
          <w:rFonts w:asciiTheme="minorHAnsi" w:hAnsiTheme="minorHAnsi" w:cs="Times New Roman"/>
          <w:sz w:val="22"/>
          <w:szCs w:val="22"/>
        </w:rPr>
        <w:t xml:space="preserve"> will ensure safeguards compliance on</w:t>
      </w:r>
      <w:r>
        <w:rPr>
          <w:rFonts w:asciiTheme="minorHAnsi" w:hAnsiTheme="minorHAnsi" w:cs="Times New Roman"/>
          <w:sz w:val="22"/>
          <w:szCs w:val="22"/>
        </w:rPr>
        <w:t>-</w:t>
      </w:r>
      <w:r w:rsidRPr="003106FB">
        <w:rPr>
          <w:rFonts w:asciiTheme="minorHAnsi" w:hAnsiTheme="minorHAnsi" w:cs="Times New Roman"/>
          <w:sz w:val="22"/>
          <w:szCs w:val="22"/>
        </w:rPr>
        <w:t xml:space="preserve">site. The contractor shall also procure adequate PPEs and </w:t>
      </w:r>
      <w:r>
        <w:rPr>
          <w:rFonts w:asciiTheme="minorHAnsi" w:hAnsiTheme="minorHAnsi" w:cs="Times New Roman"/>
          <w:sz w:val="22"/>
          <w:szCs w:val="22"/>
        </w:rPr>
        <w:t xml:space="preserve">shall </w:t>
      </w:r>
      <w:r w:rsidRPr="003106FB">
        <w:rPr>
          <w:rFonts w:asciiTheme="minorHAnsi" w:hAnsiTheme="minorHAnsi" w:cs="Times New Roman"/>
          <w:sz w:val="22"/>
          <w:szCs w:val="22"/>
        </w:rPr>
        <w:t>be responsible for the health and safety of their staff.</w:t>
      </w:r>
    </w:p>
    <w:p w:rsidR="007F2DE7" w:rsidRPr="003106FB"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The contractor’s supervisor.</w:t>
      </w:r>
      <w:r w:rsidRPr="003106FB">
        <w:rPr>
          <w:rFonts w:asciiTheme="minorHAnsi" w:hAnsiTheme="minorHAnsi" w:cs="Times New Roman"/>
          <w:sz w:val="22"/>
          <w:szCs w:val="22"/>
        </w:rPr>
        <w:t xml:space="preserve"> The supervisor/foreman shall be responsible for ensuring that </w:t>
      </w:r>
      <w:r>
        <w:rPr>
          <w:rFonts w:asciiTheme="minorHAnsi" w:hAnsiTheme="minorHAnsi" w:cs="Times New Roman"/>
          <w:sz w:val="22"/>
          <w:szCs w:val="22"/>
        </w:rPr>
        <w:t xml:space="preserve">the </w:t>
      </w:r>
      <w:r w:rsidRPr="003106FB">
        <w:rPr>
          <w:rFonts w:asciiTheme="minorHAnsi" w:hAnsiTheme="minorHAnsi" w:cs="Times New Roman"/>
          <w:sz w:val="22"/>
          <w:szCs w:val="22"/>
        </w:rPr>
        <w:t>World Bank safeguards policies and the extant environment laws in Nigeria are complied with on site. For instance, the supervisor shall ensure the implementation of site</w:t>
      </w:r>
      <w:r>
        <w:rPr>
          <w:rFonts w:asciiTheme="minorHAnsi" w:hAnsiTheme="minorHAnsi" w:cs="Times New Roman"/>
          <w:sz w:val="22"/>
          <w:szCs w:val="22"/>
        </w:rPr>
        <w:t>-</w:t>
      </w:r>
      <w:r w:rsidRPr="003106FB">
        <w:rPr>
          <w:rFonts w:asciiTheme="minorHAnsi" w:hAnsiTheme="minorHAnsi" w:cs="Times New Roman"/>
          <w:sz w:val="22"/>
          <w:szCs w:val="22"/>
        </w:rPr>
        <w:t>specific safeguards instruments, consistent use of PPEs by workers, and adequate record keeping of safeguard</w:t>
      </w:r>
      <w:r>
        <w:rPr>
          <w:rFonts w:asciiTheme="minorHAnsi" w:hAnsiTheme="minorHAnsi" w:cs="Times New Roman"/>
          <w:sz w:val="22"/>
          <w:szCs w:val="22"/>
        </w:rPr>
        <w:t>s-</w:t>
      </w:r>
      <w:r w:rsidRPr="003106FB">
        <w:rPr>
          <w:rFonts w:asciiTheme="minorHAnsi" w:hAnsiTheme="minorHAnsi" w:cs="Times New Roman"/>
          <w:sz w:val="22"/>
          <w:szCs w:val="22"/>
        </w:rPr>
        <w:t>related events such as accidents, injuries, spillages</w:t>
      </w:r>
      <w:r>
        <w:rPr>
          <w:rFonts w:asciiTheme="minorHAnsi" w:hAnsiTheme="minorHAnsi" w:cs="Times New Roman"/>
          <w:sz w:val="22"/>
          <w:szCs w:val="22"/>
        </w:rPr>
        <w:t>,</w:t>
      </w:r>
      <w:r w:rsidRPr="003106FB">
        <w:rPr>
          <w:rFonts w:asciiTheme="minorHAnsi" w:hAnsiTheme="minorHAnsi" w:cs="Times New Roman"/>
          <w:sz w:val="22"/>
          <w:szCs w:val="22"/>
        </w:rPr>
        <w:t xml:space="preserve"> and near misses.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B5199">
        <w:rPr>
          <w:rFonts w:asciiTheme="minorHAnsi" w:hAnsiTheme="minorHAnsi" w:cs="Times New Roman"/>
          <w:b/>
          <w:sz w:val="22"/>
          <w:szCs w:val="22"/>
        </w:rPr>
        <w:t>Project beneficiaries.</w:t>
      </w:r>
      <w:r w:rsidRPr="00FB6E71">
        <w:rPr>
          <w:rFonts w:asciiTheme="minorHAnsi" w:hAnsiTheme="minorHAnsi" w:cs="Times New Roman"/>
          <w:sz w:val="22"/>
          <w:szCs w:val="22"/>
        </w:rPr>
        <w:t xml:space="preserve"> The beneficiaries of the MCRP shall comply with the agreed safeguards mitigation measures. Beneficiaries shall also work closely with the contractors and workers to ensure the implementation of E&amp;S safeguards </w:t>
      </w:r>
      <w:r>
        <w:rPr>
          <w:rFonts w:asciiTheme="minorHAnsi" w:hAnsiTheme="minorHAnsi" w:cs="Times New Roman"/>
          <w:sz w:val="22"/>
          <w:szCs w:val="22"/>
        </w:rPr>
        <w:t xml:space="preserve">and </w:t>
      </w:r>
      <w:r w:rsidRPr="00FB6E71">
        <w:rPr>
          <w:rFonts w:asciiTheme="minorHAnsi" w:hAnsiTheme="minorHAnsi" w:cs="Times New Roman"/>
          <w:sz w:val="22"/>
          <w:szCs w:val="22"/>
        </w:rPr>
        <w:t>mitigation plans. Beneficiaries shall participate in consultations and provide feedback to project proponents and the World Bank. Beneficiaries shall log in complaints through the project’s GRM and</w:t>
      </w:r>
      <w:r>
        <w:rPr>
          <w:rFonts w:asciiTheme="minorHAnsi" w:hAnsiTheme="minorHAnsi" w:cs="Times New Roman"/>
          <w:sz w:val="22"/>
          <w:szCs w:val="22"/>
        </w:rPr>
        <w:t>/</w:t>
      </w:r>
      <w:r w:rsidRPr="00FB6E71">
        <w:rPr>
          <w:rFonts w:asciiTheme="minorHAnsi" w:hAnsiTheme="minorHAnsi" w:cs="Times New Roman"/>
          <w:sz w:val="22"/>
          <w:szCs w:val="22"/>
        </w:rPr>
        <w:t>or directly to the World Bank.</w:t>
      </w: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Estimated Costs for Safeguards Preparation and Implementation Process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 xml:space="preserve">The cost of </w:t>
      </w:r>
      <w:r w:rsidRPr="00FB6E71">
        <w:rPr>
          <w:rFonts w:asciiTheme="minorHAnsi" w:hAnsiTheme="minorHAnsi" w:cs="Times New Roman"/>
          <w:bCs/>
          <w:sz w:val="22"/>
          <w:szCs w:val="22"/>
        </w:rPr>
        <w:t>preparing</w:t>
      </w:r>
      <w:r w:rsidRPr="00FB6E71">
        <w:rPr>
          <w:rFonts w:asciiTheme="minorHAnsi" w:hAnsiTheme="minorHAnsi" w:cs="Times New Roman"/>
          <w:sz w:val="22"/>
          <w:szCs w:val="22"/>
        </w:rPr>
        <w:t xml:space="preserve"> the required safeguards instruments is estimated to be US</w:t>
      </w:r>
      <w:r>
        <w:rPr>
          <w:rFonts w:asciiTheme="minorHAnsi" w:hAnsiTheme="minorHAnsi" w:cs="Times New Roman"/>
          <w:sz w:val="22"/>
          <w:szCs w:val="22"/>
        </w:rPr>
        <w:t>$</w:t>
      </w:r>
      <w:r w:rsidRPr="00FB6E71">
        <w:rPr>
          <w:rFonts w:asciiTheme="minorHAnsi" w:hAnsiTheme="minorHAnsi" w:cs="Times New Roman"/>
          <w:sz w:val="22"/>
          <w:szCs w:val="22"/>
        </w:rPr>
        <w:t xml:space="preserve">1 million for the site-specific safeguards instruments (assuming </w:t>
      </w:r>
      <w:r>
        <w:rPr>
          <w:rFonts w:asciiTheme="minorHAnsi" w:hAnsiTheme="minorHAnsi" w:cs="Times New Roman"/>
          <w:sz w:val="22"/>
          <w:szCs w:val="22"/>
        </w:rPr>
        <w:t>about</w:t>
      </w:r>
      <w:r w:rsidRPr="00FB6E71">
        <w:rPr>
          <w:rFonts w:asciiTheme="minorHAnsi" w:hAnsiTheme="minorHAnsi" w:cs="Times New Roman"/>
          <w:sz w:val="22"/>
          <w:szCs w:val="22"/>
        </w:rPr>
        <w:t xml:space="preserve"> 100 checklist</w:t>
      </w:r>
      <w:r>
        <w:rPr>
          <w:rFonts w:asciiTheme="minorHAnsi" w:hAnsiTheme="minorHAnsi" w:cs="Times New Roman"/>
          <w:sz w:val="22"/>
          <w:szCs w:val="22"/>
        </w:rPr>
        <w:t>s for</w:t>
      </w:r>
      <w:r w:rsidRPr="00FB6E71">
        <w:rPr>
          <w:rFonts w:asciiTheme="minorHAnsi" w:hAnsiTheme="minorHAnsi" w:cs="Times New Roman"/>
          <w:sz w:val="22"/>
          <w:szCs w:val="22"/>
        </w:rPr>
        <w:t xml:space="preserve"> ESMPs at US</w:t>
      </w:r>
      <w:r>
        <w:rPr>
          <w:rFonts w:asciiTheme="minorHAnsi" w:hAnsiTheme="minorHAnsi" w:cs="Times New Roman"/>
          <w:sz w:val="22"/>
          <w:szCs w:val="22"/>
        </w:rPr>
        <w:t>$</w:t>
      </w:r>
      <w:r w:rsidRPr="00FB6E71">
        <w:rPr>
          <w:rFonts w:asciiTheme="minorHAnsi" w:hAnsiTheme="minorHAnsi" w:cs="Times New Roman"/>
          <w:sz w:val="22"/>
          <w:szCs w:val="22"/>
        </w:rPr>
        <w:t>5,000 and 25 more extensive ESMPs at US</w:t>
      </w:r>
      <w:r>
        <w:rPr>
          <w:rFonts w:asciiTheme="minorHAnsi" w:hAnsiTheme="minorHAnsi" w:cs="Times New Roman"/>
          <w:sz w:val="22"/>
          <w:szCs w:val="22"/>
        </w:rPr>
        <w:t>$</w:t>
      </w:r>
      <w:r w:rsidRPr="00FB6E71">
        <w:rPr>
          <w:rFonts w:asciiTheme="minorHAnsi" w:hAnsiTheme="minorHAnsi" w:cs="Times New Roman"/>
          <w:sz w:val="22"/>
          <w:szCs w:val="22"/>
        </w:rPr>
        <w:t>20,000).</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sz w:val="22"/>
          <w:szCs w:val="22"/>
        </w:rPr>
        <w:t xml:space="preserve">The implementation of </w:t>
      </w:r>
      <w:r>
        <w:rPr>
          <w:rFonts w:asciiTheme="minorHAnsi" w:hAnsiTheme="minorHAnsi" w:cs="Times New Roman"/>
          <w:sz w:val="22"/>
          <w:szCs w:val="22"/>
        </w:rPr>
        <w:t xml:space="preserve">the </w:t>
      </w:r>
      <w:r w:rsidRPr="00FB6E71">
        <w:rPr>
          <w:rFonts w:asciiTheme="minorHAnsi" w:hAnsiTheme="minorHAnsi" w:cs="Times New Roman"/>
          <w:sz w:val="22"/>
          <w:szCs w:val="22"/>
        </w:rPr>
        <w:t>ESMPs is expected to cost only a small fraction of design and construction cost, as most of the anticipated significant adverse impacts are likely to be site</w:t>
      </w:r>
      <w:r>
        <w:rPr>
          <w:rFonts w:asciiTheme="minorHAnsi" w:hAnsiTheme="minorHAnsi" w:cs="Times New Roman"/>
          <w:sz w:val="22"/>
          <w:szCs w:val="22"/>
        </w:rPr>
        <w:t>-</w:t>
      </w:r>
      <w:r w:rsidRPr="00FB6E71">
        <w:rPr>
          <w:rFonts w:asciiTheme="minorHAnsi" w:hAnsiTheme="minorHAnsi" w:cs="Times New Roman"/>
          <w:sz w:val="22"/>
          <w:szCs w:val="22"/>
        </w:rPr>
        <w:t>specific, noncumulative</w:t>
      </w:r>
      <w:r>
        <w:rPr>
          <w:rFonts w:asciiTheme="minorHAnsi" w:hAnsiTheme="minorHAnsi" w:cs="Times New Roman"/>
          <w:sz w:val="22"/>
          <w:szCs w:val="22"/>
        </w:rPr>
        <w:t>,</w:t>
      </w:r>
      <w:r w:rsidRPr="00FB6E71">
        <w:rPr>
          <w:rFonts w:asciiTheme="minorHAnsi" w:hAnsiTheme="minorHAnsi" w:cs="Times New Roman"/>
          <w:sz w:val="22"/>
          <w:szCs w:val="22"/>
        </w:rPr>
        <w:t xml:space="preserve"> and typical category B type of impacts. Assuming a proportion of about 0.5 percent, for every US$1 million spent on cleanup and reconstruction, US$5,000 would be spent for environmental mitigation and management measures. </w:t>
      </w: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Quality Control, Oversight</w:t>
      </w:r>
      <w:r>
        <w:rPr>
          <w:rFonts w:asciiTheme="minorHAnsi" w:hAnsiTheme="minorHAnsi"/>
          <w:b/>
          <w:color w:val="172D5F"/>
          <w:sz w:val="22"/>
          <w:szCs w:val="22"/>
        </w:rPr>
        <w:t>,</w:t>
      </w:r>
      <w:r w:rsidRPr="00FB6E71">
        <w:rPr>
          <w:rFonts w:asciiTheme="minorHAnsi" w:hAnsiTheme="minorHAnsi"/>
          <w:b/>
          <w:color w:val="172D5F"/>
          <w:sz w:val="22"/>
          <w:szCs w:val="22"/>
        </w:rPr>
        <w:t xml:space="preserve"> and Results Monitoring and Evaluation</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212121"/>
          <w:sz w:val="22"/>
          <w:szCs w:val="22"/>
        </w:rPr>
        <w:t>Outcome M&amp;E.</w:t>
      </w:r>
      <w:r w:rsidRPr="00FB6E71">
        <w:rPr>
          <w:rFonts w:asciiTheme="minorHAnsi" w:hAnsiTheme="minorHAnsi"/>
          <w:color w:val="212121"/>
          <w:sz w:val="22"/>
          <w:szCs w:val="22"/>
        </w:rPr>
        <w:t xml:space="preserve"> The State PCUs will be responsible for operationalizing the state-level Results Frameworks and </w:t>
      </w:r>
      <w:r>
        <w:rPr>
          <w:rFonts w:asciiTheme="minorHAnsi" w:hAnsiTheme="minorHAnsi"/>
          <w:color w:val="212121"/>
          <w:sz w:val="22"/>
          <w:szCs w:val="22"/>
        </w:rPr>
        <w:t>r</w:t>
      </w:r>
      <w:r w:rsidRPr="00FB6E71">
        <w:rPr>
          <w:rFonts w:asciiTheme="minorHAnsi" w:hAnsiTheme="minorHAnsi"/>
          <w:color w:val="212121"/>
          <w:sz w:val="22"/>
          <w:szCs w:val="22"/>
        </w:rPr>
        <w:t xml:space="preserve">esults </w:t>
      </w:r>
      <w:r>
        <w:rPr>
          <w:rFonts w:asciiTheme="minorHAnsi" w:hAnsiTheme="minorHAnsi"/>
          <w:color w:val="212121"/>
          <w:sz w:val="22"/>
          <w:szCs w:val="22"/>
        </w:rPr>
        <w:t>m</w:t>
      </w:r>
      <w:r w:rsidRPr="00FB6E71">
        <w:rPr>
          <w:rFonts w:asciiTheme="minorHAnsi" w:hAnsiTheme="minorHAnsi"/>
          <w:color w:val="212121"/>
          <w:sz w:val="22"/>
          <w:szCs w:val="22"/>
        </w:rPr>
        <w:t xml:space="preserve">onitoring </w:t>
      </w:r>
      <w:r>
        <w:rPr>
          <w:rFonts w:asciiTheme="minorHAnsi" w:hAnsiTheme="minorHAnsi"/>
          <w:color w:val="212121"/>
          <w:sz w:val="22"/>
          <w:szCs w:val="22"/>
        </w:rPr>
        <w:t>s</w:t>
      </w:r>
      <w:r w:rsidRPr="00FB6E71">
        <w:rPr>
          <w:rFonts w:asciiTheme="minorHAnsi" w:hAnsiTheme="minorHAnsi"/>
          <w:color w:val="212121"/>
          <w:sz w:val="22"/>
          <w:szCs w:val="22"/>
        </w:rPr>
        <w:t xml:space="preserve">ystem. The state PCU M&amp;E reports will be centrally consolidated and maintained by </w:t>
      </w:r>
      <w:r>
        <w:rPr>
          <w:rFonts w:asciiTheme="minorHAnsi" w:hAnsiTheme="minorHAnsi"/>
          <w:color w:val="212121"/>
          <w:sz w:val="22"/>
          <w:szCs w:val="22"/>
        </w:rPr>
        <w:t xml:space="preserve">the </w:t>
      </w:r>
      <w:r w:rsidRPr="00FB6E71">
        <w:rPr>
          <w:rFonts w:asciiTheme="minorHAnsi" w:hAnsiTheme="minorHAnsi"/>
          <w:color w:val="212121"/>
          <w:sz w:val="22"/>
          <w:szCs w:val="22"/>
        </w:rPr>
        <w:t xml:space="preserve">PCNI in the form of a project-level results M&amp;E system. </w:t>
      </w:r>
      <w:r>
        <w:rPr>
          <w:rFonts w:asciiTheme="minorHAnsi" w:hAnsiTheme="minorHAnsi"/>
          <w:color w:val="212121"/>
          <w:sz w:val="22"/>
          <w:szCs w:val="22"/>
        </w:rPr>
        <w:t xml:space="preserve">The </w:t>
      </w:r>
      <w:r w:rsidRPr="00FB6E71">
        <w:rPr>
          <w:rFonts w:asciiTheme="minorHAnsi" w:hAnsiTheme="minorHAnsi"/>
          <w:color w:val="212121"/>
          <w:sz w:val="22"/>
          <w:szCs w:val="22"/>
        </w:rPr>
        <w:t xml:space="preserve">PCNI will be responsible for the overall M&amp;E of the </w:t>
      </w:r>
      <w:r>
        <w:rPr>
          <w:rFonts w:asciiTheme="minorHAnsi" w:hAnsiTheme="minorHAnsi"/>
          <w:color w:val="212121"/>
          <w:sz w:val="22"/>
          <w:szCs w:val="22"/>
        </w:rPr>
        <w:t>p</w:t>
      </w:r>
      <w:r w:rsidRPr="00FB6E71">
        <w:rPr>
          <w:rFonts w:asciiTheme="minorHAnsi" w:hAnsiTheme="minorHAnsi"/>
          <w:color w:val="212121"/>
          <w:sz w:val="22"/>
          <w:szCs w:val="22"/>
        </w:rPr>
        <w:t xml:space="preserve">roject, by maintaining an </w:t>
      </w:r>
      <w:r>
        <w:rPr>
          <w:rFonts w:asciiTheme="minorHAnsi" w:hAnsiTheme="minorHAnsi"/>
          <w:color w:val="212121"/>
          <w:sz w:val="22"/>
          <w:szCs w:val="22"/>
        </w:rPr>
        <w:t>o</w:t>
      </w:r>
      <w:r w:rsidRPr="00FB6E71">
        <w:rPr>
          <w:rFonts w:asciiTheme="minorHAnsi" w:hAnsiTheme="minorHAnsi"/>
          <w:color w:val="212121"/>
          <w:sz w:val="22"/>
          <w:szCs w:val="22"/>
        </w:rPr>
        <w:t xml:space="preserve">verall </w:t>
      </w:r>
      <w:r>
        <w:rPr>
          <w:rFonts w:asciiTheme="minorHAnsi" w:hAnsiTheme="minorHAnsi"/>
          <w:color w:val="212121"/>
          <w:sz w:val="22"/>
          <w:szCs w:val="22"/>
        </w:rPr>
        <w:t>p</w:t>
      </w:r>
      <w:r w:rsidRPr="00FB6E71">
        <w:rPr>
          <w:rFonts w:asciiTheme="minorHAnsi" w:hAnsiTheme="minorHAnsi"/>
          <w:color w:val="212121"/>
          <w:sz w:val="22"/>
          <w:szCs w:val="22"/>
        </w:rPr>
        <w:t xml:space="preserve">roject-level </w:t>
      </w:r>
      <w:r>
        <w:rPr>
          <w:rFonts w:asciiTheme="minorHAnsi" w:hAnsiTheme="minorHAnsi"/>
          <w:color w:val="212121"/>
          <w:sz w:val="22"/>
          <w:szCs w:val="22"/>
        </w:rPr>
        <w:t>r</w:t>
      </w:r>
      <w:r w:rsidRPr="00FB6E71">
        <w:rPr>
          <w:rFonts w:asciiTheme="minorHAnsi" w:hAnsiTheme="minorHAnsi"/>
          <w:color w:val="212121"/>
          <w:sz w:val="22"/>
          <w:szCs w:val="22"/>
        </w:rPr>
        <w:t xml:space="preserve">esults </w:t>
      </w:r>
      <w:r>
        <w:rPr>
          <w:rFonts w:asciiTheme="minorHAnsi" w:hAnsiTheme="minorHAnsi"/>
          <w:color w:val="212121"/>
          <w:sz w:val="22"/>
          <w:szCs w:val="22"/>
        </w:rPr>
        <w:t>m</w:t>
      </w:r>
      <w:r w:rsidRPr="00FB6E71">
        <w:rPr>
          <w:rFonts w:asciiTheme="minorHAnsi" w:hAnsiTheme="minorHAnsi"/>
          <w:color w:val="212121"/>
          <w:sz w:val="22"/>
          <w:szCs w:val="22"/>
        </w:rPr>
        <w:t xml:space="preserve">onitoring </w:t>
      </w:r>
      <w:r>
        <w:rPr>
          <w:rFonts w:asciiTheme="minorHAnsi" w:hAnsiTheme="minorHAnsi"/>
          <w:color w:val="212121"/>
          <w:sz w:val="22"/>
          <w:szCs w:val="22"/>
        </w:rPr>
        <w:t>s</w:t>
      </w:r>
      <w:r w:rsidRPr="00FB6E71">
        <w:rPr>
          <w:rFonts w:asciiTheme="minorHAnsi" w:hAnsiTheme="minorHAnsi"/>
          <w:color w:val="212121"/>
          <w:sz w:val="22"/>
          <w:szCs w:val="22"/>
        </w:rPr>
        <w:t>ystem to issue quarterly updates on the overall project implementation to all concerned quarters and the project’s constituent agencies at the federal and state levels.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E14DE">
        <w:rPr>
          <w:rFonts w:asciiTheme="minorHAnsi" w:hAnsiTheme="minorHAnsi"/>
          <w:b/>
          <w:color w:val="212121"/>
          <w:sz w:val="22"/>
          <w:szCs w:val="22"/>
        </w:rPr>
        <w:t>Data collection.</w:t>
      </w:r>
      <w:r w:rsidRPr="00FB6E71">
        <w:rPr>
          <w:rFonts w:asciiTheme="minorHAnsi" w:hAnsiTheme="minorHAnsi"/>
          <w:color w:val="212121"/>
          <w:sz w:val="22"/>
          <w:szCs w:val="22"/>
        </w:rPr>
        <w:t xml:space="preserve"> The state PCUs shall establish a data collection system to obtain data from the relevant line departments and carry out community-level surveys on a periodic basis to record baseline data in line with indicators included in the project </w:t>
      </w:r>
      <w:r>
        <w:rPr>
          <w:rFonts w:asciiTheme="minorHAnsi" w:hAnsiTheme="minorHAnsi"/>
          <w:color w:val="212121"/>
          <w:sz w:val="22"/>
          <w:szCs w:val="22"/>
        </w:rPr>
        <w:t>R</w:t>
      </w:r>
      <w:r w:rsidRPr="00FB6E71">
        <w:rPr>
          <w:rFonts w:asciiTheme="minorHAnsi" w:hAnsiTheme="minorHAnsi"/>
          <w:color w:val="212121"/>
          <w:sz w:val="22"/>
          <w:szCs w:val="22"/>
        </w:rPr>
        <w:t xml:space="preserve">esults </w:t>
      </w:r>
      <w:r>
        <w:rPr>
          <w:rFonts w:asciiTheme="minorHAnsi" w:hAnsiTheme="minorHAnsi"/>
          <w:color w:val="212121"/>
          <w:sz w:val="22"/>
          <w:szCs w:val="22"/>
        </w:rPr>
        <w:t>F</w:t>
      </w:r>
      <w:r w:rsidRPr="00FB6E71">
        <w:rPr>
          <w:rFonts w:asciiTheme="minorHAnsi" w:hAnsiTheme="minorHAnsi"/>
          <w:color w:val="212121"/>
          <w:sz w:val="22"/>
          <w:szCs w:val="22"/>
        </w:rPr>
        <w:t xml:space="preserve">ramework. </w:t>
      </w:r>
      <w:r>
        <w:rPr>
          <w:rFonts w:asciiTheme="minorHAnsi" w:hAnsiTheme="minorHAnsi"/>
          <w:color w:val="212121"/>
          <w:sz w:val="22"/>
          <w:szCs w:val="22"/>
        </w:rPr>
        <w:t>The d</w:t>
      </w:r>
      <w:r w:rsidRPr="00FB6E71">
        <w:rPr>
          <w:rFonts w:asciiTheme="minorHAnsi" w:hAnsiTheme="minorHAnsi"/>
          <w:color w:val="212121"/>
          <w:sz w:val="22"/>
          <w:szCs w:val="22"/>
        </w:rPr>
        <w:t xml:space="preserve">ata collected shall be used </w:t>
      </w:r>
      <w:r>
        <w:rPr>
          <w:rFonts w:asciiTheme="minorHAnsi" w:hAnsiTheme="minorHAnsi"/>
          <w:color w:val="212121"/>
          <w:sz w:val="22"/>
          <w:szCs w:val="22"/>
        </w:rPr>
        <w:t>for</w:t>
      </w:r>
      <w:r w:rsidRPr="00FB6E71">
        <w:rPr>
          <w:rFonts w:asciiTheme="minorHAnsi" w:hAnsiTheme="minorHAnsi"/>
          <w:color w:val="212121"/>
          <w:sz w:val="22"/>
          <w:szCs w:val="22"/>
        </w:rPr>
        <w:t xml:space="preserve"> updat</w:t>
      </w:r>
      <w:r>
        <w:rPr>
          <w:rFonts w:asciiTheme="minorHAnsi" w:hAnsiTheme="minorHAnsi"/>
          <w:color w:val="212121"/>
          <w:sz w:val="22"/>
          <w:szCs w:val="22"/>
        </w:rPr>
        <w:t>ing</w:t>
      </w:r>
      <w:r w:rsidRPr="00FB6E71">
        <w:rPr>
          <w:rFonts w:asciiTheme="minorHAnsi" w:hAnsiTheme="minorHAnsi"/>
          <w:color w:val="212121"/>
          <w:sz w:val="22"/>
          <w:szCs w:val="22"/>
        </w:rPr>
        <w:t xml:space="preserve"> baselines, presenting and targeting indicator values for all subcomponents</w:t>
      </w:r>
      <w:r>
        <w:rPr>
          <w:rFonts w:asciiTheme="minorHAnsi" w:hAnsiTheme="minorHAnsi"/>
          <w:color w:val="212121"/>
          <w:sz w:val="22"/>
          <w:szCs w:val="22"/>
        </w:rPr>
        <w:t>,</w:t>
      </w:r>
      <w:r w:rsidRPr="00FB6E71">
        <w:rPr>
          <w:rFonts w:asciiTheme="minorHAnsi" w:hAnsiTheme="minorHAnsi"/>
          <w:color w:val="212121"/>
          <w:sz w:val="22"/>
          <w:szCs w:val="22"/>
        </w:rPr>
        <w:t xml:space="preserve"> and results reporting to the PCNI and the World Bank on a routine basis.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E14DE">
        <w:rPr>
          <w:rFonts w:asciiTheme="minorHAnsi" w:hAnsiTheme="minorHAnsi"/>
          <w:b/>
          <w:color w:val="212121"/>
          <w:sz w:val="22"/>
          <w:szCs w:val="22"/>
        </w:rPr>
        <w:t>Physical, financial, and quality monitoring.</w:t>
      </w:r>
      <w:r w:rsidRPr="00FB6E71">
        <w:rPr>
          <w:rFonts w:asciiTheme="minorHAnsi" w:hAnsiTheme="minorHAnsi"/>
          <w:color w:val="212121"/>
          <w:sz w:val="22"/>
          <w:szCs w:val="22"/>
        </w:rPr>
        <w:t xml:space="preserve"> In parallel, there will be component-, subcomponent and subproject-level implementation M&amp;E that will involve the various state- and local-level implementing organizations. Supervision and monitoring roles will be divided according to the work performed and specific results being achieved </w:t>
      </w:r>
      <w:r>
        <w:rPr>
          <w:rFonts w:asciiTheme="minorHAnsi" w:hAnsiTheme="minorHAnsi"/>
          <w:color w:val="212121"/>
          <w:sz w:val="22"/>
          <w:szCs w:val="22"/>
        </w:rPr>
        <w:t xml:space="preserve">and </w:t>
      </w:r>
      <w:r w:rsidRPr="00FB6E71">
        <w:rPr>
          <w:rFonts w:asciiTheme="minorHAnsi" w:hAnsiTheme="minorHAnsi"/>
          <w:color w:val="212121"/>
          <w:sz w:val="22"/>
          <w:szCs w:val="22"/>
        </w:rPr>
        <w:t>then relayed to the PCU for consolidation. Implementation monitoring will also form the basis for the payment system for contractors for work completed.</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212121"/>
          <w:sz w:val="22"/>
          <w:szCs w:val="22"/>
        </w:rPr>
        <w:t>Implementation support will generally entail both routine and ad hoc quality checks at various stages of implementation. Periodic monitoring will include process reviews/audits, reporting of outputs</w:t>
      </w:r>
      <w:r>
        <w:rPr>
          <w:rFonts w:asciiTheme="minorHAnsi" w:hAnsiTheme="minorHAnsi"/>
          <w:color w:val="212121"/>
          <w:sz w:val="22"/>
          <w:szCs w:val="22"/>
        </w:rPr>
        <w:t>,</w:t>
      </w:r>
      <w:r w:rsidRPr="00FB6E71">
        <w:rPr>
          <w:rFonts w:asciiTheme="minorHAnsi" w:hAnsiTheme="minorHAnsi"/>
          <w:color w:val="212121"/>
          <w:sz w:val="22"/>
          <w:szCs w:val="22"/>
        </w:rPr>
        <w:t xml:space="preserve"> and maintaining updated records. This will include the following: (a) </w:t>
      </w:r>
      <w:r>
        <w:rPr>
          <w:rFonts w:asciiTheme="minorHAnsi" w:hAnsiTheme="minorHAnsi"/>
          <w:color w:val="212121"/>
          <w:sz w:val="22"/>
          <w:szCs w:val="22"/>
        </w:rPr>
        <w:t>s</w:t>
      </w:r>
      <w:r w:rsidRPr="00FB6E71">
        <w:rPr>
          <w:rFonts w:asciiTheme="minorHAnsi" w:hAnsiTheme="minorHAnsi"/>
          <w:color w:val="212121"/>
          <w:sz w:val="22"/>
          <w:szCs w:val="22"/>
        </w:rPr>
        <w:t xml:space="preserve">ocial and </w:t>
      </w:r>
      <w:r>
        <w:rPr>
          <w:rFonts w:asciiTheme="minorHAnsi" w:hAnsiTheme="minorHAnsi"/>
          <w:color w:val="212121"/>
          <w:sz w:val="22"/>
          <w:szCs w:val="22"/>
        </w:rPr>
        <w:t>e</w:t>
      </w:r>
      <w:r w:rsidRPr="00FB6E71">
        <w:rPr>
          <w:rFonts w:asciiTheme="minorHAnsi" w:hAnsiTheme="minorHAnsi"/>
          <w:color w:val="212121"/>
          <w:sz w:val="22"/>
          <w:szCs w:val="22"/>
        </w:rPr>
        <w:t xml:space="preserve">nvironmental </w:t>
      </w:r>
      <w:r>
        <w:rPr>
          <w:rFonts w:asciiTheme="minorHAnsi" w:hAnsiTheme="minorHAnsi"/>
          <w:color w:val="212121"/>
          <w:sz w:val="22"/>
          <w:szCs w:val="22"/>
        </w:rPr>
        <w:t>m</w:t>
      </w:r>
      <w:r w:rsidRPr="00FB6E71">
        <w:rPr>
          <w:rFonts w:asciiTheme="minorHAnsi" w:hAnsiTheme="minorHAnsi"/>
          <w:color w:val="212121"/>
          <w:sz w:val="22"/>
          <w:szCs w:val="22"/>
        </w:rPr>
        <w:t xml:space="preserve">onitoring, (b) </w:t>
      </w:r>
      <w:r>
        <w:rPr>
          <w:rFonts w:asciiTheme="minorHAnsi" w:hAnsiTheme="minorHAnsi"/>
          <w:color w:val="212121"/>
          <w:sz w:val="22"/>
          <w:szCs w:val="22"/>
        </w:rPr>
        <w:t>r</w:t>
      </w:r>
      <w:r w:rsidRPr="00FB6E71">
        <w:rPr>
          <w:rFonts w:asciiTheme="minorHAnsi" w:hAnsiTheme="minorHAnsi"/>
          <w:color w:val="212121"/>
          <w:sz w:val="22"/>
          <w:szCs w:val="22"/>
        </w:rPr>
        <w:t xml:space="preserve">egular </w:t>
      </w:r>
      <w:r>
        <w:rPr>
          <w:rFonts w:asciiTheme="minorHAnsi" w:hAnsiTheme="minorHAnsi"/>
          <w:color w:val="212121"/>
          <w:sz w:val="22"/>
          <w:szCs w:val="22"/>
        </w:rPr>
        <w:t>q</w:t>
      </w:r>
      <w:r w:rsidRPr="00FB6E71">
        <w:rPr>
          <w:rFonts w:asciiTheme="minorHAnsi" w:hAnsiTheme="minorHAnsi"/>
          <w:color w:val="212121"/>
          <w:sz w:val="22"/>
          <w:szCs w:val="22"/>
        </w:rPr>
        <w:t xml:space="preserve">uality </w:t>
      </w:r>
      <w:r>
        <w:rPr>
          <w:rFonts w:asciiTheme="minorHAnsi" w:hAnsiTheme="minorHAnsi"/>
          <w:color w:val="212121"/>
          <w:sz w:val="22"/>
          <w:szCs w:val="22"/>
        </w:rPr>
        <w:t>s</w:t>
      </w:r>
      <w:r w:rsidRPr="00FB6E71">
        <w:rPr>
          <w:rFonts w:asciiTheme="minorHAnsi" w:hAnsiTheme="minorHAnsi"/>
          <w:color w:val="212121"/>
          <w:sz w:val="22"/>
          <w:szCs w:val="22"/>
        </w:rPr>
        <w:t xml:space="preserve">upervision </w:t>
      </w:r>
      <w:r>
        <w:rPr>
          <w:rFonts w:asciiTheme="minorHAnsi" w:hAnsiTheme="minorHAnsi"/>
          <w:color w:val="212121"/>
          <w:sz w:val="22"/>
          <w:szCs w:val="22"/>
        </w:rPr>
        <w:t>and</w:t>
      </w:r>
      <w:r w:rsidRPr="00FB6E71">
        <w:rPr>
          <w:rFonts w:asciiTheme="minorHAnsi" w:hAnsiTheme="minorHAnsi"/>
          <w:color w:val="212121"/>
          <w:sz w:val="22"/>
          <w:szCs w:val="22"/>
        </w:rPr>
        <w:t xml:space="preserve"> </w:t>
      </w:r>
      <w:r>
        <w:rPr>
          <w:rFonts w:asciiTheme="minorHAnsi" w:hAnsiTheme="minorHAnsi"/>
          <w:color w:val="212121"/>
          <w:sz w:val="22"/>
          <w:szCs w:val="22"/>
        </w:rPr>
        <w:t>c</w:t>
      </w:r>
      <w:r w:rsidRPr="00FB6E71">
        <w:rPr>
          <w:rFonts w:asciiTheme="minorHAnsi" w:hAnsiTheme="minorHAnsi"/>
          <w:color w:val="212121"/>
          <w:sz w:val="22"/>
          <w:szCs w:val="22"/>
        </w:rPr>
        <w:t xml:space="preserve">ertification, (c) </w:t>
      </w:r>
      <w:r>
        <w:rPr>
          <w:rFonts w:asciiTheme="minorHAnsi" w:hAnsiTheme="minorHAnsi"/>
          <w:color w:val="212121"/>
          <w:sz w:val="22"/>
          <w:szCs w:val="22"/>
        </w:rPr>
        <w:t>p</w:t>
      </w:r>
      <w:r w:rsidRPr="00FB6E71">
        <w:rPr>
          <w:rFonts w:asciiTheme="minorHAnsi" w:hAnsiTheme="minorHAnsi"/>
          <w:color w:val="212121"/>
          <w:sz w:val="22"/>
          <w:szCs w:val="22"/>
        </w:rPr>
        <w:t xml:space="preserve">eriodic </w:t>
      </w:r>
      <w:r>
        <w:rPr>
          <w:rFonts w:asciiTheme="minorHAnsi" w:hAnsiTheme="minorHAnsi"/>
          <w:color w:val="212121"/>
          <w:sz w:val="22"/>
          <w:szCs w:val="22"/>
        </w:rPr>
        <w:t>p</w:t>
      </w:r>
      <w:r w:rsidRPr="00FB6E71">
        <w:rPr>
          <w:rFonts w:asciiTheme="minorHAnsi" w:hAnsiTheme="minorHAnsi"/>
          <w:color w:val="212121"/>
          <w:sz w:val="22"/>
          <w:szCs w:val="22"/>
        </w:rPr>
        <w:t xml:space="preserve">hysical </w:t>
      </w:r>
      <w:r>
        <w:rPr>
          <w:rFonts w:asciiTheme="minorHAnsi" w:hAnsiTheme="minorHAnsi"/>
          <w:color w:val="212121"/>
          <w:sz w:val="22"/>
          <w:szCs w:val="22"/>
        </w:rPr>
        <w:t>p</w:t>
      </w:r>
      <w:r w:rsidRPr="00FB6E71">
        <w:rPr>
          <w:rFonts w:asciiTheme="minorHAnsi" w:hAnsiTheme="minorHAnsi"/>
          <w:color w:val="212121"/>
          <w:sz w:val="22"/>
          <w:szCs w:val="22"/>
        </w:rPr>
        <w:t xml:space="preserve">rogress and </w:t>
      </w:r>
      <w:r>
        <w:rPr>
          <w:rFonts w:asciiTheme="minorHAnsi" w:hAnsiTheme="minorHAnsi"/>
          <w:color w:val="212121"/>
          <w:sz w:val="22"/>
          <w:szCs w:val="22"/>
        </w:rPr>
        <w:t>p</w:t>
      </w:r>
      <w:r w:rsidRPr="00FB6E71">
        <w:rPr>
          <w:rFonts w:asciiTheme="minorHAnsi" w:hAnsiTheme="minorHAnsi"/>
          <w:color w:val="212121"/>
          <w:sz w:val="22"/>
          <w:szCs w:val="22"/>
        </w:rPr>
        <w:t xml:space="preserve">rocess </w:t>
      </w:r>
      <w:r>
        <w:rPr>
          <w:rFonts w:asciiTheme="minorHAnsi" w:hAnsiTheme="minorHAnsi"/>
          <w:color w:val="212121"/>
          <w:sz w:val="22"/>
          <w:szCs w:val="22"/>
        </w:rPr>
        <w:t>m</w:t>
      </w:r>
      <w:r w:rsidRPr="00FB6E71">
        <w:rPr>
          <w:rFonts w:asciiTheme="minorHAnsi" w:hAnsiTheme="minorHAnsi"/>
          <w:color w:val="212121"/>
          <w:sz w:val="22"/>
          <w:szCs w:val="22"/>
        </w:rPr>
        <w:t xml:space="preserve">onitoring </w:t>
      </w:r>
      <w:r>
        <w:rPr>
          <w:rFonts w:asciiTheme="minorHAnsi" w:hAnsiTheme="minorHAnsi"/>
          <w:color w:val="212121"/>
          <w:sz w:val="22"/>
          <w:szCs w:val="22"/>
        </w:rPr>
        <w:t>and</w:t>
      </w:r>
      <w:r w:rsidRPr="00FB6E71">
        <w:rPr>
          <w:rFonts w:asciiTheme="minorHAnsi" w:hAnsiTheme="minorHAnsi"/>
          <w:color w:val="212121"/>
          <w:sz w:val="22"/>
          <w:szCs w:val="22"/>
        </w:rPr>
        <w:t xml:space="preserve"> </w:t>
      </w:r>
      <w:r>
        <w:rPr>
          <w:rFonts w:asciiTheme="minorHAnsi" w:hAnsiTheme="minorHAnsi"/>
          <w:color w:val="212121"/>
          <w:sz w:val="22"/>
          <w:szCs w:val="22"/>
        </w:rPr>
        <w:t>t</w:t>
      </w:r>
      <w:r w:rsidRPr="00FB6E71">
        <w:rPr>
          <w:rFonts w:asciiTheme="minorHAnsi" w:hAnsiTheme="minorHAnsi"/>
          <w:color w:val="212121"/>
          <w:sz w:val="22"/>
          <w:szCs w:val="22"/>
        </w:rPr>
        <w:t>hird-</w:t>
      </w:r>
      <w:r>
        <w:rPr>
          <w:rFonts w:asciiTheme="minorHAnsi" w:hAnsiTheme="minorHAnsi"/>
          <w:color w:val="212121"/>
          <w:sz w:val="22"/>
          <w:szCs w:val="22"/>
        </w:rPr>
        <w:t>p</w:t>
      </w:r>
      <w:r w:rsidRPr="00FB6E71">
        <w:rPr>
          <w:rFonts w:asciiTheme="minorHAnsi" w:hAnsiTheme="minorHAnsi"/>
          <w:color w:val="212121"/>
          <w:sz w:val="22"/>
          <w:szCs w:val="22"/>
        </w:rPr>
        <w:t xml:space="preserve">arty </w:t>
      </w:r>
      <w:r>
        <w:rPr>
          <w:rFonts w:asciiTheme="minorHAnsi" w:hAnsiTheme="minorHAnsi"/>
          <w:color w:val="212121"/>
          <w:sz w:val="22"/>
          <w:szCs w:val="22"/>
        </w:rPr>
        <w:t>q</w:t>
      </w:r>
      <w:r w:rsidRPr="00FB6E71">
        <w:rPr>
          <w:rFonts w:asciiTheme="minorHAnsi" w:hAnsiTheme="minorHAnsi"/>
          <w:color w:val="212121"/>
          <w:sz w:val="22"/>
          <w:szCs w:val="22"/>
        </w:rPr>
        <w:t xml:space="preserve">uality </w:t>
      </w:r>
      <w:r>
        <w:rPr>
          <w:rFonts w:asciiTheme="minorHAnsi" w:hAnsiTheme="minorHAnsi"/>
          <w:color w:val="212121"/>
          <w:sz w:val="22"/>
          <w:szCs w:val="22"/>
        </w:rPr>
        <w:t>a</w:t>
      </w:r>
      <w:r w:rsidRPr="00FB6E71">
        <w:rPr>
          <w:rFonts w:asciiTheme="minorHAnsi" w:hAnsiTheme="minorHAnsi"/>
          <w:color w:val="212121"/>
          <w:sz w:val="22"/>
          <w:szCs w:val="22"/>
        </w:rPr>
        <w:t xml:space="preserve">udits, and (d) </w:t>
      </w:r>
      <w:r>
        <w:rPr>
          <w:rFonts w:asciiTheme="minorHAnsi" w:hAnsiTheme="minorHAnsi"/>
          <w:color w:val="212121"/>
          <w:sz w:val="22"/>
          <w:szCs w:val="22"/>
        </w:rPr>
        <w:t>r</w:t>
      </w:r>
      <w:r w:rsidRPr="00FB6E71">
        <w:rPr>
          <w:rFonts w:asciiTheme="minorHAnsi" w:hAnsiTheme="minorHAnsi"/>
          <w:color w:val="212121"/>
          <w:sz w:val="22"/>
          <w:szCs w:val="22"/>
        </w:rPr>
        <w:t xml:space="preserve">esults M&amp;E.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E14DE">
        <w:rPr>
          <w:rFonts w:asciiTheme="minorHAnsi" w:hAnsiTheme="minorHAnsi"/>
          <w:b/>
          <w:color w:val="auto"/>
          <w:sz w:val="22"/>
          <w:szCs w:val="22"/>
        </w:rPr>
        <w:t>Procurement monitoring.</w:t>
      </w:r>
      <w:r w:rsidRPr="00FB6E71">
        <w:rPr>
          <w:rFonts w:asciiTheme="minorHAnsi" w:hAnsiTheme="minorHAnsi"/>
          <w:color w:val="auto"/>
          <w:sz w:val="22"/>
          <w:szCs w:val="22"/>
        </w:rPr>
        <w:t xml:space="preserve"> All procurement activities at the component, subcomponent, and subproject levels will also be closely monitored by </w:t>
      </w:r>
      <w:r>
        <w:rPr>
          <w:rFonts w:asciiTheme="minorHAnsi" w:hAnsiTheme="minorHAnsi"/>
          <w:color w:val="auto"/>
          <w:sz w:val="22"/>
          <w:szCs w:val="22"/>
        </w:rPr>
        <w:t xml:space="preserve">the </w:t>
      </w:r>
      <w:r>
        <w:rPr>
          <w:rFonts w:asciiTheme="minorHAnsi" w:hAnsiTheme="minorHAnsi"/>
          <w:bCs/>
          <w:color w:val="auto"/>
          <w:sz w:val="22"/>
          <w:szCs w:val="22"/>
        </w:rPr>
        <w:t>p</w:t>
      </w:r>
      <w:r w:rsidRPr="00FB6E71">
        <w:rPr>
          <w:rFonts w:asciiTheme="minorHAnsi" w:hAnsiTheme="minorHAnsi"/>
          <w:bCs/>
          <w:color w:val="auto"/>
          <w:sz w:val="22"/>
          <w:szCs w:val="22"/>
        </w:rPr>
        <w:t>rocurement</w:t>
      </w:r>
      <w:r w:rsidRPr="00FB6E71">
        <w:rPr>
          <w:rFonts w:asciiTheme="minorHAnsi" w:hAnsiTheme="minorHAnsi"/>
          <w:color w:val="auto"/>
          <w:sz w:val="22"/>
          <w:szCs w:val="22"/>
        </w:rPr>
        <w:t xml:space="preserve"> </w:t>
      </w:r>
      <w:r>
        <w:rPr>
          <w:rFonts w:asciiTheme="minorHAnsi" w:hAnsiTheme="minorHAnsi"/>
          <w:color w:val="auto"/>
          <w:sz w:val="22"/>
          <w:szCs w:val="22"/>
        </w:rPr>
        <w:t>s</w:t>
      </w:r>
      <w:r w:rsidRPr="00FB6E71">
        <w:rPr>
          <w:rFonts w:asciiTheme="minorHAnsi" w:hAnsiTheme="minorHAnsi"/>
          <w:color w:val="auto"/>
          <w:sz w:val="22"/>
          <w:szCs w:val="22"/>
        </w:rPr>
        <w:t>pecialists in the PCU.</w:t>
      </w:r>
      <w:r w:rsidRPr="00FB6E71">
        <w:rPr>
          <w:rFonts w:eastAsia="Times New Roman" w:asciiTheme="minorHAnsi" w:hAnsiTheme="minorHAnsi" w:cs="Times New Roman"/>
          <w:bCs/>
          <w:color w:val="auto"/>
          <w:sz w:val="22"/>
          <w:szCs w:val="22"/>
        </w:rPr>
        <w:t xml:space="preserv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212121"/>
          <w:sz w:val="22"/>
          <w:szCs w:val="22"/>
        </w:rPr>
        <w:t>Accordingly</w:t>
      </w:r>
      <w:r w:rsidRPr="00FB6E71">
        <w:rPr>
          <w:rFonts w:asciiTheme="minorHAnsi" w:hAnsiTheme="minorHAnsi"/>
          <w:bCs/>
          <w:color w:val="auto"/>
          <w:sz w:val="22"/>
          <w:szCs w:val="22"/>
        </w:rPr>
        <w:t xml:space="preserve">, the implementation of the project requires both the mobilization of existing M&amp;E systems across sectors of interventions and the triangulation of information from different sources (including surveys of beneficiaries and third-party monitoring). Given the limited capacity of the GoN in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M&amp;E of public action, the M&amp;E system will require that administrative data from the Government be complemented and triangulated with other sources of information (provided by surveys and third parties). The </w:t>
      </w:r>
      <w:r>
        <w:rPr>
          <w:rFonts w:asciiTheme="minorHAnsi" w:hAnsiTheme="minorHAnsi"/>
          <w:bCs/>
          <w:color w:val="auto"/>
          <w:sz w:val="22"/>
          <w:szCs w:val="22"/>
        </w:rPr>
        <w:t>R</w:t>
      </w:r>
      <w:r w:rsidRPr="00FB6E71">
        <w:rPr>
          <w:rFonts w:asciiTheme="minorHAnsi" w:hAnsiTheme="minorHAnsi"/>
          <w:bCs/>
          <w:color w:val="auto"/>
          <w:sz w:val="22"/>
          <w:szCs w:val="22"/>
        </w:rPr>
        <w:t xml:space="preserve">esults </w:t>
      </w:r>
      <w:r>
        <w:rPr>
          <w:rFonts w:asciiTheme="minorHAnsi" w:hAnsiTheme="minorHAnsi"/>
          <w:color w:val="212121"/>
          <w:sz w:val="22"/>
          <w:szCs w:val="22"/>
        </w:rPr>
        <w:t>F</w:t>
      </w:r>
      <w:r w:rsidRPr="00FB6E71">
        <w:rPr>
          <w:rFonts w:asciiTheme="minorHAnsi" w:hAnsiTheme="minorHAnsi"/>
          <w:color w:val="212121"/>
          <w:sz w:val="22"/>
          <w:szCs w:val="22"/>
        </w:rPr>
        <w:t>ramework</w:t>
      </w:r>
      <w:r w:rsidRPr="00FB6E71">
        <w:rPr>
          <w:rFonts w:asciiTheme="minorHAnsi" w:hAnsiTheme="minorHAnsi"/>
          <w:bCs/>
          <w:color w:val="auto"/>
          <w:sz w:val="22"/>
          <w:szCs w:val="22"/>
        </w:rPr>
        <w:t xml:space="preserve"> w</w:t>
      </w:r>
      <w:r>
        <w:rPr>
          <w:rFonts w:asciiTheme="minorHAnsi" w:hAnsiTheme="minorHAnsi"/>
          <w:bCs/>
          <w:color w:val="auto"/>
          <w:sz w:val="22"/>
          <w:szCs w:val="22"/>
        </w:rPr>
        <w:t>ill</w:t>
      </w:r>
      <w:r w:rsidRPr="00FB6E71">
        <w:rPr>
          <w:rFonts w:asciiTheme="minorHAnsi" w:hAnsiTheme="minorHAnsi"/>
          <w:bCs/>
          <w:color w:val="auto"/>
          <w:sz w:val="22"/>
          <w:szCs w:val="22"/>
        </w:rPr>
        <w:t xml:space="preserve"> be publicly disclosed and made accessible to the local communities benefiting from the MCRP. </w:t>
      </w:r>
      <w:r>
        <w:rPr>
          <w:rFonts w:asciiTheme="minorHAnsi" w:hAnsiTheme="minorHAnsi"/>
          <w:bCs/>
          <w:color w:val="auto"/>
          <w:sz w:val="22"/>
          <w:szCs w:val="22"/>
        </w:rPr>
        <w:t xml:space="preserve">The </w:t>
      </w:r>
      <w:r w:rsidRPr="00FB6E71">
        <w:rPr>
          <w:rFonts w:asciiTheme="minorHAnsi" w:hAnsiTheme="minorHAnsi"/>
          <w:bCs/>
          <w:color w:val="auto"/>
          <w:sz w:val="22"/>
          <w:szCs w:val="22"/>
        </w:rPr>
        <w:t>M&amp;E</w:t>
      </w:r>
      <w:r>
        <w:rPr>
          <w:rFonts w:asciiTheme="minorHAnsi" w:hAnsiTheme="minorHAnsi"/>
          <w:bCs/>
          <w:color w:val="auto"/>
          <w:sz w:val="22"/>
          <w:szCs w:val="22"/>
        </w:rPr>
        <w:t>-</w:t>
      </w:r>
      <w:r w:rsidRPr="00FB6E71">
        <w:rPr>
          <w:rFonts w:asciiTheme="minorHAnsi" w:hAnsiTheme="minorHAnsi"/>
          <w:bCs/>
          <w:color w:val="auto"/>
          <w:sz w:val="22"/>
          <w:szCs w:val="22"/>
        </w:rPr>
        <w:t xml:space="preserve">related data and information should be geo-coded, to the extent possible, and made available in an open source and open data management system. Every effort should be made to disclose information that is accessible to and comprehensible by the local population.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E14DE">
        <w:rPr>
          <w:rFonts w:asciiTheme="minorHAnsi" w:hAnsiTheme="minorHAnsi"/>
          <w:b/>
          <w:color w:val="auto"/>
          <w:sz w:val="22"/>
          <w:szCs w:val="22"/>
        </w:rPr>
        <w:t>Geospatial M&amp;E solutions.</w:t>
      </w:r>
      <w:r w:rsidRPr="00FB6E71">
        <w:rPr>
          <w:rFonts w:asciiTheme="minorHAnsi" w:hAnsiTheme="minorHAnsi"/>
          <w:color w:val="auto"/>
          <w:sz w:val="22"/>
          <w:szCs w:val="22"/>
        </w:rPr>
        <w:t xml:space="preserve"> Given the prevailing logistical and security challenges in the BAY states that limit effective on-the-ground access in some project areas, solutions in the field of remote sensing and geospatial analytics will be leveraged for M&amp;E purposes wherever feasible. To leverage these tools most effectively, geospatial capabilities will be integrated and applied to various elements of project implementation, including (a) geographic targeting</w:t>
      </w:r>
      <w:r>
        <w:rPr>
          <w:rFonts w:asciiTheme="minorHAnsi" w:hAnsiTheme="minorHAnsi"/>
          <w:color w:val="auto"/>
          <w:sz w:val="22"/>
          <w:szCs w:val="22"/>
        </w:rPr>
        <w:t>,</w:t>
      </w:r>
      <w:r w:rsidRPr="00FB6E71">
        <w:rPr>
          <w:rFonts w:asciiTheme="minorHAnsi" w:hAnsiTheme="minorHAnsi"/>
          <w:color w:val="auto"/>
          <w:sz w:val="22"/>
          <w:szCs w:val="22"/>
        </w:rPr>
        <w:t xml:space="preserve"> (b) dynamic security monitoring and progressive prioritization</w:t>
      </w:r>
      <w:r>
        <w:rPr>
          <w:rFonts w:asciiTheme="minorHAnsi" w:hAnsiTheme="minorHAnsi"/>
          <w:color w:val="auto"/>
          <w:sz w:val="22"/>
          <w:szCs w:val="22"/>
        </w:rPr>
        <w:t>,</w:t>
      </w:r>
      <w:r w:rsidRPr="00FB6E71">
        <w:rPr>
          <w:rFonts w:asciiTheme="minorHAnsi" w:hAnsiTheme="minorHAnsi"/>
          <w:color w:val="auto"/>
          <w:sz w:val="22"/>
          <w:szCs w:val="22"/>
        </w:rPr>
        <w:t xml:space="preserve"> and (c) implementation supervision and coordination with partners. To this end, geographic information related to the implementation of the project as well as a variety of contextual factors will be gathered through a data management system and used for geospatial analysis and implementation support. Summaries of potential application areas of geospatial data are provided below.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E14DE">
        <w:rPr>
          <w:rFonts w:asciiTheme="minorHAnsi" w:hAnsiTheme="minorHAnsi"/>
          <w:b/>
          <w:color w:val="auto"/>
          <w:sz w:val="22"/>
          <w:szCs w:val="22"/>
        </w:rPr>
        <w:t>D</w:t>
      </w:r>
      <w:r w:rsidRPr="00AE14DE">
        <w:rPr>
          <w:rFonts w:asciiTheme="minorHAnsi" w:hAnsiTheme="minorHAnsi"/>
          <w:b/>
          <w:bCs/>
          <w:color w:val="auto"/>
          <w:sz w:val="22"/>
          <w:szCs w:val="22"/>
        </w:rPr>
        <w:t>ynamic security monitoring and progressive prioritization.</w:t>
      </w:r>
      <w:r w:rsidRPr="00FB6E71">
        <w:rPr>
          <w:rFonts w:asciiTheme="minorHAnsi" w:hAnsiTheme="minorHAnsi"/>
          <w:bCs/>
          <w:color w:val="auto"/>
          <w:sz w:val="22"/>
          <w:szCs w:val="22"/>
        </w:rPr>
        <w:t xml:space="preserve"> A major principle of the project is flexibility and adaptability with regard to geographic resource allocation to avoid risks of disruption and/or destruction of project investments </w:t>
      </w:r>
      <w:r>
        <w:rPr>
          <w:rFonts w:asciiTheme="minorHAnsi" w:hAnsiTheme="minorHAnsi"/>
          <w:bCs/>
          <w:color w:val="auto"/>
          <w:sz w:val="22"/>
          <w:szCs w:val="22"/>
        </w:rPr>
        <w:t>because of</w:t>
      </w:r>
      <w:r w:rsidRPr="00FB6E71">
        <w:rPr>
          <w:rFonts w:asciiTheme="minorHAnsi" w:hAnsiTheme="minorHAnsi"/>
          <w:bCs/>
          <w:color w:val="auto"/>
          <w:sz w:val="22"/>
          <w:szCs w:val="22"/>
        </w:rPr>
        <w:t xml:space="preserve"> security reasons. Given all project interventions will be carried out in moderate</w:t>
      </w:r>
      <w:r>
        <w:rPr>
          <w:rFonts w:asciiTheme="minorHAnsi" w:hAnsiTheme="minorHAnsi"/>
          <w:bCs/>
          <w:color w:val="auto"/>
          <w:sz w:val="22"/>
          <w:szCs w:val="22"/>
        </w:rPr>
        <w:t>-</w:t>
      </w:r>
      <w:r w:rsidRPr="00FB6E71">
        <w:rPr>
          <w:rFonts w:asciiTheme="minorHAnsi" w:hAnsiTheme="minorHAnsi"/>
          <w:bCs/>
          <w:color w:val="auto"/>
          <w:sz w:val="22"/>
          <w:szCs w:val="22"/>
        </w:rPr>
        <w:t xml:space="preserve"> to high</w:t>
      </w:r>
      <w:r>
        <w:rPr>
          <w:rFonts w:asciiTheme="minorHAnsi" w:hAnsiTheme="minorHAnsi"/>
          <w:bCs/>
          <w:color w:val="auto"/>
          <w:sz w:val="22"/>
          <w:szCs w:val="22"/>
        </w:rPr>
        <w:t>-</w:t>
      </w:r>
      <w:r w:rsidRPr="00FB6E71">
        <w:rPr>
          <w:rFonts w:asciiTheme="minorHAnsi" w:hAnsiTheme="minorHAnsi"/>
          <w:bCs/>
          <w:color w:val="auto"/>
          <w:sz w:val="22"/>
          <w:szCs w:val="22"/>
        </w:rPr>
        <w:t xml:space="preserve">risk security environments, a dynamic monitoring of the project’s security environment is crucial to allow for quick responses to changing conditions and </w:t>
      </w:r>
      <w:r>
        <w:rPr>
          <w:rFonts w:asciiTheme="minorHAnsi" w:hAnsiTheme="minorHAnsi"/>
          <w:bCs/>
          <w:color w:val="auto"/>
          <w:sz w:val="22"/>
          <w:szCs w:val="22"/>
        </w:rPr>
        <w:t xml:space="preserve">to </w:t>
      </w:r>
      <w:r w:rsidRPr="00FB6E71">
        <w:rPr>
          <w:rFonts w:asciiTheme="minorHAnsi" w:hAnsiTheme="minorHAnsi"/>
          <w:bCs/>
          <w:color w:val="auto"/>
          <w:sz w:val="22"/>
          <w:szCs w:val="22"/>
        </w:rPr>
        <w:t xml:space="preserve">help make rapid adjustments of geographic project foci if necessary. While conflict sensitivity will be provided by adopting a bottom-up approach led by the states and informed by community consultations, this can be complemented by top-down </w:t>
      </w:r>
      <w:r>
        <w:rPr>
          <w:rFonts w:asciiTheme="minorHAnsi" w:hAnsiTheme="minorHAnsi"/>
          <w:bCs/>
          <w:color w:val="auto"/>
          <w:sz w:val="22"/>
          <w:szCs w:val="22"/>
        </w:rPr>
        <w:t xml:space="preserve">geographic information system </w:t>
      </w:r>
      <w:r w:rsidRPr="00FB6E71">
        <w:rPr>
          <w:rFonts w:asciiTheme="minorHAnsi" w:hAnsiTheme="minorHAnsi"/>
          <w:bCs/>
          <w:color w:val="auto"/>
          <w:sz w:val="22"/>
          <w:szCs w:val="22"/>
        </w:rPr>
        <w:t xml:space="preserve">based remote tracking of security-related data, which is partly publicly available. Moreover, remote monitoring of displacement trends, socioeconomic indicators, and environmental factors can support the </w:t>
      </w:r>
      <w:r w:rsidRPr="00FB6E71">
        <w:rPr>
          <w:rFonts w:ascii="Calibri" w:eastAsia="Times New Roman" w:hAnsi="Calibri" w:cs="Calibri"/>
          <w:color w:val="auto"/>
          <w:sz w:val="22"/>
          <w:szCs w:val="22"/>
        </w:rPr>
        <w:t xml:space="preserve">progressive prioritization of the project implementation steps, while assessing geo-referenced data on security dynamics and transport infrastructure can help determine the state of accessibility of specific areas and thus the feasibility of project activities. </w:t>
      </w:r>
      <w:r w:rsidRPr="00FB6E71">
        <w:rPr>
          <w:rFonts w:asciiTheme="minorHAnsi" w:hAnsiTheme="minorHAnsi"/>
          <w:bCs/>
          <w:color w:val="auto"/>
          <w:sz w:val="22"/>
          <w:szCs w:val="22"/>
        </w:rPr>
        <w:t>In cases where nongovernmental entities, such as third-party monitors, local NGOs</w:t>
      </w:r>
      <w:r>
        <w:rPr>
          <w:rFonts w:asciiTheme="minorHAnsi" w:hAnsiTheme="minorHAnsi"/>
          <w:bCs/>
          <w:color w:val="auto"/>
          <w:sz w:val="22"/>
          <w:szCs w:val="22"/>
        </w:rPr>
        <w:t>,</w:t>
      </w:r>
      <w:r w:rsidRPr="00FB6E71">
        <w:rPr>
          <w:rFonts w:asciiTheme="minorHAnsi" w:hAnsiTheme="minorHAnsi"/>
          <w:bCs/>
          <w:color w:val="auto"/>
          <w:sz w:val="22"/>
          <w:szCs w:val="22"/>
        </w:rPr>
        <w:t xml:space="preserve"> and CSOs, or the private sector are resorted to for supervision, implementation</w:t>
      </w:r>
      <w:r>
        <w:rPr>
          <w:rFonts w:asciiTheme="minorHAnsi" w:hAnsiTheme="minorHAnsi"/>
          <w:bCs/>
          <w:color w:val="auto"/>
          <w:sz w:val="22"/>
          <w:szCs w:val="22"/>
        </w:rPr>
        <w:t>,</w:t>
      </w:r>
      <w:r w:rsidRPr="00FB6E71">
        <w:rPr>
          <w:rFonts w:asciiTheme="minorHAnsi" w:hAnsiTheme="minorHAnsi"/>
          <w:bCs/>
          <w:color w:val="auto"/>
          <w:sz w:val="22"/>
          <w:szCs w:val="22"/>
        </w:rPr>
        <w:t xml:space="preserve"> or M&amp;E, the use of straightforward </w:t>
      </w:r>
      <w:r>
        <w:rPr>
          <w:rFonts w:asciiTheme="minorHAnsi" w:hAnsiTheme="minorHAnsi"/>
          <w:bCs/>
          <w:color w:val="auto"/>
          <w:sz w:val="22"/>
          <w:szCs w:val="22"/>
        </w:rPr>
        <w:t>global positioning system (</w:t>
      </w:r>
      <w:r w:rsidRPr="00FB6E71">
        <w:rPr>
          <w:rFonts w:asciiTheme="minorHAnsi" w:hAnsiTheme="minorHAnsi"/>
          <w:bCs/>
          <w:color w:val="auto"/>
          <w:sz w:val="22"/>
          <w:szCs w:val="22"/>
        </w:rPr>
        <w:t>GPS</w:t>
      </w:r>
      <w:r>
        <w:rPr>
          <w:rFonts w:asciiTheme="minorHAnsi" w:hAnsiTheme="minorHAnsi"/>
          <w:bCs/>
          <w:color w:val="auto"/>
          <w:sz w:val="22"/>
          <w:szCs w:val="22"/>
        </w:rPr>
        <w:t>)</w:t>
      </w:r>
      <w:r w:rsidRPr="00FB6E71">
        <w:rPr>
          <w:rFonts w:asciiTheme="minorHAnsi" w:hAnsiTheme="minorHAnsi"/>
          <w:bCs/>
          <w:color w:val="auto"/>
          <w:sz w:val="22"/>
          <w:szCs w:val="22"/>
        </w:rPr>
        <w:t xml:space="preserve"> tools can help remotely monitor the progress of such third-party agents. The same tools can be used for routine and ad hoc quality checks as part of implementation support provided by the task team and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implementing and M&amp;E agencies, including for </w:t>
      </w:r>
      <w:r>
        <w:rPr>
          <w:rFonts w:asciiTheme="minorHAnsi" w:hAnsiTheme="minorHAnsi"/>
          <w:bCs/>
          <w:color w:val="auto"/>
          <w:sz w:val="22"/>
          <w:szCs w:val="22"/>
        </w:rPr>
        <w:t>r</w:t>
      </w:r>
      <w:r w:rsidRPr="00FB6E71">
        <w:rPr>
          <w:rFonts w:asciiTheme="minorHAnsi" w:hAnsiTheme="minorHAnsi"/>
          <w:bCs/>
          <w:color w:val="auto"/>
          <w:sz w:val="22"/>
          <w:szCs w:val="22"/>
        </w:rPr>
        <w:t xml:space="preserve">egular </w:t>
      </w:r>
      <w:r>
        <w:rPr>
          <w:rFonts w:asciiTheme="minorHAnsi" w:hAnsiTheme="minorHAnsi"/>
          <w:bCs/>
          <w:color w:val="auto"/>
          <w:sz w:val="22"/>
          <w:szCs w:val="22"/>
        </w:rPr>
        <w:t>q</w:t>
      </w:r>
      <w:r w:rsidRPr="00FB6E71">
        <w:rPr>
          <w:rFonts w:asciiTheme="minorHAnsi" w:hAnsiTheme="minorHAnsi"/>
          <w:bCs/>
          <w:color w:val="auto"/>
          <w:sz w:val="22"/>
          <w:szCs w:val="22"/>
        </w:rPr>
        <w:t xml:space="preserve">uality </w:t>
      </w:r>
      <w:r>
        <w:rPr>
          <w:rFonts w:asciiTheme="minorHAnsi" w:hAnsiTheme="minorHAnsi"/>
          <w:bCs/>
          <w:color w:val="auto"/>
          <w:sz w:val="22"/>
          <w:szCs w:val="22"/>
        </w:rPr>
        <w:t>s</w:t>
      </w:r>
      <w:r w:rsidRPr="00FB6E71">
        <w:rPr>
          <w:rFonts w:asciiTheme="minorHAnsi" w:hAnsiTheme="minorHAnsi"/>
          <w:bCs/>
          <w:color w:val="auto"/>
          <w:sz w:val="22"/>
          <w:szCs w:val="22"/>
        </w:rPr>
        <w:t xml:space="preserve">upervision </w:t>
      </w:r>
      <w:r>
        <w:rPr>
          <w:rFonts w:asciiTheme="minorHAnsi" w:hAnsiTheme="minorHAnsi"/>
          <w:bCs/>
          <w:color w:val="auto"/>
          <w:sz w:val="22"/>
          <w:szCs w:val="22"/>
        </w:rPr>
        <w:t>and</w:t>
      </w:r>
      <w:r w:rsidRPr="00FB6E71">
        <w:rPr>
          <w:rFonts w:asciiTheme="minorHAnsi" w:hAnsiTheme="minorHAnsi"/>
          <w:bCs/>
          <w:color w:val="auto"/>
          <w:sz w:val="22"/>
          <w:szCs w:val="22"/>
        </w:rPr>
        <w:t xml:space="preserve"> </w:t>
      </w:r>
      <w:r>
        <w:rPr>
          <w:rFonts w:asciiTheme="minorHAnsi" w:hAnsiTheme="minorHAnsi"/>
          <w:bCs/>
          <w:color w:val="auto"/>
          <w:sz w:val="22"/>
          <w:szCs w:val="22"/>
        </w:rPr>
        <w:t>c</w:t>
      </w:r>
      <w:r w:rsidRPr="00FB6E71">
        <w:rPr>
          <w:rFonts w:asciiTheme="minorHAnsi" w:hAnsiTheme="minorHAnsi"/>
          <w:bCs/>
          <w:color w:val="auto"/>
          <w:sz w:val="22"/>
          <w:szCs w:val="22"/>
        </w:rPr>
        <w:t xml:space="preserve">ertification, </w:t>
      </w:r>
      <w:r>
        <w:rPr>
          <w:rFonts w:asciiTheme="minorHAnsi" w:hAnsiTheme="minorHAnsi"/>
          <w:bCs/>
          <w:color w:val="auto"/>
          <w:sz w:val="22"/>
          <w:szCs w:val="22"/>
        </w:rPr>
        <w:t>p</w:t>
      </w:r>
      <w:r w:rsidRPr="00FB6E71">
        <w:rPr>
          <w:rFonts w:asciiTheme="minorHAnsi" w:hAnsiTheme="minorHAnsi"/>
          <w:bCs/>
          <w:color w:val="auto"/>
          <w:sz w:val="22"/>
          <w:szCs w:val="22"/>
        </w:rPr>
        <w:t xml:space="preserve">eriodic </w:t>
      </w:r>
      <w:r>
        <w:rPr>
          <w:rFonts w:asciiTheme="minorHAnsi" w:hAnsiTheme="minorHAnsi"/>
          <w:bCs/>
          <w:color w:val="auto"/>
          <w:sz w:val="22"/>
          <w:szCs w:val="22"/>
        </w:rPr>
        <w:t>p</w:t>
      </w:r>
      <w:r w:rsidRPr="00FB6E71">
        <w:rPr>
          <w:rFonts w:asciiTheme="minorHAnsi" w:hAnsiTheme="minorHAnsi"/>
          <w:bCs/>
          <w:color w:val="auto"/>
          <w:sz w:val="22"/>
          <w:szCs w:val="22"/>
        </w:rPr>
        <w:t xml:space="preserve">hysical </w:t>
      </w:r>
      <w:r>
        <w:rPr>
          <w:rFonts w:asciiTheme="minorHAnsi" w:hAnsiTheme="minorHAnsi"/>
          <w:bCs/>
          <w:color w:val="auto"/>
          <w:sz w:val="22"/>
          <w:szCs w:val="22"/>
        </w:rPr>
        <w:t>p</w:t>
      </w:r>
      <w:r w:rsidRPr="00FB6E71">
        <w:rPr>
          <w:rFonts w:asciiTheme="minorHAnsi" w:hAnsiTheme="minorHAnsi"/>
          <w:bCs/>
          <w:color w:val="auto"/>
          <w:sz w:val="22"/>
          <w:szCs w:val="22"/>
        </w:rPr>
        <w:t xml:space="preserve">rogress </w:t>
      </w:r>
      <w:r w:rsidRPr="00FB6E71">
        <w:rPr>
          <w:rFonts w:ascii="Calibri" w:eastAsia="Times New Roman" w:hAnsi="Calibri" w:cs="Times New Roman"/>
          <w:color w:val="auto"/>
          <w:sz w:val="22"/>
          <w:szCs w:val="22"/>
        </w:rPr>
        <w:t xml:space="preserve">and </w:t>
      </w:r>
      <w:r>
        <w:rPr>
          <w:rFonts w:ascii="Calibri" w:eastAsia="Times New Roman" w:hAnsi="Calibri" w:cs="Times New Roman"/>
          <w:color w:val="auto"/>
          <w:sz w:val="22"/>
          <w:szCs w:val="22"/>
        </w:rPr>
        <w:t>p</w:t>
      </w:r>
      <w:r w:rsidRPr="00FB6E71">
        <w:rPr>
          <w:rFonts w:ascii="Calibri" w:eastAsia="Times New Roman" w:hAnsi="Calibri" w:cs="Times New Roman"/>
          <w:color w:val="auto"/>
          <w:sz w:val="22"/>
          <w:szCs w:val="22"/>
        </w:rPr>
        <w:t xml:space="preserve">rocess </w:t>
      </w:r>
      <w:r>
        <w:rPr>
          <w:rFonts w:ascii="Calibri" w:eastAsia="Times New Roman" w:hAnsi="Calibri" w:cs="Times New Roman"/>
          <w:color w:val="auto"/>
          <w:sz w:val="22"/>
          <w:szCs w:val="22"/>
        </w:rPr>
        <w:t>m</w:t>
      </w:r>
      <w:r w:rsidRPr="00FB6E71">
        <w:rPr>
          <w:rFonts w:ascii="Calibri" w:eastAsia="Times New Roman" w:hAnsi="Calibri" w:cs="Times New Roman"/>
          <w:color w:val="auto"/>
          <w:sz w:val="22"/>
          <w:szCs w:val="22"/>
        </w:rPr>
        <w:t>onitoring</w:t>
      </w:r>
      <w:r>
        <w:rPr>
          <w:rFonts w:ascii="Calibri" w:eastAsia="Times New Roman" w:hAnsi="Calibri" w:cs="Times New Roman"/>
          <w:color w:val="auto"/>
          <w:sz w:val="22"/>
          <w:szCs w:val="22"/>
        </w:rPr>
        <w:t>,</w:t>
      </w:r>
      <w:r w:rsidRPr="00FB6E71">
        <w:rPr>
          <w:rFonts w:ascii="Calibri" w:eastAsia="Times New Roman" w:hAnsi="Calibri" w:cs="Times New Roman"/>
          <w:color w:val="auto"/>
          <w:sz w:val="22"/>
          <w:szCs w:val="22"/>
        </w:rPr>
        <w:t xml:space="preserve"> and </w:t>
      </w:r>
      <w:r>
        <w:rPr>
          <w:rFonts w:ascii="Calibri" w:eastAsia="Times New Roman" w:hAnsi="Calibri" w:cs="Times New Roman"/>
          <w:color w:val="auto"/>
          <w:sz w:val="22"/>
          <w:szCs w:val="22"/>
        </w:rPr>
        <w:t>t</w:t>
      </w:r>
      <w:r w:rsidRPr="00FB6E71">
        <w:rPr>
          <w:rFonts w:ascii="Calibri" w:eastAsia="Times New Roman" w:hAnsi="Calibri" w:cs="Times New Roman"/>
          <w:color w:val="auto"/>
          <w:sz w:val="22"/>
          <w:szCs w:val="22"/>
        </w:rPr>
        <w:t>hird-</w:t>
      </w:r>
      <w:r>
        <w:rPr>
          <w:rFonts w:ascii="Calibri" w:eastAsia="Times New Roman" w:hAnsi="Calibri" w:cs="Times New Roman"/>
          <w:color w:val="auto"/>
          <w:sz w:val="22"/>
          <w:szCs w:val="22"/>
        </w:rPr>
        <w:t>p</w:t>
      </w:r>
      <w:r w:rsidRPr="00FB6E71">
        <w:rPr>
          <w:rFonts w:ascii="Calibri" w:eastAsia="Times New Roman" w:hAnsi="Calibri" w:cs="Times New Roman"/>
          <w:color w:val="auto"/>
          <w:sz w:val="22"/>
          <w:szCs w:val="22"/>
        </w:rPr>
        <w:t xml:space="preserve">arty </w:t>
      </w:r>
      <w:r>
        <w:rPr>
          <w:rFonts w:ascii="Calibri" w:eastAsia="Times New Roman" w:hAnsi="Calibri" w:cs="Times New Roman"/>
          <w:color w:val="auto"/>
          <w:sz w:val="22"/>
          <w:szCs w:val="22"/>
        </w:rPr>
        <w:t>q</w:t>
      </w:r>
      <w:r w:rsidRPr="00FB6E71">
        <w:rPr>
          <w:rFonts w:ascii="Calibri" w:eastAsia="Times New Roman" w:hAnsi="Calibri" w:cs="Times New Roman"/>
          <w:color w:val="auto"/>
          <w:sz w:val="22"/>
          <w:szCs w:val="22"/>
        </w:rPr>
        <w:t xml:space="preserve">uality </w:t>
      </w:r>
      <w:r>
        <w:rPr>
          <w:rFonts w:ascii="Calibri" w:eastAsia="Times New Roman" w:hAnsi="Calibri" w:cs="Times New Roman"/>
          <w:color w:val="auto"/>
          <w:sz w:val="22"/>
          <w:szCs w:val="22"/>
        </w:rPr>
        <w:t>a</w:t>
      </w:r>
      <w:r w:rsidRPr="00FB6E71">
        <w:rPr>
          <w:rFonts w:ascii="Calibri" w:eastAsia="Times New Roman" w:hAnsi="Calibri" w:cs="Times New Roman"/>
          <w:color w:val="auto"/>
          <w:sz w:val="22"/>
          <w:szCs w:val="22"/>
        </w:rPr>
        <w:t>udits.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Over time, changes in the nature of the crisis as well as progress in the implementation of the program or other issues might require a review of the </w:t>
      </w:r>
      <w:r>
        <w:rPr>
          <w:rFonts w:asciiTheme="minorHAnsi" w:hAnsiTheme="minorHAnsi"/>
          <w:bCs/>
          <w:color w:val="auto"/>
          <w:sz w:val="22"/>
          <w:szCs w:val="22"/>
        </w:rPr>
        <w:t>R</w:t>
      </w:r>
      <w:r w:rsidRPr="00FB6E71">
        <w:rPr>
          <w:rFonts w:asciiTheme="minorHAnsi" w:hAnsiTheme="minorHAnsi"/>
          <w:bCs/>
          <w:color w:val="auto"/>
          <w:sz w:val="22"/>
          <w:szCs w:val="22"/>
        </w:rPr>
        <w:t xml:space="preserve">esults </w:t>
      </w:r>
      <w:r>
        <w:rPr>
          <w:rFonts w:asciiTheme="minorHAnsi" w:hAnsiTheme="minorHAnsi"/>
          <w:bCs/>
          <w:color w:val="auto"/>
          <w:sz w:val="22"/>
          <w:szCs w:val="22"/>
        </w:rPr>
        <w:t>F</w:t>
      </w:r>
      <w:r w:rsidRPr="00FB6E71">
        <w:rPr>
          <w:rFonts w:asciiTheme="minorHAnsi" w:hAnsiTheme="minorHAnsi"/>
          <w:bCs/>
          <w:color w:val="auto"/>
          <w:sz w:val="22"/>
          <w:szCs w:val="22"/>
        </w:rPr>
        <w:t>ramework. As certain interventions prove to be successful or less successful, the MCRP implementation should be adapted accordingly. In this regard, the project’s intermediate results could be reviewed every 12 months. The overall review w</w:t>
      </w:r>
      <w:r>
        <w:rPr>
          <w:rFonts w:asciiTheme="minorHAnsi" w:hAnsiTheme="minorHAnsi"/>
          <w:bCs/>
          <w:color w:val="auto"/>
          <w:sz w:val="22"/>
          <w:szCs w:val="22"/>
        </w:rPr>
        <w:t>ill</w:t>
      </w:r>
      <w:r w:rsidRPr="00FB6E71">
        <w:rPr>
          <w:rFonts w:asciiTheme="minorHAnsi" w:hAnsiTheme="minorHAnsi"/>
          <w:bCs/>
          <w:color w:val="auto"/>
          <w:sz w:val="22"/>
          <w:szCs w:val="22"/>
        </w:rPr>
        <w:t xml:space="preserve"> be conducted by the PCNI, together with the state PCUs with the communities and beneficiaries.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AE14DE">
        <w:rPr>
          <w:rFonts w:asciiTheme="minorHAnsi" w:hAnsiTheme="minorHAnsi"/>
          <w:b/>
          <w:color w:val="auto"/>
          <w:sz w:val="22"/>
          <w:szCs w:val="22"/>
        </w:rPr>
        <w:t>Implementation supervision and coordination with partners.</w:t>
      </w:r>
      <w:r w:rsidRPr="00FB6E71">
        <w:rPr>
          <w:rFonts w:asciiTheme="minorHAnsi" w:hAnsiTheme="minorHAnsi"/>
          <w:bCs/>
          <w:color w:val="auto"/>
          <w:sz w:val="22"/>
          <w:szCs w:val="22"/>
        </w:rPr>
        <w:t xml:space="preserve"> Most of the interventions carried out through the MCRP will be implemented at a specific location, which can be geo-tagged by relatively straightforward means, through simple GPS devices and smart phones. This includes, among other</w:t>
      </w:r>
      <w:r>
        <w:rPr>
          <w:rFonts w:asciiTheme="minorHAnsi" w:hAnsiTheme="minorHAnsi"/>
          <w:bCs/>
          <w:color w:val="auto"/>
          <w:sz w:val="22"/>
          <w:szCs w:val="22"/>
        </w:rPr>
        <w:t xml:space="preserve"> thing</w:t>
      </w:r>
      <w:r w:rsidRPr="00FB6E71">
        <w:rPr>
          <w:rFonts w:asciiTheme="minorHAnsi" w:hAnsiTheme="minorHAnsi"/>
          <w:bCs/>
          <w:color w:val="auto"/>
          <w:sz w:val="22"/>
          <w:szCs w:val="22"/>
        </w:rPr>
        <w:t xml:space="preserve">s, the following intervention types: </w:t>
      </w:r>
      <w:r w:rsidRPr="00F82A42">
        <w:rPr>
          <w:rFonts w:asciiTheme="minorHAnsi" w:hAnsiTheme="minorHAnsi"/>
          <w:bCs/>
          <w:color w:val="auto"/>
          <w:sz w:val="22"/>
          <w:szCs w:val="22"/>
        </w:rPr>
        <w:t xml:space="preserve">(a) Transport: geographic footprints of targeted </w:t>
      </w:r>
      <w:r w:rsidRPr="00F82A42">
        <w:rPr>
          <w:rFonts w:ascii="Calibri" w:eastAsia="MS Mincho" w:hAnsi="Calibri" w:cs="Times New Roman"/>
          <w:bCs/>
          <w:color w:val="auto"/>
          <w:sz w:val="22"/>
          <w:szCs w:val="22"/>
        </w:rPr>
        <w:t xml:space="preserve">roads and bridges; (b) </w:t>
      </w:r>
      <w:r w:rsidRPr="00F82A42">
        <w:rPr>
          <w:rFonts w:asciiTheme="minorHAnsi" w:hAnsiTheme="minorHAnsi"/>
          <w:bCs/>
          <w:color w:val="auto"/>
          <w:sz w:val="22"/>
          <w:szCs w:val="22"/>
        </w:rPr>
        <w:t xml:space="preserve">Municipal services: </w:t>
      </w:r>
      <w:r w:rsidRPr="00F82A42">
        <w:rPr>
          <w:rFonts w:ascii="Calibri" w:eastAsia="MS Mincho" w:hAnsi="Calibri" w:cs="Times New Roman"/>
          <w:bCs/>
          <w:color w:val="auto"/>
          <w:sz w:val="22"/>
          <w:szCs w:val="22"/>
        </w:rPr>
        <w:t xml:space="preserve">locations of targeted </w:t>
      </w:r>
      <w:r w:rsidRPr="00F82A42">
        <w:rPr>
          <w:rFonts w:asciiTheme="minorHAnsi" w:hAnsiTheme="minorHAnsi"/>
          <w:bCs/>
          <w:color w:val="auto"/>
          <w:sz w:val="22"/>
          <w:szCs w:val="22"/>
        </w:rPr>
        <w:t>water supply, sanitation</w:t>
      </w:r>
      <w:r>
        <w:rPr>
          <w:rFonts w:asciiTheme="minorHAnsi" w:hAnsiTheme="minorHAnsi"/>
          <w:bCs/>
          <w:color w:val="auto"/>
          <w:sz w:val="22"/>
          <w:szCs w:val="22"/>
        </w:rPr>
        <w:t>,</w:t>
      </w:r>
      <w:r w:rsidRPr="00F82A42">
        <w:rPr>
          <w:rFonts w:asciiTheme="minorHAnsi" w:hAnsiTheme="minorHAnsi"/>
          <w:bCs/>
          <w:color w:val="auto"/>
          <w:sz w:val="22"/>
          <w:szCs w:val="22"/>
        </w:rPr>
        <w:t xml:space="preserve"> and solid waste facilities; (c) Education: l</w:t>
      </w:r>
      <w:r w:rsidRPr="00F82A42">
        <w:rPr>
          <w:rFonts w:ascii="Calibri" w:eastAsia="MS Mincho" w:hAnsi="Calibri" w:cs="Times New Roman"/>
          <w:bCs/>
          <w:color w:val="auto"/>
          <w:sz w:val="22"/>
          <w:szCs w:val="22"/>
        </w:rPr>
        <w:t xml:space="preserve">ocations of targeted </w:t>
      </w:r>
      <w:r w:rsidRPr="00F82A42">
        <w:rPr>
          <w:rFonts w:asciiTheme="minorHAnsi" w:hAnsiTheme="minorHAnsi"/>
          <w:bCs/>
          <w:color w:val="auto"/>
          <w:sz w:val="22"/>
          <w:szCs w:val="22"/>
        </w:rPr>
        <w:t>education infrastructure; (d) Health: l</w:t>
      </w:r>
      <w:r w:rsidRPr="00F82A42">
        <w:rPr>
          <w:rFonts w:ascii="Calibri" w:eastAsia="MS Mincho" w:hAnsi="Calibri" w:cs="Times New Roman"/>
          <w:bCs/>
          <w:color w:val="auto"/>
          <w:sz w:val="22"/>
          <w:szCs w:val="22"/>
        </w:rPr>
        <w:t xml:space="preserve">ocations of targeted </w:t>
      </w:r>
      <w:r w:rsidRPr="00F82A42">
        <w:rPr>
          <w:rFonts w:asciiTheme="minorHAnsi" w:hAnsiTheme="minorHAnsi"/>
          <w:bCs/>
          <w:color w:val="auto"/>
          <w:sz w:val="22"/>
          <w:szCs w:val="22"/>
        </w:rPr>
        <w:t xml:space="preserve">health facilities; and (e) Public buildings: </w:t>
      </w:r>
      <w:r w:rsidRPr="00F82A42">
        <w:rPr>
          <w:rFonts w:ascii="Calibri" w:eastAsia="MS Mincho" w:hAnsi="Calibri" w:cs="Times New Roman"/>
          <w:bCs/>
          <w:color w:val="auto"/>
          <w:sz w:val="22"/>
          <w:szCs w:val="22"/>
        </w:rPr>
        <w:t>lo</w:t>
      </w:r>
      <w:r w:rsidRPr="00FB6E71">
        <w:rPr>
          <w:rFonts w:ascii="Calibri" w:eastAsia="MS Mincho" w:hAnsi="Calibri" w:cs="Times New Roman"/>
          <w:bCs/>
          <w:color w:val="auto"/>
          <w:sz w:val="22"/>
          <w:szCs w:val="22"/>
        </w:rPr>
        <w:t xml:space="preserve">cations of targeted </w:t>
      </w:r>
      <w:r w:rsidRPr="00FB6E71">
        <w:rPr>
          <w:rFonts w:asciiTheme="minorHAnsi" w:hAnsiTheme="minorHAnsi"/>
          <w:bCs/>
          <w:color w:val="auto"/>
          <w:sz w:val="22"/>
          <w:szCs w:val="22"/>
        </w:rPr>
        <w:t xml:space="preserve">local government buildings. Training and capacity building will be provided to the PCUs and </w:t>
      </w:r>
      <w:r>
        <w:rPr>
          <w:rFonts w:asciiTheme="minorHAnsi" w:hAnsiTheme="minorHAnsi"/>
          <w:bCs/>
          <w:color w:val="auto"/>
          <w:sz w:val="22"/>
          <w:szCs w:val="22"/>
        </w:rPr>
        <w:t>t</w:t>
      </w:r>
      <w:r w:rsidRPr="00FB6E71">
        <w:rPr>
          <w:rFonts w:asciiTheme="minorHAnsi" w:hAnsiTheme="minorHAnsi"/>
          <w:bCs/>
          <w:color w:val="auto"/>
          <w:sz w:val="22"/>
          <w:szCs w:val="22"/>
        </w:rPr>
        <w:t>hird-</w:t>
      </w:r>
      <w:r>
        <w:rPr>
          <w:rFonts w:asciiTheme="minorHAnsi" w:hAnsiTheme="minorHAnsi"/>
          <w:bCs/>
          <w:color w:val="auto"/>
          <w:sz w:val="22"/>
          <w:szCs w:val="22"/>
        </w:rPr>
        <w:t>p</w:t>
      </w:r>
      <w:r w:rsidRPr="00FB6E71">
        <w:rPr>
          <w:rFonts w:asciiTheme="minorHAnsi" w:hAnsiTheme="minorHAnsi"/>
          <w:bCs/>
          <w:color w:val="auto"/>
          <w:sz w:val="22"/>
          <w:szCs w:val="22"/>
        </w:rPr>
        <w:t xml:space="preserve">arty </w:t>
      </w:r>
      <w:r>
        <w:rPr>
          <w:rFonts w:asciiTheme="minorHAnsi" w:hAnsiTheme="minorHAnsi"/>
          <w:bCs/>
          <w:color w:val="auto"/>
          <w:sz w:val="22"/>
          <w:szCs w:val="22"/>
        </w:rPr>
        <w:t>m</w:t>
      </w:r>
      <w:r w:rsidRPr="00FB6E71">
        <w:rPr>
          <w:rFonts w:asciiTheme="minorHAnsi" w:hAnsiTheme="minorHAnsi"/>
          <w:bCs/>
          <w:color w:val="auto"/>
          <w:sz w:val="22"/>
          <w:szCs w:val="22"/>
        </w:rPr>
        <w:t xml:space="preserve">onitors </w:t>
      </w:r>
      <w:r>
        <w:rPr>
          <w:rFonts w:asciiTheme="minorHAnsi" w:hAnsiTheme="minorHAnsi"/>
          <w:bCs/>
          <w:color w:val="auto"/>
          <w:sz w:val="22"/>
          <w:szCs w:val="22"/>
        </w:rPr>
        <w:t>on</w:t>
      </w:r>
      <w:r w:rsidRPr="00FB6E71">
        <w:rPr>
          <w:rFonts w:asciiTheme="minorHAnsi" w:hAnsiTheme="minorHAnsi"/>
          <w:bCs/>
          <w:color w:val="auto"/>
          <w:sz w:val="22"/>
          <w:szCs w:val="22"/>
        </w:rPr>
        <w:t xml:space="preserve"> using GPS devices and related tools for geo-tagging. A systematic recording and monitoring of the geographic footprint of the project will serve to facilitate the coordination with development partners and to </w:t>
      </w:r>
      <w:r w:rsidRPr="00FB6E71">
        <w:rPr>
          <w:rFonts w:ascii="Calibri" w:eastAsia="Times New Roman" w:hAnsi="Calibri" w:cs="Calibri"/>
          <w:sz w:val="22"/>
          <w:szCs w:val="22"/>
        </w:rPr>
        <w:t>tak</w:t>
      </w:r>
      <w:r>
        <w:rPr>
          <w:rFonts w:ascii="Calibri" w:eastAsia="Times New Roman" w:hAnsi="Calibri" w:cs="Calibri"/>
          <w:sz w:val="22"/>
          <w:szCs w:val="22"/>
        </w:rPr>
        <w:t>e</w:t>
      </w:r>
      <w:r w:rsidRPr="00FB6E71">
        <w:rPr>
          <w:rFonts w:ascii="Calibri" w:eastAsia="Times New Roman" w:hAnsi="Calibri" w:cs="Calibri"/>
          <w:sz w:val="22"/>
          <w:szCs w:val="22"/>
        </w:rPr>
        <w:t xml:space="preserve"> into account potential geographic overlaps with ongoing and proposed projects and programs by partners. In turn, the geographic database can also feed into the gap analysis and help </w:t>
      </w:r>
      <w:r>
        <w:rPr>
          <w:rFonts w:ascii="Calibri" w:eastAsia="Times New Roman" w:hAnsi="Calibri" w:cs="Calibri"/>
          <w:sz w:val="22"/>
          <w:szCs w:val="22"/>
        </w:rPr>
        <w:t>en</w:t>
      </w:r>
      <w:r w:rsidRPr="00FB6E71">
        <w:rPr>
          <w:rFonts w:ascii="Calibri" w:eastAsia="Times New Roman" w:hAnsi="Calibri" w:cs="Calibri"/>
          <w:sz w:val="22"/>
          <w:szCs w:val="22"/>
        </w:rPr>
        <w:t xml:space="preserve">sure that </w:t>
      </w:r>
      <w:r>
        <w:rPr>
          <w:rFonts w:ascii="Calibri" w:eastAsia="Times New Roman" w:hAnsi="Calibri" w:cs="Calibri"/>
          <w:sz w:val="22"/>
          <w:szCs w:val="22"/>
        </w:rPr>
        <w:t xml:space="preserve">the </w:t>
      </w:r>
      <w:r w:rsidRPr="00FB6E71">
        <w:rPr>
          <w:rFonts w:ascii="Calibri" w:eastAsia="Times New Roman" w:hAnsi="Calibri" w:cs="Calibri"/>
          <w:sz w:val="22"/>
          <w:szCs w:val="22"/>
        </w:rPr>
        <w:t>project complements the World Bank AF projects in the most efficient way.</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Social </w:t>
      </w:r>
      <w:r>
        <w:rPr>
          <w:rFonts w:asciiTheme="minorHAnsi" w:hAnsiTheme="minorHAnsi"/>
          <w:bCs/>
          <w:color w:val="auto"/>
          <w:sz w:val="22"/>
          <w:szCs w:val="22"/>
        </w:rPr>
        <w:t>a</w:t>
      </w:r>
      <w:r w:rsidRPr="00FB6E71">
        <w:rPr>
          <w:rFonts w:asciiTheme="minorHAnsi" w:hAnsiTheme="minorHAnsi"/>
          <w:bCs/>
          <w:color w:val="auto"/>
          <w:sz w:val="22"/>
          <w:szCs w:val="22"/>
        </w:rPr>
        <w:t xml:space="preserve">ccountability and </w:t>
      </w:r>
      <w:r>
        <w:rPr>
          <w:rFonts w:asciiTheme="minorHAnsi" w:hAnsiTheme="minorHAnsi"/>
          <w:bCs/>
          <w:color w:val="auto"/>
          <w:sz w:val="22"/>
          <w:szCs w:val="22"/>
        </w:rPr>
        <w:t>c</w:t>
      </w:r>
      <w:r w:rsidRPr="00FB6E71">
        <w:rPr>
          <w:rFonts w:asciiTheme="minorHAnsi" w:hAnsiTheme="minorHAnsi"/>
          <w:bCs/>
          <w:color w:val="auto"/>
          <w:sz w:val="22"/>
          <w:szCs w:val="22"/>
        </w:rPr>
        <w:t xml:space="preserve">ommunity </w:t>
      </w:r>
      <w:r>
        <w:rPr>
          <w:rFonts w:asciiTheme="minorHAnsi" w:hAnsiTheme="minorHAnsi"/>
          <w:bCs/>
          <w:color w:val="auto"/>
          <w:sz w:val="22"/>
          <w:szCs w:val="22"/>
        </w:rPr>
        <w:t>e</w:t>
      </w:r>
      <w:r w:rsidRPr="00FB6E71">
        <w:rPr>
          <w:rFonts w:asciiTheme="minorHAnsi" w:hAnsiTheme="minorHAnsi"/>
          <w:bCs/>
          <w:color w:val="auto"/>
          <w:sz w:val="22"/>
          <w:szCs w:val="22"/>
        </w:rPr>
        <w:t xml:space="preserve">ngagement mechanisms will be enhanced through project initiatives.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will enhance social accountability and citizen engagement by introducing citizen feedback mechanisms in some of the interventions planned (that is, Subcomponent 2.3) and through the project as a mechanism of M&amp;E. Such feedback mechanisms will enhance citizen engagement in decision making and will ensure that citizen feedback is tak</w:t>
      </w:r>
      <w:r>
        <w:rPr>
          <w:rFonts w:asciiTheme="minorHAnsi" w:hAnsiTheme="minorHAnsi"/>
          <w:bCs/>
          <w:color w:val="auto"/>
          <w:sz w:val="22"/>
          <w:szCs w:val="22"/>
        </w:rPr>
        <w:t>en</w:t>
      </w:r>
      <w:r w:rsidRPr="00FB6E71">
        <w:rPr>
          <w:rFonts w:asciiTheme="minorHAnsi" w:hAnsiTheme="minorHAnsi"/>
          <w:bCs/>
          <w:color w:val="auto"/>
          <w:sz w:val="22"/>
          <w:szCs w:val="22"/>
        </w:rPr>
        <w:t xml:space="preserve"> into account in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project design and implementation. Also, the project will emphasize </w:t>
      </w:r>
      <w:r>
        <w:rPr>
          <w:rFonts w:asciiTheme="minorHAnsi" w:hAnsiTheme="minorHAnsi"/>
          <w:bCs/>
          <w:color w:val="auto"/>
          <w:sz w:val="22"/>
          <w:szCs w:val="22"/>
        </w:rPr>
        <w:t xml:space="preserve">the </w:t>
      </w:r>
      <w:r w:rsidRPr="00FB6E71">
        <w:rPr>
          <w:rFonts w:asciiTheme="minorHAnsi" w:hAnsiTheme="minorHAnsi"/>
          <w:bCs/>
          <w:color w:val="auto"/>
          <w:sz w:val="22"/>
          <w:szCs w:val="22"/>
        </w:rPr>
        <w:t>dissemination of project</w:t>
      </w:r>
      <w:r>
        <w:rPr>
          <w:rFonts w:asciiTheme="minorHAnsi" w:hAnsiTheme="minorHAnsi"/>
          <w:bCs/>
          <w:color w:val="auto"/>
          <w:sz w:val="22"/>
          <w:szCs w:val="22"/>
        </w:rPr>
        <w:t>-</w:t>
      </w:r>
      <w:r w:rsidRPr="00FB6E71">
        <w:rPr>
          <w:rFonts w:asciiTheme="minorHAnsi" w:hAnsiTheme="minorHAnsi"/>
          <w:bCs/>
          <w:color w:val="auto"/>
          <w:sz w:val="22"/>
          <w:szCs w:val="22"/>
        </w:rPr>
        <w:t xml:space="preserve">related information to project beneficiaries </w:t>
      </w:r>
      <w:r>
        <w:rPr>
          <w:rFonts w:asciiTheme="minorHAnsi" w:hAnsiTheme="minorHAnsi"/>
          <w:bCs/>
          <w:color w:val="auto"/>
          <w:sz w:val="22"/>
          <w:szCs w:val="22"/>
        </w:rPr>
        <w:t xml:space="preserve">and </w:t>
      </w:r>
      <w:r w:rsidRPr="00FB6E71">
        <w:rPr>
          <w:rFonts w:asciiTheme="minorHAnsi" w:hAnsiTheme="minorHAnsi"/>
          <w:bCs/>
          <w:color w:val="auto"/>
          <w:sz w:val="22"/>
          <w:szCs w:val="22"/>
        </w:rPr>
        <w:t>will also open mechanisms to address their grievances and complaints through established GRMs. The results of these exercises could also be reported to any existing state-level citizen oversight committees or such similar mechanisms set up under the project.</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Social accountability mechanisms, such as grievance redress, will also be mobilized to help monitor the impact of the operation. Conflict-sensitive indicators w</w:t>
      </w:r>
      <w:r>
        <w:rPr>
          <w:rFonts w:asciiTheme="minorHAnsi" w:hAnsiTheme="minorHAnsi"/>
          <w:bCs/>
          <w:color w:val="auto"/>
          <w:sz w:val="22"/>
          <w:szCs w:val="22"/>
        </w:rPr>
        <w:t>ill</w:t>
      </w:r>
      <w:r w:rsidRPr="00FB6E71">
        <w:rPr>
          <w:rFonts w:asciiTheme="minorHAnsi" w:hAnsiTheme="minorHAnsi"/>
          <w:bCs/>
          <w:color w:val="auto"/>
          <w:sz w:val="22"/>
          <w:szCs w:val="22"/>
        </w:rPr>
        <w:t xml:space="preserve"> provide early warning of potentially negative impacts of interventions, which may necessitate further mitigation strategies and adaptation. Community involvement could include community-based mapping of results, for example, using simple cell phone based applications that provide location-based information and photos from the progress (for example, areas where roads have been </w:t>
      </w:r>
      <w:r w:rsidRPr="00FB6E71">
        <w:rPr>
          <w:rFonts w:asciiTheme="minorHAnsi" w:hAnsiTheme="minorHAnsi"/>
          <w:color w:val="212121"/>
          <w:sz w:val="22"/>
          <w:szCs w:val="22"/>
        </w:rPr>
        <w:t>constructed</w:t>
      </w:r>
      <w:r w:rsidRPr="00FB6E71">
        <w:rPr>
          <w:rFonts w:asciiTheme="minorHAnsi" w:hAnsiTheme="minorHAnsi"/>
          <w:bCs/>
          <w:color w:val="auto"/>
          <w:sz w:val="22"/>
          <w:szCs w:val="22"/>
        </w:rPr>
        <w:t>, houses have been completed, or cash-for-work programs have been implemented).</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In summary, the </w:t>
      </w:r>
      <w:r>
        <w:rPr>
          <w:rFonts w:asciiTheme="minorHAnsi" w:hAnsiTheme="minorHAnsi"/>
          <w:b/>
          <w:bCs/>
          <w:color w:val="auto"/>
          <w:sz w:val="22"/>
          <w:szCs w:val="22"/>
        </w:rPr>
        <w:t>p</w:t>
      </w:r>
      <w:r w:rsidRPr="00FB6E71">
        <w:rPr>
          <w:rFonts w:asciiTheme="minorHAnsi" w:hAnsiTheme="minorHAnsi"/>
          <w:b/>
          <w:bCs/>
          <w:color w:val="auto"/>
          <w:sz w:val="22"/>
          <w:szCs w:val="22"/>
        </w:rPr>
        <w:t xml:space="preserve">roject will put in place a multitier quality oversight and control and results monitoring </w:t>
      </w:r>
      <w:r w:rsidRPr="00795201">
        <w:rPr>
          <w:rFonts w:asciiTheme="minorHAnsi" w:hAnsiTheme="minorHAnsi"/>
          <w:b/>
          <w:bCs/>
          <w:color w:val="auto"/>
          <w:sz w:val="22"/>
          <w:szCs w:val="22"/>
        </w:rPr>
        <w:t>mechanism entailing</w:t>
      </w:r>
      <w:r w:rsidRPr="00FB6E71">
        <w:rPr>
          <w:rFonts w:asciiTheme="minorHAnsi" w:hAnsiTheme="minorHAnsi"/>
          <w:bCs/>
          <w:color w:val="auto"/>
          <w:sz w:val="22"/>
          <w:szCs w:val="22"/>
        </w:rPr>
        <w:t xml:space="preserve"> (a) physical quality control and supervision; (b) result</w:t>
      </w:r>
      <w:r>
        <w:rPr>
          <w:rFonts w:asciiTheme="minorHAnsi" w:hAnsiTheme="minorHAnsi"/>
          <w:bCs/>
          <w:color w:val="auto"/>
          <w:sz w:val="22"/>
          <w:szCs w:val="22"/>
        </w:rPr>
        <w:t>s</w:t>
      </w:r>
      <w:r w:rsidRPr="00FB6E71">
        <w:rPr>
          <w:rFonts w:asciiTheme="minorHAnsi" w:hAnsiTheme="minorHAnsi"/>
          <w:bCs/>
          <w:color w:val="auto"/>
          <w:sz w:val="22"/>
          <w:szCs w:val="22"/>
        </w:rPr>
        <w:t xml:space="preserve"> M&amp;E system</w:t>
      </w:r>
      <w:r>
        <w:rPr>
          <w:rFonts w:asciiTheme="minorHAnsi" w:hAnsiTheme="minorHAnsi"/>
          <w:bCs/>
          <w:color w:val="auto"/>
          <w:sz w:val="22"/>
          <w:szCs w:val="22"/>
        </w:rPr>
        <w:t>;</w:t>
      </w:r>
      <w:r w:rsidRPr="00FB6E71">
        <w:rPr>
          <w:rFonts w:asciiTheme="minorHAnsi" w:hAnsiTheme="minorHAnsi"/>
          <w:bCs/>
          <w:color w:val="auto"/>
          <w:sz w:val="22"/>
          <w:szCs w:val="22"/>
        </w:rPr>
        <w:t xml:space="preserve"> (c) social accountability and grievance redress systems</w:t>
      </w:r>
      <w:r>
        <w:rPr>
          <w:rFonts w:asciiTheme="minorHAnsi" w:hAnsiTheme="minorHAnsi"/>
          <w:bCs/>
          <w:color w:val="auto"/>
          <w:sz w:val="22"/>
          <w:szCs w:val="22"/>
        </w:rPr>
        <w:t>;</w:t>
      </w:r>
      <w:r w:rsidRPr="00FB6E71">
        <w:rPr>
          <w:rFonts w:asciiTheme="minorHAnsi" w:hAnsiTheme="minorHAnsi"/>
          <w:bCs/>
          <w:color w:val="auto"/>
          <w:sz w:val="22"/>
          <w:szCs w:val="22"/>
        </w:rPr>
        <w:t xml:space="preserve"> and (d) third-party performance verification and audits. This is shown in the schematic diagram </w:t>
      </w:r>
      <w:r>
        <w:rPr>
          <w:rFonts w:asciiTheme="minorHAnsi" w:hAnsiTheme="minorHAnsi"/>
          <w:bCs/>
          <w:color w:val="auto"/>
          <w:sz w:val="22"/>
          <w:szCs w:val="22"/>
        </w:rPr>
        <w:t xml:space="preserve">in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_Ref475720838 \h  \* MERGEFORMAT </w:instrText>
      </w:r>
      <w:r>
        <w:rPr>
          <w:rFonts w:asciiTheme="minorHAnsi" w:hAnsiTheme="minorHAnsi"/>
          <w:bCs/>
          <w:color w:val="auto"/>
          <w:sz w:val="22"/>
          <w:szCs w:val="22"/>
        </w:rPr>
        <w:fldChar w:fldCharType="separate"/>
      </w:r>
      <w:r w:rsidRPr="00795201">
        <w:rPr>
          <w:rFonts w:asciiTheme="minorHAnsi" w:hAnsiTheme="minorHAnsi"/>
          <w:bCs/>
          <w:color w:val="auto"/>
          <w:sz w:val="22"/>
          <w:szCs w:val="22"/>
        </w:rPr>
        <w:t>figure 2.2</w:t>
      </w:r>
      <w:r>
        <w:rPr>
          <w:rFonts w:asciiTheme="minorHAnsi" w:hAnsiTheme="minorHAnsi"/>
          <w:bCs/>
          <w:color w:val="auto"/>
          <w:sz w:val="22"/>
          <w:szCs w:val="22"/>
        </w:rPr>
        <w:fldChar w:fldCharType="end"/>
      </w:r>
      <w:r w:rsidRPr="00FB6E71">
        <w:rPr>
          <w:rFonts w:asciiTheme="minorHAnsi" w:hAnsiTheme="minorHAnsi"/>
          <w:bCs/>
          <w:color w:val="auto"/>
          <w:sz w:val="22"/>
          <w:szCs w:val="22"/>
        </w:rPr>
        <w:t>, which also proposes the information flow and reporting mechanisms across multiple agencies.</w:t>
      </w:r>
    </w:p>
    <w:p w:rsidR="007F2DE7" w:rsidRPr="00FB6E71" w:rsidP="007F2DE7">
      <w:pPr>
        <w:pStyle w:val="ListParagraph"/>
        <w:rPr>
          <w:rFonts w:asciiTheme="minorHAnsi" w:hAnsiTheme="minorHAnsi"/>
          <w:bCs/>
          <w:color w:val="auto"/>
          <w:sz w:val="22"/>
          <w:szCs w:val="22"/>
        </w:rPr>
        <w:sectPr w:rsidSect="007F2DE7">
          <w:headerReference w:type="default" r:id="rId21"/>
          <w:footerReference w:type="default" r:id="rId22"/>
          <w:pgSz w:w="12240" w:h="15840" w:code="1"/>
          <w:pgMar w:top="1440" w:right="1440" w:bottom="1440" w:left="1440" w:header="720" w:footer="720" w:gutter="0"/>
          <w:cols w:space="720"/>
          <w:docGrid w:linePitch="360"/>
        </w:sectPr>
      </w:pPr>
    </w:p>
    <w:p w:rsidR="007F2DE7" w:rsidRPr="00FB6E71" w:rsidP="007F2DE7">
      <w:pPr>
        <w:pStyle w:val="Caption"/>
        <w:keepNext/>
        <w:keepLines/>
        <w:widowControl/>
        <w:spacing w:before="120" w:after="120"/>
        <w:jc w:val="center"/>
        <w:rPr>
          <w:rFonts w:asciiTheme="minorHAnsi" w:hAnsiTheme="minorHAnsi"/>
          <w:b/>
          <w:i w:val="0"/>
          <w:color w:val="auto"/>
        </w:rPr>
      </w:pPr>
      <w:bookmarkStart w:id="141" w:name="_Ref475720838"/>
      <w:r w:rsidRPr="00FB6E71">
        <w:rPr>
          <w:rFonts w:asciiTheme="minorHAnsi" w:hAnsiTheme="minorHAnsi"/>
          <w:b/>
          <w:i w:val="0"/>
          <w:color w:val="auto"/>
        </w:rPr>
        <w:t>Figure 2.</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Figure_2. \* ARABIC </w:instrText>
      </w:r>
      <w:r w:rsidRPr="00FB6E71">
        <w:rPr>
          <w:rFonts w:asciiTheme="minorHAnsi" w:hAnsiTheme="minorHAnsi"/>
          <w:b/>
          <w:i w:val="0"/>
          <w:color w:val="auto"/>
        </w:rPr>
        <w:fldChar w:fldCharType="separate"/>
      </w:r>
      <w:r w:rsidRPr="00FB6E71">
        <w:rPr>
          <w:rFonts w:asciiTheme="minorHAnsi" w:hAnsiTheme="minorHAnsi"/>
          <w:b/>
          <w:i w:val="0"/>
          <w:color w:val="auto"/>
        </w:rPr>
        <w:t>2</w:t>
      </w:r>
      <w:r w:rsidRPr="00FB6E71">
        <w:rPr>
          <w:rFonts w:asciiTheme="minorHAnsi" w:hAnsiTheme="minorHAnsi"/>
          <w:b/>
          <w:i w:val="0"/>
          <w:color w:val="auto"/>
        </w:rPr>
        <w:fldChar w:fldCharType="end"/>
      </w:r>
      <w:bookmarkEnd w:id="141"/>
      <w:r w:rsidRPr="00FB6E71">
        <w:rPr>
          <w:rFonts w:asciiTheme="minorHAnsi" w:hAnsiTheme="minorHAnsi"/>
          <w:b/>
          <w:i w:val="0"/>
          <w:color w:val="auto"/>
        </w:rPr>
        <w:t>. MCRP Results Monitoring and Reporting and Quality Assurance Mechanism</w:t>
      </w:r>
    </w:p>
    <w:p w:rsidR="007F2DE7" w:rsidRPr="00FB6E71" w:rsidP="007F2DE7">
      <w:pPr>
        <w:pStyle w:val="ListParagraph"/>
        <w:widowControl/>
        <w:ind w:left="0"/>
        <w:contextualSpacing w:val="0"/>
        <w:jc w:val="center"/>
        <w:rPr>
          <w:rFonts w:asciiTheme="minorHAnsi" w:hAnsiTheme="minorHAnsi"/>
          <w:bCs/>
          <w:color w:val="auto"/>
          <w:sz w:val="18"/>
          <w:szCs w:val="18"/>
        </w:rPr>
      </w:pPr>
      <w:r w:rsidRPr="00FB6E71">
        <w:rPr>
          <w:rFonts w:asciiTheme="minorHAnsi" w:hAnsiTheme="minorHAnsi"/>
          <w:bCs/>
          <w:noProof/>
          <w:color w:val="auto"/>
          <w:sz w:val="18"/>
          <w:szCs w:val="18"/>
        </w:rPr>
        <w:drawing>
          <wp:anchor distT="0" distB="0" distL="114300" distR="114300" simplePos="0" relativeHeight="251667456" behindDoc="0" locked="1" layoutInCell="1" allowOverlap="0">
            <wp:simplePos x="0" y="0"/>
            <wp:positionH relativeFrom="margin">
              <wp:align>center</wp:align>
            </wp:positionH>
            <wp:positionV relativeFrom="paragraph">
              <wp:posOffset>-13335</wp:posOffset>
            </wp:positionV>
            <wp:extent cx="8138160" cy="40163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4892"/>
                    <a:stretch>
                      <a:fillRect/>
                    </a:stretch>
                  </pic:blipFill>
                  <pic:spPr bwMode="auto">
                    <a:xfrm>
                      <a:off x="0" y="0"/>
                      <a:ext cx="8138160" cy="40163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DE7" w:rsidRPr="00FB6E71" w:rsidP="007F2DE7">
      <w:pPr>
        <w:pStyle w:val="ListParagraph"/>
        <w:rPr>
          <w:rFonts w:asciiTheme="minorHAnsi" w:hAnsiTheme="minorHAnsi"/>
          <w:bCs/>
          <w:color w:val="auto"/>
          <w:sz w:val="22"/>
          <w:szCs w:val="22"/>
        </w:rPr>
      </w:pPr>
    </w:p>
    <w:p w:rsidR="007F2DE7" w:rsidRPr="00FB6E71" w:rsidP="007F2DE7">
      <w:pPr>
        <w:pStyle w:val="ListParagraph"/>
        <w:rPr>
          <w:rFonts w:asciiTheme="minorHAnsi" w:hAnsiTheme="minorHAnsi"/>
          <w:bCs/>
          <w:color w:val="auto"/>
          <w:sz w:val="22"/>
          <w:szCs w:val="22"/>
        </w:rPr>
        <w:sectPr w:rsidSect="007F2DE7">
          <w:headerReference w:type="default" r:id="rId24"/>
          <w:footerReference w:type="default" r:id="rId25"/>
          <w:pgSz w:w="15840" w:h="12240" w:orient="landscape" w:code="1"/>
          <w:pgMar w:top="1440" w:right="1440" w:bottom="1440" w:left="1440" w:header="720" w:footer="720" w:gutter="0"/>
          <w:cols w:space="720"/>
          <w:docGrid w:linePitch="360"/>
        </w:sectPr>
      </w:pPr>
    </w:p>
    <w:p w:rsidR="007F2DE7" w:rsidRPr="00FB6E71" w:rsidP="007F2DE7">
      <w:pPr>
        <w:keepNext/>
        <w:keepLines/>
        <w:widowControl/>
        <w:spacing w:after="240"/>
        <w:ind w:left="-634"/>
        <w:rPr>
          <w:rFonts w:asciiTheme="minorHAnsi" w:hAnsiTheme="minorHAnsi"/>
          <w:b/>
          <w:color w:val="172D5F"/>
          <w:sz w:val="22"/>
          <w:szCs w:val="22"/>
        </w:rPr>
      </w:pPr>
      <w:r w:rsidRPr="00FB6E71">
        <w:rPr>
          <w:rFonts w:asciiTheme="minorHAnsi" w:hAnsiTheme="minorHAnsi"/>
          <w:b/>
          <w:color w:val="172D5F"/>
          <w:sz w:val="22"/>
          <w:szCs w:val="22"/>
        </w:rPr>
        <w:t xml:space="preserve">Role of Partners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The </w:t>
      </w:r>
      <w:r>
        <w:rPr>
          <w:rFonts w:asciiTheme="minorHAnsi" w:hAnsiTheme="minorHAnsi"/>
          <w:bCs/>
          <w:color w:val="auto"/>
          <w:sz w:val="22"/>
          <w:szCs w:val="22"/>
        </w:rPr>
        <w:t>p</w:t>
      </w:r>
      <w:r w:rsidRPr="00FB6E71">
        <w:rPr>
          <w:rFonts w:asciiTheme="minorHAnsi" w:hAnsiTheme="minorHAnsi"/>
          <w:bCs/>
          <w:color w:val="auto"/>
          <w:sz w:val="22"/>
          <w:szCs w:val="22"/>
        </w:rPr>
        <w:t>roject is based on the principle of providing a multi-sector, multi-partner, programmatic solution to crisis recovery</w:t>
      </w:r>
      <w:r>
        <w:rPr>
          <w:rFonts w:asciiTheme="minorHAnsi" w:hAnsiTheme="minorHAnsi"/>
          <w:bCs/>
          <w:color w:val="auto"/>
          <w:sz w:val="22"/>
          <w:szCs w:val="22"/>
        </w:rPr>
        <w:t>,</w:t>
      </w:r>
      <w:r w:rsidRPr="00FB6E71">
        <w:rPr>
          <w:rFonts w:asciiTheme="minorHAnsi" w:hAnsiTheme="minorHAnsi"/>
          <w:bCs/>
          <w:color w:val="auto"/>
          <w:sz w:val="22"/>
          <w:szCs w:val="22"/>
        </w:rPr>
        <w:t xml:space="preserve"> with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components proposed as subsets of the larger, program-level needs identified in the RPBA. As a result, the role of partners is fundamental to the success of both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and the overall program of recovery and peace building in the NE.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Given the overwhelming and urgent needs in the NE and the dozens of government and development partners engaged in meeting those needs,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team has put a premium on coordination. On the government side, these include the PCNI, the FMBNP, the FMoF,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Office of the Secretary to the Government,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Office of the Vice President, the NEMA, and the representatives of the state governments of BAY. From development partners, these include the EU, the UN, </w:t>
      </w:r>
      <w:r w:rsidRPr="005E798F">
        <w:rPr>
          <w:rFonts w:asciiTheme="minorHAnsi" w:hAnsiTheme="minorHAnsi"/>
          <w:bCs/>
          <w:color w:val="auto"/>
          <w:sz w:val="22"/>
          <w:szCs w:val="22"/>
        </w:rPr>
        <w:t>DFID</w:t>
      </w:r>
      <w:r w:rsidRPr="00FB6E71">
        <w:rPr>
          <w:rFonts w:asciiTheme="minorHAnsi" w:hAnsiTheme="minorHAnsi"/>
          <w:bCs/>
          <w:color w:val="auto"/>
          <w:sz w:val="22"/>
          <w:szCs w:val="22"/>
        </w:rPr>
        <w:t>, USAID, GIZ, IsDB, and AfDB. The World Bank convened these partners at a workshop in Abuja on August 17</w:t>
      </w:r>
      <w:r>
        <w:rPr>
          <w:rFonts w:asciiTheme="minorHAnsi" w:hAnsiTheme="minorHAnsi"/>
          <w:bCs/>
          <w:color w:val="auto"/>
          <w:sz w:val="22"/>
          <w:szCs w:val="22"/>
        </w:rPr>
        <w:t>, 2016,</w:t>
      </w:r>
      <w:r w:rsidRPr="00FB6E71">
        <w:rPr>
          <w:rFonts w:asciiTheme="minorHAnsi" w:hAnsiTheme="minorHAnsi"/>
          <w:bCs/>
          <w:color w:val="auto"/>
          <w:sz w:val="22"/>
          <w:szCs w:val="22"/>
        </w:rPr>
        <w:t xml:space="preserve"> to agree on a coordinated, forward-looking Strategic Action Plan for the NE that builds on the foundations that the Buhari Plan and the RPBA collectively provide.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The </w:t>
      </w:r>
      <w:r>
        <w:rPr>
          <w:rFonts w:asciiTheme="minorHAnsi" w:hAnsiTheme="minorHAnsi"/>
          <w:bCs/>
          <w:color w:val="auto"/>
          <w:sz w:val="22"/>
          <w:szCs w:val="22"/>
        </w:rPr>
        <w:t>p</w:t>
      </w:r>
      <w:r w:rsidRPr="00FB6E71">
        <w:rPr>
          <w:rFonts w:asciiTheme="minorHAnsi" w:hAnsiTheme="minorHAnsi"/>
          <w:bCs/>
          <w:color w:val="auto"/>
          <w:sz w:val="22"/>
          <w:szCs w:val="22"/>
        </w:rPr>
        <w:t>roject has been designed through a rigorous multi-stakeholder and multi-partner process spanning nearly a year. The RPBA, led by the Government and supported by the World Bank, the UN</w:t>
      </w:r>
      <w:r>
        <w:rPr>
          <w:rFonts w:asciiTheme="minorHAnsi" w:hAnsiTheme="minorHAnsi"/>
          <w:bCs/>
          <w:color w:val="auto"/>
          <w:sz w:val="22"/>
          <w:szCs w:val="22"/>
        </w:rPr>
        <w:t>,</w:t>
      </w:r>
      <w:r w:rsidRPr="00FB6E71">
        <w:rPr>
          <w:rFonts w:asciiTheme="minorHAnsi" w:hAnsiTheme="minorHAnsi"/>
          <w:bCs/>
          <w:color w:val="auto"/>
          <w:sz w:val="22"/>
          <w:szCs w:val="22"/>
        </w:rPr>
        <w:t xml:space="preserve"> and the EU, afforded many opportunities for close collaboration with key development partners. In the aftermath of the RPBA,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team continued to work closely with a range of government and development partners to ensure close coordination in the critical post-RPBA phase and to establish the strategic parameters and operational principles that underpin the proposed design and approach of the </w:t>
      </w:r>
      <w:r>
        <w:rPr>
          <w:rFonts w:asciiTheme="minorHAnsi" w:hAnsiTheme="minorHAnsi"/>
          <w:bCs/>
          <w:color w:val="auto"/>
          <w:sz w:val="22"/>
          <w:szCs w:val="22"/>
        </w:rPr>
        <w:t>p</w:t>
      </w:r>
      <w:r w:rsidRPr="00FB6E71">
        <w:rPr>
          <w:rFonts w:asciiTheme="minorHAnsi" w:hAnsiTheme="minorHAnsi"/>
          <w:bCs/>
          <w:color w:val="auto"/>
          <w:sz w:val="22"/>
          <w:szCs w:val="22"/>
        </w:rPr>
        <w:t>roject.</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Project implementation will also follow an inclusive and consultative process with key development partners through existing donor coordination mechanisms (for example, the NE Donors Group chaired by </w:t>
      </w:r>
      <w:r w:rsidRPr="005E798F">
        <w:rPr>
          <w:rFonts w:asciiTheme="minorHAnsi" w:hAnsiTheme="minorHAnsi"/>
          <w:bCs/>
          <w:color w:val="auto"/>
          <w:sz w:val="22"/>
          <w:szCs w:val="22"/>
        </w:rPr>
        <w:t>DFID</w:t>
      </w:r>
      <w:r w:rsidRPr="00FB6E71">
        <w:rPr>
          <w:rFonts w:asciiTheme="minorHAnsi" w:hAnsiTheme="minorHAnsi"/>
          <w:bCs/>
          <w:color w:val="auto"/>
          <w:sz w:val="22"/>
          <w:szCs w:val="22"/>
        </w:rPr>
        <w:t>) and new coordination mechanisms as necessary. This will help ensure close strategic harmonization and operational coordination across the interrelated interventions under various development partner programs under</w:t>
      </w:r>
      <w:r>
        <w:rPr>
          <w:rFonts w:asciiTheme="minorHAnsi" w:hAnsiTheme="minorHAnsi"/>
          <w:bCs/>
          <w:color w:val="auto"/>
          <w:sz w:val="22"/>
          <w:szCs w:val="22"/>
        </w:rPr>
        <w:t xml:space="preserve"> </w:t>
      </w:r>
      <w:r w:rsidRPr="00FB6E71">
        <w:rPr>
          <w:rFonts w:asciiTheme="minorHAnsi" w:hAnsiTheme="minorHAnsi"/>
          <w:bCs/>
          <w:color w:val="auto"/>
          <w:sz w:val="22"/>
          <w:szCs w:val="22"/>
        </w:rPr>
        <w:t xml:space="preserve">way or in the planning stages to contribute toward the broader crisis recovery program. The </w:t>
      </w:r>
      <w:r>
        <w:rPr>
          <w:rFonts w:asciiTheme="minorHAnsi" w:hAnsiTheme="minorHAnsi"/>
          <w:bCs/>
          <w:color w:val="auto"/>
          <w:sz w:val="22"/>
          <w:szCs w:val="22"/>
        </w:rPr>
        <w:t>p</w:t>
      </w:r>
      <w:r w:rsidRPr="00FB6E71">
        <w:rPr>
          <w:rFonts w:asciiTheme="minorHAnsi" w:hAnsiTheme="minorHAnsi"/>
          <w:bCs/>
          <w:color w:val="auto"/>
          <w:sz w:val="22"/>
          <w:szCs w:val="22"/>
        </w:rPr>
        <w:t>roject team will also continue to leverage and promote the recovery and peace building strategy agreed under the RPBA to influence the crisis recovery planning and implementation of various development partners.</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Alignment with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MDBs.</w:t>
      </w:r>
      <w:r w:rsidRPr="00FB6E71">
        <w:rPr>
          <w:rFonts w:asciiTheme="minorHAnsi" w:hAnsiTheme="minorHAnsi"/>
          <w:bCs/>
          <w:color w:val="auto"/>
          <w:sz w:val="22"/>
          <w:szCs w:val="22"/>
        </w:rPr>
        <w:t xml:space="preserve"> The </w:t>
      </w:r>
      <w:r>
        <w:rPr>
          <w:rFonts w:asciiTheme="minorHAnsi" w:hAnsiTheme="minorHAnsi"/>
          <w:bCs/>
          <w:color w:val="auto"/>
          <w:sz w:val="22"/>
          <w:szCs w:val="22"/>
        </w:rPr>
        <w:t>p</w:t>
      </w:r>
      <w:r w:rsidRPr="00FB6E71">
        <w:rPr>
          <w:rFonts w:asciiTheme="minorHAnsi" w:hAnsiTheme="minorHAnsi"/>
          <w:bCs/>
          <w:color w:val="auto"/>
          <w:sz w:val="22"/>
          <w:szCs w:val="22"/>
        </w:rPr>
        <w:t xml:space="preserve">roject team has discussed and agreed on the key elements of a common programmatic approach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IsDB and AfDB, which are also developing similar infrastructure-focused recovery projects for the NE using the RPBA findings as a basis for project design. It has been agreed that the three states will work closely with the three MDBs to ensure that their respective projects are not designed and implemented as three separate interventions but as independent yet synchronized parts of a common programmatic framework. The AfDB has noted that its US$250 million project on </w:t>
      </w:r>
      <w:r>
        <w:rPr>
          <w:rFonts w:asciiTheme="minorHAnsi" w:hAnsiTheme="minorHAnsi"/>
          <w:bCs/>
          <w:color w:val="auto"/>
          <w:sz w:val="22"/>
          <w:szCs w:val="22"/>
        </w:rPr>
        <w:t>‘</w:t>
      </w:r>
      <w:r w:rsidRPr="00FB6E71">
        <w:rPr>
          <w:rFonts w:asciiTheme="minorHAnsi" w:hAnsiTheme="minorHAnsi"/>
          <w:bCs/>
          <w:color w:val="auto"/>
          <w:sz w:val="22"/>
          <w:szCs w:val="22"/>
        </w:rPr>
        <w:t>Inclusive Basic Social Service Delivery and Livelihood Improvement</w:t>
      </w:r>
      <w:r>
        <w:rPr>
          <w:rFonts w:asciiTheme="minorHAnsi" w:hAnsiTheme="minorHAnsi"/>
          <w:bCs/>
          <w:color w:val="auto"/>
          <w:sz w:val="22"/>
          <w:szCs w:val="22"/>
        </w:rPr>
        <w:t>’</w:t>
      </w:r>
      <w:r w:rsidRPr="00FB6E71">
        <w:rPr>
          <w:rFonts w:asciiTheme="minorHAnsi" w:hAnsiTheme="minorHAnsi"/>
          <w:bCs/>
          <w:color w:val="auto"/>
          <w:sz w:val="22"/>
          <w:szCs w:val="22"/>
        </w:rPr>
        <w:t xml:space="preserve"> has been realigned to the RPBA findings. The IsDB has noted that it is developing an investment package for the NE and has agreed to align with the joint programmatic approach. </w:t>
      </w:r>
    </w:p>
    <w:p w:rsidR="007F2DE7" w:rsidRPr="00FB6E71" w:rsidP="00302E0C">
      <w:pPr>
        <w:pStyle w:val="ListParagraph"/>
        <w:widowControl/>
        <w:numPr>
          <w:ilvl w:val="0"/>
          <w:numId w:val="30"/>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It was agreed that common implementation modalities and institutional arrangements w</w:t>
      </w:r>
      <w:r>
        <w:rPr>
          <w:rFonts w:asciiTheme="minorHAnsi" w:hAnsiTheme="minorHAnsi"/>
          <w:bCs/>
          <w:color w:val="auto"/>
          <w:sz w:val="22"/>
          <w:szCs w:val="22"/>
        </w:rPr>
        <w:t>ill</w:t>
      </w:r>
      <w:r w:rsidRPr="00FB6E71">
        <w:rPr>
          <w:rFonts w:asciiTheme="minorHAnsi" w:hAnsiTheme="minorHAnsi"/>
          <w:bCs/>
          <w:color w:val="auto"/>
          <w:sz w:val="22"/>
          <w:szCs w:val="22"/>
        </w:rPr>
        <w:t xml:space="preserve"> achieve economies of scale and empower the </w:t>
      </w:r>
      <w:r>
        <w:rPr>
          <w:rFonts w:asciiTheme="minorHAnsi" w:hAnsiTheme="minorHAnsi"/>
          <w:bCs/>
          <w:color w:val="auto"/>
          <w:sz w:val="22"/>
          <w:szCs w:val="22"/>
        </w:rPr>
        <w:t>s</w:t>
      </w:r>
      <w:r w:rsidRPr="00FB6E71">
        <w:rPr>
          <w:rFonts w:asciiTheme="minorHAnsi" w:hAnsiTheme="minorHAnsi"/>
          <w:bCs/>
          <w:color w:val="auto"/>
          <w:sz w:val="22"/>
          <w:szCs w:val="22"/>
        </w:rPr>
        <w:t>tates to coordinate a sizeable MDB investment program for the NE. Going forward, this will entail close collaboration between the World Bank, AfDB</w:t>
      </w:r>
      <w:r>
        <w:rPr>
          <w:rFonts w:asciiTheme="minorHAnsi" w:hAnsiTheme="minorHAnsi"/>
          <w:bCs/>
          <w:color w:val="auto"/>
          <w:sz w:val="22"/>
          <w:szCs w:val="22"/>
        </w:rPr>
        <w:t>,</w:t>
      </w:r>
      <w:r w:rsidRPr="00FB6E71">
        <w:rPr>
          <w:rFonts w:asciiTheme="minorHAnsi" w:hAnsiTheme="minorHAnsi"/>
          <w:bCs/>
          <w:color w:val="auto"/>
          <w:sz w:val="22"/>
          <w:szCs w:val="22"/>
        </w:rPr>
        <w:t xml:space="preserve"> and IsDB in the areas of (a) prioritization and sequencing of interventions and gap analysis to determine how to allocate resources in key infrastructure sectors across the three projects; (b) capacity assessment of the three states to determine how to provide coordinated capacity-building support for efficient and effective program implementation</w:t>
      </w:r>
      <w:r>
        <w:rPr>
          <w:rFonts w:asciiTheme="minorHAnsi" w:hAnsiTheme="minorHAnsi"/>
          <w:bCs/>
          <w:color w:val="auto"/>
          <w:sz w:val="22"/>
          <w:szCs w:val="22"/>
        </w:rPr>
        <w:t>;</w:t>
      </w:r>
      <w:r w:rsidRPr="00FB6E71">
        <w:rPr>
          <w:rFonts w:asciiTheme="minorHAnsi" w:hAnsiTheme="minorHAnsi"/>
          <w:bCs/>
          <w:color w:val="auto"/>
          <w:sz w:val="22"/>
          <w:szCs w:val="22"/>
        </w:rPr>
        <w:t xml:space="preserve"> and (c) maximizing the use of common implementation resources</w:t>
      </w:r>
      <w:r>
        <w:rPr>
          <w:rFonts w:asciiTheme="minorHAnsi" w:hAnsiTheme="minorHAnsi"/>
          <w:bCs/>
          <w:color w:val="auto"/>
          <w:sz w:val="22"/>
          <w:szCs w:val="22"/>
        </w:rPr>
        <w:t>;</w:t>
      </w:r>
      <w:r w:rsidRPr="00FB6E71">
        <w:rPr>
          <w:rFonts w:asciiTheme="minorHAnsi" w:hAnsiTheme="minorHAnsi"/>
          <w:bCs/>
          <w:color w:val="auto"/>
          <w:sz w:val="22"/>
          <w:szCs w:val="22"/>
        </w:rPr>
        <w:t xml:space="preserve"> consistent technical design processes</w:t>
      </w:r>
      <w:r>
        <w:rPr>
          <w:rFonts w:asciiTheme="minorHAnsi" w:hAnsiTheme="minorHAnsi"/>
          <w:bCs/>
          <w:color w:val="auto"/>
          <w:sz w:val="22"/>
          <w:szCs w:val="22"/>
        </w:rPr>
        <w:t>;</w:t>
      </w:r>
      <w:r w:rsidRPr="00FB6E71">
        <w:rPr>
          <w:rFonts w:asciiTheme="minorHAnsi" w:hAnsiTheme="minorHAnsi"/>
          <w:bCs/>
          <w:color w:val="auto"/>
          <w:sz w:val="22"/>
          <w:szCs w:val="22"/>
        </w:rPr>
        <w:t xml:space="preserve"> and harmonized FM, procurement</w:t>
      </w:r>
      <w:r>
        <w:rPr>
          <w:rFonts w:asciiTheme="minorHAnsi" w:hAnsiTheme="minorHAnsi"/>
          <w:bCs/>
          <w:color w:val="auto"/>
          <w:sz w:val="22"/>
          <w:szCs w:val="22"/>
        </w:rPr>
        <w:t>,</w:t>
      </w:r>
      <w:r w:rsidRPr="00FB6E71">
        <w:rPr>
          <w:rFonts w:asciiTheme="minorHAnsi" w:hAnsiTheme="minorHAnsi"/>
          <w:bCs/>
          <w:color w:val="auto"/>
          <w:sz w:val="22"/>
          <w:szCs w:val="22"/>
        </w:rPr>
        <w:t xml:space="preserve"> and safeguards </w:t>
      </w:r>
      <w:r w:rsidRPr="00FB6E71">
        <w:rPr>
          <w:rFonts w:ascii="Calibri" w:eastAsia="Times New Roman" w:hAnsi="Calibri" w:cs="Times New Roman"/>
          <w:color w:val="auto"/>
          <w:sz w:val="22"/>
          <w:szCs w:val="22"/>
        </w:rPr>
        <w:t>compliance processes and procedures.</w:t>
      </w:r>
    </w:p>
    <w:p w:rsidR="007F2DE7" w:rsidRPr="00FB6E71" w:rsidP="007F2DE7">
      <w:pPr>
        <w:widowControl/>
        <w:autoSpaceDE/>
        <w:autoSpaceDN/>
        <w:adjustRightInd/>
        <w:spacing w:after="160" w:line="259" w:lineRule="auto"/>
        <w:rPr>
          <w:rFonts w:asciiTheme="minorHAnsi" w:hAnsiTheme="minorHAnsi"/>
          <w:b/>
          <w:bCs/>
          <w:color w:val="7F7F7F" w:themeColor="text1" w:themeTint="80"/>
          <w:sz w:val="22"/>
          <w:szCs w:val="22"/>
        </w:rPr>
      </w:pPr>
      <w:r w:rsidRPr="00FB6E71">
        <w:rPr>
          <w:rFonts w:asciiTheme="minorHAnsi" w:hAnsiTheme="minorHAnsi"/>
          <w:b/>
          <w:bCs/>
          <w:color w:val="7F7F7F" w:themeColor="text1" w:themeTint="80"/>
          <w:sz w:val="22"/>
          <w:szCs w:val="22"/>
        </w:rPr>
        <w:br w:type="page"/>
      </w: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
      <w:tblGrid>
        <w:gridCol w:w="10903"/>
      </w:tblGrid>
      <w:tr w:rsidTr="007F2DE7">
        <w:tblPrEx>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Ex>
        <w:trPr>
          <w:trHeight w:val="432"/>
        </w:trPr>
        <w:tc>
          <w:tcPr>
            <w:tcW w:w="10903" w:type="dxa"/>
            <w:shd w:val="clear" w:color="auto" w:fill="F2F2F2"/>
            <w:vAlign w:val="center"/>
          </w:tcPr>
          <w:p w:rsidR="007F2DE7" w:rsidRPr="00FB6E71" w:rsidP="007F2DE7">
            <w:pPr>
              <w:pStyle w:val="NoSpacing"/>
              <w:jc w:val="center"/>
              <w:outlineLvl w:val="0"/>
              <w:rPr>
                <w:rFonts w:asciiTheme="minorHAnsi" w:hAnsiTheme="minorHAnsi"/>
                <w:b/>
                <w:sz w:val="22"/>
                <w:szCs w:val="22"/>
              </w:rPr>
            </w:pPr>
            <w:bookmarkStart w:id="142" w:name="_Toc256000031"/>
            <w:bookmarkStart w:id="143" w:name="_Toc433982436"/>
            <w:bookmarkStart w:id="144" w:name="_Toc460509218"/>
            <w:bookmarkStart w:id="145" w:name="_Toc476558133"/>
            <w:r w:rsidRPr="00FB6E71">
              <w:rPr>
                <w:rFonts w:asciiTheme="minorHAnsi" w:hAnsiTheme="minorHAnsi"/>
                <w:b/>
                <w:color w:val="000000" w:themeColor="text1"/>
                <w:sz w:val="22"/>
                <w:szCs w:val="22"/>
              </w:rPr>
              <w:t>ANNEX 3: IMPLEMENTATION SUPPORT PLAN</w:t>
            </w:r>
            <w:bookmarkEnd w:id="142"/>
            <w:bookmarkEnd w:id="143"/>
            <w:bookmarkEnd w:id="144"/>
            <w:bookmarkEnd w:id="145"/>
          </w:p>
        </w:tc>
      </w:tr>
    </w:tbl>
    <w:p w:rsidR="007F2DE7" w:rsidRPr="00FB6E71" w:rsidP="007F2DE7">
      <w:pPr>
        <w:ind w:left="-792"/>
        <w:rPr>
          <w:rFonts w:asciiTheme="minorHAnsi" w:hAnsiTheme="minorHAnsi"/>
          <w:b/>
          <w:bCs/>
          <w:color w:val="7F7F7F" w:themeColor="text1" w:themeTint="80"/>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0"/>
      </w:tblGrid>
      <w:tr w:rsidTr="007F2DE7">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9"/>
        </w:trPr>
        <w:tc>
          <w:tcPr>
            <w:tcW w:w="10800" w:type="dxa"/>
          </w:tcPr>
          <w:p w:rsidR="007F2DE7" w:rsidRPr="00FB6E71" w:rsidP="007F2DE7">
            <w:pPr>
              <w:jc w:val="center"/>
              <w:rPr>
                <w:rFonts w:asciiTheme="minorHAnsi" w:hAnsiTheme="minorHAnsi"/>
                <w:b/>
                <w:bCs/>
                <w:color w:val="767171" w:themeColor="background2" w:themeShade="80"/>
                <w:sz w:val="22"/>
                <w:szCs w:val="22"/>
              </w:rPr>
            </w:pPr>
            <w:r w:rsidRPr="00FB6E71">
              <w:rPr>
                <w:rFonts w:asciiTheme="minorHAnsi" w:hAnsiTheme="minorHAnsi"/>
                <w:b/>
                <w:bCs/>
                <w:color w:val="767171" w:themeColor="background2" w:themeShade="80"/>
                <w:sz w:val="22"/>
                <w:szCs w:val="22"/>
              </w:rPr>
              <w:t xml:space="preserve">COUNTRY : Nigeria </w:t>
            </w:r>
            <w:r w:rsidRPr="00FB6E71">
              <w:rPr>
                <w:rFonts w:asciiTheme="minorHAnsi" w:hAnsiTheme="minorHAnsi"/>
                <w:b/>
                <w:bCs/>
                <w:color w:val="767171" w:themeColor="background2" w:themeShade="80"/>
                <w:sz w:val="22"/>
                <w:szCs w:val="22"/>
              </w:rPr>
              <w:br/>
            </w:r>
            <w:r w:rsidRPr="00FB6E71">
              <w:rPr>
                <w:rFonts w:asciiTheme="minorHAnsi" w:hAnsiTheme="minorHAnsi"/>
                <w:b/>
                <w:bCs/>
                <w:color w:val="767171" w:themeColor="background2" w:themeShade="80"/>
                <w:sz w:val="22"/>
                <w:szCs w:val="22"/>
              </w:rPr>
              <w:fldChar w:fldCharType="begin"/>
            </w:r>
            <w:r w:rsidRPr="00FB6E71">
              <w:rPr>
                <w:rFonts w:asciiTheme="minorHAnsi" w:hAnsiTheme="minorHAnsi"/>
                <w:b/>
                <w:bCs/>
                <w:color w:val="767171" w:themeColor="background2" w:themeShade="80"/>
                <w:sz w:val="22"/>
                <w:szCs w:val="22"/>
              </w:rPr>
              <w:instrText xml:space="preserve"> IF "Multi-Sectoral Crisis Recovery Project for North Eastern Nigeria" &lt;&gt; "" "Multi-Sectoral Crisis Recovery Project for North Eastern Nigeria" </w:instrText>
            </w:r>
            <w:r w:rsidRPr="00FB6E71">
              <w:rPr>
                <w:rFonts w:asciiTheme="minorHAnsi" w:hAnsiTheme="minorHAnsi"/>
                <w:b/>
                <w:color w:val="767171" w:themeColor="background2" w:themeShade="80"/>
                <w:sz w:val="22"/>
                <w:szCs w:val="22"/>
              </w:rPr>
              <w:instrText>""</w:instrText>
            </w:r>
            <w:r w:rsidRPr="00FB6E71">
              <w:rPr>
                <w:rFonts w:asciiTheme="minorHAnsi" w:hAnsiTheme="minorHAnsi"/>
                <w:b/>
                <w:bCs/>
                <w:color w:val="767171" w:themeColor="background2" w:themeShade="80"/>
                <w:sz w:val="22"/>
                <w:szCs w:val="22"/>
              </w:rPr>
              <w:fldChar w:fldCharType="separate"/>
            </w:r>
            <w:r w:rsidRPr="00FB6E71">
              <w:rPr>
                <w:rFonts w:asciiTheme="minorHAnsi" w:hAnsiTheme="minorHAnsi"/>
                <w:b/>
                <w:bCs/>
                <w:color w:val="767171" w:themeColor="background2" w:themeShade="80"/>
                <w:sz w:val="22"/>
                <w:szCs w:val="22"/>
              </w:rPr>
              <w:t>Multi-Sectoral Crisis Recovery Project for North Eastern Nigeria</w:t>
            </w:r>
            <w:r w:rsidRPr="00FB6E71">
              <w:rPr>
                <w:rFonts w:asciiTheme="minorHAnsi" w:hAnsiTheme="minorHAnsi"/>
                <w:b/>
                <w:color w:val="767171" w:themeColor="background2" w:themeShade="80"/>
                <w:sz w:val="22"/>
                <w:szCs w:val="22"/>
              </w:rPr>
              <w:fldChar w:fldCharType="end"/>
            </w:r>
          </w:p>
        </w:tc>
      </w:tr>
    </w:tbl>
    <w:p w:rsidR="007F2DE7" w:rsidRPr="00FB6E71" w:rsidP="007F2DE7">
      <w:pPr>
        <w:ind w:left="-576"/>
        <w:rPr>
          <w:rFonts w:asciiTheme="minorHAnsi" w:hAnsiTheme="minorHAnsi"/>
          <w:b/>
          <w:bCs/>
          <w:color w:val="7F7F7F" w:themeColor="text1" w:themeTint="80"/>
          <w:sz w:val="22"/>
          <w:szCs w:val="22"/>
        </w:rPr>
      </w:pPr>
    </w:p>
    <w:tbl>
      <w:tblPr>
        <w:tblStyle w:val="TableGrid4"/>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0"/>
        </w:trPr>
        <w:tc>
          <w:tcPr>
            <w:tcW w:w="10710" w:type="dxa"/>
          </w:tcPr>
          <w:p w:rsidR="007F2DE7" w:rsidRPr="00FB6E71" w:rsidP="007F2DE7">
            <w:pPr>
              <w:pStyle w:val="Normal202"/>
              <w:keepNext/>
              <w:keepLines/>
              <w:widowControl/>
              <w:spacing w:after="240"/>
              <w:rPr>
                <w:rFonts w:asciiTheme="minorHAnsi" w:hAnsiTheme="minorHAnsi"/>
                <w:sz w:val="22"/>
                <w:szCs w:val="22"/>
              </w:rPr>
            </w:pPr>
            <w:r w:rsidRPr="00FB6E71">
              <w:rPr>
                <w:rFonts w:asciiTheme="minorHAnsi" w:hAnsiTheme="minorHAnsi"/>
                <w:b/>
                <w:color w:val="172D5F"/>
                <w:sz w:val="22"/>
                <w:szCs w:val="22"/>
              </w:rPr>
              <w:t>Strategy and Approach for Implementation Support</w:t>
            </w:r>
          </w:p>
        </w:tc>
      </w:tr>
    </w:tbl>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Pr>
          <w:rFonts w:eastAsia="Times New Roman" w:asciiTheme="minorHAnsi" w:hAnsiTheme="minorHAnsi" w:cs="Times New Roman"/>
          <w:color w:val="auto"/>
          <w:sz w:val="22"/>
          <w:szCs w:val="22"/>
        </w:rPr>
        <w:t xml:space="preserve">The </w:t>
      </w:r>
      <w:r w:rsidRPr="00FB6E71">
        <w:rPr>
          <w:rFonts w:eastAsia="Times New Roman" w:asciiTheme="minorHAnsi" w:hAnsiTheme="minorHAnsi" w:cs="Times New Roman"/>
          <w:color w:val="auto"/>
          <w:sz w:val="22"/>
          <w:szCs w:val="22"/>
        </w:rPr>
        <w:t xml:space="preserve">World Bank’s implementation support strategy for the proposed project has been developed based on the nature of the </w:t>
      </w:r>
      <w:r>
        <w:rPr>
          <w:rFonts w:eastAsia="Times New Roman" w:asciiTheme="minorHAnsi" w:hAnsiTheme="minorHAnsi" w:cs="Times New Roman"/>
          <w:color w:val="auto"/>
          <w:sz w:val="22"/>
          <w:szCs w:val="22"/>
        </w:rPr>
        <w:t>p</w:t>
      </w:r>
      <w:r w:rsidRPr="00FB6E71">
        <w:rPr>
          <w:rFonts w:eastAsia="Times New Roman" w:asciiTheme="minorHAnsi" w:hAnsiTheme="minorHAnsi" w:cs="Times New Roman"/>
          <w:color w:val="auto"/>
          <w:sz w:val="22"/>
          <w:szCs w:val="22"/>
        </w:rPr>
        <w:t xml:space="preserve">roject, its risk profile, </w:t>
      </w:r>
      <w:r>
        <w:rPr>
          <w:rFonts w:eastAsia="Times New Roman" w:asciiTheme="minorHAnsi" w:hAnsiTheme="minorHAnsi" w:cs="Times New Roman"/>
          <w:color w:val="auto"/>
          <w:sz w:val="22"/>
          <w:szCs w:val="22"/>
        </w:rPr>
        <w:t xml:space="preserve">the </w:t>
      </w:r>
      <w:r w:rsidRPr="00FB6E71">
        <w:rPr>
          <w:rFonts w:eastAsia="Times New Roman" w:asciiTheme="minorHAnsi" w:hAnsiTheme="minorHAnsi" w:cs="Times New Roman"/>
          <w:color w:val="auto"/>
          <w:sz w:val="22"/>
          <w:szCs w:val="22"/>
        </w:rPr>
        <w:t xml:space="preserve">capacity of the implementing agencies and partners, and </w:t>
      </w:r>
      <w:r>
        <w:rPr>
          <w:rFonts w:eastAsia="Times New Roman" w:asciiTheme="minorHAnsi" w:hAnsiTheme="minorHAnsi" w:cs="Times New Roman"/>
          <w:color w:val="auto"/>
          <w:sz w:val="22"/>
          <w:szCs w:val="22"/>
        </w:rPr>
        <w:t xml:space="preserve">the </w:t>
      </w:r>
      <w:r w:rsidRPr="00FB6E71">
        <w:rPr>
          <w:rFonts w:eastAsia="Times New Roman" w:asciiTheme="minorHAnsi" w:hAnsiTheme="minorHAnsi" w:cs="Times New Roman"/>
          <w:color w:val="auto"/>
          <w:sz w:val="22"/>
          <w:szCs w:val="22"/>
        </w:rPr>
        <w:t xml:space="preserve">lessons learned from </w:t>
      </w:r>
      <w:r>
        <w:rPr>
          <w:rFonts w:eastAsia="Times New Roman" w:asciiTheme="minorHAnsi" w:hAnsiTheme="minorHAnsi" w:cs="Times New Roman"/>
          <w:color w:val="auto"/>
          <w:sz w:val="22"/>
          <w:szCs w:val="22"/>
        </w:rPr>
        <w:t xml:space="preserve">the </w:t>
      </w:r>
      <w:r w:rsidRPr="00FB6E71">
        <w:rPr>
          <w:rFonts w:eastAsia="Times New Roman" w:asciiTheme="minorHAnsi" w:hAnsiTheme="minorHAnsi" w:cs="Times New Roman"/>
          <w:color w:val="auto"/>
          <w:sz w:val="22"/>
          <w:szCs w:val="22"/>
        </w:rPr>
        <w:t xml:space="preserve">past World Bank operations. The Systematic Operations Risk Rating Tool (SORT) rates the overall implementation risk as High, with the following elements of risk considered to be high: (a) Political and Governance, (b) Institutional Capacity for Implementation and Sustainability, and (c) Fiduciary. The risks result from the fluidity of the security situation, the sensitive </w:t>
      </w:r>
      <w:r w:rsidRPr="00FB6E71">
        <w:rPr>
          <w:rFonts w:asciiTheme="minorHAnsi" w:hAnsiTheme="minorHAnsi"/>
          <w:color w:val="000000" w:themeColor="text1"/>
          <w:sz w:val="22"/>
          <w:szCs w:val="22"/>
          <w:lang w:eastAsia="ko-KR"/>
        </w:rPr>
        <w:t xml:space="preserve">nature of </w:t>
      </w:r>
      <w:r>
        <w:rPr>
          <w:rFonts w:asciiTheme="minorHAnsi" w:hAnsiTheme="minorHAnsi"/>
          <w:color w:val="000000" w:themeColor="text1"/>
          <w:sz w:val="22"/>
          <w:szCs w:val="22"/>
          <w:lang w:eastAsia="ko-KR"/>
        </w:rPr>
        <w:t xml:space="preserve">the </w:t>
      </w:r>
      <w:r w:rsidRPr="00FB6E71">
        <w:rPr>
          <w:rFonts w:asciiTheme="minorHAnsi" w:hAnsiTheme="minorHAnsi"/>
          <w:color w:val="000000" w:themeColor="text1"/>
          <w:sz w:val="22"/>
          <w:szCs w:val="22"/>
          <w:lang w:eastAsia="ko-KR"/>
        </w:rPr>
        <w:t xml:space="preserve">project interventions, </w:t>
      </w:r>
      <w:r>
        <w:rPr>
          <w:rFonts w:asciiTheme="minorHAnsi" w:hAnsiTheme="minorHAnsi"/>
          <w:color w:val="000000" w:themeColor="text1"/>
          <w:sz w:val="22"/>
          <w:szCs w:val="22"/>
          <w:lang w:eastAsia="ko-KR"/>
        </w:rPr>
        <w:t xml:space="preserve">the </w:t>
      </w:r>
      <w:r w:rsidRPr="00FB6E71">
        <w:rPr>
          <w:rFonts w:asciiTheme="minorHAnsi" w:hAnsiTheme="minorHAnsi"/>
          <w:color w:val="000000" w:themeColor="text1"/>
          <w:sz w:val="22"/>
          <w:szCs w:val="22"/>
          <w:lang w:eastAsia="ko-KR"/>
        </w:rPr>
        <w:t>targeting criteria and geographical coverage</w:t>
      </w:r>
      <w:r>
        <w:rPr>
          <w:rFonts w:asciiTheme="minorHAnsi" w:hAnsiTheme="minorHAnsi"/>
          <w:color w:val="000000" w:themeColor="text1"/>
          <w:sz w:val="22"/>
          <w:szCs w:val="22"/>
          <w:lang w:eastAsia="ko-KR"/>
        </w:rPr>
        <w:t>,</w:t>
      </w:r>
      <w:r w:rsidRPr="00FB6E71">
        <w:rPr>
          <w:rFonts w:asciiTheme="minorHAnsi" w:hAnsiTheme="minorHAnsi"/>
          <w:color w:val="000000" w:themeColor="text1"/>
          <w:sz w:val="22"/>
          <w:szCs w:val="22"/>
          <w:lang w:eastAsia="ko-KR"/>
        </w:rPr>
        <w:t xml:space="preserve"> and the need to develop </w:t>
      </w:r>
      <w:r w:rsidRPr="00FB6E71">
        <w:rPr>
          <w:rFonts w:asciiTheme="minorHAnsi" w:hAnsiTheme="minorHAnsi"/>
          <w:bCs/>
          <w:color w:val="000000" w:themeColor="text1"/>
          <w:sz w:val="22"/>
          <w:szCs w:val="22"/>
        </w:rPr>
        <w:t>institutional coordina</w:t>
      </w:r>
      <w:r w:rsidRPr="00FB6E71">
        <w:rPr>
          <w:rFonts w:ascii="Calibri" w:eastAsia="Times New Roman" w:hAnsi="Calibri" w:cs="Times New Roman"/>
          <w:color w:val="auto"/>
          <w:sz w:val="22"/>
          <w:szCs w:val="22"/>
        </w:rPr>
        <w:t>tion across various implementing entities.</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000000" w:themeColor="text1"/>
          <w:sz w:val="22"/>
          <w:szCs w:val="22"/>
        </w:rPr>
        <w:t xml:space="preserve">Institutional coordination between </w:t>
      </w:r>
      <w:r>
        <w:rPr>
          <w:rFonts w:asciiTheme="minorHAnsi" w:hAnsiTheme="minorHAnsi"/>
          <w:b/>
          <w:bCs/>
          <w:color w:val="000000" w:themeColor="text1"/>
          <w:sz w:val="22"/>
          <w:szCs w:val="22"/>
        </w:rPr>
        <w:t>s</w:t>
      </w:r>
      <w:r w:rsidRPr="00FB6E71">
        <w:rPr>
          <w:rFonts w:asciiTheme="minorHAnsi" w:hAnsiTheme="minorHAnsi"/>
          <w:b/>
          <w:bCs/>
          <w:color w:val="000000" w:themeColor="text1"/>
          <w:sz w:val="22"/>
          <w:szCs w:val="22"/>
        </w:rPr>
        <w:t xml:space="preserve">tate </w:t>
      </w:r>
      <w:r>
        <w:rPr>
          <w:rFonts w:asciiTheme="minorHAnsi" w:hAnsiTheme="minorHAnsi"/>
          <w:b/>
          <w:bCs/>
          <w:color w:val="000000" w:themeColor="text1"/>
          <w:sz w:val="22"/>
          <w:szCs w:val="22"/>
        </w:rPr>
        <w:t>f</w:t>
      </w:r>
      <w:r w:rsidRPr="00FB6E71">
        <w:rPr>
          <w:rFonts w:asciiTheme="minorHAnsi" w:hAnsiTheme="minorHAnsi"/>
          <w:b/>
          <w:bCs/>
          <w:color w:val="000000" w:themeColor="text1"/>
          <w:sz w:val="22"/>
          <w:szCs w:val="22"/>
        </w:rPr>
        <w:t xml:space="preserve">ocal </w:t>
      </w:r>
      <w:r>
        <w:rPr>
          <w:rFonts w:asciiTheme="minorHAnsi" w:hAnsiTheme="minorHAnsi"/>
          <w:b/>
          <w:bCs/>
          <w:color w:val="000000" w:themeColor="text1"/>
          <w:sz w:val="22"/>
          <w:szCs w:val="22"/>
        </w:rPr>
        <w:t>p</w:t>
      </w:r>
      <w:r w:rsidRPr="00FB6E71">
        <w:rPr>
          <w:rFonts w:asciiTheme="minorHAnsi" w:hAnsiTheme="minorHAnsi"/>
          <w:b/>
          <w:bCs/>
          <w:color w:val="000000" w:themeColor="text1"/>
          <w:sz w:val="22"/>
          <w:szCs w:val="22"/>
        </w:rPr>
        <w:t>ersons and various line departments remains weak, especially in Yobe and Adamawa.</w:t>
      </w:r>
      <w:r w:rsidRPr="00FB6E71">
        <w:rPr>
          <w:rFonts w:asciiTheme="minorHAnsi" w:hAnsiTheme="minorHAnsi"/>
          <w:bCs/>
          <w:color w:val="000000" w:themeColor="text1"/>
          <w:sz w:val="22"/>
          <w:szCs w:val="22"/>
        </w:rPr>
        <w:t xml:space="preserve"> The </w:t>
      </w:r>
      <w:r>
        <w:rPr>
          <w:rFonts w:asciiTheme="minorHAnsi" w:hAnsiTheme="minorHAnsi"/>
          <w:bCs/>
          <w:color w:val="000000" w:themeColor="text1"/>
          <w:sz w:val="22"/>
          <w:szCs w:val="22"/>
        </w:rPr>
        <w:t>s</w:t>
      </w:r>
      <w:r w:rsidRPr="00FB6E71">
        <w:rPr>
          <w:rFonts w:asciiTheme="minorHAnsi" w:hAnsiTheme="minorHAnsi"/>
          <w:bCs/>
          <w:color w:val="000000" w:themeColor="text1"/>
          <w:sz w:val="22"/>
          <w:szCs w:val="22"/>
        </w:rPr>
        <w:t>tates have faced financial difficulties in mobilizing funding for activities to prepare grounds for the project, including prioritization and consultations on the SPARS. Borno faces less of these challenges because the structure of the Ministry of Rehabilitation, Reconstruction</w:t>
      </w:r>
      <w:r>
        <w:rPr>
          <w:rFonts w:asciiTheme="minorHAnsi" w:hAnsiTheme="minorHAnsi"/>
          <w:bCs/>
          <w:color w:val="000000" w:themeColor="text1"/>
          <w:sz w:val="22"/>
          <w:szCs w:val="22"/>
        </w:rPr>
        <w:t>,</w:t>
      </w:r>
      <w:r w:rsidRPr="00FB6E71">
        <w:rPr>
          <w:rFonts w:asciiTheme="minorHAnsi" w:hAnsiTheme="minorHAnsi"/>
          <w:bCs/>
          <w:color w:val="000000" w:themeColor="text1"/>
          <w:sz w:val="22"/>
          <w:szCs w:val="22"/>
        </w:rPr>
        <w:t xml:space="preserve"> and Resettlement has a working system in </w:t>
      </w:r>
      <w:r w:rsidRPr="00286C0F">
        <w:rPr>
          <w:rFonts w:asciiTheme="minorHAnsi" w:hAnsiTheme="minorHAnsi"/>
          <w:bCs/>
          <w:color w:val="000000" w:themeColor="text1"/>
          <w:sz w:val="22"/>
          <w:szCs w:val="22"/>
        </w:rPr>
        <w:t xml:space="preserve">place to </w:t>
      </w:r>
      <w:r w:rsidRPr="00286C0F">
        <w:rPr>
          <w:rFonts w:asciiTheme="minorHAnsi" w:hAnsiTheme="minorHAnsi" w:cs="Times New Roman"/>
          <w:color w:val="auto"/>
          <w:sz w:val="22"/>
          <w:szCs w:val="22"/>
        </w:rPr>
        <w:t>engage</w:t>
      </w:r>
      <w:r w:rsidRPr="00FB6E71">
        <w:rPr>
          <w:rFonts w:asciiTheme="minorHAnsi" w:hAnsiTheme="minorHAnsi"/>
          <w:bCs/>
          <w:color w:val="000000" w:themeColor="text1"/>
          <w:sz w:val="22"/>
          <w:szCs w:val="22"/>
        </w:rPr>
        <w:t xml:space="preserve"> consultants to undertake SPARS</w:t>
      </w:r>
      <w:r>
        <w:rPr>
          <w:rFonts w:asciiTheme="minorHAnsi" w:hAnsiTheme="minorHAnsi"/>
          <w:bCs/>
          <w:color w:val="000000" w:themeColor="text1"/>
          <w:sz w:val="22"/>
          <w:szCs w:val="22"/>
        </w:rPr>
        <w:t>-</w:t>
      </w:r>
      <w:r w:rsidRPr="00FB6E71">
        <w:rPr>
          <w:rFonts w:asciiTheme="minorHAnsi" w:hAnsiTheme="minorHAnsi"/>
          <w:bCs/>
          <w:color w:val="000000" w:themeColor="text1"/>
          <w:sz w:val="22"/>
          <w:szCs w:val="22"/>
        </w:rPr>
        <w:t>related activities. Support is being provided to the teams to overcome these challe</w:t>
      </w:r>
      <w:r w:rsidRPr="00FB6E71">
        <w:rPr>
          <w:rFonts w:ascii="Calibri" w:eastAsia="Times New Roman" w:hAnsi="Calibri" w:cs="Times New Roman"/>
          <w:color w:val="auto"/>
          <w:sz w:val="22"/>
          <w:szCs w:val="22"/>
        </w:rPr>
        <w:t>nges, including through support from trust funds.</w:t>
      </w:r>
      <w:r w:rsidRPr="00FB6E71">
        <w:rPr>
          <w:rFonts w:asciiTheme="minorHAnsi" w:hAnsiTheme="minorHAnsi"/>
          <w:bCs/>
          <w:color w:val="000000" w:themeColor="text1"/>
          <w:sz w:val="22"/>
          <w:szCs w:val="22"/>
        </w:rPr>
        <w:t xml:space="preserve"> </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color w:val="auto"/>
          <w:sz w:val="22"/>
          <w:szCs w:val="22"/>
        </w:rPr>
        <w:t>Implementation support will be provided by the World Bank team (to the extent possible, regionally based) consisting of staff with relevant competencies in operations, procurement, finance</w:t>
      </w:r>
      <w:r>
        <w:rPr>
          <w:rFonts w:asciiTheme="minorHAnsi" w:hAnsiTheme="minorHAnsi" w:cs="Times New Roman"/>
          <w:b/>
          <w:color w:val="auto"/>
          <w:sz w:val="22"/>
          <w:szCs w:val="22"/>
        </w:rPr>
        <w:t>,</w:t>
      </w:r>
      <w:r w:rsidRPr="00FB6E71">
        <w:rPr>
          <w:rFonts w:asciiTheme="minorHAnsi" w:hAnsiTheme="minorHAnsi" w:cs="Times New Roman"/>
          <w:b/>
          <w:color w:val="auto"/>
          <w:sz w:val="22"/>
          <w:szCs w:val="22"/>
        </w:rPr>
        <w:t xml:space="preserve"> and safeguards.</w:t>
      </w:r>
      <w:r w:rsidRPr="00FB6E71">
        <w:rPr>
          <w:rFonts w:asciiTheme="minorHAnsi" w:hAnsiTheme="minorHAnsi" w:cs="Times New Roman"/>
          <w:color w:val="auto"/>
          <w:sz w:val="22"/>
          <w:szCs w:val="22"/>
        </w:rPr>
        <w:t xml:space="preserve"> The World Bank team will undertake periodic field missions throughout the </w:t>
      </w:r>
      <w:r>
        <w:rPr>
          <w:rFonts w:asciiTheme="minorHAnsi" w:hAnsiTheme="minorHAnsi" w:cs="Times New Roman"/>
          <w:color w:val="auto"/>
          <w:sz w:val="22"/>
          <w:szCs w:val="22"/>
        </w:rPr>
        <w:t>p</w:t>
      </w:r>
      <w:r w:rsidRPr="00FB6E71">
        <w:rPr>
          <w:rFonts w:asciiTheme="minorHAnsi" w:hAnsiTheme="minorHAnsi" w:cs="Times New Roman"/>
          <w:color w:val="auto"/>
          <w:sz w:val="22"/>
          <w:szCs w:val="22"/>
        </w:rPr>
        <w:t xml:space="preserve">roject’s implementation as required and allowed by the security situation. Experience under previous emergency </w:t>
      </w:r>
      <w:r w:rsidRPr="00FB6E71">
        <w:rPr>
          <w:rFonts w:asciiTheme="minorHAnsi" w:hAnsiTheme="minorHAnsi"/>
          <w:bCs/>
          <w:sz w:val="22"/>
          <w:szCs w:val="22"/>
        </w:rPr>
        <w:t>operations</w:t>
      </w:r>
      <w:r w:rsidRPr="00FB6E71">
        <w:rPr>
          <w:rFonts w:asciiTheme="minorHAnsi" w:hAnsiTheme="minorHAnsi" w:cs="Times New Roman"/>
          <w:color w:val="auto"/>
          <w:sz w:val="22"/>
          <w:szCs w:val="22"/>
        </w:rPr>
        <w:t xml:space="preserve"> has shown that, given the sensitive and challenging nature of such projects, specific World Bank responsibilities require higher</w:t>
      </w:r>
      <w:r>
        <w:rPr>
          <w:rFonts w:asciiTheme="minorHAnsi" w:hAnsiTheme="minorHAnsi" w:cs="Times New Roman"/>
          <w:color w:val="auto"/>
          <w:sz w:val="22"/>
          <w:szCs w:val="22"/>
        </w:rPr>
        <w:t>-</w:t>
      </w:r>
      <w:r w:rsidRPr="00FB6E71">
        <w:rPr>
          <w:rFonts w:asciiTheme="minorHAnsi" w:hAnsiTheme="minorHAnsi" w:cs="Times New Roman"/>
          <w:color w:val="auto"/>
          <w:sz w:val="22"/>
          <w:szCs w:val="22"/>
        </w:rPr>
        <w:t>than</w:t>
      </w:r>
      <w:r>
        <w:rPr>
          <w:rFonts w:asciiTheme="minorHAnsi" w:hAnsiTheme="minorHAnsi" w:cs="Times New Roman"/>
          <w:color w:val="auto"/>
          <w:sz w:val="22"/>
          <w:szCs w:val="22"/>
        </w:rPr>
        <w:t>-</w:t>
      </w:r>
      <w:r w:rsidRPr="00FB6E71">
        <w:rPr>
          <w:rFonts w:asciiTheme="minorHAnsi" w:hAnsiTheme="minorHAnsi" w:cs="Times New Roman"/>
          <w:color w:val="auto"/>
          <w:sz w:val="22"/>
          <w:szCs w:val="22"/>
        </w:rPr>
        <w:t>normal supervision and support requirements including the transfer of knowledge that the</w:t>
      </w:r>
      <w:r w:rsidRPr="00FB6E71">
        <w:rPr>
          <w:rFonts w:asciiTheme="minorHAnsi" w:hAnsiTheme="minorHAnsi"/>
          <w:bCs/>
          <w:color w:val="000000" w:themeColor="text1"/>
          <w:sz w:val="22"/>
          <w:szCs w:val="22"/>
        </w:rPr>
        <w:t xml:space="preserve"> </w:t>
      </w:r>
      <w:r w:rsidRPr="00FB6E71">
        <w:rPr>
          <w:rFonts w:asciiTheme="minorHAnsi" w:hAnsiTheme="minorHAnsi" w:cs="Times New Roman"/>
          <w:color w:val="auto"/>
          <w:sz w:val="22"/>
          <w:szCs w:val="22"/>
        </w:rPr>
        <w:t>World Bank has gained over the past decade in similar operations.</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color w:val="auto"/>
          <w:sz w:val="22"/>
          <w:szCs w:val="22"/>
        </w:rPr>
        <w:t>The World Bank will contract a neutral third-party monitoring agent (TPMA)</w:t>
      </w:r>
      <w:r>
        <w:rPr>
          <w:rStyle w:val="FootnoteReference"/>
          <w:rFonts w:asciiTheme="minorHAnsi" w:hAnsiTheme="minorHAnsi" w:cs="Times New Roman"/>
          <w:b/>
          <w:color w:val="auto"/>
          <w:sz w:val="22"/>
          <w:szCs w:val="22"/>
        </w:rPr>
        <w:footnoteReference w:id="20"/>
      </w:r>
      <w:r w:rsidRPr="00FB6E71">
        <w:rPr>
          <w:rFonts w:asciiTheme="minorHAnsi" w:hAnsiTheme="minorHAnsi" w:cs="Times New Roman"/>
          <w:b/>
          <w:color w:val="auto"/>
          <w:sz w:val="22"/>
          <w:szCs w:val="22"/>
        </w:rPr>
        <w:t xml:space="preserve"> to enable the World Bank to honor its corporate commitments regarding fiduciary and safeguards responsibility</w:t>
      </w:r>
      <w:r w:rsidRPr="00842A7C">
        <w:rPr>
          <w:rFonts w:asciiTheme="minorHAnsi" w:hAnsiTheme="minorHAnsi" w:cs="Times New Roman"/>
          <w:b/>
          <w:color w:val="auto"/>
          <w:sz w:val="22"/>
          <w:szCs w:val="22"/>
        </w:rPr>
        <w:t>; oversight and implementation support; and M&amp;E of project implementation, outcomes</w:t>
      </w:r>
      <w:r>
        <w:rPr>
          <w:rFonts w:asciiTheme="minorHAnsi" w:hAnsiTheme="minorHAnsi" w:cs="Times New Roman"/>
          <w:b/>
          <w:color w:val="auto"/>
          <w:sz w:val="22"/>
          <w:szCs w:val="22"/>
        </w:rPr>
        <w:t>,</w:t>
      </w:r>
      <w:r w:rsidRPr="00842A7C">
        <w:rPr>
          <w:rFonts w:asciiTheme="minorHAnsi" w:hAnsiTheme="minorHAnsi" w:cs="Times New Roman"/>
          <w:b/>
          <w:color w:val="auto"/>
          <w:sz w:val="22"/>
          <w:szCs w:val="22"/>
        </w:rPr>
        <w:t xml:space="preserve"> and results.</w:t>
      </w:r>
      <w:r w:rsidRPr="00FB6E71">
        <w:rPr>
          <w:rFonts w:asciiTheme="minorHAnsi" w:hAnsiTheme="minorHAnsi" w:cs="Times New Roman"/>
          <w:color w:val="auto"/>
          <w:sz w:val="22"/>
          <w:szCs w:val="22"/>
        </w:rPr>
        <w:t xml:space="preserve"> The TPMA will operate throughout the </w:t>
      </w:r>
      <w:r>
        <w:rPr>
          <w:rFonts w:asciiTheme="minorHAnsi" w:hAnsiTheme="minorHAnsi" w:cs="Times New Roman"/>
          <w:color w:val="auto"/>
          <w:sz w:val="22"/>
          <w:szCs w:val="22"/>
        </w:rPr>
        <w:t>p</w:t>
      </w:r>
      <w:r w:rsidRPr="00FB6E71">
        <w:rPr>
          <w:rFonts w:asciiTheme="minorHAnsi" w:hAnsiTheme="minorHAnsi" w:cs="Times New Roman"/>
          <w:color w:val="auto"/>
          <w:sz w:val="22"/>
          <w:szCs w:val="22"/>
        </w:rPr>
        <w:t xml:space="preserve">roject target areas as opposed to exclusively for safeguards, with particular added value in areas </w:t>
      </w:r>
      <w:r>
        <w:rPr>
          <w:rFonts w:asciiTheme="minorHAnsi" w:hAnsiTheme="minorHAnsi" w:cs="Times New Roman"/>
          <w:color w:val="auto"/>
          <w:sz w:val="22"/>
          <w:szCs w:val="22"/>
        </w:rPr>
        <w:t>that</w:t>
      </w:r>
      <w:r w:rsidRPr="00FB6E71">
        <w:rPr>
          <w:rFonts w:asciiTheme="minorHAnsi" w:hAnsiTheme="minorHAnsi" w:cs="Times New Roman"/>
          <w:color w:val="auto"/>
          <w:sz w:val="22"/>
          <w:szCs w:val="22"/>
        </w:rPr>
        <w:t xml:space="preserve"> are inaccessible to </w:t>
      </w:r>
      <w:r>
        <w:rPr>
          <w:rFonts w:asciiTheme="minorHAnsi" w:hAnsiTheme="minorHAnsi" w:cs="Times New Roman"/>
          <w:color w:val="auto"/>
          <w:sz w:val="22"/>
          <w:szCs w:val="22"/>
        </w:rPr>
        <w:t xml:space="preserve">the </w:t>
      </w:r>
      <w:r w:rsidRPr="00FB6E71">
        <w:rPr>
          <w:rFonts w:asciiTheme="minorHAnsi" w:hAnsiTheme="minorHAnsi" w:cs="Times New Roman"/>
          <w:color w:val="auto"/>
          <w:sz w:val="22"/>
          <w:szCs w:val="22"/>
        </w:rPr>
        <w:t xml:space="preserve">World Bank staff due to security and safety concerns. The TPMA will produce and </w:t>
      </w:r>
      <w:r w:rsidRPr="00FB6E71">
        <w:rPr>
          <w:rFonts w:asciiTheme="minorHAnsi" w:hAnsiTheme="minorHAnsi"/>
          <w:bCs/>
          <w:sz w:val="22"/>
          <w:szCs w:val="22"/>
        </w:rPr>
        <w:t>transmit</w:t>
      </w:r>
      <w:r w:rsidRPr="00FB6E71">
        <w:rPr>
          <w:rFonts w:asciiTheme="minorHAnsi" w:hAnsiTheme="minorHAnsi" w:cs="Times New Roman"/>
          <w:color w:val="auto"/>
          <w:sz w:val="22"/>
          <w:szCs w:val="22"/>
        </w:rPr>
        <w:t xml:space="preserve"> to the World Bank all required data, reports</w:t>
      </w:r>
      <w:r>
        <w:rPr>
          <w:rFonts w:asciiTheme="minorHAnsi" w:hAnsiTheme="minorHAnsi" w:cs="Times New Roman"/>
          <w:color w:val="auto"/>
          <w:sz w:val="22"/>
          <w:szCs w:val="22"/>
        </w:rPr>
        <w:t>,</w:t>
      </w:r>
      <w:r w:rsidRPr="00FB6E71">
        <w:rPr>
          <w:rFonts w:asciiTheme="minorHAnsi" w:hAnsiTheme="minorHAnsi" w:cs="Times New Roman"/>
          <w:color w:val="auto"/>
          <w:sz w:val="22"/>
          <w:szCs w:val="22"/>
        </w:rPr>
        <w:t xml:space="preserve"> and information required to monitor project implementation progress, detect deviations, and identify and respond to problems and bottlenecks. Within the World Bank’s overall fiduciary responsibilities, the TPMA will monitor the procurement transactions and FM requirements, verify construction sites and assets acquired under each project against the specifications, and report to the World Bank on the progress and status of project implementation and contract administration against agreed or contractual timetables and schedules.</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s="Times New Roman"/>
          <w:b/>
          <w:color w:val="auto"/>
          <w:sz w:val="22"/>
          <w:szCs w:val="22"/>
        </w:rPr>
        <w:t>The TPMA will also report to the World</w:t>
      </w:r>
      <w:r>
        <w:rPr>
          <w:rFonts w:asciiTheme="minorHAnsi" w:hAnsiTheme="minorHAnsi" w:cs="Times New Roman"/>
          <w:b/>
          <w:color w:val="auto"/>
          <w:sz w:val="22"/>
          <w:szCs w:val="22"/>
        </w:rPr>
        <w:t xml:space="preserve"> </w:t>
      </w:r>
      <w:r w:rsidRPr="00FB6E71">
        <w:rPr>
          <w:rFonts w:asciiTheme="minorHAnsi" w:hAnsiTheme="minorHAnsi" w:cs="Times New Roman"/>
          <w:b/>
          <w:color w:val="auto"/>
          <w:sz w:val="22"/>
          <w:szCs w:val="22"/>
        </w:rPr>
        <w:t>Bank on compliance with the triggered E&amp;S safeguards polices.</w:t>
      </w:r>
      <w:r w:rsidRPr="00FB6E71">
        <w:rPr>
          <w:rFonts w:asciiTheme="minorHAnsi" w:hAnsiTheme="minorHAnsi" w:cs="Times New Roman"/>
          <w:color w:val="auto"/>
          <w:sz w:val="22"/>
          <w:szCs w:val="22"/>
        </w:rPr>
        <w:t xml:space="preserve"> The TPMA will have access to all relevant E&amp;S documents and instruments of the projects; will supervise E&amp;S due diligence processes; monitor the </w:t>
      </w:r>
      <w:r>
        <w:rPr>
          <w:rFonts w:asciiTheme="minorHAnsi" w:hAnsiTheme="minorHAnsi" w:cs="Times New Roman"/>
          <w:color w:val="auto"/>
          <w:sz w:val="22"/>
          <w:szCs w:val="22"/>
        </w:rPr>
        <w:t>prompt</w:t>
      </w:r>
      <w:r w:rsidRPr="00FB6E71">
        <w:rPr>
          <w:rFonts w:asciiTheme="minorHAnsi" w:hAnsiTheme="minorHAnsi" w:cs="Times New Roman"/>
          <w:color w:val="auto"/>
          <w:sz w:val="22"/>
          <w:szCs w:val="22"/>
        </w:rPr>
        <w:t xml:space="preserve"> preparation of E&amp;S assessments and management instruments, which generally will be required to be completed, consulted with the public</w:t>
      </w:r>
      <w:r>
        <w:rPr>
          <w:rFonts w:asciiTheme="minorHAnsi" w:hAnsiTheme="minorHAnsi" w:cs="Times New Roman"/>
          <w:color w:val="auto"/>
          <w:sz w:val="22"/>
          <w:szCs w:val="22"/>
        </w:rPr>
        <w:t>,</w:t>
      </w:r>
      <w:r w:rsidRPr="00FB6E71">
        <w:rPr>
          <w:rFonts w:asciiTheme="minorHAnsi" w:hAnsiTheme="minorHAnsi" w:cs="Times New Roman"/>
          <w:color w:val="auto"/>
          <w:sz w:val="22"/>
          <w:szCs w:val="22"/>
        </w:rPr>
        <w:t xml:space="preserve"> and approved by the World Bank, before any physical activity or works may commence; will report to the World Bank any incidents in which construction, rubble removal</w:t>
      </w:r>
      <w:r>
        <w:rPr>
          <w:rFonts w:asciiTheme="minorHAnsi" w:hAnsiTheme="minorHAnsi" w:cs="Times New Roman"/>
          <w:color w:val="auto"/>
          <w:sz w:val="22"/>
          <w:szCs w:val="22"/>
        </w:rPr>
        <w:t>,</w:t>
      </w:r>
      <w:r w:rsidRPr="00FB6E71">
        <w:rPr>
          <w:rFonts w:asciiTheme="minorHAnsi" w:hAnsiTheme="minorHAnsi" w:cs="Times New Roman"/>
          <w:color w:val="auto"/>
          <w:sz w:val="22"/>
          <w:szCs w:val="22"/>
        </w:rPr>
        <w:t xml:space="preserve"> or other activities with a physical footprint have occurred without proper safeguards instruments in place and deployed; and will ensure that a functioning </w:t>
      </w:r>
      <w:r>
        <w:rPr>
          <w:rFonts w:asciiTheme="minorHAnsi" w:hAnsiTheme="minorHAnsi" w:cs="Times New Roman"/>
          <w:color w:val="auto"/>
          <w:sz w:val="22"/>
          <w:szCs w:val="22"/>
        </w:rPr>
        <w:t>GRM</w:t>
      </w:r>
      <w:r w:rsidRPr="00FB6E71">
        <w:rPr>
          <w:rFonts w:asciiTheme="minorHAnsi" w:hAnsiTheme="minorHAnsi" w:cs="Times New Roman"/>
          <w:color w:val="auto"/>
          <w:sz w:val="22"/>
          <w:szCs w:val="22"/>
        </w:rPr>
        <w:t xml:space="preserve"> is in place and maintained by the contractors and supervision en</w:t>
      </w:r>
      <w:r w:rsidRPr="00FB6E71">
        <w:rPr>
          <w:rFonts w:ascii="Calibri" w:eastAsia="Times New Roman" w:hAnsi="Calibri" w:cs="Times New Roman"/>
          <w:color w:val="auto"/>
          <w:sz w:val="22"/>
          <w:szCs w:val="22"/>
        </w:rPr>
        <w:t>gineers for every project area.</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000000" w:themeColor="text1"/>
          <w:sz w:val="22"/>
          <w:szCs w:val="22"/>
        </w:rPr>
        <w:t xml:space="preserve">Given the level of damage sustained by the NE and the resulting needs demonstrated in the region, this </w:t>
      </w:r>
      <w:r w:rsidRPr="00FB6E71">
        <w:rPr>
          <w:rFonts w:asciiTheme="minorHAnsi" w:hAnsiTheme="minorHAnsi"/>
          <w:sz w:val="22"/>
          <w:szCs w:val="22"/>
        </w:rPr>
        <w:t xml:space="preserve">ISP focuses on (a) ensuring compliance with </w:t>
      </w:r>
      <w:r>
        <w:rPr>
          <w:rFonts w:asciiTheme="minorHAnsi" w:hAnsiTheme="minorHAnsi"/>
          <w:sz w:val="22"/>
          <w:szCs w:val="22"/>
        </w:rPr>
        <w:t xml:space="preserve">the </w:t>
      </w:r>
      <w:r w:rsidRPr="00FB6E71">
        <w:rPr>
          <w:rFonts w:asciiTheme="minorHAnsi" w:hAnsiTheme="minorHAnsi"/>
          <w:sz w:val="22"/>
          <w:szCs w:val="22"/>
        </w:rPr>
        <w:t xml:space="preserve">World Bank procedures, (b) attaining the PDOs, (c) </w:t>
      </w:r>
      <w:r w:rsidRPr="00FB6E71">
        <w:rPr>
          <w:rFonts w:asciiTheme="minorHAnsi" w:hAnsiTheme="minorHAnsi"/>
          <w:bCs/>
          <w:sz w:val="22"/>
          <w:szCs w:val="22"/>
        </w:rPr>
        <w:t>building</w:t>
      </w:r>
      <w:r w:rsidRPr="00FB6E71">
        <w:rPr>
          <w:rFonts w:asciiTheme="minorHAnsi" w:hAnsiTheme="minorHAnsi"/>
          <w:sz w:val="22"/>
          <w:szCs w:val="22"/>
        </w:rPr>
        <w:t xml:space="preserve"> capacity of government institutions to ensure sustainable recovery, and (d) ensuring alignment of overall programmatic objectives among the many development partners active in the NE.</w:t>
      </w:r>
    </w:p>
    <w:tbl>
      <w:tblPr>
        <w:tblStyle w:val="TableGrid5"/>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0"/>
      </w:tblGrid>
      <w:tr w:rsidTr="007F2DE7">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0"/>
        </w:trPr>
        <w:tc>
          <w:tcPr>
            <w:tcW w:w="10710" w:type="dxa"/>
          </w:tcPr>
          <w:p w:rsidR="007F2DE7" w:rsidRPr="00FB6E71" w:rsidP="007F2DE7">
            <w:pPr>
              <w:pStyle w:val="Normal202"/>
              <w:keepNext/>
              <w:keepLines/>
              <w:widowControl/>
              <w:spacing w:after="240"/>
              <w:rPr>
                <w:rFonts w:asciiTheme="minorHAnsi" w:hAnsiTheme="minorHAnsi"/>
                <w:b/>
                <w:color w:val="172D5F"/>
                <w:sz w:val="22"/>
                <w:szCs w:val="22"/>
              </w:rPr>
            </w:pPr>
            <w:r w:rsidRPr="00FB6E71">
              <w:rPr>
                <w:rFonts w:asciiTheme="minorHAnsi" w:hAnsiTheme="minorHAnsi"/>
                <w:b/>
                <w:color w:val="172D5F"/>
                <w:sz w:val="22"/>
                <w:szCs w:val="22"/>
              </w:rPr>
              <w:t>Implementation Support Plan and Resource Requirements</w:t>
            </w:r>
          </w:p>
        </w:tc>
      </w:tr>
    </w:tbl>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 xml:space="preserve">The World Bank’s ISP for the </w:t>
      </w:r>
      <w:r>
        <w:rPr>
          <w:rFonts w:asciiTheme="minorHAnsi" w:hAnsiTheme="minorHAnsi"/>
          <w:b/>
          <w:color w:val="000000" w:themeColor="text1"/>
          <w:sz w:val="22"/>
          <w:szCs w:val="22"/>
        </w:rPr>
        <w:t>p</w:t>
      </w:r>
      <w:r w:rsidRPr="00FB6E71">
        <w:rPr>
          <w:rFonts w:asciiTheme="minorHAnsi" w:hAnsiTheme="minorHAnsi"/>
          <w:b/>
          <w:color w:val="000000" w:themeColor="text1"/>
          <w:sz w:val="22"/>
          <w:szCs w:val="22"/>
        </w:rPr>
        <w:t xml:space="preserve">roject draws from the emergency nature of the </w:t>
      </w:r>
      <w:r>
        <w:rPr>
          <w:rFonts w:asciiTheme="minorHAnsi" w:hAnsiTheme="minorHAnsi"/>
          <w:b/>
          <w:color w:val="000000" w:themeColor="text1"/>
          <w:sz w:val="22"/>
          <w:szCs w:val="22"/>
        </w:rPr>
        <w:t>p</w:t>
      </w:r>
      <w:r w:rsidRPr="00FB6E71">
        <w:rPr>
          <w:rFonts w:asciiTheme="minorHAnsi" w:hAnsiTheme="minorHAnsi"/>
          <w:b/>
          <w:color w:val="000000" w:themeColor="text1"/>
          <w:sz w:val="22"/>
          <w:szCs w:val="22"/>
        </w:rPr>
        <w:t xml:space="preserve">roject, lessons learned from </w:t>
      </w:r>
      <w:r>
        <w:rPr>
          <w:rFonts w:asciiTheme="minorHAnsi" w:hAnsiTheme="minorHAnsi"/>
          <w:b/>
          <w:color w:val="000000" w:themeColor="text1"/>
          <w:sz w:val="22"/>
          <w:szCs w:val="22"/>
        </w:rPr>
        <w:t xml:space="preserve">the </w:t>
      </w:r>
      <w:r w:rsidRPr="00FB6E71">
        <w:rPr>
          <w:rFonts w:asciiTheme="minorHAnsi" w:hAnsiTheme="minorHAnsi"/>
          <w:b/>
          <w:color w:val="000000" w:themeColor="text1"/>
          <w:sz w:val="22"/>
          <w:szCs w:val="22"/>
        </w:rPr>
        <w:t>past World Bank projects in the country</w:t>
      </w:r>
      <w:r>
        <w:rPr>
          <w:rFonts w:asciiTheme="minorHAnsi" w:hAnsiTheme="minorHAnsi"/>
          <w:b/>
          <w:color w:val="000000" w:themeColor="text1"/>
          <w:sz w:val="22"/>
          <w:szCs w:val="22"/>
        </w:rPr>
        <w:t>,</w:t>
      </w:r>
      <w:r w:rsidRPr="00FB6E71">
        <w:rPr>
          <w:rFonts w:asciiTheme="minorHAnsi" w:hAnsiTheme="minorHAnsi"/>
          <w:b/>
          <w:color w:val="000000" w:themeColor="text1"/>
          <w:sz w:val="22"/>
          <w:szCs w:val="22"/>
        </w:rPr>
        <w:t xml:space="preserve"> and international best practices gleaned from other conflict settings around the world</w:t>
      </w:r>
      <w:r w:rsidRPr="00363195">
        <w:rPr>
          <w:rFonts w:asciiTheme="minorHAnsi" w:hAnsiTheme="minorHAnsi"/>
          <w:b/>
          <w:color w:val="000000" w:themeColor="text1"/>
          <w:sz w:val="22"/>
          <w:szCs w:val="22"/>
        </w:rPr>
        <w:t>.</w:t>
      </w:r>
      <w:r w:rsidRPr="00FB6E71">
        <w:rPr>
          <w:rFonts w:asciiTheme="minorHAnsi" w:hAnsiTheme="minorHAnsi"/>
          <w:color w:val="000000" w:themeColor="text1"/>
          <w:sz w:val="22"/>
          <w:szCs w:val="22"/>
        </w:rPr>
        <w:t xml:space="preserve"> The core </w:t>
      </w:r>
      <w:r w:rsidRPr="00FB6E71">
        <w:rPr>
          <w:rFonts w:asciiTheme="minorHAnsi" w:hAnsiTheme="minorHAnsi"/>
          <w:bCs/>
          <w:sz w:val="22"/>
          <w:szCs w:val="22"/>
        </w:rPr>
        <w:t>principles</w:t>
      </w:r>
      <w:r w:rsidRPr="00FB6E71">
        <w:rPr>
          <w:rFonts w:asciiTheme="minorHAnsi" w:hAnsiTheme="minorHAnsi"/>
          <w:color w:val="000000" w:themeColor="text1"/>
          <w:sz w:val="22"/>
          <w:szCs w:val="22"/>
        </w:rPr>
        <w:t xml:space="preserve"> underlying the MCRP ISP are (a) the need for intensive, risk-based implementation support</w:t>
      </w:r>
      <w:r>
        <w:rPr>
          <w:rFonts w:asciiTheme="minorHAnsi" w:hAnsiTheme="minorHAnsi"/>
          <w:color w:val="000000" w:themeColor="text1"/>
          <w:sz w:val="22"/>
          <w:szCs w:val="22"/>
          <w:vertAlign w:val="superscript"/>
        </w:rPr>
        <w:footnoteReference w:id="21"/>
      </w:r>
      <w:r w:rsidRPr="00FB6E71">
        <w:rPr>
          <w:rFonts w:asciiTheme="minorHAnsi" w:hAnsiTheme="minorHAnsi"/>
          <w:color w:val="000000" w:themeColor="text1"/>
          <w:sz w:val="22"/>
          <w:szCs w:val="22"/>
        </w:rPr>
        <w:t xml:space="preserve"> </w:t>
      </w:r>
      <w:r>
        <w:rPr>
          <w:rFonts w:asciiTheme="minorHAnsi" w:hAnsiTheme="minorHAnsi"/>
          <w:color w:val="000000" w:themeColor="text1"/>
          <w:sz w:val="22"/>
          <w:szCs w:val="22"/>
        </w:rPr>
        <w:t>because</w:t>
      </w:r>
      <w:r w:rsidRPr="00FB6E71">
        <w:rPr>
          <w:rFonts w:asciiTheme="minorHAnsi" w:hAnsiTheme="minorHAnsi"/>
          <w:color w:val="000000" w:themeColor="text1"/>
          <w:sz w:val="22"/>
          <w:szCs w:val="22"/>
        </w:rPr>
        <w:t xml:space="preserve"> the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roject has been prepared using rapid procedures that did not allow time for very detailed appraisal and (b) maximizing the use of national staff, international staff</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 and consultants on a needs basis. The plan will be regularly reviewed and revis</w:t>
      </w:r>
      <w:r w:rsidRPr="00FB6E71">
        <w:rPr>
          <w:rFonts w:ascii="Calibri" w:eastAsia="Times New Roman" w:hAnsi="Calibri" w:cs="Times New Roman"/>
          <w:color w:val="auto"/>
          <w:sz w:val="22"/>
          <w:szCs w:val="22"/>
        </w:rPr>
        <w:t xml:space="preserve">ed as required. </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 xml:space="preserve">The ISP includes frequent review of implementation performance and progress. </w:t>
      </w:r>
      <w:r w:rsidRPr="00FB6E71">
        <w:rPr>
          <w:rFonts w:asciiTheme="minorHAnsi" w:hAnsiTheme="minorHAnsi"/>
          <w:color w:val="000000" w:themeColor="text1"/>
          <w:sz w:val="22"/>
          <w:szCs w:val="22"/>
        </w:rPr>
        <w:t xml:space="preserve">The World Bank team will monitor progress on several fronts including (a) key performance indicators as defined in the Results Framework and the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 xml:space="preserve">roject’s contributions to broader programmatic outcomes for recovery and peace building; (b) federal- and state-level project </w:t>
      </w:r>
      <w:r w:rsidRPr="00FB6E71">
        <w:rPr>
          <w:rFonts w:asciiTheme="minorHAnsi" w:hAnsiTheme="minorHAnsi"/>
          <w:bCs/>
          <w:sz w:val="22"/>
          <w:szCs w:val="22"/>
        </w:rPr>
        <w:t>implementation</w:t>
      </w:r>
      <w:r w:rsidRPr="00FB6E71">
        <w:rPr>
          <w:rFonts w:asciiTheme="minorHAnsi" w:hAnsiTheme="minorHAnsi"/>
          <w:color w:val="000000" w:themeColor="text1"/>
          <w:sz w:val="22"/>
          <w:szCs w:val="22"/>
        </w:rPr>
        <w:t xml:space="preserve">; (c) third-party verification of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 xml:space="preserve">roject activities; (d) proper fiduciary management of all activities carried out by </w:t>
      </w:r>
      <w:r>
        <w:rPr>
          <w:rFonts w:asciiTheme="minorHAnsi" w:hAnsiTheme="minorHAnsi"/>
          <w:color w:val="000000" w:themeColor="text1"/>
          <w:sz w:val="22"/>
          <w:szCs w:val="22"/>
        </w:rPr>
        <w:t xml:space="preserve">the </w:t>
      </w:r>
      <w:r w:rsidRPr="00FB6E71">
        <w:rPr>
          <w:rFonts w:asciiTheme="minorHAnsi" w:hAnsiTheme="minorHAnsi"/>
          <w:color w:val="000000" w:themeColor="text1"/>
          <w:sz w:val="22"/>
          <w:szCs w:val="22"/>
        </w:rPr>
        <w:t>PCUs and other implementing agencies; (e) reconciliation of payments with contracts; (f) supervision of large numbers of state-level procurement activities</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 and (g) monitoring of key legal covenants. </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 xml:space="preserve">Information from various sources will be used to assess and monitor the progress of the </w:t>
      </w:r>
      <w:r>
        <w:rPr>
          <w:rFonts w:asciiTheme="minorHAnsi" w:hAnsiTheme="minorHAnsi"/>
          <w:b/>
          <w:color w:val="000000" w:themeColor="text1"/>
          <w:sz w:val="22"/>
          <w:szCs w:val="22"/>
        </w:rPr>
        <w:t>p</w:t>
      </w:r>
      <w:r w:rsidRPr="00FB6E71">
        <w:rPr>
          <w:rFonts w:asciiTheme="minorHAnsi" w:hAnsiTheme="minorHAnsi"/>
          <w:b/>
          <w:color w:val="000000" w:themeColor="text1"/>
          <w:sz w:val="22"/>
          <w:szCs w:val="22"/>
        </w:rPr>
        <w:t xml:space="preserve">roject throughout its implementation. </w:t>
      </w:r>
      <w:r w:rsidRPr="00FB6E71">
        <w:rPr>
          <w:rFonts w:asciiTheme="minorHAnsi" w:hAnsiTheme="minorHAnsi"/>
          <w:color w:val="000000" w:themeColor="text1"/>
          <w:sz w:val="22"/>
          <w:szCs w:val="22"/>
        </w:rPr>
        <w:t xml:space="preserve">In addition to the data generated through the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 xml:space="preserve">roject’s </w:t>
      </w:r>
      <w:r>
        <w:rPr>
          <w:rFonts w:asciiTheme="minorHAnsi" w:hAnsiTheme="minorHAnsi"/>
          <w:color w:val="000000" w:themeColor="text1"/>
          <w:sz w:val="22"/>
          <w:szCs w:val="22"/>
        </w:rPr>
        <w:t>m</w:t>
      </w:r>
      <w:r w:rsidRPr="00FB6E71">
        <w:rPr>
          <w:rFonts w:asciiTheme="minorHAnsi" w:hAnsiTheme="minorHAnsi"/>
          <w:color w:val="000000" w:themeColor="text1"/>
          <w:sz w:val="22"/>
          <w:szCs w:val="22"/>
        </w:rPr>
        <w:t xml:space="preserve">anagement </w:t>
      </w:r>
      <w:r>
        <w:rPr>
          <w:rFonts w:asciiTheme="minorHAnsi" w:hAnsiTheme="minorHAnsi"/>
          <w:color w:val="000000" w:themeColor="text1"/>
          <w:sz w:val="22"/>
          <w:szCs w:val="22"/>
        </w:rPr>
        <w:t>i</w:t>
      </w:r>
      <w:r w:rsidRPr="00FB6E71">
        <w:rPr>
          <w:rFonts w:asciiTheme="minorHAnsi" w:hAnsiTheme="minorHAnsi"/>
          <w:color w:val="000000" w:themeColor="text1"/>
          <w:sz w:val="22"/>
          <w:szCs w:val="22"/>
        </w:rPr>
        <w:t xml:space="preserve">nformation </w:t>
      </w:r>
      <w:r>
        <w:rPr>
          <w:rFonts w:asciiTheme="minorHAnsi" w:hAnsiTheme="minorHAnsi"/>
          <w:color w:val="000000" w:themeColor="text1"/>
          <w:sz w:val="22"/>
          <w:szCs w:val="22"/>
        </w:rPr>
        <w:t>s</w:t>
      </w:r>
      <w:r w:rsidRPr="00FB6E71">
        <w:rPr>
          <w:rFonts w:asciiTheme="minorHAnsi" w:hAnsiTheme="minorHAnsi"/>
          <w:color w:val="000000" w:themeColor="text1"/>
          <w:sz w:val="22"/>
          <w:szCs w:val="22"/>
        </w:rPr>
        <w:t xml:space="preserve">ystem and </w:t>
      </w:r>
      <w:r>
        <w:rPr>
          <w:rFonts w:asciiTheme="minorHAnsi" w:hAnsiTheme="minorHAnsi"/>
          <w:color w:val="000000" w:themeColor="text1"/>
          <w:sz w:val="22"/>
          <w:szCs w:val="22"/>
        </w:rPr>
        <w:t>M&amp;E</w:t>
      </w:r>
      <w:r w:rsidRPr="00FB6E71">
        <w:rPr>
          <w:rFonts w:asciiTheme="minorHAnsi" w:hAnsiTheme="minorHAnsi"/>
          <w:color w:val="000000" w:themeColor="text1"/>
          <w:sz w:val="22"/>
          <w:szCs w:val="22"/>
        </w:rPr>
        <w:t xml:space="preserve"> systems, the World Bank will also review the findings and results of third-party assessments and E&amp;S audits that will be undertaken during the course of </w:t>
      </w:r>
      <w:r>
        <w:rPr>
          <w:rFonts w:asciiTheme="minorHAnsi" w:hAnsiTheme="minorHAnsi"/>
          <w:color w:val="000000" w:themeColor="text1"/>
          <w:sz w:val="22"/>
          <w:szCs w:val="22"/>
        </w:rPr>
        <w:t xml:space="preserve">the </w:t>
      </w:r>
      <w:r w:rsidRPr="00FB6E71">
        <w:rPr>
          <w:rFonts w:asciiTheme="minorHAnsi" w:hAnsiTheme="minorHAnsi"/>
          <w:color w:val="000000" w:themeColor="text1"/>
          <w:sz w:val="22"/>
          <w:szCs w:val="22"/>
        </w:rPr>
        <w:t xml:space="preserve">project implementation. </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000000" w:themeColor="text1"/>
          <w:sz w:val="22"/>
          <w:szCs w:val="22"/>
        </w:rPr>
        <w:t xml:space="preserve">In addition to formal semiannual implementation support missions and field visits to the states and the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 xml:space="preserve">roject target areas, continuous support will be provided to the PCUs and component implementing entities given the relative complexity of </w:t>
      </w:r>
      <w:r w:rsidRPr="00FB6E71">
        <w:rPr>
          <w:rFonts w:asciiTheme="minorHAnsi" w:hAnsiTheme="minorHAnsi"/>
          <w:bCs/>
          <w:sz w:val="22"/>
          <w:szCs w:val="22"/>
        </w:rPr>
        <w:t>the</w:t>
      </w:r>
      <w:r w:rsidRPr="00FB6E71">
        <w:rPr>
          <w:rFonts w:asciiTheme="minorHAnsi" w:hAnsiTheme="minorHAnsi"/>
          <w:color w:val="000000" w:themeColor="text1"/>
          <w:sz w:val="22"/>
          <w:szCs w:val="22"/>
        </w:rPr>
        <w:t xml:space="preserv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 xml:space="preserve">roject. The semiannual Implementation Status Reports will be produced to provide </w:t>
      </w:r>
      <w:r>
        <w:rPr>
          <w:rFonts w:asciiTheme="minorHAnsi" w:hAnsiTheme="minorHAnsi"/>
          <w:color w:val="000000" w:themeColor="text1"/>
          <w:sz w:val="22"/>
          <w:szCs w:val="22"/>
        </w:rPr>
        <w:t xml:space="preserve">the </w:t>
      </w:r>
      <w:r w:rsidRPr="00FB6E71">
        <w:rPr>
          <w:rFonts w:asciiTheme="minorHAnsi" w:hAnsiTheme="minorHAnsi"/>
          <w:color w:val="000000" w:themeColor="text1"/>
          <w:sz w:val="22"/>
          <w:szCs w:val="22"/>
        </w:rPr>
        <w:t xml:space="preserve">World Bank management and the public with progress updates, tracking risk development and efficacy of mitigation measures. In addition to Implementation Status Reports, periodic briefings will also be prepared for management. It is proposed that in the first two years of </w:t>
      </w:r>
      <w:r>
        <w:rPr>
          <w:rFonts w:asciiTheme="minorHAnsi" w:hAnsiTheme="minorHAnsi"/>
          <w:color w:val="000000" w:themeColor="text1"/>
          <w:sz w:val="22"/>
          <w:szCs w:val="22"/>
        </w:rPr>
        <w:t xml:space="preserve">the </w:t>
      </w:r>
      <w:r w:rsidRPr="00FB6E71">
        <w:rPr>
          <w:rFonts w:asciiTheme="minorHAnsi" w:hAnsiTheme="minorHAnsi"/>
          <w:color w:val="000000" w:themeColor="text1"/>
          <w:sz w:val="22"/>
          <w:szCs w:val="22"/>
        </w:rPr>
        <w:t xml:space="preserve">project implementation, </w:t>
      </w:r>
      <w:r w:rsidRPr="00FB6E71">
        <w:rPr>
          <w:rFonts w:ascii="Calibri" w:eastAsia="Times New Roman" w:hAnsi="Calibri" w:cs="Times New Roman"/>
          <w:color w:val="auto"/>
          <w:sz w:val="22"/>
          <w:szCs w:val="22"/>
        </w:rPr>
        <w:t xml:space="preserve">three missions per year will be conducted. </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000000" w:themeColor="text1"/>
          <w:sz w:val="22"/>
          <w:szCs w:val="22"/>
        </w:rPr>
        <w:t xml:space="preserve">Implementation support missions will focus on the following areas: (a) </w:t>
      </w:r>
      <w:r>
        <w:rPr>
          <w:rFonts w:asciiTheme="minorHAnsi" w:hAnsiTheme="minorHAnsi"/>
          <w:color w:val="000000" w:themeColor="text1"/>
          <w:sz w:val="22"/>
          <w:szCs w:val="22"/>
        </w:rPr>
        <w:t>TA</w:t>
      </w:r>
      <w:r w:rsidRPr="00FB6E71">
        <w:rPr>
          <w:rFonts w:asciiTheme="minorHAnsi" w:hAnsiTheme="minorHAnsi"/>
          <w:color w:val="000000" w:themeColor="text1"/>
          <w:sz w:val="22"/>
          <w:szCs w:val="22"/>
        </w:rPr>
        <w:t>, (b) M&amp;E, (c) client relations, (d) FM, (e) procurement, (f) safeguards, and (g) communications.</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color w:val="000000" w:themeColor="text1"/>
          <w:sz w:val="22"/>
          <w:szCs w:val="22"/>
        </w:rPr>
        <w:t xml:space="preserve">The World Bank’s procurement, FM, and E&amp;S safeguards specialists will also provide </w:t>
      </w:r>
      <w:r>
        <w:rPr>
          <w:rFonts w:asciiTheme="minorHAnsi" w:hAnsiTheme="minorHAnsi"/>
          <w:b/>
          <w:color w:val="000000" w:themeColor="text1"/>
          <w:sz w:val="22"/>
          <w:szCs w:val="22"/>
        </w:rPr>
        <w:t>prompt</w:t>
      </w:r>
      <w:r w:rsidRPr="00FB6E71">
        <w:rPr>
          <w:rFonts w:asciiTheme="minorHAnsi" w:hAnsiTheme="minorHAnsi"/>
          <w:b/>
          <w:color w:val="000000" w:themeColor="text1"/>
          <w:sz w:val="22"/>
          <w:szCs w:val="22"/>
        </w:rPr>
        <w:t xml:space="preserve"> and effective support.</w:t>
      </w:r>
      <w:r w:rsidRPr="00FB6E71">
        <w:rPr>
          <w:rFonts w:asciiTheme="minorHAnsi" w:hAnsiTheme="minorHAnsi"/>
          <w:color w:val="000000" w:themeColor="text1"/>
          <w:sz w:val="22"/>
          <w:szCs w:val="22"/>
        </w:rPr>
        <w:t xml:space="preserve"> In </w:t>
      </w:r>
      <w:r w:rsidRPr="00FB6E71">
        <w:rPr>
          <w:rFonts w:asciiTheme="minorHAnsi" w:hAnsiTheme="minorHAnsi"/>
          <w:bCs/>
          <w:sz w:val="22"/>
          <w:szCs w:val="22"/>
        </w:rPr>
        <w:t>addition</w:t>
      </w:r>
      <w:r w:rsidRPr="00FB6E71">
        <w:rPr>
          <w:rFonts w:asciiTheme="minorHAnsi" w:hAnsiTheme="minorHAnsi"/>
          <w:color w:val="000000" w:themeColor="text1"/>
          <w:sz w:val="22"/>
          <w:szCs w:val="22"/>
        </w:rPr>
        <w:t xml:space="preserve"> to carrying out an annual ex post review of procurement that falls below the prior</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review thresholds, the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 xml:space="preserve">rocurement </w:t>
      </w:r>
      <w:r>
        <w:rPr>
          <w:rFonts w:asciiTheme="minorHAnsi" w:hAnsiTheme="minorHAnsi"/>
          <w:color w:val="000000" w:themeColor="text1"/>
          <w:sz w:val="22"/>
          <w:szCs w:val="22"/>
        </w:rPr>
        <w:t>s</w:t>
      </w:r>
      <w:r w:rsidRPr="00FB6E71">
        <w:rPr>
          <w:rFonts w:asciiTheme="minorHAnsi" w:hAnsiTheme="minorHAnsi"/>
          <w:color w:val="000000" w:themeColor="text1"/>
          <w:sz w:val="22"/>
          <w:szCs w:val="22"/>
        </w:rPr>
        <w:t xml:space="preserve">pecialist will provide routine hands-on support to the procurement agencies on a needs basis. The FM </w:t>
      </w:r>
      <w:r>
        <w:rPr>
          <w:rFonts w:asciiTheme="minorHAnsi" w:hAnsiTheme="minorHAnsi"/>
          <w:color w:val="000000" w:themeColor="text1"/>
          <w:sz w:val="22"/>
          <w:szCs w:val="22"/>
        </w:rPr>
        <w:t>s</w:t>
      </w:r>
      <w:r w:rsidRPr="00FB6E71">
        <w:rPr>
          <w:rFonts w:asciiTheme="minorHAnsi" w:hAnsiTheme="minorHAnsi"/>
          <w:color w:val="000000" w:themeColor="text1"/>
          <w:sz w:val="22"/>
          <w:szCs w:val="22"/>
        </w:rPr>
        <w:t xml:space="preserve">pecialist will review all FM reports and audits and take necessary follow-up actions according to World Bank procedures, working closely with the PFMU of the FMoF. Semiannual inputs from the E&amp;S safeguards specialists will be required throughout the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 xml:space="preserve">roject, and both formal implementation support missions and routine field visits will ensure that the SAP and ESMP </w:t>
      </w:r>
      <w:r>
        <w:rPr>
          <w:rFonts w:asciiTheme="minorHAnsi" w:hAnsiTheme="minorHAnsi"/>
          <w:color w:val="000000" w:themeColor="text1"/>
          <w:sz w:val="22"/>
          <w:szCs w:val="22"/>
        </w:rPr>
        <w:t>are</w:t>
      </w:r>
      <w:r w:rsidRPr="00FB6E71">
        <w:rPr>
          <w:rFonts w:asciiTheme="minorHAnsi" w:hAnsiTheme="minorHAnsi"/>
          <w:color w:val="000000" w:themeColor="text1"/>
          <w:sz w:val="22"/>
          <w:szCs w:val="22"/>
        </w:rPr>
        <w:t xml:space="preserve"> implemented in accordance with the World Bank safeguards policies. The project will also conduct comprehensive fiduciary assessment of </w:t>
      </w:r>
      <w:r>
        <w:rPr>
          <w:rFonts w:asciiTheme="minorHAnsi" w:hAnsiTheme="minorHAnsi"/>
          <w:color w:val="000000" w:themeColor="text1"/>
          <w:sz w:val="22"/>
          <w:szCs w:val="22"/>
        </w:rPr>
        <w:t xml:space="preserve">the </w:t>
      </w:r>
      <w:r w:rsidRPr="00FB6E71">
        <w:rPr>
          <w:rFonts w:asciiTheme="minorHAnsi" w:hAnsiTheme="minorHAnsi"/>
          <w:color w:val="000000" w:themeColor="text1"/>
          <w:sz w:val="22"/>
          <w:szCs w:val="22"/>
        </w:rPr>
        <w:t xml:space="preserve">implementing agencies to reduce fiduciary risks. The </w:t>
      </w:r>
      <w:r>
        <w:rPr>
          <w:rFonts w:asciiTheme="minorHAnsi" w:hAnsiTheme="minorHAnsi"/>
          <w:color w:val="000000" w:themeColor="text1"/>
          <w:sz w:val="22"/>
          <w:szCs w:val="22"/>
        </w:rPr>
        <w:t>p</w:t>
      </w:r>
      <w:r w:rsidRPr="00FB6E71">
        <w:rPr>
          <w:rFonts w:asciiTheme="minorHAnsi" w:hAnsiTheme="minorHAnsi"/>
          <w:color w:val="000000" w:themeColor="text1"/>
          <w:sz w:val="22"/>
          <w:szCs w:val="22"/>
        </w:rPr>
        <w:t>rocurement, FM</w:t>
      </w:r>
      <w:r>
        <w:rPr>
          <w:rFonts w:asciiTheme="minorHAnsi" w:hAnsiTheme="minorHAnsi"/>
          <w:color w:val="000000" w:themeColor="text1"/>
          <w:sz w:val="22"/>
          <w:szCs w:val="22"/>
        </w:rPr>
        <w:t>,</w:t>
      </w:r>
      <w:r w:rsidRPr="00FB6E71">
        <w:rPr>
          <w:rFonts w:asciiTheme="minorHAnsi" w:hAnsiTheme="minorHAnsi"/>
          <w:color w:val="000000" w:themeColor="text1"/>
          <w:sz w:val="22"/>
          <w:szCs w:val="22"/>
        </w:rPr>
        <w:t xml:space="preserve"> and </w:t>
      </w:r>
      <w:r>
        <w:rPr>
          <w:rFonts w:asciiTheme="minorHAnsi" w:hAnsiTheme="minorHAnsi"/>
          <w:color w:val="000000" w:themeColor="text1"/>
          <w:sz w:val="22"/>
          <w:szCs w:val="22"/>
        </w:rPr>
        <w:t>s</w:t>
      </w:r>
      <w:r w:rsidRPr="00FB6E71">
        <w:rPr>
          <w:rFonts w:asciiTheme="minorHAnsi" w:hAnsiTheme="minorHAnsi"/>
          <w:color w:val="000000" w:themeColor="text1"/>
          <w:sz w:val="22"/>
          <w:szCs w:val="22"/>
        </w:rPr>
        <w:t xml:space="preserve">afeguards </w:t>
      </w:r>
      <w:r>
        <w:rPr>
          <w:rFonts w:asciiTheme="minorHAnsi" w:hAnsiTheme="minorHAnsi"/>
          <w:color w:val="000000" w:themeColor="text1"/>
          <w:sz w:val="22"/>
          <w:szCs w:val="22"/>
        </w:rPr>
        <w:t>s</w:t>
      </w:r>
      <w:r w:rsidRPr="00FB6E71">
        <w:rPr>
          <w:rFonts w:asciiTheme="minorHAnsi" w:hAnsiTheme="minorHAnsi"/>
          <w:color w:val="000000" w:themeColor="text1"/>
          <w:sz w:val="22"/>
          <w:szCs w:val="22"/>
        </w:rPr>
        <w:t>pecialists will also help identify capacity-building needs to strengthen fiduciary and safeguards capacity at the federal and state levels.</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sz w:val="22"/>
          <w:szCs w:val="22"/>
        </w:rPr>
        <w:t xml:space="preserve">Given </w:t>
      </w:r>
      <w:r w:rsidRPr="00E93BF9">
        <w:rPr>
          <w:rFonts w:asciiTheme="minorHAnsi" w:hAnsiTheme="minorHAnsi"/>
          <w:b/>
          <w:sz w:val="22"/>
          <w:szCs w:val="22"/>
        </w:rPr>
        <w:t>the Substantial</w:t>
      </w:r>
      <w:r w:rsidRPr="00FB6E71">
        <w:rPr>
          <w:rFonts w:asciiTheme="minorHAnsi" w:hAnsiTheme="minorHAnsi"/>
          <w:b/>
          <w:sz w:val="22"/>
          <w:szCs w:val="22"/>
        </w:rPr>
        <w:t xml:space="preserve"> residual FM risk rating, on-site supervision will be carried out at least twice a year. </w:t>
      </w:r>
      <w:r w:rsidRPr="00FB6E71">
        <w:rPr>
          <w:rFonts w:asciiTheme="minorHAnsi" w:hAnsiTheme="minorHAnsi"/>
          <w:sz w:val="22"/>
          <w:szCs w:val="22"/>
        </w:rPr>
        <w:t xml:space="preserve">On-site review will cover all aspects of FM, including internal control systems, the overall fiduciary control environment, and tracing transactions from the bidding process to disbursements as well as </w:t>
      </w:r>
      <w:r>
        <w:rPr>
          <w:rFonts w:asciiTheme="minorHAnsi" w:hAnsiTheme="minorHAnsi"/>
          <w:sz w:val="22"/>
          <w:szCs w:val="22"/>
        </w:rPr>
        <w:t>statement of expenditures</w:t>
      </w:r>
      <w:r w:rsidRPr="00FB6E71">
        <w:rPr>
          <w:rFonts w:asciiTheme="minorHAnsi" w:hAnsiTheme="minorHAnsi"/>
          <w:sz w:val="22"/>
          <w:szCs w:val="22"/>
        </w:rPr>
        <w:t xml:space="preserve"> review. Additional supervision activities will include desk review of IFRs, quarterly internal audit reports, audited </w:t>
      </w:r>
      <w:r>
        <w:rPr>
          <w:rFonts w:asciiTheme="minorHAnsi" w:hAnsiTheme="minorHAnsi"/>
          <w:sz w:val="22"/>
          <w:szCs w:val="22"/>
        </w:rPr>
        <w:t>a</w:t>
      </w:r>
      <w:r w:rsidRPr="00FB6E71">
        <w:rPr>
          <w:rFonts w:asciiTheme="minorHAnsi" w:hAnsiTheme="minorHAnsi"/>
          <w:sz w:val="22"/>
          <w:szCs w:val="22"/>
        </w:rPr>
        <w:t xml:space="preserve">nnual </w:t>
      </w:r>
      <w:r>
        <w:rPr>
          <w:rFonts w:asciiTheme="minorHAnsi" w:hAnsiTheme="minorHAnsi"/>
          <w:sz w:val="22"/>
          <w:szCs w:val="22"/>
        </w:rPr>
        <w:t>f</w:t>
      </w:r>
      <w:r w:rsidRPr="00FB6E71">
        <w:rPr>
          <w:rFonts w:asciiTheme="minorHAnsi" w:hAnsiTheme="minorHAnsi"/>
          <w:sz w:val="22"/>
          <w:szCs w:val="22"/>
        </w:rPr>
        <w:t xml:space="preserve">inancial </w:t>
      </w:r>
      <w:r>
        <w:rPr>
          <w:rFonts w:asciiTheme="minorHAnsi" w:hAnsiTheme="minorHAnsi"/>
          <w:sz w:val="22"/>
          <w:szCs w:val="22"/>
        </w:rPr>
        <w:t>s</w:t>
      </w:r>
      <w:r w:rsidRPr="00FB6E71">
        <w:rPr>
          <w:rFonts w:asciiTheme="minorHAnsi" w:hAnsiTheme="minorHAnsi"/>
          <w:sz w:val="22"/>
          <w:szCs w:val="22"/>
        </w:rPr>
        <w:t>tatements</w:t>
      </w:r>
      <w:r>
        <w:rPr>
          <w:rFonts w:asciiTheme="minorHAnsi" w:hAnsiTheme="minorHAnsi"/>
          <w:sz w:val="22"/>
          <w:szCs w:val="22"/>
        </w:rPr>
        <w:t>,</w:t>
      </w:r>
      <w:r w:rsidRPr="00FB6E71">
        <w:rPr>
          <w:rFonts w:asciiTheme="minorHAnsi" w:hAnsiTheme="minorHAnsi"/>
          <w:sz w:val="22"/>
          <w:szCs w:val="22"/>
        </w:rPr>
        <w:t xml:space="preserve"> and management letters. </w:t>
      </w:r>
    </w:p>
    <w:p w:rsidR="007F2DE7" w:rsidRPr="00FB6E71" w:rsidP="00302E0C">
      <w:pPr>
        <w:pStyle w:val="ListParagraph"/>
        <w:widowControl/>
        <w:numPr>
          <w:ilvl w:val="0"/>
          <w:numId w:val="31"/>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auto"/>
          <w:sz w:val="22"/>
          <w:szCs w:val="22"/>
        </w:rPr>
        <w:t xml:space="preserve">The following ISP reflects the </w:t>
      </w:r>
      <w:r w:rsidRPr="00FB6E71">
        <w:rPr>
          <w:rFonts w:asciiTheme="minorHAnsi" w:hAnsiTheme="minorHAnsi"/>
          <w:bCs/>
          <w:color w:val="auto"/>
          <w:sz w:val="22"/>
          <w:szCs w:val="22"/>
        </w:rPr>
        <w:t>preliminary</w:t>
      </w:r>
      <w:r w:rsidRPr="00FB6E71">
        <w:rPr>
          <w:rFonts w:asciiTheme="minorHAnsi" w:hAnsiTheme="minorHAnsi"/>
          <w:color w:val="auto"/>
          <w:sz w:val="22"/>
          <w:szCs w:val="22"/>
        </w:rPr>
        <w:t xml:space="preserve"> estimates of the skill requirements, timing, and resource requirements over the life of the </w:t>
      </w:r>
      <w:r>
        <w:rPr>
          <w:rFonts w:asciiTheme="minorHAnsi" w:hAnsiTheme="minorHAnsi"/>
          <w:color w:val="auto"/>
          <w:sz w:val="22"/>
          <w:szCs w:val="22"/>
        </w:rPr>
        <w:t>p</w:t>
      </w:r>
      <w:r w:rsidRPr="00FB6E71">
        <w:rPr>
          <w:rFonts w:asciiTheme="minorHAnsi" w:hAnsiTheme="minorHAnsi"/>
          <w:color w:val="auto"/>
          <w:sz w:val="22"/>
          <w:szCs w:val="22"/>
        </w:rPr>
        <w:t xml:space="preserve">roject. Keeping in mind the need to maintain flexibility over </w:t>
      </w:r>
      <w:r>
        <w:rPr>
          <w:rFonts w:asciiTheme="minorHAnsi" w:hAnsiTheme="minorHAnsi"/>
          <w:color w:val="auto"/>
          <w:sz w:val="22"/>
          <w:szCs w:val="22"/>
        </w:rPr>
        <w:t>p</w:t>
      </w:r>
      <w:r w:rsidRPr="00FB6E71">
        <w:rPr>
          <w:rFonts w:asciiTheme="minorHAnsi" w:hAnsiTheme="minorHAnsi"/>
          <w:color w:val="auto"/>
          <w:sz w:val="22"/>
          <w:szCs w:val="22"/>
        </w:rPr>
        <w:t xml:space="preserve">roject activities from year to year, the plan will be reviewed annually to ensure that it continues to meet the implementation support needs of the </w:t>
      </w:r>
      <w:r>
        <w:rPr>
          <w:rFonts w:asciiTheme="minorHAnsi" w:hAnsiTheme="minorHAnsi"/>
          <w:color w:val="auto"/>
          <w:sz w:val="22"/>
          <w:szCs w:val="22"/>
        </w:rPr>
        <w:t>p</w:t>
      </w:r>
      <w:r w:rsidRPr="00FB6E71">
        <w:rPr>
          <w:rFonts w:asciiTheme="minorHAnsi" w:hAnsiTheme="minorHAnsi"/>
          <w:color w:val="auto"/>
          <w:sz w:val="22"/>
          <w:szCs w:val="22"/>
        </w:rPr>
        <w:t>roject.</w:t>
      </w:r>
    </w:p>
    <w:p w:rsidR="007F2DE7" w:rsidRPr="00FB6E71" w:rsidP="007F2DE7">
      <w:pPr>
        <w:ind w:left="-630" w:right="-630"/>
        <w:rPr>
          <w:rFonts w:asciiTheme="minorHAnsi" w:hAnsiTheme="minorHAnsi"/>
          <w:b/>
          <w:bCs/>
          <w:color w:val="7F7F7F" w:themeColor="text1" w:themeTint="80"/>
          <w:sz w:val="22"/>
          <w:szCs w:val="22"/>
        </w:rPr>
        <w:sectPr w:rsidSect="007F2DE7">
          <w:headerReference w:type="default" r:id="rId26"/>
          <w:footerReference w:type="default" r:id="rId27"/>
          <w:pgSz w:w="12240" w:h="15840" w:code="1"/>
          <w:pgMar w:top="1440" w:right="1440" w:bottom="1440" w:left="1440" w:header="720" w:footer="720" w:gutter="0"/>
          <w:cols w:space="720"/>
          <w:docGrid w:linePitch="360"/>
        </w:sectPr>
      </w:pPr>
    </w:p>
    <w:p w:rsidR="007F2DE7" w:rsidRPr="00FB6E71" w:rsidP="007F2DE7">
      <w:pPr>
        <w:pStyle w:val="Normal237"/>
        <w:jc w:val="center"/>
        <w:rPr>
          <w:rFonts w:asciiTheme="minorHAnsi" w:hAnsiTheme="minorHAnsi"/>
          <w:b/>
          <w:color w:val="auto"/>
          <w:sz w:val="18"/>
          <w:szCs w:val="18"/>
        </w:rPr>
      </w:pPr>
      <w:r w:rsidRPr="00FB6E71">
        <w:rPr>
          <w:rFonts w:asciiTheme="minorHAnsi" w:hAnsiTheme="minorHAnsi"/>
          <w:b/>
          <w:color w:val="auto"/>
          <w:sz w:val="18"/>
          <w:szCs w:val="18"/>
        </w:rPr>
        <w:t>Table 3.</w:t>
      </w:r>
      <w:r w:rsidRPr="00FB6E71">
        <w:rPr>
          <w:rFonts w:asciiTheme="minorHAnsi" w:hAnsiTheme="minorHAnsi"/>
          <w:b/>
          <w:color w:val="auto"/>
          <w:sz w:val="18"/>
          <w:szCs w:val="18"/>
        </w:rPr>
        <w:fldChar w:fldCharType="begin"/>
      </w:r>
      <w:r w:rsidRPr="00FB6E71">
        <w:rPr>
          <w:rFonts w:asciiTheme="minorHAnsi" w:hAnsiTheme="minorHAnsi"/>
          <w:b/>
          <w:color w:val="auto"/>
          <w:sz w:val="18"/>
          <w:szCs w:val="18"/>
        </w:rPr>
        <w:instrText xml:space="preserve"> SEQ Table_3. \* ARABIC </w:instrText>
      </w:r>
      <w:r w:rsidRPr="00FB6E71">
        <w:rPr>
          <w:rFonts w:asciiTheme="minorHAnsi" w:hAnsiTheme="minorHAnsi"/>
          <w:b/>
          <w:color w:val="auto"/>
          <w:sz w:val="18"/>
          <w:szCs w:val="18"/>
        </w:rPr>
        <w:fldChar w:fldCharType="separate"/>
      </w:r>
      <w:r w:rsidRPr="00FB6E71">
        <w:rPr>
          <w:rFonts w:asciiTheme="minorHAnsi" w:hAnsiTheme="minorHAnsi"/>
          <w:b/>
          <w:color w:val="auto"/>
          <w:sz w:val="18"/>
          <w:szCs w:val="18"/>
        </w:rPr>
        <w:t>1</w:t>
      </w:r>
      <w:r w:rsidRPr="00FB6E71">
        <w:rPr>
          <w:rFonts w:asciiTheme="minorHAnsi" w:hAnsiTheme="minorHAnsi"/>
          <w:b/>
          <w:color w:val="auto"/>
          <w:sz w:val="18"/>
          <w:szCs w:val="18"/>
        </w:rPr>
        <w:fldChar w:fldCharType="end"/>
      </w:r>
      <w:r w:rsidRPr="00FB6E71">
        <w:rPr>
          <w:rFonts w:asciiTheme="minorHAnsi" w:hAnsiTheme="minorHAnsi"/>
          <w:b/>
          <w:color w:val="auto"/>
          <w:sz w:val="18"/>
          <w:szCs w:val="18"/>
        </w:rPr>
        <w:t>: MCRP ISP</w:t>
      </w:r>
    </w:p>
    <w:tbl>
      <w:tblPr>
        <w:tblStyle w:val="TableGrid14"/>
        <w:tblW w:w="5000" w:type="pct"/>
        <w:jc w:val="center"/>
        <w:tblCellMar>
          <w:top w:w="72" w:type="dxa"/>
          <w:left w:w="115" w:type="dxa"/>
          <w:bottom w:w="72" w:type="dxa"/>
          <w:right w:w="115" w:type="dxa"/>
        </w:tblCellMar>
        <w:tblLook w:val="04A0"/>
      </w:tblPr>
      <w:tblGrid>
        <w:gridCol w:w="738"/>
        <w:gridCol w:w="1961"/>
        <w:gridCol w:w="1863"/>
        <w:gridCol w:w="1302"/>
        <w:gridCol w:w="1418"/>
        <w:gridCol w:w="2796"/>
        <w:gridCol w:w="2872"/>
      </w:tblGrid>
      <w:tr w:rsidTr="007F2DE7">
        <w:tblPrEx>
          <w:tblW w:w="5000" w:type="pct"/>
          <w:jc w:val="center"/>
          <w:tblCellMar>
            <w:top w:w="72" w:type="dxa"/>
            <w:left w:w="115" w:type="dxa"/>
            <w:bottom w:w="72" w:type="dxa"/>
            <w:right w:w="115" w:type="dxa"/>
          </w:tblCellMar>
          <w:tblLook w:val="04A0"/>
        </w:tblPrEx>
        <w:trPr>
          <w:cantSplit/>
          <w:trHeight w:val="20"/>
          <w:tblHeader/>
          <w:jc w:val="center"/>
        </w:trPr>
        <w:tc>
          <w:tcPr>
            <w:tcW w:w="738" w:type="dxa"/>
            <w:shd w:val="clear" w:color="auto" w:fill="auto"/>
            <w:vAlign w:val="center"/>
          </w:tcPr>
          <w:p w:rsidR="007F2DE7" w:rsidRPr="00FB6E71" w:rsidP="007F2DE7">
            <w:pPr>
              <w:pStyle w:val="Normal237"/>
              <w:jc w:val="center"/>
              <w:rPr>
                <w:rFonts w:ascii="Calibri" w:hAnsi="Calibri"/>
                <w:b/>
                <w:color w:val="auto"/>
                <w:sz w:val="18"/>
                <w:szCs w:val="18"/>
              </w:rPr>
            </w:pPr>
            <w:r w:rsidRPr="00FB6E71">
              <w:rPr>
                <w:rFonts w:ascii="Calibri" w:hAnsi="Calibri"/>
                <w:b/>
                <w:color w:val="auto"/>
                <w:sz w:val="18"/>
                <w:szCs w:val="18"/>
              </w:rPr>
              <w:t>Year</w:t>
            </w:r>
          </w:p>
        </w:tc>
        <w:tc>
          <w:tcPr>
            <w:tcW w:w="1961" w:type="dxa"/>
            <w:shd w:val="clear" w:color="auto" w:fill="auto"/>
            <w:vAlign w:val="center"/>
          </w:tcPr>
          <w:p w:rsidR="007F2DE7" w:rsidRPr="00FB6E71" w:rsidP="007F2DE7">
            <w:pPr>
              <w:pStyle w:val="Normal237"/>
              <w:jc w:val="center"/>
              <w:rPr>
                <w:rFonts w:ascii="Calibri" w:hAnsi="Calibri"/>
                <w:b/>
                <w:color w:val="auto"/>
                <w:sz w:val="18"/>
                <w:szCs w:val="18"/>
              </w:rPr>
            </w:pPr>
            <w:r w:rsidRPr="00FB6E71">
              <w:rPr>
                <w:rFonts w:ascii="Calibri" w:hAnsi="Calibri"/>
                <w:b/>
                <w:color w:val="auto"/>
                <w:sz w:val="18"/>
                <w:szCs w:val="18"/>
              </w:rPr>
              <w:t>Focus</w:t>
            </w:r>
          </w:p>
        </w:tc>
        <w:tc>
          <w:tcPr>
            <w:tcW w:w="1863" w:type="dxa"/>
            <w:shd w:val="clear" w:color="auto" w:fill="auto"/>
            <w:vAlign w:val="center"/>
          </w:tcPr>
          <w:p w:rsidR="007F2DE7" w:rsidRPr="00FB6E71" w:rsidP="007F2DE7">
            <w:pPr>
              <w:pStyle w:val="Normal237"/>
              <w:jc w:val="center"/>
              <w:rPr>
                <w:rFonts w:ascii="Calibri" w:hAnsi="Calibri"/>
                <w:b/>
                <w:color w:val="auto"/>
                <w:sz w:val="18"/>
                <w:szCs w:val="18"/>
              </w:rPr>
            </w:pPr>
            <w:r w:rsidRPr="00FB6E71">
              <w:rPr>
                <w:rFonts w:ascii="Calibri" w:hAnsi="Calibri"/>
                <w:b/>
                <w:color w:val="auto"/>
                <w:sz w:val="18"/>
                <w:szCs w:val="18"/>
              </w:rPr>
              <w:t>Skills Needed</w:t>
            </w:r>
          </w:p>
        </w:tc>
        <w:tc>
          <w:tcPr>
            <w:tcW w:w="1302" w:type="dxa"/>
            <w:shd w:val="clear" w:color="auto" w:fill="auto"/>
            <w:vAlign w:val="center"/>
          </w:tcPr>
          <w:p w:rsidR="007F2DE7" w:rsidRPr="00FB6E71" w:rsidP="007F2DE7">
            <w:pPr>
              <w:pStyle w:val="Normal237"/>
              <w:jc w:val="center"/>
              <w:rPr>
                <w:rFonts w:ascii="Calibri" w:hAnsi="Calibri"/>
                <w:b/>
                <w:color w:val="auto"/>
                <w:sz w:val="18"/>
                <w:szCs w:val="18"/>
              </w:rPr>
            </w:pPr>
            <w:r w:rsidRPr="00FB6E71">
              <w:rPr>
                <w:rFonts w:ascii="Calibri" w:hAnsi="Calibri"/>
                <w:b/>
                <w:color w:val="auto"/>
                <w:sz w:val="18"/>
                <w:szCs w:val="18"/>
              </w:rPr>
              <w:t>Trips</w:t>
            </w:r>
          </w:p>
        </w:tc>
        <w:tc>
          <w:tcPr>
            <w:tcW w:w="1418" w:type="dxa"/>
            <w:shd w:val="clear" w:color="auto" w:fill="auto"/>
            <w:vAlign w:val="center"/>
          </w:tcPr>
          <w:p w:rsidR="007F2DE7" w:rsidRPr="00FB6E71" w:rsidP="007F2DE7">
            <w:pPr>
              <w:pStyle w:val="Normal237"/>
              <w:jc w:val="center"/>
              <w:rPr>
                <w:rFonts w:ascii="Calibri" w:hAnsi="Calibri"/>
                <w:b/>
                <w:color w:val="auto"/>
                <w:sz w:val="18"/>
                <w:szCs w:val="18"/>
              </w:rPr>
            </w:pPr>
            <w:r w:rsidRPr="00FB6E71">
              <w:rPr>
                <w:rFonts w:ascii="Calibri" w:hAnsi="Calibri"/>
                <w:b/>
                <w:color w:val="auto"/>
                <w:sz w:val="18"/>
                <w:szCs w:val="18"/>
              </w:rPr>
              <w:t>Resource Estimate (US$)</w:t>
            </w:r>
          </w:p>
        </w:tc>
        <w:tc>
          <w:tcPr>
            <w:tcW w:w="2796" w:type="dxa"/>
            <w:shd w:val="clear" w:color="auto" w:fill="auto"/>
            <w:vAlign w:val="center"/>
          </w:tcPr>
          <w:p w:rsidR="007F2DE7" w:rsidRPr="00FB6E71" w:rsidP="007F2DE7">
            <w:pPr>
              <w:pStyle w:val="Normal237"/>
              <w:jc w:val="center"/>
              <w:rPr>
                <w:rFonts w:ascii="Calibri" w:hAnsi="Calibri"/>
                <w:b/>
                <w:color w:val="auto"/>
                <w:sz w:val="18"/>
                <w:szCs w:val="18"/>
              </w:rPr>
            </w:pPr>
            <w:r w:rsidRPr="00FB6E71">
              <w:rPr>
                <w:rFonts w:ascii="Calibri" w:hAnsi="Calibri"/>
                <w:b/>
                <w:color w:val="auto"/>
                <w:sz w:val="18"/>
                <w:szCs w:val="18"/>
              </w:rPr>
              <w:t>Partner Role</w:t>
            </w:r>
          </w:p>
        </w:tc>
        <w:tc>
          <w:tcPr>
            <w:tcW w:w="2872" w:type="dxa"/>
            <w:shd w:val="clear" w:color="auto" w:fill="auto"/>
            <w:vAlign w:val="center"/>
          </w:tcPr>
          <w:p w:rsidR="007F2DE7" w:rsidRPr="00FB6E71" w:rsidP="007F2DE7">
            <w:pPr>
              <w:pStyle w:val="Normal237"/>
              <w:jc w:val="center"/>
              <w:rPr>
                <w:rFonts w:ascii="Calibri" w:hAnsi="Calibri"/>
                <w:b/>
                <w:color w:val="auto"/>
                <w:sz w:val="18"/>
                <w:szCs w:val="18"/>
              </w:rPr>
            </w:pPr>
            <w:r w:rsidRPr="00FB6E71">
              <w:rPr>
                <w:rFonts w:ascii="Calibri" w:hAnsi="Calibri"/>
                <w:b/>
                <w:color w:val="auto"/>
                <w:sz w:val="18"/>
                <w:szCs w:val="18"/>
              </w:rPr>
              <w:t>Comments</w:t>
            </w:r>
          </w:p>
        </w:tc>
      </w:tr>
      <w:tr w:rsidTr="007F2DE7">
        <w:tblPrEx>
          <w:tblW w:w="5000" w:type="pct"/>
          <w:jc w:val="center"/>
          <w:tblCellMar>
            <w:top w:w="72" w:type="dxa"/>
            <w:left w:w="115" w:type="dxa"/>
            <w:bottom w:w="72" w:type="dxa"/>
            <w:right w:w="115" w:type="dxa"/>
          </w:tblCellMar>
          <w:tblLook w:val="04A0"/>
        </w:tblPrEx>
        <w:trPr>
          <w:cantSplit/>
          <w:trHeight w:val="20"/>
          <w:jc w:val="center"/>
        </w:trPr>
        <w:tc>
          <w:tcPr>
            <w:tcW w:w="738" w:type="dxa"/>
            <w:shd w:val="clear" w:color="auto" w:fill="auto"/>
          </w:tcPr>
          <w:p w:rsidR="007F2DE7" w:rsidRPr="00FB6E71" w:rsidP="007F2DE7">
            <w:pPr>
              <w:pStyle w:val="Normal237"/>
              <w:rPr>
                <w:rFonts w:ascii="Calibri" w:hAnsi="Calibri"/>
                <w:sz w:val="18"/>
                <w:szCs w:val="18"/>
              </w:rPr>
            </w:pPr>
            <w:r w:rsidRPr="00FB6E71">
              <w:rPr>
                <w:rFonts w:ascii="Calibri" w:hAnsi="Calibri"/>
                <w:sz w:val="18"/>
                <w:szCs w:val="18"/>
              </w:rPr>
              <w:t>Year 1</w:t>
            </w:r>
          </w:p>
        </w:tc>
        <w:tc>
          <w:tcPr>
            <w:tcW w:w="1961"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Project launch</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Initialization of </w:t>
            </w:r>
            <w:r>
              <w:rPr>
                <w:rFonts w:ascii="Calibri" w:hAnsi="Calibri"/>
                <w:sz w:val="18"/>
                <w:szCs w:val="18"/>
              </w:rPr>
              <w:t>p</w:t>
            </w:r>
            <w:r w:rsidRPr="00FB6E71">
              <w:rPr>
                <w:rFonts w:ascii="Calibri" w:hAnsi="Calibri"/>
                <w:sz w:val="18"/>
                <w:szCs w:val="18"/>
              </w:rPr>
              <w:t>roject components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FM systems functioning effectively</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Procurement practices following World Bank norms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ESMP in place</w:t>
            </w:r>
          </w:p>
        </w:tc>
        <w:tc>
          <w:tcPr>
            <w:tcW w:w="1863"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Team lead</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s</w:t>
            </w:r>
            <w:r w:rsidRPr="00FB6E71">
              <w:rPr>
                <w:rFonts w:ascii="Calibri" w:hAnsi="Calibri"/>
                <w:sz w:val="18"/>
                <w:szCs w:val="18"/>
              </w:rPr>
              <w:t xml:space="preserve">afeguards </w:t>
            </w:r>
            <w:r>
              <w:rPr>
                <w:rFonts w:ascii="Calibri" w:hAnsi="Calibri"/>
                <w:sz w:val="18"/>
                <w:szCs w:val="18"/>
              </w:rPr>
              <w:t>s</w:t>
            </w:r>
            <w:r w:rsidRPr="00FB6E71">
              <w:rPr>
                <w:rFonts w:ascii="Calibri" w:hAnsi="Calibri"/>
                <w:sz w:val="18"/>
                <w:szCs w:val="18"/>
              </w:rPr>
              <w:t>pecialists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Health, </w:t>
            </w:r>
            <w:r>
              <w:rPr>
                <w:rFonts w:ascii="Calibri" w:hAnsi="Calibri"/>
                <w:sz w:val="18"/>
                <w:szCs w:val="18"/>
              </w:rPr>
              <w:t>e</w:t>
            </w:r>
            <w:r w:rsidRPr="00FB6E71">
              <w:rPr>
                <w:rFonts w:ascii="Calibri" w:hAnsi="Calibri"/>
                <w:sz w:val="18"/>
                <w:szCs w:val="18"/>
              </w:rPr>
              <w:t xml:space="preserve">ducation, </w:t>
            </w:r>
            <w:r>
              <w:rPr>
                <w:rFonts w:ascii="Calibri" w:hAnsi="Calibri"/>
                <w:sz w:val="18"/>
                <w:szCs w:val="18"/>
              </w:rPr>
              <w:t>t</w:t>
            </w:r>
            <w:r w:rsidRPr="00FB6E71">
              <w:rPr>
                <w:rFonts w:ascii="Calibri" w:hAnsi="Calibri"/>
                <w:sz w:val="18"/>
                <w:szCs w:val="18"/>
              </w:rPr>
              <w:t xml:space="preserve">ransport, WASH, </w:t>
            </w:r>
            <w:r>
              <w:rPr>
                <w:rFonts w:ascii="Calibri" w:hAnsi="Calibri"/>
                <w:sz w:val="18"/>
                <w:szCs w:val="18"/>
              </w:rPr>
              <w:t>a</w:t>
            </w:r>
            <w:r w:rsidRPr="00FB6E71">
              <w:rPr>
                <w:rFonts w:ascii="Calibri" w:hAnsi="Calibri"/>
                <w:sz w:val="18"/>
                <w:szCs w:val="18"/>
              </w:rPr>
              <w:t xml:space="preserve">griculture, </w:t>
            </w:r>
            <w:r>
              <w:rPr>
                <w:rFonts w:ascii="Calibri" w:hAnsi="Calibri"/>
                <w:sz w:val="18"/>
                <w:szCs w:val="18"/>
              </w:rPr>
              <w:t>s</w:t>
            </w:r>
            <w:r w:rsidRPr="00FB6E71">
              <w:rPr>
                <w:rFonts w:ascii="Calibri" w:hAnsi="Calibri"/>
                <w:sz w:val="18"/>
                <w:szCs w:val="18"/>
              </w:rPr>
              <w:t>ocial</w:t>
            </w:r>
            <w:r>
              <w:rPr>
                <w:rFonts w:ascii="Calibri" w:hAnsi="Calibri"/>
                <w:sz w:val="18"/>
                <w:szCs w:val="18"/>
              </w:rPr>
              <w:t>,</w:t>
            </w:r>
            <w:r w:rsidRPr="00FB6E71">
              <w:rPr>
                <w:rFonts w:ascii="Calibri" w:hAnsi="Calibri"/>
                <w:sz w:val="18"/>
                <w:szCs w:val="18"/>
              </w:rPr>
              <w:t xml:space="preserve"> </w:t>
            </w:r>
            <w:r>
              <w:rPr>
                <w:rFonts w:ascii="Calibri" w:hAnsi="Calibri"/>
                <w:sz w:val="18"/>
                <w:szCs w:val="18"/>
              </w:rPr>
              <w:t>and</w:t>
            </w:r>
            <w:r w:rsidRPr="00FB6E71">
              <w:rPr>
                <w:rFonts w:ascii="Calibri" w:hAnsi="Calibri"/>
                <w:sz w:val="18"/>
                <w:szCs w:val="18"/>
              </w:rPr>
              <w:t xml:space="preserve"> M&amp;E </w:t>
            </w:r>
            <w:r>
              <w:rPr>
                <w:rFonts w:ascii="Calibri" w:hAnsi="Calibri"/>
                <w:sz w:val="18"/>
                <w:szCs w:val="18"/>
              </w:rPr>
              <w:t>s</w:t>
            </w:r>
            <w:r w:rsidRPr="00FB6E71">
              <w:rPr>
                <w:rFonts w:ascii="Calibri" w:hAnsi="Calibri"/>
                <w:sz w:val="18"/>
                <w:szCs w:val="18"/>
              </w:rPr>
              <w:t>pecialists</w:t>
            </w:r>
          </w:p>
        </w:tc>
        <w:tc>
          <w:tcPr>
            <w:tcW w:w="130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4/17</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7/17</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10/17</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Routine support</w:t>
            </w:r>
          </w:p>
        </w:tc>
        <w:tc>
          <w:tcPr>
            <w:tcW w:w="1418"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100,000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80,000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80,000</w:t>
            </w:r>
          </w:p>
        </w:tc>
        <w:tc>
          <w:tcPr>
            <w:tcW w:w="2796"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Fully staffed PCU to operationalize </w:t>
            </w:r>
            <w:r>
              <w:rPr>
                <w:rFonts w:ascii="Calibri" w:hAnsi="Calibri"/>
                <w:sz w:val="18"/>
                <w:szCs w:val="18"/>
              </w:rPr>
              <w:t>p</w:t>
            </w:r>
            <w:r w:rsidRPr="00FB6E71">
              <w:rPr>
                <w:rFonts w:ascii="Calibri" w:hAnsi="Calibri"/>
                <w:sz w:val="18"/>
                <w:szCs w:val="18"/>
              </w:rPr>
              <w:t>roject components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Contract project management</w:t>
            </w:r>
            <w:r>
              <w:rPr>
                <w:rFonts w:ascii="Calibri" w:hAnsi="Calibri"/>
                <w:sz w:val="18"/>
                <w:szCs w:val="18"/>
              </w:rPr>
              <w:t xml:space="preserve"> and</w:t>
            </w:r>
            <w:r w:rsidRPr="00FB6E71">
              <w:rPr>
                <w:rFonts w:ascii="Calibri" w:hAnsi="Calibri"/>
                <w:sz w:val="18"/>
                <w:szCs w:val="18"/>
              </w:rPr>
              <w:t xml:space="preserve"> other local support firms as needed</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Ensure continuing program alignment with </w:t>
            </w:r>
            <w:r>
              <w:rPr>
                <w:rFonts w:ascii="Calibri" w:hAnsi="Calibri"/>
                <w:sz w:val="18"/>
                <w:szCs w:val="18"/>
              </w:rPr>
              <w:t xml:space="preserve">the </w:t>
            </w:r>
            <w:r w:rsidRPr="00FB6E71">
              <w:rPr>
                <w:rFonts w:ascii="Calibri" w:hAnsi="Calibri"/>
                <w:sz w:val="18"/>
                <w:szCs w:val="18"/>
              </w:rPr>
              <w:t>IsDB, AfDB</w:t>
            </w:r>
            <w:r>
              <w:rPr>
                <w:rFonts w:ascii="Calibri" w:hAnsi="Calibri"/>
                <w:sz w:val="18"/>
                <w:szCs w:val="18"/>
              </w:rPr>
              <w:t>,</w:t>
            </w:r>
            <w:r w:rsidRPr="00FB6E71">
              <w:rPr>
                <w:rFonts w:ascii="Calibri" w:hAnsi="Calibri"/>
                <w:sz w:val="18"/>
                <w:szCs w:val="18"/>
              </w:rPr>
              <w:t xml:space="preserve"> and other partners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Prepare comprehensive project progress and results monitoring reports in advance of each mission</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Update implementation plans and PPs routinely</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Organize field visits</w:t>
            </w:r>
          </w:p>
        </w:tc>
        <w:tc>
          <w:tcPr>
            <w:tcW w:w="287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Project will likely become effective by March 2017 with the first mission occurring by the start of April 2017</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Task team to support smooth start-up following effectiveness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Ensure safeguards arrangements are built into implementation plans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Review implementation, commitment</w:t>
            </w:r>
            <w:r>
              <w:rPr>
                <w:rFonts w:ascii="Calibri" w:hAnsi="Calibri"/>
                <w:sz w:val="18"/>
                <w:szCs w:val="18"/>
              </w:rPr>
              <w:t>,</w:t>
            </w:r>
            <w:r w:rsidRPr="00FB6E71">
              <w:rPr>
                <w:rFonts w:ascii="Calibri" w:hAnsi="Calibri"/>
                <w:sz w:val="18"/>
                <w:szCs w:val="18"/>
              </w:rPr>
              <w:t xml:space="preserve"> and disbursement status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Ensure safeguards arrangements are built into implementation plans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Provide support to monitor progress of activities</w:t>
            </w:r>
            <w:r>
              <w:rPr>
                <w:rFonts w:ascii="Calibri" w:hAnsi="Calibri"/>
                <w:sz w:val="18"/>
                <w:szCs w:val="18"/>
              </w:rPr>
              <w:t xml:space="preserve"> and</w:t>
            </w:r>
            <w:r w:rsidRPr="00FB6E71">
              <w:rPr>
                <w:rFonts w:ascii="Calibri" w:hAnsi="Calibri"/>
                <w:sz w:val="18"/>
                <w:szCs w:val="18"/>
              </w:rPr>
              <w:t xml:space="preserve"> in-depth technical review of implementation; make adjustments to implementation plan if needed</w:t>
            </w:r>
          </w:p>
        </w:tc>
      </w:tr>
      <w:tr w:rsidTr="007F2DE7">
        <w:tblPrEx>
          <w:tblW w:w="5000" w:type="pct"/>
          <w:jc w:val="center"/>
          <w:tblCellMar>
            <w:top w:w="72" w:type="dxa"/>
            <w:left w:w="115" w:type="dxa"/>
            <w:bottom w:w="72" w:type="dxa"/>
            <w:right w:w="115" w:type="dxa"/>
          </w:tblCellMar>
          <w:tblLook w:val="04A0"/>
        </w:tblPrEx>
        <w:trPr>
          <w:cantSplit/>
          <w:trHeight w:val="20"/>
          <w:jc w:val="center"/>
        </w:trPr>
        <w:tc>
          <w:tcPr>
            <w:tcW w:w="738" w:type="dxa"/>
            <w:shd w:val="clear" w:color="auto" w:fill="auto"/>
          </w:tcPr>
          <w:p w:rsidR="007F2DE7" w:rsidRPr="00FB6E71" w:rsidP="007F2DE7">
            <w:pPr>
              <w:pStyle w:val="Normal237"/>
              <w:rPr>
                <w:rFonts w:ascii="Calibri" w:hAnsi="Calibri"/>
                <w:sz w:val="18"/>
                <w:szCs w:val="18"/>
              </w:rPr>
            </w:pPr>
            <w:r w:rsidRPr="00FB6E71">
              <w:rPr>
                <w:rFonts w:ascii="Calibri" w:hAnsi="Calibri"/>
                <w:sz w:val="18"/>
                <w:szCs w:val="18"/>
              </w:rPr>
              <w:t>Year 2</w:t>
            </w:r>
          </w:p>
        </w:tc>
        <w:tc>
          <w:tcPr>
            <w:tcW w:w="1961"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Monitor implementation of </w:t>
            </w:r>
            <w:r>
              <w:rPr>
                <w:rFonts w:ascii="Calibri" w:hAnsi="Calibri"/>
                <w:sz w:val="18"/>
                <w:szCs w:val="18"/>
              </w:rPr>
              <w:t>p</w:t>
            </w:r>
            <w:r w:rsidRPr="00FB6E71">
              <w:rPr>
                <w:rFonts w:ascii="Calibri" w:hAnsi="Calibri"/>
                <w:sz w:val="18"/>
                <w:szCs w:val="18"/>
              </w:rPr>
              <w:t>roject activities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afeguards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bCs/>
                <w:sz w:val="18"/>
                <w:szCs w:val="18"/>
              </w:rPr>
              <w:t>MTR</w:t>
            </w:r>
            <w:r w:rsidRPr="00FB6E71">
              <w:rPr>
                <w:rFonts w:ascii="Calibri" w:hAnsi="Calibri"/>
                <w:bCs/>
                <w:sz w:val="18"/>
                <w:szCs w:val="18"/>
                <w:vertAlign w:val="superscript"/>
              </w:rPr>
              <w:t xml:space="preserve"> a.</w:t>
            </w:r>
          </w:p>
        </w:tc>
        <w:tc>
          <w:tcPr>
            <w:tcW w:w="1863"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Team lead</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 xml:space="preserve">afeguards </w:t>
            </w:r>
            <w:r>
              <w:rPr>
                <w:rFonts w:ascii="Calibri" w:hAnsi="Calibri"/>
                <w:sz w:val="18"/>
                <w:szCs w:val="18"/>
              </w:rPr>
              <w:t>s</w:t>
            </w:r>
            <w:r w:rsidRPr="00FB6E71">
              <w:rPr>
                <w:rFonts w:ascii="Calibri" w:hAnsi="Calibri"/>
                <w:sz w:val="18"/>
                <w:szCs w:val="18"/>
              </w:rPr>
              <w:t>pecialists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Health, </w:t>
            </w:r>
            <w:r>
              <w:rPr>
                <w:rFonts w:ascii="Calibri" w:hAnsi="Calibri"/>
                <w:sz w:val="18"/>
                <w:szCs w:val="18"/>
              </w:rPr>
              <w:t>e</w:t>
            </w:r>
            <w:r w:rsidRPr="00FB6E71">
              <w:rPr>
                <w:rFonts w:ascii="Calibri" w:hAnsi="Calibri"/>
                <w:sz w:val="18"/>
                <w:szCs w:val="18"/>
              </w:rPr>
              <w:t xml:space="preserve">ducation, </w:t>
            </w:r>
            <w:r>
              <w:rPr>
                <w:rFonts w:ascii="Calibri" w:hAnsi="Calibri"/>
                <w:sz w:val="18"/>
                <w:szCs w:val="18"/>
              </w:rPr>
              <w:t>t</w:t>
            </w:r>
            <w:r w:rsidRPr="00FB6E71">
              <w:rPr>
                <w:rFonts w:ascii="Calibri" w:hAnsi="Calibri"/>
                <w:sz w:val="18"/>
                <w:szCs w:val="18"/>
              </w:rPr>
              <w:t xml:space="preserve">ransport, WASH, </w:t>
            </w:r>
            <w:r>
              <w:rPr>
                <w:rFonts w:ascii="Calibri" w:hAnsi="Calibri"/>
                <w:sz w:val="18"/>
                <w:szCs w:val="18"/>
              </w:rPr>
              <w:t>a</w:t>
            </w:r>
            <w:r w:rsidRPr="00FB6E71">
              <w:rPr>
                <w:rFonts w:ascii="Calibri" w:hAnsi="Calibri"/>
                <w:sz w:val="18"/>
                <w:szCs w:val="18"/>
              </w:rPr>
              <w:t xml:space="preserve">griculture, </w:t>
            </w:r>
            <w:r>
              <w:rPr>
                <w:rFonts w:ascii="Calibri" w:hAnsi="Calibri"/>
                <w:sz w:val="18"/>
                <w:szCs w:val="18"/>
              </w:rPr>
              <w:t>s</w:t>
            </w:r>
            <w:r w:rsidRPr="00FB6E71">
              <w:rPr>
                <w:rFonts w:ascii="Calibri" w:hAnsi="Calibri"/>
                <w:sz w:val="18"/>
                <w:szCs w:val="18"/>
              </w:rPr>
              <w:t>ocial</w:t>
            </w:r>
            <w:r>
              <w:rPr>
                <w:rFonts w:ascii="Calibri" w:hAnsi="Calibri"/>
                <w:sz w:val="18"/>
                <w:szCs w:val="18"/>
              </w:rPr>
              <w:t>,</w:t>
            </w:r>
            <w:r w:rsidRPr="00FB6E71">
              <w:rPr>
                <w:rFonts w:ascii="Calibri" w:hAnsi="Calibri"/>
                <w:sz w:val="18"/>
                <w:szCs w:val="18"/>
              </w:rPr>
              <w:t xml:space="preserve"> </w:t>
            </w:r>
            <w:r>
              <w:rPr>
                <w:rFonts w:ascii="Calibri" w:hAnsi="Calibri"/>
                <w:sz w:val="18"/>
                <w:szCs w:val="18"/>
              </w:rPr>
              <w:t>and</w:t>
            </w:r>
            <w:r w:rsidRPr="00FB6E71">
              <w:rPr>
                <w:rFonts w:ascii="Calibri" w:hAnsi="Calibri"/>
                <w:sz w:val="18"/>
                <w:szCs w:val="18"/>
              </w:rPr>
              <w:t xml:space="preserve"> M&amp;E </w:t>
            </w:r>
            <w:r>
              <w:rPr>
                <w:rFonts w:ascii="Calibri" w:hAnsi="Calibri"/>
                <w:sz w:val="18"/>
                <w:szCs w:val="18"/>
              </w:rPr>
              <w:t>s</w:t>
            </w:r>
            <w:r w:rsidRPr="00FB6E71">
              <w:rPr>
                <w:rFonts w:ascii="Calibri" w:hAnsi="Calibri"/>
                <w:sz w:val="18"/>
                <w:szCs w:val="18"/>
              </w:rPr>
              <w:t>pecialists</w:t>
            </w:r>
          </w:p>
        </w:tc>
        <w:tc>
          <w:tcPr>
            <w:tcW w:w="130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3/18</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7/18</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11/18</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Routine support</w:t>
            </w:r>
          </w:p>
        </w:tc>
        <w:tc>
          <w:tcPr>
            <w:tcW w:w="1418"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80,000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60,000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120,000</w:t>
            </w:r>
          </w:p>
        </w:tc>
        <w:tc>
          <w:tcPr>
            <w:tcW w:w="2796"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Prepare comprehensive project progress and results monitoring reports in advance of each mission</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Update implementation plans and PPs routinely</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Organize field visits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Ensure continuing program alignment with </w:t>
            </w:r>
            <w:r>
              <w:rPr>
                <w:rFonts w:ascii="Calibri" w:hAnsi="Calibri"/>
                <w:sz w:val="18"/>
                <w:szCs w:val="18"/>
              </w:rPr>
              <w:t xml:space="preserve">the </w:t>
            </w:r>
            <w:r w:rsidRPr="00FB6E71">
              <w:rPr>
                <w:rFonts w:ascii="Calibri" w:hAnsi="Calibri"/>
                <w:sz w:val="18"/>
                <w:szCs w:val="18"/>
              </w:rPr>
              <w:t>IsDB, AfDB</w:t>
            </w:r>
            <w:r>
              <w:rPr>
                <w:rFonts w:ascii="Calibri" w:hAnsi="Calibri"/>
                <w:sz w:val="18"/>
                <w:szCs w:val="18"/>
              </w:rPr>
              <w:t>,</w:t>
            </w:r>
            <w:r w:rsidRPr="00FB6E71">
              <w:rPr>
                <w:rFonts w:ascii="Calibri" w:hAnsi="Calibri"/>
                <w:sz w:val="18"/>
                <w:szCs w:val="18"/>
              </w:rPr>
              <w:t xml:space="preserve"> and other partners</w:t>
            </w:r>
          </w:p>
        </w:tc>
        <w:tc>
          <w:tcPr>
            <w:tcW w:w="287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Review implementation, commitment</w:t>
            </w:r>
            <w:r>
              <w:rPr>
                <w:rFonts w:ascii="Calibri" w:hAnsi="Calibri"/>
                <w:sz w:val="18"/>
                <w:szCs w:val="18"/>
              </w:rPr>
              <w:t>,</w:t>
            </w:r>
            <w:r w:rsidRPr="00FB6E71">
              <w:rPr>
                <w:rFonts w:ascii="Calibri" w:hAnsi="Calibri"/>
                <w:sz w:val="18"/>
                <w:szCs w:val="18"/>
              </w:rPr>
              <w:t xml:space="preserve"> and disbursement status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Ensure safeguards arrangements are built into implementation plans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Provide support to monitor progress of activities</w:t>
            </w:r>
            <w:r>
              <w:rPr>
                <w:rFonts w:ascii="Calibri" w:hAnsi="Calibri"/>
                <w:sz w:val="18"/>
                <w:szCs w:val="18"/>
              </w:rPr>
              <w:t xml:space="preserve"> and</w:t>
            </w:r>
            <w:r w:rsidRPr="00FB6E71">
              <w:rPr>
                <w:rFonts w:ascii="Calibri" w:hAnsi="Calibri"/>
                <w:sz w:val="18"/>
                <w:szCs w:val="18"/>
              </w:rPr>
              <w:t xml:space="preserve"> in-depth technical review of implementation; make adjustments to implementation plan if needed</w:t>
            </w:r>
          </w:p>
        </w:tc>
      </w:tr>
      <w:tr w:rsidTr="007F2DE7">
        <w:tblPrEx>
          <w:tblW w:w="5000" w:type="pct"/>
          <w:jc w:val="center"/>
          <w:tblCellMar>
            <w:top w:w="72" w:type="dxa"/>
            <w:left w:w="115" w:type="dxa"/>
            <w:bottom w:w="72" w:type="dxa"/>
            <w:right w:w="115" w:type="dxa"/>
          </w:tblCellMar>
          <w:tblLook w:val="04A0"/>
        </w:tblPrEx>
        <w:trPr>
          <w:cantSplit/>
          <w:trHeight w:val="20"/>
          <w:jc w:val="center"/>
        </w:trPr>
        <w:tc>
          <w:tcPr>
            <w:tcW w:w="738" w:type="dxa"/>
            <w:shd w:val="clear" w:color="auto" w:fill="auto"/>
          </w:tcPr>
          <w:p w:rsidR="007F2DE7" w:rsidRPr="00FB6E71" w:rsidP="007F2DE7">
            <w:pPr>
              <w:pStyle w:val="Normal237"/>
              <w:rPr>
                <w:rFonts w:ascii="Calibri" w:hAnsi="Calibri"/>
                <w:sz w:val="18"/>
                <w:szCs w:val="18"/>
              </w:rPr>
            </w:pPr>
            <w:r w:rsidRPr="00FB6E71">
              <w:rPr>
                <w:rFonts w:ascii="Calibri" w:hAnsi="Calibri"/>
                <w:sz w:val="18"/>
                <w:szCs w:val="18"/>
              </w:rPr>
              <w:t xml:space="preserve">Year 3 </w:t>
            </w:r>
          </w:p>
        </w:tc>
        <w:tc>
          <w:tcPr>
            <w:tcW w:w="1961"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Monitor implementation of </w:t>
            </w:r>
            <w:r>
              <w:rPr>
                <w:rFonts w:ascii="Calibri" w:hAnsi="Calibri"/>
                <w:sz w:val="18"/>
                <w:szCs w:val="18"/>
              </w:rPr>
              <w:t>p</w:t>
            </w:r>
            <w:r w:rsidRPr="00FB6E71">
              <w:rPr>
                <w:rFonts w:ascii="Calibri" w:hAnsi="Calibri"/>
                <w:sz w:val="18"/>
                <w:szCs w:val="18"/>
              </w:rPr>
              <w:t xml:space="preserve">roject activities </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MTR</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afeguards</w:t>
            </w:r>
          </w:p>
        </w:tc>
        <w:tc>
          <w:tcPr>
            <w:tcW w:w="1863"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Team lead</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 xml:space="preserve">afeguards </w:t>
            </w:r>
            <w:r>
              <w:rPr>
                <w:rFonts w:ascii="Calibri" w:hAnsi="Calibri"/>
                <w:sz w:val="18"/>
                <w:szCs w:val="18"/>
              </w:rPr>
              <w:t>s</w:t>
            </w:r>
            <w:r w:rsidRPr="00FB6E71">
              <w:rPr>
                <w:rFonts w:ascii="Calibri" w:hAnsi="Calibri"/>
                <w:sz w:val="18"/>
                <w:szCs w:val="18"/>
              </w:rPr>
              <w:t>pecialists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Health, </w:t>
            </w:r>
            <w:r>
              <w:rPr>
                <w:rFonts w:ascii="Calibri" w:hAnsi="Calibri"/>
                <w:sz w:val="18"/>
                <w:szCs w:val="18"/>
              </w:rPr>
              <w:t>e</w:t>
            </w:r>
            <w:r w:rsidRPr="00FB6E71">
              <w:rPr>
                <w:rFonts w:ascii="Calibri" w:hAnsi="Calibri"/>
                <w:sz w:val="18"/>
                <w:szCs w:val="18"/>
              </w:rPr>
              <w:t xml:space="preserve">ducation, </w:t>
            </w:r>
            <w:r>
              <w:rPr>
                <w:rFonts w:ascii="Calibri" w:hAnsi="Calibri"/>
                <w:sz w:val="18"/>
                <w:szCs w:val="18"/>
              </w:rPr>
              <w:t>t</w:t>
            </w:r>
            <w:r w:rsidRPr="00FB6E71">
              <w:rPr>
                <w:rFonts w:ascii="Calibri" w:hAnsi="Calibri"/>
                <w:sz w:val="18"/>
                <w:szCs w:val="18"/>
              </w:rPr>
              <w:t xml:space="preserve">ransport, WASH, </w:t>
            </w:r>
            <w:r>
              <w:rPr>
                <w:rFonts w:ascii="Calibri" w:hAnsi="Calibri"/>
                <w:sz w:val="18"/>
                <w:szCs w:val="18"/>
              </w:rPr>
              <w:t>a</w:t>
            </w:r>
            <w:r w:rsidRPr="00FB6E71">
              <w:rPr>
                <w:rFonts w:ascii="Calibri" w:hAnsi="Calibri"/>
                <w:sz w:val="18"/>
                <w:szCs w:val="18"/>
              </w:rPr>
              <w:t xml:space="preserve">griculture, </w:t>
            </w:r>
            <w:r>
              <w:rPr>
                <w:rFonts w:ascii="Calibri" w:hAnsi="Calibri"/>
                <w:sz w:val="18"/>
                <w:szCs w:val="18"/>
              </w:rPr>
              <w:t>s</w:t>
            </w:r>
            <w:r w:rsidRPr="00FB6E71">
              <w:rPr>
                <w:rFonts w:ascii="Calibri" w:hAnsi="Calibri"/>
                <w:sz w:val="18"/>
                <w:szCs w:val="18"/>
              </w:rPr>
              <w:t>ocial</w:t>
            </w:r>
            <w:r>
              <w:rPr>
                <w:rFonts w:ascii="Calibri" w:hAnsi="Calibri"/>
                <w:sz w:val="18"/>
                <w:szCs w:val="18"/>
              </w:rPr>
              <w:t>,</w:t>
            </w:r>
            <w:r w:rsidRPr="00FB6E71">
              <w:rPr>
                <w:rFonts w:ascii="Calibri" w:hAnsi="Calibri"/>
                <w:sz w:val="18"/>
                <w:szCs w:val="18"/>
              </w:rPr>
              <w:t xml:space="preserve"> </w:t>
            </w:r>
            <w:r>
              <w:rPr>
                <w:rFonts w:ascii="Calibri" w:hAnsi="Calibri"/>
                <w:sz w:val="18"/>
                <w:szCs w:val="18"/>
              </w:rPr>
              <w:t>and</w:t>
            </w:r>
            <w:r w:rsidRPr="00FB6E71">
              <w:rPr>
                <w:rFonts w:ascii="Calibri" w:hAnsi="Calibri"/>
                <w:sz w:val="18"/>
                <w:szCs w:val="18"/>
              </w:rPr>
              <w:t xml:space="preserve"> M&amp;E </w:t>
            </w:r>
            <w:r>
              <w:rPr>
                <w:rFonts w:ascii="Calibri" w:hAnsi="Calibri"/>
                <w:sz w:val="18"/>
                <w:szCs w:val="18"/>
              </w:rPr>
              <w:t>s</w:t>
            </w:r>
            <w:r w:rsidRPr="00FB6E71">
              <w:rPr>
                <w:rFonts w:ascii="Calibri" w:hAnsi="Calibri"/>
                <w:sz w:val="18"/>
                <w:szCs w:val="18"/>
              </w:rPr>
              <w:t>pecialists</w:t>
            </w:r>
          </w:p>
        </w:tc>
        <w:tc>
          <w:tcPr>
            <w:tcW w:w="130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3/19</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9/19</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Routine support</w:t>
            </w:r>
          </w:p>
        </w:tc>
        <w:tc>
          <w:tcPr>
            <w:tcW w:w="1418"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60,000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60,000</w:t>
            </w:r>
          </w:p>
        </w:tc>
        <w:tc>
          <w:tcPr>
            <w:tcW w:w="2796"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Prepare comprehensive project progress and results monitoring reports in advance of each mission</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Update implementation plans and PPs routinely</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Organize field visits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Ensure continuing program alignment with </w:t>
            </w:r>
            <w:r>
              <w:rPr>
                <w:rFonts w:ascii="Calibri" w:hAnsi="Calibri"/>
                <w:sz w:val="18"/>
                <w:szCs w:val="18"/>
              </w:rPr>
              <w:t xml:space="preserve">the </w:t>
            </w:r>
            <w:r w:rsidRPr="00FB6E71">
              <w:rPr>
                <w:rFonts w:ascii="Calibri" w:hAnsi="Calibri"/>
                <w:sz w:val="18"/>
                <w:szCs w:val="18"/>
              </w:rPr>
              <w:t>IsDB, AfDB</w:t>
            </w:r>
            <w:r>
              <w:rPr>
                <w:rFonts w:ascii="Calibri" w:hAnsi="Calibri"/>
                <w:sz w:val="18"/>
                <w:szCs w:val="18"/>
              </w:rPr>
              <w:t>,</w:t>
            </w:r>
            <w:r w:rsidRPr="00FB6E71">
              <w:rPr>
                <w:rFonts w:ascii="Calibri" w:hAnsi="Calibri"/>
                <w:sz w:val="18"/>
                <w:szCs w:val="18"/>
              </w:rPr>
              <w:t xml:space="preserve"> and other partners</w:t>
            </w:r>
          </w:p>
        </w:tc>
        <w:tc>
          <w:tcPr>
            <w:tcW w:w="287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Review implementation, commitment</w:t>
            </w:r>
            <w:r>
              <w:rPr>
                <w:rFonts w:ascii="Calibri" w:hAnsi="Calibri"/>
                <w:sz w:val="18"/>
                <w:szCs w:val="18"/>
              </w:rPr>
              <w:t>,</w:t>
            </w:r>
            <w:r w:rsidRPr="00FB6E71">
              <w:rPr>
                <w:rFonts w:ascii="Calibri" w:hAnsi="Calibri"/>
                <w:sz w:val="18"/>
                <w:szCs w:val="18"/>
              </w:rPr>
              <w:t xml:space="preserve"> and disbursement status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Ensure safeguards arrangements are built into implementation plans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Provide support to monitor progress of activities</w:t>
            </w:r>
            <w:r>
              <w:rPr>
                <w:rFonts w:ascii="Calibri" w:hAnsi="Calibri"/>
                <w:sz w:val="18"/>
                <w:szCs w:val="18"/>
              </w:rPr>
              <w:t xml:space="preserve"> and</w:t>
            </w:r>
            <w:r w:rsidRPr="00FB6E71">
              <w:rPr>
                <w:rFonts w:ascii="Calibri" w:hAnsi="Calibri"/>
                <w:sz w:val="18"/>
                <w:szCs w:val="18"/>
              </w:rPr>
              <w:t xml:space="preserve"> in-depth technical review of implementation; make adjustments to implementation plan if needed</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Conduct M</w:t>
            </w:r>
            <w:r w:rsidRPr="00FB6E71">
              <w:rPr>
                <w:rFonts w:ascii="Calibri" w:hAnsi="Calibri" w:cs="Times New Roman"/>
                <w:color w:val="auto"/>
                <w:sz w:val="18"/>
                <w:szCs w:val="18"/>
              </w:rPr>
              <w:t xml:space="preserve">TR after 2.5 years of </w:t>
            </w:r>
            <w:r>
              <w:rPr>
                <w:rFonts w:ascii="Calibri" w:hAnsi="Calibri" w:cs="Times New Roman"/>
                <w:color w:val="auto"/>
                <w:sz w:val="18"/>
                <w:szCs w:val="18"/>
              </w:rPr>
              <w:t>p</w:t>
            </w:r>
            <w:r w:rsidRPr="00FB6E71">
              <w:rPr>
                <w:rFonts w:ascii="Calibri" w:hAnsi="Calibri" w:cs="Times New Roman"/>
                <w:color w:val="auto"/>
                <w:sz w:val="18"/>
                <w:szCs w:val="18"/>
              </w:rPr>
              <w:t>roject implementation</w:t>
            </w:r>
          </w:p>
        </w:tc>
      </w:tr>
      <w:tr w:rsidTr="007F2DE7">
        <w:tblPrEx>
          <w:tblW w:w="5000" w:type="pct"/>
          <w:jc w:val="center"/>
          <w:tblCellMar>
            <w:top w:w="72" w:type="dxa"/>
            <w:left w:w="115" w:type="dxa"/>
            <w:bottom w:w="72" w:type="dxa"/>
            <w:right w:w="115" w:type="dxa"/>
          </w:tblCellMar>
          <w:tblLook w:val="04A0"/>
        </w:tblPrEx>
        <w:trPr>
          <w:cantSplit/>
          <w:trHeight w:val="20"/>
          <w:jc w:val="center"/>
        </w:trPr>
        <w:tc>
          <w:tcPr>
            <w:tcW w:w="738" w:type="dxa"/>
            <w:shd w:val="clear" w:color="auto" w:fill="auto"/>
          </w:tcPr>
          <w:p w:rsidR="007F2DE7" w:rsidRPr="00FB6E71" w:rsidP="007F2DE7">
            <w:pPr>
              <w:pStyle w:val="Normal237"/>
              <w:rPr>
                <w:rFonts w:ascii="Calibri" w:hAnsi="Calibri"/>
                <w:sz w:val="18"/>
                <w:szCs w:val="18"/>
              </w:rPr>
            </w:pPr>
            <w:r w:rsidRPr="00FB6E71">
              <w:rPr>
                <w:rFonts w:ascii="Calibri" w:hAnsi="Calibri"/>
                <w:sz w:val="18"/>
                <w:szCs w:val="18"/>
              </w:rPr>
              <w:t>Year 4</w:t>
            </w:r>
          </w:p>
        </w:tc>
        <w:tc>
          <w:tcPr>
            <w:tcW w:w="1961"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Monitor implementation of </w:t>
            </w:r>
            <w:r>
              <w:rPr>
                <w:rFonts w:ascii="Calibri" w:hAnsi="Calibri"/>
                <w:sz w:val="18"/>
                <w:szCs w:val="18"/>
              </w:rPr>
              <w:t>p</w:t>
            </w:r>
            <w:r w:rsidRPr="00FB6E71">
              <w:rPr>
                <w:rFonts w:ascii="Calibri" w:hAnsi="Calibri"/>
                <w:sz w:val="18"/>
                <w:szCs w:val="18"/>
              </w:rPr>
              <w:t xml:space="preserve">roject activities </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afeguards</w:t>
            </w:r>
          </w:p>
        </w:tc>
        <w:tc>
          <w:tcPr>
            <w:tcW w:w="1863"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Team lead</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 xml:space="preserve">afeguards </w:t>
            </w:r>
            <w:r>
              <w:rPr>
                <w:rFonts w:ascii="Calibri" w:hAnsi="Calibri"/>
                <w:sz w:val="18"/>
                <w:szCs w:val="18"/>
              </w:rPr>
              <w:t>s</w:t>
            </w:r>
            <w:r w:rsidRPr="00FB6E71">
              <w:rPr>
                <w:rFonts w:ascii="Calibri" w:hAnsi="Calibri"/>
                <w:sz w:val="18"/>
                <w:szCs w:val="18"/>
              </w:rPr>
              <w:t>pecialists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Health, </w:t>
            </w:r>
            <w:r>
              <w:rPr>
                <w:rFonts w:ascii="Calibri" w:hAnsi="Calibri"/>
                <w:sz w:val="18"/>
                <w:szCs w:val="18"/>
              </w:rPr>
              <w:t>e</w:t>
            </w:r>
            <w:r w:rsidRPr="00FB6E71">
              <w:rPr>
                <w:rFonts w:ascii="Calibri" w:hAnsi="Calibri"/>
                <w:sz w:val="18"/>
                <w:szCs w:val="18"/>
              </w:rPr>
              <w:t xml:space="preserve">ducation, </w:t>
            </w:r>
            <w:r>
              <w:rPr>
                <w:rFonts w:ascii="Calibri" w:hAnsi="Calibri"/>
                <w:sz w:val="18"/>
                <w:szCs w:val="18"/>
              </w:rPr>
              <w:t>t</w:t>
            </w:r>
            <w:r w:rsidRPr="00FB6E71">
              <w:rPr>
                <w:rFonts w:ascii="Calibri" w:hAnsi="Calibri"/>
                <w:sz w:val="18"/>
                <w:szCs w:val="18"/>
              </w:rPr>
              <w:t xml:space="preserve">ransport, WASH, </w:t>
            </w:r>
            <w:r>
              <w:rPr>
                <w:rFonts w:ascii="Calibri" w:hAnsi="Calibri"/>
                <w:sz w:val="18"/>
                <w:szCs w:val="18"/>
              </w:rPr>
              <w:t>a</w:t>
            </w:r>
            <w:r w:rsidRPr="00FB6E71">
              <w:rPr>
                <w:rFonts w:ascii="Calibri" w:hAnsi="Calibri"/>
                <w:sz w:val="18"/>
                <w:szCs w:val="18"/>
              </w:rPr>
              <w:t xml:space="preserve">griculture, </w:t>
            </w:r>
            <w:r>
              <w:rPr>
                <w:rFonts w:ascii="Calibri" w:hAnsi="Calibri"/>
                <w:sz w:val="18"/>
                <w:szCs w:val="18"/>
              </w:rPr>
              <w:t>s</w:t>
            </w:r>
            <w:r w:rsidRPr="00FB6E71">
              <w:rPr>
                <w:rFonts w:ascii="Calibri" w:hAnsi="Calibri"/>
                <w:sz w:val="18"/>
                <w:szCs w:val="18"/>
              </w:rPr>
              <w:t>ocial</w:t>
            </w:r>
            <w:r>
              <w:rPr>
                <w:rFonts w:ascii="Calibri" w:hAnsi="Calibri"/>
                <w:sz w:val="18"/>
                <w:szCs w:val="18"/>
              </w:rPr>
              <w:t>,</w:t>
            </w:r>
            <w:r w:rsidRPr="00FB6E71">
              <w:rPr>
                <w:rFonts w:ascii="Calibri" w:hAnsi="Calibri"/>
                <w:sz w:val="18"/>
                <w:szCs w:val="18"/>
              </w:rPr>
              <w:t xml:space="preserve"> </w:t>
            </w:r>
            <w:r>
              <w:rPr>
                <w:rFonts w:ascii="Calibri" w:hAnsi="Calibri"/>
                <w:sz w:val="18"/>
                <w:szCs w:val="18"/>
              </w:rPr>
              <w:t>and</w:t>
            </w:r>
            <w:r w:rsidRPr="00FB6E71">
              <w:rPr>
                <w:rFonts w:ascii="Calibri" w:hAnsi="Calibri"/>
                <w:sz w:val="18"/>
                <w:szCs w:val="18"/>
              </w:rPr>
              <w:t xml:space="preserve"> M&amp;E </w:t>
            </w:r>
            <w:r>
              <w:rPr>
                <w:rFonts w:ascii="Calibri" w:hAnsi="Calibri"/>
                <w:sz w:val="18"/>
                <w:szCs w:val="18"/>
              </w:rPr>
              <w:t>s</w:t>
            </w:r>
            <w:r w:rsidRPr="00FB6E71">
              <w:rPr>
                <w:rFonts w:ascii="Calibri" w:hAnsi="Calibri"/>
                <w:sz w:val="18"/>
                <w:szCs w:val="18"/>
              </w:rPr>
              <w:t>pecialists</w:t>
            </w:r>
          </w:p>
        </w:tc>
        <w:tc>
          <w:tcPr>
            <w:tcW w:w="130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3/20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9/20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Routine support</w:t>
            </w:r>
          </w:p>
        </w:tc>
        <w:tc>
          <w:tcPr>
            <w:tcW w:w="1418"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60,000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60,000</w:t>
            </w:r>
          </w:p>
        </w:tc>
        <w:tc>
          <w:tcPr>
            <w:tcW w:w="2796"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Prepare comprehensive project progress and results monitoring reports in advance of each mission</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Update implementation plans and PPs routinely</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Organize field visits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Prepare preclosure review</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Ensure continuing program alignment with </w:t>
            </w:r>
            <w:r>
              <w:rPr>
                <w:rFonts w:ascii="Calibri" w:hAnsi="Calibri"/>
                <w:sz w:val="18"/>
                <w:szCs w:val="18"/>
              </w:rPr>
              <w:t xml:space="preserve">the </w:t>
            </w:r>
            <w:r w:rsidRPr="00FB6E71">
              <w:rPr>
                <w:rFonts w:ascii="Calibri" w:hAnsi="Calibri"/>
                <w:sz w:val="18"/>
                <w:szCs w:val="18"/>
              </w:rPr>
              <w:t>IsDB, AfDB</w:t>
            </w:r>
            <w:r>
              <w:rPr>
                <w:rFonts w:ascii="Calibri" w:hAnsi="Calibri"/>
                <w:sz w:val="18"/>
                <w:szCs w:val="18"/>
              </w:rPr>
              <w:t>,</w:t>
            </w:r>
            <w:r w:rsidRPr="00FB6E71">
              <w:rPr>
                <w:rFonts w:ascii="Calibri" w:hAnsi="Calibri"/>
                <w:sz w:val="18"/>
                <w:szCs w:val="18"/>
              </w:rPr>
              <w:t xml:space="preserve"> and other partners</w:t>
            </w:r>
          </w:p>
        </w:tc>
        <w:tc>
          <w:tcPr>
            <w:tcW w:w="287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Review implementation, commitment</w:t>
            </w:r>
            <w:r>
              <w:rPr>
                <w:rFonts w:ascii="Calibri" w:hAnsi="Calibri"/>
                <w:sz w:val="18"/>
                <w:szCs w:val="18"/>
              </w:rPr>
              <w:t>,</w:t>
            </w:r>
            <w:r w:rsidRPr="00FB6E71">
              <w:rPr>
                <w:rFonts w:ascii="Calibri" w:hAnsi="Calibri"/>
                <w:sz w:val="18"/>
                <w:szCs w:val="18"/>
              </w:rPr>
              <w:t xml:space="preserve"> and disbursement status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Ensure safeguards arrangements are built into implementation plans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Provide support to monitor progress of activities</w:t>
            </w:r>
            <w:r>
              <w:rPr>
                <w:rFonts w:ascii="Calibri" w:hAnsi="Calibri"/>
                <w:sz w:val="18"/>
                <w:szCs w:val="18"/>
              </w:rPr>
              <w:t xml:space="preserve"> and</w:t>
            </w:r>
            <w:r w:rsidRPr="00FB6E71">
              <w:rPr>
                <w:rFonts w:ascii="Calibri" w:hAnsi="Calibri"/>
                <w:sz w:val="18"/>
                <w:szCs w:val="18"/>
              </w:rPr>
              <w:t xml:space="preserve"> in-depth technical review of implementation; make adjustments to implementation plan if needed</w:t>
            </w:r>
          </w:p>
        </w:tc>
      </w:tr>
      <w:tr w:rsidTr="007F2DE7">
        <w:tblPrEx>
          <w:tblW w:w="5000" w:type="pct"/>
          <w:jc w:val="center"/>
          <w:tblCellMar>
            <w:top w:w="72" w:type="dxa"/>
            <w:left w:w="115" w:type="dxa"/>
            <w:bottom w:w="72" w:type="dxa"/>
            <w:right w:w="115" w:type="dxa"/>
          </w:tblCellMar>
          <w:tblLook w:val="04A0"/>
        </w:tblPrEx>
        <w:trPr>
          <w:cantSplit/>
          <w:trHeight w:val="20"/>
          <w:jc w:val="center"/>
        </w:trPr>
        <w:tc>
          <w:tcPr>
            <w:tcW w:w="738" w:type="dxa"/>
            <w:shd w:val="clear" w:color="auto" w:fill="auto"/>
          </w:tcPr>
          <w:p w:rsidR="007F2DE7" w:rsidRPr="00FB6E71" w:rsidP="007F2DE7">
            <w:pPr>
              <w:pStyle w:val="Normal237"/>
              <w:rPr>
                <w:rFonts w:ascii="Calibri" w:hAnsi="Calibri"/>
                <w:sz w:val="18"/>
                <w:szCs w:val="18"/>
              </w:rPr>
            </w:pPr>
            <w:r w:rsidRPr="00FB6E71">
              <w:rPr>
                <w:rFonts w:ascii="Calibri" w:hAnsi="Calibri"/>
                <w:sz w:val="18"/>
                <w:szCs w:val="18"/>
              </w:rPr>
              <w:t>Year 5</w:t>
            </w:r>
          </w:p>
        </w:tc>
        <w:tc>
          <w:tcPr>
            <w:tcW w:w="1961"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Monitor implementation of </w:t>
            </w:r>
            <w:r>
              <w:rPr>
                <w:rFonts w:ascii="Calibri" w:hAnsi="Calibri"/>
                <w:sz w:val="18"/>
                <w:szCs w:val="18"/>
              </w:rPr>
              <w:t>p</w:t>
            </w:r>
            <w:r w:rsidRPr="00FB6E71">
              <w:rPr>
                <w:rFonts w:ascii="Calibri" w:hAnsi="Calibri"/>
                <w:sz w:val="18"/>
                <w:szCs w:val="18"/>
              </w:rPr>
              <w:t xml:space="preserve">roject activities </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afeguards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cs="Times New Roman"/>
                <w:color w:val="auto"/>
                <w:sz w:val="18"/>
                <w:szCs w:val="18"/>
              </w:rPr>
              <w:t>Planning for final</w:t>
            </w:r>
            <w:r w:rsidRPr="00FB6E71">
              <w:rPr>
                <w:rFonts w:ascii="Calibri" w:hAnsi="Calibri"/>
                <w:sz w:val="18"/>
                <w:szCs w:val="18"/>
              </w:rPr>
              <w:t xml:space="preserve"> </w:t>
            </w:r>
            <w:r w:rsidRPr="00FB6E71">
              <w:rPr>
                <w:rFonts w:ascii="Calibri" w:hAnsi="Calibri" w:cs="Times New Roman"/>
                <w:color w:val="auto"/>
                <w:sz w:val="18"/>
                <w:szCs w:val="18"/>
              </w:rPr>
              <w:t>evaluation and I</w:t>
            </w:r>
            <w:r>
              <w:rPr>
                <w:rFonts w:ascii="Calibri" w:hAnsi="Calibri" w:cs="Times New Roman"/>
                <w:color w:val="auto"/>
                <w:sz w:val="18"/>
                <w:szCs w:val="18"/>
              </w:rPr>
              <w:t xml:space="preserve">mplementation </w:t>
            </w:r>
            <w:r w:rsidRPr="00FB6E71">
              <w:rPr>
                <w:rFonts w:ascii="Calibri" w:hAnsi="Calibri" w:cs="Times New Roman"/>
                <w:color w:val="auto"/>
                <w:sz w:val="18"/>
                <w:szCs w:val="18"/>
              </w:rPr>
              <w:t>C</w:t>
            </w:r>
            <w:r>
              <w:rPr>
                <w:rFonts w:ascii="Calibri" w:hAnsi="Calibri" w:cs="Times New Roman"/>
                <w:color w:val="auto"/>
                <w:sz w:val="18"/>
                <w:szCs w:val="18"/>
              </w:rPr>
              <w:t xml:space="preserve">ompletion </w:t>
            </w:r>
            <w:r w:rsidRPr="00FB6E71">
              <w:rPr>
                <w:rFonts w:ascii="Calibri" w:hAnsi="Calibri" w:cs="Times New Roman"/>
                <w:color w:val="auto"/>
                <w:sz w:val="18"/>
                <w:szCs w:val="18"/>
              </w:rPr>
              <w:t>R</w:t>
            </w:r>
            <w:r>
              <w:rPr>
                <w:rFonts w:ascii="Calibri" w:hAnsi="Calibri" w:cs="Times New Roman"/>
                <w:color w:val="auto"/>
                <w:sz w:val="18"/>
                <w:szCs w:val="18"/>
              </w:rPr>
              <w:t>eport</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cs="Times New Roman"/>
                <w:color w:val="auto"/>
                <w:sz w:val="18"/>
                <w:szCs w:val="18"/>
              </w:rPr>
              <w:t>Project withdrawal and closure</w:t>
            </w:r>
          </w:p>
        </w:tc>
        <w:tc>
          <w:tcPr>
            <w:tcW w:w="1863"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Team lead</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FM, </w:t>
            </w:r>
            <w:r>
              <w:rPr>
                <w:rFonts w:ascii="Calibri" w:hAnsi="Calibri"/>
                <w:sz w:val="18"/>
                <w:szCs w:val="18"/>
              </w:rPr>
              <w:t>p</w:t>
            </w:r>
            <w:r w:rsidRPr="00FB6E71">
              <w:rPr>
                <w:rFonts w:ascii="Calibri" w:hAnsi="Calibri"/>
                <w:sz w:val="18"/>
                <w:szCs w:val="18"/>
              </w:rPr>
              <w:t xml:space="preserve">rocurement, </w:t>
            </w:r>
            <w:r>
              <w:rPr>
                <w:rFonts w:ascii="Calibri" w:hAnsi="Calibri"/>
                <w:sz w:val="18"/>
                <w:szCs w:val="18"/>
              </w:rPr>
              <w:t>and s</w:t>
            </w:r>
            <w:r w:rsidRPr="00FB6E71">
              <w:rPr>
                <w:rFonts w:ascii="Calibri" w:hAnsi="Calibri"/>
                <w:sz w:val="18"/>
                <w:szCs w:val="18"/>
              </w:rPr>
              <w:t xml:space="preserve">afeguards </w:t>
            </w:r>
            <w:r>
              <w:rPr>
                <w:rFonts w:ascii="Calibri" w:hAnsi="Calibri"/>
                <w:sz w:val="18"/>
                <w:szCs w:val="18"/>
              </w:rPr>
              <w:t>s</w:t>
            </w:r>
            <w:r w:rsidRPr="00FB6E71">
              <w:rPr>
                <w:rFonts w:ascii="Calibri" w:hAnsi="Calibri"/>
                <w:sz w:val="18"/>
                <w:szCs w:val="18"/>
              </w:rPr>
              <w:t>pecialists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Health, </w:t>
            </w:r>
            <w:r>
              <w:rPr>
                <w:rFonts w:ascii="Calibri" w:hAnsi="Calibri"/>
                <w:sz w:val="18"/>
                <w:szCs w:val="18"/>
              </w:rPr>
              <w:t>e</w:t>
            </w:r>
            <w:r w:rsidRPr="00FB6E71">
              <w:rPr>
                <w:rFonts w:ascii="Calibri" w:hAnsi="Calibri"/>
                <w:sz w:val="18"/>
                <w:szCs w:val="18"/>
              </w:rPr>
              <w:t xml:space="preserve">ducation, </w:t>
            </w:r>
            <w:r>
              <w:rPr>
                <w:rFonts w:ascii="Calibri" w:hAnsi="Calibri"/>
                <w:sz w:val="18"/>
                <w:szCs w:val="18"/>
              </w:rPr>
              <w:t>t</w:t>
            </w:r>
            <w:r w:rsidRPr="00FB6E71">
              <w:rPr>
                <w:rFonts w:ascii="Calibri" w:hAnsi="Calibri"/>
                <w:sz w:val="18"/>
                <w:szCs w:val="18"/>
              </w:rPr>
              <w:t xml:space="preserve">ransport, WASH, </w:t>
            </w:r>
            <w:r>
              <w:rPr>
                <w:rFonts w:ascii="Calibri" w:hAnsi="Calibri"/>
                <w:sz w:val="18"/>
                <w:szCs w:val="18"/>
              </w:rPr>
              <w:t>a</w:t>
            </w:r>
            <w:r w:rsidRPr="00FB6E71">
              <w:rPr>
                <w:rFonts w:ascii="Calibri" w:hAnsi="Calibri"/>
                <w:sz w:val="18"/>
                <w:szCs w:val="18"/>
              </w:rPr>
              <w:t xml:space="preserve">griculture, </w:t>
            </w:r>
            <w:r>
              <w:rPr>
                <w:rFonts w:ascii="Calibri" w:hAnsi="Calibri"/>
                <w:sz w:val="18"/>
                <w:szCs w:val="18"/>
              </w:rPr>
              <w:t>s</w:t>
            </w:r>
            <w:r w:rsidRPr="00FB6E71">
              <w:rPr>
                <w:rFonts w:ascii="Calibri" w:hAnsi="Calibri"/>
                <w:sz w:val="18"/>
                <w:szCs w:val="18"/>
              </w:rPr>
              <w:t>ocial</w:t>
            </w:r>
            <w:r>
              <w:rPr>
                <w:rFonts w:ascii="Calibri" w:hAnsi="Calibri"/>
                <w:sz w:val="18"/>
                <w:szCs w:val="18"/>
              </w:rPr>
              <w:t>,</w:t>
            </w:r>
            <w:r w:rsidRPr="00FB6E71">
              <w:rPr>
                <w:rFonts w:ascii="Calibri" w:hAnsi="Calibri"/>
                <w:sz w:val="18"/>
                <w:szCs w:val="18"/>
              </w:rPr>
              <w:t xml:space="preserve"> </w:t>
            </w:r>
            <w:r>
              <w:rPr>
                <w:rFonts w:ascii="Calibri" w:hAnsi="Calibri"/>
                <w:sz w:val="18"/>
                <w:szCs w:val="18"/>
              </w:rPr>
              <w:t>and</w:t>
            </w:r>
            <w:r w:rsidRPr="00FB6E71">
              <w:rPr>
                <w:rFonts w:ascii="Calibri" w:hAnsi="Calibri"/>
                <w:sz w:val="18"/>
                <w:szCs w:val="18"/>
              </w:rPr>
              <w:t xml:space="preserve"> M&amp;E </w:t>
            </w:r>
            <w:r>
              <w:rPr>
                <w:rFonts w:ascii="Calibri" w:hAnsi="Calibri"/>
                <w:sz w:val="18"/>
                <w:szCs w:val="18"/>
              </w:rPr>
              <w:t>s</w:t>
            </w:r>
            <w:r w:rsidRPr="00FB6E71">
              <w:rPr>
                <w:rFonts w:ascii="Calibri" w:hAnsi="Calibri"/>
                <w:sz w:val="18"/>
                <w:szCs w:val="18"/>
              </w:rPr>
              <w:t>pecialists</w:t>
            </w:r>
          </w:p>
        </w:tc>
        <w:tc>
          <w:tcPr>
            <w:tcW w:w="130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3/21</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9/21</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Routine support</w:t>
            </w:r>
          </w:p>
        </w:tc>
        <w:tc>
          <w:tcPr>
            <w:tcW w:w="1418"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60,000</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60,000</w:t>
            </w:r>
          </w:p>
        </w:tc>
        <w:tc>
          <w:tcPr>
            <w:tcW w:w="2796"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Prepare comprehensive project progress and results monitoring reports in advance of each mission</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Update implementation plans and PPs routinely</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Organize field visits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Ensure continuing program alignment with </w:t>
            </w:r>
            <w:r>
              <w:rPr>
                <w:rFonts w:ascii="Calibri" w:hAnsi="Calibri"/>
                <w:sz w:val="18"/>
                <w:szCs w:val="18"/>
              </w:rPr>
              <w:t xml:space="preserve">the </w:t>
            </w:r>
            <w:r w:rsidRPr="00FB6E71">
              <w:rPr>
                <w:rFonts w:ascii="Calibri" w:hAnsi="Calibri"/>
                <w:sz w:val="18"/>
                <w:szCs w:val="18"/>
              </w:rPr>
              <w:t>IsDB, AfDB</w:t>
            </w:r>
            <w:r>
              <w:rPr>
                <w:rFonts w:ascii="Calibri" w:hAnsi="Calibri"/>
                <w:sz w:val="18"/>
                <w:szCs w:val="18"/>
              </w:rPr>
              <w:t>,</w:t>
            </w:r>
            <w:r w:rsidRPr="00FB6E71">
              <w:rPr>
                <w:rFonts w:ascii="Calibri" w:hAnsi="Calibri"/>
                <w:sz w:val="18"/>
                <w:szCs w:val="18"/>
              </w:rPr>
              <w:t xml:space="preserve"> and other partners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 xml:space="preserve">Project </w:t>
            </w:r>
            <w:r>
              <w:rPr>
                <w:rFonts w:ascii="Calibri" w:hAnsi="Calibri"/>
                <w:sz w:val="18"/>
                <w:szCs w:val="18"/>
              </w:rPr>
              <w:t>c</w:t>
            </w:r>
            <w:r w:rsidRPr="00FB6E71">
              <w:rPr>
                <w:rFonts w:ascii="Calibri" w:hAnsi="Calibri"/>
                <w:sz w:val="18"/>
                <w:szCs w:val="18"/>
              </w:rPr>
              <w:t>losure</w:t>
            </w:r>
          </w:p>
        </w:tc>
        <w:tc>
          <w:tcPr>
            <w:tcW w:w="2872" w:type="dxa"/>
            <w:shd w:val="clear" w:color="auto" w:fill="auto"/>
          </w:tcPr>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Review implementation, commitment</w:t>
            </w:r>
            <w:r>
              <w:rPr>
                <w:rFonts w:ascii="Calibri" w:hAnsi="Calibri"/>
                <w:sz w:val="18"/>
                <w:szCs w:val="18"/>
              </w:rPr>
              <w:t>,</w:t>
            </w:r>
            <w:r w:rsidRPr="00FB6E71">
              <w:rPr>
                <w:rFonts w:ascii="Calibri" w:hAnsi="Calibri"/>
                <w:sz w:val="18"/>
                <w:szCs w:val="18"/>
              </w:rPr>
              <w:t xml:space="preserve"> and disbursement status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Ensure safeguards arrangements are built into implementation plans</w:t>
            </w:r>
          </w:p>
          <w:p w:rsidR="007F2DE7" w:rsidRPr="00FB6E71" w:rsidP="007F2DE7">
            <w:pPr>
              <w:widowControl/>
              <w:numPr>
                <w:ilvl w:val="1"/>
                <w:numId w:val="8"/>
              </w:numPr>
              <w:autoSpaceDE/>
              <w:autoSpaceDN/>
              <w:adjustRightInd/>
              <w:spacing w:after="120"/>
              <w:ind w:left="288" w:hanging="288"/>
              <w:rPr>
                <w:rFonts w:ascii="Calibri" w:hAnsi="Calibri"/>
                <w:sz w:val="18"/>
                <w:szCs w:val="18"/>
              </w:rPr>
            </w:pPr>
            <w:r w:rsidRPr="00FB6E71">
              <w:rPr>
                <w:rFonts w:ascii="Calibri" w:hAnsi="Calibri"/>
                <w:sz w:val="18"/>
                <w:szCs w:val="18"/>
              </w:rPr>
              <w:t>Provide support to monitor progress of activities</w:t>
            </w:r>
            <w:r>
              <w:rPr>
                <w:rFonts w:ascii="Calibri" w:hAnsi="Calibri"/>
                <w:sz w:val="18"/>
                <w:szCs w:val="18"/>
              </w:rPr>
              <w:t xml:space="preserve"> and</w:t>
            </w:r>
            <w:r w:rsidRPr="00FB6E71">
              <w:rPr>
                <w:rFonts w:ascii="Calibri" w:hAnsi="Calibri"/>
                <w:sz w:val="18"/>
                <w:szCs w:val="18"/>
              </w:rPr>
              <w:t xml:space="preserve"> in-depth technical review of implementation; make adjustments to implementation plan if needed</w:t>
            </w:r>
          </w:p>
        </w:tc>
      </w:tr>
    </w:tbl>
    <w:p w:rsidR="007F2DE7" w:rsidRPr="00FB6E71" w:rsidP="007F2DE7">
      <w:pPr>
        <w:pStyle w:val="ListParagraph"/>
        <w:widowControl/>
        <w:spacing w:after="240"/>
        <w:ind w:left="0"/>
        <w:contextualSpacing w:val="0"/>
        <w:rPr>
          <w:rFonts w:asciiTheme="minorHAnsi" w:hAnsiTheme="minorHAnsi"/>
          <w:bCs/>
          <w:color w:val="auto"/>
          <w:sz w:val="18"/>
          <w:szCs w:val="18"/>
        </w:rPr>
      </w:pPr>
      <w:r w:rsidRPr="00FB6E71">
        <w:rPr>
          <w:rFonts w:asciiTheme="minorHAnsi" w:hAnsiTheme="minorHAnsi"/>
          <w:bCs/>
          <w:i/>
          <w:color w:val="auto"/>
          <w:sz w:val="18"/>
          <w:szCs w:val="18"/>
        </w:rPr>
        <w:t>Note:</w:t>
      </w:r>
      <w:r w:rsidRPr="00FB6E71">
        <w:rPr>
          <w:rFonts w:asciiTheme="minorHAnsi" w:hAnsiTheme="minorHAnsi"/>
          <w:bCs/>
          <w:color w:val="auto"/>
          <w:sz w:val="18"/>
          <w:szCs w:val="18"/>
        </w:rPr>
        <w:t xml:space="preserve"> a.</w:t>
      </w:r>
      <w:r w:rsidRPr="00FB6E71">
        <w:rPr>
          <w:rFonts w:asciiTheme="minorHAnsi" w:hAnsiTheme="minorHAnsi"/>
          <w:sz w:val="18"/>
          <w:szCs w:val="18"/>
        </w:rPr>
        <w:t xml:space="preserve"> Given the complexity of the implementing context and the principle of flexibility, MTR will be conducted after 18</w:t>
      </w:r>
      <w:r w:rsidRPr="00FB6E71">
        <w:rPr>
          <w:rFonts w:asciiTheme="minorHAnsi" w:hAnsiTheme="minorHAnsi"/>
          <w:sz w:val="18"/>
          <w:szCs w:val="18"/>
          <w:vertAlign w:val="superscript"/>
        </w:rPr>
        <w:t xml:space="preserve"> </w:t>
      </w:r>
      <w:r w:rsidRPr="00FB6E71">
        <w:rPr>
          <w:rFonts w:asciiTheme="minorHAnsi" w:hAnsiTheme="minorHAnsi"/>
          <w:sz w:val="18"/>
          <w:szCs w:val="18"/>
        </w:rPr>
        <w:t>months of project operation.</w:t>
      </w:r>
    </w:p>
    <w:p w:rsidR="007F2DE7" w:rsidRPr="00FB6E71" w:rsidP="007F2DE7">
      <w:pPr>
        <w:widowControl/>
        <w:autoSpaceDE/>
        <w:autoSpaceDN/>
        <w:adjustRightInd/>
        <w:spacing w:after="160" w:line="259" w:lineRule="auto"/>
        <w:sectPr w:rsidSect="007F2DE7">
          <w:headerReference w:type="default" r:id="rId28"/>
          <w:footerReference w:type="default" r:id="rId29"/>
          <w:pgSz w:w="15840" w:h="12240" w:orient="landscape" w:code="1"/>
          <w:pgMar w:top="1440" w:right="1440" w:bottom="1440" w:left="1440" w:header="720" w:footer="720" w:gutter="0"/>
          <w:cols w:space="720"/>
          <w:docGrid w:linePitch="360"/>
        </w:sectPr>
      </w:pP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03"/>
      </w:tblGrid>
      <w:tr w:rsidTr="007F2DE7">
        <w:tblPrEx>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2"/>
        </w:trPr>
        <w:tc>
          <w:tcPr>
            <w:tcW w:w="10903" w:type="dxa"/>
            <w:shd w:val="clear" w:color="auto" w:fill="F2F2F2" w:themeFill="background1" w:themeFillShade="F2"/>
            <w:vAlign w:val="center"/>
          </w:tcPr>
          <w:p w:rsidR="007F2DE7" w:rsidRPr="00FB6E71" w:rsidP="007F2DE7">
            <w:pPr>
              <w:pStyle w:val="NoSpacing"/>
              <w:jc w:val="center"/>
              <w:outlineLvl w:val="0"/>
              <w:rPr>
                <w:rFonts w:asciiTheme="minorHAnsi" w:hAnsiTheme="minorHAnsi"/>
                <w:b/>
                <w:sz w:val="22"/>
                <w:szCs w:val="22"/>
              </w:rPr>
            </w:pPr>
            <w:bookmarkStart w:id="146" w:name="_Toc463635015"/>
            <w:bookmarkStart w:id="147" w:name="_Toc476558134"/>
            <w:r w:rsidRPr="00FB6E71">
              <w:rPr>
                <w:rFonts w:asciiTheme="minorHAnsi" w:hAnsiTheme="minorHAnsi"/>
                <w:b/>
                <w:color w:val="000000" w:themeColor="text1"/>
                <w:sz w:val="22"/>
                <w:szCs w:val="22"/>
              </w:rPr>
              <w:t>ANNEX 4: Economic Analysis</w:t>
            </w:r>
            <w:bookmarkEnd w:id="146"/>
            <w:bookmarkEnd w:id="147"/>
          </w:p>
        </w:tc>
      </w:tr>
    </w:tbl>
    <w:p w:rsidR="007F2DE7" w:rsidRPr="00FB6E71" w:rsidP="007F2DE7">
      <w:pPr>
        <w:ind w:left="-792"/>
        <w:rPr>
          <w:rFonts w:asciiTheme="minorHAnsi" w:hAnsiTheme="minorHAnsi"/>
          <w:b/>
          <w:bCs/>
          <w:color w:val="7F7F7F" w:themeColor="text1" w:themeTint="80"/>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0"/>
      </w:tblGrid>
      <w:tr w:rsidTr="007F2DE7">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2"/>
        </w:trPr>
        <w:tc>
          <w:tcPr>
            <w:tcW w:w="10800" w:type="dxa"/>
          </w:tcPr>
          <w:p w:rsidR="007F2DE7" w:rsidRPr="00FB6E71" w:rsidP="007F2DE7">
            <w:pPr>
              <w:jc w:val="center"/>
              <w:rPr>
                <w:rFonts w:asciiTheme="minorHAnsi" w:hAnsiTheme="minorHAnsi"/>
                <w:b/>
                <w:bCs/>
                <w:color w:val="767171" w:themeColor="background2" w:themeShade="80"/>
                <w:sz w:val="22"/>
                <w:szCs w:val="22"/>
              </w:rPr>
            </w:pPr>
            <w:r w:rsidRPr="00FB6E71">
              <w:rPr>
                <w:rFonts w:asciiTheme="minorHAnsi" w:hAnsiTheme="minorHAnsi"/>
                <w:b/>
                <w:bCs/>
                <w:color w:val="767171" w:themeColor="background2" w:themeShade="80"/>
                <w:sz w:val="22"/>
                <w:szCs w:val="22"/>
              </w:rPr>
              <w:t xml:space="preserve">COUNTRY : Nigeria </w:t>
            </w:r>
            <w:r w:rsidRPr="00FB6E71">
              <w:rPr>
                <w:rFonts w:asciiTheme="minorHAnsi" w:hAnsiTheme="minorHAnsi"/>
                <w:b/>
                <w:bCs/>
                <w:color w:val="767171" w:themeColor="background2" w:themeShade="80"/>
                <w:sz w:val="22"/>
                <w:szCs w:val="22"/>
              </w:rPr>
              <w:br/>
            </w:r>
            <w:r w:rsidRPr="00FB6E71">
              <w:rPr>
                <w:rFonts w:asciiTheme="minorHAnsi" w:hAnsiTheme="minorHAnsi"/>
                <w:b/>
                <w:bCs/>
                <w:color w:val="767171" w:themeColor="background2" w:themeShade="80"/>
                <w:sz w:val="22"/>
                <w:szCs w:val="22"/>
              </w:rPr>
              <w:fldChar w:fldCharType="begin"/>
            </w:r>
            <w:r w:rsidRPr="00FB6E71">
              <w:rPr>
                <w:rFonts w:asciiTheme="minorHAnsi" w:hAnsiTheme="minorHAnsi"/>
                <w:b/>
                <w:bCs/>
                <w:color w:val="767171" w:themeColor="background2" w:themeShade="80"/>
                <w:sz w:val="22"/>
                <w:szCs w:val="22"/>
              </w:rPr>
              <w:instrText xml:space="preserve"> IF "Multi-Sectoral Crisis Recovery Project for North Eastern Nigeria" &lt;&gt; "" "Multi-Sectoral Crisis Recovery Project for North Eastern Nigeria" </w:instrText>
            </w:r>
            <w:r w:rsidRPr="00FB6E71">
              <w:rPr>
                <w:rFonts w:asciiTheme="minorHAnsi" w:hAnsiTheme="minorHAnsi"/>
                <w:b/>
                <w:color w:val="767171" w:themeColor="background2" w:themeShade="80"/>
                <w:sz w:val="22"/>
                <w:szCs w:val="22"/>
              </w:rPr>
              <w:instrText>""</w:instrText>
            </w:r>
            <w:r w:rsidRPr="00FB6E71">
              <w:rPr>
                <w:rFonts w:asciiTheme="minorHAnsi" w:hAnsiTheme="minorHAnsi"/>
                <w:b/>
                <w:bCs/>
                <w:color w:val="767171" w:themeColor="background2" w:themeShade="80"/>
                <w:sz w:val="22"/>
                <w:szCs w:val="22"/>
              </w:rPr>
              <w:fldChar w:fldCharType="separate"/>
            </w:r>
            <w:r w:rsidRPr="00FB6E71">
              <w:rPr>
                <w:rFonts w:asciiTheme="minorHAnsi" w:hAnsiTheme="minorHAnsi"/>
                <w:b/>
                <w:bCs/>
                <w:color w:val="767171" w:themeColor="background2" w:themeShade="80"/>
                <w:sz w:val="22"/>
                <w:szCs w:val="22"/>
              </w:rPr>
              <w:t>Multi-Sectoral Crisis Recovery Project for North Eastern Nigeria</w:t>
            </w:r>
            <w:r w:rsidRPr="00FB6E71">
              <w:rPr>
                <w:rFonts w:asciiTheme="minorHAnsi" w:hAnsiTheme="minorHAnsi"/>
                <w:b/>
                <w:color w:val="767171" w:themeColor="background2" w:themeShade="80"/>
                <w:sz w:val="22"/>
                <w:szCs w:val="22"/>
              </w:rPr>
              <w:fldChar w:fldCharType="end"/>
            </w:r>
          </w:p>
        </w:tc>
      </w:tr>
    </w:tbl>
    <w:p w:rsidR="007F2DE7" w:rsidRPr="00FB6E71" w:rsidP="007F2DE7">
      <w:pPr>
        <w:keepNext/>
        <w:ind w:left="-792"/>
        <w:rPr>
          <w:rFonts w:asciiTheme="minorHAnsi" w:hAnsiTheme="minorHAnsi"/>
          <w:b/>
          <w:bCs/>
          <w:color w:val="7F7F7F" w:themeColor="text1" w:themeTint="80"/>
          <w:sz w:val="22"/>
          <w:szCs w:val="22"/>
        </w:rPr>
      </w:pP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 xml:space="preserve">This </w:t>
      </w:r>
      <w:r w:rsidRPr="00FB6E71">
        <w:rPr>
          <w:rFonts w:asciiTheme="minorHAnsi" w:hAnsiTheme="minorHAnsi"/>
          <w:color w:val="auto"/>
          <w:sz w:val="22"/>
          <w:szCs w:val="22"/>
        </w:rPr>
        <w:t>section</w:t>
      </w:r>
      <w:r w:rsidRPr="00FB6E71">
        <w:rPr>
          <w:rFonts w:asciiTheme="minorHAnsi" w:hAnsiTheme="minorHAnsi"/>
          <w:sz w:val="22"/>
          <w:szCs w:val="22"/>
        </w:rPr>
        <w:t xml:space="preserve"> presents the details of the economic analysis performed for the typologies of interventions under Component 1 followed </w:t>
      </w:r>
      <w:r w:rsidRPr="00FB6E71">
        <w:rPr>
          <w:rFonts w:asciiTheme="minorHAnsi" w:hAnsiTheme="minorHAnsi"/>
          <w:color w:val="000000" w:themeColor="text1"/>
          <w:sz w:val="22"/>
          <w:szCs w:val="22"/>
        </w:rPr>
        <w:t>by</w:t>
      </w:r>
      <w:r w:rsidRPr="00FB6E71">
        <w:rPr>
          <w:rFonts w:asciiTheme="minorHAnsi" w:hAnsiTheme="minorHAnsi"/>
          <w:sz w:val="22"/>
          <w:szCs w:val="22"/>
        </w:rPr>
        <w:t xml:space="preserve"> Component 2. </w:t>
      </w:r>
    </w:p>
    <w:p w:rsidR="007F2DE7" w:rsidRPr="00FB6E71" w:rsidP="007F2DE7">
      <w:pPr>
        <w:keepNext/>
        <w:keepLines/>
        <w:widowControl/>
        <w:spacing w:after="240"/>
        <w:rPr>
          <w:rFonts w:asciiTheme="minorHAnsi" w:hAnsiTheme="minorHAnsi"/>
          <w:b/>
          <w:bCs/>
          <w:i/>
          <w:color w:val="auto"/>
          <w:sz w:val="22"/>
          <w:szCs w:val="22"/>
        </w:rPr>
      </w:pPr>
      <w:r w:rsidRPr="00FB6E71">
        <w:rPr>
          <w:rFonts w:asciiTheme="minorHAnsi" w:hAnsiTheme="minorHAnsi"/>
          <w:b/>
          <w:bCs/>
          <w:i/>
          <w:color w:val="auto"/>
          <w:sz w:val="22"/>
          <w:szCs w:val="22"/>
        </w:rPr>
        <w:t>Component 1: Strengthening Peace Building, Stability, and Social Cohesion</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sz w:val="22"/>
          <w:szCs w:val="22"/>
        </w:rPr>
        <w:t>Component</w:t>
      </w:r>
      <w:r w:rsidRPr="00FB6E71">
        <w:rPr>
          <w:rFonts w:asciiTheme="minorHAnsi" w:hAnsiTheme="minorHAnsi"/>
          <w:bCs/>
          <w:color w:val="auto"/>
          <w:sz w:val="22"/>
          <w:szCs w:val="22"/>
        </w:rPr>
        <w:t xml:space="preserve"> 1 ensures the sustainable return of the displaced population by providing the means for self-sufficiency and promoting social cohesion.</w:t>
      </w:r>
      <w:r w:rsidRPr="00FB6E71">
        <w:rPr>
          <w:rFonts w:asciiTheme="minorHAnsi" w:hAnsiTheme="minorHAnsi"/>
          <w:color w:val="auto"/>
          <w:sz w:val="22"/>
          <w:szCs w:val="22"/>
        </w:rPr>
        <w:t xml:space="preserve"> This component addresses the needs of the estimated 2.3 million individuals </w:t>
      </w:r>
      <w:r>
        <w:rPr>
          <w:rFonts w:asciiTheme="minorHAnsi" w:hAnsiTheme="minorHAnsi"/>
          <w:color w:val="auto"/>
          <w:sz w:val="22"/>
          <w:szCs w:val="22"/>
        </w:rPr>
        <w:t>who</w:t>
      </w:r>
      <w:r w:rsidRPr="00FB6E71">
        <w:rPr>
          <w:rFonts w:asciiTheme="minorHAnsi" w:hAnsiTheme="minorHAnsi"/>
          <w:color w:val="auto"/>
          <w:sz w:val="22"/>
          <w:szCs w:val="22"/>
        </w:rPr>
        <w:t xml:space="preserve"> have been internally displaced by the conflict in a region where 80 percent of the population relies on agriculture for their livelihood.</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auto"/>
          <w:sz w:val="22"/>
          <w:szCs w:val="22"/>
        </w:rPr>
        <w:t>The assumptions made toward the economic analysis of Subcomponent 1.1 include</w:t>
      </w:r>
    </w:p>
    <w:p w:rsidR="007F2DE7" w:rsidRPr="00FB6E71" w:rsidP="00302E0C">
      <w:pPr>
        <w:pStyle w:val="ListParagraph"/>
        <w:widowControl/>
        <w:numPr>
          <w:ilvl w:val="3"/>
          <w:numId w:val="50"/>
        </w:numPr>
        <w:spacing w:after="240"/>
        <w:ind w:left="1195" w:hanging="475"/>
        <w:contextualSpacing w:val="0"/>
        <w:jc w:val="both"/>
        <w:rPr>
          <w:rFonts w:asciiTheme="minorHAnsi" w:hAnsiTheme="minorHAnsi"/>
          <w:color w:val="auto"/>
          <w:sz w:val="22"/>
          <w:szCs w:val="22"/>
        </w:rPr>
      </w:pPr>
      <w:r w:rsidRPr="00FB6E71">
        <w:rPr>
          <w:rFonts w:asciiTheme="minorHAnsi" w:hAnsiTheme="minorHAnsi"/>
          <w:color w:val="auto"/>
          <w:sz w:val="22"/>
          <w:szCs w:val="22"/>
        </w:rPr>
        <w:t xml:space="preserve">Valuation of costs and benefits: based on market and shadow prices; </w:t>
      </w:r>
    </w:p>
    <w:p w:rsidR="007F2DE7" w:rsidRPr="00FB6E71" w:rsidP="00302E0C">
      <w:pPr>
        <w:pStyle w:val="ListParagraph"/>
        <w:widowControl/>
        <w:numPr>
          <w:ilvl w:val="3"/>
          <w:numId w:val="50"/>
        </w:numPr>
        <w:spacing w:after="240"/>
        <w:ind w:left="1195" w:hanging="475"/>
        <w:contextualSpacing w:val="0"/>
        <w:jc w:val="both"/>
        <w:rPr>
          <w:rFonts w:asciiTheme="minorHAnsi" w:hAnsiTheme="minorHAnsi"/>
          <w:color w:val="auto"/>
          <w:sz w:val="22"/>
          <w:szCs w:val="22"/>
        </w:rPr>
      </w:pPr>
      <w:r w:rsidRPr="00FB6E71">
        <w:rPr>
          <w:rFonts w:asciiTheme="minorHAnsi" w:hAnsiTheme="minorHAnsi"/>
          <w:color w:val="auto"/>
          <w:sz w:val="22"/>
          <w:szCs w:val="22"/>
        </w:rPr>
        <w:t xml:space="preserve">Appraisal period: a five-year appraisal period is selected for projects; and </w:t>
      </w:r>
    </w:p>
    <w:p w:rsidR="007F2DE7" w:rsidRPr="00FB6E71" w:rsidP="00302E0C">
      <w:pPr>
        <w:pStyle w:val="ListParagraph"/>
        <w:widowControl/>
        <w:numPr>
          <w:ilvl w:val="3"/>
          <w:numId w:val="50"/>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color w:val="auto"/>
          <w:sz w:val="22"/>
          <w:szCs w:val="22"/>
        </w:rPr>
        <w:t>Discount rate: a 6 percent discount rate is applied</w:t>
      </w:r>
      <w:r w:rsidRPr="00FB6E71">
        <w:rPr>
          <w:rFonts w:asciiTheme="minorHAnsi" w:hAnsiTheme="minorHAnsi"/>
          <w:bCs/>
          <w:color w:val="auto"/>
          <w:sz w:val="22"/>
          <w:szCs w:val="22"/>
        </w:rPr>
        <w:t>.</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Typology 1 on supporting the safe and voluntary return and/or reintegration of displaced persons </w:t>
      </w:r>
      <w:r w:rsidRPr="00FB6E71">
        <w:rPr>
          <w:rFonts w:asciiTheme="minorHAnsi" w:hAnsiTheme="minorHAnsi"/>
          <w:color w:val="auto"/>
          <w:sz w:val="22"/>
          <w:szCs w:val="22"/>
        </w:rPr>
        <w:t>supports the provision of goods (that is, kitchen sets, mosquito nets, plastic mats, blankets</w:t>
      </w:r>
      <w:r>
        <w:rPr>
          <w:rFonts w:asciiTheme="minorHAnsi" w:hAnsiTheme="minorHAnsi"/>
          <w:color w:val="auto"/>
          <w:sz w:val="22"/>
          <w:szCs w:val="22"/>
        </w:rPr>
        <w:t>,</w:t>
      </w:r>
      <w:r w:rsidRPr="00FB6E71">
        <w:rPr>
          <w:rFonts w:asciiTheme="minorHAnsi" w:hAnsiTheme="minorHAnsi"/>
          <w:color w:val="auto"/>
          <w:sz w:val="22"/>
          <w:szCs w:val="22"/>
        </w:rPr>
        <w:t xml:space="preserve"> hygiene kits</w:t>
      </w:r>
      <w:r>
        <w:rPr>
          <w:rFonts w:asciiTheme="minorHAnsi" w:hAnsiTheme="minorHAnsi"/>
          <w:color w:val="auto"/>
          <w:sz w:val="22"/>
          <w:szCs w:val="22"/>
        </w:rPr>
        <w:t>,</w:t>
      </w:r>
      <w:r w:rsidRPr="00FB6E71">
        <w:rPr>
          <w:rFonts w:asciiTheme="minorHAnsi" w:hAnsiTheme="minorHAnsi"/>
          <w:color w:val="auto"/>
          <w:sz w:val="22"/>
          <w:szCs w:val="22"/>
        </w:rPr>
        <w:t xml:space="preserve"> and other </w:t>
      </w:r>
      <w:r w:rsidRPr="00FB6E71">
        <w:rPr>
          <w:rFonts w:asciiTheme="minorHAnsi" w:hAnsiTheme="minorHAnsi"/>
          <w:sz w:val="22"/>
          <w:szCs w:val="22"/>
        </w:rPr>
        <w:t>essentials</w:t>
      </w:r>
      <w:r w:rsidRPr="00FB6E71">
        <w:rPr>
          <w:rFonts w:asciiTheme="minorHAnsi" w:hAnsiTheme="minorHAnsi"/>
          <w:color w:val="auto"/>
          <w:sz w:val="22"/>
          <w:szCs w:val="22"/>
        </w:rPr>
        <w:t>) and access to productive assets (that is, agricultural inputs and livestock to farming families and trading commodities for non-farmers) to 30,000 households and 30,000 individuals, respectively, across the BAY states. This subcomponent will also support the capacity of state and local governments for IDP return and resettlement. In the short term, this component is expected to (a) contribute to job creation; (b) restore incomes through livelihood and income</w:t>
      </w:r>
      <w:r>
        <w:rPr>
          <w:rFonts w:asciiTheme="minorHAnsi" w:hAnsiTheme="minorHAnsi"/>
          <w:color w:val="auto"/>
          <w:sz w:val="22"/>
          <w:szCs w:val="22"/>
        </w:rPr>
        <w:t>-</w:t>
      </w:r>
      <w:r w:rsidRPr="00FB6E71">
        <w:rPr>
          <w:rFonts w:asciiTheme="minorHAnsi" w:hAnsiTheme="minorHAnsi"/>
          <w:color w:val="auto"/>
          <w:sz w:val="22"/>
          <w:szCs w:val="22"/>
        </w:rPr>
        <w:t xml:space="preserve">generating activities; (c) increase food security for the affected households; and (d) ease the immediate fiscal burden for the Government. In the medium term, this component is expected to (a) restore agricultural products by providing communities with inputs and enabling off-season planting and (b) restore household income and food through improved agricultural production. Benefits will accrue from the estimated annual income of US$500 per individual as well as better health conditions through greater food access. The economic analysis performed for </w:t>
      </w:r>
      <w:r w:rsidRPr="00FB6E71">
        <w:rPr>
          <w:rFonts w:ascii="Calibri" w:eastAsia="Times New Roman" w:hAnsi="Calibri" w:cs="Times New Roman"/>
          <w:color w:val="auto"/>
          <w:sz w:val="22"/>
          <w:szCs w:val="22"/>
        </w:rPr>
        <w:t>this</w:t>
      </w:r>
      <w:r w:rsidRPr="00FB6E71">
        <w:rPr>
          <w:rFonts w:asciiTheme="minorHAnsi" w:hAnsiTheme="minorHAnsi"/>
          <w:color w:val="auto"/>
          <w:sz w:val="22"/>
          <w:szCs w:val="22"/>
        </w:rPr>
        <w:t xml:space="preserve"> typology suggests that this would be economically feasible at a cost of up to US$63 million. </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Typology</w:t>
      </w:r>
      <w:r>
        <w:rPr>
          <w:rFonts w:asciiTheme="minorHAnsi" w:hAnsiTheme="minorHAnsi"/>
          <w:bCs/>
          <w:color w:val="auto"/>
          <w:sz w:val="22"/>
          <w:szCs w:val="22"/>
        </w:rPr>
        <w:t xml:space="preserve"> 2</w:t>
      </w:r>
      <w:r w:rsidRPr="00FB6E71">
        <w:rPr>
          <w:rFonts w:asciiTheme="minorHAnsi" w:hAnsiTheme="minorHAnsi"/>
          <w:bCs/>
          <w:color w:val="auto"/>
          <w:sz w:val="22"/>
          <w:szCs w:val="22"/>
        </w:rPr>
        <w:t xml:space="preserve"> on strengthening reconciliation, peace building, and community cohesion</w:t>
      </w:r>
      <w:r w:rsidRPr="00FB6E71">
        <w:rPr>
          <w:rFonts w:asciiTheme="minorHAnsi" w:hAnsiTheme="minorHAnsi"/>
          <w:color w:val="auto"/>
          <w:sz w:val="22"/>
          <w:szCs w:val="22"/>
        </w:rPr>
        <w:t xml:space="preserve"> relates to the establishment of an investment fund for basic numeracy and literacy skills for out-of-school children and youth, sports for peace </w:t>
      </w:r>
      <w:r w:rsidRPr="00FB6E71">
        <w:rPr>
          <w:rFonts w:asciiTheme="minorHAnsi" w:hAnsiTheme="minorHAnsi"/>
          <w:sz w:val="22"/>
          <w:szCs w:val="22"/>
        </w:rPr>
        <w:t>activities</w:t>
      </w:r>
      <w:r w:rsidRPr="00FB6E71">
        <w:rPr>
          <w:rFonts w:asciiTheme="minorHAnsi" w:hAnsiTheme="minorHAnsi"/>
          <w:color w:val="auto"/>
          <w:sz w:val="22"/>
          <w:szCs w:val="22"/>
        </w:rPr>
        <w:t xml:space="preserve"> for both men and women, radio programming, cultural activities that promote common identities, the restoration of participatory local governance structures and local peace platforms, and the provision of community-based psychosocial support. An estimated 61,560 individuals will benefit from the delivery of these public services. This t</w:t>
      </w:r>
      <w:r w:rsidRPr="00FB6E71">
        <w:rPr>
          <w:rFonts w:ascii="Calibri" w:eastAsia="Times New Roman" w:hAnsi="Calibri" w:cs="Times New Roman"/>
          <w:color w:val="auto"/>
          <w:sz w:val="22"/>
          <w:szCs w:val="22"/>
        </w:rPr>
        <w:t>ypology remains economically feasible with a minimum of 54,000 beneficiaries.</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Finally, Typology 3 on strengthening local governance and citizen engagement</w:t>
      </w:r>
      <w:r w:rsidRPr="00FB6E71">
        <w:rPr>
          <w:rFonts w:asciiTheme="minorHAnsi" w:hAnsiTheme="minorHAnsi"/>
          <w:color w:val="auto"/>
          <w:sz w:val="22"/>
          <w:szCs w:val="22"/>
        </w:rPr>
        <w:t xml:space="preserve"> relates to supporting LGAs and enhancing social </w:t>
      </w:r>
      <w:r w:rsidRPr="00FB6E71">
        <w:rPr>
          <w:rFonts w:asciiTheme="minorHAnsi" w:hAnsiTheme="minorHAnsi"/>
          <w:sz w:val="22"/>
          <w:szCs w:val="22"/>
        </w:rPr>
        <w:t>accountability</w:t>
      </w:r>
      <w:r w:rsidRPr="00FB6E71">
        <w:rPr>
          <w:rFonts w:asciiTheme="minorHAnsi" w:hAnsiTheme="minorHAnsi"/>
          <w:color w:val="auto"/>
          <w:sz w:val="22"/>
          <w:szCs w:val="22"/>
        </w:rPr>
        <w:t xml:space="preserve"> mechanisms (that is, budget monitoring, transparent contract awards, taxation systems</w:t>
      </w:r>
      <w:r>
        <w:rPr>
          <w:rFonts w:asciiTheme="minorHAnsi" w:hAnsiTheme="minorHAnsi"/>
          <w:color w:val="auto"/>
          <w:sz w:val="22"/>
          <w:szCs w:val="22"/>
        </w:rPr>
        <w:t>,</w:t>
      </w:r>
      <w:r w:rsidRPr="00FB6E71">
        <w:rPr>
          <w:rFonts w:asciiTheme="minorHAnsi" w:hAnsiTheme="minorHAnsi"/>
          <w:color w:val="auto"/>
          <w:sz w:val="22"/>
          <w:szCs w:val="22"/>
        </w:rPr>
        <w:t xml:space="preserve"> and </w:t>
      </w:r>
      <w:r>
        <w:rPr>
          <w:rFonts w:asciiTheme="minorHAnsi" w:hAnsiTheme="minorHAnsi"/>
          <w:color w:val="auto"/>
          <w:sz w:val="22"/>
          <w:szCs w:val="22"/>
        </w:rPr>
        <w:t>GRM</w:t>
      </w:r>
      <w:r w:rsidRPr="00FB6E71">
        <w:rPr>
          <w:rFonts w:asciiTheme="minorHAnsi" w:hAnsiTheme="minorHAnsi"/>
          <w:color w:val="auto"/>
          <w:sz w:val="22"/>
          <w:szCs w:val="22"/>
        </w:rPr>
        <w:t>). The total population of the BAY states, which is estimated to be in excess of 11 million individuals, is considered to indirectly benefit from this type of support. This typology is economically feasible with a minimum of 9 million beneficiari</w:t>
      </w:r>
      <w:r w:rsidRPr="00FB6E71">
        <w:rPr>
          <w:rFonts w:ascii="Calibri" w:eastAsia="Times New Roman" w:hAnsi="Calibri" w:cs="Times New Roman"/>
          <w:color w:val="auto"/>
          <w:sz w:val="22"/>
          <w:szCs w:val="22"/>
        </w:rPr>
        <w:t>es.</w:t>
      </w:r>
    </w:p>
    <w:p w:rsidR="007F2DE7" w:rsidRPr="00FB6E71" w:rsidP="007F2DE7">
      <w:pPr>
        <w:keepNext/>
        <w:keepLines/>
        <w:widowControl/>
        <w:spacing w:after="240"/>
        <w:rPr>
          <w:rFonts w:asciiTheme="minorHAnsi" w:hAnsiTheme="minorHAnsi"/>
          <w:b/>
          <w:bCs/>
          <w:i/>
          <w:color w:val="auto"/>
          <w:sz w:val="22"/>
          <w:szCs w:val="22"/>
        </w:rPr>
      </w:pPr>
      <w:r w:rsidRPr="00FB6E71">
        <w:rPr>
          <w:rFonts w:asciiTheme="minorHAnsi" w:hAnsiTheme="minorHAnsi"/>
          <w:b/>
          <w:bCs/>
          <w:i/>
          <w:color w:val="auto"/>
          <w:sz w:val="22"/>
          <w:szCs w:val="22"/>
        </w:rPr>
        <w:t>Component 2: Infrastructure Rehabilitation and Service Delivery Restoration and Improvement</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Component 2 of the MCRP envisages the (a) rehabilitation of damaged state and local bridges; (b) restoration of municipal services including WASH and solid waste management; (c) rehabilitation of health facilities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restoration of fully functional services; (d) </w:t>
      </w:r>
      <w:r w:rsidRPr="00FB6E71">
        <w:rPr>
          <w:rFonts w:asciiTheme="minorHAnsi" w:hAnsiTheme="minorHAnsi"/>
          <w:sz w:val="22"/>
          <w:szCs w:val="22"/>
        </w:rPr>
        <w:t>rehabilitation</w:t>
      </w:r>
      <w:r w:rsidRPr="00FB6E71">
        <w:rPr>
          <w:rFonts w:asciiTheme="minorHAnsi" w:hAnsiTheme="minorHAnsi"/>
          <w:bCs/>
          <w:color w:val="auto"/>
          <w:sz w:val="22"/>
          <w:szCs w:val="22"/>
        </w:rPr>
        <w:t xml:space="preserve"> of schools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restoration of fully functionary services; and (e) rehabilitation of local government offices with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restoration of fully functional services. </w:t>
      </w:r>
      <w:r w:rsidRPr="00FB6E71">
        <w:rPr>
          <w:rFonts w:asciiTheme="minorHAnsi" w:hAnsiTheme="minorHAnsi"/>
          <w:color w:val="auto"/>
          <w:sz w:val="22"/>
          <w:szCs w:val="22"/>
        </w:rPr>
        <w:t>The conflict has resulted in an estimated infrastructure damage of US$9.2 million and accumulated output losses of US$8.3 billion. This component will lead to a recovery of the infrastructure damaged by the conflict through the rehabilitation of state and local roads and bridges, in municipal services—such as WASH and solid waste management—health facilities, educational facilities</w:t>
      </w:r>
      <w:r>
        <w:rPr>
          <w:rFonts w:asciiTheme="minorHAnsi" w:hAnsiTheme="minorHAnsi"/>
          <w:color w:val="auto"/>
          <w:sz w:val="22"/>
          <w:szCs w:val="22"/>
        </w:rPr>
        <w:t>,</w:t>
      </w:r>
      <w:r w:rsidRPr="00FB6E71">
        <w:rPr>
          <w:rFonts w:asciiTheme="minorHAnsi" w:hAnsiTheme="minorHAnsi"/>
          <w:color w:val="auto"/>
          <w:sz w:val="22"/>
          <w:szCs w:val="22"/>
        </w:rPr>
        <w:t xml:space="preserve"> and local government offices, as well as the full restoration of essential services in transportation, WASH, h</w:t>
      </w:r>
      <w:r w:rsidRPr="00FB6E71">
        <w:rPr>
          <w:rFonts w:ascii="Calibri" w:eastAsia="Times New Roman" w:hAnsi="Calibri" w:cs="Times New Roman"/>
          <w:color w:val="auto"/>
          <w:sz w:val="22"/>
          <w:szCs w:val="22"/>
        </w:rPr>
        <w:t>ealth, education</w:t>
      </w:r>
      <w:r>
        <w:rPr>
          <w:rFonts w:ascii="Calibri" w:eastAsia="Times New Roman" w:hAnsi="Calibri" w:cs="Times New Roman"/>
          <w:color w:val="auto"/>
          <w:sz w:val="22"/>
          <w:szCs w:val="22"/>
        </w:rPr>
        <w:t>,</w:t>
      </w:r>
      <w:r w:rsidRPr="00FB6E71">
        <w:rPr>
          <w:rFonts w:ascii="Calibri" w:eastAsia="Times New Roman" w:hAnsi="Calibri" w:cs="Times New Roman"/>
          <w:color w:val="auto"/>
          <w:sz w:val="22"/>
          <w:szCs w:val="22"/>
        </w:rPr>
        <w:t xml:space="preserve"> and local governance.</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color w:val="auto"/>
          <w:sz w:val="22"/>
          <w:szCs w:val="22"/>
        </w:rPr>
        <w:t>The following assumptions have been made toward the economic analysis of Component 2:</w:t>
      </w:r>
      <w:r w:rsidRPr="00FB6E71">
        <w:rPr>
          <w:rFonts w:asciiTheme="minorHAnsi" w:hAnsiTheme="minorHAnsi"/>
          <w:bCs/>
          <w:color w:val="auto"/>
          <w:sz w:val="22"/>
          <w:szCs w:val="22"/>
        </w:rPr>
        <w:t xml:space="preserve"> </w:t>
      </w:r>
    </w:p>
    <w:p w:rsidR="007F2DE7" w:rsidRPr="00FB6E71" w:rsidP="00302E0C">
      <w:pPr>
        <w:pStyle w:val="ListParagraph"/>
        <w:widowControl/>
        <w:numPr>
          <w:ilvl w:val="3"/>
          <w:numId w:val="51"/>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color w:val="auto"/>
          <w:sz w:val="22"/>
        </w:rPr>
        <w:t xml:space="preserve">Valuation of costs and benefits: based on market and shadow prices; </w:t>
      </w:r>
    </w:p>
    <w:p w:rsidR="007F2DE7" w:rsidRPr="00FB6E71" w:rsidP="00302E0C">
      <w:pPr>
        <w:pStyle w:val="ListParagraph"/>
        <w:widowControl/>
        <w:numPr>
          <w:ilvl w:val="3"/>
          <w:numId w:val="51"/>
        </w:numPr>
        <w:spacing w:after="240"/>
        <w:ind w:left="1195" w:hanging="475"/>
        <w:contextualSpacing w:val="0"/>
        <w:jc w:val="both"/>
        <w:rPr>
          <w:rFonts w:asciiTheme="minorHAnsi" w:hAnsiTheme="minorHAnsi"/>
          <w:bCs/>
          <w:color w:val="auto"/>
          <w:sz w:val="22"/>
          <w:szCs w:val="22"/>
        </w:rPr>
      </w:pPr>
      <w:r w:rsidRPr="00FB6E71">
        <w:rPr>
          <w:rFonts w:asciiTheme="minorHAnsi" w:hAnsiTheme="minorHAnsi"/>
          <w:color w:val="auto"/>
          <w:sz w:val="22"/>
        </w:rPr>
        <w:t xml:space="preserve">Time horizon: a 15-year period is selected for the project to yield results; </w:t>
      </w:r>
    </w:p>
    <w:p w:rsidR="007F2DE7" w:rsidRPr="00FB6E71" w:rsidP="00302E0C">
      <w:pPr>
        <w:pStyle w:val="ListParagraph"/>
        <w:widowControl/>
        <w:numPr>
          <w:ilvl w:val="3"/>
          <w:numId w:val="51"/>
        </w:numPr>
        <w:spacing w:after="240"/>
        <w:ind w:left="1195" w:hanging="475"/>
        <w:contextualSpacing w:val="0"/>
        <w:jc w:val="both"/>
        <w:rPr>
          <w:rFonts w:asciiTheme="minorHAnsi" w:hAnsiTheme="minorHAnsi"/>
          <w:color w:val="auto"/>
          <w:sz w:val="22"/>
          <w:szCs w:val="22"/>
        </w:rPr>
      </w:pPr>
      <w:r w:rsidRPr="00FB6E71">
        <w:rPr>
          <w:rFonts w:asciiTheme="minorHAnsi" w:hAnsiTheme="minorHAnsi"/>
          <w:color w:val="auto"/>
          <w:sz w:val="22"/>
        </w:rPr>
        <w:t>Discount rate: a 6 percent discount rate is applied</w:t>
      </w:r>
      <w:r w:rsidRPr="00FB6E71">
        <w:rPr>
          <w:rFonts w:asciiTheme="minorHAnsi" w:hAnsiTheme="minorHAnsi"/>
          <w:color w:val="auto"/>
          <w:sz w:val="22"/>
          <w:szCs w:val="22"/>
        </w:rPr>
        <w:t>; and</w:t>
      </w:r>
    </w:p>
    <w:p w:rsidR="007F2DE7" w:rsidRPr="00FB6E71" w:rsidP="00302E0C">
      <w:pPr>
        <w:pStyle w:val="ListParagraph"/>
        <w:widowControl/>
        <w:numPr>
          <w:ilvl w:val="3"/>
          <w:numId w:val="51"/>
        </w:numPr>
        <w:spacing w:after="240"/>
        <w:ind w:left="1195" w:hanging="475"/>
        <w:contextualSpacing w:val="0"/>
        <w:jc w:val="both"/>
        <w:rPr>
          <w:rFonts w:asciiTheme="minorHAnsi" w:hAnsiTheme="minorHAnsi"/>
          <w:color w:val="auto"/>
          <w:sz w:val="22"/>
          <w:szCs w:val="22"/>
        </w:rPr>
      </w:pPr>
      <w:r w:rsidRPr="00FB6E71">
        <w:rPr>
          <w:rFonts w:asciiTheme="minorHAnsi" w:hAnsiTheme="minorHAnsi"/>
          <w:color w:val="auto"/>
          <w:sz w:val="22"/>
          <w:szCs w:val="22"/>
        </w:rPr>
        <w:t>Additional security premium: 10 percent for operating in the BAY states in low-capacity environment and in situations of fragility and conflict.</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Typology 1 relating to the rehabilitation of damaged state and local roads and bridges</w:t>
      </w:r>
      <w:r>
        <w:rPr>
          <w:rFonts w:asciiTheme="minorHAnsi" w:hAnsiTheme="minorHAnsi"/>
          <w:b/>
          <w:bCs/>
          <w:color w:val="auto"/>
          <w:sz w:val="22"/>
          <w:szCs w:val="22"/>
        </w:rPr>
        <w:t>.</w:t>
      </w:r>
      <w:r w:rsidRPr="00FB6E71">
        <w:rPr>
          <w:rFonts w:asciiTheme="minorHAnsi" w:hAnsiTheme="minorHAnsi"/>
          <w:bCs/>
          <w:color w:val="auto"/>
          <w:sz w:val="22"/>
          <w:szCs w:val="22"/>
        </w:rPr>
        <w:t xml:space="preserve"> It is assumed that </w:t>
      </w:r>
      <w:r>
        <w:rPr>
          <w:rFonts w:asciiTheme="minorHAnsi" w:hAnsiTheme="minorHAnsi"/>
          <w:bCs/>
          <w:color w:val="auto"/>
          <w:sz w:val="22"/>
          <w:szCs w:val="22"/>
        </w:rPr>
        <w:t xml:space="preserve">the project will rehabilitate </w:t>
      </w:r>
      <w:r w:rsidRPr="00FB6E71">
        <w:rPr>
          <w:rFonts w:asciiTheme="minorHAnsi" w:hAnsiTheme="minorHAnsi"/>
          <w:color w:val="auto"/>
          <w:sz w:val="22"/>
          <w:szCs w:val="22"/>
        </w:rPr>
        <w:t>roughly 100 km of state and local government rural roads at an average cost of US$180,000 per k</w:t>
      </w:r>
      <w:r>
        <w:rPr>
          <w:rFonts w:asciiTheme="minorHAnsi" w:hAnsiTheme="minorHAnsi"/>
          <w:color w:val="auto"/>
          <w:sz w:val="22"/>
          <w:szCs w:val="22"/>
        </w:rPr>
        <w:t>m</w:t>
      </w:r>
      <w:r w:rsidRPr="00FB6E71">
        <w:rPr>
          <w:rFonts w:asciiTheme="minorHAnsi" w:hAnsiTheme="minorHAnsi"/>
          <w:color w:val="auto"/>
          <w:sz w:val="22"/>
          <w:szCs w:val="22"/>
        </w:rPr>
        <w:t xml:space="preserve">, </w:t>
      </w:r>
      <w:r w:rsidRPr="00FB6E71">
        <w:rPr>
          <w:rFonts w:asciiTheme="minorHAnsi" w:hAnsiTheme="minorHAnsi"/>
          <w:sz w:val="22"/>
          <w:szCs w:val="22"/>
        </w:rPr>
        <w:t>rehabilitate</w:t>
      </w:r>
      <w:r w:rsidRPr="00FB6E71">
        <w:rPr>
          <w:rFonts w:asciiTheme="minorHAnsi" w:hAnsiTheme="minorHAnsi"/>
          <w:color w:val="auto"/>
          <w:sz w:val="22"/>
          <w:szCs w:val="22"/>
        </w:rPr>
        <w:t xml:space="preserve"> and repair bridges, recover key public transport services</w:t>
      </w:r>
      <w:r>
        <w:rPr>
          <w:rFonts w:asciiTheme="minorHAnsi" w:hAnsiTheme="minorHAnsi"/>
          <w:color w:val="auto"/>
          <w:sz w:val="22"/>
          <w:szCs w:val="22"/>
        </w:rPr>
        <w:t>,</w:t>
      </w:r>
      <w:r w:rsidRPr="00FB6E71">
        <w:rPr>
          <w:rFonts w:asciiTheme="minorHAnsi" w:hAnsiTheme="minorHAnsi"/>
          <w:color w:val="auto"/>
          <w:sz w:val="22"/>
          <w:szCs w:val="22"/>
        </w:rPr>
        <w:t xml:space="preserve"> and restore traffic management systems and services. </w:t>
      </w:r>
      <w:r w:rsidRPr="00FB6E71">
        <w:rPr>
          <w:rFonts w:asciiTheme="minorHAnsi" w:hAnsiTheme="minorHAnsi"/>
          <w:sz w:val="22"/>
          <w:szCs w:val="22"/>
        </w:rPr>
        <w:t>Benefits</w:t>
      </w:r>
      <w:r w:rsidRPr="00FB6E71">
        <w:rPr>
          <w:rFonts w:asciiTheme="minorHAnsi" w:hAnsiTheme="minorHAnsi"/>
          <w:color w:val="auto"/>
          <w:sz w:val="22"/>
          <w:szCs w:val="22"/>
        </w:rPr>
        <w:t xml:space="preserve"> will accrue through the impact of the reduction in the number of hours spent commuting for individuals and businesses on the value of time and the reduction in the operations and maintenance cost of vehicles, as well as through increased commercial activity related to enhanced regional connectivity. The economic analysis indicates that this project would be economically feasible up to a cost of US$140 million. </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Typology 2 relating to WASH and solid waste management</w:t>
      </w:r>
      <w:r>
        <w:rPr>
          <w:rFonts w:asciiTheme="minorHAnsi" w:hAnsiTheme="minorHAnsi"/>
          <w:b/>
          <w:bCs/>
          <w:color w:val="auto"/>
          <w:sz w:val="22"/>
          <w:szCs w:val="22"/>
        </w:rPr>
        <w:t>.</w:t>
      </w:r>
      <w:r w:rsidRPr="00FB6E71">
        <w:rPr>
          <w:rFonts w:asciiTheme="minorHAnsi" w:hAnsiTheme="minorHAnsi"/>
          <w:bCs/>
          <w:color w:val="auto"/>
          <w:sz w:val="22"/>
          <w:szCs w:val="22"/>
        </w:rPr>
        <w:t xml:space="preserve"> This typology </w:t>
      </w:r>
      <w:r w:rsidRPr="00FB6E71">
        <w:rPr>
          <w:rFonts w:asciiTheme="minorHAnsi" w:hAnsiTheme="minorHAnsi"/>
          <w:color w:val="auto"/>
          <w:sz w:val="22"/>
          <w:szCs w:val="22"/>
        </w:rPr>
        <w:t xml:space="preserve">relates to the reconstruction of water </w:t>
      </w:r>
      <w:r w:rsidRPr="00FB6E71">
        <w:rPr>
          <w:rFonts w:asciiTheme="minorHAnsi" w:hAnsiTheme="minorHAnsi"/>
          <w:sz w:val="22"/>
          <w:szCs w:val="22"/>
        </w:rPr>
        <w:t>distribution</w:t>
      </w:r>
      <w:r w:rsidRPr="00FB6E71">
        <w:rPr>
          <w:rFonts w:asciiTheme="minorHAnsi" w:hAnsiTheme="minorHAnsi"/>
          <w:color w:val="auto"/>
          <w:sz w:val="22"/>
          <w:szCs w:val="22"/>
        </w:rPr>
        <w:t xml:space="preserve"> points, provision of water supply in IDP return areas, promotion of sanitation and hygiene services in areas with a high concentration of IDP, and restoration of solid waste management services in IDP return areas and host </w:t>
      </w:r>
      <w:r w:rsidRPr="00FB6E71">
        <w:rPr>
          <w:rFonts w:asciiTheme="minorHAnsi" w:hAnsiTheme="minorHAnsi"/>
          <w:sz w:val="22"/>
          <w:szCs w:val="22"/>
        </w:rPr>
        <w:t>communities</w:t>
      </w:r>
      <w:r w:rsidRPr="00FB6E71">
        <w:rPr>
          <w:rFonts w:asciiTheme="minorHAnsi" w:hAnsiTheme="minorHAnsi"/>
          <w:color w:val="auto"/>
          <w:sz w:val="22"/>
          <w:szCs w:val="22"/>
        </w:rPr>
        <w:t>.</w:t>
      </w:r>
      <w:r w:rsidRPr="007F64BE">
        <w:rPr>
          <w:rFonts w:asciiTheme="minorHAnsi" w:hAnsiTheme="minorHAnsi"/>
          <w:bCs/>
          <w:color w:val="auto"/>
          <w:sz w:val="22"/>
          <w:szCs w:val="22"/>
        </w:rPr>
        <w:t xml:space="preserve"> </w:t>
      </w:r>
      <w:r w:rsidRPr="00FB6E71">
        <w:rPr>
          <w:rFonts w:asciiTheme="minorHAnsi" w:hAnsiTheme="minorHAnsi"/>
          <w:bCs/>
          <w:color w:val="auto"/>
          <w:sz w:val="22"/>
          <w:szCs w:val="22"/>
        </w:rPr>
        <w:t>If</w:t>
      </w:r>
      <w:r w:rsidRPr="00FB6E71">
        <w:rPr>
          <w:rFonts w:asciiTheme="minorHAnsi" w:hAnsiTheme="minorHAnsi"/>
          <w:b/>
          <w:bCs/>
          <w:color w:val="auto"/>
          <w:sz w:val="22"/>
          <w:szCs w:val="22"/>
        </w:rPr>
        <w:t xml:space="preserve"> </w:t>
      </w:r>
      <w:r w:rsidRPr="00FB6E71">
        <w:rPr>
          <w:rFonts w:asciiTheme="minorHAnsi" w:hAnsiTheme="minorHAnsi"/>
          <w:color w:val="auto"/>
          <w:sz w:val="22"/>
          <w:szCs w:val="22"/>
        </w:rPr>
        <w:t>60 WASH initiatives were to take place, it would benefit an estimated 27,000 individual</w:t>
      </w:r>
      <w:r>
        <w:rPr>
          <w:rFonts w:asciiTheme="minorHAnsi" w:hAnsiTheme="minorHAnsi"/>
          <w:color w:val="auto"/>
          <w:sz w:val="22"/>
          <w:szCs w:val="22"/>
        </w:rPr>
        <w:t>s</w:t>
      </w:r>
      <w:r w:rsidRPr="00FB6E71">
        <w:rPr>
          <w:rFonts w:asciiTheme="minorHAnsi" w:hAnsiTheme="minorHAnsi"/>
          <w:color w:val="auto"/>
          <w:sz w:val="22"/>
          <w:szCs w:val="22"/>
        </w:rPr>
        <w:t>, with increased access to potable water, better hygiene conditions, time saved</w:t>
      </w:r>
      <w:r>
        <w:rPr>
          <w:rFonts w:asciiTheme="minorHAnsi" w:hAnsiTheme="minorHAnsi"/>
          <w:color w:val="auto"/>
          <w:sz w:val="22"/>
          <w:szCs w:val="22"/>
        </w:rPr>
        <w:t>,</w:t>
      </w:r>
      <w:r w:rsidRPr="00FB6E71">
        <w:rPr>
          <w:rFonts w:asciiTheme="minorHAnsi" w:hAnsiTheme="minorHAnsi"/>
          <w:color w:val="auto"/>
          <w:sz w:val="22"/>
          <w:szCs w:val="22"/>
        </w:rPr>
        <w:t xml:space="preserve"> and expanded opportunities for agricultural and livestock activities. This typology would remain economically feasible with a minimum of 6,900 households or a maximum cost of US$57 million. </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Typology 3 pertain</w:t>
      </w:r>
      <w:r>
        <w:rPr>
          <w:rFonts w:asciiTheme="minorHAnsi" w:hAnsiTheme="minorHAnsi"/>
          <w:b/>
          <w:bCs/>
          <w:color w:val="auto"/>
          <w:sz w:val="22"/>
          <w:szCs w:val="22"/>
        </w:rPr>
        <w:t>ing</w:t>
      </w:r>
      <w:r w:rsidRPr="00FB6E71">
        <w:rPr>
          <w:rFonts w:asciiTheme="minorHAnsi" w:hAnsiTheme="minorHAnsi"/>
          <w:b/>
          <w:bCs/>
          <w:color w:val="auto"/>
          <w:sz w:val="22"/>
          <w:szCs w:val="22"/>
        </w:rPr>
        <w:t xml:space="preserve"> to the rehabilitation of health facilities with </w:t>
      </w:r>
      <w:r>
        <w:rPr>
          <w:rFonts w:asciiTheme="minorHAnsi" w:hAnsiTheme="minorHAnsi"/>
          <w:b/>
          <w:bCs/>
          <w:color w:val="auto"/>
          <w:sz w:val="22"/>
          <w:szCs w:val="22"/>
        </w:rPr>
        <w:t xml:space="preserve">the </w:t>
      </w:r>
      <w:r w:rsidRPr="00FB6E71">
        <w:rPr>
          <w:rFonts w:asciiTheme="minorHAnsi" w:hAnsiTheme="minorHAnsi"/>
          <w:b/>
          <w:bCs/>
          <w:color w:val="auto"/>
          <w:sz w:val="22"/>
          <w:szCs w:val="22"/>
        </w:rPr>
        <w:t>restoration of fully functional services</w:t>
      </w:r>
      <w:r>
        <w:rPr>
          <w:rFonts w:asciiTheme="minorHAnsi" w:hAnsiTheme="minorHAnsi"/>
          <w:b/>
          <w:bCs/>
          <w:color w:val="auto"/>
          <w:sz w:val="22"/>
          <w:szCs w:val="22"/>
        </w:rPr>
        <w:t>.</w:t>
      </w:r>
      <w:r w:rsidRPr="00FB6E71">
        <w:rPr>
          <w:rFonts w:asciiTheme="minorHAnsi" w:hAnsiTheme="minorHAnsi"/>
          <w:bCs/>
          <w:color w:val="auto"/>
          <w:sz w:val="22"/>
          <w:szCs w:val="22"/>
        </w:rPr>
        <w:t xml:space="preserve"> It is assumed for the purposes of this analysis that </w:t>
      </w:r>
      <w:r w:rsidRPr="00FB6E71">
        <w:rPr>
          <w:rFonts w:asciiTheme="minorHAnsi" w:hAnsiTheme="minorHAnsi"/>
          <w:color w:val="auto"/>
          <w:sz w:val="22"/>
          <w:szCs w:val="22"/>
        </w:rPr>
        <w:t xml:space="preserve">100 buildings would be reconstructed, including accommodation for medical staff on call, </w:t>
      </w:r>
      <w:r>
        <w:rPr>
          <w:rFonts w:asciiTheme="minorHAnsi" w:hAnsiTheme="minorHAnsi"/>
          <w:color w:val="auto"/>
          <w:sz w:val="22"/>
          <w:szCs w:val="22"/>
        </w:rPr>
        <w:t xml:space="preserve">along with the </w:t>
      </w:r>
      <w:r w:rsidRPr="00FB6E71">
        <w:rPr>
          <w:rFonts w:asciiTheme="minorHAnsi" w:hAnsiTheme="minorHAnsi"/>
          <w:color w:val="auto"/>
          <w:sz w:val="22"/>
          <w:szCs w:val="22"/>
        </w:rPr>
        <w:t>purchase of machinery and equipment and appropriate staffing, with a unit cost of US$300,000 per facility.</w:t>
      </w:r>
      <w:r w:rsidRPr="00FB6E71">
        <w:rPr>
          <w:rFonts w:asciiTheme="minorHAnsi" w:hAnsiTheme="minorHAnsi"/>
          <w:bCs/>
          <w:color w:val="auto"/>
          <w:sz w:val="22"/>
          <w:szCs w:val="22"/>
        </w:rPr>
        <w:t xml:space="preserve"> </w:t>
      </w:r>
      <w:r w:rsidRPr="00FB6E71">
        <w:rPr>
          <w:rFonts w:asciiTheme="minorHAnsi" w:hAnsiTheme="minorHAnsi"/>
          <w:color w:val="auto"/>
          <w:sz w:val="22"/>
          <w:szCs w:val="22"/>
        </w:rPr>
        <w:t xml:space="preserve">An estimated 67,500 patients are expected to benefit from these services </w:t>
      </w:r>
      <w:r w:rsidRPr="00FB6E71">
        <w:rPr>
          <w:rFonts w:asciiTheme="minorHAnsi" w:hAnsiTheme="minorHAnsi"/>
          <w:sz w:val="22"/>
          <w:szCs w:val="22"/>
        </w:rPr>
        <w:t>with</w:t>
      </w:r>
      <w:r w:rsidRPr="00FB6E71">
        <w:rPr>
          <w:rFonts w:asciiTheme="minorHAnsi" w:hAnsiTheme="minorHAnsi"/>
          <w:color w:val="auto"/>
          <w:sz w:val="22"/>
          <w:szCs w:val="22"/>
        </w:rPr>
        <w:t xml:space="preserve"> expected benefits to be reaped with regard to the effect of reduced morbidity and mortality on productivity, higher quality of life, and greater efficiency of the school system and reduced expenditures on drugs and medical care.</w:t>
      </w:r>
      <w:r w:rsidRPr="00FB6E71">
        <w:rPr>
          <w:rFonts w:asciiTheme="minorHAnsi" w:hAnsiTheme="minorHAnsi"/>
          <w:bCs/>
          <w:color w:val="auto"/>
          <w:sz w:val="22"/>
          <w:szCs w:val="22"/>
        </w:rPr>
        <w:t xml:space="preserve"> </w:t>
      </w:r>
      <w:r w:rsidRPr="00FB6E71">
        <w:rPr>
          <w:rFonts w:asciiTheme="minorHAnsi" w:hAnsiTheme="minorHAnsi"/>
          <w:color w:val="auto"/>
          <w:sz w:val="22"/>
          <w:szCs w:val="22"/>
        </w:rPr>
        <w:t>The results of the economic analysis suggests that this typology would remain economically feasible with a minimum of 54,000 patients being treated every yea</w:t>
      </w:r>
      <w:r w:rsidRPr="00FB6E71">
        <w:rPr>
          <w:rFonts w:ascii="Calibri" w:eastAsia="Times New Roman" w:hAnsi="Calibri" w:cs="Times New Roman"/>
          <w:color w:val="auto"/>
          <w:sz w:val="22"/>
          <w:szCs w:val="22"/>
        </w:rPr>
        <w:t>r or a maximum cost of US$84 million.</w:t>
      </w:r>
      <w:r w:rsidRPr="00FB6E71">
        <w:rPr>
          <w:rFonts w:asciiTheme="minorHAnsi" w:hAnsiTheme="minorHAnsi"/>
          <w:color w:val="auto"/>
          <w:sz w:val="22"/>
          <w:szCs w:val="22"/>
        </w:rPr>
        <w:t xml:space="preserve"> </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Typology 4 on the rehabilitation of schools with restoration of fully functional services</w:t>
      </w:r>
      <w:r w:rsidRPr="00FB6E71">
        <w:rPr>
          <w:rFonts w:asciiTheme="minorHAnsi" w:hAnsiTheme="minorHAnsi"/>
          <w:b/>
          <w:color w:val="auto"/>
          <w:sz w:val="22"/>
          <w:szCs w:val="22"/>
        </w:rPr>
        <w:t xml:space="preserve"> will lead to the reconstruction of 100 school buildings and the acquisition of goods and services, with a per unit cost of US$300,000.</w:t>
      </w:r>
      <w:r w:rsidRPr="00FB6E71">
        <w:rPr>
          <w:rFonts w:asciiTheme="minorHAnsi" w:hAnsiTheme="minorHAnsi"/>
          <w:color w:val="auto"/>
          <w:sz w:val="22"/>
          <w:szCs w:val="22"/>
        </w:rPr>
        <w:t xml:space="preserve"> An estimated 36,000 students are expected to attend these schools every year, with double shifts throughout the day. </w:t>
      </w:r>
      <w:r w:rsidRPr="00FB6E71">
        <w:rPr>
          <w:rFonts w:asciiTheme="minorHAnsi" w:hAnsiTheme="minorHAnsi"/>
          <w:sz w:val="22"/>
          <w:szCs w:val="22"/>
        </w:rPr>
        <w:t>Benefits</w:t>
      </w:r>
      <w:r w:rsidRPr="00FB6E71">
        <w:rPr>
          <w:rFonts w:asciiTheme="minorHAnsi" w:hAnsiTheme="minorHAnsi"/>
          <w:color w:val="auto"/>
          <w:sz w:val="22"/>
          <w:szCs w:val="22"/>
        </w:rPr>
        <w:t xml:space="preserve"> will come from the increased labor productivity (as measured by the earnings differential between an educated and uneducated individual) </w:t>
      </w:r>
      <w:r w:rsidRPr="00FB6E71">
        <w:rPr>
          <w:rFonts w:asciiTheme="minorHAnsi" w:hAnsiTheme="minorHAnsi"/>
          <w:sz w:val="22"/>
          <w:szCs w:val="22"/>
        </w:rPr>
        <w:t>as</w:t>
      </w:r>
      <w:r w:rsidRPr="00FB6E71">
        <w:rPr>
          <w:rFonts w:asciiTheme="minorHAnsi" w:hAnsiTheme="minorHAnsi"/>
          <w:color w:val="auto"/>
          <w:sz w:val="22"/>
          <w:szCs w:val="22"/>
        </w:rPr>
        <w:t xml:space="preserve"> well as through greater social cohesion. The results of the economic analysis suggest that this typology would remain economically feasible with a maximum cost of US$100 million.</w:t>
      </w:r>
    </w:p>
    <w:p w:rsidR="007F2DE7" w:rsidRPr="00FB6E71" w:rsidP="00302E0C">
      <w:pPr>
        <w:pStyle w:val="ListParagraph"/>
        <w:widowControl/>
        <w:numPr>
          <w:ilvl w:val="0"/>
          <w:numId w:val="49"/>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
          <w:bCs/>
          <w:color w:val="auto"/>
          <w:sz w:val="22"/>
          <w:szCs w:val="22"/>
        </w:rPr>
        <w:t xml:space="preserve">Finally, </w:t>
      </w:r>
      <w:r>
        <w:rPr>
          <w:rFonts w:asciiTheme="minorHAnsi" w:hAnsiTheme="minorHAnsi"/>
          <w:b/>
          <w:bCs/>
          <w:color w:val="auto"/>
          <w:sz w:val="22"/>
          <w:szCs w:val="22"/>
        </w:rPr>
        <w:t>T</w:t>
      </w:r>
      <w:r w:rsidRPr="00FB6E71">
        <w:rPr>
          <w:rFonts w:asciiTheme="minorHAnsi" w:hAnsiTheme="minorHAnsi"/>
          <w:b/>
          <w:bCs/>
          <w:color w:val="auto"/>
          <w:sz w:val="22"/>
          <w:szCs w:val="22"/>
        </w:rPr>
        <w:t>ypology 5 will rehabilitate local government offices including areas for community meetings and events.</w:t>
      </w:r>
      <w:r w:rsidRPr="00FB6E71">
        <w:rPr>
          <w:rFonts w:asciiTheme="minorHAnsi" w:hAnsiTheme="minorHAnsi"/>
          <w:bCs/>
          <w:color w:val="auto"/>
          <w:sz w:val="22"/>
          <w:szCs w:val="22"/>
        </w:rPr>
        <w:t xml:space="preserve"> </w:t>
      </w:r>
      <w:r>
        <w:rPr>
          <w:rFonts w:asciiTheme="minorHAnsi" w:hAnsiTheme="minorHAnsi"/>
          <w:sz w:val="22"/>
          <w:szCs w:val="22"/>
        </w:rPr>
        <w:t>I</w:t>
      </w:r>
      <w:r w:rsidRPr="00FB6E71">
        <w:rPr>
          <w:rFonts w:asciiTheme="minorHAnsi" w:hAnsiTheme="minorHAnsi"/>
          <w:sz w:val="22"/>
          <w:szCs w:val="22"/>
        </w:rPr>
        <w:t>t</w:t>
      </w:r>
      <w:r w:rsidRPr="00FB6E71">
        <w:rPr>
          <w:rFonts w:asciiTheme="minorHAnsi" w:hAnsiTheme="minorHAnsi"/>
          <w:bCs/>
          <w:color w:val="auto"/>
          <w:sz w:val="22"/>
          <w:szCs w:val="22"/>
        </w:rPr>
        <w:t xml:space="preserve"> is assumed that</w:t>
      </w:r>
      <w:r>
        <w:rPr>
          <w:rFonts w:asciiTheme="minorHAnsi" w:hAnsiTheme="minorHAnsi"/>
          <w:bCs/>
          <w:color w:val="auto"/>
          <w:sz w:val="22"/>
          <w:szCs w:val="22"/>
        </w:rPr>
        <w:t>,</w:t>
      </w:r>
      <w:r w:rsidRPr="00FB6E71">
        <w:rPr>
          <w:rFonts w:asciiTheme="minorHAnsi" w:hAnsiTheme="minorHAnsi"/>
          <w:bCs/>
          <w:color w:val="auto"/>
          <w:sz w:val="22"/>
          <w:szCs w:val="22"/>
        </w:rPr>
        <w:t xml:space="preserve"> with a budget of US$21.2 million, 80 of such buildings would be constructed and rehabilitated, which are estimated to directly benefit about 1,800 public servants and 36,000 participants of community events. The resulting improved efficiency </w:t>
      </w:r>
      <w:r w:rsidRPr="00FB6E71">
        <w:rPr>
          <w:rFonts w:asciiTheme="minorHAnsi" w:hAnsiTheme="minorHAnsi"/>
          <w:color w:val="auto"/>
          <w:sz w:val="22"/>
          <w:szCs w:val="22"/>
        </w:rPr>
        <w:t xml:space="preserve">of the </w:t>
      </w:r>
      <w:r w:rsidRPr="00FB6E71">
        <w:rPr>
          <w:rFonts w:asciiTheme="minorHAnsi" w:hAnsiTheme="minorHAnsi"/>
          <w:sz w:val="22"/>
          <w:szCs w:val="22"/>
        </w:rPr>
        <w:t>public</w:t>
      </w:r>
      <w:r w:rsidRPr="00FB6E71">
        <w:rPr>
          <w:rFonts w:asciiTheme="minorHAnsi" w:hAnsiTheme="minorHAnsi"/>
          <w:color w:val="auto"/>
          <w:sz w:val="22"/>
          <w:szCs w:val="22"/>
        </w:rPr>
        <w:t xml:space="preserve"> administrative system and social cohesion </w:t>
      </w:r>
      <w:r w:rsidRPr="00FB6E71">
        <w:rPr>
          <w:rFonts w:asciiTheme="minorHAnsi" w:hAnsiTheme="minorHAnsi"/>
          <w:bCs/>
          <w:color w:val="auto"/>
          <w:sz w:val="22"/>
          <w:szCs w:val="22"/>
        </w:rPr>
        <w:t>will indirectly b</w:t>
      </w:r>
      <w:r w:rsidRPr="00FB6E71">
        <w:rPr>
          <w:rFonts w:asciiTheme="minorHAnsi" w:hAnsiTheme="minorHAnsi"/>
          <w:color w:val="auto"/>
          <w:sz w:val="22"/>
          <w:szCs w:val="22"/>
        </w:rPr>
        <w:t>enefit approximately 2 million individuals. The economic analysis indicates that this typology would be economically feasible with a minimum of 1.2 million indirect beneficiaries or a maximum cost of US$38 million.</w:t>
      </w:r>
    </w:p>
    <w:p w:rsidR="007F2DE7" w:rsidRPr="00FB6E71" w:rsidP="007F2DE7">
      <w:pPr>
        <w:pStyle w:val="ListParagraph"/>
        <w:jc w:val="both"/>
        <w:rPr>
          <w:rFonts w:asciiTheme="minorHAnsi" w:hAnsiTheme="minorHAnsi"/>
          <w:color w:val="auto"/>
          <w:sz w:val="22"/>
          <w:szCs w:val="22"/>
        </w:rPr>
        <w:sectPr w:rsidSect="007F2DE7">
          <w:headerReference w:type="default" r:id="rId30"/>
          <w:footerReference w:type="default" r:id="rId31"/>
          <w:pgSz w:w="12240" w:h="15840" w:code="1"/>
          <w:pgMar w:top="1440" w:right="1440" w:bottom="1440" w:left="1440" w:header="720" w:footer="720" w:gutter="0"/>
          <w:cols w:space="720"/>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60"/>
      </w:tblGrid>
      <w:tr w:rsidTr="007F2DE7">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2"/>
          <w:jc w:val="center"/>
        </w:trPr>
        <w:tc>
          <w:tcPr>
            <w:tcW w:w="10903" w:type="dxa"/>
            <w:shd w:val="clear" w:color="auto" w:fill="F2F2F2" w:themeFill="background1" w:themeFillShade="F2"/>
            <w:vAlign w:val="center"/>
          </w:tcPr>
          <w:p w:rsidR="007F2DE7" w:rsidRPr="00FB6E71" w:rsidP="007F2DE7">
            <w:pPr>
              <w:pStyle w:val="NoSpacing"/>
              <w:jc w:val="center"/>
              <w:outlineLvl w:val="0"/>
              <w:rPr>
                <w:rFonts w:asciiTheme="minorHAnsi" w:hAnsiTheme="minorHAnsi"/>
                <w:b/>
                <w:sz w:val="22"/>
                <w:szCs w:val="22"/>
              </w:rPr>
            </w:pPr>
            <w:bookmarkStart w:id="148" w:name="_Toc463441807"/>
            <w:bookmarkStart w:id="149" w:name="_Toc463635017"/>
            <w:bookmarkStart w:id="150" w:name="_Toc476558135"/>
            <w:r w:rsidRPr="00FB6E71">
              <w:rPr>
                <w:rFonts w:asciiTheme="minorHAnsi" w:hAnsiTheme="minorHAnsi"/>
                <w:b/>
                <w:color w:val="000000" w:themeColor="text1"/>
                <w:sz w:val="22"/>
                <w:szCs w:val="22"/>
              </w:rPr>
              <w:t>ANNEX 5: Complementarity with Other Interventions in North East Nigeria</w:t>
            </w:r>
            <w:bookmarkEnd w:id="148"/>
            <w:bookmarkEnd w:id="149"/>
            <w:bookmarkEnd w:id="150"/>
          </w:p>
        </w:tc>
      </w:tr>
    </w:tbl>
    <w:p w:rsidR="007F2DE7" w:rsidRPr="00FB6E71" w:rsidP="007F2DE7">
      <w:pPr>
        <w:ind w:left="-792"/>
        <w:rPr>
          <w:rFonts w:asciiTheme="minorHAnsi" w:hAnsiTheme="minorHAnsi"/>
          <w:b/>
          <w:bCs/>
          <w:color w:val="7F7F7F" w:themeColor="text1" w:themeTint="80"/>
          <w:sz w:val="22"/>
          <w:szCs w:val="2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60"/>
      </w:tblGrid>
      <w:tr w:rsidTr="007F2DE7">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9"/>
          <w:jc w:val="center"/>
        </w:trPr>
        <w:tc>
          <w:tcPr>
            <w:tcW w:w="10800" w:type="dxa"/>
          </w:tcPr>
          <w:p w:rsidR="007F2DE7" w:rsidRPr="00FB6E71" w:rsidP="007F2DE7">
            <w:pPr>
              <w:jc w:val="center"/>
              <w:rPr>
                <w:rFonts w:asciiTheme="minorHAnsi" w:hAnsiTheme="minorHAnsi"/>
                <w:b/>
                <w:bCs/>
                <w:color w:val="767171" w:themeColor="background2" w:themeShade="80"/>
                <w:sz w:val="22"/>
                <w:szCs w:val="22"/>
              </w:rPr>
            </w:pPr>
            <w:r w:rsidRPr="00FB6E71">
              <w:rPr>
                <w:rFonts w:asciiTheme="minorHAnsi" w:hAnsiTheme="minorHAnsi"/>
                <w:b/>
                <w:bCs/>
                <w:color w:val="767171" w:themeColor="background2" w:themeShade="80"/>
                <w:sz w:val="22"/>
                <w:szCs w:val="22"/>
              </w:rPr>
              <w:t xml:space="preserve">COUNTRY : Nigeria </w:t>
            </w:r>
            <w:r w:rsidRPr="00FB6E71">
              <w:rPr>
                <w:rFonts w:asciiTheme="minorHAnsi" w:hAnsiTheme="minorHAnsi"/>
                <w:b/>
                <w:bCs/>
                <w:color w:val="767171" w:themeColor="background2" w:themeShade="80"/>
                <w:sz w:val="22"/>
                <w:szCs w:val="22"/>
              </w:rPr>
              <w:br/>
            </w:r>
            <w:r w:rsidRPr="00FB6E71">
              <w:rPr>
                <w:rFonts w:asciiTheme="minorHAnsi" w:hAnsiTheme="minorHAnsi"/>
                <w:b/>
                <w:bCs/>
                <w:color w:val="767171" w:themeColor="background2" w:themeShade="80"/>
                <w:sz w:val="22"/>
                <w:szCs w:val="22"/>
              </w:rPr>
              <w:fldChar w:fldCharType="begin"/>
            </w:r>
            <w:r w:rsidRPr="00FB6E71">
              <w:rPr>
                <w:rFonts w:asciiTheme="minorHAnsi" w:hAnsiTheme="minorHAnsi"/>
                <w:b/>
                <w:bCs/>
                <w:color w:val="767171" w:themeColor="background2" w:themeShade="80"/>
                <w:sz w:val="22"/>
                <w:szCs w:val="22"/>
              </w:rPr>
              <w:instrText xml:space="preserve"> IF "Multi-Sectoral Crisis Recovery Project for North Eastern Nigeria" &lt;&gt; "" "Multi-Sectoral Crisis Recovery Project for North Eastern Nigeria" </w:instrText>
            </w:r>
            <w:r w:rsidRPr="00FB6E71">
              <w:rPr>
                <w:rFonts w:asciiTheme="minorHAnsi" w:hAnsiTheme="minorHAnsi"/>
                <w:b/>
                <w:color w:val="767171" w:themeColor="background2" w:themeShade="80"/>
                <w:sz w:val="22"/>
                <w:szCs w:val="22"/>
              </w:rPr>
              <w:instrText>""</w:instrText>
            </w:r>
            <w:r w:rsidRPr="00FB6E71">
              <w:rPr>
                <w:rFonts w:asciiTheme="minorHAnsi" w:hAnsiTheme="minorHAnsi"/>
                <w:b/>
                <w:bCs/>
                <w:color w:val="767171" w:themeColor="background2" w:themeShade="80"/>
                <w:sz w:val="22"/>
                <w:szCs w:val="22"/>
              </w:rPr>
              <w:fldChar w:fldCharType="separate"/>
            </w:r>
            <w:r w:rsidRPr="00FB6E71">
              <w:rPr>
                <w:rFonts w:asciiTheme="minorHAnsi" w:hAnsiTheme="minorHAnsi"/>
                <w:b/>
                <w:bCs/>
                <w:color w:val="767171" w:themeColor="background2" w:themeShade="80"/>
                <w:sz w:val="22"/>
                <w:szCs w:val="22"/>
              </w:rPr>
              <w:t>Multi-Sectoral Crisis Recovery Project for North Eastern Nigeria</w:t>
            </w:r>
            <w:r w:rsidRPr="00FB6E71">
              <w:rPr>
                <w:rFonts w:asciiTheme="minorHAnsi" w:hAnsiTheme="minorHAnsi"/>
                <w:b/>
                <w:color w:val="767171" w:themeColor="background2" w:themeShade="80"/>
                <w:sz w:val="22"/>
                <w:szCs w:val="22"/>
              </w:rPr>
              <w:fldChar w:fldCharType="end"/>
            </w:r>
          </w:p>
        </w:tc>
      </w:tr>
    </w:tbl>
    <w:p w:rsidR="007F2DE7" w:rsidRPr="00FB6E71" w:rsidP="007F2DE7">
      <w:pPr>
        <w:ind w:left="-576"/>
        <w:rPr>
          <w:rFonts w:asciiTheme="minorHAnsi" w:hAnsiTheme="minorHAnsi"/>
          <w:b/>
          <w:bCs/>
          <w:color w:val="7F7F7F" w:themeColor="text1" w:themeTint="80"/>
          <w:sz w:val="22"/>
          <w:szCs w:val="22"/>
        </w:rPr>
      </w:pPr>
    </w:p>
    <w:p w:rsidR="007F2DE7" w:rsidRPr="00FB6E71" w:rsidP="00302E0C">
      <w:pPr>
        <w:pStyle w:val="ListParagraph"/>
        <w:widowControl/>
        <w:numPr>
          <w:ilvl w:val="0"/>
          <w:numId w:val="48"/>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The design of the MCRP borrows from the rigorous gap analysis conducted by the task team to ensure its complementarity with other currently undergoing interventions by the government, the World Bank, and other development partners. Especially, the MCRP team worked</w:t>
      </w:r>
      <w:r>
        <w:rPr>
          <w:rFonts w:asciiTheme="minorHAnsi" w:hAnsiTheme="minorHAnsi"/>
          <w:bCs/>
          <w:color w:val="auto"/>
          <w:sz w:val="22"/>
          <w:szCs w:val="22"/>
        </w:rPr>
        <w:t xml:space="preserve"> </w:t>
      </w:r>
      <w:r w:rsidRPr="00FB6E71">
        <w:rPr>
          <w:rFonts w:asciiTheme="minorHAnsi" w:hAnsiTheme="minorHAnsi"/>
          <w:bCs/>
          <w:color w:val="auto"/>
          <w:sz w:val="22"/>
          <w:szCs w:val="22"/>
        </w:rPr>
        <w:t>closely with the teams of the six AF projects financed by the World Bank, and consulted</w:t>
      </w:r>
      <w:r>
        <w:rPr>
          <w:rFonts w:asciiTheme="minorHAnsi" w:hAnsiTheme="minorHAnsi"/>
          <w:bCs/>
          <w:color w:val="auto"/>
          <w:sz w:val="22"/>
          <w:szCs w:val="22"/>
        </w:rPr>
        <w:t xml:space="preserve"> </w:t>
      </w:r>
      <w:r w:rsidRPr="00FB6E71">
        <w:rPr>
          <w:rFonts w:asciiTheme="minorHAnsi" w:hAnsiTheme="minorHAnsi"/>
          <w:bCs/>
          <w:color w:val="auto"/>
          <w:sz w:val="22"/>
          <w:szCs w:val="22"/>
        </w:rPr>
        <w:t xml:space="preserve">closely with the recovery project preparation teams in </w:t>
      </w:r>
      <w:r>
        <w:rPr>
          <w:rFonts w:asciiTheme="minorHAnsi" w:hAnsiTheme="minorHAnsi"/>
          <w:bCs/>
          <w:color w:val="auto"/>
          <w:sz w:val="22"/>
          <w:szCs w:val="22"/>
        </w:rPr>
        <w:t xml:space="preserve">the </w:t>
      </w:r>
      <w:r w:rsidRPr="00FB6E71">
        <w:rPr>
          <w:rFonts w:asciiTheme="minorHAnsi" w:hAnsiTheme="minorHAnsi"/>
          <w:bCs/>
          <w:color w:val="auto"/>
          <w:sz w:val="22"/>
          <w:szCs w:val="22"/>
        </w:rPr>
        <w:t xml:space="preserve">AfDB and IsDB. </w:t>
      </w:r>
      <w:r>
        <w:rPr>
          <w:rFonts w:asciiTheme="minorHAnsi" w:hAnsiTheme="minorHAnsi"/>
          <w:bCs/>
          <w:color w:val="auto"/>
          <w:sz w:val="22"/>
          <w:szCs w:val="22"/>
        </w:rPr>
        <w:fldChar w:fldCharType="begin"/>
      </w:r>
      <w:r>
        <w:rPr>
          <w:rFonts w:asciiTheme="minorHAnsi" w:hAnsiTheme="minorHAnsi"/>
          <w:bCs/>
          <w:color w:val="auto"/>
          <w:sz w:val="22"/>
          <w:szCs w:val="22"/>
        </w:rPr>
        <w:instrText xml:space="preserve"> REF _Ref475643636 \h  \* MERGEFORMAT </w:instrText>
      </w:r>
      <w:r>
        <w:rPr>
          <w:rFonts w:asciiTheme="minorHAnsi" w:hAnsiTheme="minorHAnsi"/>
          <w:bCs/>
          <w:color w:val="auto"/>
          <w:sz w:val="22"/>
          <w:szCs w:val="22"/>
        </w:rPr>
        <w:fldChar w:fldCharType="separate"/>
      </w:r>
      <w:r w:rsidRPr="00AE22EC">
        <w:rPr>
          <w:rFonts w:asciiTheme="minorHAnsi" w:hAnsiTheme="minorHAnsi"/>
          <w:bCs/>
          <w:color w:val="auto"/>
          <w:sz w:val="22"/>
          <w:szCs w:val="22"/>
        </w:rPr>
        <w:t>Table 5.1</w:t>
      </w:r>
      <w:r>
        <w:rPr>
          <w:rFonts w:asciiTheme="minorHAnsi" w:hAnsiTheme="minorHAnsi"/>
          <w:bCs/>
          <w:color w:val="auto"/>
          <w:sz w:val="22"/>
          <w:szCs w:val="22"/>
        </w:rPr>
        <w:fldChar w:fldCharType="end"/>
      </w:r>
      <w:r w:rsidRPr="00FB6E71">
        <w:rPr>
          <w:rFonts w:asciiTheme="minorHAnsi" w:hAnsiTheme="minorHAnsi"/>
          <w:bCs/>
          <w:color w:val="auto"/>
          <w:sz w:val="22"/>
          <w:szCs w:val="22"/>
        </w:rPr>
        <w:t xml:space="preserve"> summarizes the major areas of interventions proposed by </w:t>
      </w:r>
      <w:r>
        <w:rPr>
          <w:rFonts w:asciiTheme="minorHAnsi" w:hAnsiTheme="minorHAnsi"/>
          <w:bCs/>
          <w:color w:val="auto"/>
          <w:sz w:val="22"/>
          <w:szCs w:val="22"/>
        </w:rPr>
        <w:t xml:space="preserve">the </w:t>
      </w:r>
      <w:r w:rsidRPr="00FB6E71">
        <w:rPr>
          <w:rFonts w:asciiTheme="minorHAnsi" w:hAnsiTheme="minorHAnsi"/>
          <w:bCs/>
          <w:color w:val="auto"/>
          <w:sz w:val="22"/>
          <w:szCs w:val="22"/>
        </w:rPr>
        <w:t>MCRP on how the points of departure w</w:t>
      </w:r>
      <w:r>
        <w:rPr>
          <w:rFonts w:asciiTheme="minorHAnsi" w:hAnsiTheme="minorHAnsi"/>
          <w:bCs/>
          <w:color w:val="auto"/>
          <w:sz w:val="22"/>
          <w:szCs w:val="22"/>
        </w:rPr>
        <w:t>ere</w:t>
      </w:r>
      <w:r w:rsidRPr="00FB6E71">
        <w:rPr>
          <w:rFonts w:asciiTheme="minorHAnsi" w:hAnsiTheme="minorHAnsi"/>
          <w:bCs/>
          <w:color w:val="auto"/>
          <w:sz w:val="22"/>
          <w:szCs w:val="22"/>
        </w:rPr>
        <w:t xml:space="preserve"> drawn upon filling the gaps identified between the sector needs and existing interventions. </w:t>
      </w:r>
    </w:p>
    <w:p w:rsidR="007F2DE7" w:rsidRPr="00FB6E71" w:rsidP="007F2DE7">
      <w:pPr>
        <w:pStyle w:val="Caption"/>
        <w:keepNext/>
        <w:keepLines/>
        <w:widowControl/>
        <w:spacing w:before="120" w:after="120"/>
        <w:jc w:val="center"/>
        <w:rPr>
          <w:rFonts w:asciiTheme="minorHAnsi" w:hAnsiTheme="minorHAnsi"/>
          <w:b/>
          <w:i w:val="0"/>
          <w:color w:val="auto"/>
        </w:rPr>
      </w:pPr>
      <w:bookmarkStart w:id="151" w:name="_Ref475643636"/>
      <w:r w:rsidRPr="00AE22EC">
        <w:rPr>
          <w:rFonts w:asciiTheme="minorHAnsi" w:hAnsiTheme="minorHAnsi"/>
          <w:b/>
          <w:i w:val="0"/>
          <w:color w:val="auto"/>
        </w:rPr>
        <w:t>Table 5.</w:t>
      </w:r>
      <w:r w:rsidRPr="00AE22EC">
        <w:rPr>
          <w:rFonts w:asciiTheme="minorHAnsi" w:hAnsiTheme="minorHAnsi"/>
          <w:b/>
          <w:i w:val="0"/>
          <w:color w:val="auto"/>
        </w:rPr>
        <w:fldChar w:fldCharType="begin"/>
      </w:r>
      <w:r w:rsidRPr="00AE22EC">
        <w:rPr>
          <w:rFonts w:asciiTheme="minorHAnsi" w:hAnsiTheme="minorHAnsi"/>
          <w:b/>
          <w:i w:val="0"/>
          <w:color w:val="auto"/>
        </w:rPr>
        <w:instrText xml:space="preserve"> SEQ Table_5. \* ARABIC </w:instrText>
      </w:r>
      <w:r w:rsidRPr="00AE22EC">
        <w:rPr>
          <w:rFonts w:asciiTheme="minorHAnsi" w:hAnsiTheme="minorHAnsi"/>
          <w:b/>
          <w:i w:val="0"/>
          <w:color w:val="auto"/>
        </w:rPr>
        <w:fldChar w:fldCharType="separate"/>
      </w:r>
      <w:r w:rsidRPr="00AE22EC">
        <w:rPr>
          <w:rFonts w:asciiTheme="minorHAnsi" w:hAnsiTheme="minorHAnsi"/>
          <w:b/>
          <w:i w:val="0"/>
          <w:color w:val="auto"/>
        </w:rPr>
        <w:t>1</w:t>
      </w:r>
      <w:r w:rsidRPr="00AE22EC">
        <w:rPr>
          <w:rFonts w:asciiTheme="minorHAnsi" w:hAnsiTheme="minorHAnsi"/>
          <w:b/>
          <w:i w:val="0"/>
          <w:color w:val="auto"/>
        </w:rPr>
        <w:fldChar w:fldCharType="end"/>
      </w:r>
      <w:bookmarkEnd w:id="151"/>
      <w:r>
        <w:rPr>
          <w:rFonts w:asciiTheme="minorHAnsi" w:hAnsiTheme="minorHAnsi"/>
          <w:b/>
          <w:i w:val="0"/>
          <w:color w:val="auto"/>
        </w:rPr>
        <w:t>.</w:t>
      </w:r>
      <w:r w:rsidRPr="00FB6E71">
        <w:rPr>
          <w:rFonts w:asciiTheme="minorHAnsi" w:hAnsiTheme="minorHAnsi"/>
          <w:b/>
          <w:i w:val="0"/>
          <w:color w:val="auto"/>
        </w:rPr>
        <w:t xml:space="preserve"> Summary of Gap Analysis by Area of Intervention</w:t>
      </w:r>
    </w:p>
    <w:tbl>
      <w:tblPr>
        <w:tblStyle w:val="TableGrid"/>
        <w:tblW w:w="5000" w:type="pct"/>
        <w:jc w:val="center"/>
        <w:tblLook w:val="04A0"/>
      </w:tblPr>
      <w:tblGrid>
        <w:gridCol w:w="1345"/>
        <w:gridCol w:w="4050"/>
        <w:gridCol w:w="2610"/>
        <w:gridCol w:w="4945"/>
      </w:tblGrid>
      <w:tr w:rsidTr="007F2DE7">
        <w:tblPrEx>
          <w:tblW w:w="5000" w:type="pct"/>
          <w:jc w:val="center"/>
          <w:tblLook w:val="04A0"/>
        </w:tblPrEx>
        <w:trPr>
          <w:cantSplit/>
          <w:tblHeader/>
          <w:jc w:val="center"/>
        </w:trPr>
        <w:tc>
          <w:tcPr>
            <w:tcW w:w="1345" w:type="dxa"/>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Sector</w:t>
            </w:r>
          </w:p>
        </w:tc>
        <w:tc>
          <w:tcPr>
            <w:tcW w:w="4050" w:type="dxa"/>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AF Project</w:t>
            </w:r>
          </w:p>
        </w:tc>
        <w:tc>
          <w:tcPr>
            <w:tcW w:w="2610" w:type="dxa"/>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AfDB/IsDB Funding</w:t>
            </w:r>
          </w:p>
        </w:tc>
        <w:tc>
          <w:tcPr>
            <w:tcW w:w="4945" w:type="dxa"/>
            <w:vAlign w:val="center"/>
          </w:tcPr>
          <w:p w:rsidR="007F2DE7" w:rsidRPr="00FB6E71" w:rsidP="007F2DE7">
            <w:pPr>
              <w:jc w:val="center"/>
              <w:rPr>
                <w:rFonts w:asciiTheme="minorHAnsi" w:hAnsiTheme="minorHAnsi"/>
                <w:b/>
                <w:sz w:val="18"/>
                <w:szCs w:val="18"/>
              </w:rPr>
            </w:pPr>
            <w:r w:rsidRPr="00FB6E71">
              <w:rPr>
                <w:rFonts w:asciiTheme="minorHAnsi" w:hAnsiTheme="minorHAnsi"/>
                <w:b/>
                <w:sz w:val="18"/>
                <w:szCs w:val="18"/>
              </w:rPr>
              <w:t>Implementation/Niche for MCRP</w:t>
            </w:r>
          </w:p>
        </w:tc>
      </w:tr>
      <w:tr w:rsidTr="007F2DE7">
        <w:tblPrEx>
          <w:tblW w:w="5000" w:type="pct"/>
          <w:jc w:val="center"/>
          <w:tblLook w:val="04A0"/>
        </w:tblPrEx>
        <w:trPr>
          <w:cantSplit/>
          <w:jc w:val="center"/>
        </w:trPr>
        <w:tc>
          <w:tcPr>
            <w:tcW w:w="1345" w:type="dxa"/>
          </w:tcPr>
          <w:p w:rsidR="007F2DE7" w:rsidRPr="00FB6E71" w:rsidP="007F2DE7">
            <w:pPr>
              <w:rPr>
                <w:rFonts w:asciiTheme="minorHAnsi" w:hAnsiTheme="minorHAnsi"/>
                <w:b/>
                <w:sz w:val="18"/>
                <w:szCs w:val="18"/>
              </w:rPr>
            </w:pPr>
            <w:r w:rsidRPr="00FB6E71">
              <w:rPr>
                <w:rFonts w:asciiTheme="minorHAnsi" w:hAnsiTheme="minorHAnsi"/>
                <w:b/>
                <w:sz w:val="18"/>
                <w:szCs w:val="18"/>
              </w:rPr>
              <w:t>Social Cohesion</w:t>
            </w:r>
          </w:p>
        </w:tc>
        <w:tc>
          <w:tcPr>
            <w:tcW w:w="4050" w:type="dxa"/>
          </w:tcPr>
          <w:p w:rsidR="007F2DE7" w:rsidRPr="00FB6E71" w:rsidP="007F2DE7">
            <w:pPr>
              <w:rPr>
                <w:rFonts w:asciiTheme="minorHAnsi" w:hAnsiTheme="minorHAnsi"/>
                <w:sz w:val="18"/>
                <w:szCs w:val="18"/>
              </w:rPr>
            </w:pPr>
            <w:r w:rsidRPr="00FB6E71">
              <w:rPr>
                <w:rFonts w:asciiTheme="minorHAnsi" w:hAnsiTheme="minorHAnsi"/>
                <w:sz w:val="18"/>
                <w:szCs w:val="18"/>
              </w:rPr>
              <w:t>With regard to psychosocial support, the CSDP and YESSO focus on traditional community support</w:t>
            </w:r>
            <w:r>
              <w:rPr>
                <w:rFonts w:asciiTheme="minorHAnsi" w:hAnsiTheme="minorHAnsi"/>
                <w:sz w:val="18"/>
                <w:szCs w:val="18"/>
              </w:rPr>
              <w:t>;</w:t>
            </w:r>
            <w:r w:rsidRPr="00FB6E71">
              <w:rPr>
                <w:rFonts w:asciiTheme="minorHAnsi" w:hAnsiTheme="minorHAnsi"/>
                <w:sz w:val="18"/>
                <w:szCs w:val="18"/>
              </w:rPr>
              <w:t xml:space="preserve"> SEPIP and NSHIP provide focused, nonspecialized support in schools and health facilities, respectively. Specifically, YESSO supports livelihood restoration, skills and capacity building, and empowerment of youth and women in the six NE states. It focused on the selection and mobilization of poor and unskilled youth and women to participate in public works, offering them monthly stipends and cash transfer.</w:t>
            </w:r>
          </w:p>
        </w:tc>
        <w:tc>
          <w:tcPr>
            <w:tcW w:w="2610" w:type="dxa"/>
          </w:tcPr>
          <w:p w:rsidR="007F2DE7" w:rsidRPr="00FB6E71" w:rsidP="007F2DE7">
            <w:pPr>
              <w:rPr>
                <w:rFonts w:asciiTheme="minorHAnsi" w:hAnsiTheme="minorHAnsi"/>
                <w:sz w:val="18"/>
                <w:szCs w:val="18"/>
              </w:rPr>
            </w:pPr>
            <w:r w:rsidRPr="00FB6E71">
              <w:rPr>
                <w:rFonts w:asciiTheme="minorHAnsi" w:hAnsiTheme="minorHAnsi"/>
                <w:sz w:val="18"/>
                <w:szCs w:val="18"/>
              </w:rPr>
              <w:t>No known interventions</w:t>
            </w:r>
          </w:p>
        </w:tc>
        <w:tc>
          <w:tcPr>
            <w:tcW w:w="4945" w:type="dxa"/>
          </w:tcPr>
          <w:p w:rsidR="007F2DE7" w:rsidRPr="00FB6E71" w:rsidP="007F2DE7">
            <w:pPr>
              <w:rPr>
                <w:rFonts w:asciiTheme="minorHAnsi" w:hAnsiTheme="minorHAnsi"/>
                <w:sz w:val="18"/>
                <w:szCs w:val="18"/>
              </w:rPr>
            </w:pPr>
            <w:r>
              <w:rPr>
                <w:rFonts w:asciiTheme="minorHAnsi" w:hAnsiTheme="minorHAnsi"/>
                <w:sz w:val="18"/>
                <w:szCs w:val="18"/>
              </w:rPr>
              <w:t xml:space="preserve">The </w:t>
            </w:r>
            <w:r w:rsidRPr="00FB6E71">
              <w:rPr>
                <w:rFonts w:asciiTheme="minorHAnsi" w:hAnsiTheme="minorHAnsi"/>
                <w:sz w:val="18"/>
                <w:szCs w:val="18"/>
              </w:rPr>
              <w:t>MCRP will avoid cash transfer programs</w:t>
            </w:r>
            <w:r>
              <w:rPr>
                <w:rFonts w:asciiTheme="minorHAnsi" w:hAnsiTheme="minorHAnsi"/>
                <w:sz w:val="18"/>
                <w:szCs w:val="18"/>
              </w:rPr>
              <w:t>,</w:t>
            </w:r>
            <w:r w:rsidRPr="00FB6E71">
              <w:rPr>
                <w:rFonts w:asciiTheme="minorHAnsi" w:hAnsiTheme="minorHAnsi"/>
                <w:sz w:val="18"/>
                <w:szCs w:val="18"/>
              </w:rPr>
              <w:t xml:space="preserve"> which have already been proposed under YESSO. Instead, it will set up a community investment fund to focus on interventions that aim for organizing activities for better social inclusion and peace building. </w:t>
            </w:r>
            <w:r>
              <w:rPr>
                <w:rFonts w:asciiTheme="minorHAnsi" w:hAnsiTheme="minorHAnsi"/>
                <w:sz w:val="18"/>
                <w:szCs w:val="18"/>
              </w:rPr>
              <w:t xml:space="preserve">The </w:t>
            </w:r>
            <w:r w:rsidRPr="00FB6E71">
              <w:rPr>
                <w:rFonts w:asciiTheme="minorHAnsi" w:hAnsiTheme="minorHAnsi"/>
                <w:sz w:val="18"/>
                <w:szCs w:val="18"/>
              </w:rPr>
              <w:t>MCRP will also plan for the provision of psychosocial support to trauma victims of the BH conflict.</w:t>
            </w:r>
          </w:p>
        </w:tc>
      </w:tr>
      <w:tr w:rsidTr="007F2DE7">
        <w:tblPrEx>
          <w:tblW w:w="5000" w:type="pct"/>
          <w:jc w:val="center"/>
          <w:tblLook w:val="04A0"/>
        </w:tblPrEx>
        <w:trPr>
          <w:cantSplit/>
          <w:jc w:val="center"/>
        </w:trPr>
        <w:tc>
          <w:tcPr>
            <w:tcW w:w="1345" w:type="dxa"/>
          </w:tcPr>
          <w:p w:rsidR="007F2DE7" w:rsidRPr="00FB6E71" w:rsidP="007F2DE7">
            <w:pPr>
              <w:rPr>
                <w:rFonts w:asciiTheme="minorHAnsi" w:hAnsiTheme="minorHAnsi"/>
                <w:b/>
                <w:sz w:val="18"/>
                <w:szCs w:val="18"/>
              </w:rPr>
            </w:pPr>
            <w:r w:rsidRPr="00FB6E71">
              <w:rPr>
                <w:rFonts w:asciiTheme="minorHAnsi" w:hAnsiTheme="minorHAnsi"/>
                <w:b/>
                <w:sz w:val="18"/>
                <w:szCs w:val="18"/>
              </w:rPr>
              <w:t xml:space="preserve">Education </w:t>
            </w:r>
          </w:p>
        </w:tc>
        <w:tc>
          <w:tcPr>
            <w:tcW w:w="4050" w:type="dxa"/>
          </w:tcPr>
          <w:p w:rsidR="007F2DE7" w:rsidRPr="00FB6E71" w:rsidP="007F2DE7">
            <w:pPr>
              <w:rPr>
                <w:rFonts w:asciiTheme="minorHAnsi" w:hAnsiTheme="minorHAnsi"/>
                <w:sz w:val="18"/>
                <w:szCs w:val="18"/>
              </w:rPr>
            </w:pPr>
            <w:r w:rsidRPr="00FB6E71">
              <w:rPr>
                <w:rFonts w:asciiTheme="minorHAnsi" w:hAnsiTheme="minorHAnsi"/>
                <w:sz w:val="18"/>
                <w:szCs w:val="18"/>
              </w:rPr>
              <w:t xml:space="preserve">SEPIP proposed a performance-based financing scheme to support TA and institutional capacity strengthening of NE </w:t>
            </w:r>
            <w:r>
              <w:rPr>
                <w:rFonts w:asciiTheme="minorHAnsi" w:hAnsiTheme="minorHAnsi"/>
                <w:sz w:val="18"/>
                <w:szCs w:val="18"/>
              </w:rPr>
              <w:t>s</w:t>
            </w:r>
            <w:r w:rsidRPr="00FB6E71">
              <w:rPr>
                <w:rFonts w:asciiTheme="minorHAnsi" w:hAnsiTheme="minorHAnsi"/>
                <w:sz w:val="18"/>
                <w:szCs w:val="18"/>
              </w:rPr>
              <w:t>tates with regard to teacher management and deployment</w:t>
            </w:r>
            <w:r>
              <w:rPr>
                <w:rFonts w:asciiTheme="minorHAnsi" w:hAnsiTheme="minorHAnsi"/>
                <w:sz w:val="18"/>
                <w:szCs w:val="18"/>
              </w:rPr>
              <w:t xml:space="preserve"> and</w:t>
            </w:r>
            <w:r w:rsidRPr="00FB6E71">
              <w:rPr>
                <w:rFonts w:asciiTheme="minorHAnsi" w:hAnsiTheme="minorHAnsi"/>
                <w:sz w:val="18"/>
                <w:szCs w:val="18"/>
              </w:rPr>
              <w:t xml:space="preserve"> school-level funding </w:t>
            </w:r>
            <w:r>
              <w:rPr>
                <w:rFonts w:asciiTheme="minorHAnsi" w:hAnsiTheme="minorHAnsi"/>
                <w:sz w:val="18"/>
                <w:szCs w:val="18"/>
              </w:rPr>
              <w:t>through</w:t>
            </w:r>
            <w:r w:rsidRPr="00FB6E71">
              <w:rPr>
                <w:rFonts w:asciiTheme="minorHAnsi" w:hAnsiTheme="minorHAnsi"/>
                <w:sz w:val="18"/>
                <w:szCs w:val="18"/>
              </w:rPr>
              <w:t xml:space="preserve"> School-Based Management Committees</w:t>
            </w:r>
            <w:r>
              <w:rPr>
                <w:rFonts w:asciiTheme="minorHAnsi" w:hAnsiTheme="minorHAnsi"/>
                <w:sz w:val="18"/>
                <w:szCs w:val="18"/>
              </w:rPr>
              <w:t>,</w:t>
            </w:r>
            <w:r w:rsidRPr="00FB6E71">
              <w:rPr>
                <w:rFonts w:asciiTheme="minorHAnsi" w:hAnsiTheme="minorHAnsi"/>
                <w:sz w:val="18"/>
                <w:szCs w:val="18"/>
              </w:rPr>
              <w:t xml:space="preserve"> </w:t>
            </w:r>
            <w:r>
              <w:rPr>
                <w:rFonts w:asciiTheme="minorHAnsi" w:hAnsiTheme="minorHAnsi"/>
                <w:sz w:val="18"/>
                <w:szCs w:val="18"/>
              </w:rPr>
              <w:t>and</w:t>
            </w:r>
            <w:r w:rsidRPr="00FB6E71">
              <w:rPr>
                <w:rFonts w:asciiTheme="minorHAnsi" w:hAnsiTheme="minorHAnsi"/>
                <w:sz w:val="18"/>
                <w:szCs w:val="18"/>
              </w:rPr>
              <w:t xml:space="preserve"> psychosocial and pedagogical training for teachers will be developed and delivered, as well as development and delivery of a training package for School-Based Management Committees for </w:t>
            </w:r>
            <w:r>
              <w:rPr>
                <w:rFonts w:asciiTheme="minorHAnsi" w:hAnsiTheme="minorHAnsi"/>
                <w:sz w:val="18"/>
                <w:szCs w:val="18"/>
              </w:rPr>
              <w:t xml:space="preserve">the </w:t>
            </w:r>
            <w:r w:rsidRPr="00FB6E71">
              <w:rPr>
                <w:rFonts w:asciiTheme="minorHAnsi" w:hAnsiTheme="minorHAnsi"/>
                <w:sz w:val="18"/>
                <w:szCs w:val="18"/>
              </w:rPr>
              <w:t>promotion of social cohesion and violence prevention.</w:t>
            </w:r>
          </w:p>
        </w:tc>
        <w:tc>
          <w:tcPr>
            <w:tcW w:w="2610" w:type="dxa"/>
          </w:tcPr>
          <w:p w:rsidR="007F2DE7" w:rsidRPr="00957ABB" w:rsidP="007F2DE7">
            <w:pPr>
              <w:rPr>
                <w:rFonts w:asciiTheme="minorHAnsi" w:hAnsiTheme="minorHAnsi"/>
                <w:sz w:val="18"/>
                <w:szCs w:val="18"/>
              </w:rPr>
            </w:pPr>
            <w:r w:rsidRPr="00957ABB">
              <w:rPr>
                <w:rFonts w:asciiTheme="minorHAnsi" w:hAnsiTheme="minorHAnsi"/>
                <w:sz w:val="18"/>
                <w:szCs w:val="18"/>
              </w:rPr>
              <w:t xml:space="preserve">The </w:t>
            </w:r>
            <w:r w:rsidRPr="001A0C92">
              <w:rPr>
                <w:rFonts w:asciiTheme="minorHAnsi" w:hAnsiTheme="minorHAnsi"/>
                <w:sz w:val="18"/>
                <w:szCs w:val="18"/>
              </w:rPr>
              <w:t>AfDB proposed a project with approximately US$ 31 million financial support attributed to the reconstruction of model primary schools with teachers’ accommodation and library facilities.</w:t>
            </w:r>
          </w:p>
        </w:tc>
        <w:tc>
          <w:tcPr>
            <w:tcW w:w="4945" w:type="dxa"/>
          </w:tcPr>
          <w:p w:rsidR="007F2DE7" w:rsidRPr="00FB6E71" w:rsidP="007F2DE7">
            <w:pPr>
              <w:rPr>
                <w:rFonts w:asciiTheme="minorHAnsi" w:hAnsiTheme="minorHAnsi"/>
                <w:sz w:val="18"/>
                <w:szCs w:val="18"/>
              </w:rPr>
            </w:pPr>
            <w:r w:rsidRPr="00FB6E71">
              <w:rPr>
                <w:rFonts w:asciiTheme="minorHAnsi" w:hAnsiTheme="minorHAnsi"/>
                <w:bCs/>
                <w:sz w:val="18"/>
                <w:szCs w:val="18"/>
              </w:rPr>
              <w:t xml:space="preserve">As SEPIP is focusing on rehabilitation of services in schools, </w:t>
            </w:r>
            <w:r>
              <w:rPr>
                <w:rFonts w:asciiTheme="minorHAnsi" w:hAnsiTheme="minorHAnsi"/>
                <w:bCs/>
                <w:sz w:val="18"/>
                <w:szCs w:val="18"/>
              </w:rPr>
              <w:t xml:space="preserve">the </w:t>
            </w:r>
            <w:r w:rsidRPr="00FB6E71">
              <w:rPr>
                <w:rFonts w:asciiTheme="minorHAnsi" w:hAnsiTheme="minorHAnsi"/>
                <w:bCs/>
                <w:sz w:val="18"/>
                <w:szCs w:val="18"/>
              </w:rPr>
              <w:t>MCRP will cover the major reconstruction of infrastructure instead, including classrooms, offices, tables, seats, chairs, fences, playground</w:t>
            </w:r>
            <w:r>
              <w:rPr>
                <w:rFonts w:asciiTheme="minorHAnsi" w:hAnsiTheme="minorHAnsi"/>
                <w:bCs/>
                <w:sz w:val="18"/>
                <w:szCs w:val="18"/>
              </w:rPr>
              <w:t>s</w:t>
            </w:r>
            <w:r w:rsidRPr="00FB6E71">
              <w:rPr>
                <w:rFonts w:asciiTheme="minorHAnsi" w:hAnsiTheme="minorHAnsi"/>
                <w:bCs/>
                <w:sz w:val="18"/>
                <w:szCs w:val="18"/>
              </w:rPr>
              <w:t xml:space="preserve">, latrines, water pumps/boreholes, and so on. It is acknowledged that </w:t>
            </w:r>
            <w:r>
              <w:rPr>
                <w:rFonts w:asciiTheme="minorHAnsi" w:hAnsiTheme="minorHAnsi"/>
                <w:bCs/>
                <w:sz w:val="18"/>
                <w:szCs w:val="18"/>
              </w:rPr>
              <w:t xml:space="preserve">the </w:t>
            </w:r>
            <w:r w:rsidRPr="00FB6E71">
              <w:rPr>
                <w:rFonts w:asciiTheme="minorHAnsi" w:hAnsiTheme="minorHAnsi"/>
                <w:bCs/>
                <w:sz w:val="18"/>
                <w:szCs w:val="18"/>
              </w:rPr>
              <w:t>AfDB is planning to do some investments on reconstruction and rehabilitation of schools as well</w:t>
            </w:r>
            <w:r>
              <w:rPr>
                <w:rFonts w:asciiTheme="minorHAnsi" w:hAnsiTheme="minorHAnsi"/>
                <w:bCs/>
                <w:sz w:val="18"/>
                <w:szCs w:val="18"/>
              </w:rPr>
              <w:t>.</w:t>
            </w:r>
            <w:r w:rsidRPr="00FB6E71">
              <w:rPr>
                <w:rFonts w:asciiTheme="minorHAnsi" w:hAnsiTheme="minorHAnsi"/>
                <w:bCs/>
                <w:sz w:val="18"/>
                <w:szCs w:val="18"/>
              </w:rPr>
              <w:t xml:space="preserve"> However, the amount of </w:t>
            </w:r>
            <w:r>
              <w:rPr>
                <w:rFonts w:asciiTheme="minorHAnsi" w:hAnsiTheme="minorHAnsi"/>
                <w:bCs/>
                <w:sz w:val="18"/>
                <w:szCs w:val="18"/>
              </w:rPr>
              <w:t xml:space="preserve">the </w:t>
            </w:r>
            <w:r w:rsidRPr="00FB6E71">
              <w:rPr>
                <w:rFonts w:asciiTheme="minorHAnsi" w:hAnsiTheme="minorHAnsi"/>
                <w:bCs/>
                <w:sz w:val="18"/>
                <w:szCs w:val="18"/>
              </w:rPr>
              <w:t xml:space="preserve">proposed funding by </w:t>
            </w:r>
            <w:r>
              <w:rPr>
                <w:rFonts w:asciiTheme="minorHAnsi" w:hAnsiTheme="minorHAnsi"/>
                <w:bCs/>
                <w:sz w:val="18"/>
                <w:szCs w:val="18"/>
              </w:rPr>
              <w:t xml:space="preserve">the </w:t>
            </w:r>
            <w:r w:rsidRPr="00FB6E71">
              <w:rPr>
                <w:rFonts w:asciiTheme="minorHAnsi" w:hAnsiTheme="minorHAnsi"/>
                <w:bCs/>
                <w:sz w:val="18"/>
                <w:szCs w:val="18"/>
              </w:rPr>
              <w:t xml:space="preserve">AfDB is fairly small compared to the total sector needs identified in RPBA, </w:t>
            </w:r>
            <w:r>
              <w:rPr>
                <w:rFonts w:asciiTheme="minorHAnsi" w:hAnsiTheme="minorHAnsi"/>
                <w:bCs/>
                <w:sz w:val="18"/>
                <w:szCs w:val="18"/>
              </w:rPr>
              <w:t xml:space="preserve">and </w:t>
            </w:r>
            <w:r w:rsidRPr="00FB6E71">
              <w:rPr>
                <w:rFonts w:asciiTheme="minorHAnsi" w:hAnsiTheme="minorHAnsi"/>
                <w:bCs/>
                <w:sz w:val="18"/>
                <w:szCs w:val="18"/>
              </w:rPr>
              <w:t xml:space="preserve">it is agreed between the two agencies that </w:t>
            </w:r>
            <w:r>
              <w:rPr>
                <w:rFonts w:asciiTheme="minorHAnsi" w:hAnsiTheme="minorHAnsi"/>
                <w:bCs/>
                <w:sz w:val="18"/>
                <w:szCs w:val="18"/>
              </w:rPr>
              <w:t xml:space="preserve">the </w:t>
            </w:r>
            <w:r w:rsidRPr="00FB6E71">
              <w:rPr>
                <w:rFonts w:asciiTheme="minorHAnsi" w:hAnsiTheme="minorHAnsi"/>
                <w:bCs/>
                <w:sz w:val="18"/>
                <w:szCs w:val="18"/>
              </w:rPr>
              <w:t xml:space="preserve">MCRP’s investments on school reconstruction and restoration </w:t>
            </w:r>
            <w:r>
              <w:rPr>
                <w:rFonts w:asciiTheme="minorHAnsi" w:hAnsiTheme="minorHAnsi"/>
                <w:bCs/>
                <w:sz w:val="18"/>
                <w:szCs w:val="18"/>
              </w:rPr>
              <w:t>are</w:t>
            </w:r>
            <w:r w:rsidRPr="00FB6E71">
              <w:rPr>
                <w:rFonts w:asciiTheme="minorHAnsi" w:hAnsiTheme="minorHAnsi"/>
                <w:bCs/>
                <w:sz w:val="18"/>
                <w:szCs w:val="18"/>
              </w:rPr>
              <w:t xml:space="preserve"> very necessary. </w:t>
            </w:r>
            <w:r w:rsidRPr="001A0C92">
              <w:rPr>
                <w:rFonts w:asciiTheme="minorHAnsi" w:hAnsiTheme="minorHAnsi"/>
                <w:bCs/>
                <w:sz w:val="18"/>
                <w:szCs w:val="18"/>
              </w:rPr>
              <w:t>The project teams are closely coordinating with each other to ensure complementarity in coverage.</w:t>
            </w:r>
          </w:p>
        </w:tc>
      </w:tr>
      <w:tr w:rsidTr="007F2DE7">
        <w:tblPrEx>
          <w:tblW w:w="5000" w:type="pct"/>
          <w:jc w:val="center"/>
          <w:tblLook w:val="04A0"/>
        </w:tblPrEx>
        <w:trPr>
          <w:cantSplit/>
          <w:jc w:val="center"/>
        </w:trPr>
        <w:tc>
          <w:tcPr>
            <w:tcW w:w="1345" w:type="dxa"/>
          </w:tcPr>
          <w:p w:rsidR="007F2DE7" w:rsidRPr="00FB6E71" w:rsidP="007F2DE7">
            <w:pPr>
              <w:rPr>
                <w:rFonts w:asciiTheme="minorHAnsi" w:hAnsiTheme="minorHAnsi"/>
                <w:b/>
                <w:sz w:val="18"/>
                <w:szCs w:val="18"/>
              </w:rPr>
            </w:pPr>
            <w:r w:rsidRPr="00FB6E71">
              <w:rPr>
                <w:rFonts w:asciiTheme="minorHAnsi" w:hAnsiTheme="minorHAnsi"/>
                <w:b/>
                <w:sz w:val="18"/>
                <w:szCs w:val="18"/>
              </w:rPr>
              <w:t>Health</w:t>
            </w:r>
          </w:p>
        </w:tc>
        <w:tc>
          <w:tcPr>
            <w:tcW w:w="4050" w:type="dxa"/>
          </w:tcPr>
          <w:p w:rsidR="007F2DE7" w:rsidRPr="00FB6E71" w:rsidP="007F2DE7">
            <w:pPr>
              <w:rPr>
                <w:rFonts w:asciiTheme="minorHAnsi" w:hAnsiTheme="minorHAnsi"/>
                <w:sz w:val="18"/>
                <w:szCs w:val="18"/>
              </w:rPr>
            </w:pPr>
            <w:r w:rsidRPr="00FB6E71">
              <w:rPr>
                <w:rFonts w:asciiTheme="minorHAnsi" w:hAnsiTheme="minorHAnsi"/>
                <w:sz w:val="18"/>
                <w:szCs w:val="18"/>
              </w:rPr>
              <w:t>Both NSHIP and PERSRIP are investing in the health sector. PE</w:t>
            </w:r>
            <w:r>
              <w:rPr>
                <w:rFonts w:asciiTheme="minorHAnsi" w:hAnsiTheme="minorHAnsi"/>
                <w:sz w:val="18"/>
                <w:szCs w:val="18"/>
              </w:rPr>
              <w:t>R</w:t>
            </w:r>
            <w:r w:rsidRPr="00FB6E71">
              <w:rPr>
                <w:rFonts w:asciiTheme="minorHAnsi" w:hAnsiTheme="minorHAnsi"/>
                <w:sz w:val="18"/>
                <w:szCs w:val="18"/>
              </w:rPr>
              <w:t xml:space="preserve">SRIP focuses only on </w:t>
            </w:r>
            <w:r>
              <w:rPr>
                <w:rFonts w:asciiTheme="minorHAnsi" w:hAnsiTheme="minorHAnsi"/>
                <w:sz w:val="18"/>
                <w:szCs w:val="18"/>
              </w:rPr>
              <w:t>p</w:t>
            </w:r>
            <w:r w:rsidRPr="00FB6E71">
              <w:rPr>
                <w:rFonts w:asciiTheme="minorHAnsi" w:hAnsiTheme="minorHAnsi"/>
                <w:sz w:val="18"/>
                <w:szCs w:val="18"/>
              </w:rPr>
              <w:t xml:space="preserve">olio vaccination, while NSHIP will </w:t>
            </w:r>
            <w:r w:rsidRPr="00FB6E71">
              <w:rPr>
                <w:rFonts w:asciiTheme="minorHAnsi" w:hAnsiTheme="minorHAnsi"/>
                <w:bCs/>
                <w:sz w:val="18"/>
                <w:szCs w:val="18"/>
              </w:rPr>
              <w:t>focus on performance-based financing to improve health and nutrition status in the LGAs with the highest concentration of IDP.</w:t>
            </w:r>
          </w:p>
        </w:tc>
        <w:tc>
          <w:tcPr>
            <w:tcW w:w="2610" w:type="dxa"/>
          </w:tcPr>
          <w:p w:rsidR="007F2DE7" w:rsidRPr="001A0C92" w:rsidP="007F2DE7">
            <w:pPr>
              <w:rPr>
                <w:rFonts w:asciiTheme="minorHAnsi" w:hAnsiTheme="minorHAnsi"/>
                <w:sz w:val="18"/>
                <w:szCs w:val="18"/>
              </w:rPr>
            </w:pPr>
            <w:r>
              <w:rPr>
                <w:rFonts w:asciiTheme="minorHAnsi" w:hAnsiTheme="minorHAnsi"/>
                <w:sz w:val="18"/>
                <w:szCs w:val="18"/>
              </w:rPr>
              <w:t>AfDB</w:t>
            </w:r>
            <w:r w:rsidRPr="00957ABB" w:rsidR="005C2394">
              <w:rPr>
                <w:rFonts w:asciiTheme="minorHAnsi" w:hAnsiTheme="minorHAnsi"/>
                <w:sz w:val="18"/>
                <w:szCs w:val="18"/>
              </w:rPr>
              <w:t xml:space="preserve"> </w:t>
            </w:r>
            <w:r w:rsidRPr="001A0C92" w:rsidR="005C2394">
              <w:rPr>
                <w:rFonts w:asciiTheme="minorHAnsi" w:hAnsiTheme="minorHAnsi"/>
                <w:sz w:val="18"/>
                <w:szCs w:val="18"/>
              </w:rPr>
              <w:t xml:space="preserve">proposed to finance a set of interventions in support of improving the health and nutrition conditions of the conflict affected residents in the NE, including reconstruction and rehabilitation of Primary Health Care Services, training of health workers, as well as </w:t>
            </w:r>
            <w:r w:rsidRPr="001A0C92" w:rsidR="005C2394">
              <w:rPr>
                <w:rFonts w:asciiTheme="minorHAnsi" w:hAnsiTheme="minorHAnsi"/>
                <w:sz w:val="18"/>
                <w:szCs w:val="18"/>
                <w:lang w:val="en-GB"/>
              </w:rPr>
              <w:t>community nutrition support through an extensive Outpatient Therapeutic Program (OTP).</w:t>
            </w:r>
          </w:p>
        </w:tc>
        <w:tc>
          <w:tcPr>
            <w:tcW w:w="4945" w:type="dxa"/>
          </w:tcPr>
          <w:p w:rsidR="007F2DE7" w:rsidRPr="00FB6E71" w:rsidP="007F2DE7">
            <w:pPr>
              <w:rPr>
                <w:rFonts w:asciiTheme="minorHAnsi" w:hAnsiTheme="minorHAnsi"/>
                <w:sz w:val="18"/>
                <w:szCs w:val="18"/>
              </w:rPr>
            </w:pPr>
            <w:r w:rsidRPr="00FB6E71">
              <w:rPr>
                <w:rFonts w:asciiTheme="minorHAnsi" w:hAnsiTheme="minorHAnsi"/>
                <w:bCs/>
                <w:sz w:val="18"/>
                <w:szCs w:val="18"/>
              </w:rPr>
              <w:t xml:space="preserve">As vaccination provision is addressed both under PERSRIP and </w:t>
            </w:r>
            <w:r>
              <w:rPr>
                <w:rFonts w:asciiTheme="minorHAnsi" w:hAnsiTheme="minorHAnsi"/>
                <w:bCs/>
                <w:sz w:val="18"/>
                <w:szCs w:val="18"/>
              </w:rPr>
              <w:t xml:space="preserve">the </w:t>
            </w:r>
            <w:r w:rsidRPr="00FB6E71">
              <w:rPr>
                <w:rFonts w:asciiTheme="minorHAnsi" w:hAnsiTheme="minorHAnsi"/>
                <w:bCs/>
                <w:sz w:val="18"/>
                <w:szCs w:val="18"/>
              </w:rPr>
              <w:t xml:space="preserve">proposed interventions of </w:t>
            </w:r>
            <w:r>
              <w:rPr>
                <w:rFonts w:asciiTheme="minorHAnsi" w:hAnsiTheme="minorHAnsi"/>
                <w:bCs/>
                <w:sz w:val="18"/>
                <w:szCs w:val="18"/>
              </w:rPr>
              <w:t xml:space="preserve">the </w:t>
            </w:r>
            <w:r w:rsidRPr="00FB6E71">
              <w:rPr>
                <w:rFonts w:asciiTheme="minorHAnsi" w:hAnsiTheme="minorHAnsi"/>
                <w:bCs/>
                <w:sz w:val="18"/>
                <w:szCs w:val="18"/>
              </w:rPr>
              <w:t xml:space="preserve">AfDB, </w:t>
            </w:r>
            <w:r>
              <w:rPr>
                <w:rFonts w:asciiTheme="minorHAnsi" w:hAnsiTheme="minorHAnsi"/>
                <w:bCs/>
                <w:sz w:val="18"/>
                <w:szCs w:val="18"/>
              </w:rPr>
              <w:t xml:space="preserve">the </w:t>
            </w:r>
            <w:r w:rsidRPr="00FB6E71">
              <w:rPr>
                <w:rFonts w:asciiTheme="minorHAnsi" w:hAnsiTheme="minorHAnsi"/>
                <w:bCs/>
                <w:sz w:val="18"/>
                <w:szCs w:val="18"/>
              </w:rPr>
              <w:t xml:space="preserve">MCRP will not include such vaccination-related interventions. Instead, </w:t>
            </w:r>
            <w:r>
              <w:rPr>
                <w:rFonts w:asciiTheme="minorHAnsi" w:hAnsiTheme="minorHAnsi"/>
                <w:bCs/>
                <w:sz w:val="18"/>
                <w:szCs w:val="18"/>
              </w:rPr>
              <w:t xml:space="preserve">the </w:t>
            </w:r>
            <w:r w:rsidRPr="00FB6E71">
              <w:rPr>
                <w:rFonts w:asciiTheme="minorHAnsi" w:hAnsiTheme="minorHAnsi"/>
                <w:bCs/>
                <w:sz w:val="18"/>
                <w:szCs w:val="18"/>
              </w:rPr>
              <w:t>MCRP will focus on the reconstruction of health centers that have been severely damaged or destroyed by the crisis. The team will coordinate</w:t>
            </w:r>
            <w:r>
              <w:rPr>
                <w:rFonts w:asciiTheme="minorHAnsi" w:hAnsiTheme="minorHAnsi"/>
                <w:bCs/>
                <w:sz w:val="18"/>
                <w:szCs w:val="18"/>
              </w:rPr>
              <w:t xml:space="preserve"> </w:t>
            </w:r>
            <w:r w:rsidRPr="00FB6E71">
              <w:rPr>
                <w:rFonts w:asciiTheme="minorHAnsi" w:hAnsiTheme="minorHAnsi"/>
                <w:bCs/>
                <w:sz w:val="18"/>
                <w:szCs w:val="18"/>
              </w:rPr>
              <w:t xml:space="preserve">closely with </w:t>
            </w:r>
            <w:r>
              <w:rPr>
                <w:rFonts w:asciiTheme="minorHAnsi" w:hAnsiTheme="minorHAnsi"/>
                <w:bCs/>
                <w:sz w:val="18"/>
                <w:szCs w:val="18"/>
              </w:rPr>
              <w:t xml:space="preserve">the </w:t>
            </w:r>
            <w:r w:rsidRPr="00FB6E71">
              <w:rPr>
                <w:rFonts w:asciiTheme="minorHAnsi" w:hAnsiTheme="minorHAnsi"/>
                <w:bCs/>
                <w:sz w:val="18"/>
                <w:szCs w:val="18"/>
              </w:rPr>
              <w:t>AfDB (on geographic coverage and funding amount) as their investment plans further develop.</w:t>
            </w:r>
          </w:p>
        </w:tc>
      </w:tr>
      <w:tr w:rsidTr="007F2DE7">
        <w:tblPrEx>
          <w:tblW w:w="5000" w:type="pct"/>
          <w:jc w:val="center"/>
          <w:tblLook w:val="04A0"/>
        </w:tblPrEx>
        <w:trPr>
          <w:cantSplit/>
          <w:jc w:val="center"/>
        </w:trPr>
        <w:tc>
          <w:tcPr>
            <w:tcW w:w="1345" w:type="dxa"/>
          </w:tcPr>
          <w:p w:rsidR="007F2DE7" w:rsidRPr="00FB6E71" w:rsidP="007F2DE7">
            <w:pPr>
              <w:rPr>
                <w:rFonts w:asciiTheme="minorHAnsi" w:hAnsiTheme="minorHAnsi"/>
                <w:b/>
                <w:sz w:val="18"/>
                <w:szCs w:val="18"/>
              </w:rPr>
            </w:pPr>
            <w:r w:rsidRPr="00FB6E71">
              <w:rPr>
                <w:rFonts w:asciiTheme="minorHAnsi" w:hAnsiTheme="minorHAnsi"/>
                <w:b/>
                <w:sz w:val="18"/>
                <w:szCs w:val="18"/>
              </w:rPr>
              <w:t>Transport</w:t>
            </w:r>
          </w:p>
        </w:tc>
        <w:tc>
          <w:tcPr>
            <w:tcW w:w="4050" w:type="dxa"/>
          </w:tcPr>
          <w:p w:rsidR="007F2DE7" w:rsidRPr="00FB6E71" w:rsidP="007F2DE7">
            <w:pPr>
              <w:rPr>
                <w:rFonts w:asciiTheme="minorHAnsi" w:hAnsiTheme="minorHAnsi"/>
                <w:sz w:val="18"/>
                <w:szCs w:val="18"/>
              </w:rPr>
            </w:pPr>
            <w:r w:rsidRPr="00FB6E71">
              <w:rPr>
                <w:rFonts w:asciiTheme="minorHAnsi" w:hAnsiTheme="minorHAnsi"/>
                <w:sz w:val="18"/>
                <w:szCs w:val="18"/>
              </w:rPr>
              <w:t>No AF projects in this field</w:t>
            </w:r>
          </w:p>
        </w:tc>
        <w:tc>
          <w:tcPr>
            <w:tcW w:w="2610" w:type="dxa"/>
          </w:tcPr>
          <w:p w:rsidR="007F2DE7" w:rsidRPr="00FB6E71" w:rsidP="007F2DE7">
            <w:pPr>
              <w:rPr>
                <w:rFonts w:asciiTheme="minorHAnsi" w:hAnsiTheme="minorHAnsi"/>
                <w:sz w:val="18"/>
                <w:szCs w:val="18"/>
              </w:rPr>
            </w:pPr>
            <w:r w:rsidRPr="00FB6E71">
              <w:rPr>
                <w:rFonts w:asciiTheme="minorHAnsi" w:hAnsiTheme="minorHAnsi"/>
                <w:sz w:val="18"/>
                <w:szCs w:val="18"/>
              </w:rPr>
              <w:t>No known interventions</w:t>
            </w:r>
          </w:p>
        </w:tc>
        <w:tc>
          <w:tcPr>
            <w:tcW w:w="4945" w:type="dxa"/>
          </w:tcPr>
          <w:p w:rsidR="007F2DE7" w:rsidRPr="00FB6E71" w:rsidP="007F2DE7">
            <w:pPr>
              <w:rPr>
                <w:rFonts w:asciiTheme="minorHAnsi" w:hAnsiTheme="minorHAnsi"/>
                <w:sz w:val="18"/>
                <w:szCs w:val="18"/>
              </w:rPr>
            </w:pPr>
            <w:r>
              <w:rPr>
                <w:rFonts w:asciiTheme="minorHAnsi" w:hAnsiTheme="minorHAnsi"/>
                <w:bCs/>
                <w:sz w:val="18"/>
                <w:szCs w:val="18"/>
              </w:rPr>
              <w:t xml:space="preserve">The </w:t>
            </w:r>
            <w:r w:rsidRPr="00FB6E71">
              <w:rPr>
                <w:rFonts w:asciiTheme="minorHAnsi" w:hAnsiTheme="minorHAnsi"/>
                <w:bCs/>
                <w:sz w:val="18"/>
                <w:szCs w:val="18"/>
              </w:rPr>
              <w:t xml:space="preserve">MCRP will consult with the states to reconstruct damaged roads and bridges that are </w:t>
            </w:r>
            <w:r>
              <w:rPr>
                <w:rFonts w:asciiTheme="minorHAnsi" w:hAnsiTheme="minorHAnsi"/>
                <w:bCs/>
                <w:sz w:val="18"/>
                <w:szCs w:val="18"/>
              </w:rPr>
              <w:t xml:space="preserve">the </w:t>
            </w:r>
            <w:r w:rsidRPr="00FB6E71">
              <w:rPr>
                <w:rFonts w:asciiTheme="minorHAnsi" w:hAnsiTheme="minorHAnsi"/>
                <w:bCs/>
                <w:sz w:val="18"/>
                <w:szCs w:val="18"/>
              </w:rPr>
              <w:t>most key to the mobility of the population.</w:t>
            </w:r>
          </w:p>
        </w:tc>
      </w:tr>
      <w:tr w:rsidTr="007F2DE7">
        <w:tblPrEx>
          <w:tblW w:w="5000" w:type="pct"/>
          <w:jc w:val="center"/>
          <w:tblLook w:val="04A0"/>
        </w:tblPrEx>
        <w:trPr>
          <w:cantSplit/>
          <w:jc w:val="center"/>
        </w:trPr>
        <w:tc>
          <w:tcPr>
            <w:tcW w:w="1345" w:type="dxa"/>
          </w:tcPr>
          <w:p w:rsidR="007F2DE7" w:rsidRPr="00FB6E71" w:rsidP="007F2DE7">
            <w:pPr>
              <w:rPr>
                <w:rFonts w:asciiTheme="minorHAnsi" w:hAnsiTheme="minorHAnsi"/>
                <w:b/>
                <w:sz w:val="18"/>
                <w:szCs w:val="18"/>
              </w:rPr>
            </w:pPr>
            <w:r w:rsidRPr="00FB6E71">
              <w:rPr>
                <w:rFonts w:asciiTheme="minorHAnsi" w:hAnsiTheme="minorHAnsi"/>
                <w:b/>
                <w:sz w:val="18"/>
                <w:szCs w:val="18"/>
              </w:rPr>
              <w:t>Public Buildings</w:t>
            </w:r>
          </w:p>
        </w:tc>
        <w:tc>
          <w:tcPr>
            <w:tcW w:w="4050" w:type="dxa"/>
          </w:tcPr>
          <w:p w:rsidR="007F2DE7" w:rsidRPr="00FB6E71" w:rsidP="007F2DE7">
            <w:pPr>
              <w:rPr>
                <w:rFonts w:asciiTheme="minorHAnsi" w:hAnsiTheme="minorHAnsi"/>
                <w:sz w:val="18"/>
                <w:szCs w:val="18"/>
              </w:rPr>
            </w:pPr>
            <w:r w:rsidRPr="00FB6E71">
              <w:rPr>
                <w:rFonts w:asciiTheme="minorHAnsi" w:hAnsiTheme="minorHAnsi"/>
                <w:sz w:val="18"/>
                <w:szCs w:val="18"/>
              </w:rPr>
              <w:t>The CSDP will support communities to develop, implement, and monitor micro social infrastructure projects.</w:t>
            </w:r>
          </w:p>
        </w:tc>
        <w:tc>
          <w:tcPr>
            <w:tcW w:w="2610" w:type="dxa"/>
          </w:tcPr>
          <w:p w:rsidR="007F2DE7" w:rsidRPr="00FB6E71" w:rsidP="007F2DE7">
            <w:pPr>
              <w:rPr>
                <w:rFonts w:asciiTheme="minorHAnsi" w:hAnsiTheme="minorHAnsi"/>
                <w:sz w:val="18"/>
                <w:szCs w:val="18"/>
              </w:rPr>
            </w:pPr>
            <w:r w:rsidRPr="00FB6E71">
              <w:rPr>
                <w:rFonts w:asciiTheme="minorHAnsi" w:hAnsiTheme="minorHAnsi"/>
                <w:sz w:val="18"/>
                <w:szCs w:val="18"/>
              </w:rPr>
              <w:t>No known interventions</w:t>
            </w:r>
          </w:p>
        </w:tc>
        <w:tc>
          <w:tcPr>
            <w:tcW w:w="4945" w:type="dxa"/>
          </w:tcPr>
          <w:p w:rsidR="007F2DE7" w:rsidRPr="00FB6E71" w:rsidP="007F2DE7">
            <w:pPr>
              <w:rPr>
                <w:rFonts w:asciiTheme="minorHAnsi" w:hAnsiTheme="minorHAnsi"/>
                <w:sz w:val="18"/>
                <w:szCs w:val="18"/>
              </w:rPr>
            </w:pPr>
            <w:r>
              <w:rPr>
                <w:rFonts w:asciiTheme="minorHAnsi" w:hAnsiTheme="minorHAnsi"/>
                <w:bCs/>
                <w:sz w:val="18"/>
                <w:szCs w:val="18"/>
              </w:rPr>
              <w:t xml:space="preserve">The </w:t>
            </w:r>
            <w:r w:rsidRPr="00FB6E71">
              <w:rPr>
                <w:rFonts w:asciiTheme="minorHAnsi" w:hAnsiTheme="minorHAnsi"/>
                <w:bCs/>
                <w:sz w:val="18"/>
                <w:szCs w:val="18"/>
              </w:rPr>
              <w:t>MCRP will reconstruct and repair local government buildings. Opportunities will be sought to combine community spaces into public buildings to provide areas for communities to gather for meetings, events</w:t>
            </w:r>
            <w:r>
              <w:rPr>
                <w:rFonts w:asciiTheme="minorHAnsi" w:hAnsiTheme="minorHAnsi"/>
                <w:bCs/>
                <w:sz w:val="18"/>
                <w:szCs w:val="18"/>
              </w:rPr>
              <w:t>,</w:t>
            </w:r>
            <w:r w:rsidRPr="00FB6E71">
              <w:rPr>
                <w:rFonts w:asciiTheme="minorHAnsi" w:hAnsiTheme="minorHAnsi"/>
                <w:bCs/>
                <w:sz w:val="18"/>
                <w:szCs w:val="18"/>
              </w:rPr>
              <w:t xml:space="preserve"> and consultations.</w:t>
            </w:r>
          </w:p>
        </w:tc>
      </w:tr>
      <w:tr w:rsidTr="007F2DE7">
        <w:tblPrEx>
          <w:tblW w:w="5000" w:type="pct"/>
          <w:jc w:val="center"/>
          <w:tblLook w:val="04A0"/>
        </w:tblPrEx>
        <w:trPr>
          <w:cantSplit/>
          <w:jc w:val="center"/>
        </w:trPr>
        <w:tc>
          <w:tcPr>
            <w:tcW w:w="1345" w:type="dxa"/>
          </w:tcPr>
          <w:p w:rsidR="007F2DE7" w:rsidRPr="00FB6E71" w:rsidP="007F2DE7">
            <w:pPr>
              <w:rPr>
                <w:rFonts w:asciiTheme="minorHAnsi" w:hAnsiTheme="minorHAnsi"/>
                <w:b/>
                <w:sz w:val="18"/>
                <w:szCs w:val="18"/>
              </w:rPr>
            </w:pPr>
            <w:r w:rsidRPr="00FB6E71">
              <w:rPr>
                <w:rFonts w:asciiTheme="minorHAnsi" w:hAnsiTheme="minorHAnsi"/>
                <w:b/>
                <w:sz w:val="18"/>
                <w:szCs w:val="18"/>
              </w:rPr>
              <w:t>Water and Sanitation</w:t>
            </w:r>
          </w:p>
        </w:tc>
        <w:tc>
          <w:tcPr>
            <w:tcW w:w="4050" w:type="dxa"/>
          </w:tcPr>
          <w:p w:rsidR="007F2DE7" w:rsidRPr="00FB6E71" w:rsidP="007F2DE7">
            <w:pPr>
              <w:rPr>
                <w:rFonts w:asciiTheme="minorHAnsi" w:hAnsiTheme="minorHAnsi"/>
                <w:sz w:val="18"/>
                <w:szCs w:val="18"/>
              </w:rPr>
            </w:pPr>
            <w:r w:rsidRPr="00FB6E71">
              <w:rPr>
                <w:rFonts w:asciiTheme="minorHAnsi" w:hAnsiTheme="minorHAnsi"/>
                <w:sz w:val="18"/>
                <w:szCs w:val="18"/>
              </w:rPr>
              <w:t>No AF projects in this field</w:t>
            </w:r>
          </w:p>
        </w:tc>
        <w:tc>
          <w:tcPr>
            <w:tcW w:w="2610" w:type="dxa"/>
          </w:tcPr>
          <w:p w:rsidR="007F2DE7" w:rsidRPr="00FB6E71" w:rsidP="007F2DE7">
            <w:pPr>
              <w:rPr>
                <w:rFonts w:asciiTheme="minorHAnsi" w:hAnsiTheme="minorHAnsi"/>
                <w:sz w:val="18"/>
                <w:szCs w:val="18"/>
              </w:rPr>
            </w:pPr>
            <w:r>
              <w:rPr>
                <w:rFonts w:asciiTheme="minorHAnsi" w:hAnsiTheme="minorHAnsi"/>
                <w:sz w:val="18"/>
                <w:szCs w:val="18"/>
              </w:rPr>
              <w:t xml:space="preserve">The </w:t>
            </w:r>
            <w:r w:rsidRPr="00FB6E71">
              <w:rPr>
                <w:rFonts w:asciiTheme="minorHAnsi" w:hAnsiTheme="minorHAnsi"/>
                <w:sz w:val="18"/>
                <w:szCs w:val="18"/>
              </w:rPr>
              <w:t xml:space="preserve">AfDB has an extensive proposal to support WASH </w:t>
            </w:r>
            <w:r>
              <w:rPr>
                <w:rFonts w:asciiTheme="minorHAnsi" w:hAnsiTheme="minorHAnsi"/>
                <w:sz w:val="18"/>
                <w:szCs w:val="18"/>
              </w:rPr>
              <w:t>i</w:t>
            </w:r>
            <w:r w:rsidRPr="00FB6E71">
              <w:rPr>
                <w:rFonts w:asciiTheme="minorHAnsi" w:hAnsiTheme="minorHAnsi"/>
                <w:sz w:val="18"/>
                <w:szCs w:val="18"/>
              </w:rPr>
              <w:t xml:space="preserve">nfrastructure rehabilitation, </w:t>
            </w:r>
            <w:r w:rsidRPr="001A0C92">
              <w:rPr>
                <w:rFonts w:asciiTheme="minorHAnsi" w:hAnsiTheme="minorHAnsi"/>
                <w:sz w:val="18"/>
                <w:szCs w:val="18"/>
              </w:rPr>
              <w:t>consisting of infrastructure provision and institutional strengthening support to the organizations providing water supply and sanitation services.</w:t>
            </w:r>
          </w:p>
        </w:tc>
        <w:tc>
          <w:tcPr>
            <w:tcW w:w="4945" w:type="dxa"/>
          </w:tcPr>
          <w:p w:rsidR="007F2DE7" w:rsidRPr="00FB6E71" w:rsidP="007F2DE7">
            <w:pPr>
              <w:rPr>
                <w:rFonts w:asciiTheme="minorHAnsi" w:hAnsiTheme="minorHAnsi"/>
                <w:sz w:val="18"/>
                <w:szCs w:val="18"/>
              </w:rPr>
            </w:pPr>
            <w:r w:rsidRPr="00FB6E71">
              <w:rPr>
                <w:rFonts w:asciiTheme="minorHAnsi" w:hAnsiTheme="minorHAnsi"/>
                <w:bCs/>
                <w:sz w:val="18"/>
                <w:szCs w:val="18"/>
              </w:rPr>
              <w:t xml:space="preserve">Given the planned interventions covered by </w:t>
            </w:r>
            <w:r>
              <w:rPr>
                <w:rFonts w:asciiTheme="minorHAnsi" w:hAnsiTheme="minorHAnsi"/>
                <w:bCs/>
                <w:sz w:val="18"/>
                <w:szCs w:val="18"/>
              </w:rPr>
              <w:t xml:space="preserve">the </w:t>
            </w:r>
            <w:r w:rsidRPr="00FB6E71">
              <w:rPr>
                <w:rFonts w:asciiTheme="minorHAnsi" w:hAnsiTheme="minorHAnsi"/>
                <w:bCs/>
                <w:sz w:val="18"/>
                <w:szCs w:val="18"/>
              </w:rPr>
              <w:t xml:space="preserve">AfDB, </w:t>
            </w:r>
            <w:r>
              <w:rPr>
                <w:rFonts w:asciiTheme="minorHAnsi" w:hAnsiTheme="minorHAnsi"/>
                <w:bCs/>
                <w:sz w:val="18"/>
                <w:szCs w:val="18"/>
              </w:rPr>
              <w:t xml:space="preserve">the </w:t>
            </w:r>
            <w:r w:rsidRPr="00FB6E71">
              <w:rPr>
                <w:rFonts w:asciiTheme="minorHAnsi" w:hAnsiTheme="minorHAnsi"/>
                <w:bCs/>
                <w:sz w:val="18"/>
                <w:szCs w:val="18"/>
              </w:rPr>
              <w:t xml:space="preserve">MCRP will not invest a significant amount in the WASH sector. However, to keep some flexibility and to ensure critical WASH needs are met, the MCRP may reserve some funding on WASH to fill the gaps left by </w:t>
            </w:r>
            <w:r>
              <w:rPr>
                <w:rFonts w:asciiTheme="minorHAnsi" w:hAnsiTheme="minorHAnsi"/>
                <w:bCs/>
                <w:sz w:val="18"/>
                <w:szCs w:val="18"/>
              </w:rPr>
              <w:t xml:space="preserve">the </w:t>
            </w:r>
            <w:r w:rsidRPr="00FB6E71">
              <w:rPr>
                <w:rFonts w:asciiTheme="minorHAnsi" w:hAnsiTheme="minorHAnsi"/>
                <w:bCs/>
                <w:sz w:val="18"/>
                <w:szCs w:val="18"/>
              </w:rPr>
              <w:t xml:space="preserve">AfDB and other donors. </w:t>
            </w:r>
          </w:p>
        </w:tc>
      </w:tr>
      <w:tr w:rsidTr="007F2DE7">
        <w:tblPrEx>
          <w:tblW w:w="5000" w:type="pct"/>
          <w:jc w:val="center"/>
          <w:tblLook w:val="04A0"/>
        </w:tblPrEx>
        <w:trPr>
          <w:cantSplit/>
          <w:jc w:val="center"/>
        </w:trPr>
        <w:tc>
          <w:tcPr>
            <w:tcW w:w="1345" w:type="dxa"/>
          </w:tcPr>
          <w:p w:rsidR="007F2DE7" w:rsidRPr="00FB6E71" w:rsidP="007F2DE7">
            <w:pPr>
              <w:rPr>
                <w:rFonts w:asciiTheme="minorHAnsi" w:hAnsiTheme="minorHAnsi"/>
                <w:b/>
                <w:sz w:val="18"/>
                <w:szCs w:val="18"/>
              </w:rPr>
            </w:pPr>
            <w:r w:rsidRPr="00FB6E71">
              <w:rPr>
                <w:rFonts w:asciiTheme="minorHAnsi" w:hAnsiTheme="minorHAnsi"/>
                <w:b/>
                <w:sz w:val="18"/>
                <w:szCs w:val="18"/>
              </w:rPr>
              <w:t>Institutional support and capacity building</w:t>
            </w:r>
          </w:p>
        </w:tc>
        <w:tc>
          <w:tcPr>
            <w:tcW w:w="4050" w:type="dxa"/>
          </w:tcPr>
          <w:p w:rsidR="007F2DE7" w:rsidRPr="00FB6E71" w:rsidP="007F2DE7">
            <w:pPr>
              <w:rPr>
                <w:rFonts w:asciiTheme="minorHAnsi" w:hAnsiTheme="minorHAnsi"/>
                <w:sz w:val="18"/>
                <w:szCs w:val="18"/>
              </w:rPr>
            </w:pPr>
            <w:r w:rsidRPr="00FB6E71">
              <w:rPr>
                <w:rFonts w:asciiTheme="minorHAnsi" w:hAnsiTheme="minorHAnsi"/>
                <w:sz w:val="18"/>
                <w:szCs w:val="18"/>
              </w:rPr>
              <w:t>The CSDP will strengthening the skills and capacity of LGAs and sectoral public agencies to support communities and build partnerships between them</w:t>
            </w:r>
            <w:r>
              <w:rPr>
                <w:rFonts w:asciiTheme="minorHAnsi" w:hAnsiTheme="minorHAnsi"/>
                <w:sz w:val="18"/>
                <w:szCs w:val="18"/>
              </w:rPr>
              <w:t>.</w:t>
            </w:r>
          </w:p>
        </w:tc>
        <w:tc>
          <w:tcPr>
            <w:tcW w:w="2610" w:type="dxa"/>
          </w:tcPr>
          <w:p w:rsidR="007F2DE7" w:rsidRPr="00FB6E71" w:rsidP="007F2DE7">
            <w:pPr>
              <w:rPr>
                <w:rFonts w:asciiTheme="minorHAnsi" w:hAnsiTheme="minorHAnsi"/>
                <w:sz w:val="18"/>
                <w:szCs w:val="18"/>
              </w:rPr>
            </w:pPr>
            <w:r>
              <w:rPr>
                <w:rFonts w:asciiTheme="minorHAnsi" w:hAnsiTheme="minorHAnsi"/>
                <w:sz w:val="18"/>
                <w:szCs w:val="18"/>
              </w:rPr>
              <w:t xml:space="preserve">The </w:t>
            </w:r>
            <w:r w:rsidRPr="00FB6E71">
              <w:rPr>
                <w:rFonts w:asciiTheme="minorHAnsi" w:hAnsiTheme="minorHAnsi"/>
                <w:sz w:val="18"/>
                <w:szCs w:val="18"/>
              </w:rPr>
              <w:t xml:space="preserve">AfDB </w:t>
            </w:r>
            <w:r w:rsidRPr="00957ABB">
              <w:rPr>
                <w:rFonts w:asciiTheme="minorHAnsi" w:hAnsiTheme="minorHAnsi"/>
                <w:sz w:val="18"/>
                <w:szCs w:val="18"/>
              </w:rPr>
              <w:t xml:space="preserve">proposes to </w:t>
            </w:r>
            <w:r w:rsidRPr="001A0C92">
              <w:rPr>
                <w:rFonts w:asciiTheme="minorHAnsi" w:hAnsiTheme="minorHAnsi"/>
                <w:sz w:val="18"/>
                <w:szCs w:val="18"/>
              </w:rPr>
              <w:t xml:space="preserve">provide institutional strengthening support to the government, including technical assistance to federal ministries and the Social Investment Unit of the Office of the Vice President. </w:t>
            </w:r>
            <w:r w:rsidRPr="001A0C92">
              <w:rPr>
                <w:rFonts w:asciiTheme="minorHAnsi" w:hAnsiTheme="minorHAnsi"/>
                <w:sz w:val="18"/>
                <w:szCs w:val="18"/>
                <w:lang w:val="en-GB"/>
              </w:rPr>
              <w:t xml:space="preserve"> </w:t>
            </w:r>
          </w:p>
        </w:tc>
        <w:tc>
          <w:tcPr>
            <w:tcW w:w="4945" w:type="dxa"/>
          </w:tcPr>
          <w:p w:rsidR="007F2DE7" w:rsidRPr="00653E7E" w:rsidP="007F2DE7">
            <w:pPr>
              <w:rPr>
                <w:rFonts w:asciiTheme="minorHAnsi" w:hAnsiTheme="minorHAnsi"/>
                <w:sz w:val="18"/>
                <w:szCs w:val="18"/>
              </w:rPr>
            </w:pPr>
            <w:r w:rsidRPr="00302E0C">
              <w:rPr>
                <w:rFonts w:asciiTheme="minorHAnsi" w:hAnsiTheme="minorHAnsi"/>
                <w:bCs/>
                <w:sz w:val="18"/>
                <w:szCs w:val="18"/>
                <w:lang w:val="en-GB"/>
              </w:rPr>
              <w:t xml:space="preserve">The proposed institutional support and capacity building assistance provided by the MCRP will focus on strengthening PCNI at the federal level and the MDAs in the BAY states. </w:t>
            </w:r>
            <w:r w:rsidRPr="00653E7E">
              <w:rPr>
                <w:rFonts w:asciiTheme="minorHAnsi" w:hAnsiTheme="minorHAnsi"/>
                <w:bCs/>
                <w:sz w:val="18"/>
                <w:szCs w:val="18"/>
              </w:rPr>
              <w:t>The MCRP will also link with the CSDP AF to strengthen the capacity of local governments and engage local communities and citizens for effective recovery and stabilization planning and area-based, geo-spatial recovery planning in affected states.</w:t>
            </w:r>
          </w:p>
        </w:tc>
      </w:tr>
    </w:tbl>
    <w:p w:rsidR="007F2DE7" w:rsidRPr="00FB6E71" w:rsidP="007F2DE7">
      <w:pPr>
        <w:pStyle w:val="ListParagraph"/>
        <w:widowControl/>
        <w:ind w:left="0"/>
        <w:contextualSpacing w:val="0"/>
        <w:jc w:val="center"/>
        <w:rPr>
          <w:rFonts w:asciiTheme="minorHAnsi" w:hAnsiTheme="minorHAnsi"/>
          <w:bCs/>
          <w:color w:val="auto"/>
          <w:sz w:val="18"/>
          <w:szCs w:val="18"/>
        </w:rPr>
      </w:pPr>
    </w:p>
    <w:p w:rsidR="007F2DE7" w:rsidRPr="00FB6E71" w:rsidP="00302E0C">
      <w:pPr>
        <w:pStyle w:val="ListParagraph"/>
        <w:widowControl/>
        <w:numPr>
          <w:ilvl w:val="0"/>
          <w:numId w:val="48"/>
        </w:numPr>
        <w:spacing w:after="240"/>
        <w:ind w:left="0" w:firstLine="0"/>
        <w:contextualSpacing w:val="0"/>
        <w:jc w:val="both"/>
        <w:rPr>
          <w:rFonts w:ascii="Calibri" w:eastAsia="Times New Roman" w:hAnsi="Calibri" w:cs="Times New Roman"/>
          <w:color w:val="auto"/>
          <w:sz w:val="22"/>
          <w:szCs w:val="22"/>
        </w:rPr>
      </w:pPr>
      <w:r w:rsidRPr="00FB6E71">
        <w:rPr>
          <w:rFonts w:asciiTheme="minorHAnsi" w:hAnsiTheme="minorHAnsi"/>
          <w:bCs/>
          <w:color w:val="auto"/>
          <w:sz w:val="22"/>
          <w:szCs w:val="22"/>
        </w:rPr>
        <w:t xml:space="preserve">As a broader context, the following tables provide a summary of recovery and development operations/projects planned or undergoing in NE Nigeria, based on information gathered from the federal and state governments, World Bank, and other development partners as of September 5, 2016. </w:t>
      </w:r>
      <w:r>
        <w:rPr>
          <w:rFonts w:asciiTheme="minorHAnsi" w:hAnsiTheme="minorHAnsi"/>
          <w:bCs/>
          <w:color w:val="auto"/>
          <w:sz w:val="22"/>
          <w:szCs w:val="22"/>
        </w:rPr>
        <w:t>As it is infeasible to track all interventions in real time, this list is by no means a comprehensive one. Meanwhile, t</w:t>
      </w:r>
      <w:r w:rsidRPr="00FB6E71">
        <w:rPr>
          <w:rFonts w:asciiTheme="minorHAnsi" w:hAnsiTheme="minorHAnsi"/>
          <w:bCs/>
          <w:color w:val="auto"/>
          <w:sz w:val="22"/>
          <w:szCs w:val="22"/>
        </w:rPr>
        <w:t>he MCRP team has</w:t>
      </w:r>
      <w:r>
        <w:rPr>
          <w:rFonts w:asciiTheme="minorHAnsi" w:hAnsiTheme="minorHAnsi"/>
          <w:bCs/>
          <w:color w:val="auto"/>
          <w:sz w:val="22"/>
          <w:szCs w:val="22"/>
        </w:rPr>
        <w:t xml:space="preserve"> been</w:t>
      </w:r>
      <w:r w:rsidRPr="00FB6E71">
        <w:rPr>
          <w:rFonts w:asciiTheme="minorHAnsi" w:hAnsiTheme="minorHAnsi"/>
          <w:bCs/>
          <w:color w:val="auto"/>
          <w:sz w:val="22"/>
          <w:szCs w:val="22"/>
        </w:rPr>
        <w:t xml:space="preserve"> work</w:t>
      </w:r>
      <w:r>
        <w:rPr>
          <w:rFonts w:asciiTheme="minorHAnsi" w:hAnsiTheme="minorHAnsi"/>
          <w:bCs/>
          <w:color w:val="auto"/>
          <w:sz w:val="22"/>
          <w:szCs w:val="22"/>
        </w:rPr>
        <w:t>ing</w:t>
      </w:r>
      <w:r w:rsidRPr="00FB6E71">
        <w:rPr>
          <w:rFonts w:asciiTheme="minorHAnsi" w:hAnsiTheme="minorHAnsi"/>
          <w:bCs/>
          <w:color w:val="auto"/>
          <w:sz w:val="22"/>
          <w:szCs w:val="22"/>
        </w:rPr>
        <w:t xml:space="preserve"> closely with </w:t>
      </w:r>
      <w:r>
        <w:rPr>
          <w:rFonts w:asciiTheme="minorHAnsi" w:hAnsiTheme="minorHAnsi"/>
          <w:bCs/>
          <w:color w:val="auto"/>
          <w:sz w:val="22"/>
          <w:szCs w:val="22"/>
        </w:rPr>
        <w:t xml:space="preserve">the Government and major development partners </w:t>
      </w:r>
      <w:r w:rsidRPr="00FB6E71">
        <w:rPr>
          <w:rFonts w:asciiTheme="minorHAnsi" w:hAnsiTheme="minorHAnsi"/>
          <w:bCs/>
          <w:color w:val="auto"/>
          <w:sz w:val="22"/>
          <w:szCs w:val="22"/>
        </w:rPr>
        <w:t>to ensure the complementarity of the operations among different stakeholders.</w:t>
      </w: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5.</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Table_5. \* ARABIC </w:instrText>
      </w:r>
      <w:r w:rsidRPr="00FB6E71">
        <w:rPr>
          <w:rFonts w:asciiTheme="minorHAnsi" w:hAnsiTheme="minorHAnsi"/>
          <w:b/>
          <w:i w:val="0"/>
          <w:color w:val="auto"/>
        </w:rPr>
        <w:fldChar w:fldCharType="separate"/>
      </w:r>
      <w:r>
        <w:rPr>
          <w:rFonts w:asciiTheme="minorHAnsi" w:hAnsiTheme="minorHAnsi"/>
          <w:b/>
          <w:i w:val="0"/>
          <w:noProof/>
          <w:color w:val="auto"/>
        </w:rPr>
        <w:t>2</w:t>
      </w:r>
      <w:r w:rsidRPr="00FB6E71">
        <w:rPr>
          <w:rFonts w:asciiTheme="minorHAnsi" w:hAnsiTheme="minorHAnsi"/>
          <w:b/>
          <w:i w:val="0"/>
          <w:color w:val="auto"/>
        </w:rPr>
        <w:fldChar w:fldCharType="end"/>
      </w:r>
      <w:r w:rsidRPr="00FB6E71">
        <w:rPr>
          <w:rFonts w:asciiTheme="minorHAnsi" w:hAnsiTheme="minorHAnsi"/>
          <w:b/>
          <w:i w:val="0"/>
          <w:color w:val="auto"/>
        </w:rPr>
        <w:t>: List of Projects on Humanitarian Responses, Peace Building/Stability</w:t>
      </w:r>
      <w:r>
        <w:rPr>
          <w:rFonts w:asciiTheme="minorHAnsi" w:hAnsiTheme="minorHAnsi"/>
          <w:b/>
          <w:i w:val="0"/>
          <w:color w:val="auto"/>
        </w:rPr>
        <w:t>,</w:t>
      </w:r>
      <w:r w:rsidRPr="00FB6E71">
        <w:rPr>
          <w:rFonts w:asciiTheme="minorHAnsi" w:hAnsiTheme="minorHAnsi"/>
          <w:b/>
          <w:i w:val="0"/>
          <w:color w:val="auto"/>
        </w:rPr>
        <w:t xml:space="preserve"> and Social Protection</w:t>
      </w:r>
    </w:p>
    <w:tbl>
      <w:tblPr>
        <w:tblStyle w:val="TableGrid"/>
        <w:tblW w:w="5000" w:type="pct"/>
        <w:jc w:val="center"/>
        <w:tblLook w:val="04A0"/>
      </w:tblPr>
      <w:tblGrid>
        <w:gridCol w:w="1559"/>
        <w:gridCol w:w="2278"/>
        <w:gridCol w:w="1159"/>
        <w:gridCol w:w="1024"/>
        <w:gridCol w:w="1024"/>
        <w:gridCol w:w="1529"/>
        <w:gridCol w:w="1543"/>
        <w:gridCol w:w="1056"/>
        <w:gridCol w:w="908"/>
        <w:gridCol w:w="870"/>
      </w:tblGrid>
      <w:tr w:rsidTr="007F2DE7">
        <w:tblPrEx>
          <w:tblW w:w="5000" w:type="pct"/>
          <w:jc w:val="center"/>
          <w:tblLook w:val="04A0"/>
        </w:tblPrEx>
        <w:trPr>
          <w:cantSplit/>
          <w:tblHeader/>
          <w:jc w:val="center"/>
        </w:trPr>
        <w:tc>
          <w:tcPr>
            <w:tcW w:w="1559"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Sector</w:t>
            </w:r>
          </w:p>
        </w:tc>
        <w:tc>
          <w:tcPr>
            <w:tcW w:w="2278"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Project Description</w:t>
            </w:r>
          </w:p>
        </w:tc>
        <w:tc>
          <w:tcPr>
            <w:tcW w:w="1159"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Status</w:t>
            </w:r>
          </w:p>
        </w:tc>
        <w:tc>
          <w:tcPr>
            <w:tcW w:w="1024"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Start Date</w:t>
            </w:r>
          </w:p>
        </w:tc>
        <w:tc>
          <w:tcPr>
            <w:tcW w:w="1024"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End Date</w:t>
            </w:r>
          </w:p>
        </w:tc>
        <w:tc>
          <w:tcPr>
            <w:tcW w:w="1529"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Donor</w:t>
            </w:r>
          </w:p>
        </w:tc>
        <w:tc>
          <w:tcPr>
            <w:tcW w:w="1543"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Total Commitment</w:t>
            </w:r>
          </w:p>
        </w:tc>
        <w:tc>
          <w:tcPr>
            <w:tcW w:w="1056"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Adamawa</w:t>
            </w:r>
          </w:p>
        </w:tc>
        <w:tc>
          <w:tcPr>
            <w:tcW w:w="908"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Borno</w:t>
            </w:r>
          </w:p>
        </w:tc>
        <w:tc>
          <w:tcPr>
            <w:tcW w:w="870" w:type="dxa"/>
            <w:vAlign w:val="center"/>
          </w:tcPr>
          <w:p w:rsidR="007F2DE7" w:rsidRPr="00FB6E71" w:rsidP="007F2DE7">
            <w:pPr>
              <w:pStyle w:val="Normal203"/>
              <w:jc w:val="center"/>
              <w:rPr>
                <w:rFonts w:asciiTheme="minorHAnsi" w:eastAsiaTheme="majorEastAsia" w:hAnsiTheme="minorHAnsi"/>
                <w:b/>
                <w:bCs/>
                <w:color w:val="auto"/>
                <w:sz w:val="18"/>
                <w:szCs w:val="18"/>
              </w:rPr>
            </w:pPr>
            <w:r w:rsidRPr="00FB6E71">
              <w:rPr>
                <w:rFonts w:asciiTheme="minorHAnsi" w:eastAsiaTheme="majorEastAsia" w:hAnsiTheme="minorHAnsi"/>
                <w:b/>
                <w:bCs/>
                <w:color w:val="auto"/>
                <w:sz w:val="18"/>
                <w:szCs w:val="18"/>
              </w:rPr>
              <w:t>Yobe</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Fragility, Conflict, and Violence</w:t>
            </w:r>
          </w:p>
        </w:tc>
        <w:tc>
          <w:tcPr>
            <w:tcW w:w="2278"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Emergency Assistance for Populations in North Eastern Nigeria</w:t>
            </w:r>
          </w:p>
        </w:tc>
        <w:tc>
          <w:tcPr>
            <w:tcW w:w="1159"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2014</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2017</w:t>
            </w:r>
          </w:p>
        </w:tc>
        <w:tc>
          <w:tcPr>
            <w:tcW w:w="152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Global Affairs, Canada</w:t>
            </w:r>
          </w:p>
        </w:tc>
        <w:tc>
          <w:tcPr>
            <w:tcW w:w="1543"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US$3 million</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No</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Fragility, Conflict, and Violence</w:t>
            </w:r>
          </w:p>
        </w:tc>
        <w:tc>
          <w:tcPr>
            <w:tcW w:w="2278"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Nigeria Stability and Reconciliation Programme (NSRP)</w:t>
            </w:r>
          </w:p>
        </w:tc>
        <w:tc>
          <w:tcPr>
            <w:tcW w:w="1159"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Nov</w:t>
            </w:r>
            <w:r>
              <w:rPr>
                <w:rFonts w:asciiTheme="minorHAnsi" w:eastAsiaTheme="majorEastAsia" w:hAnsiTheme="minorHAnsi"/>
                <w:color w:val="auto"/>
                <w:sz w:val="18"/>
                <w:szCs w:val="18"/>
              </w:rPr>
              <w:t>ember</w:t>
            </w:r>
            <w:r w:rsidRPr="00FB6E71">
              <w:rPr>
                <w:rFonts w:asciiTheme="minorHAnsi" w:eastAsiaTheme="majorEastAsia" w:hAnsiTheme="minorHAnsi"/>
                <w:color w:val="auto"/>
                <w:sz w:val="18"/>
                <w:szCs w:val="18"/>
              </w:rPr>
              <w:t xml:space="preserve"> 2012</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Dec</w:t>
            </w:r>
            <w:r>
              <w:rPr>
                <w:rFonts w:asciiTheme="minorHAnsi" w:eastAsiaTheme="majorEastAsia" w:hAnsiTheme="minorHAnsi"/>
                <w:color w:val="auto"/>
                <w:sz w:val="18"/>
                <w:szCs w:val="18"/>
              </w:rPr>
              <w:t>ember</w:t>
            </w:r>
            <w:r w:rsidRPr="00FB6E71">
              <w:rPr>
                <w:rFonts w:asciiTheme="minorHAnsi" w:eastAsiaTheme="majorEastAsia" w:hAnsiTheme="minorHAnsi"/>
                <w:color w:val="auto"/>
                <w:sz w:val="18"/>
                <w:szCs w:val="18"/>
              </w:rPr>
              <w:t xml:space="preserve"> 2017</w:t>
            </w:r>
          </w:p>
        </w:tc>
        <w:tc>
          <w:tcPr>
            <w:tcW w:w="152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D</w:t>
            </w:r>
            <w:r>
              <w:rPr>
                <w:rFonts w:asciiTheme="minorHAnsi" w:eastAsiaTheme="majorEastAsia" w:hAnsiTheme="minorHAnsi"/>
                <w:color w:val="auto"/>
                <w:sz w:val="18"/>
                <w:szCs w:val="18"/>
              </w:rPr>
              <w:t>F</w:t>
            </w:r>
            <w:r w:rsidRPr="00FB6E71">
              <w:rPr>
                <w:rFonts w:asciiTheme="minorHAnsi" w:eastAsiaTheme="majorEastAsia" w:hAnsiTheme="minorHAnsi"/>
                <w:color w:val="auto"/>
                <w:sz w:val="18"/>
                <w:szCs w:val="18"/>
              </w:rPr>
              <w:t>ID</w:t>
            </w:r>
          </w:p>
        </w:tc>
        <w:tc>
          <w:tcPr>
            <w:tcW w:w="1543"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£39 million for 10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p>
        </w:tc>
        <w:tc>
          <w:tcPr>
            <w:tcW w:w="908" w:type="dxa"/>
          </w:tcPr>
          <w:p w:rsidR="007F2DE7" w:rsidRPr="00FB6E71" w:rsidP="007F2DE7">
            <w:pPr>
              <w:pStyle w:val="Normal203"/>
              <w:jc w:val="center"/>
              <w:rPr>
                <w:rFonts w:asciiTheme="minorHAnsi" w:eastAsiaTheme="majorEastAsia" w:hAnsiTheme="minorHAnsi"/>
                <w:bCs/>
                <w:color w:val="auto"/>
                <w:sz w:val="18"/>
                <w:szCs w:val="18"/>
              </w:rPr>
            </w:pPr>
          </w:p>
        </w:tc>
        <w:tc>
          <w:tcPr>
            <w:tcW w:w="870" w:type="dxa"/>
          </w:tcPr>
          <w:p w:rsidR="007F2DE7" w:rsidRPr="00FB6E71" w:rsidP="007F2DE7">
            <w:pPr>
              <w:pStyle w:val="Normal203"/>
              <w:jc w:val="center"/>
              <w:rPr>
                <w:rFonts w:asciiTheme="minorHAnsi" w:eastAsiaTheme="majorEastAsia" w:hAnsiTheme="minorHAnsi"/>
                <w:bCs/>
                <w:color w:val="auto"/>
                <w:sz w:val="18"/>
                <w:szCs w:val="18"/>
              </w:rPr>
            </w:pP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Fragility, Conflict, and Violence</w:t>
            </w:r>
          </w:p>
        </w:tc>
        <w:tc>
          <w:tcPr>
            <w:tcW w:w="2278"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Nigeria International Committee of the Red Cross Humanitarian Appeal</w:t>
            </w:r>
          </w:p>
        </w:tc>
        <w:tc>
          <w:tcPr>
            <w:tcW w:w="1159"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Completed</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2015</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Multiple donors including Canada, UK,</w:t>
            </w:r>
            <w:r>
              <w:rPr>
                <w:rFonts w:asciiTheme="minorHAnsi" w:eastAsiaTheme="majorEastAsia" w:hAnsiTheme="minorHAnsi"/>
                <w:color w:val="auto"/>
                <w:sz w:val="18"/>
                <w:szCs w:val="18"/>
              </w:rPr>
              <w:t xml:space="preserve"> and</w:t>
            </w:r>
            <w:r w:rsidRPr="00FB6E71">
              <w:rPr>
                <w:rFonts w:asciiTheme="minorHAnsi" w:eastAsiaTheme="majorEastAsia" w:hAnsiTheme="minorHAnsi"/>
                <w:color w:val="auto"/>
                <w:sz w:val="18"/>
                <w:szCs w:val="18"/>
              </w:rPr>
              <w:t xml:space="preserve"> Japan</w:t>
            </w:r>
          </w:p>
        </w:tc>
        <w:tc>
          <w:tcPr>
            <w:tcW w:w="1543" w:type="dxa"/>
          </w:tcPr>
          <w:p w:rsidR="007F2DE7" w:rsidRPr="00FB6E71" w:rsidP="007F2DE7">
            <w:pPr>
              <w:pStyle w:val="Normal203"/>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Fragility, Conflict, and Violence</w:t>
            </w:r>
          </w:p>
        </w:tc>
        <w:tc>
          <w:tcPr>
            <w:tcW w:w="2278"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Nigeria UNICEF Humanitarian Appeal</w:t>
            </w:r>
          </w:p>
        </w:tc>
        <w:tc>
          <w:tcPr>
            <w:tcW w:w="1159"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April 2016</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2017</w:t>
            </w:r>
          </w:p>
        </w:tc>
        <w:tc>
          <w:tcPr>
            <w:tcW w:w="152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Global Affairs, Canada</w:t>
            </w:r>
          </w:p>
        </w:tc>
        <w:tc>
          <w:tcPr>
            <w:tcW w:w="1543" w:type="dxa"/>
          </w:tcPr>
          <w:p w:rsidR="007F2DE7" w:rsidRPr="00FB6E71" w:rsidP="007F2DE7">
            <w:pPr>
              <w:pStyle w:val="Normal203"/>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Yes</w:t>
            </w:r>
          </w:p>
        </w:tc>
        <w:tc>
          <w:tcPr>
            <w:tcW w:w="870"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Fragility, Conflict, and Violence</w:t>
            </w:r>
          </w:p>
        </w:tc>
        <w:tc>
          <w:tcPr>
            <w:tcW w:w="2278"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UN Office for the Coordination of Humanitarian Affairs Emergency Appeal for Nigeria</w:t>
            </w:r>
          </w:p>
        </w:tc>
        <w:tc>
          <w:tcPr>
            <w:tcW w:w="1159"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April 2016</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2017</w:t>
            </w:r>
          </w:p>
        </w:tc>
        <w:tc>
          <w:tcPr>
            <w:tcW w:w="152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Global Affairs, Canada</w:t>
            </w:r>
          </w:p>
        </w:tc>
        <w:tc>
          <w:tcPr>
            <w:tcW w:w="1543" w:type="dxa"/>
          </w:tcPr>
          <w:p w:rsidR="007F2DE7" w:rsidRPr="00FB6E71" w:rsidP="007F2DE7">
            <w:pPr>
              <w:pStyle w:val="Normal203"/>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Yes</w:t>
            </w:r>
          </w:p>
        </w:tc>
        <w:tc>
          <w:tcPr>
            <w:tcW w:w="870"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Fragility, Conflict, and Violence</w:t>
            </w:r>
          </w:p>
        </w:tc>
        <w:tc>
          <w:tcPr>
            <w:tcW w:w="2278"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Training of Leaders on Religious and National Co-Existence (TOLERANCE)</w:t>
            </w:r>
          </w:p>
        </w:tc>
        <w:tc>
          <w:tcPr>
            <w:tcW w:w="1159"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2012</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USAID</w:t>
            </w:r>
          </w:p>
        </w:tc>
        <w:tc>
          <w:tcPr>
            <w:tcW w:w="1543"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US$4.8 million in 6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Fragility, Conflict, and&amp; Violence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World Food Programme Sahel Appeal</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Pr>
                <w:rFonts w:asciiTheme="minorHAnsi" w:eastAsiaTheme="majorEastAsia" w:hAnsiTheme="minorHAnsi"/>
                <w:color w:val="auto"/>
                <w:sz w:val="18"/>
                <w:szCs w:val="18"/>
              </w:rPr>
              <w:t xml:space="preserve">April </w:t>
            </w:r>
            <w:r w:rsidRPr="00FB6E71">
              <w:rPr>
                <w:rFonts w:asciiTheme="minorHAnsi" w:eastAsiaTheme="majorEastAsia" w:hAnsiTheme="minorHAnsi"/>
                <w:color w:val="auto"/>
                <w:sz w:val="18"/>
                <w:szCs w:val="18"/>
              </w:rPr>
              <w:t>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Pr>
                <w:rFonts w:asciiTheme="minorHAnsi" w:eastAsiaTheme="majorEastAsia" w:hAnsiTheme="minorHAnsi"/>
                <w:color w:val="auto"/>
                <w:sz w:val="18"/>
                <w:szCs w:val="18"/>
              </w:rPr>
              <w:t xml:space="preserve">March </w:t>
            </w: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Global Affairs, Canada</w:t>
            </w:r>
          </w:p>
        </w:tc>
        <w:tc>
          <w:tcPr>
            <w:tcW w:w="1543" w:type="dxa"/>
          </w:tcPr>
          <w:p w:rsidR="007F2DE7" w:rsidRPr="00FB6E71" w:rsidP="007F2DE7">
            <w:pPr>
              <w:pStyle w:val="Normal203"/>
              <w:rPr>
                <w:rFonts w:asciiTheme="minorHAnsi" w:eastAsiaTheme="majorEastAsia" w:hAnsiTheme="minorHAnsi"/>
                <w:color w:val="auto"/>
                <w:sz w:val="18"/>
                <w:szCs w:val="18"/>
              </w:rPr>
            </w:pPr>
            <w:r>
              <w:rPr>
                <w:rFonts w:asciiTheme="minorHAnsi" w:eastAsiaTheme="majorEastAsia" w:hAnsiTheme="minorHAnsi"/>
                <w:color w:val="auto"/>
                <w:sz w:val="18"/>
                <w:szCs w:val="18"/>
              </w:rPr>
              <w:t>—</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Governance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Federal Public Administration Programme</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2010</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ATOS</w:t>
            </w:r>
          </w:p>
        </w:tc>
        <w:tc>
          <w:tcPr>
            <w:tcW w:w="1543" w:type="dxa"/>
          </w:tcPr>
          <w:p w:rsidR="007F2DE7" w:rsidRPr="00FB6E71" w:rsidP="007F2DE7">
            <w:pPr>
              <w:pStyle w:val="Normal203"/>
              <w:rPr>
                <w:rFonts w:asciiTheme="minorHAnsi" w:eastAsiaTheme="majorEastAsia" w:hAnsiTheme="minorHAnsi"/>
                <w:color w:val="auto"/>
                <w:sz w:val="18"/>
                <w:szCs w:val="18"/>
              </w:rPr>
            </w:pPr>
            <w:r>
              <w:rPr>
                <w:rFonts w:asciiTheme="minorHAnsi" w:eastAsiaTheme="majorEastAsia" w:hAnsiTheme="minorHAnsi"/>
                <w:color w:val="auto"/>
                <w:sz w:val="18"/>
                <w:szCs w:val="18"/>
              </w:rPr>
              <w:t>—</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Governance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Public Sector Reforms and Development Project</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2012</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World Bank</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US$80 million in 2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Pr>
                <w:rFonts w:asciiTheme="minorHAnsi" w:eastAsiaTheme="majorEastAsia" w:hAnsiTheme="minorHAnsi"/>
                <w:color w:val="auto"/>
                <w:sz w:val="18"/>
                <w:szCs w:val="18"/>
              </w:rPr>
              <w:t>No</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Governance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Public/Private partnership</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2011</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World Bank</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US$115 million in 6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Governance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SACE - Strengthening Advocacy and Civic Engagement</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Jan</w:t>
            </w:r>
            <w:r>
              <w:rPr>
                <w:rFonts w:asciiTheme="minorHAnsi" w:eastAsiaTheme="majorEastAsia" w:hAnsiTheme="minorHAnsi"/>
                <w:color w:val="auto"/>
                <w:sz w:val="18"/>
                <w:szCs w:val="18"/>
              </w:rPr>
              <w:t>uary</w:t>
            </w:r>
            <w:r w:rsidRPr="00FB6E71">
              <w:rPr>
                <w:rFonts w:asciiTheme="minorHAnsi" w:eastAsiaTheme="majorEastAsia" w:hAnsiTheme="minorHAnsi"/>
                <w:color w:val="auto"/>
                <w:sz w:val="18"/>
                <w:szCs w:val="18"/>
              </w:rPr>
              <w:t xml:space="preserve"> 2014</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Jan</w:t>
            </w:r>
            <w:r>
              <w:rPr>
                <w:rFonts w:asciiTheme="minorHAnsi" w:eastAsiaTheme="majorEastAsia" w:hAnsiTheme="minorHAnsi"/>
                <w:color w:val="auto"/>
                <w:sz w:val="18"/>
                <w:szCs w:val="18"/>
              </w:rPr>
              <w:t>uary</w:t>
            </w:r>
            <w:r w:rsidRPr="00FB6E71">
              <w:rPr>
                <w:rFonts w:asciiTheme="minorHAnsi" w:eastAsiaTheme="majorEastAsia" w:hAnsiTheme="minorHAnsi"/>
                <w:color w:val="auto"/>
                <w:sz w:val="18"/>
                <w:szCs w:val="18"/>
              </w:rPr>
              <w:t xml:space="preserve"> 2019</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USAID</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US$19.2 million in 26 states including 6 NE state</w:t>
            </w:r>
            <w:r>
              <w:rPr>
                <w:rFonts w:asciiTheme="minorHAnsi" w:eastAsiaTheme="majorEastAsia" w:hAnsiTheme="minorHAnsi"/>
                <w:color w:val="auto"/>
                <w:sz w:val="18"/>
                <w:szCs w:val="18"/>
              </w:rPr>
              <w:t>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Governance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State Accountability and Voice Initiative</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2010</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D</w:t>
            </w:r>
            <w:r>
              <w:rPr>
                <w:rFonts w:asciiTheme="minorHAnsi" w:eastAsiaTheme="majorEastAsia" w:hAnsiTheme="minorHAnsi"/>
                <w:color w:val="auto"/>
                <w:sz w:val="18"/>
                <w:szCs w:val="18"/>
              </w:rPr>
              <w:t>F</w:t>
            </w:r>
            <w:r w:rsidRPr="00FB6E71">
              <w:rPr>
                <w:rFonts w:asciiTheme="minorHAnsi" w:eastAsiaTheme="majorEastAsia" w:hAnsiTheme="minorHAnsi"/>
                <w:color w:val="auto"/>
                <w:sz w:val="18"/>
                <w:szCs w:val="18"/>
              </w:rPr>
              <w:t>ID</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£36 million for 9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Governance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State Partnership for Accountability Responsiveness and Capability</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2010</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D</w:t>
            </w:r>
            <w:r>
              <w:rPr>
                <w:rFonts w:asciiTheme="minorHAnsi" w:eastAsiaTheme="majorEastAsia" w:hAnsiTheme="minorHAnsi"/>
                <w:color w:val="auto"/>
                <w:sz w:val="18"/>
                <w:szCs w:val="18"/>
              </w:rPr>
              <w:t>F</w:t>
            </w:r>
            <w:r w:rsidRPr="00FB6E71">
              <w:rPr>
                <w:rFonts w:asciiTheme="minorHAnsi" w:eastAsiaTheme="majorEastAsia" w:hAnsiTheme="minorHAnsi"/>
                <w:color w:val="auto"/>
                <w:sz w:val="18"/>
                <w:szCs w:val="18"/>
              </w:rPr>
              <w:t>ID</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£67 million for 9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Governance</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World Bank Governance Partnership facility </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2011</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World Bank</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US$19 million in 6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Humanitarian</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Emergency Humanitarian Relief in Nigeria </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April 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Pr>
                <w:rFonts w:asciiTheme="minorHAnsi" w:eastAsiaTheme="majorEastAsia" w:hAnsiTheme="minorHAnsi"/>
                <w:color w:val="auto"/>
                <w:sz w:val="18"/>
                <w:szCs w:val="18"/>
              </w:rPr>
              <w:t xml:space="preserve">April </w:t>
            </w:r>
            <w:r w:rsidRPr="00FB6E71">
              <w:rPr>
                <w:rFonts w:asciiTheme="minorHAnsi" w:eastAsiaTheme="majorEastAsia" w:hAnsiTheme="minorHAnsi"/>
                <w:color w:val="auto"/>
                <w:sz w:val="18"/>
                <w:szCs w:val="18"/>
              </w:rPr>
              <w:t>2019</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D</w:t>
            </w:r>
            <w:r>
              <w:rPr>
                <w:rFonts w:asciiTheme="minorHAnsi" w:eastAsiaTheme="majorEastAsia" w:hAnsiTheme="minorHAnsi"/>
                <w:color w:val="auto"/>
                <w:sz w:val="18"/>
                <w:szCs w:val="18"/>
              </w:rPr>
              <w:t>F</w:t>
            </w:r>
            <w:r w:rsidRPr="00FB6E71">
              <w:rPr>
                <w:rFonts w:asciiTheme="minorHAnsi" w:eastAsiaTheme="majorEastAsia" w:hAnsiTheme="minorHAnsi"/>
                <w:color w:val="auto"/>
                <w:sz w:val="18"/>
                <w:szCs w:val="18"/>
              </w:rPr>
              <w:t>ID</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£33.5 million in 3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Humanitarian</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Office of Food for Peace</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June 2015</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April 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USAID (through Office of Food for Peace) </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US$12 million </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Humanitarian</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Office of Food for Peace</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Nov</w:t>
            </w:r>
            <w:r w:rsidRPr="00A222BF">
              <w:rPr>
                <w:rFonts w:asciiTheme="minorHAnsi" w:eastAsiaTheme="majorEastAsia" w:hAnsiTheme="minorHAnsi"/>
                <w:color w:val="auto"/>
                <w:sz w:val="18"/>
                <w:szCs w:val="18"/>
              </w:rPr>
              <w:t>ember</w:t>
            </w:r>
            <w:r w:rsidRPr="00FB6E71">
              <w:rPr>
                <w:rFonts w:asciiTheme="minorHAnsi" w:eastAsiaTheme="majorEastAsia" w:hAnsiTheme="minorHAnsi"/>
                <w:color w:val="auto"/>
                <w:sz w:val="18"/>
                <w:szCs w:val="18"/>
              </w:rPr>
              <w:t xml:space="preserve"> 2015</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Oct</w:t>
            </w:r>
            <w:r>
              <w:rPr>
                <w:rFonts w:asciiTheme="minorHAnsi" w:eastAsiaTheme="majorEastAsia" w:hAnsiTheme="minorHAnsi"/>
                <w:color w:val="auto"/>
                <w:sz w:val="18"/>
                <w:szCs w:val="18"/>
              </w:rPr>
              <w:t>ober</w:t>
            </w:r>
            <w:r w:rsidRPr="00FB6E71">
              <w:rPr>
                <w:rFonts w:asciiTheme="minorHAnsi" w:eastAsiaTheme="majorEastAsia" w:hAnsiTheme="minorHAnsi"/>
                <w:color w:val="auto"/>
                <w:sz w:val="18"/>
                <w:szCs w:val="18"/>
              </w:rPr>
              <w:t xml:space="preserve"> 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USAID (through Office of Food for Peace) and UN-World Food Programme</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US$6.8 million</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No</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Humanitarian</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Office of Transition Initiative-OTI</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Sep</w:t>
            </w:r>
            <w:r>
              <w:rPr>
                <w:rFonts w:asciiTheme="minorHAnsi" w:eastAsiaTheme="majorEastAsia" w:hAnsiTheme="minorHAnsi"/>
                <w:color w:val="auto"/>
                <w:sz w:val="18"/>
                <w:szCs w:val="18"/>
              </w:rPr>
              <w:t>tember</w:t>
            </w:r>
            <w:r w:rsidRPr="00FB6E71">
              <w:rPr>
                <w:rFonts w:asciiTheme="minorHAnsi" w:eastAsiaTheme="majorEastAsia" w:hAnsiTheme="minorHAnsi"/>
                <w:color w:val="auto"/>
                <w:sz w:val="18"/>
                <w:szCs w:val="18"/>
              </w:rPr>
              <w:t xml:space="preserve"> 2014</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Sep</w:t>
            </w:r>
            <w:r>
              <w:rPr>
                <w:rFonts w:asciiTheme="minorHAnsi" w:eastAsiaTheme="majorEastAsia" w:hAnsiTheme="minorHAnsi"/>
                <w:color w:val="auto"/>
                <w:sz w:val="18"/>
                <w:szCs w:val="18"/>
              </w:rPr>
              <w:t>tember</w:t>
            </w:r>
            <w:r w:rsidRPr="00FB6E71">
              <w:rPr>
                <w:rFonts w:asciiTheme="minorHAnsi" w:eastAsiaTheme="majorEastAsia" w:hAnsiTheme="minorHAnsi"/>
                <w:color w:val="auto"/>
                <w:sz w:val="18"/>
                <w:szCs w:val="18"/>
              </w:rPr>
              <w:t xml:space="preserve"> 2018</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USA</w:t>
            </w:r>
            <w:r>
              <w:rPr>
                <w:rFonts w:asciiTheme="minorHAnsi" w:eastAsiaTheme="majorEastAsia" w:hAnsiTheme="minorHAnsi"/>
                <w:color w:val="auto"/>
                <w:sz w:val="18"/>
                <w:szCs w:val="18"/>
              </w:rPr>
              <w:t>I</w:t>
            </w:r>
            <w:r w:rsidRPr="00FB6E71">
              <w:rPr>
                <w:rFonts w:asciiTheme="minorHAnsi" w:eastAsiaTheme="majorEastAsia" w:hAnsiTheme="minorHAnsi"/>
                <w:color w:val="auto"/>
                <w:sz w:val="18"/>
                <w:szCs w:val="18"/>
              </w:rPr>
              <w:t>D (through Office of Transition Initiative)</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US$23 million in 3 NE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Humanitarian</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Office of US Foreign Disaster Foreign Assistance (OFDA)</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Pr>
                <w:rFonts w:asciiTheme="minorHAnsi" w:eastAsiaTheme="majorEastAsia" w:hAnsiTheme="minorHAnsi"/>
                <w:color w:val="auto"/>
                <w:sz w:val="18"/>
                <w:szCs w:val="18"/>
              </w:rPr>
              <w:t xml:space="preserve"> </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Jan</w:t>
            </w:r>
            <w:r>
              <w:rPr>
                <w:rFonts w:asciiTheme="minorHAnsi" w:eastAsiaTheme="majorEastAsia" w:hAnsiTheme="minorHAnsi"/>
                <w:color w:val="auto"/>
                <w:sz w:val="18"/>
                <w:szCs w:val="18"/>
              </w:rPr>
              <w:t>uary</w:t>
            </w:r>
            <w:r w:rsidRPr="00FB6E71">
              <w:rPr>
                <w:rFonts w:asciiTheme="minorHAnsi" w:eastAsiaTheme="majorEastAsia" w:hAnsiTheme="minorHAnsi"/>
                <w:color w:val="auto"/>
                <w:sz w:val="18"/>
                <w:szCs w:val="18"/>
              </w:rPr>
              <w:t xml:space="preserve"> 2014</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Sep</w:t>
            </w:r>
            <w:r>
              <w:rPr>
                <w:rFonts w:asciiTheme="minorHAnsi" w:eastAsiaTheme="majorEastAsia" w:hAnsiTheme="minorHAnsi"/>
                <w:color w:val="auto"/>
                <w:sz w:val="18"/>
                <w:szCs w:val="18"/>
              </w:rPr>
              <w:t>tember</w:t>
            </w:r>
            <w:r w:rsidRPr="00FB6E71">
              <w:rPr>
                <w:rFonts w:asciiTheme="minorHAnsi" w:eastAsiaTheme="majorEastAsia" w:hAnsiTheme="minorHAnsi"/>
                <w:color w:val="auto"/>
                <w:sz w:val="18"/>
                <w:szCs w:val="18"/>
              </w:rPr>
              <w:t xml:space="preserve"> 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USAID (through Office of US Foreign Disaster Foreign Assistance Humanitarian Response in Nigeria)</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US$10 million</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Humanitarian</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Rapid Response to Food and Livelihoods Improvement for </w:t>
            </w:r>
            <w:r>
              <w:rPr>
                <w:rFonts w:asciiTheme="minorHAnsi" w:eastAsiaTheme="majorEastAsia" w:hAnsiTheme="minorHAnsi"/>
                <w:color w:val="auto"/>
                <w:sz w:val="18"/>
                <w:szCs w:val="18"/>
              </w:rPr>
              <w:t>IDP</w:t>
            </w:r>
            <w:r w:rsidRPr="00FB6E71">
              <w:rPr>
                <w:rFonts w:asciiTheme="minorHAnsi" w:eastAsiaTheme="majorEastAsia" w:hAnsiTheme="minorHAnsi"/>
                <w:color w:val="auto"/>
                <w:sz w:val="18"/>
                <w:szCs w:val="18"/>
              </w:rPr>
              <w:t xml:space="preserve"> and their Host Families in the Emergency States of North East Nigeria - Borno and Yobe</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Japan</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US$1.5 million in 3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 xml:space="preserve"> </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p>
        </w:tc>
        <w:tc>
          <w:tcPr>
            <w:tcW w:w="870" w:type="dxa"/>
          </w:tcPr>
          <w:p w:rsidR="007F2DE7" w:rsidRPr="00FB6E71" w:rsidP="007F2DE7">
            <w:pPr>
              <w:pStyle w:val="Normal203"/>
              <w:jc w:val="center"/>
              <w:rPr>
                <w:rFonts w:asciiTheme="minorHAnsi" w:eastAsiaTheme="majorEastAsia" w:hAnsiTheme="minorHAnsi"/>
                <w:color w:val="auto"/>
                <w:sz w:val="18"/>
                <w:szCs w:val="18"/>
              </w:rPr>
            </w:pP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Humanitarian</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Water, Sanitation, Health and Nutrition, Protection, Emergency Shelter</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EU</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€31 million across 6 states </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Contribute to the stabili</w:t>
            </w:r>
            <w:r>
              <w:rPr>
                <w:rFonts w:asciiTheme="minorHAnsi" w:eastAsiaTheme="majorEastAsia" w:hAnsiTheme="minorHAnsi"/>
                <w:color w:val="auto"/>
                <w:sz w:val="18"/>
                <w:szCs w:val="18"/>
              </w:rPr>
              <w:t>z</w:t>
            </w:r>
            <w:r w:rsidRPr="00FB6E71">
              <w:rPr>
                <w:rFonts w:asciiTheme="minorHAnsi" w:eastAsiaTheme="majorEastAsia" w:hAnsiTheme="minorHAnsi"/>
                <w:color w:val="auto"/>
                <w:sz w:val="18"/>
                <w:szCs w:val="18"/>
              </w:rPr>
              <w:t>ation of NE Nigeria through strengthening the resilience of IDP, host communities, returning refugees and the local population affected by insurgency.</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Approved</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2021</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EU and German Federal Ministry for Economic Cooperation and Development</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€37 million from the EU; €13 million from the German Federal Ministry for Econo</w:t>
            </w:r>
            <w:r>
              <w:rPr>
                <w:rFonts w:asciiTheme="minorHAnsi" w:eastAsiaTheme="majorEastAsia" w:hAnsiTheme="minorHAnsi"/>
                <w:color w:val="auto"/>
                <w:sz w:val="18"/>
                <w:szCs w:val="18"/>
              </w:rPr>
              <w:t>mic Cooperation and Development</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No</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Help address the root causes of displacement and ensure durable solutions for forcibly displaced population and host communities</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Just started</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2018</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EU</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€40 million </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Pr>
                <w:rFonts w:asciiTheme="minorHAnsi" w:eastAsiaTheme="majorEastAsia" w:hAnsiTheme="minorHAnsi"/>
                <w:color w:val="auto"/>
                <w:sz w:val="18"/>
                <w:szCs w:val="18"/>
              </w:rPr>
              <w:t>No</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Strengthening the Capacity of West Africa's Peace Support Operations in Nigeria</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Completed</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2014</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2015</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Japan</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US$0.5 million across all Nigerian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Promoting the engagement of women in peace building and conflict resolution</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2014</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EU</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€10 million across 5 states </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PRO ACT I: Building food security and resilience in Northern Nigeria</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Just signed</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2020,</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EU</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€50 million </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 xml:space="preserve"> </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321D2">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Pr>
                <w:rFonts w:asciiTheme="minorHAnsi" w:eastAsiaTheme="majorEastAsia" w:hAnsiTheme="minorHAnsi"/>
                <w:bCs/>
                <w:color w:val="auto"/>
                <w:sz w:val="18"/>
                <w:szCs w:val="18"/>
              </w:rPr>
              <w:t>No</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Capacity Building for Effective Prosecution of Terrorism Offences in Nigeria</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2015</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Japan</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US$0.46 million across all Nigerian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321D2">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Promoting socioeconomic recovery and sustainable livelihoods, community conflict mediation and reducing the risks associated with mines/IEDs/war debris</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Just started</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2018</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EU</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 xml:space="preserve">€55 million across 2 states </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321D2">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C7471D">
              <w:rPr>
                <w:rFonts w:asciiTheme="minorHAnsi" w:eastAsiaTheme="majorEastAsia" w:hAnsiTheme="minorHAnsi"/>
                <w:bCs/>
                <w:color w:val="auto"/>
                <w:sz w:val="18"/>
                <w:szCs w:val="18"/>
              </w:rPr>
              <w:t>No</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Emergency Assistance to IDP Women/Girls and Survivors of BH Terrorism Attacks in Nigeria</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Japan</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US$1.45 million in 3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321D2">
              <w:rPr>
                <w:rFonts w:asciiTheme="minorHAnsi" w:eastAsiaTheme="majorEastAsia" w:hAnsiTheme="minorHAnsi"/>
                <w:bCs/>
                <w:color w:val="auto"/>
                <w:sz w:val="18"/>
                <w:szCs w:val="18"/>
              </w:rPr>
              <w:t>No</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C7471D">
              <w:rPr>
                <w:rFonts w:asciiTheme="minorHAnsi" w:eastAsiaTheme="majorEastAsia" w:hAnsiTheme="minorHAnsi"/>
                <w:bCs/>
                <w:color w:val="auto"/>
                <w:sz w:val="18"/>
                <w:szCs w:val="18"/>
              </w:rPr>
              <w:t>No</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Prevention and Response to Gender-Based Violence in NE Nigeria</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Completed</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June 2014</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July 2015</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Japan</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US$0.185 million in 3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Peace building/ Stability</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Support to Early Recovery Programme in the NE</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2016</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Japan</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US$1.5 million in 3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Social Protection &amp; Labor</w:t>
            </w:r>
          </w:p>
        </w:tc>
        <w:tc>
          <w:tcPr>
            <w:tcW w:w="2278"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Integrated Provision of Life-Saving Emergency Interventions for Vulnerable Populations and Support for Returnees in the NE of Nigeria</w:t>
            </w:r>
          </w:p>
        </w:tc>
        <w:tc>
          <w:tcPr>
            <w:tcW w:w="1159"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Mar</w:t>
            </w:r>
            <w:r>
              <w:rPr>
                <w:rFonts w:asciiTheme="minorHAnsi" w:eastAsiaTheme="majorEastAsia" w:hAnsiTheme="minorHAnsi"/>
                <w:color w:val="auto"/>
                <w:sz w:val="18"/>
                <w:szCs w:val="18"/>
              </w:rPr>
              <w:t>ch</w:t>
            </w:r>
            <w:r w:rsidRPr="00FB6E71">
              <w:rPr>
                <w:rFonts w:asciiTheme="minorHAnsi" w:eastAsiaTheme="majorEastAsia" w:hAnsiTheme="minorHAnsi"/>
                <w:color w:val="auto"/>
                <w:sz w:val="18"/>
                <w:szCs w:val="18"/>
              </w:rPr>
              <w:t xml:space="preserve"> 2016</w:t>
            </w:r>
          </w:p>
        </w:tc>
        <w:tc>
          <w:tcPr>
            <w:tcW w:w="1024"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Japan</w:t>
            </w:r>
          </w:p>
        </w:tc>
        <w:tc>
          <w:tcPr>
            <w:tcW w:w="1543" w:type="dxa"/>
          </w:tcPr>
          <w:p w:rsidR="007F2DE7" w:rsidRPr="00FB6E71" w:rsidP="007F2DE7">
            <w:pPr>
              <w:pStyle w:val="Normal203"/>
              <w:rPr>
                <w:rFonts w:asciiTheme="minorHAnsi" w:eastAsiaTheme="majorEastAsia" w:hAnsiTheme="minorHAnsi"/>
                <w:bCs/>
                <w:color w:val="auto"/>
                <w:sz w:val="18"/>
                <w:szCs w:val="18"/>
              </w:rPr>
            </w:pPr>
            <w:r w:rsidRPr="00FB6E71">
              <w:rPr>
                <w:rFonts w:asciiTheme="minorHAnsi" w:eastAsiaTheme="majorEastAsia" w:hAnsiTheme="minorHAnsi"/>
                <w:color w:val="auto"/>
                <w:sz w:val="18"/>
                <w:szCs w:val="18"/>
              </w:rPr>
              <w:t>US$4.5 million in 3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Social Protection &amp; Labor</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Child Protection</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Oct</w:t>
            </w:r>
            <w:r>
              <w:rPr>
                <w:rFonts w:asciiTheme="minorHAnsi" w:eastAsiaTheme="majorEastAsia" w:hAnsiTheme="minorHAnsi"/>
                <w:color w:val="auto"/>
                <w:sz w:val="18"/>
                <w:szCs w:val="18"/>
              </w:rPr>
              <w:t>ober</w:t>
            </w:r>
            <w:r w:rsidRPr="00FB6E71">
              <w:rPr>
                <w:rFonts w:asciiTheme="minorHAnsi" w:eastAsiaTheme="majorEastAsia" w:hAnsiTheme="minorHAnsi"/>
                <w:color w:val="auto"/>
                <w:sz w:val="18"/>
                <w:szCs w:val="18"/>
              </w:rPr>
              <w:t xml:space="preserve"> 2015</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Dec</w:t>
            </w:r>
            <w:r>
              <w:rPr>
                <w:rFonts w:asciiTheme="minorHAnsi" w:eastAsiaTheme="majorEastAsia" w:hAnsiTheme="minorHAnsi"/>
                <w:color w:val="auto"/>
                <w:sz w:val="18"/>
                <w:szCs w:val="18"/>
              </w:rPr>
              <w:t>ember</w:t>
            </w:r>
            <w:r w:rsidRPr="00FB6E71">
              <w:rPr>
                <w:rFonts w:asciiTheme="minorHAnsi" w:eastAsiaTheme="majorEastAsia" w:hAnsiTheme="minorHAnsi"/>
                <w:color w:val="auto"/>
                <w:sz w:val="18"/>
                <w:szCs w:val="18"/>
              </w:rPr>
              <w:t xml:space="preserve"> 2016</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UNICEF</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US$3.4 million across three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 xml:space="preserve"> </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p>
        </w:tc>
        <w:tc>
          <w:tcPr>
            <w:tcW w:w="870" w:type="dxa"/>
          </w:tcPr>
          <w:p w:rsidR="007F2DE7" w:rsidRPr="00FB6E71" w:rsidP="007F2DE7">
            <w:pPr>
              <w:pStyle w:val="Normal203"/>
              <w:jc w:val="center"/>
              <w:rPr>
                <w:rFonts w:asciiTheme="minorHAnsi" w:eastAsiaTheme="majorEastAsia" w:hAnsiTheme="minorHAnsi"/>
                <w:color w:val="auto"/>
                <w:sz w:val="18"/>
                <w:szCs w:val="18"/>
              </w:rPr>
            </w:pP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Social Protection &amp; Labor</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CSDP</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2009</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World Bank</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US$340 million in 5 states</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Pr>
                <w:rFonts w:asciiTheme="minorHAnsi" w:eastAsiaTheme="majorEastAsia" w:hAnsiTheme="minorHAnsi"/>
                <w:bCs/>
                <w:color w:val="auto"/>
                <w:sz w:val="18"/>
                <w:szCs w:val="18"/>
              </w:rPr>
              <w:t xml:space="preserve"> </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p>
        </w:tc>
        <w:tc>
          <w:tcPr>
            <w:tcW w:w="870" w:type="dxa"/>
          </w:tcPr>
          <w:p w:rsidR="007F2DE7" w:rsidRPr="00FB6E71" w:rsidP="007F2DE7">
            <w:pPr>
              <w:pStyle w:val="Normal203"/>
              <w:jc w:val="center"/>
              <w:rPr>
                <w:rFonts w:asciiTheme="minorHAnsi" w:eastAsiaTheme="majorEastAsia" w:hAnsiTheme="minorHAnsi"/>
                <w:color w:val="auto"/>
                <w:sz w:val="18"/>
                <w:szCs w:val="18"/>
              </w:rPr>
            </w:pPr>
          </w:p>
        </w:tc>
      </w:tr>
      <w:tr w:rsidTr="007F2DE7">
        <w:tblPrEx>
          <w:tblW w:w="5000" w:type="pct"/>
          <w:jc w:val="center"/>
          <w:tblLook w:val="04A0"/>
        </w:tblPrEx>
        <w:trPr>
          <w:cantSplit/>
          <w:jc w:val="center"/>
        </w:trPr>
        <w:tc>
          <w:tcPr>
            <w:tcW w:w="155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Social Protection &amp; Labor</w:t>
            </w:r>
          </w:p>
        </w:tc>
        <w:tc>
          <w:tcPr>
            <w:tcW w:w="2278"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Voices for Change</w:t>
            </w:r>
          </w:p>
        </w:tc>
        <w:tc>
          <w:tcPr>
            <w:tcW w:w="1159"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Ongoing</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Sep</w:t>
            </w:r>
            <w:r>
              <w:rPr>
                <w:rFonts w:asciiTheme="minorHAnsi" w:eastAsiaTheme="majorEastAsia" w:hAnsiTheme="minorHAnsi"/>
                <w:color w:val="auto"/>
                <w:sz w:val="18"/>
                <w:szCs w:val="18"/>
              </w:rPr>
              <w:t>tember</w:t>
            </w:r>
            <w:r w:rsidRPr="00FB6E71">
              <w:rPr>
                <w:rFonts w:asciiTheme="minorHAnsi" w:eastAsiaTheme="majorEastAsia" w:hAnsiTheme="minorHAnsi"/>
                <w:color w:val="auto"/>
                <w:sz w:val="18"/>
                <w:szCs w:val="18"/>
              </w:rPr>
              <w:t xml:space="preserve"> 2011</w:t>
            </w:r>
          </w:p>
        </w:tc>
        <w:tc>
          <w:tcPr>
            <w:tcW w:w="1024"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Dec</w:t>
            </w:r>
            <w:r>
              <w:rPr>
                <w:rFonts w:asciiTheme="minorHAnsi" w:eastAsiaTheme="majorEastAsia" w:hAnsiTheme="minorHAnsi"/>
                <w:color w:val="auto"/>
                <w:sz w:val="18"/>
                <w:szCs w:val="18"/>
              </w:rPr>
              <w:t>ember</w:t>
            </w:r>
            <w:r w:rsidRPr="00FB6E71">
              <w:rPr>
                <w:rFonts w:asciiTheme="minorHAnsi" w:eastAsiaTheme="majorEastAsia" w:hAnsiTheme="minorHAnsi"/>
                <w:color w:val="auto"/>
                <w:sz w:val="18"/>
                <w:szCs w:val="18"/>
              </w:rPr>
              <w:t xml:space="preserve"> 2017</w:t>
            </w:r>
          </w:p>
        </w:tc>
        <w:tc>
          <w:tcPr>
            <w:tcW w:w="1529"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D</w:t>
            </w:r>
            <w:r>
              <w:rPr>
                <w:rFonts w:asciiTheme="minorHAnsi" w:eastAsiaTheme="majorEastAsia" w:hAnsiTheme="minorHAnsi"/>
                <w:color w:val="auto"/>
                <w:sz w:val="18"/>
                <w:szCs w:val="18"/>
              </w:rPr>
              <w:t>F</w:t>
            </w:r>
            <w:r w:rsidRPr="00FB6E71">
              <w:rPr>
                <w:rFonts w:asciiTheme="minorHAnsi" w:eastAsiaTheme="majorEastAsia" w:hAnsiTheme="minorHAnsi"/>
                <w:color w:val="auto"/>
                <w:sz w:val="18"/>
                <w:szCs w:val="18"/>
              </w:rPr>
              <w:t>ID</w:t>
            </w:r>
          </w:p>
        </w:tc>
        <w:tc>
          <w:tcPr>
            <w:tcW w:w="1543" w:type="dxa"/>
          </w:tcPr>
          <w:p w:rsidR="007F2DE7" w:rsidRPr="00FB6E71" w:rsidP="007F2DE7">
            <w:pPr>
              <w:pStyle w:val="Normal203"/>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£41 million nationally</w:t>
            </w:r>
          </w:p>
        </w:tc>
        <w:tc>
          <w:tcPr>
            <w:tcW w:w="1056"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908" w:type="dxa"/>
          </w:tcPr>
          <w:p w:rsidR="007F2DE7" w:rsidRPr="00FB6E71" w:rsidP="007F2DE7">
            <w:pPr>
              <w:pStyle w:val="Normal203"/>
              <w:jc w:val="center"/>
              <w:rPr>
                <w:rFonts w:asciiTheme="minorHAnsi" w:eastAsiaTheme="majorEastAsia" w:hAnsiTheme="minorHAnsi"/>
                <w:bCs/>
                <w:color w:val="auto"/>
                <w:sz w:val="18"/>
                <w:szCs w:val="18"/>
              </w:rPr>
            </w:pPr>
            <w:r w:rsidRPr="00FB6E71">
              <w:rPr>
                <w:rFonts w:asciiTheme="minorHAnsi" w:eastAsiaTheme="majorEastAsia" w:hAnsiTheme="minorHAnsi"/>
                <w:bCs/>
                <w:color w:val="auto"/>
                <w:sz w:val="18"/>
                <w:szCs w:val="18"/>
              </w:rPr>
              <w:t>Yes</w:t>
            </w:r>
          </w:p>
        </w:tc>
        <w:tc>
          <w:tcPr>
            <w:tcW w:w="870" w:type="dxa"/>
          </w:tcPr>
          <w:p w:rsidR="007F2DE7" w:rsidRPr="00FB6E71" w:rsidP="007F2DE7">
            <w:pPr>
              <w:pStyle w:val="Normal203"/>
              <w:jc w:val="center"/>
              <w:rPr>
                <w:rFonts w:asciiTheme="minorHAnsi" w:eastAsiaTheme="majorEastAsia" w:hAnsiTheme="minorHAnsi"/>
                <w:color w:val="auto"/>
                <w:sz w:val="18"/>
                <w:szCs w:val="18"/>
              </w:rPr>
            </w:pPr>
            <w:r w:rsidRPr="00FB6E71">
              <w:rPr>
                <w:rFonts w:asciiTheme="minorHAnsi" w:eastAsiaTheme="majorEastAsia" w:hAnsiTheme="minorHAnsi"/>
                <w:color w:val="auto"/>
                <w:sz w:val="18"/>
                <w:szCs w:val="18"/>
              </w:rPr>
              <w:t>Yes</w:t>
            </w:r>
          </w:p>
        </w:tc>
      </w:tr>
    </w:tbl>
    <w:p w:rsidR="007F2DE7" w:rsidRPr="00FB6E71" w:rsidP="007F2DE7">
      <w:pPr>
        <w:pStyle w:val="ListParagraph"/>
        <w:widowControl/>
        <w:ind w:left="0"/>
        <w:contextualSpacing w:val="0"/>
        <w:rPr>
          <w:rFonts w:asciiTheme="minorHAnsi" w:hAnsiTheme="minorHAnsi"/>
          <w:bCs/>
          <w:color w:val="auto"/>
          <w:sz w:val="18"/>
          <w:szCs w:val="18"/>
        </w:rPr>
      </w:pPr>
      <w:r w:rsidRPr="00FB6E71">
        <w:rPr>
          <w:rFonts w:asciiTheme="minorHAnsi" w:hAnsiTheme="minorHAnsi"/>
          <w:bCs/>
          <w:i/>
          <w:color w:val="auto"/>
          <w:sz w:val="18"/>
          <w:szCs w:val="18"/>
        </w:rPr>
        <w:t>Note:</w:t>
      </w:r>
      <w:r w:rsidRPr="00FB6E71">
        <w:rPr>
          <w:rFonts w:asciiTheme="minorHAnsi" w:hAnsiTheme="minorHAnsi"/>
          <w:bCs/>
          <w:color w:val="auto"/>
          <w:sz w:val="18"/>
          <w:szCs w:val="18"/>
        </w:rPr>
        <w:t xml:space="preserve"> UNICEF = United Nations Children’s Fund.</w:t>
      </w:r>
    </w:p>
    <w:p w:rsidR="007F2DE7" w:rsidRPr="00FB6E71" w:rsidP="007F2DE7">
      <w:pPr>
        <w:pStyle w:val="Normal203"/>
        <w:ind w:left="-630"/>
        <w:rPr>
          <w:rFonts w:asciiTheme="minorHAnsi" w:hAnsiTheme="minorHAnsi"/>
          <w:b/>
          <w:bCs/>
          <w:color w:val="7F7F7F" w:themeColor="text1" w:themeTint="80"/>
          <w:sz w:val="22"/>
          <w:szCs w:val="22"/>
        </w:rPr>
      </w:pPr>
    </w:p>
    <w:p w:rsidR="007F2DE7" w:rsidRPr="00FB6E71" w:rsidP="007F2DE7">
      <w:pPr>
        <w:pStyle w:val="Normal203"/>
        <w:rPr>
          <w:rFonts w:asciiTheme="minorHAnsi" w:hAnsiTheme="minorHAnsi"/>
          <w:b/>
          <w:bCs/>
          <w:color w:val="auto"/>
          <w:sz w:val="22"/>
          <w:szCs w:val="22"/>
        </w:rPr>
        <w:sectPr w:rsidSect="007F2DE7">
          <w:headerReference w:type="default" r:id="rId32"/>
          <w:footerReference w:type="default" r:id="rId33"/>
          <w:pgSz w:w="15840" w:h="12240" w:orient="landscape" w:code="1"/>
          <w:pgMar w:top="1440" w:right="1440" w:bottom="1440" w:left="1440" w:header="720" w:footer="720" w:gutter="0"/>
          <w:cols w:space="720"/>
          <w:docGrid w:linePitch="360"/>
        </w:sectPr>
      </w:pPr>
    </w:p>
    <w:p w:rsidR="007F2DE7" w:rsidRPr="00FB6E71" w:rsidP="007F2DE7">
      <w:pPr>
        <w:pStyle w:val="Caption"/>
        <w:keepNext/>
        <w:keepLines/>
        <w:widowControl/>
        <w:spacing w:before="120" w:after="120"/>
        <w:jc w:val="center"/>
        <w:rPr>
          <w:rFonts w:asciiTheme="minorHAnsi" w:hAnsiTheme="minorHAnsi"/>
          <w:b/>
          <w:i w:val="0"/>
          <w:color w:val="auto"/>
        </w:rPr>
      </w:pPr>
      <w:r w:rsidRPr="00FB6E71">
        <w:rPr>
          <w:rFonts w:asciiTheme="minorHAnsi" w:hAnsiTheme="minorHAnsi"/>
          <w:b/>
          <w:i w:val="0"/>
          <w:color w:val="auto"/>
        </w:rPr>
        <w:t>Table 5.</w:t>
      </w:r>
      <w:r w:rsidRPr="00FB6E71">
        <w:rPr>
          <w:rFonts w:asciiTheme="minorHAnsi" w:hAnsiTheme="minorHAnsi"/>
          <w:b/>
          <w:i w:val="0"/>
          <w:color w:val="auto"/>
        </w:rPr>
        <w:fldChar w:fldCharType="begin"/>
      </w:r>
      <w:r w:rsidRPr="00FB6E71">
        <w:rPr>
          <w:rFonts w:asciiTheme="minorHAnsi" w:hAnsiTheme="minorHAnsi"/>
          <w:b/>
          <w:i w:val="0"/>
          <w:color w:val="auto"/>
        </w:rPr>
        <w:instrText xml:space="preserve"> SEQ Table_5. \* ARABIC </w:instrText>
      </w:r>
      <w:r w:rsidRPr="00FB6E71">
        <w:rPr>
          <w:rFonts w:asciiTheme="minorHAnsi" w:hAnsiTheme="minorHAnsi"/>
          <w:b/>
          <w:i w:val="0"/>
          <w:color w:val="auto"/>
        </w:rPr>
        <w:fldChar w:fldCharType="separate"/>
      </w:r>
      <w:r>
        <w:rPr>
          <w:rFonts w:asciiTheme="minorHAnsi" w:hAnsiTheme="minorHAnsi"/>
          <w:b/>
          <w:i w:val="0"/>
          <w:noProof/>
          <w:color w:val="auto"/>
        </w:rPr>
        <w:t>3</w:t>
      </w:r>
      <w:r w:rsidRPr="00FB6E71">
        <w:rPr>
          <w:rFonts w:asciiTheme="minorHAnsi" w:hAnsiTheme="minorHAnsi"/>
          <w:b/>
          <w:i w:val="0"/>
          <w:color w:val="auto"/>
        </w:rPr>
        <w:fldChar w:fldCharType="end"/>
      </w:r>
      <w:r w:rsidRPr="00FB6E71">
        <w:rPr>
          <w:rFonts w:asciiTheme="minorHAnsi" w:hAnsiTheme="minorHAnsi"/>
          <w:b/>
          <w:i w:val="0"/>
          <w:color w:val="auto"/>
        </w:rPr>
        <w:t>: List of Projects on Infrastructure, Economic Recovery</w:t>
      </w:r>
      <w:r>
        <w:rPr>
          <w:rFonts w:asciiTheme="minorHAnsi" w:hAnsiTheme="minorHAnsi"/>
          <w:b/>
          <w:i w:val="0"/>
          <w:color w:val="auto"/>
        </w:rPr>
        <w:t>,</w:t>
      </w:r>
      <w:r w:rsidRPr="00FB6E71">
        <w:rPr>
          <w:rFonts w:asciiTheme="minorHAnsi" w:hAnsiTheme="minorHAnsi"/>
          <w:b/>
          <w:i w:val="0"/>
          <w:color w:val="auto"/>
        </w:rPr>
        <w:t xml:space="preserve"> and Service Delivery</w:t>
      </w:r>
    </w:p>
    <w:tbl>
      <w:tblPr>
        <w:tblStyle w:val="TableGrid"/>
        <w:tblW w:w="5000" w:type="pct"/>
        <w:jc w:val="center"/>
        <w:tblLook w:val="04A0"/>
      </w:tblPr>
      <w:tblGrid>
        <w:gridCol w:w="1436"/>
        <w:gridCol w:w="2425"/>
        <w:gridCol w:w="1172"/>
        <w:gridCol w:w="1024"/>
        <w:gridCol w:w="1024"/>
        <w:gridCol w:w="1638"/>
        <w:gridCol w:w="1361"/>
        <w:gridCol w:w="1064"/>
        <w:gridCol w:w="921"/>
        <w:gridCol w:w="885"/>
      </w:tblGrid>
      <w:tr w:rsidTr="007F2DE7">
        <w:tblPrEx>
          <w:tblW w:w="5000" w:type="pct"/>
          <w:jc w:val="center"/>
          <w:tblLook w:val="04A0"/>
        </w:tblPrEx>
        <w:trPr>
          <w:cantSplit/>
          <w:tblHeader/>
          <w:jc w:val="center"/>
        </w:trPr>
        <w:tc>
          <w:tcPr>
            <w:tcW w:w="1436"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Sector</w:t>
            </w:r>
          </w:p>
        </w:tc>
        <w:tc>
          <w:tcPr>
            <w:tcW w:w="2425"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Project Description</w:t>
            </w:r>
          </w:p>
        </w:tc>
        <w:tc>
          <w:tcPr>
            <w:tcW w:w="1172"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Status</w:t>
            </w:r>
          </w:p>
        </w:tc>
        <w:tc>
          <w:tcPr>
            <w:tcW w:w="1024"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Start Date</w:t>
            </w:r>
          </w:p>
        </w:tc>
        <w:tc>
          <w:tcPr>
            <w:tcW w:w="1024"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End Date</w:t>
            </w:r>
          </w:p>
        </w:tc>
        <w:tc>
          <w:tcPr>
            <w:tcW w:w="1638"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Donor</w:t>
            </w:r>
          </w:p>
        </w:tc>
        <w:tc>
          <w:tcPr>
            <w:tcW w:w="1361"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Total Commitment</w:t>
            </w:r>
          </w:p>
        </w:tc>
        <w:tc>
          <w:tcPr>
            <w:tcW w:w="1064"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Adamawa</w:t>
            </w:r>
          </w:p>
        </w:tc>
        <w:tc>
          <w:tcPr>
            <w:tcW w:w="921"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Borno</w:t>
            </w:r>
          </w:p>
        </w:tc>
        <w:tc>
          <w:tcPr>
            <w:tcW w:w="885" w:type="dxa"/>
            <w:vAlign w:val="center"/>
          </w:tcPr>
          <w:p w:rsidR="007F2DE7" w:rsidRPr="00FB6E71" w:rsidP="007F2DE7">
            <w:pPr>
              <w:pStyle w:val="Normal203"/>
              <w:jc w:val="center"/>
              <w:rPr>
                <w:rFonts w:ascii="Calibri" w:hAnsi="Calibri"/>
                <w:b/>
                <w:bCs/>
                <w:color w:val="auto"/>
                <w:sz w:val="18"/>
                <w:szCs w:val="18"/>
              </w:rPr>
            </w:pPr>
            <w:r w:rsidRPr="00FB6E71">
              <w:rPr>
                <w:rFonts w:ascii="Calibri" w:hAnsi="Calibri"/>
                <w:b/>
                <w:bCs/>
                <w:color w:val="auto"/>
                <w:sz w:val="18"/>
                <w:szCs w:val="18"/>
              </w:rPr>
              <w:t>Yobe</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Agriculture</w:t>
            </w:r>
          </w:p>
        </w:tc>
        <w:tc>
          <w:tcPr>
            <w:tcW w:w="2425"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FADAMA III</w:t>
            </w:r>
          </w:p>
        </w:tc>
        <w:tc>
          <w:tcPr>
            <w:tcW w:w="1172"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2009</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US$450 million in 3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Agriculture</w:t>
            </w:r>
          </w:p>
        </w:tc>
        <w:tc>
          <w:tcPr>
            <w:tcW w:w="2425"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Famine Early Warning Systems Network (FEWSNET)</w:t>
            </w:r>
          </w:p>
        </w:tc>
        <w:tc>
          <w:tcPr>
            <w:tcW w:w="1172"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Sep</w:t>
            </w:r>
            <w:r>
              <w:rPr>
                <w:rFonts w:ascii="Calibri" w:hAnsi="Calibri"/>
                <w:color w:val="auto"/>
                <w:sz w:val="18"/>
                <w:szCs w:val="18"/>
              </w:rPr>
              <w:t>tember</w:t>
            </w:r>
            <w:r w:rsidRPr="00FB6E71">
              <w:rPr>
                <w:rFonts w:ascii="Calibri" w:hAnsi="Calibri"/>
                <w:color w:val="auto"/>
                <w:sz w:val="18"/>
                <w:szCs w:val="18"/>
              </w:rPr>
              <w:t xml:space="preserve"> 2005</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Dec</w:t>
            </w:r>
            <w:r>
              <w:rPr>
                <w:rFonts w:ascii="Calibri" w:hAnsi="Calibri"/>
                <w:color w:val="auto"/>
                <w:sz w:val="18"/>
                <w:szCs w:val="18"/>
              </w:rPr>
              <w:t>ember</w:t>
            </w:r>
            <w:r w:rsidRPr="00FB6E71">
              <w:rPr>
                <w:rFonts w:ascii="Calibri" w:hAnsi="Calibri"/>
                <w:color w:val="auto"/>
                <w:sz w:val="18"/>
                <w:szCs w:val="18"/>
              </w:rPr>
              <w:t xml:space="preserve"> 2017</w:t>
            </w:r>
          </w:p>
        </w:tc>
        <w:tc>
          <w:tcPr>
            <w:tcW w:w="1638"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USAID</w:t>
            </w:r>
          </w:p>
        </w:tc>
        <w:tc>
          <w:tcPr>
            <w:tcW w:w="1361"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US$1.6 million</w:t>
            </w:r>
          </w:p>
        </w:tc>
        <w:tc>
          <w:tcPr>
            <w:tcW w:w="1064" w:type="dxa"/>
          </w:tcPr>
          <w:p w:rsidR="007F2DE7" w:rsidRPr="00FB6E71" w:rsidP="007F2DE7">
            <w:pPr>
              <w:pStyle w:val="Normal203"/>
              <w:jc w:val="center"/>
              <w:rPr>
                <w:rFonts w:ascii="Calibri" w:hAnsi="Calibri"/>
                <w:bCs/>
                <w:color w:val="auto"/>
                <w:sz w:val="18"/>
                <w:szCs w:val="18"/>
              </w:rPr>
            </w:pPr>
            <w:r>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Agriculture</w:t>
            </w:r>
          </w:p>
        </w:tc>
        <w:tc>
          <w:tcPr>
            <w:tcW w:w="2425"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Input Supply to Vulnerable Internally Displaced Population in Emergency States in North Eastern Nigeria</w:t>
            </w:r>
          </w:p>
        </w:tc>
        <w:tc>
          <w:tcPr>
            <w:tcW w:w="1172"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2014</w:t>
            </w:r>
          </w:p>
        </w:tc>
        <w:tc>
          <w:tcPr>
            <w:tcW w:w="1024" w:type="dxa"/>
          </w:tcPr>
          <w:p w:rsidR="007F2DE7" w:rsidRPr="00FB6E71" w:rsidP="007F2DE7">
            <w:pPr>
              <w:pStyle w:val="Normal203"/>
              <w:jc w:val="center"/>
              <w:rPr>
                <w:rFonts w:ascii="Calibri" w:hAnsi="Calibri"/>
                <w:bCs/>
                <w:color w:val="auto"/>
                <w:sz w:val="18"/>
                <w:szCs w:val="18"/>
              </w:rPr>
            </w:pPr>
          </w:p>
        </w:tc>
        <w:tc>
          <w:tcPr>
            <w:tcW w:w="1638"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Food and Agriculture Organization</w:t>
            </w:r>
          </w:p>
        </w:tc>
        <w:tc>
          <w:tcPr>
            <w:tcW w:w="1361" w:type="dxa"/>
          </w:tcPr>
          <w:p w:rsidR="007F2DE7" w:rsidRPr="00FB6E71" w:rsidP="007F2DE7">
            <w:pPr>
              <w:pStyle w:val="Normal203"/>
              <w:rPr>
                <w:rFonts w:ascii="Calibri" w:hAnsi="Calibri"/>
                <w:bCs/>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p>
        </w:tc>
        <w:tc>
          <w:tcPr>
            <w:tcW w:w="921" w:type="dxa"/>
          </w:tcPr>
          <w:p w:rsidR="007F2DE7" w:rsidRPr="00FB6E71" w:rsidP="007F2DE7">
            <w:pPr>
              <w:pStyle w:val="Normal203"/>
              <w:jc w:val="center"/>
              <w:rPr>
                <w:rFonts w:ascii="Calibri" w:hAnsi="Calibri"/>
                <w:bCs/>
                <w:color w:val="auto"/>
                <w:sz w:val="18"/>
                <w:szCs w:val="18"/>
              </w:rPr>
            </w:pPr>
          </w:p>
        </w:tc>
        <w:tc>
          <w:tcPr>
            <w:tcW w:w="885" w:type="dxa"/>
          </w:tcPr>
          <w:p w:rsidR="007F2DE7" w:rsidRPr="00FB6E71" w:rsidP="007F2DE7">
            <w:pPr>
              <w:pStyle w:val="Normal203"/>
              <w:jc w:val="center"/>
              <w:rPr>
                <w:rFonts w:ascii="Calibri" w:hAnsi="Calibri"/>
                <w:bCs/>
                <w:color w:val="auto"/>
                <w:sz w:val="18"/>
                <w:szCs w:val="18"/>
              </w:rPr>
            </w:pP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Agriculture</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PROPCOM Maikarfi</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2012</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D</w:t>
            </w:r>
            <w:r>
              <w:rPr>
                <w:rFonts w:ascii="Calibri" w:hAnsi="Calibri"/>
                <w:color w:val="auto"/>
                <w:sz w:val="18"/>
                <w:szCs w:val="18"/>
              </w:rPr>
              <w:t>F</w:t>
            </w:r>
            <w:r w:rsidRPr="00FB6E71">
              <w:rPr>
                <w:rFonts w:ascii="Calibri" w:hAnsi="Calibri"/>
                <w:color w:val="auto"/>
                <w:sz w:val="18"/>
                <w:szCs w:val="18"/>
              </w:rPr>
              <w:t>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£26 million for 21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Agriculture</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Transforming Irrigation Management in Nigeria (TRIMING)</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2022</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US$495 million</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Agriculture</w:t>
            </w:r>
          </w:p>
        </w:tc>
        <w:tc>
          <w:tcPr>
            <w:tcW w:w="2425"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UTF Development of National Irrigation Policy and Strategy for Nigeria</w:t>
            </w:r>
          </w:p>
        </w:tc>
        <w:tc>
          <w:tcPr>
            <w:tcW w:w="1172"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2014</w:t>
            </w:r>
          </w:p>
        </w:tc>
        <w:tc>
          <w:tcPr>
            <w:tcW w:w="1024" w:type="dxa"/>
          </w:tcPr>
          <w:p w:rsidR="007F2DE7" w:rsidRPr="00FB6E71" w:rsidP="007F2DE7">
            <w:pPr>
              <w:pStyle w:val="Normal203"/>
              <w:jc w:val="center"/>
              <w:rPr>
                <w:rFonts w:ascii="Calibri" w:hAnsi="Calibri"/>
                <w:bCs/>
                <w:color w:val="auto"/>
                <w:sz w:val="18"/>
                <w:szCs w:val="18"/>
              </w:rPr>
            </w:pPr>
            <w:r>
              <w:rPr>
                <w:rFonts w:ascii="Calibri" w:hAnsi="Calibri"/>
                <w:bCs/>
                <w:color w:val="auto"/>
                <w:sz w:val="18"/>
                <w:szCs w:val="18"/>
              </w:rPr>
              <w:t xml:space="preserve"> </w:t>
            </w:r>
          </w:p>
        </w:tc>
        <w:tc>
          <w:tcPr>
            <w:tcW w:w="1638"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Food and Agriculture Organization</w:t>
            </w:r>
          </w:p>
        </w:tc>
        <w:tc>
          <w:tcPr>
            <w:tcW w:w="1361" w:type="dxa"/>
          </w:tcPr>
          <w:p w:rsidR="007F2DE7" w:rsidRPr="00FB6E71" w:rsidP="007F2DE7">
            <w:pPr>
              <w:pStyle w:val="Normal203"/>
              <w:rPr>
                <w:rFonts w:ascii="Calibri" w:hAnsi="Calibri"/>
                <w:bCs/>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p>
        </w:tc>
        <w:tc>
          <w:tcPr>
            <w:tcW w:w="921" w:type="dxa"/>
          </w:tcPr>
          <w:p w:rsidR="007F2DE7" w:rsidRPr="00FB6E71" w:rsidP="007F2DE7">
            <w:pPr>
              <w:pStyle w:val="Normal203"/>
              <w:jc w:val="center"/>
              <w:rPr>
                <w:rFonts w:ascii="Calibri" w:hAnsi="Calibri"/>
                <w:bCs/>
                <w:color w:val="auto"/>
                <w:sz w:val="18"/>
                <w:szCs w:val="18"/>
              </w:rPr>
            </w:pPr>
          </w:p>
        </w:tc>
        <w:tc>
          <w:tcPr>
            <w:tcW w:w="885" w:type="dxa"/>
          </w:tcPr>
          <w:p w:rsidR="007F2DE7" w:rsidRPr="00FB6E71" w:rsidP="007F2DE7">
            <w:pPr>
              <w:pStyle w:val="Normal203"/>
              <w:jc w:val="center"/>
              <w:rPr>
                <w:rFonts w:ascii="Calibri" w:hAnsi="Calibri"/>
                <w:bCs/>
                <w:color w:val="auto"/>
                <w:sz w:val="18"/>
                <w:szCs w:val="18"/>
              </w:rPr>
            </w:pP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Agriculture</w:t>
            </w:r>
          </w:p>
        </w:tc>
        <w:tc>
          <w:tcPr>
            <w:tcW w:w="2425"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West African Agricultural Productivity Project (WAAPP)</w:t>
            </w:r>
          </w:p>
        </w:tc>
        <w:tc>
          <w:tcPr>
            <w:tcW w:w="1172"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2010</w:t>
            </w:r>
          </w:p>
        </w:tc>
        <w:tc>
          <w:tcPr>
            <w:tcW w:w="1024" w:type="dxa"/>
          </w:tcPr>
          <w:p w:rsidR="007F2DE7" w:rsidRPr="00FB6E71" w:rsidP="007F2DE7">
            <w:pPr>
              <w:pStyle w:val="Normal203"/>
              <w:jc w:val="center"/>
              <w:rPr>
                <w:rFonts w:ascii="Calibri" w:hAnsi="Calibri"/>
                <w:bCs/>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bCs/>
                <w:color w:val="auto"/>
                <w:sz w:val="18"/>
                <w:szCs w:val="18"/>
              </w:rPr>
            </w:pPr>
            <w:r w:rsidRPr="00FB6E71">
              <w:rPr>
                <w:rFonts w:ascii="Calibri" w:hAnsi="Calibri"/>
                <w:color w:val="auto"/>
                <w:sz w:val="18"/>
                <w:szCs w:val="18"/>
              </w:rPr>
              <w:t>US$45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Education</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Education Crisis Response</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Oct</w:t>
            </w:r>
            <w:r>
              <w:rPr>
                <w:rFonts w:ascii="Calibri" w:hAnsi="Calibri"/>
                <w:color w:val="auto"/>
                <w:sz w:val="18"/>
                <w:szCs w:val="18"/>
              </w:rPr>
              <w:t>ober</w:t>
            </w:r>
            <w:r w:rsidRPr="00FB6E71">
              <w:rPr>
                <w:rFonts w:ascii="Calibri" w:hAnsi="Calibri"/>
                <w:color w:val="auto"/>
                <w:sz w:val="18"/>
                <w:szCs w:val="18"/>
              </w:rPr>
              <w:t xml:space="preserve"> 2014</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Oct</w:t>
            </w:r>
            <w:r>
              <w:rPr>
                <w:rFonts w:ascii="Calibri" w:hAnsi="Calibri"/>
                <w:color w:val="auto"/>
                <w:sz w:val="18"/>
                <w:szCs w:val="18"/>
              </w:rPr>
              <w:t>ober</w:t>
            </w:r>
            <w:r w:rsidRPr="00FB6E71">
              <w:rPr>
                <w:rFonts w:ascii="Calibri" w:hAnsi="Calibri"/>
                <w:color w:val="auto"/>
                <w:sz w:val="18"/>
                <w:szCs w:val="18"/>
              </w:rPr>
              <w:t xml:space="preserve"> 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USAID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US$15 million in 5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Education</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Nigeria Global Partnership for Education Fund Grant (GPE)</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2019</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US$100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Education</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Supporting the Safe Schools Initiative</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2014</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Multi-donor trust fund with input from GIZ, USAID, DFID, </w:t>
            </w:r>
            <w:r>
              <w:rPr>
                <w:rFonts w:ascii="Calibri" w:hAnsi="Calibri"/>
                <w:color w:val="auto"/>
                <w:sz w:val="18"/>
                <w:szCs w:val="18"/>
              </w:rPr>
              <w:t xml:space="preserve">and </w:t>
            </w: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p>
        </w:tc>
        <w:tc>
          <w:tcPr>
            <w:tcW w:w="1064" w:type="dxa"/>
          </w:tcPr>
          <w:p w:rsidR="007F2DE7" w:rsidRPr="00FB6E71" w:rsidP="007F2DE7">
            <w:pPr>
              <w:pStyle w:val="Normal203"/>
              <w:jc w:val="center"/>
              <w:rPr>
                <w:rFonts w:ascii="Calibri" w:hAnsi="Calibri"/>
                <w:bCs/>
                <w:color w:val="auto"/>
                <w:sz w:val="18"/>
                <w:szCs w:val="18"/>
              </w:rPr>
            </w:pPr>
          </w:p>
        </w:tc>
        <w:tc>
          <w:tcPr>
            <w:tcW w:w="921" w:type="dxa"/>
          </w:tcPr>
          <w:p w:rsidR="007F2DE7" w:rsidRPr="00FB6E71" w:rsidP="007F2DE7">
            <w:pPr>
              <w:pStyle w:val="Normal203"/>
              <w:jc w:val="center"/>
              <w:rPr>
                <w:rFonts w:ascii="Calibri" w:hAnsi="Calibri"/>
                <w:bCs/>
                <w:color w:val="auto"/>
                <w:sz w:val="18"/>
                <w:szCs w:val="18"/>
              </w:rPr>
            </w:pPr>
          </w:p>
        </w:tc>
        <w:tc>
          <w:tcPr>
            <w:tcW w:w="885" w:type="dxa"/>
          </w:tcPr>
          <w:p w:rsidR="007F2DE7" w:rsidRPr="00FB6E71" w:rsidP="007F2DE7">
            <w:pPr>
              <w:pStyle w:val="Normal203"/>
              <w:jc w:val="center"/>
              <w:rPr>
                <w:rFonts w:ascii="Calibri" w:hAnsi="Calibri"/>
                <w:color w:val="auto"/>
                <w:sz w:val="18"/>
                <w:szCs w:val="18"/>
              </w:rPr>
            </w:pP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Education</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Technology Enhanced Learning for All (TELA)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USAID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US$0.8 million</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Education</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Conflict-affected Pre-school children have access to quality early stimulation and early learning opportunities </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US$0.5 million</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Energy </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Energy ( Clean Technology) Fund</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US$16 million in 6 states</w:t>
            </w:r>
          </w:p>
        </w:tc>
        <w:tc>
          <w:tcPr>
            <w:tcW w:w="1064" w:type="dxa"/>
          </w:tcPr>
          <w:p w:rsidR="007F2DE7" w:rsidRPr="00FB6E71" w:rsidP="007F2DE7">
            <w:pPr>
              <w:pStyle w:val="Normal203"/>
              <w:jc w:val="center"/>
              <w:rPr>
                <w:rFonts w:ascii="Calibri" w:hAnsi="Calibri"/>
                <w:bCs/>
                <w:color w:val="auto"/>
                <w:sz w:val="18"/>
                <w:szCs w:val="18"/>
              </w:rPr>
            </w:pPr>
          </w:p>
        </w:tc>
        <w:tc>
          <w:tcPr>
            <w:tcW w:w="921" w:type="dxa"/>
          </w:tcPr>
          <w:p w:rsidR="007F2DE7" w:rsidRPr="00FB6E71" w:rsidP="007F2DE7">
            <w:pPr>
              <w:pStyle w:val="Normal203"/>
              <w:jc w:val="center"/>
              <w:rPr>
                <w:rFonts w:ascii="Calibri" w:hAnsi="Calibri"/>
                <w:bCs/>
                <w:color w:val="auto"/>
                <w:sz w:val="18"/>
                <w:szCs w:val="18"/>
              </w:rPr>
            </w:pPr>
          </w:p>
        </w:tc>
        <w:tc>
          <w:tcPr>
            <w:tcW w:w="885" w:type="dxa"/>
          </w:tcPr>
          <w:p w:rsidR="007F2DE7" w:rsidRPr="00FB6E71" w:rsidP="007F2DE7">
            <w:pPr>
              <w:pStyle w:val="Normal203"/>
              <w:jc w:val="center"/>
              <w:rPr>
                <w:rFonts w:ascii="Calibri" w:hAnsi="Calibri"/>
                <w:color w:val="auto"/>
                <w:sz w:val="18"/>
                <w:szCs w:val="18"/>
              </w:rPr>
            </w:pP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Energy </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Nigeria Electricity and Gas Improvement Project (NEGIP)</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2010</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US$300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Environment</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Climate Change Adaptation and Agribusiness Support Programme</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International Fund for Agricultural Development</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p>
        </w:tc>
        <w:tc>
          <w:tcPr>
            <w:tcW w:w="921" w:type="dxa"/>
          </w:tcPr>
          <w:p w:rsidR="007F2DE7" w:rsidRPr="00FB6E71" w:rsidP="007F2DE7">
            <w:pPr>
              <w:pStyle w:val="Normal203"/>
              <w:jc w:val="center"/>
              <w:rPr>
                <w:rFonts w:ascii="Calibri" w:hAnsi="Calibri"/>
                <w:bCs/>
                <w:color w:val="auto"/>
                <w:sz w:val="18"/>
                <w:szCs w:val="18"/>
              </w:rPr>
            </w:pPr>
          </w:p>
        </w:tc>
        <w:tc>
          <w:tcPr>
            <w:tcW w:w="885" w:type="dxa"/>
          </w:tcPr>
          <w:p w:rsidR="007F2DE7" w:rsidRPr="00FB6E71" w:rsidP="007F2DE7">
            <w:pPr>
              <w:pStyle w:val="Normal203"/>
              <w:jc w:val="center"/>
              <w:rPr>
                <w:rFonts w:ascii="Calibri" w:hAnsi="Calibri"/>
                <w:color w:val="auto"/>
                <w:sz w:val="18"/>
                <w:szCs w:val="18"/>
              </w:rPr>
            </w:pP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Environment</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Multi-national programme to rehabilitate and strengthen the resilience of lake chad basin systems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July 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Jul</w:t>
            </w:r>
            <w:r>
              <w:rPr>
                <w:rFonts w:ascii="Calibri" w:hAnsi="Calibri"/>
                <w:color w:val="auto"/>
                <w:sz w:val="18"/>
                <w:szCs w:val="18"/>
              </w:rPr>
              <w:t>y</w:t>
            </w:r>
            <w:r w:rsidRPr="00FB6E71">
              <w:rPr>
                <w:rFonts w:ascii="Calibri" w:hAnsi="Calibri"/>
                <w:color w:val="auto"/>
                <w:sz w:val="18"/>
                <w:szCs w:val="18"/>
              </w:rPr>
              <w:t xml:space="preserve"> 2019</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AfDB</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US$31.34 million, including other neighboring countries</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Environment</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Nigeria Erosion and Watershed Management Project (NEWMAP)</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2020</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US$500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Environment</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PolyChlorinated Biphenyls Management Project</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2012</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US$6.3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Community Management of Severe Malnutrition in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US$2,100,436 across 2 programs</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Strengthening Integrated Delivery of HIV/AIDS Services (SIDHAS)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Sept</w:t>
            </w:r>
            <w:r>
              <w:rPr>
                <w:rFonts w:ascii="Calibri" w:hAnsi="Calibri"/>
                <w:color w:val="auto"/>
                <w:sz w:val="18"/>
                <w:szCs w:val="18"/>
              </w:rPr>
              <w:t>ember</w:t>
            </w:r>
            <w:r w:rsidRPr="00FB6E71">
              <w:rPr>
                <w:rFonts w:ascii="Calibri" w:hAnsi="Calibri"/>
                <w:color w:val="auto"/>
                <w:sz w:val="18"/>
                <w:szCs w:val="18"/>
              </w:rPr>
              <w:t xml:space="preserve"> 2011</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Sept</w:t>
            </w:r>
            <w:r>
              <w:rPr>
                <w:rFonts w:ascii="Calibri" w:hAnsi="Calibri"/>
                <w:color w:val="auto"/>
                <w:sz w:val="18"/>
                <w:szCs w:val="18"/>
              </w:rPr>
              <w:t>ember</w:t>
            </w:r>
            <w:r w:rsidRPr="00FB6E71">
              <w:rPr>
                <w:rFonts w:ascii="Calibri" w:hAnsi="Calibri"/>
                <w:color w:val="auto"/>
                <w:sz w:val="18"/>
                <w:szCs w:val="18"/>
              </w:rPr>
              <w:t xml:space="preserve"> 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USAID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US$448 including other states</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Strengthening Sexual and Reproductive Health Services to Conflict Affected Communities in NE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Mar</w:t>
            </w:r>
            <w:r>
              <w:rPr>
                <w:rFonts w:ascii="Calibri" w:hAnsi="Calibri"/>
                <w:color w:val="auto"/>
                <w:sz w:val="18"/>
                <w:szCs w:val="18"/>
              </w:rPr>
              <w:t>ch</w:t>
            </w:r>
            <w:r w:rsidRPr="00FB6E71">
              <w:rPr>
                <w:rFonts w:ascii="Calibri" w:hAnsi="Calibri"/>
                <w:color w:val="auto"/>
                <w:sz w:val="18"/>
                <w:szCs w:val="18"/>
              </w:rPr>
              <w:t xml:space="preserve"> 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Japan</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US$2.3 million in 3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EU support to immuni</w:t>
            </w:r>
            <w:r>
              <w:rPr>
                <w:rFonts w:ascii="Calibri" w:hAnsi="Calibri"/>
                <w:color w:val="auto"/>
                <w:sz w:val="18"/>
                <w:szCs w:val="18"/>
              </w:rPr>
              <w:t>z</w:t>
            </w:r>
            <w:r w:rsidRPr="00FB6E71">
              <w:rPr>
                <w:rFonts w:ascii="Calibri" w:hAnsi="Calibri"/>
                <w:color w:val="auto"/>
                <w:sz w:val="18"/>
                <w:szCs w:val="18"/>
              </w:rPr>
              <w:t>ation governance in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2011</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EU</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€10 million across 4 states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Reinforcing the Resilience and Psychosocial Wellbeing of Children, Adolescents and Families Affected by the Violence in Borno State,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Completed</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July 2014</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Dec</w:t>
            </w:r>
            <w:r>
              <w:rPr>
                <w:rFonts w:ascii="Calibri" w:hAnsi="Calibri"/>
                <w:color w:val="auto"/>
                <w:sz w:val="18"/>
                <w:szCs w:val="18"/>
              </w:rPr>
              <w:t>ember</w:t>
            </w:r>
            <w:r w:rsidRPr="00FB6E71">
              <w:rPr>
                <w:rFonts w:ascii="Calibri" w:hAnsi="Calibri"/>
                <w:color w:val="auto"/>
                <w:sz w:val="18"/>
                <w:szCs w:val="18"/>
              </w:rPr>
              <w:t xml:space="preserve"> 2014</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Japan</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US$0.3 million </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Strengthening community-based psychosocial support and protection services for children and adolescents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EU</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€15 million </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Integrated Provision of Life-Saving Emergency Interventions for Vulnerable Populations in the NE of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Completed</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Feb</w:t>
            </w:r>
            <w:r>
              <w:rPr>
                <w:rFonts w:ascii="Calibri" w:hAnsi="Calibri"/>
                <w:color w:val="auto"/>
                <w:sz w:val="18"/>
                <w:szCs w:val="18"/>
              </w:rPr>
              <w:t>ruary</w:t>
            </w:r>
            <w:r w:rsidRPr="00FB6E71">
              <w:rPr>
                <w:rFonts w:ascii="Calibri" w:hAnsi="Calibri"/>
                <w:color w:val="auto"/>
                <w:sz w:val="18"/>
                <w:szCs w:val="18"/>
              </w:rPr>
              <w:t xml:space="preserve"> 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Dec</w:t>
            </w:r>
            <w:r>
              <w:rPr>
                <w:rFonts w:ascii="Calibri" w:hAnsi="Calibri"/>
                <w:color w:val="auto"/>
                <w:sz w:val="18"/>
                <w:szCs w:val="18"/>
              </w:rPr>
              <w:t>ember</w:t>
            </w:r>
            <w:r w:rsidRPr="00FB6E71">
              <w:rPr>
                <w:rFonts w:ascii="Calibri" w:hAnsi="Calibri"/>
                <w:color w:val="auto"/>
                <w:sz w:val="18"/>
                <w:szCs w:val="18"/>
              </w:rPr>
              <w:t xml:space="preserve"> 2015</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Japan</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US$3.4 million in 3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Increased Capacity for Sexual and Reproductive Health Services in Humanitarian Setting</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2014</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 Population Fund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US$10 million in 4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Enhancing RI Delivery Platforms in Developing Countries and Developing New Metrics of Performance Management</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Bill &amp; Melinda Gates Foundation</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Accelerating the Reduction of Maternal and Newborn Mortality</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Completed</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Mar</w:t>
            </w:r>
            <w:r>
              <w:rPr>
                <w:rFonts w:ascii="Calibri" w:hAnsi="Calibri"/>
                <w:color w:val="auto"/>
                <w:sz w:val="18"/>
                <w:szCs w:val="18"/>
              </w:rPr>
              <w:t>ch</w:t>
            </w:r>
            <w:r w:rsidRPr="00FB6E71">
              <w:rPr>
                <w:rFonts w:ascii="Calibri" w:hAnsi="Calibri"/>
                <w:color w:val="auto"/>
                <w:sz w:val="18"/>
                <w:szCs w:val="18"/>
              </w:rPr>
              <w:t xml:space="preserve"> 2011</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Mar</w:t>
            </w:r>
            <w:r>
              <w:rPr>
                <w:rFonts w:ascii="Calibri" w:hAnsi="Calibri"/>
                <w:color w:val="auto"/>
                <w:sz w:val="18"/>
                <w:szCs w:val="18"/>
              </w:rPr>
              <w:t>ch</w:t>
            </w:r>
            <w:r w:rsidRPr="00FB6E71">
              <w:rPr>
                <w:rFonts w:ascii="Calibri" w:hAnsi="Calibri"/>
                <w:color w:val="auto"/>
                <w:sz w:val="18"/>
                <w:szCs w:val="18"/>
              </w:rPr>
              <w:t xml:space="preserve"> 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Global Affairs, Canada</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Access to Family Planning Commodities </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Sept</w:t>
            </w:r>
            <w:r>
              <w:rPr>
                <w:rFonts w:ascii="Calibri" w:hAnsi="Calibri"/>
                <w:color w:val="auto"/>
                <w:sz w:val="18"/>
                <w:szCs w:val="18"/>
              </w:rPr>
              <w:t>ember</w:t>
            </w:r>
            <w:r w:rsidRPr="00FB6E71">
              <w:rPr>
                <w:rFonts w:ascii="Calibri" w:hAnsi="Calibri"/>
                <w:color w:val="auto"/>
                <w:sz w:val="18"/>
                <w:szCs w:val="18"/>
              </w:rPr>
              <w:t xml:space="preserve"> 2011</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June 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D</w:t>
            </w:r>
            <w:r>
              <w:rPr>
                <w:rFonts w:ascii="Calibri" w:hAnsi="Calibri"/>
                <w:color w:val="auto"/>
                <w:sz w:val="18"/>
                <w:szCs w:val="18"/>
              </w:rPr>
              <w:t>F</w:t>
            </w:r>
            <w:r w:rsidRPr="00FB6E71">
              <w:rPr>
                <w:rFonts w:ascii="Calibri" w:hAnsi="Calibri"/>
                <w:color w:val="auto"/>
                <w:sz w:val="18"/>
                <w:szCs w:val="18"/>
              </w:rPr>
              <w:t>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£18 million nationally</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Better Nutrition for Better Lives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Mar</w:t>
            </w:r>
            <w:r>
              <w:rPr>
                <w:rFonts w:ascii="Calibri" w:hAnsi="Calibri"/>
                <w:color w:val="auto"/>
                <w:sz w:val="18"/>
                <w:szCs w:val="18"/>
              </w:rPr>
              <w:t>ch</w:t>
            </w:r>
            <w:r w:rsidRPr="00FB6E71">
              <w:rPr>
                <w:rFonts w:ascii="Calibri" w:hAnsi="Calibri"/>
                <w:color w:val="auto"/>
                <w:sz w:val="18"/>
                <w:szCs w:val="18"/>
              </w:rPr>
              <w:t xml:space="preserve"> 2014</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Mar</w:t>
            </w:r>
            <w:r>
              <w:rPr>
                <w:rFonts w:ascii="Calibri" w:hAnsi="Calibri"/>
                <w:color w:val="auto"/>
                <w:sz w:val="18"/>
                <w:szCs w:val="18"/>
              </w:rPr>
              <w:t>ch</w:t>
            </w:r>
            <w:r w:rsidRPr="00FB6E71">
              <w:rPr>
                <w:rFonts w:ascii="Calibri" w:hAnsi="Calibri"/>
                <w:color w:val="auto"/>
                <w:sz w:val="18"/>
                <w:szCs w:val="18"/>
              </w:rPr>
              <w:t xml:space="preserve"> 2019</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Global Affairs, Canada</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US$5.6 million</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Community Management of Severe Malnutrition in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US$3 million across two programs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Enhancing Nigeria's Response to HIV/AID</w:t>
            </w:r>
            <w:r>
              <w:rPr>
                <w:rFonts w:ascii="Calibri" w:hAnsi="Calibri"/>
                <w:color w:val="auto"/>
                <w:sz w:val="18"/>
                <w:szCs w:val="18"/>
              </w:rPr>
              <w:t>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Nov</w:t>
            </w:r>
            <w:r>
              <w:rPr>
                <w:rFonts w:ascii="Calibri" w:hAnsi="Calibri"/>
                <w:color w:val="auto"/>
                <w:sz w:val="18"/>
                <w:szCs w:val="18"/>
              </w:rPr>
              <w:t>ember</w:t>
            </w:r>
            <w:r w:rsidRPr="00FB6E71">
              <w:rPr>
                <w:rFonts w:ascii="Calibri" w:hAnsi="Calibri"/>
                <w:color w:val="auto"/>
                <w:sz w:val="18"/>
                <w:szCs w:val="18"/>
              </w:rPr>
              <w:t xml:space="preserve"> 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Dec</w:t>
            </w:r>
            <w:r>
              <w:rPr>
                <w:rFonts w:ascii="Calibri" w:hAnsi="Calibri"/>
                <w:color w:val="auto"/>
                <w:sz w:val="18"/>
                <w:szCs w:val="18"/>
              </w:rPr>
              <w:t>ember</w:t>
            </w:r>
            <w:r w:rsidRPr="00FB6E71">
              <w:rPr>
                <w:rFonts w:ascii="Calibri" w:hAnsi="Calibri"/>
                <w:color w:val="auto"/>
                <w:sz w:val="18"/>
                <w:szCs w:val="18"/>
              </w:rPr>
              <w:t xml:space="preserve"> 2021</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D</w:t>
            </w:r>
            <w:r>
              <w:rPr>
                <w:rFonts w:ascii="Calibri" w:hAnsi="Calibri"/>
                <w:color w:val="auto"/>
                <w:sz w:val="18"/>
                <w:szCs w:val="18"/>
              </w:rPr>
              <w:t>F</w:t>
            </w:r>
            <w:r w:rsidRPr="00FB6E71">
              <w:rPr>
                <w:rFonts w:ascii="Calibri" w:hAnsi="Calibri"/>
                <w:color w:val="auto"/>
                <w:sz w:val="18"/>
                <w:szCs w:val="18"/>
              </w:rPr>
              <w:t>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£110 million nationally</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Hard to Reach Project</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Bill &amp; Melinda Gates Foundation</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 PILs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US$150 million</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Increased Capacity for Quality Family Planning Services (7th Country Program)</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2014</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 Population Fund</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Integrated high Impact and evidence-based nutrition intervention</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2012</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US$2.5 million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Integrated PHC Service Delivery</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US$6 million</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IPV Country Induction and tOPV-bOPV Switch Support</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Bill &amp; Melinda Gates Foundation</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Maternal Newborn Child Health 2</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August </w:t>
            </w: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December </w:t>
            </w:r>
            <w:r w:rsidRPr="00FB6E71">
              <w:rPr>
                <w:rFonts w:ascii="Calibri" w:hAnsi="Calibri"/>
                <w:color w:val="auto"/>
                <w:sz w:val="18"/>
                <w:szCs w:val="18"/>
              </w:rPr>
              <w:t>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D</w:t>
            </w:r>
            <w:r>
              <w:rPr>
                <w:rFonts w:ascii="Calibri" w:hAnsi="Calibri"/>
                <w:color w:val="auto"/>
                <w:sz w:val="18"/>
                <w:szCs w:val="18"/>
              </w:rPr>
              <w:t>F</w:t>
            </w:r>
            <w:r w:rsidRPr="00FB6E71">
              <w:rPr>
                <w:rFonts w:ascii="Calibri" w:hAnsi="Calibri"/>
                <w:color w:val="auto"/>
                <w:sz w:val="18"/>
                <w:szCs w:val="18"/>
              </w:rPr>
              <w:t>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£101 million for 5 states</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Overhaul of Immunization Data System and Integration at NPHCDA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Bill &amp; Melinda Gates Foundation</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Polio Eradication Support </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Polio Eradication (Social Mobilization)</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Bill &amp; Melinda Gates Foundation</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Saving One Million Lives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US$500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Scaling up CMAM Services in Borno</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Bill &amp; Melinda Gates Foundation</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Scaling up Nutrition</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Jan</w:t>
            </w:r>
            <w:r>
              <w:rPr>
                <w:rFonts w:ascii="Calibri" w:hAnsi="Calibri"/>
                <w:color w:val="auto"/>
                <w:sz w:val="18"/>
                <w:szCs w:val="18"/>
              </w:rPr>
              <w:t>uary</w:t>
            </w:r>
            <w:r w:rsidRPr="00FB6E71">
              <w:rPr>
                <w:rFonts w:ascii="Calibri" w:hAnsi="Calibri"/>
                <w:color w:val="auto"/>
                <w:sz w:val="18"/>
                <w:szCs w:val="18"/>
              </w:rPr>
              <w:t xml:space="preserve"> 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May 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Global Affairs, Canada</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Strengthening Integrated Delivery of HIV/AIDS Services (SIDHAS)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Sept</w:t>
            </w:r>
            <w:r>
              <w:rPr>
                <w:rFonts w:ascii="Calibri" w:hAnsi="Calibri"/>
                <w:color w:val="auto"/>
                <w:sz w:val="18"/>
                <w:szCs w:val="18"/>
              </w:rPr>
              <w:t>ember</w:t>
            </w:r>
            <w:r w:rsidRPr="00FB6E71">
              <w:rPr>
                <w:rFonts w:ascii="Calibri" w:hAnsi="Calibri"/>
                <w:color w:val="auto"/>
                <w:sz w:val="18"/>
                <w:szCs w:val="18"/>
              </w:rPr>
              <w:t xml:space="preserve"> 2011</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Sept</w:t>
            </w:r>
            <w:r>
              <w:rPr>
                <w:rFonts w:ascii="Calibri" w:hAnsi="Calibri"/>
                <w:color w:val="auto"/>
                <w:sz w:val="18"/>
                <w:szCs w:val="18"/>
              </w:rPr>
              <w:t>ember</w:t>
            </w:r>
            <w:r w:rsidRPr="00FB6E71">
              <w:rPr>
                <w:rFonts w:ascii="Calibri" w:hAnsi="Calibri"/>
                <w:color w:val="auto"/>
                <w:sz w:val="18"/>
                <w:szCs w:val="18"/>
              </w:rPr>
              <w:t xml:space="preserve"> 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USAID</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strengthening of ONE MAIN PHC PER WARD</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US$2 million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Support to Scale up Maternal and Newborn Child Health Initiative in Northern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EU</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€15 million</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Support to Scale up Maternal Newborn and Child Health Outcomes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US$1.3 million across 3 programs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 Nutrition Response in Sahel</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US$5 million across 2 programs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Women for Health Programme</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November </w:t>
            </w:r>
            <w:r w:rsidRPr="00FB6E71">
              <w:rPr>
                <w:rFonts w:ascii="Calibri" w:hAnsi="Calibri"/>
                <w:color w:val="auto"/>
                <w:sz w:val="18"/>
                <w:szCs w:val="18"/>
              </w:rPr>
              <w:t>2012</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November </w:t>
            </w: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D</w:t>
            </w:r>
            <w:r>
              <w:rPr>
                <w:rFonts w:ascii="Calibri" w:hAnsi="Calibri"/>
                <w:color w:val="auto"/>
                <w:sz w:val="18"/>
                <w:szCs w:val="18"/>
              </w:rPr>
              <w:t>F</w:t>
            </w:r>
            <w:r w:rsidRPr="00FB6E71">
              <w:rPr>
                <w:rFonts w:ascii="Calibri" w:hAnsi="Calibri"/>
                <w:color w:val="auto"/>
                <w:sz w:val="18"/>
                <w:szCs w:val="18"/>
              </w:rPr>
              <w:t>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£29 million in 5 states</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Working to improve nutrition in northern Nigeria 2 (WINN 2)</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July </w:t>
            </w:r>
            <w:r w:rsidRPr="00FB6E71">
              <w:rPr>
                <w:rFonts w:ascii="Calibri" w:hAnsi="Calibri"/>
                <w:color w:val="auto"/>
                <w:sz w:val="18"/>
                <w:szCs w:val="18"/>
              </w:rPr>
              <w:t>2011</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March </w:t>
            </w: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D</w:t>
            </w:r>
            <w:r>
              <w:rPr>
                <w:rFonts w:ascii="Calibri" w:hAnsi="Calibri"/>
                <w:color w:val="auto"/>
                <w:sz w:val="18"/>
                <w:szCs w:val="18"/>
              </w:rPr>
              <w:t>F</w:t>
            </w:r>
            <w:r w:rsidRPr="00FB6E71">
              <w:rPr>
                <w:rFonts w:ascii="Calibri" w:hAnsi="Calibri"/>
                <w:color w:val="auto"/>
                <w:sz w:val="18"/>
                <w:szCs w:val="18"/>
              </w:rPr>
              <w:t>ID</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£52 million in 5 states</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Scale up Maternal and Newborn Child Health Initiative to include more nutrition and social protection activities. Also €20 million to be added (WHO) for </w:t>
            </w:r>
            <w:r>
              <w:rPr>
                <w:rFonts w:ascii="Calibri" w:hAnsi="Calibri"/>
                <w:color w:val="auto"/>
                <w:sz w:val="18"/>
                <w:szCs w:val="18"/>
              </w:rPr>
              <w:t>p</w:t>
            </w:r>
            <w:r w:rsidRPr="00FB6E71">
              <w:rPr>
                <w:rFonts w:ascii="Calibri" w:hAnsi="Calibri"/>
                <w:color w:val="auto"/>
                <w:sz w:val="18"/>
                <w:szCs w:val="18"/>
              </w:rPr>
              <w:t>olio in high risk states and HDIM system.</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Extension to an ongoing project</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2020</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EU</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€50 million across 3 states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Health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Emergency Primary Health Care Convergence Intervention for Sahalian Northern States in Nigeria</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Completed</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Feb</w:t>
            </w:r>
            <w:r>
              <w:rPr>
                <w:rFonts w:ascii="Calibri" w:hAnsi="Calibri"/>
                <w:color w:val="auto"/>
                <w:sz w:val="18"/>
                <w:szCs w:val="18"/>
              </w:rPr>
              <w:t>ruary</w:t>
            </w:r>
            <w:r w:rsidRPr="00FB6E71">
              <w:rPr>
                <w:rFonts w:ascii="Calibri" w:hAnsi="Calibri"/>
                <w:color w:val="auto"/>
                <w:sz w:val="18"/>
                <w:szCs w:val="18"/>
              </w:rPr>
              <w:t xml:space="preserve"> 2014</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November </w:t>
            </w:r>
            <w:r w:rsidRPr="00FB6E71">
              <w:rPr>
                <w:rFonts w:ascii="Calibri" w:hAnsi="Calibri"/>
                <w:color w:val="auto"/>
                <w:sz w:val="18"/>
                <w:szCs w:val="18"/>
              </w:rPr>
              <w:t>2014</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Japan</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US$3.2 million across northern Nigeria</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Housing</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Housing Finance Development</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2014</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US$300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Transport</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Federal Roads Development Project</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2009</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World Bank</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US$330 million in 6 states</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Transport</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Rural Access Mobility Project II (RAMP</w:t>
            </w:r>
            <w:r>
              <w:rPr>
                <w:rFonts w:ascii="Calibri" w:hAnsi="Calibri"/>
                <w:color w:val="auto"/>
                <w:sz w:val="18"/>
                <w:szCs w:val="18"/>
              </w:rPr>
              <w:t>2</w:t>
            </w:r>
            <w:r w:rsidRPr="00FB6E71">
              <w:rPr>
                <w:rFonts w:ascii="Calibri" w:hAnsi="Calibri"/>
                <w:color w:val="auto"/>
                <w:sz w:val="18"/>
                <w:szCs w:val="18"/>
              </w:rPr>
              <w:t>)</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Aug</w:t>
            </w:r>
            <w:r>
              <w:rPr>
                <w:rFonts w:ascii="Calibri" w:hAnsi="Calibri"/>
                <w:color w:val="auto"/>
                <w:sz w:val="18"/>
                <w:szCs w:val="18"/>
              </w:rPr>
              <w:t>ust</w:t>
            </w:r>
            <w:r w:rsidRPr="00FB6E71">
              <w:rPr>
                <w:rFonts w:ascii="Calibri" w:hAnsi="Calibri"/>
                <w:color w:val="auto"/>
                <w:sz w:val="18"/>
                <w:szCs w:val="18"/>
              </w:rPr>
              <w:t xml:space="preserve"> 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April 2019</w:t>
            </w:r>
          </w:p>
        </w:tc>
        <w:tc>
          <w:tcPr>
            <w:tcW w:w="1638" w:type="dxa"/>
          </w:tcPr>
          <w:p w:rsidR="007F2DE7" w:rsidRPr="00FB6E71" w:rsidP="007F2DE7">
            <w:pPr>
              <w:pStyle w:val="Normal203"/>
              <w:rPr>
                <w:rFonts w:ascii="Calibri" w:hAnsi="Calibri"/>
                <w:color w:val="auto"/>
                <w:sz w:val="18"/>
                <w:szCs w:val="18"/>
              </w:rPr>
            </w:pPr>
            <w:r w:rsidRPr="001A0C92">
              <w:rPr>
                <w:rFonts w:ascii="Calibri" w:hAnsi="Calibri"/>
                <w:i/>
                <w:color w:val="auto"/>
                <w:sz w:val="18"/>
                <w:szCs w:val="18"/>
              </w:rPr>
              <w:t>Agence Francaise de Developpemen</w:t>
            </w:r>
            <w:r w:rsidRPr="00FB6E71">
              <w:rPr>
                <w:rFonts w:ascii="Calibri" w:hAnsi="Calibri"/>
                <w:color w:val="auto"/>
                <w:sz w:val="18"/>
                <w:szCs w:val="18"/>
              </w:rPr>
              <w:t>t</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US$15 million</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WASH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Water Supply and Sanitation Sector Reform Programme (WSSSRP) Phases 2 and 3</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2012</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EU</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€23 million across 2 states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WASH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Water Supply, Sanitation and Sector Reform Project (WSSSRP-III)</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2013</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2018</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US$2.5 million</w:t>
            </w:r>
          </w:p>
        </w:tc>
        <w:tc>
          <w:tcPr>
            <w:tcW w:w="1064" w:type="dxa"/>
          </w:tcPr>
          <w:p w:rsidR="007F2DE7" w:rsidRPr="00FB6E71" w:rsidP="007F2DE7">
            <w:pPr>
              <w:pStyle w:val="Normal203"/>
              <w:jc w:val="center"/>
              <w:rPr>
                <w:rFonts w:ascii="Calibri" w:hAnsi="Calibri"/>
                <w:bCs/>
                <w:color w:val="auto"/>
                <w:sz w:val="18"/>
                <w:szCs w:val="18"/>
              </w:rPr>
            </w:pPr>
          </w:p>
        </w:tc>
        <w:tc>
          <w:tcPr>
            <w:tcW w:w="921" w:type="dxa"/>
          </w:tcPr>
          <w:p w:rsidR="007F2DE7" w:rsidRPr="00FB6E71" w:rsidP="007F2DE7">
            <w:pPr>
              <w:pStyle w:val="Normal203"/>
              <w:jc w:val="center"/>
              <w:rPr>
                <w:rFonts w:ascii="Calibri" w:hAnsi="Calibri"/>
                <w:bCs/>
                <w:color w:val="auto"/>
                <w:sz w:val="18"/>
                <w:szCs w:val="18"/>
              </w:rPr>
            </w:pPr>
          </w:p>
        </w:tc>
        <w:tc>
          <w:tcPr>
            <w:tcW w:w="885" w:type="dxa"/>
          </w:tcPr>
          <w:p w:rsidR="007F2DE7" w:rsidRPr="00FB6E71" w:rsidP="007F2DE7">
            <w:pPr>
              <w:pStyle w:val="Normal203"/>
              <w:jc w:val="center"/>
              <w:rPr>
                <w:rFonts w:ascii="Calibri" w:hAnsi="Calibri"/>
                <w:color w:val="auto"/>
                <w:sz w:val="18"/>
                <w:szCs w:val="18"/>
              </w:rPr>
            </w:pP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WASH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Dams reoperation and Trans Boundary Issues on Climate Change Impact and Social Development Issues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024" w:type="dxa"/>
          </w:tcPr>
          <w:p w:rsidR="007F2DE7" w:rsidRPr="00FB6E71" w:rsidP="007F2DE7">
            <w:pPr>
              <w:pStyle w:val="Normal203"/>
              <w:jc w:val="center"/>
              <w:rPr>
                <w:rFonts w:ascii="Calibri" w:hAnsi="Calibri"/>
                <w:color w:val="auto"/>
                <w:sz w:val="18"/>
                <w:szCs w:val="18"/>
              </w:rPr>
            </w:pPr>
            <w:r>
              <w:rPr>
                <w:rFonts w:ascii="Calibri" w:hAnsi="Calibri"/>
                <w:color w:val="auto"/>
                <w:sz w:val="18"/>
                <w:szCs w:val="18"/>
              </w:rPr>
              <w:t xml:space="preserve"> </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AfDB</w:t>
            </w:r>
          </w:p>
        </w:tc>
        <w:tc>
          <w:tcPr>
            <w:tcW w:w="1361" w:type="dxa"/>
          </w:tcPr>
          <w:p w:rsidR="007F2DE7" w:rsidRPr="00FB6E71" w:rsidP="007F2DE7">
            <w:pPr>
              <w:pStyle w:val="Normal203"/>
              <w:rPr>
                <w:rFonts w:ascii="Calibri" w:hAnsi="Calibri"/>
                <w:color w:val="auto"/>
                <w:sz w:val="18"/>
                <w:szCs w:val="18"/>
              </w:rPr>
            </w:pPr>
            <w:r>
              <w:rPr>
                <w:rFonts w:ascii="Calibri" w:hAnsi="Calibri"/>
                <w:color w:val="auto"/>
                <w:sz w:val="18"/>
                <w:szCs w:val="18"/>
              </w:rPr>
              <w:t>—</w:t>
            </w:r>
            <w:r w:rsidRPr="00FB6E71">
              <w:rPr>
                <w:rFonts w:ascii="Calibri" w:hAnsi="Calibri"/>
                <w:color w:val="auto"/>
                <w:sz w:val="18"/>
                <w:szCs w:val="18"/>
              </w:rPr>
              <w:t>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WASH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Preparation of Strategic Action Pan For Water Resources Development in Komadugu-Yobe Basin</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May 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March 2017</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AfDB: Hadejia-Jama'Are-Komadugu-Yobe Basin Trust Fund (HJKYB-TF)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€2,690,940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bCs/>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WASH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Rural Water Supply and Sanitation Sub Programmes </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Dec</w:t>
            </w:r>
            <w:r>
              <w:rPr>
                <w:rFonts w:ascii="Calibri" w:hAnsi="Calibri"/>
                <w:color w:val="auto"/>
                <w:sz w:val="18"/>
                <w:szCs w:val="18"/>
              </w:rPr>
              <w:t>ember</w:t>
            </w:r>
            <w:r w:rsidRPr="00FB6E71">
              <w:rPr>
                <w:rFonts w:ascii="Calibri" w:hAnsi="Calibri"/>
                <w:color w:val="auto"/>
                <w:sz w:val="18"/>
                <w:szCs w:val="18"/>
              </w:rPr>
              <w:t xml:space="preserve"> 2008</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Aug</w:t>
            </w:r>
            <w:r>
              <w:rPr>
                <w:rFonts w:ascii="Calibri" w:hAnsi="Calibri"/>
                <w:color w:val="auto"/>
                <w:sz w:val="18"/>
                <w:szCs w:val="18"/>
              </w:rPr>
              <w:t>ust</w:t>
            </w:r>
            <w:r w:rsidRPr="00FB6E71">
              <w:rPr>
                <w:rFonts w:ascii="Calibri" w:hAnsi="Calibri"/>
                <w:color w:val="auto"/>
                <w:sz w:val="18"/>
                <w:szCs w:val="18"/>
              </w:rPr>
              <w:t xml:space="preserve"> 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AfDB</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US$51.22 million</w:t>
            </w:r>
          </w:p>
        </w:tc>
        <w:tc>
          <w:tcPr>
            <w:tcW w:w="1064"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947808">
              <w:rPr>
                <w:rFonts w:ascii="Calibri" w:hAnsi="Calibri"/>
                <w:bCs/>
                <w:color w:val="auto"/>
                <w:sz w:val="18"/>
                <w:szCs w:val="18"/>
              </w:rPr>
              <w:t>No</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r w:rsidTr="007F2DE7">
        <w:tblPrEx>
          <w:tblW w:w="5000" w:type="pct"/>
          <w:jc w:val="center"/>
          <w:tblLook w:val="04A0"/>
        </w:tblPrEx>
        <w:trPr>
          <w:cantSplit/>
          <w:jc w:val="center"/>
        </w:trPr>
        <w:tc>
          <w:tcPr>
            <w:tcW w:w="1436"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WASH</w:t>
            </w:r>
          </w:p>
        </w:tc>
        <w:tc>
          <w:tcPr>
            <w:tcW w:w="2425"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WASH emergency response in communities hosting IDP and in IDP camps</w:t>
            </w:r>
          </w:p>
        </w:tc>
        <w:tc>
          <w:tcPr>
            <w:tcW w:w="1172"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Ongoing</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2015</w:t>
            </w:r>
          </w:p>
        </w:tc>
        <w:tc>
          <w:tcPr>
            <w:tcW w:w="1024"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2016</w:t>
            </w:r>
          </w:p>
        </w:tc>
        <w:tc>
          <w:tcPr>
            <w:tcW w:w="1638"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UNICEF</w:t>
            </w:r>
          </w:p>
        </w:tc>
        <w:tc>
          <w:tcPr>
            <w:tcW w:w="1361" w:type="dxa"/>
          </w:tcPr>
          <w:p w:rsidR="007F2DE7" w:rsidRPr="00FB6E71" w:rsidP="007F2DE7">
            <w:pPr>
              <w:pStyle w:val="Normal203"/>
              <w:rPr>
                <w:rFonts w:ascii="Calibri" w:hAnsi="Calibri"/>
                <w:color w:val="auto"/>
                <w:sz w:val="18"/>
                <w:szCs w:val="18"/>
              </w:rPr>
            </w:pPr>
            <w:r w:rsidRPr="00FB6E71">
              <w:rPr>
                <w:rFonts w:ascii="Calibri" w:hAnsi="Calibri"/>
                <w:color w:val="auto"/>
                <w:sz w:val="18"/>
                <w:szCs w:val="18"/>
              </w:rPr>
              <w:t xml:space="preserve">US$906,393 in 2 states </w:t>
            </w:r>
          </w:p>
        </w:tc>
        <w:tc>
          <w:tcPr>
            <w:tcW w:w="1064"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No</w:t>
            </w:r>
          </w:p>
        </w:tc>
        <w:tc>
          <w:tcPr>
            <w:tcW w:w="921" w:type="dxa"/>
          </w:tcPr>
          <w:p w:rsidR="007F2DE7" w:rsidRPr="00FB6E71" w:rsidP="007F2DE7">
            <w:pPr>
              <w:pStyle w:val="Normal203"/>
              <w:jc w:val="center"/>
              <w:rPr>
                <w:rFonts w:ascii="Calibri" w:hAnsi="Calibri"/>
                <w:bCs/>
                <w:color w:val="auto"/>
                <w:sz w:val="18"/>
                <w:szCs w:val="18"/>
              </w:rPr>
            </w:pPr>
            <w:r w:rsidRPr="00FB6E71">
              <w:rPr>
                <w:rFonts w:ascii="Calibri" w:hAnsi="Calibri"/>
                <w:bCs/>
                <w:color w:val="auto"/>
                <w:sz w:val="18"/>
                <w:szCs w:val="18"/>
              </w:rPr>
              <w:t>Yes</w:t>
            </w:r>
          </w:p>
        </w:tc>
        <w:tc>
          <w:tcPr>
            <w:tcW w:w="885" w:type="dxa"/>
          </w:tcPr>
          <w:p w:rsidR="007F2DE7" w:rsidRPr="00FB6E71" w:rsidP="007F2DE7">
            <w:pPr>
              <w:pStyle w:val="Normal203"/>
              <w:jc w:val="center"/>
              <w:rPr>
                <w:rFonts w:ascii="Calibri" w:hAnsi="Calibri"/>
                <w:color w:val="auto"/>
                <w:sz w:val="18"/>
                <w:szCs w:val="18"/>
              </w:rPr>
            </w:pPr>
            <w:r w:rsidRPr="00FB6E71">
              <w:rPr>
                <w:rFonts w:ascii="Calibri" w:hAnsi="Calibri"/>
                <w:color w:val="auto"/>
                <w:sz w:val="18"/>
                <w:szCs w:val="18"/>
              </w:rPr>
              <w:t>Yes</w:t>
            </w:r>
          </w:p>
        </w:tc>
      </w:tr>
    </w:tbl>
    <w:p w:rsidR="007F2DE7" w:rsidRPr="00FB6E71" w:rsidP="007F2DE7">
      <w:pPr>
        <w:pStyle w:val="ListParagraph"/>
        <w:widowControl/>
        <w:ind w:left="0"/>
        <w:contextualSpacing w:val="0"/>
        <w:jc w:val="center"/>
        <w:rPr>
          <w:rFonts w:asciiTheme="minorHAnsi" w:hAnsiTheme="minorHAnsi"/>
          <w:bCs/>
          <w:color w:val="auto"/>
          <w:sz w:val="18"/>
          <w:szCs w:val="18"/>
        </w:rPr>
      </w:pPr>
    </w:p>
    <w:p w:rsidR="007F2DE7" w:rsidRPr="00FB6E71" w:rsidP="007F2DE7">
      <w:pPr>
        <w:widowControl/>
        <w:autoSpaceDE/>
        <w:autoSpaceDN/>
        <w:adjustRightInd/>
        <w:spacing w:after="160" w:line="259" w:lineRule="auto"/>
        <w:rPr>
          <w:rFonts w:asciiTheme="minorHAnsi" w:hAnsiTheme="minorHAnsi"/>
          <w:b/>
          <w:bCs/>
          <w:color w:val="7F7F7F" w:themeColor="text1" w:themeTint="80"/>
          <w:sz w:val="22"/>
          <w:szCs w:val="22"/>
        </w:rPr>
      </w:pPr>
      <w:r w:rsidRPr="00FB6E71">
        <w:rPr>
          <w:rFonts w:asciiTheme="minorHAnsi" w:hAnsiTheme="minorHAnsi"/>
          <w:b/>
          <w:bCs/>
          <w:color w:val="7F7F7F" w:themeColor="text1" w:themeTint="80"/>
          <w:sz w:val="22"/>
          <w:szCs w:val="22"/>
        </w:rPr>
        <w:br w:type="page"/>
      </w:r>
    </w:p>
    <w:tbl>
      <w:tblPr>
        <w:tblStyle w:val="TableGrid"/>
        <w:tblW w:w="109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03"/>
      </w:tblGrid>
      <w:tr w:rsidTr="007F2DE7">
        <w:tblPrEx>
          <w:tblW w:w="109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2"/>
          <w:jc w:val="center"/>
        </w:trPr>
        <w:tc>
          <w:tcPr>
            <w:tcW w:w="10903" w:type="dxa"/>
            <w:shd w:val="clear" w:color="auto" w:fill="F2F2F2" w:themeFill="background1" w:themeFillShade="F2"/>
            <w:vAlign w:val="center"/>
          </w:tcPr>
          <w:p w:rsidR="007F2DE7" w:rsidRPr="00FB6E71" w:rsidP="007F2DE7">
            <w:pPr>
              <w:pStyle w:val="NoSpacing"/>
              <w:jc w:val="center"/>
              <w:outlineLvl w:val="0"/>
              <w:rPr>
                <w:rFonts w:asciiTheme="minorHAnsi" w:hAnsiTheme="minorHAnsi"/>
                <w:b/>
                <w:sz w:val="22"/>
                <w:szCs w:val="22"/>
              </w:rPr>
            </w:pPr>
            <w:bookmarkStart w:id="152" w:name="_Toc463441808"/>
            <w:bookmarkStart w:id="153" w:name="_Toc463635018"/>
            <w:bookmarkStart w:id="154" w:name="_Toc476558136"/>
            <w:r w:rsidRPr="00FB6E71">
              <w:rPr>
                <w:rFonts w:asciiTheme="minorHAnsi" w:hAnsiTheme="minorHAnsi"/>
                <w:b/>
                <w:color w:val="000000" w:themeColor="text1"/>
                <w:sz w:val="22"/>
                <w:szCs w:val="22"/>
              </w:rPr>
              <w:t xml:space="preserve">ANNEX 6: Map of </w:t>
            </w:r>
            <w:r>
              <w:rPr>
                <w:rFonts w:asciiTheme="minorHAnsi" w:hAnsiTheme="minorHAnsi"/>
                <w:b/>
                <w:color w:val="000000" w:themeColor="text1"/>
                <w:sz w:val="22"/>
                <w:szCs w:val="22"/>
              </w:rPr>
              <w:t xml:space="preserve">the </w:t>
            </w:r>
            <w:r w:rsidRPr="00FB6E71">
              <w:rPr>
                <w:rFonts w:asciiTheme="minorHAnsi" w:hAnsiTheme="minorHAnsi"/>
                <w:b/>
                <w:color w:val="000000" w:themeColor="text1"/>
                <w:sz w:val="22"/>
                <w:szCs w:val="22"/>
              </w:rPr>
              <w:t>Target States in Nigeria</w:t>
            </w:r>
            <w:bookmarkEnd w:id="152"/>
            <w:bookmarkEnd w:id="153"/>
            <w:bookmarkEnd w:id="154"/>
            <w:r w:rsidRPr="00FB6E71">
              <w:rPr>
                <w:rFonts w:asciiTheme="minorHAnsi" w:hAnsiTheme="minorHAnsi"/>
                <w:b/>
                <w:color w:val="000000" w:themeColor="text1"/>
                <w:sz w:val="22"/>
                <w:szCs w:val="22"/>
              </w:rPr>
              <w:t xml:space="preserve"> </w:t>
            </w:r>
          </w:p>
        </w:tc>
      </w:tr>
    </w:tbl>
    <w:p w:rsidR="007F2DE7" w:rsidRPr="00FB6E71" w:rsidP="007F2DE7">
      <w:pPr>
        <w:ind w:left="-450"/>
        <w:rPr>
          <w:sz w:val="8"/>
          <w:szCs w:val="8"/>
        </w:rPr>
      </w:pPr>
    </w:p>
    <w:p w:rsidR="007F2DE7" w:rsidRPr="00FB6E71" w:rsidP="007F2DE7">
      <w:pPr>
        <w:pStyle w:val="ListParagraph"/>
        <w:widowControl/>
        <w:ind w:left="0"/>
        <w:contextualSpacing w:val="0"/>
        <w:jc w:val="center"/>
        <w:rPr>
          <w:rFonts w:asciiTheme="minorHAnsi" w:hAnsiTheme="minorHAnsi"/>
          <w:bCs/>
          <w:color w:val="auto"/>
          <w:sz w:val="18"/>
          <w:szCs w:val="18"/>
        </w:rPr>
      </w:pPr>
      <w:r w:rsidRPr="00FB6E71">
        <w:rPr>
          <w:rFonts w:asciiTheme="minorHAnsi" w:hAnsiTheme="minorHAnsi"/>
          <w:bCs/>
          <w:noProof/>
          <w:color w:val="auto"/>
          <w:sz w:val="18"/>
          <w:szCs w:val="18"/>
        </w:rPr>
        <w:drawing>
          <wp:anchor distT="0" distB="0" distL="114300" distR="114300" simplePos="0" relativeHeight="251668480" behindDoc="0" locked="1" layoutInCell="1" allowOverlap="0">
            <wp:simplePos x="0" y="0"/>
            <wp:positionH relativeFrom="column">
              <wp:align>center</wp:align>
            </wp:positionH>
            <wp:positionV relativeFrom="paragraph">
              <wp:posOffset>2658</wp:posOffset>
            </wp:positionV>
            <wp:extent cx="6656832" cy="4946904"/>
            <wp:effectExtent l="0" t="0" r="0" b="6350"/>
            <wp:wrapTopAndBottom/>
            <wp:docPr id="11" name="Picture 11" descr="C:\Users\wb372489\AppData\Local\Microsoft\Windows\Temporary Internet Files\Content.Outlook\3VR5WEHR\NIR4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72489\AppData\Local\Microsoft\Windows\Temporary Internet Files\Content.Outlook\3VR5WEHR\NIR42514.jpg"/>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56832" cy="494690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Sect="007F2DE7">
      <w:headerReference w:type="default" r:id="rId35"/>
      <w:pgSz w:w="15840" w:h="12240" w:orient="landscape"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NewRomanPSMT">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2DE7" w:rsidP="007F2DE7">
    <w:pPr>
      <w:pStyle w:val="Footer20"/>
      <w:jc w:val="right"/>
    </w:pPr>
  </w:p>
  <w:p w:rsidR="007F2DE7">
    <w:pPr>
      <w:pStyle w:val="Footer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50161079"/>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130810</wp:posOffset>
                  </wp:positionV>
                  <wp:extent cx="7248525" cy="0"/>
                  <wp:effectExtent l="5080" t="12065" r="13970" b="6985"/>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2067"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79744" from="0,10.3pt" to="570.75pt,10.3pt" strokecolor="#4e92d1">
                  <w10:wrap anchorx="margin"/>
                </v:line>
              </w:pict>
            </mc:Fallback>
          </mc:AlternateContent>
        </w:r>
        <w:r>
          <w:tab/>
        </w:r>
      </w:p>
      <w:tbl>
        <w:tblPr>
          <w:tblStyle w:val="TableGrid46"/>
          <w:tblpPr w:leftFromText="187" w:rightFromText="187" w:vertAnchor="text" w:horzAnchor="margin" w:tblpXSpec="center" w:tblpY="1"/>
          <w:tblOverlap w:val="never"/>
          <w:tblW w:w="5000" w:type="pct"/>
          <w:tblCellMar>
            <w:left w:w="0" w:type="dxa"/>
            <w:right w:w="0" w:type="dxa"/>
          </w:tblCellMar>
          <w:tblLook w:val="04A0"/>
        </w:tblPr>
        <w:tblGrid>
          <w:gridCol w:w="6697"/>
          <w:gridCol w:w="6263"/>
        </w:tblGrid>
        <w:tr w:rsidTr="007F2DE7">
          <w:tblPrEx>
            <w:tblW w:w="5000" w:type="pct"/>
            <w:tblCellMar>
              <w:left w:w="0" w:type="dxa"/>
              <w:right w:w="0" w:type="dxa"/>
            </w:tblCellMar>
            <w:tblLook w:val="04A0"/>
          </w:tblPrEx>
          <w:trPr>
            <w:trHeight w:val="270"/>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122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27532236"/>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w:pict>
            <v:line id="Straight Connector 7" o:spid="_x0000_s2050"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59264" from="0,10.3pt" to="570.75pt,10.3pt" strokecolor="#4e92d1">
              <w10:wrap anchorx="margin"/>
            </v:line>
          </w:pict>
        </w:r>
        <w:r>
          <w:tab/>
        </w:r>
      </w:p>
      <w:tbl>
        <w:tblPr>
          <w:tblStyle w:val="TableGrid46"/>
          <w:tblW w:w="5000" w:type="pct"/>
          <w:jc w:val="center"/>
          <w:tblCellMar>
            <w:left w:w="0" w:type="dxa"/>
            <w:right w:w="0" w:type="dxa"/>
          </w:tblCellMar>
          <w:tblLook w:val="04A0"/>
        </w:tblPr>
        <w:tblGrid>
          <w:gridCol w:w="4804"/>
          <w:gridCol w:w="4556"/>
        </w:tblGrid>
        <w:tr w:rsidTr="007F2DE7">
          <w:tblPrEx>
            <w:tblW w:w="5000" w:type="pct"/>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12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27917916"/>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w:pict>
            <v:line id="_x0000_s2053"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8480" from="0,10.3pt" to="570.75pt,10.3pt" strokecolor="#4e92d1">
              <w10:wrap anchorx="margin"/>
            </v:line>
          </w:pict>
        </w:r>
        <w:r>
          <w:tab/>
        </w:r>
      </w:p>
      <w:tbl>
        <w:tblPr>
          <w:tblStyle w:val="TableGrid46"/>
          <w:tblW w:w="5000" w:type="pct"/>
          <w:jc w:val="center"/>
          <w:tblCellMar>
            <w:left w:w="0" w:type="dxa"/>
            <w:right w:w="0" w:type="dxa"/>
          </w:tblCellMar>
          <w:tblLook w:val="04A0"/>
        </w:tblPr>
        <w:tblGrid>
          <w:gridCol w:w="6697"/>
          <w:gridCol w:w="6263"/>
        </w:tblGrid>
        <w:tr w:rsidTr="007F2DE7">
          <w:tblPrEx>
            <w:tblW w:w="5000" w:type="pct"/>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39</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54961004"/>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w:pict>
            <v:line id="_x0000_s2055"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7456" from="0,10.3pt" to="570.75pt,10.3pt" strokecolor="#4e92d1">
              <w10:wrap anchorx="margin"/>
            </v:line>
          </w:pict>
        </w:r>
        <w:r>
          <w:tab/>
        </w:r>
      </w:p>
      <w:tbl>
        <w:tblPr>
          <w:tblStyle w:val="TableGrid46"/>
          <w:tblW w:w="5000" w:type="pct"/>
          <w:jc w:val="center"/>
          <w:tblCellMar>
            <w:left w:w="0" w:type="dxa"/>
            <w:right w:w="0" w:type="dxa"/>
          </w:tblCellMar>
          <w:tblLook w:val="04A0"/>
        </w:tblPr>
        <w:tblGrid>
          <w:gridCol w:w="6697"/>
          <w:gridCol w:w="6263"/>
        </w:tblGrid>
        <w:tr w:rsidTr="007F2DE7">
          <w:tblPrEx>
            <w:tblW w:w="5000" w:type="pct"/>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49</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75810376"/>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w:pict>
            <v:line id="_x0000_s2057"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9504" from="0,10.3pt" to="570.75pt,10.3pt" strokecolor="#4e92d1">
              <w10:wrap anchorx="margin"/>
            </v:line>
          </w:pict>
        </w:r>
        <w:r>
          <w:tab/>
        </w:r>
      </w:p>
      <w:tbl>
        <w:tblPr>
          <w:tblStyle w:val="TableGrid46"/>
          <w:tblW w:w="5000" w:type="pct"/>
          <w:jc w:val="center"/>
          <w:tblCellMar>
            <w:left w:w="0" w:type="dxa"/>
            <w:right w:w="0" w:type="dxa"/>
          </w:tblCellMar>
          <w:tblLook w:val="04A0"/>
        </w:tblPr>
        <w:tblGrid>
          <w:gridCol w:w="4804"/>
          <w:gridCol w:w="4556"/>
        </w:tblGrid>
        <w:tr w:rsidTr="007F2DE7">
          <w:tblPrEx>
            <w:tblW w:w="5000" w:type="pct"/>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97</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17556898"/>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130810</wp:posOffset>
                  </wp:positionV>
                  <wp:extent cx="7248525" cy="0"/>
                  <wp:effectExtent l="9525" t="12065" r="9525" b="6985"/>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2059"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71552" from="0,10.3pt" to="570.75pt,10.3pt" strokecolor="#4e92d1">
                  <w10:wrap anchorx="margin"/>
                </v:line>
              </w:pict>
            </mc:Fallback>
          </mc:AlternateContent>
        </w:r>
        <w:r>
          <w:tab/>
        </w:r>
      </w:p>
      <w:tbl>
        <w:tblPr>
          <w:tblStyle w:val="TableGrid46"/>
          <w:tblpPr w:leftFromText="187" w:rightFromText="187" w:vertAnchor="text" w:horzAnchor="margin" w:tblpXSpec="center" w:tblpY="1"/>
          <w:tblOverlap w:val="never"/>
          <w:tblW w:w="5000" w:type="pct"/>
          <w:tblCellMar>
            <w:left w:w="0" w:type="dxa"/>
            <w:right w:w="0" w:type="dxa"/>
          </w:tblCellMar>
          <w:tblLook w:val="04A0"/>
        </w:tblPr>
        <w:tblGrid>
          <w:gridCol w:w="6697"/>
          <w:gridCol w:w="6263"/>
        </w:tblGrid>
        <w:tr w:rsidTr="007F2DE7">
          <w:tblPrEx>
            <w:tblW w:w="5000" w:type="pct"/>
            <w:tblCellMar>
              <w:left w:w="0" w:type="dxa"/>
              <w:right w:w="0" w:type="dxa"/>
            </w:tblCellMar>
            <w:tblLook w:val="04A0"/>
          </w:tblPrEx>
          <w:trPr>
            <w:trHeight w:val="270"/>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98</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40337288"/>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w:pict>
            <v:line id="_x0000_s2061"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73600" from="0,10.3pt" to="570.75pt,10.3pt" strokecolor="#4e92d1">
              <w10:wrap anchorx="margin"/>
            </v:line>
          </w:pict>
        </w:r>
        <w:r>
          <w:tab/>
        </w:r>
      </w:p>
      <w:tbl>
        <w:tblPr>
          <w:tblStyle w:val="TableGrid46"/>
          <w:tblW w:w="5000" w:type="pct"/>
          <w:jc w:val="center"/>
          <w:tblCellMar>
            <w:left w:w="0" w:type="dxa"/>
            <w:right w:w="0" w:type="dxa"/>
          </w:tblCellMar>
          <w:tblLook w:val="04A0"/>
        </w:tblPr>
        <w:tblGrid>
          <w:gridCol w:w="4804"/>
          <w:gridCol w:w="4556"/>
        </w:tblGrid>
        <w:tr w:rsidTr="007F2DE7">
          <w:tblPrEx>
            <w:tblW w:w="5000" w:type="pct"/>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103</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87963058"/>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130810</wp:posOffset>
                  </wp:positionV>
                  <wp:extent cx="7248525" cy="0"/>
                  <wp:effectExtent l="5080" t="12065" r="13970" b="6985"/>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2063"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75648" from="0,10.3pt" to="570.75pt,10.3pt" strokecolor="#4e92d1">
                  <w10:wrap anchorx="margin"/>
                </v:line>
              </w:pict>
            </mc:Fallback>
          </mc:AlternateContent>
        </w:r>
        <w:r>
          <w:tab/>
        </w:r>
      </w:p>
      <w:tbl>
        <w:tblPr>
          <w:tblStyle w:val="TableGrid46"/>
          <w:tblW w:w="5000" w:type="pct"/>
          <w:jc w:val="center"/>
          <w:tblCellMar>
            <w:left w:w="0" w:type="dxa"/>
            <w:right w:w="0" w:type="dxa"/>
          </w:tblCellMar>
          <w:tblLook w:val="04A0"/>
        </w:tblPr>
        <w:tblGrid>
          <w:gridCol w:w="6697"/>
          <w:gridCol w:w="6263"/>
        </w:tblGrid>
        <w:tr w:rsidTr="007F2DE7">
          <w:tblPrEx>
            <w:tblW w:w="5000" w:type="pct"/>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106</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83742504"/>
      <w:docPartObj>
        <w:docPartGallery w:val="Page Numbers (Top of Page)"/>
        <w:docPartUnique/>
      </w:docPartObj>
    </w:sdtPr>
    <w:sdtEndPr>
      <w:rPr>
        <w:rFonts w:ascii="Calibri" w:eastAsia="Calibri" w:hAnsi="Calibri" w:cs="Times New Roman"/>
        <w:sz w:val="16"/>
        <w:szCs w:val="16"/>
      </w:rPr>
    </w:sdtEndPr>
    <w:sdtContent>
      <w:p w:rsidR="007F2DE7" w:rsidRPr="00DF015E" w:rsidP="007F2DE7">
        <w:pPr>
          <w:pStyle w:val="Footer20"/>
          <w:jc w:val="right"/>
        </w:pPr>
        <w:r>
          <w:rPr>
            <w:noProof/>
            <w:sz w:val="16"/>
            <w:szCs w:val="16"/>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130810</wp:posOffset>
                  </wp:positionV>
                  <wp:extent cx="7248525" cy="0"/>
                  <wp:effectExtent l="5080" t="12065" r="13970" b="6985"/>
                  <wp:wrapNone/>
                  <wp:docPr id="12" name="Straight Connector 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2065"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77696" from="0,10.3pt" to="570.75pt,10.3pt" strokecolor="#4e92d1">
                  <w10:wrap anchorx="margin"/>
                </v:line>
              </w:pict>
            </mc:Fallback>
          </mc:AlternateContent>
        </w:r>
        <w:r>
          <w:tab/>
        </w:r>
      </w:p>
      <w:tbl>
        <w:tblPr>
          <w:tblStyle w:val="TableGrid46"/>
          <w:tblW w:w="5000" w:type="pct"/>
          <w:jc w:val="center"/>
          <w:tblCellMar>
            <w:left w:w="0" w:type="dxa"/>
            <w:right w:w="0" w:type="dxa"/>
          </w:tblCellMar>
          <w:tblLook w:val="04A0"/>
        </w:tblPr>
        <w:tblGrid>
          <w:gridCol w:w="4804"/>
          <w:gridCol w:w="4556"/>
        </w:tblGrid>
        <w:tr w:rsidTr="007F2DE7">
          <w:tblPrEx>
            <w:tblW w:w="5000" w:type="pct"/>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7F2DE7" w:rsidRPr="008C3869" w:rsidP="007F2DE7">
              <w:pPr>
                <w:pStyle w:val="Footer20"/>
                <w:rPr>
                  <w:color w:val="7F7F7F"/>
                  <w:sz w:val="16"/>
                  <w:szCs w:val="16"/>
                </w:rPr>
              </w:pPr>
            </w:p>
          </w:tc>
          <w:tc>
            <w:tcPr>
              <w:tcW w:w="5219" w:type="dxa"/>
              <w:tcBorders>
                <w:top w:val="nil"/>
                <w:left w:val="nil"/>
                <w:bottom w:val="nil"/>
                <w:right w:val="nil"/>
              </w:tcBorders>
              <w:vAlign w:val="center"/>
            </w:tcPr>
            <w:p w:rsidR="007F2DE7" w:rsidP="007F2DE7">
              <w:pPr>
                <w:pStyle w:val="Footer20"/>
                <w:ind w:right="89"/>
                <w:jc w:val="right"/>
                <w:rPr>
                  <w:color w:val="7F7F7F"/>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B12117">
                <w:rPr>
                  <w:bCs/>
                  <w:noProof/>
                  <w:sz w:val="16"/>
                  <w:szCs w:val="16"/>
                </w:rPr>
                <w:t>109</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B12117">
                <w:rPr>
                  <w:bCs/>
                  <w:noProof/>
                  <w:sz w:val="16"/>
                  <w:szCs w:val="16"/>
                </w:rPr>
                <w:instrText>126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B12117" w:rsidR="00B12117">
                <w:rPr>
                  <w:b/>
                  <w:noProof/>
                  <w:sz w:val="16"/>
                  <w:szCs w:val="16"/>
                </w:rPr>
                <w:instrText>4</w:instrText>
              </w:r>
              <w:r>
                <w:rPr>
                  <w:bCs/>
                  <w:sz w:val="16"/>
                  <w:szCs w:val="16"/>
                </w:rPr>
                <w:fldChar w:fldCharType="end"/>
              </w:r>
              <w:r>
                <w:rPr>
                  <w:bCs/>
                  <w:sz w:val="16"/>
                  <w:szCs w:val="16"/>
                </w:rPr>
                <w:fldChar w:fldCharType="separate"/>
              </w:r>
              <w:r w:rsidR="00B12117">
                <w:rPr>
                  <w:bCs/>
                  <w:noProof/>
                  <w:sz w:val="16"/>
                  <w:szCs w:val="16"/>
                </w:rPr>
                <w:t>122</w:t>
              </w:r>
              <w:r>
                <w:rPr>
                  <w:bCs/>
                  <w:sz w:val="16"/>
                  <w:szCs w:val="16"/>
                </w:rPr>
                <w:fldChar w:fldCharType="end"/>
              </w:r>
              <w:r>
                <w:rPr>
                  <w:bCs/>
                  <w:sz w:val="16"/>
                  <w:szCs w:val="16"/>
                </w:rPr>
                <w:t xml:space="preserve"> </w:t>
              </w:r>
            </w:p>
          </w:tc>
        </w:tr>
      </w:tbl>
      <w:p w:rsidR="007F2DE7" w:rsidP="007F2DE7">
        <w:pPr>
          <w:pStyle w:val="Footer20"/>
          <w:spacing w:line="160" w:lineRule="exact"/>
        </w:pPr>
        <w:r>
          <w:t xml:space="preserve">    </w:t>
        </w:r>
      </w:p>
    </w:sdtContent>
  </w:sdt>
  <w:p w:rsidR="007F2DE7">
    <w:pPr>
      <w:pStyle w:val="Footer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F7FC1">
      <w:r>
        <w:separator/>
      </w:r>
    </w:p>
  </w:footnote>
  <w:footnote w:type="continuationSeparator" w:id="1">
    <w:p w:rsidR="008F7FC1">
      <w:r>
        <w:continuationSeparator/>
      </w:r>
    </w:p>
  </w:footnote>
  <w:footnote w:id="2">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w:t>
      </w:r>
      <w:r w:rsidRPr="00640EC9">
        <w:rPr>
          <w:rFonts w:asciiTheme="minorHAnsi" w:hAnsiTheme="minorHAnsi"/>
          <w:bCs/>
          <w:sz w:val="18"/>
          <w:szCs w:val="18"/>
        </w:rPr>
        <w:t>Lake Chad Regional Forced Displacement Assessment 2016</w:t>
      </w:r>
      <w:r>
        <w:rPr>
          <w:rFonts w:asciiTheme="minorHAnsi" w:hAnsiTheme="minorHAnsi"/>
          <w:bCs/>
          <w:sz w:val="18"/>
          <w:szCs w:val="18"/>
        </w:rPr>
        <w:t>.</w:t>
      </w:r>
    </w:p>
  </w:footnote>
  <w:footnote w:id="3">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bCs/>
          <w:sz w:val="18"/>
          <w:szCs w:val="18"/>
        </w:rPr>
        <w:t xml:space="preserve"> Recovery and Peace Building Assessment </w:t>
      </w:r>
      <w:r w:rsidRPr="00640EC9">
        <w:rPr>
          <w:rFonts w:asciiTheme="minorHAnsi" w:hAnsiTheme="minorHAnsi"/>
          <w:sz w:val="18"/>
          <w:szCs w:val="18"/>
        </w:rPr>
        <w:t xml:space="preserve">for </w:t>
      </w:r>
      <w:r w:rsidRPr="00640EC9">
        <w:rPr>
          <w:rFonts w:asciiTheme="minorHAnsi" w:hAnsiTheme="minorHAnsi"/>
          <w:bCs/>
          <w:sz w:val="18"/>
          <w:szCs w:val="18"/>
        </w:rPr>
        <w:t>North-East Nigeria</w:t>
      </w:r>
      <w:r>
        <w:rPr>
          <w:rFonts w:asciiTheme="minorHAnsi" w:hAnsiTheme="minorHAnsi"/>
          <w:bCs/>
          <w:sz w:val="18"/>
          <w:szCs w:val="18"/>
        </w:rPr>
        <w:t>, 2016.</w:t>
      </w:r>
    </w:p>
  </w:footnote>
  <w:footnote w:id="4">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Institute of Economics and Peace 2015</w:t>
      </w:r>
      <w:r>
        <w:rPr>
          <w:rFonts w:asciiTheme="minorHAnsi" w:hAnsiTheme="minorHAnsi"/>
          <w:sz w:val="18"/>
          <w:szCs w:val="18"/>
        </w:rPr>
        <w:t>.</w:t>
      </w:r>
    </w:p>
  </w:footnote>
  <w:footnote w:id="5">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International Organization for Migration</w:t>
      </w:r>
      <w:r>
        <w:rPr>
          <w:rFonts w:asciiTheme="minorHAnsi" w:hAnsiTheme="minorHAnsi"/>
          <w:bCs/>
          <w:sz w:val="18"/>
          <w:szCs w:val="18"/>
        </w:rPr>
        <w:t>.</w:t>
      </w:r>
      <w:r w:rsidRPr="00640EC9">
        <w:rPr>
          <w:rFonts w:asciiTheme="minorHAnsi" w:hAnsiTheme="minorHAnsi"/>
          <w:bCs/>
          <w:sz w:val="18"/>
          <w:szCs w:val="18"/>
        </w:rPr>
        <w:t xml:space="preserve"> 2016</w:t>
      </w:r>
      <w:r>
        <w:rPr>
          <w:rFonts w:asciiTheme="minorHAnsi" w:hAnsiTheme="minorHAnsi"/>
          <w:bCs/>
          <w:sz w:val="18"/>
          <w:szCs w:val="18"/>
        </w:rPr>
        <w:t>.</w:t>
      </w:r>
    </w:p>
  </w:footnote>
  <w:footnote w:id="6">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The Federal Government of Nigeria, the Presidential Committee on the North East Initiative Establishment Directives 2016.</w:t>
      </w:r>
    </w:p>
  </w:footnote>
  <w:footnote w:id="7">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The UNHCR</w:t>
      </w:r>
      <w:r>
        <w:rPr>
          <w:rFonts w:asciiTheme="minorHAnsi" w:hAnsiTheme="minorHAnsi"/>
          <w:sz w:val="18"/>
          <w:szCs w:val="18"/>
        </w:rPr>
        <w:t>,</w:t>
      </w:r>
      <w:r w:rsidRPr="00640EC9">
        <w:rPr>
          <w:rFonts w:asciiTheme="minorHAnsi" w:hAnsiTheme="minorHAnsi"/>
          <w:sz w:val="18"/>
          <w:szCs w:val="18"/>
        </w:rPr>
        <w:t xml:space="preserve"> and the World Bank Group.</w:t>
      </w:r>
      <w:r>
        <w:rPr>
          <w:rFonts w:asciiTheme="minorHAnsi" w:hAnsiTheme="minorHAnsi"/>
          <w:sz w:val="18"/>
          <w:szCs w:val="18"/>
        </w:rPr>
        <w:t xml:space="preserve"> 2016.</w:t>
      </w:r>
      <w:r w:rsidRPr="00640EC9">
        <w:rPr>
          <w:rFonts w:asciiTheme="minorHAnsi" w:hAnsiTheme="minorHAnsi"/>
          <w:sz w:val="18"/>
          <w:szCs w:val="18"/>
        </w:rPr>
        <w:t xml:space="preserve"> </w:t>
      </w:r>
      <w:r w:rsidRPr="00640EC9">
        <w:rPr>
          <w:rFonts w:asciiTheme="minorHAnsi" w:hAnsiTheme="minorHAnsi"/>
          <w:i/>
          <w:sz w:val="18"/>
          <w:szCs w:val="18"/>
        </w:rPr>
        <w:t>Forced Displacement by the Boko Haram conflict in the Lake Chad Region.</w:t>
      </w:r>
      <w:r w:rsidRPr="00640EC9">
        <w:rPr>
          <w:rFonts w:asciiTheme="minorHAnsi" w:hAnsiTheme="minorHAnsi"/>
          <w:sz w:val="18"/>
          <w:szCs w:val="18"/>
        </w:rPr>
        <w:t xml:space="preserve"> </w:t>
      </w:r>
    </w:p>
  </w:footnote>
  <w:footnote w:id="8">
    <w:p w:rsidR="007F2DE7" w:rsidRPr="00640EC9" w:rsidP="007F2DE7">
      <w:pPr>
        <w:pStyle w:val="Defaul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w:t>
      </w:r>
      <w:r w:rsidRPr="00640EC9">
        <w:rPr>
          <w:rFonts w:asciiTheme="minorHAnsi" w:eastAsiaTheme="minorHAnsi" w:hAnsiTheme="minorHAnsi" w:cs="Lato"/>
          <w:bCs/>
          <w:sz w:val="18"/>
          <w:szCs w:val="18"/>
        </w:rPr>
        <w:t xml:space="preserve">The wider paradigm advocated here [Forced Displacement Assessment by the Boko Haram conflict] should encompass the needs and priorities of host communities and people in areas of return, as well as those of the displaced, under a common vision and planning framework. </w:t>
      </w:r>
      <w:r w:rsidRPr="00640EC9">
        <w:rPr>
          <w:rFonts w:asciiTheme="minorHAnsi" w:eastAsiaTheme="minorHAnsi" w:hAnsiTheme="minorHAnsi" w:cs="Lato"/>
          <w:sz w:val="18"/>
          <w:szCs w:val="18"/>
        </w:rPr>
        <w:t xml:space="preserve">Too often, displacement proves itself to be protracted. Even where it is not, integrating displaced populations into local planning mechanisms can bring sustained benefits to both host and the displaced.” </w:t>
      </w:r>
      <w:r>
        <w:rPr>
          <w:rFonts w:asciiTheme="minorHAnsi" w:eastAsiaTheme="minorHAnsi" w:hAnsiTheme="minorHAnsi" w:cs="Lato"/>
          <w:sz w:val="18"/>
          <w:szCs w:val="18"/>
        </w:rPr>
        <w:t>(</w:t>
      </w:r>
      <w:r w:rsidRPr="00640EC9">
        <w:rPr>
          <w:rFonts w:asciiTheme="minorHAnsi" w:hAnsiTheme="minorHAnsi"/>
          <w:sz w:val="18"/>
          <w:szCs w:val="18"/>
        </w:rPr>
        <w:t>The UNHCR and the World Bank Group</w:t>
      </w:r>
      <w:r>
        <w:rPr>
          <w:rFonts w:asciiTheme="minorHAnsi" w:hAnsiTheme="minorHAnsi"/>
          <w:sz w:val="18"/>
          <w:szCs w:val="18"/>
        </w:rPr>
        <w:t xml:space="preserve"> 2016,</w:t>
      </w:r>
      <w:r w:rsidRPr="008E3CA7">
        <w:rPr>
          <w:rFonts w:asciiTheme="minorHAnsi" w:eastAsiaTheme="minorHAnsi" w:hAnsiTheme="minorHAnsi" w:cs="Lato"/>
          <w:sz w:val="18"/>
          <w:szCs w:val="18"/>
        </w:rPr>
        <w:t xml:space="preserve"> 62</w:t>
      </w:r>
      <w:r>
        <w:rPr>
          <w:rFonts w:asciiTheme="minorHAnsi" w:eastAsiaTheme="minorHAnsi" w:hAnsiTheme="minorHAnsi" w:cs="Lato"/>
          <w:sz w:val="18"/>
          <w:szCs w:val="18"/>
        </w:rPr>
        <w:t>)</w:t>
      </w:r>
    </w:p>
  </w:footnote>
  <w:footnote w:id="9">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w:t>
      </w:r>
      <w:r w:rsidRPr="00640EC9">
        <w:rPr>
          <w:rFonts w:asciiTheme="minorHAnsi" w:eastAsiaTheme="minorHAnsi" w:hAnsiTheme="minorHAnsi" w:cs="Lato"/>
          <w:bCs/>
          <w:sz w:val="18"/>
          <w:szCs w:val="18"/>
        </w:rPr>
        <w:t>Social Cohesion describes the nature and quality of relationships across people and groups in society, including the state (The World Bank 2013). In the context of the MCRP, strengthening social cohesion implies supporting the creation of convergence mechanisms and platforms across groups in society that allow them to peacefully manage collective action as well as improving their immediate living conditions.</w:t>
      </w:r>
    </w:p>
  </w:footnote>
  <w:footnote w:id="10">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This could include</w:t>
      </w:r>
      <w:r>
        <w:rPr>
          <w:rFonts w:asciiTheme="minorHAnsi" w:hAnsiTheme="minorHAnsi"/>
          <w:sz w:val="18"/>
          <w:szCs w:val="18"/>
        </w:rPr>
        <w:t>,</w:t>
      </w:r>
      <w:r w:rsidRPr="00640EC9">
        <w:rPr>
          <w:rFonts w:asciiTheme="minorHAnsi" w:hAnsiTheme="minorHAnsi"/>
          <w:sz w:val="18"/>
          <w:szCs w:val="18"/>
        </w:rPr>
        <w:t xml:space="preserve"> but not necessarily be limited to</w:t>
      </w:r>
      <w:r>
        <w:rPr>
          <w:rFonts w:asciiTheme="minorHAnsi" w:hAnsiTheme="minorHAnsi"/>
          <w:sz w:val="18"/>
          <w:szCs w:val="18"/>
        </w:rPr>
        <w:t>,</w:t>
      </w:r>
      <w:r w:rsidRPr="00640EC9">
        <w:rPr>
          <w:rFonts w:asciiTheme="minorHAnsi" w:hAnsiTheme="minorHAnsi"/>
          <w:sz w:val="18"/>
          <w:szCs w:val="18"/>
        </w:rPr>
        <w:t xml:space="preserve"> items necessary for the restoration of households</w:t>
      </w:r>
      <w:r>
        <w:rPr>
          <w:rFonts w:asciiTheme="minorHAnsi" w:hAnsiTheme="minorHAnsi"/>
          <w:sz w:val="18"/>
          <w:szCs w:val="18"/>
        </w:rPr>
        <w:t>,</w:t>
      </w:r>
      <w:r w:rsidRPr="00640EC9">
        <w:rPr>
          <w:rFonts w:asciiTheme="minorHAnsi" w:hAnsiTheme="minorHAnsi"/>
          <w:sz w:val="18"/>
          <w:szCs w:val="18"/>
        </w:rPr>
        <w:t xml:space="preserve"> including kitchen sets, mosquito nets, plastic mats, blankets, hygiene kits</w:t>
      </w:r>
      <w:r>
        <w:rPr>
          <w:rFonts w:asciiTheme="minorHAnsi" w:hAnsiTheme="minorHAnsi"/>
          <w:sz w:val="18"/>
          <w:szCs w:val="18"/>
        </w:rPr>
        <w:t>,</w:t>
      </w:r>
      <w:r w:rsidRPr="00640EC9">
        <w:rPr>
          <w:rFonts w:asciiTheme="minorHAnsi" w:hAnsiTheme="minorHAnsi"/>
          <w:sz w:val="18"/>
          <w:szCs w:val="18"/>
        </w:rPr>
        <w:t xml:space="preserve"> and other necessities.</w:t>
      </w:r>
    </w:p>
  </w:footnote>
  <w:footnote w:id="11">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Inputs to be provided could include</w:t>
      </w:r>
      <w:r>
        <w:rPr>
          <w:rFonts w:asciiTheme="minorHAnsi" w:hAnsiTheme="minorHAnsi"/>
          <w:sz w:val="18"/>
          <w:szCs w:val="18"/>
        </w:rPr>
        <w:t>,</w:t>
      </w:r>
      <w:r w:rsidRPr="00640EC9">
        <w:rPr>
          <w:rFonts w:asciiTheme="minorHAnsi" w:hAnsiTheme="minorHAnsi"/>
          <w:sz w:val="18"/>
          <w:szCs w:val="18"/>
        </w:rPr>
        <w:t xml:space="preserve"> but not necessarily be limited to</w:t>
      </w:r>
      <w:r>
        <w:rPr>
          <w:rFonts w:asciiTheme="minorHAnsi" w:hAnsiTheme="minorHAnsi"/>
          <w:sz w:val="18"/>
          <w:szCs w:val="18"/>
        </w:rPr>
        <w:t>,</w:t>
      </w:r>
      <w:r w:rsidRPr="00640EC9">
        <w:rPr>
          <w:rFonts w:asciiTheme="minorHAnsi" w:hAnsiTheme="minorHAnsi"/>
          <w:sz w:val="18"/>
          <w:szCs w:val="18"/>
        </w:rPr>
        <w:t xml:space="preserve"> seeds of local staple crops (</w:t>
      </w:r>
      <w:r>
        <w:rPr>
          <w:rFonts w:asciiTheme="minorHAnsi" w:hAnsiTheme="minorHAnsi"/>
          <w:sz w:val="18"/>
          <w:szCs w:val="18"/>
        </w:rPr>
        <w:t>such as</w:t>
      </w:r>
      <w:r w:rsidRPr="00640EC9">
        <w:rPr>
          <w:rFonts w:asciiTheme="minorHAnsi" w:hAnsiTheme="minorHAnsi"/>
          <w:sz w:val="18"/>
          <w:szCs w:val="18"/>
        </w:rPr>
        <w:t xml:space="preserve"> maize, sorghum, beans or cowpea)</w:t>
      </w:r>
      <w:r>
        <w:rPr>
          <w:rFonts w:asciiTheme="minorHAnsi" w:hAnsiTheme="minorHAnsi"/>
          <w:sz w:val="18"/>
          <w:szCs w:val="18"/>
        </w:rPr>
        <w:t>;</w:t>
      </w:r>
      <w:r w:rsidRPr="00640EC9">
        <w:rPr>
          <w:rFonts w:asciiTheme="minorHAnsi" w:hAnsiTheme="minorHAnsi"/>
          <w:sz w:val="18"/>
          <w:szCs w:val="18"/>
        </w:rPr>
        <w:t xml:space="preserve"> fertilizers (</w:t>
      </w:r>
      <w:r>
        <w:rPr>
          <w:rFonts w:asciiTheme="minorHAnsi" w:hAnsiTheme="minorHAnsi"/>
          <w:sz w:val="18"/>
          <w:szCs w:val="18"/>
        </w:rPr>
        <w:t>such as</w:t>
      </w:r>
      <w:r w:rsidRPr="00640EC9">
        <w:rPr>
          <w:rFonts w:asciiTheme="minorHAnsi" w:hAnsiTheme="minorHAnsi"/>
          <w:sz w:val="18"/>
          <w:szCs w:val="18"/>
        </w:rPr>
        <w:t xml:space="preserve"> </w:t>
      </w:r>
      <w:r>
        <w:rPr>
          <w:rFonts w:asciiTheme="minorHAnsi" w:hAnsiTheme="minorHAnsi"/>
          <w:sz w:val="18"/>
          <w:szCs w:val="18"/>
        </w:rPr>
        <w:t xml:space="preserve">nitrogen, phosphorus, and potassium </w:t>
      </w:r>
      <w:r w:rsidRPr="00640EC9">
        <w:rPr>
          <w:rFonts w:asciiTheme="minorHAnsi" w:hAnsiTheme="minorHAnsi"/>
          <w:sz w:val="18"/>
          <w:szCs w:val="18"/>
        </w:rPr>
        <w:t>and urea)</w:t>
      </w:r>
      <w:r>
        <w:rPr>
          <w:rFonts w:asciiTheme="minorHAnsi" w:hAnsiTheme="minorHAnsi"/>
          <w:sz w:val="18"/>
          <w:szCs w:val="18"/>
        </w:rPr>
        <w:t>;</w:t>
      </w:r>
      <w:r w:rsidRPr="00640EC9">
        <w:rPr>
          <w:rFonts w:asciiTheme="minorHAnsi" w:hAnsiTheme="minorHAnsi"/>
          <w:sz w:val="18"/>
          <w:szCs w:val="18"/>
        </w:rPr>
        <w:t xml:space="preserve"> and manual tools. Pesticides are excluded from support packages.</w:t>
      </w:r>
    </w:p>
  </w:footnote>
  <w:footnote w:id="12">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w:t>
      </w:r>
      <w:r>
        <w:rPr>
          <w:rFonts w:asciiTheme="minorHAnsi" w:hAnsiTheme="minorHAnsi"/>
          <w:sz w:val="18"/>
          <w:szCs w:val="18"/>
        </w:rPr>
        <w:t xml:space="preserve">The </w:t>
      </w:r>
      <w:r w:rsidRPr="00640EC9">
        <w:rPr>
          <w:rFonts w:asciiTheme="minorHAnsi" w:hAnsiTheme="minorHAnsi"/>
          <w:sz w:val="18"/>
          <w:szCs w:val="18"/>
        </w:rPr>
        <w:t>World Bank’s Climate Change Knowledge Portal.</w:t>
      </w:r>
    </w:p>
  </w:footnote>
  <w:footnote w:id="13">
    <w:p w:rsidR="007F2DE7" w:rsidRPr="00640EC9" w:rsidP="007F2DE7">
      <w:pPr>
        <w:pStyle w:val="FootnoteText"/>
        <w:rPr>
          <w:rFonts w:asciiTheme="minorHAnsi" w:hAnsiTheme="minorHAnsi"/>
          <w:sz w:val="18"/>
          <w:szCs w:val="18"/>
        </w:rPr>
      </w:pPr>
      <w:r w:rsidRPr="00640EC9">
        <w:rPr>
          <w:rStyle w:val="FootnoteReference"/>
          <w:rFonts w:asciiTheme="minorHAnsi" w:eastAsiaTheme="majorEastAsia" w:hAnsiTheme="minorHAnsi"/>
          <w:sz w:val="18"/>
          <w:szCs w:val="18"/>
        </w:rPr>
        <w:footnoteRef/>
      </w:r>
      <w:r w:rsidRPr="00640EC9">
        <w:rPr>
          <w:rFonts w:asciiTheme="minorHAnsi" w:hAnsiTheme="minorHAnsi"/>
          <w:sz w:val="18"/>
          <w:szCs w:val="18"/>
        </w:rPr>
        <w:t xml:space="preserve"> The Joint W</w:t>
      </w:r>
      <w:r>
        <w:rPr>
          <w:rFonts w:asciiTheme="minorHAnsi" w:hAnsiTheme="minorHAnsi"/>
          <w:sz w:val="18"/>
          <w:szCs w:val="18"/>
        </w:rPr>
        <w:t xml:space="preserve">orld </w:t>
      </w:r>
      <w:r w:rsidRPr="00640EC9">
        <w:rPr>
          <w:rFonts w:asciiTheme="minorHAnsi" w:hAnsiTheme="minorHAnsi"/>
          <w:sz w:val="18"/>
          <w:szCs w:val="18"/>
        </w:rPr>
        <w:t>B</w:t>
      </w:r>
      <w:r>
        <w:rPr>
          <w:rFonts w:asciiTheme="minorHAnsi" w:hAnsiTheme="minorHAnsi"/>
          <w:sz w:val="18"/>
          <w:szCs w:val="18"/>
        </w:rPr>
        <w:t>ank</w:t>
      </w:r>
      <w:r w:rsidRPr="00640EC9">
        <w:rPr>
          <w:rFonts w:asciiTheme="minorHAnsi" w:hAnsiTheme="minorHAnsi"/>
          <w:sz w:val="18"/>
          <w:szCs w:val="18"/>
        </w:rPr>
        <w:t>-UNHCR Lake Chad Forced Displacement Assessment, 2016.</w:t>
      </w:r>
    </w:p>
  </w:footnote>
  <w:footnote w:id="14">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Excluding the infrastructure,</w:t>
      </w:r>
      <w:r w:rsidRPr="00640EC9">
        <w:rPr>
          <w:rFonts w:asciiTheme="minorHAnsi" w:hAnsiTheme="minorHAnsi"/>
          <w:bCs/>
          <w:sz w:val="18"/>
          <w:szCs w:val="18"/>
        </w:rPr>
        <w:t xml:space="preserve"> </w:t>
      </w:r>
      <w:r w:rsidRPr="00640EC9">
        <w:rPr>
          <w:rFonts w:asciiTheme="minorHAnsi" w:hAnsiTheme="minorHAnsi"/>
          <w:sz w:val="18"/>
          <w:szCs w:val="18"/>
        </w:rPr>
        <w:t>service delivery</w:t>
      </w:r>
      <w:r>
        <w:rPr>
          <w:rFonts w:asciiTheme="minorHAnsi" w:hAnsiTheme="minorHAnsi"/>
          <w:sz w:val="18"/>
          <w:szCs w:val="18"/>
        </w:rPr>
        <w:t>,</w:t>
      </w:r>
      <w:r w:rsidRPr="00640EC9">
        <w:rPr>
          <w:rFonts w:asciiTheme="minorHAnsi" w:hAnsiTheme="minorHAnsi"/>
          <w:sz w:val="18"/>
          <w:szCs w:val="18"/>
        </w:rPr>
        <w:t xml:space="preserve"> and livelihoods needs covered by other RPBA components</w:t>
      </w:r>
      <w:r>
        <w:rPr>
          <w:rFonts w:asciiTheme="minorHAnsi" w:hAnsiTheme="minorHAnsi"/>
          <w:sz w:val="18"/>
          <w:szCs w:val="18"/>
        </w:rPr>
        <w:t>.</w:t>
      </w:r>
    </w:p>
  </w:footnote>
  <w:footnote w:id="15">
    <w:p w:rsidR="007F2DE7" w:rsidRPr="00640EC9" w:rsidP="007F2DE7">
      <w:pPr>
        <w:pStyle w:val="FootnoteText"/>
        <w:rPr>
          <w:rFonts w:asciiTheme="minorHAnsi" w:hAnsiTheme="minorHAnsi"/>
          <w:sz w:val="18"/>
          <w:szCs w:val="18"/>
        </w:rPr>
      </w:pPr>
      <w:r w:rsidRPr="00640EC9">
        <w:rPr>
          <w:rStyle w:val="FootnoteReference"/>
          <w:rFonts w:asciiTheme="minorHAnsi" w:eastAsiaTheme="minorEastAsia" w:hAnsiTheme="minorHAnsi"/>
          <w:sz w:val="18"/>
          <w:szCs w:val="18"/>
        </w:rPr>
        <w:footnoteRef/>
      </w:r>
      <w:r w:rsidRPr="00640EC9">
        <w:rPr>
          <w:rFonts w:asciiTheme="minorHAnsi" w:hAnsiTheme="minorHAnsi"/>
          <w:sz w:val="18"/>
          <w:szCs w:val="18"/>
        </w:rPr>
        <w:t xml:space="preserve"> This could include</w:t>
      </w:r>
      <w:r>
        <w:rPr>
          <w:rFonts w:asciiTheme="minorHAnsi" w:hAnsiTheme="minorHAnsi"/>
          <w:sz w:val="18"/>
          <w:szCs w:val="18"/>
        </w:rPr>
        <w:t>,</w:t>
      </w:r>
      <w:r w:rsidRPr="00640EC9">
        <w:rPr>
          <w:rFonts w:asciiTheme="minorHAnsi" w:hAnsiTheme="minorHAnsi"/>
          <w:sz w:val="18"/>
          <w:szCs w:val="18"/>
        </w:rPr>
        <w:t xml:space="preserve"> but not necessarily be limited to</w:t>
      </w:r>
      <w:r>
        <w:rPr>
          <w:rFonts w:asciiTheme="minorHAnsi" w:hAnsiTheme="minorHAnsi"/>
          <w:sz w:val="18"/>
          <w:szCs w:val="18"/>
        </w:rPr>
        <w:t>,</w:t>
      </w:r>
      <w:r w:rsidRPr="00640EC9">
        <w:rPr>
          <w:rFonts w:asciiTheme="minorHAnsi" w:hAnsiTheme="minorHAnsi"/>
          <w:sz w:val="18"/>
          <w:szCs w:val="18"/>
        </w:rPr>
        <w:t xml:space="preserve"> kitchen sets, mosquito nets, plastic mats, blankets, hygiene kits</w:t>
      </w:r>
      <w:r>
        <w:rPr>
          <w:rFonts w:asciiTheme="minorHAnsi" w:hAnsiTheme="minorHAnsi"/>
          <w:sz w:val="18"/>
          <w:szCs w:val="18"/>
        </w:rPr>
        <w:t>,</w:t>
      </w:r>
      <w:r w:rsidRPr="00640EC9">
        <w:rPr>
          <w:rFonts w:asciiTheme="minorHAnsi" w:hAnsiTheme="minorHAnsi"/>
          <w:sz w:val="18"/>
          <w:szCs w:val="18"/>
        </w:rPr>
        <w:t xml:space="preserve"> and other necessities. </w:t>
      </w:r>
    </w:p>
  </w:footnote>
  <w:footnote w:id="16">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Macheve,</w:t>
      </w:r>
      <w:r>
        <w:rPr>
          <w:rFonts w:asciiTheme="minorHAnsi" w:hAnsiTheme="minorHAnsi"/>
          <w:sz w:val="18"/>
          <w:szCs w:val="18"/>
        </w:rPr>
        <w:t xml:space="preserve"> </w:t>
      </w:r>
      <w:r w:rsidRPr="00640EC9">
        <w:rPr>
          <w:rFonts w:asciiTheme="minorHAnsi" w:hAnsiTheme="minorHAnsi"/>
          <w:sz w:val="18"/>
          <w:szCs w:val="18"/>
        </w:rPr>
        <w:t>Berta</w:t>
      </w:r>
      <w:r>
        <w:rPr>
          <w:rFonts w:asciiTheme="minorHAnsi" w:hAnsiTheme="minorHAnsi"/>
          <w:sz w:val="18"/>
          <w:szCs w:val="18"/>
        </w:rPr>
        <w:t>,</w:t>
      </w:r>
      <w:r w:rsidRPr="00640EC9">
        <w:rPr>
          <w:rFonts w:asciiTheme="minorHAnsi" w:hAnsiTheme="minorHAnsi"/>
          <w:sz w:val="18"/>
          <w:szCs w:val="18"/>
        </w:rPr>
        <w:t xml:space="preserve"> Alexander Danilenko, Roohi Abdullah, Abel Bove</w:t>
      </w:r>
      <w:r>
        <w:rPr>
          <w:rFonts w:asciiTheme="minorHAnsi" w:hAnsiTheme="minorHAnsi"/>
          <w:sz w:val="18"/>
          <w:szCs w:val="18"/>
        </w:rPr>
        <w:t>,</w:t>
      </w:r>
      <w:r w:rsidRPr="00640EC9">
        <w:rPr>
          <w:rFonts w:asciiTheme="minorHAnsi" w:hAnsiTheme="minorHAnsi"/>
          <w:sz w:val="18"/>
          <w:szCs w:val="18"/>
        </w:rPr>
        <w:t xml:space="preserve"> and L. Joe Moffitt.</w:t>
      </w:r>
      <w:r>
        <w:rPr>
          <w:rFonts w:asciiTheme="minorHAnsi" w:hAnsiTheme="minorHAnsi"/>
          <w:sz w:val="18"/>
          <w:szCs w:val="18"/>
        </w:rPr>
        <w:t xml:space="preserve"> 2015.</w:t>
      </w:r>
      <w:r w:rsidRPr="00640EC9">
        <w:rPr>
          <w:rFonts w:asciiTheme="minorHAnsi" w:hAnsiTheme="minorHAnsi"/>
          <w:sz w:val="18"/>
          <w:szCs w:val="18"/>
        </w:rPr>
        <w:t xml:space="preserve"> </w:t>
      </w:r>
      <w:r w:rsidRPr="00640EC9">
        <w:rPr>
          <w:rFonts w:asciiTheme="minorHAnsi" w:hAnsiTheme="minorHAnsi"/>
          <w:i/>
          <w:sz w:val="18"/>
          <w:szCs w:val="18"/>
          <w:shd w:val="clear" w:color="auto" w:fill="FFFFFF"/>
        </w:rPr>
        <w:t>State Water Agencies in Nigeria: A Performance Assessment</w:t>
      </w:r>
      <w:r w:rsidRPr="00640EC9">
        <w:rPr>
          <w:rFonts w:asciiTheme="minorHAnsi" w:hAnsiTheme="minorHAnsi"/>
          <w:sz w:val="18"/>
          <w:szCs w:val="18"/>
          <w:shd w:val="clear" w:color="auto" w:fill="FFFFFF"/>
        </w:rPr>
        <w:t xml:space="preserve">.  </w:t>
      </w:r>
    </w:p>
  </w:footnote>
  <w:footnote w:id="17">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These two AF projects are </w:t>
      </w:r>
      <w:r>
        <w:rPr>
          <w:rFonts w:asciiTheme="minorHAnsi" w:hAnsiTheme="minorHAnsi"/>
          <w:sz w:val="18"/>
          <w:szCs w:val="18"/>
        </w:rPr>
        <w:t xml:space="preserve">the </w:t>
      </w:r>
      <w:r w:rsidRPr="00640EC9">
        <w:rPr>
          <w:rFonts w:asciiTheme="minorHAnsi" w:hAnsiTheme="minorHAnsi"/>
          <w:sz w:val="18"/>
          <w:szCs w:val="18"/>
        </w:rPr>
        <w:t>CSDP and YESSO.</w:t>
      </w:r>
    </w:p>
  </w:footnote>
  <w:footnote w:id="18">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The various templates and the process flow charts and detailed </w:t>
      </w:r>
      <w:r>
        <w:rPr>
          <w:rFonts w:asciiTheme="minorHAnsi" w:hAnsiTheme="minorHAnsi"/>
          <w:sz w:val="18"/>
          <w:szCs w:val="18"/>
        </w:rPr>
        <w:t xml:space="preserve">in </w:t>
      </w:r>
      <w:r w:rsidRPr="00640EC9">
        <w:rPr>
          <w:rFonts w:asciiTheme="minorHAnsi" w:hAnsiTheme="minorHAnsi"/>
          <w:sz w:val="18"/>
          <w:szCs w:val="18"/>
        </w:rPr>
        <w:t xml:space="preserve">the </w:t>
      </w:r>
      <w:r>
        <w:rPr>
          <w:rFonts w:asciiTheme="minorHAnsi" w:hAnsiTheme="minorHAnsi"/>
          <w:sz w:val="18"/>
          <w:szCs w:val="18"/>
        </w:rPr>
        <w:t>E</w:t>
      </w:r>
      <w:r w:rsidRPr="00640EC9">
        <w:rPr>
          <w:rFonts w:asciiTheme="minorHAnsi" w:hAnsiTheme="minorHAnsi"/>
          <w:sz w:val="18"/>
          <w:szCs w:val="18"/>
        </w:rPr>
        <w:t>xcel file,</w:t>
      </w:r>
      <w:r>
        <w:rPr>
          <w:rFonts w:asciiTheme="minorHAnsi" w:hAnsiTheme="minorHAnsi"/>
          <w:sz w:val="18"/>
          <w:szCs w:val="18"/>
        </w:rPr>
        <w:t>‘</w:t>
      </w:r>
      <w:r w:rsidRPr="00640EC9">
        <w:rPr>
          <w:rFonts w:asciiTheme="minorHAnsi" w:hAnsiTheme="minorHAnsi"/>
          <w:sz w:val="18"/>
          <w:szCs w:val="18"/>
        </w:rPr>
        <w:t>infrastructure and social service sector project investment costing</w:t>
      </w:r>
      <w:r>
        <w:rPr>
          <w:rFonts w:asciiTheme="minorHAnsi" w:hAnsiTheme="minorHAnsi"/>
          <w:sz w:val="18"/>
          <w:szCs w:val="18"/>
        </w:rPr>
        <w:t>’</w:t>
      </w:r>
      <w:r w:rsidRPr="00640EC9">
        <w:rPr>
          <w:rFonts w:asciiTheme="minorHAnsi" w:hAnsiTheme="minorHAnsi"/>
          <w:sz w:val="18"/>
          <w:szCs w:val="18"/>
        </w:rPr>
        <w:t>.</w:t>
      </w:r>
    </w:p>
  </w:footnote>
  <w:footnote w:id="19">
    <w:p w:rsidR="007F2DE7" w:rsidRPr="001978DC">
      <w:pPr>
        <w:pStyle w:val="FootnoteText"/>
        <w:rPr>
          <w:rFonts w:asciiTheme="minorHAnsi" w:hAnsiTheme="minorHAnsi"/>
          <w:sz w:val="18"/>
          <w:szCs w:val="18"/>
        </w:rPr>
      </w:pPr>
      <w:r w:rsidRPr="001978DC">
        <w:rPr>
          <w:rStyle w:val="FootnoteReference"/>
          <w:rFonts w:asciiTheme="minorHAnsi" w:hAnsiTheme="minorHAnsi"/>
          <w:sz w:val="18"/>
          <w:szCs w:val="18"/>
        </w:rPr>
        <w:footnoteRef/>
      </w:r>
      <w:r w:rsidRPr="001978DC">
        <w:rPr>
          <w:rFonts w:asciiTheme="minorHAnsi" w:hAnsiTheme="minorHAnsi"/>
          <w:sz w:val="18"/>
          <w:szCs w:val="18"/>
        </w:rPr>
        <w:t xml:space="preserve"> Systematic Tracking of Exchanges in Procurement</w:t>
      </w:r>
    </w:p>
  </w:footnote>
  <w:footnote w:id="20">
    <w:p w:rsidR="007F2DE7" w:rsidRPr="00640EC9" w:rsidP="007F2DE7">
      <w:pPr>
        <w:pStyle w:val="FootnoteText"/>
        <w:rPr>
          <w:rFonts w:asciiTheme="minorHAnsi" w:hAnsiTheme="minorHAnsi"/>
          <w:sz w:val="18"/>
          <w:szCs w:val="18"/>
        </w:rPr>
      </w:pPr>
      <w:r w:rsidRPr="00640EC9">
        <w:rPr>
          <w:rStyle w:val="FootnoteReference"/>
          <w:rFonts w:asciiTheme="minorHAnsi" w:hAnsiTheme="minorHAnsi"/>
          <w:sz w:val="18"/>
          <w:szCs w:val="18"/>
        </w:rPr>
        <w:footnoteRef/>
      </w:r>
      <w:r w:rsidRPr="00640EC9">
        <w:rPr>
          <w:rFonts w:asciiTheme="minorHAnsi" w:hAnsiTheme="minorHAnsi"/>
          <w:sz w:val="18"/>
          <w:szCs w:val="18"/>
        </w:rPr>
        <w:t xml:space="preserve"> While the current resources are not sufficient for financing </w:t>
      </w:r>
      <w:r>
        <w:rPr>
          <w:rFonts w:asciiTheme="minorHAnsi" w:hAnsiTheme="minorHAnsi"/>
          <w:sz w:val="18"/>
          <w:szCs w:val="18"/>
        </w:rPr>
        <w:t xml:space="preserve">a </w:t>
      </w:r>
      <w:r w:rsidRPr="00640EC9">
        <w:rPr>
          <w:rFonts w:asciiTheme="minorHAnsi" w:hAnsiTheme="minorHAnsi"/>
          <w:sz w:val="18"/>
          <w:szCs w:val="18"/>
        </w:rPr>
        <w:t xml:space="preserve">TPMA from </w:t>
      </w:r>
      <w:r>
        <w:rPr>
          <w:rFonts w:asciiTheme="minorHAnsi" w:hAnsiTheme="minorHAnsi"/>
          <w:sz w:val="18"/>
          <w:szCs w:val="18"/>
        </w:rPr>
        <w:t xml:space="preserve">the World </w:t>
      </w:r>
      <w:r w:rsidRPr="00640EC9">
        <w:rPr>
          <w:rFonts w:asciiTheme="minorHAnsi" w:hAnsiTheme="minorHAnsi"/>
          <w:sz w:val="18"/>
          <w:szCs w:val="18"/>
        </w:rPr>
        <w:t xml:space="preserve">Bank </w:t>
      </w:r>
      <w:r>
        <w:rPr>
          <w:rFonts w:asciiTheme="minorHAnsi" w:hAnsiTheme="minorHAnsi"/>
          <w:sz w:val="18"/>
          <w:szCs w:val="18"/>
        </w:rPr>
        <w:t>b</w:t>
      </w:r>
      <w:r w:rsidRPr="00640EC9">
        <w:rPr>
          <w:rFonts w:asciiTheme="minorHAnsi" w:hAnsiTheme="minorHAnsi"/>
          <w:sz w:val="18"/>
          <w:szCs w:val="18"/>
        </w:rPr>
        <w:t>udget, discussions with bilateral</w:t>
      </w:r>
      <w:r>
        <w:rPr>
          <w:rFonts w:asciiTheme="minorHAnsi" w:hAnsiTheme="minorHAnsi"/>
          <w:sz w:val="18"/>
          <w:szCs w:val="18"/>
        </w:rPr>
        <w:t xml:space="preserve"> institution</w:t>
      </w:r>
      <w:r w:rsidRPr="00640EC9">
        <w:rPr>
          <w:rFonts w:asciiTheme="minorHAnsi" w:hAnsiTheme="minorHAnsi"/>
          <w:sz w:val="18"/>
          <w:szCs w:val="18"/>
        </w:rPr>
        <w:t>s such as DFID have been under</w:t>
      </w:r>
      <w:r>
        <w:rPr>
          <w:rFonts w:asciiTheme="minorHAnsi" w:hAnsiTheme="minorHAnsi"/>
          <w:sz w:val="18"/>
          <w:szCs w:val="18"/>
        </w:rPr>
        <w:t xml:space="preserve"> </w:t>
      </w:r>
      <w:r w:rsidRPr="00640EC9">
        <w:rPr>
          <w:rFonts w:asciiTheme="minorHAnsi" w:hAnsiTheme="minorHAnsi"/>
          <w:sz w:val="18"/>
          <w:szCs w:val="18"/>
        </w:rPr>
        <w:t xml:space="preserve">way to explore the possibility for such agencies to engage a TPMA for </w:t>
      </w:r>
      <w:r>
        <w:rPr>
          <w:rFonts w:asciiTheme="minorHAnsi" w:hAnsiTheme="minorHAnsi"/>
          <w:sz w:val="18"/>
          <w:szCs w:val="18"/>
        </w:rPr>
        <w:t xml:space="preserve">a </w:t>
      </w:r>
      <w:r w:rsidRPr="00640EC9">
        <w:rPr>
          <w:rFonts w:asciiTheme="minorHAnsi" w:hAnsiTheme="minorHAnsi"/>
          <w:sz w:val="18"/>
          <w:szCs w:val="18"/>
        </w:rPr>
        <w:t xml:space="preserve">broader crisis recovery program that could also benefit and extend services to other </w:t>
      </w:r>
      <w:r>
        <w:rPr>
          <w:rFonts w:asciiTheme="minorHAnsi" w:hAnsiTheme="minorHAnsi"/>
          <w:sz w:val="18"/>
          <w:szCs w:val="18"/>
        </w:rPr>
        <w:t xml:space="preserve">World </w:t>
      </w:r>
      <w:r w:rsidRPr="00640EC9">
        <w:rPr>
          <w:rFonts w:asciiTheme="minorHAnsi" w:hAnsiTheme="minorHAnsi"/>
          <w:sz w:val="18"/>
          <w:szCs w:val="18"/>
        </w:rPr>
        <w:t>Bank projects. In addition, the task team will be exploring whether secured trust funded resources from DFID can be used or scaled up to support this TPMA.</w:t>
      </w:r>
    </w:p>
  </w:footnote>
  <w:footnote w:id="21">
    <w:p w:rsidR="007F2DE7" w:rsidRPr="00640EC9" w:rsidP="007F2DE7">
      <w:pPr>
        <w:pStyle w:val="FootnoteText"/>
        <w:rPr>
          <w:rFonts w:asciiTheme="minorHAnsi" w:hAnsiTheme="minorHAnsi"/>
          <w:sz w:val="18"/>
          <w:szCs w:val="18"/>
        </w:rPr>
      </w:pPr>
      <w:r w:rsidRPr="00640EC9">
        <w:rPr>
          <w:rStyle w:val="FootnoteReference"/>
          <w:rFonts w:asciiTheme="minorHAnsi" w:eastAsiaTheme="minorEastAsia" w:hAnsiTheme="minorHAnsi"/>
          <w:sz w:val="18"/>
          <w:szCs w:val="18"/>
        </w:rPr>
        <w:footnoteRef/>
      </w:r>
      <w:r w:rsidRPr="00640EC9">
        <w:rPr>
          <w:rFonts w:asciiTheme="minorHAnsi" w:hAnsiTheme="minorHAnsi"/>
          <w:sz w:val="18"/>
          <w:szCs w:val="18"/>
        </w:rPr>
        <w:t xml:space="preserve"> Including for implementation, fiduciary</w:t>
      </w:r>
      <w:r>
        <w:rPr>
          <w:rFonts w:asciiTheme="minorHAnsi" w:hAnsiTheme="minorHAnsi"/>
          <w:sz w:val="18"/>
          <w:szCs w:val="18"/>
        </w:rPr>
        <w:t>,</w:t>
      </w:r>
      <w:r w:rsidRPr="00640EC9">
        <w:rPr>
          <w:rFonts w:asciiTheme="minorHAnsi" w:hAnsiTheme="minorHAnsi"/>
          <w:sz w:val="18"/>
          <w:szCs w:val="18"/>
        </w:rPr>
        <w:t xml:space="preserve"> and safeguards risk mitigation.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W w:w="11216" w:type="dxa"/>
      <w:jc w:val="center"/>
      <w:tblBorders>
        <w:top w:val="nil"/>
        <w:left w:val="nil"/>
        <w:bottom w:val="nil"/>
        <w:right w:val="nil"/>
        <w:insideH w:val="nil"/>
        <w:insideV w:val="nil"/>
      </w:tblBorders>
      <w:tblLayout w:type="fixed"/>
      <w:tblLook w:val="04A0"/>
    </w:tblPr>
    <w:tblGrid>
      <w:gridCol w:w="777"/>
      <w:gridCol w:w="5218"/>
      <w:gridCol w:w="5221"/>
    </w:tblGrid>
    <w:tr w:rsidTr="007F2DE7">
      <w:tblPrEx>
        <w:tblW w:w="11216" w:type="dxa"/>
        <w:jc w:val="center"/>
        <w:tblBorders>
          <w:top w:val="nil"/>
          <w:left w:val="nil"/>
          <w:bottom w:val="nil"/>
          <w:right w:val="nil"/>
          <w:insideH w:val="nil"/>
          <w:insideV w:val="nil"/>
        </w:tblBorders>
        <w:tblLayout w:type="fixed"/>
        <w:tblLook w:val="04A0"/>
      </w:tblPrEx>
      <w:trPr>
        <w:trHeight w:val="162"/>
        <w:jc w:val="center"/>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11216" w:type="dxa"/>
        <w:jc w:val="center"/>
        <w:tblLayout w:type="fixed"/>
        <w:tblLook w:val="04A0"/>
      </w:tblPrEx>
      <w:trPr>
        <w:trHeight w:val="231"/>
        <w:jc w:val="center"/>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11216" w:type="dxa"/>
        <w:jc w:val="center"/>
        <w:tblLayout w:type="fixed"/>
        <w:tblLook w:val="04A0"/>
      </w:tblPrEx>
      <w:trPr>
        <w:trHeight w:val="313"/>
        <w:jc w:val="center"/>
      </w:trPr>
      <w:tc>
        <w:tcPr>
          <w:tcW w:w="11216" w:type="dxa"/>
          <w:gridSpan w:val="3"/>
        </w:tcPr>
        <w:p w:rsidR="007F2DE7" w:rsidP="007F2DE7">
          <w:pPr>
            <w:pStyle w:val="Header20"/>
          </w:pPr>
          <w:r>
            <w:rPr>
              <w:i/>
              <w:noProof/>
              <w:color w:val="44546A" w:themeColor="text2"/>
            </w:rPr>
            <w:pict>
              <v:line id="Straight Connector 5" o:spid="_x0000_s2049" style="mso-height-percent:0;mso-height-relative:margin;mso-width-percent:0;mso-width-relative:margin;mso-wrap-distance-bottom:0;mso-wrap-distance-left:9pt;mso-wrap-distance-right:9pt;mso-wrap-distance-top:0;mso-wrap-style:square;position:absolute;visibility:visible;z-index:251658240" from="-13.75pt,6.9pt" to="550.75pt,6.9pt" strokecolor="#4e92d1" strokeweight="4.5pt"/>
            </w:pict>
          </w:r>
        </w:p>
      </w:tc>
    </w:tr>
  </w:tbl>
  <w:p w:rsidR="007F2DE7">
    <w:pPr>
      <w:pStyle w:val="Header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898"/>
      <w:gridCol w:w="6029"/>
      <w:gridCol w:w="6033"/>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w:pict>
              <v:line id="_x0000_s2066" style="flip:y;mso-height-percent:0;mso-height-relative:margin;mso-width-percent:0;mso-width-relative:margin;mso-wrap-distance-bottom:0;mso-wrap-distance-left:9pt;mso-wrap-distance-right:9pt;mso-wrap-distance-top:0;mso-wrap-style:square;position:absolute;visibility:visible;z-index:251680768" from="-9.25pt,12.1pt" to="731pt,12.1pt" strokecolor="#4e92d1" strokeweight="4.5pt"/>
            </w:pict>
          </w:r>
        </w:p>
      </w:tc>
    </w:tr>
  </w:tbl>
  <w:p w:rsidR="007F2DE7">
    <w:pPr>
      <w:pStyle w:val="Header2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898"/>
      <w:gridCol w:w="6029"/>
      <w:gridCol w:w="6033"/>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3481196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mc:AlternateContent>
              <mc:Choice Requires="wps">
                <w:drawing>
                  <wp:anchor distT="0" distB="0" distL="114300" distR="114300" simplePos="0" relativeHeight="251663360" behindDoc="0" locked="0" layoutInCell="1" allowOverlap="1">
                    <wp:simplePos x="0" y="0"/>
                    <wp:positionH relativeFrom="column">
                      <wp:posOffset>-117475</wp:posOffset>
                    </wp:positionH>
                    <wp:positionV relativeFrom="paragraph">
                      <wp:posOffset>153670</wp:posOffset>
                    </wp:positionV>
                    <wp:extent cx="9401175" cy="0"/>
                    <wp:effectExtent l="34925" t="29845" r="31750" b="3683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2068" style="flip:y;mso-height-percent:0;mso-height-relative:margin;mso-width-percent:0;mso-width-relative:margin;mso-wrap-distance-bottom:0;mso-wrap-distance-left:9pt;mso-wrap-distance-right:9pt;mso-wrap-distance-top:0;mso-wrap-style:square;position:absolute;visibility:visible;z-index:251664384" from="-9.25pt,12.1pt" to="731pt,12.1pt" strokecolor="#4e92d1" strokeweight="4.5pt"/>
                </w:pict>
              </mc:Fallback>
            </mc:AlternateContent>
          </w:r>
        </w:p>
      </w:tc>
    </w:tr>
  </w:tbl>
  <w:p w:rsidR="007F2DE7">
    <w:pPr>
      <w:pStyle w:val="Header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681"/>
      <w:gridCol w:w="4338"/>
      <w:gridCol w:w="4341"/>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w:pict>
              <v:line id="_x0000_s2051" style="mso-height-percent:0;mso-height-relative:margin;mso-width-percent:0;mso-width-relative:margin;mso-wrap-distance-bottom:0;mso-wrap-distance-left:9pt;mso-wrap-distance-right:9pt;mso-wrap-distance-top:0;mso-wrap-style:square;position:absolute;visibility:visible;z-index:251683840" from="-13.75pt,6.9pt" to="550.75pt,6.9pt" strokecolor="#4e92d1" strokeweight="4.5pt"/>
            </w:pict>
          </w:r>
        </w:p>
      </w:tc>
    </w:tr>
  </w:tbl>
  <w:p w:rsidR="007F2DE7">
    <w:pPr>
      <w:pStyle w:val="Header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rsidTr="007F2DE7">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11216" w:type="dxa"/>
        <w:tblInd w:w="-960" w:type="dxa"/>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11216" w:type="dxa"/>
        <w:tblInd w:w="-960" w:type="dxa"/>
        <w:tblLayout w:type="fixed"/>
        <w:tblLook w:val="04A0"/>
      </w:tblPrEx>
      <w:trPr>
        <w:trHeight w:val="313"/>
      </w:trPr>
      <w:tc>
        <w:tcPr>
          <w:tcW w:w="11216" w:type="dxa"/>
          <w:gridSpan w:val="3"/>
        </w:tcPr>
        <w:p w:rsidR="007F2DE7" w:rsidP="007F2DE7">
          <w:pPr>
            <w:pStyle w:val="Header20"/>
          </w:pPr>
          <w:r>
            <w:rPr>
              <w:i/>
              <w:noProof/>
              <w:color w:val="44546A" w:themeColor="text2"/>
            </w:rPr>
            <w:pict>
              <v:line id="Straight Connector 3" o:spid="_x0000_s2052" style="flip:y;mso-height-percent:0;mso-height-relative:margin;mso-width-percent:0;mso-width-relative:margin;mso-wrap-distance-bottom:0;mso-wrap-distance-left:9pt;mso-wrap-distance-right:9pt;mso-wrap-distance-top:0;mso-wrap-style:square;position:absolute;visibility:visible;z-index:251666432" from="-9.25pt,12.1pt" to="731pt,12.1pt" strokecolor="#4e92d1" strokeweight="4.5pt"/>
            </w:pict>
          </w:r>
        </w:p>
      </w:tc>
    </w:tr>
  </w:tbl>
  <w:p w:rsidR="007F2DE7">
    <w:pPr>
      <w:pStyle w:val="Header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rsidTr="007F2DE7">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11216" w:type="dxa"/>
        <w:tblInd w:w="-960" w:type="dxa"/>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11216" w:type="dxa"/>
        <w:tblInd w:w="-960" w:type="dxa"/>
        <w:tblLayout w:type="fixed"/>
        <w:tblLook w:val="04A0"/>
      </w:tblPrEx>
      <w:trPr>
        <w:trHeight w:val="313"/>
      </w:trPr>
      <w:tc>
        <w:tcPr>
          <w:tcW w:w="11216" w:type="dxa"/>
          <w:gridSpan w:val="3"/>
        </w:tcPr>
        <w:p w:rsidR="007F2DE7" w:rsidP="007F2DE7">
          <w:pPr>
            <w:pStyle w:val="Header20"/>
          </w:pPr>
          <w:r>
            <w:rPr>
              <w:i/>
              <w:noProof/>
              <w:color w:val="44546A" w:themeColor="text2"/>
            </w:rPr>
            <w:pict>
              <v:line id="Straight Connector 14" o:spid="_x0000_s2054" style="flip:y;mso-height-percent:0;mso-height-relative:margin;mso-width-percent:0;mso-width-relative:margin;mso-wrap-distance-bottom:0;mso-wrap-distance-left:9pt;mso-wrap-distance-right:9pt;mso-wrap-distance-top:0;mso-wrap-style:square;position:absolute;visibility:visible;z-index:251665408" from="-9.25pt,12.1pt" to="731pt,12.1pt" strokecolor="#4e92d1" strokeweight="4.5pt"/>
            </w:pict>
          </w:r>
        </w:p>
      </w:tc>
    </w:tr>
  </w:tbl>
  <w:p w:rsidR="007F2DE7">
    <w:pPr>
      <w:pStyle w:val="Header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681"/>
      <w:gridCol w:w="4338"/>
      <w:gridCol w:w="4341"/>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w:pict>
              <v:line id="Straight Connector 9" o:spid="_x0000_s2056" style="flip:y;mso-height-percent:0;mso-height-relative:margin;mso-width-percent:0;mso-width-relative:margin;mso-wrap-distance-bottom:0;mso-wrap-distance-left:9pt;mso-wrap-distance-right:9pt;mso-wrap-distance-top:0;mso-wrap-style:square;position:absolute;visibility:visible;z-index:251660288" from="-9.25pt,12.1pt" to="731pt,12.1pt" strokecolor="#4e92d1" strokeweight="4.5pt"/>
            </w:pict>
          </w:r>
        </w:p>
      </w:tc>
    </w:tr>
  </w:tbl>
  <w:p w:rsidR="007F2DE7">
    <w:pPr>
      <w:pStyle w:val="Header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898"/>
      <w:gridCol w:w="6029"/>
      <w:gridCol w:w="6033"/>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mc:AlternateContent>
              <mc:Choice Requires="wps">
                <w:drawing>
                  <wp:anchor distT="0" distB="0" distL="114300" distR="114300" simplePos="0" relativeHeight="251661312" behindDoc="0" locked="0" layoutInCell="1" allowOverlap="1">
                    <wp:simplePos x="0" y="0"/>
                    <wp:positionH relativeFrom="column">
                      <wp:posOffset>-117475</wp:posOffset>
                    </wp:positionH>
                    <wp:positionV relativeFrom="paragraph">
                      <wp:posOffset>153670</wp:posOffset>
                    </wp:positionV>
                    <wp:extent cx="9401175" cy="0"/>
                    <wp:effectExtent l="36830" t="37465" r="29845" b="2921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2058" style="flip:y;mso-height-percent:0;mso-height-relative:margin;mso-width-percent:0;mso-width-relative:margin;mso-wrap-distance-bottom:0;mso-wrap-distance-left:9pt;mso-wrap-distance-right:9pt;mso-wrap-distance-top:0;mso-wrap-style:square;position:absolute;visibility:visible;z-index:251662336" from="-9.25pt,12.1pt" to="731pt,12.1pt" strokecolor="#4e92d1" strokeweight="4.5pt"/>
                </w:pict>
              </mc:Fallback>
            </mc:AlternateContent>
          </w:r>
        </w:p>
      </w:tc>
    </w:tr>
  </w:tbl>
  <w:p w:rsidR="007F2DE7">
    <w:pPr>
      <w:pStyle w:val="Header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681"/>
      <w:gridCol w:w="4338"/>
      <w:gridCol w:w="4341"/>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w:pict>
              <v:line id="_x0000_s2060" style="flip:y;mso-height-percent:0;mso-height-relative:margin;mso-width-percent:0;mso-width-relative:margin;mso-wrap-distance-bottom:0;mso-wrap-distance-left:9pt;mso-wrap-distance-right:9pt;mso-wrap-distance-top:0;mso-wrap-style:square;position:absolute;visibility:visible;z-index:251672576" from="-9.25pt,12.1pt" to="731pt,12.1pt" strokecolor="#4e92d1" strokeweight="4.5pt"/>
            </w:pict>
          </w:r>
        </w:p>
      </w:tc>
    </w:tr>
  </w:tbl>
  <w:p w:rsidR="007F2DE7">
    <w:pPr>
      <w:pStyle w:val="Header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898"/>
      <w:gridCol w:w="6029"/>
      <w:gridCol w:w="6033"/>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w:pict>
              <v:line id="_x0000_s2062" style="flip:y;mso-height-percent:0;mso-height-relative:margin;mso-width-percent:0;mso-width-relative:margin;mso-wrap-distance-bottom:0;mso-wrap-distance-left:9pt;mso-wrap-distance-right:9pt;mso-wrap-distance-top:0;mso-wrap-style:square;position:absolute;visibility:visible;z-index:251682816" from="-9.25pt,12.1pt" to="731pt,12.1pt" strokecolor="#4e92d1" strokeweight="4.5pt"/>
            </w:pict>
          </w:r>
        </w:p>
      </w:tc>
    </w:tr>
  </w:tbl>
  <w:p w:rsidR="007F2DE7">
    <w:pPr>
      <w:pStyle w:val="Header2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6"/>
      <w:tblpPr w:leftFromText="187" w:rightFromText="187" w:vertAnchor="text" w:horzAnchor="margin" w:tblpXSpec="center" w:tblpY="1"/>
      <w:tblOverlap w:val="never"/>
      <w:tblW w:w="5000" w:type="pct"/>
      <w:tblBorders>
        <w:top w:val="nil"/>
        <w:left w:val="nil"/>
        <w:bottom w:val="nil"/>
        <w:right w:val="nil"/>
        <w:insideH w:val="nil"/>
        <w:insideV w:val="nil"/>
      </w:tblBorders>
      <w:tblLayout w:type="fixed"/>
      <w:tblLook w:val="04A0"/>
    </w:tblPr>
    <w:tblGrid>
      <w:gridCol w:w="681"/>
      <w:gridCol w:w="4338"/>
      <w:gridCol w:w="4341"/>
    </w:tblGrid>
    <w:tr w:rsidTr="007F2DE7">
      <w:tblPrEx>
        <w:tblW w:w="5000" w:type="pct"/>
        <w:tblBorders>
          <w:top w:val="nil"/>
          <w:left w:val="nil"/>
          <w:bottom w:val="nil"/>
          <w:right w:val="nil"/>
          <w:insideH w:val="nil"/>
          <w:insideV w:val="nil"/>
        </w:tblBorders>
        <w:tblLayout w:type="fixed"/>
        <w:tblLook w:val="04A0"/>
      </w:tblPrEx>
      <w:trPr>
        <w:trHeight w:val="162"/>
      </w:trPr>
      <w:tc>
        <w:tcPr>
          <w:tcW w:w="777" w:type="dxa"/>
          <w:vMerge w:val="restart"/>
        </w:tcPr>
        <w:p w:rsidR="007F2DE7" w:rsidRPr="00BF642B" w:rsidP="007F2DE7">
          <w:pPr>
            <w:pStyle w:val="Header20"/>
            <w:rPr>
              <w:b/>
            </w:rPr>
          </w:pPr>
          <w:r w:rsidRPr="00BF642B">
            <w:rPr>
              <w:b/>
              <w:noProof/>
            </w:rPr>
            <w:drawing>
              <wp:inline distT="0" distB="0" distL="0" distR="0">
                <wp:extent cx="295275" cy="2894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7F2DE7" w:rsidP="007F2DE7">
          <w:pPr>
            <w:pStyle w:val="Header20"/>
            <w:ind w:left="-108"/>
          </w:pPr>
          <w:r w:rsidRPr="005F6C54">
            <w:rPr>
              <w:b/>
            </w:rPr>
            <w:t>The World Bank</w:t>
          </w:r>
        </w:p>
      </w:tc>
      <w:tc>
        <w:tcPr>
          <w:tcW w:w="5221" w:type="dxa"/>
          <w:vAlign w:val="center"/>
        </w:tcPr>
        <w:p w:rsidR="007F2DE7" w:rsidP="007F2DE7">
          <w:pPr>
            <w:pStyle w:val="Header20"/>
            <w:jc w:val="right"/>
          </w:pPr>
        </w:p>
      </w:tc>
    </w:tr>
    <w:tr w:rsidTr="007F2DE7">
      <w:tblPrEx>
        <w:tblW w:w="5000" w:type="pct"/>
        <w:tblLayout w:type="fixed"/>
        <w:tblLook w:val="04A0"/>
      </w:tblPrEx>
      <w:trPr>
        <w:trHeight w:val="231"/>
      </w:trPr>
      <w:tc>
        <w:tcPr>
          <w:tcW w:w="777" w:type="dxa"/>
          <w:vMerge/>
        </w:tcPr>
        <w:p w:rsidR="007F2DE7" w:rsidRPr="00BF642B" w:rsidP="007F2DE7">
          <w:pPr>
            <w:pStyle w:val="Header20"/>
            <w:rPr>
              <w:b/>
              <w:noProof/>
            </w:rPr>
          </w:pPr>
        </w:p>
      </w:tc>
      <w:tc>
        <w:tcPr>
          <w:tcW w:w="10439" w:type="dxa"/>
          <w:gridSpan w:val="2"/>
        </w:tcPr>
        <w:p w:rsidR="007F2DE7" w:rsidRPr="006E6C00" w:rsidP="007F2DE7">
          <w:pPr>
            <w:pStyle w:val="Header20"/>
            <w:ind w:left="-108"/>
            <w:rPr>
              <w:bCs/>
              <w:noProof/>
              <w:sz w:val="20"/>
              <w:szCs w:val="20"/>
            </w:rPr>
          </w:pPr>
          <w:r>
            <w:rPr>
              <w:bCs/>
              <w:noProof/>
              <w:sz w:val="20"/>
              <w:szCs w:val="20"/>
            </w:rPr>
            <w:t>Multi-Sectoral Crisis Recovery Project for North Eastern Nigeria</w:t>
          </w:r>
          <w:r>
            <w:rPr>
              <w:bCs/>
              <w:sz w:val="20"/>
              <w:szCs w:val="20"/>
            </w:rPr>
            <w:t xml:space="preserve"> (</w:t>
          </w:r>
          <w:r>
            <w:rPr>
              <w:bCs/>
              <w:noProof/>
              <w:sz w:val="20"/>
              <w:szCs w:val="20"/>
            </w:rPr>
            <w:t>P157891</w:t>
          </w:r>
          <w:r w:rsidRPr="006435B1">
            <w:rPr>
              <w:bCs/>
              <w:sz w:val="20"/>
              <w:szCs w:val="20"/>
            </w:rPr>
            <w:t>)</w:t>
          </w:r>
        </w:p>
      </w:tc>
    </w:tr>
    <w:tr w:rsidTr="007F2DE7">
      <w:tblPrEx>
        <w:tblW w:w="5000" w:type="pct"/>
        <w:tblLayout w:type="fixed"/>
        <w:tblLook w:val="04A0"/>
      </w:tblPrEx>
      <w:trPr>
        <w:trHeight w:val="313"/>
      </w:trPr>
      <w:tc>
        <w:tcPr>
          <w:tcW w:w="11216" w:type="dxa"/>
          <w:gridSpan w:val="3"/>
        </w:tcPr>
        <w:p w:rsidR="007F2DE7" w:rsidP="007F2DE7">
          <w:pPr>
            <w:pStyle w:val="Header20"/>
          </w:pPr>
          <w:r>
            <w:rPr>
              <w:i/>
              <w:noProof/>
              <w:color w:val="44546A" w:themeColor="text2"/>
            </w:rPr>
            <w:pict>
              <v:line id="_x0000_s2064" style="flip:y;mso-height-percent:0;mso-height-relative:margin;mso-width-percent:0;mso-width-relative:margin;mso-wrap-distance-bottom:0;mso-wrap-distance-left:9pt;mso-wrap-distance-right:9pt;mso-wrap-distance-top:0;mso-wrap-style:square;position:absolute;visibility:visible;z-index:251681792" from="-9.25pt,12.1pt" to="731pt,12.1pt" strokecolor="#4e92d1" strokeweight="4.5pt"/>
            </w:pict>
          </w:r>
        </w:p>
      </w:tc>
    </w:tr>
  </w:tbl>
  <w:p w:rsidR="007F2DE7">
    <w:pPr>
      <w:pStyle w:val="Header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635A36"/>
    <w:multiLevelType w:val="hybridMultilevel"/>
    <w:tmpl w:val="325EC828"/>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Letter"/>
      <w:lvlText w:val="(%2)"/>
      <w:lvlJc w:val="left"/>
      <w:pPr>
        <w:ind w:left="446" w:hanging="360"/>
      </w:pPr>
      <w:rPr>
        <w:rFonts w:hint="default"/>
      </w:r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1">
    <w:nsid w:val="03FE6721"/>
    <w:multiLevelType w:val="hybridMultilevel"/>
    <w:tmpl w:val="4FB8C94E"/>
    <w:lvl w:ilvl="0">
      <w:start w:val="1"/>
      <w:numFmt w:val="lowerLetter"/>
      <w:lvlText w:val="(%1)"/>
      <w:lvlJc w:val="left"/>
      <w:pPr>
        <w:ind w:left="630" w:hanging="360"/>
      </w:pPr>
      <w:rPr>
        <w:rFonts w:hint="default"/>
        <w:b w:val="0"/>
        <w:i w:val="0"/>
        <w:color w:val="auto"/>
        <w:sz w:val="22"/>
        <w:szCs w:val="22"/>
      </w:rPr>
    </w:lvl>
    <w:lvl w:ilvl="1">
      <w:start w:val="1"/>
      <w:numFmt w:val="lowerLetter"/>
      <w:lvlText w:val="%2."/>
      <w:lvlJc w:val="left"/>
      <w:pPr>
        <w:ind w:left="446" w:hanging="360"/>
      </w:p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2">
    <w:nsid w:val="041D6E25"/>
    <w:multiLevelType w:val="hybridMultilevel"/>
    <w:tmpl w:val="BB38DE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6255EE9"/>
    <w:multiLevelType w:val="hybridMultilevel"/>
    <w:tmpl w:val="B93230DA"/>
    <w:lvl w:ilvl="0">
      <w:start w:val="1"/>
      <w:numFmt w:val="bullet"/>
      <w:lvlText w:val=""/>
      <w:lvlJc w:val="left"/>
      <w:pPr>
        <w:ind w:left="867" w:hanging="360"/>
      </w:pPr>
      <w:rPr>
        <w:rFonts w:ascii="Symbol" w:hAnsi="Symbol" w:hint="default"/>
      </w:rPr>
    </w:lvl>
    <w:lvl w:ilvl="1" w:tentative="1">
      <w:start w:val="1"/>
      <w:numFmt w:val="bullet"/>
      <w:lvlText w:val="o"/>
      <w:lvlJc w:val="left"/>
      <w:pPr>
        <w:ind w:left="1587" w:hanging="360"/>
      </w:pPr>
      <w:rPr>
        <w:rFonts w:ascii="Courier New" w:hAnsi="Courier New" w:cs="Courier New" w:hint="default"/>
      </w:rPr>
    </w:lvl>
    <w:lvl w:ilvl="2" w:tentative="1">
      <w:start w:val="1"/>
      <w:numFmt w:val="bullet"/>
      <w:lvlText w:val=""/>
      <w:lvlJc w:val="left"/>
      <w:pPr>
        <w:ind w:left="2307" w:hanging="360"/>
      </w:pPr>
      <w:rPr>
        <w:rFonts w:ascii="Wingdings" w:hAnsi="Wingdings" w:hint="default"/>
      </w:rPr>
    </w:lvl>
    <w:lvl w:ilvl="3" w:tentative="1">
      <w:start w:val="1"/>
      <w:numFmt w:val="bullet"/>
      <w:lvlText w:val=""/>
      <w:lvlJc w:val="left"/>
      <w:pPr>
        <w:ind w:left="3027" w:hanging="360"/>
      </w:pPr>
      <w:rPr>
        <w:rFonts w:ascii="Symbol" w:hAnsi="Symbol" w:hint="default"/>
      </w:rPr>
    </w:lvl>
    <w:lvl w:ilvl="4" w:tentative="1">
      <w:start w:val="1"/>
      <w:numFmt w:val="bullet"/>
      <w:lvlText w:val="o"/>
      <w:lvlJc w:val="left"/>
      <w:pPr>
        <w:ind w:left="3747" w:hanging="360"/>
      </w:pPr>
      <w:rPr>
        <w:rFonts w:ascii="Courier New" w:hAnsi="Courier New" w:cs="Courier New" w:hint="default"/>
      </w:rPr>
    </w:lvl>
    <w:lvl w:ilvl="5" w:tentative="1">
      <w:start w:val="1"/>
      <w:numFmt w:val="bullet"/>
      <w:lvlText w:val=""/>
      <w:lvlJc w:val="left"/>
      <w:pPr>
        <w:ind w:left="4467" w:hanging="360"/>
      </w:pPr>
      <w:rPr>
        <w:rFonts w:ascii="Wingdings" w:hAnsi="Wingdings" w:hint="default"/>
      </w:rPr>
    </w:lvl>
    <w:lvl w:ilvl="6" w:tentative="1">
      <w:start w:val="1"/>
      <w:numFmt w:val="bullet"/>
      <w:lvlText w:val=""/>
      <w:lvlJc w:val="left"/>
      <w:pPr>
        <w:ind w:left="5187" w:hanging="360"/>
      </w:pPr>
      <w:rPr>
        <w:rFonts w:ascii="Symbol" w:hAnsi="Symbol" w:hint="default"/>
      </w:rPr>
    </w:lvl>
    <w:lvl w:ilvl="7" w:tentative="1">
      <w:start w:val="1"/>
      <w:numFmt w:val="bullet"/>
      <w:lvlText w:val="o"/>
      <w:lvlJc w:val="left"/>
      <w:pPr>
        <w:ind w:left="5907" w:hanging="360"/>
      </w:pPr>
      <w:rPr>
        <w:rFonts w:ascii="Courier New" w:hAnsi="Courier New" w:cs="Courier New" w:hint="default"/>
      </w:rPr>
    </w:lvl>
    <w:lvl w:ilvl="8" w:tentative="1">
      <w:start w:val="1"/>
      <w:numFmt w:val="bullet"/>
      <w:lvlText w:val=""/>
      <w:lvlJc w:val="left"/>
      <w:pPr>
        <w:ind w:left="6627" w:hanging="360"/>
      </w:pPr>
      <w:rPr>
        <w:rFonts w:ascii="Wingdings" w:hAnsi="Wingdings" w:hint="default"/>
      </w:rPr>
    </w:lvl>
  </w:abstractNum>
  <w:abstractNum w:abstractNumId="4">
    <w:nsid w:val="08DB7218"/>
    <w:multiLevelType w:val="hybridMultilevel"/>
    <w:tmpl w:val="AFAE542E"/>
    <w:lvl w:ilvl="0">
      <w:start w:val="1"/>
      <w:numFmt w:val="bullet"/>
      <w:lvlText w:val=""/>
      <w:lvlJc w:val="left"/>
      <w:pPr>
        <w:ind w:left="90" w:hanging="360"/>
      </w:pPr>
      <w:rPr>
        <w:rFonts w:ascii="Symbol" w:hAnsi="Symbol" w:hint="default"/>
      </w:rPr>
    </w:lvl>
    <w:lvl w:ilvl="1" w:tentative="1">
      <w:start w:val="1"/>
      <w:numFmt w:val="bullet"/>
      <w:lvlText w:val="o"/>
      <w:lvlJc w:val="left"/>
      <w:pPr>
        <w:ind w:left="810" w:hanging="360"/>
      </w:pPr>
      <w:rPr>
        <w:rFonts w:ascii="Courier New" w:hAnsi="Courier New" w:cs="Courier New" w:hint="default"/>
      </w:rPr>
    </w:lvl>
    <w:lvl w:ilvl="2" w:tentative="1">
      <w:start w:val="1"/>
      <w:numFmt w:val="bullet"/>
      <w:lvlText w:val=""/>
      <w:lvlJc w:val="left"/>
      <w:pPr>
        <w:ind w:left="1530" w:hanging="360"/>
      </w:pPr>
      <w:rPr>
        <w:rFonts w:ascii="Wingdings" w:hAnsi="Wingdings" w:hint="default"/>
      </w:rPr>
    </w:lvl>
    <w:lvl w:ilvl="3" w:tentative="1">
      <w:start w:val="1"/>
      <w:numFmt w:val="bullet"/>
      <w:lvlText w:val=""/>
      <w:lvlJc w:val="left"/>
      <w:pPr>
        <w:ind w:left="2250" w:hanging="360"/>
      </w:pPr>
      <w:rPr>
        <w:rFonts w:ascii="Symbol" w:hAnsi="Symbol" w:hint="default"/>
      </w:rPr>
    </w:lvl>
    <w:lvl w:ilvl="4" w:tentative="1">
      <w:start w:val="1"/>
      <w:numFmt w:val="bullet"/>
      <w:lvlText w:val="o"/>
      <w:lvlJc w:val="left"/>
      <w:pPr>
        <w:ind w:left="2970" w:hanging="360"/>
      </w:pPr>
      <w:rPr>
        <w:rFonts w:ascii="Courier New" w:hAnsi="Courier New" w:cs="Courier New" w:hint="default"/>
      </w:rPr>
    </w:lvl>
    <w:lvl w:ilvl="5" w:tentative="1">
      <w:start w:val="1"/>
      <w:numFmt w:val="bullet"/>
      <w:lvlText w:val=""/>
      <w:lvlJc w:val="left"/>
      <w:pPr>
        <w:ind w:left="3690" w:hanging="360"/>
      </w:pPr>
      <w:rPr>
        <w:rFonts w:ascii="Wingdings" w:hAnsi="Wingdings" w:hint="default"/>
      </w:rPr>
    </w:lvl>
    <w:lvl w:ilvl="6" w:tentative="1">
      <w:start w:val="1"/>
      <w:numFmt w:val="bullet"/>
      <w:lvlText w:val=""/>
      <w:lvlJc w:val="left"/>
      <w:pPr>
        <w:ind w:left="4410" w:hanging="360"/>
      </w:pPr>
      <w:rPr>
        <w:rFonts w:ascii="Symbol" w:hAnsi="Symbol" w:hint="default"/>
      </w:rPr>
    </w:lvl>
    <w:lvl w:ilvl="7" w:tentative="1">
      <w:start w:val="1"/>
      <w:numFmt w:val="bullet"/>
      <w:lvlText w:val="o"/>
      <w:lvlJc w:val="left"/>
      <w:pPr>
        <w:ind w:left="5130" w:hanging="360"/>
      </w:pPr>
      <w:rPr>
        <w:rFonts w:ascii="Courier New" w:hAnsi="Courier New" w:cs="Courier New" w:hint="default"/>
      </w:rPr>
    </w:lvl>
    <w:lvl w:ilvl="8" w:tentative="1">
      <w:start w:val="1"/>
      <w:numFmt w:val="bullet"/>
      <w:lvlText w:val=""/>
      <w:lvlJc w:val="left"/>
      <w:pPr>
        <w:ind w:left="5850" w:hanging="360"/>
      </w:pPr>
      <w:rPr>
        <w:rFonts w:ascii="Wingdings" w:hAnsi="Wingdings" w:hint="default"/>
      </w:rPr>
    </w:lvl>
  </w:abstractNum>
  <w:abstractNum w:abstractNumId="5">
    <w:nsid w:val="095A6EE2"/>
    <w:multiLevelType w:val="hybridMultilevel"/>
    <w:tmpl w:val="0B9EF86C"/>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Roman"/>
      <w:lvlText w:val="%2."/>
      <w:lvlJc w:val="right"/>
      <w:pPr>
        <w:ind w:left="446" w:hanging="360"/>
      </w:p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6">
    <w:nsid w:val="0ABF73F1"/>
    <w:multiLevelType w:val="hybridMultilevel"/>
    <w:tmpl w:val="474695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AE46C02"/>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C3630E6"/>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D9E1573"/>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1D429BF"/>
    <w:multiLevelType w:val="hybridMultilevel"/>
    <w:tmpl w:val="756ADCFC"/>
    <w:lvl w:ilvl="0">
      <w:start w:val="1"/>
      <w:numFmt w:val="lowerRoman"/>
      <w:lvlText w:val="%1."/>
      <w:lvlJc w:val="left"/>
      <w:pPr>
        <w:ind w:left="90" w:hanging="360"/>
      </w:pPr>
      <w:rPr>
        <w:rFonts w:hint="default"/>
      </w:rPr>
    </w:lvl>
    <w:lvl w:ilvl="1" w:tentative="1">
      <w:start w:val="1"/>
      <w:numFmt w:val="lowerLetter"/>
      <w:lvlText w:val="%2."/>
      <w:lvlJc w:val="left"/>
      <w:pPr>
        <w:ind w:left="810" w:hanging="360"/>
      </w:pPr>
    </w:lvl>
    <w:lvl w:ilvl="2" w:tentative="1">
      <w:start w:val="1"/>
      <w:numFmt w:val="lowerRoman"/>
      <w:lvlText w:val="%3."/>
      <w:lvlJc w:val="right"/>
      <w:pPr>
        <w:ind w:left="1530" w:hanging="180"/>
      </w:pPr>
    </w:lvl>
    <w:lvl w:ilvl="3">
      <w:start w:val="1"/>
      <w:numFmt w:val="lowerLetter"/>
      <w:lvlText w:val="(%4)"/>
      <w:lvlJc w:val="left"/>
      <w:pPr>
        <w:ind w:left="2250" w:hanging="360"/>
      </w:pPr>
      <w:rPr>
        <w:rFonts w:hint="default"/>
      </w:rPr>
    </w:lvl>
    <w:lvl w:ilvl="4" w:tentative="1">
      <w:start w:val="1"/>
      <w:numFmt w:val="lowerLetter"/>
      <w:lvlText w:val="%5."/>
      <w:lvlJc w:val="left"/>
      <w:pPr>
        <w:ind w:left="2970" w:hanging="360"/>
      </w:pPr>
    </w:lvl>
    <w:lvl w:ilvl="5" w:tentative="1">
      <w:start w:val="1"/>
      <w:numFmt w:val="lowerRoman"/>
      <w:lvlText w:val="%6."/>
      <w:lvlJc w:val="right"/>
      <w:pPr>
        <w:ind w:left="3690" w:hanging="180"/>
      </w:pPr>
    </w:lvl>
    <w:lvl w:ilvl="6" w:tentative="1">
      <w:start w:val="1"/>
      <w:numFmt w:val="decimal"/>
      <w:lvlText w:val="%7."/>
      <w:lvlJc w:val="left"/>
      <w:pPr>
        <w:ind w:left="4410" w:hanging="360"/>
      </w:pPr>
    </w:lvl>
    <w:lvl w:ilvl="7" w:tentative="1">
      <w:start w:val="1"/>
      <w:numFmt w:val="lowerLetter"/>
      <w:lvlText w:val="%8."/>
      <w:lvlJc w:val="left"/>
      <w:pPr>
        <w:ind w:left="5130" w:hanging="360"/>
      </w:pPr>
    </w:lvl>
    <w:lvl w:ilvl="8" w:tentative="1">
      <w:start w:val="1"/>
      <w:numFmt w:val="lowerRoman"/>
      <w:lvlText w:val="%9."/>
      <w:lvlJc w:val="right"/>
      <w:pPr>
        <w:ind w:left="5850" w:hanging="180"/>
      </w:pPr>
    </w:lvl>
  </w:abstractNum>
  <w:abstractNum w:abstractNumId="11">
    <w:nsid w:val="126D02F5"/>
    <w:multiLevelType w:val="hybridMultilevel"/>
    <w:tmpl w:val="0B9EF86C"/>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Roman"/>
      <w:lvlText w:val="%2."/>
      <w:lvlJc w:val="right"/>
      <w:pPr>
        <w:ind w:left="446" w:hanging="360"/>
      </w:p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12">
    <w:nsid w:val="15AE7B11"/>
    <w:multiLevelType w:val="hybridMultilevel"/>
    <w:tmpl w:val="3F4EE6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4A18B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nsid w:val="180B066E"/>
    <w:multiLevelType w:val="hybridMultilevel"/>
    <w:tmpl w:val="CD4086D6"/>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Roman"/>
      <w:lvlText w:val="(%2)"/>
      <w:lvlJc w:val="left"/>
      <w:pPr>
        <w:ind w:left="446" w:hanging="360"/>
      </w:pPr>
      <w:rPr>
        <w:rFonts w:cs="Times New Roman" w:hint="default"/>
        <w:i w:val="0"/>
      </w:r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15">
    <w:nsid w:val="1A1B3F3A"/>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C4236C2"/>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E367AD"/>
    <w:multiLevelType w:val="hybridMultilevel"/>
    <w:tmpl w:val="4978107C"/>
    <w:lvl w:ilvl="0">
      <w:start w:val="1"/>
      <w:numFmt w:val="low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lowerLetter"/>
      <w:lvlText w:val="(%4)"/>
      <w:lvlJc w:val="left"/>
      <w:pPr>
        <w:ind w:left="2880" w:hanging="360"/>
      </w:pPr>
      <w:rPr>
        <w:rFonts w:hint="default"/>
        <w:sz w:val="24"/>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370486E"/>
    <w:multiLevelType w:val="hybridMultilevel"/>
    <w:tmpl w:val="E4DA25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39C5D29"/>
    <w:multiLevelType w:val="hybridMultilevel"/>
    <w:tmpl w:val="7DC09636"/>
    <w:lvl w:ilvl="0">
      <w:start w:val="1"/>
      <w:numFmt w:val="decimal"/>
      <w:lvlText w:val="%1."/>
      <w:lvlJc w:val="left"/>
      <w:pPr>
        <w:ind w:left="720" w:hanging="360"/>
      </w:pPr>
      <w:rPr>
        <w:rFonts w:cs="Times New Roman"/>
      </w:rPr>
    </w:lvl>
    <w:lvl w:ilvl="1">
      <w:start w:val="1"/>
      <w:numFmt w:val="bullet"/>
      <w:lvlText w:val=""/>
      <w:lvlJc w:val="left"/>
      <w:pPr>
        <w:ind w:left="36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247F56D4"/>
    <w:multiLevelType w:val="hybridMultilevel"/>
    <w:tmpl w:val="E7CE5418"/>
    <w:lvl w:ilvl="0">
      <w:start w:val="1"/>
      <w:numFmt w:val="lowerLetter"/>
      <w:lvlText w:val="(%1)"/>
      <w:lvlJc w:val="left"/>
      <w:pPr>
        <w:ind w:left="720" w:hanging="360"/>
      </w:pPr>
      <w:rPr>
        <w:rFonts w:asciiTheme="minorHAnsi" w:hAnsiTheme="minorHAnsi" w:hint="default"/>
        <w:b w:val="0"/>
        <w:i w:val="0"/>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E94495"/>
    <w:multiLevelType w:val="hybridMultilevel"/>
    <w:tmpl w:val="8CB21B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4EF0BC4"/>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7ED67BB"/>
    <w:multiLevelType w:val="hybridMultilevel"/>
    <w:tmpl w:val="02D639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90B4CC5"/>
    <w:multiLevelType w:val="hybridMultilevel"/>
    <w:tmpl w:val="E0665BD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D3926F9"/>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19439E6"/>
    <w:multiLevelType w:val="multilevel"/>
    <w:tmpl w:val="35EADF56"/>
    <w:lvl w:ilvl="0">
      <w:start w:val="1"/>
      <w:numFmt w:val="none"/>
      <w:pStyle w:val="Heading1a"/>
      <w:suff w:val="nothing"/>
      <w:lvlText w:val="%1"/>
      <w:lvlJc w:val="left"/>
      <w:pPr>
        <w:ind w:left="0" w:firstLine="0"/>
      </w:pPr>
      <w:rPr>
        <w:rFonts w:hint="default"/>
      </w:rPr>
    </w:lvl>
    <w:lvl w:ilvl="1">
      <w:start w:val="1"/>
      <w:numFmt w:val="decimal"/>
      <w:pStyle w:val="StyleMainParanoChapterAfter6pt"/>
      <w:lvlText w:val="%2."/>
      <w:lvlJc w:val="left"/>
      <w:pPr>
        <w:tabs>
          <w:tab w:val="num" w:pos="240"/>
        </w:tabs>
        <w:ind w:left="240" w:firstLine="0"/>
      </w:pPr>
      <w:rPr>
        <w:rFonts w:hint="default"/>
        <w:b w:val="0"/>
        <w:i w:val="0"/>
        <w:color w:val="auto"/>
        <w:sz w:val="24"/>
        <w:szCs w:val="24"/>
      </w:rPr>
    </w:lvl>
    <w:lvl w:ilvl="2">
      <w:start w:val="1"/>
      <w:numFmt w:val="lowerLetter"/>
      <w:pStyle w:val="Sub-Para1underX"/>
      <w:lvlText w:val="(%3)"/>
      <w:lvlJc w:val="left"/>
      <w:pPr>
        <w:tabs>
          <w:tab w:val="num" w:pos="960"/>
        </w:tabs>
        <w:ind w:left="600" w:hanging="360"/>
      </w:pPr>
      <w:rPr>
        <w:rFonts w:hint="default"/>
        <w:b w:val="0"/>
        <w:i w:val="0"/>
      </w:rPr>
    </w:lvl>
    <w:lvl w:ilvl="3">
      <w:start w:val="1"/>
      <w:numFmt w:val="lowerRoman"/>
      <w:pStyle w:val="Sub-Para2underX"/>
      <w:lvlText w:val="(%4)"/>
      <w:lvlJc w:val="left"/>
      <w:pPr>
        <w:tabs>
          <w:tab w:val="num" w:pos="1800"/>
        </w:tabs>
        <w:ind w:left="1080" w:hanging="360"/>
      </w:pPr>
      <w:rPr>
        <w:rFonts w:hint="default"/>
        <w:b w:val="0"/>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2B34245"/>
    <w:multiLevelType w:val="hybridMultilevel"/>
    <w:tmpl w:val="D19E2FD4"/>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Roman"/>
      <w:lvlText w:val="%2."/>
      <w:lvlJc w:val="right"/>
      <w:pPr>
        <w:ind w:left="446" w:hanging="360"/>
      </w:p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28">
    <w:nsid w:val="33324F82"/>
    <w:multiLevelType w:val="multilevel"/>
    <w:tmpl w:val="6A801C2E"/>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39220D2"/>
    <w:multiLevelType w:val="hybridMultilevel"/>
    <w:tmpl w:val="BF12A7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3C3460B8"/>
    <w:multiLevelType w:val="hybridMultilevel"/>
    <w:tmpl w:val="7CFC6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D0C3A8E"/>
    <w:multiLevelType w:val="hybridMultilevel"/>
    <w:tmpl w:val="0F3CC350"/>
    <w:lvl w:ilvl="0">
      <w:start w:val="1"/>
      <w:numFmt w:val="lowerRoman"/>
      <w:lvlText w:val="%1."/>
      <w:lvlJc w:val="left"/>
      <w:pPr>
        <w:ind w:left="90" w:hanging="360"/>
      </w:pPr>
      <w:rPr>
        <w:rFonts w:hint="default"/>
      </w:rPr>
    </w:lvl>
    <w:lvl w:ilvl="1" w:tentative="1">
      <w:start w:val="1"/>
      <w:numFmt w:val="lowerLetter"/>
      <w:lvlText w:val="%2."/>
      <w:lvlJc w:val="left"/>
      <w:pPr>
        <w:ind w:left="810" w:hanging="360"/>
      </w:pPr>
    </w:lvl>
    <w:lvl w:ilvl="2" w:tentative="1">
      <w:start w:val="1"/>
      <w:numFmt w:val="lowerRoman"/>
      <w:lvlText w:val="%3."/>
      <w:lvlJc w:val="right"/>
      <w:pPr>
        <w:ind w:left="1530" w:hanging="180"/>
      </w:pPr>
    </w:lvl>
    <w:lvl w:ilvl="3">
      <w:start w:val="1"/>
      <w:numFmt w:val="lowerRoman"/>
      <w:lvlText w:val="(%4)"/>
      <w:lvlJc w:val="left"/>
      <w:pPr>
        <w:ind w:left="2250" w:hanging="360"/>
      </w:pPr>
      <w:rPr>
        <w:rFonts w:cs="Times New Roman" w:hint="default"/>
        <w:i w:val="0"/>
      </w:rPr>
    </w:lvl>
    <w:lvl w:ilvl="4" w:tentative="1">
      <w:start w:val="1"/>
      <w:numFmt w:val="lowerLetter"/>
      <w:lvlText w:val="%5."/>
      <w:lvlJc w:val="left"/>
      <w:pPr>
        <w:ind w:left="2970" w:hanging="360"/>
      </w:pPr>
    </w:lvl>
    <w:lvl w:ilvl="5" w:tentative="1">
      <w:start w:val="1"/>
      <w:numFmt w:val="lowerRoman"/>
      <w:lvlText w:val="%6."/>
      <w:lvlJc w:val="right"/>
      <w:pPr>
        <w:ind w:left="3690" w:hanging="180"/>
      </w:pPr>
    </w:lvl>
    <w:lvl w:ilvl="6" w:tentative="1">
      <w:start w:val="1"/>
      <w:numFmt w:val="decimal"/>
      <w:lvlText w:val="%7."/>
      <w:lvlJc w:val="left"/>
      <w:pPr>
        <w:ind w:left="4410" w:hanging="360"/>
      </w:pPr>
    </w:lvl>
    <w:lvl w:ilvl="7" w:tentative="1">
      <w:start w:val="1"/>
      <w:numFmt w:val="lowerLetter"/>
      <w:lvlText w:val="%8."/>
      <w:lvlJc w:val="left"/>
      <w:pPr>
        <w:ind w:left="5130" w:hanging="360"/>
      </w:pPr>
    </w:lvl>
    <w:lvl w:ilvl="8" w:tentative="1">
      <w:start w:val="1"/>
      <w:numFmt w:val="lowerRoman"/>
      <w:lvlText w:val="%9."/>
      <w:lvlJc w:val="right"/>
      <w:pPr>
        <w:ind w:left="5850" w:hanging="180"/>
      </w:pPr>
    </w:lvl>
  </w:abstractNum>
  <w:abstractNum w:abstractNumId="32">
    <w:nsid w:val="45B156FE"/>
    <w:multiLevelType w:val="hybridMultilevel"/>
    <w:tmpl w:val="353216A2"/>
    <w:lvl w:ilvl="0">
      <w:start w:val="1"/>
      <w:numFmt w:val="lowerRoman"/>
      <w:lvlText w:val="%1."/>
      <w:lvlJc w:val="left"/>
      <w:pPr>
        <w:ind w:left="90" w:hanging="360"/>
      </w:pPr>
      <w:rPr>
        <w:rFonts w:hint="default"/>
      </w:rPr>
    </w:lvl>
    <w:lvl w:ilvl="1" w:tentative="1">
      <w:start w:val="1"/>
      <w:numFmt w:val="lowerLetter"/>
      <w:lvlText w:val="%2."/>
      <w:lvlJc w:val="left"/>
      <w:pPr>
        <w:ind w:left="810" w:hanging="360"/>
      </w:pPr>
    </w:lvl>
    <w:lvl w:ilvl="2" w:tentative="1">
      <w:start w:val="1"/>
      <w:numFmt w:val="lowerRoman"/>
      <w:lvlText w:val="%3."/>
      <w:lvlJc w:val="right"/>
      <w:pPr>
        <w:ind w:left="1530" w:hanging="180"/>
      </w:pPr>
    </w:lvl>
    <w:lvl w:ilvl="3">
      <w:start w:val="1"/>
      <w:numFmt w:val="lowerRoman"/>
      <w:lvlText w:val="(%4)"/>
      <w:lvlJc w:val="left"/>
      <w:pPr>
        <w:ind w:left="2250" w:hanging="360"/>
      </w:pPr>
      <w:rPr>
        <w:rFonts w:cs="Times New Roman" w:hint="default"/>
        <w:i w:val="0"/>
      </w:rPr>
    </w:lvl>
    <w:lvl w:ilvl="4" w:tentative="1">
      <w:start w:val="1"/>
      <w:numFmt w:val="lowerLetter"/>
      <w:lvlText w:val="%5."/>
      <w:lvlJc w:val="left"/>
      <w:pPr>
        <w:ind w:left="2970" w:hanging="360"/>
      </w:pPr>
    </w:lvl>
    <w:lvl w:ilvl="5" w:tentative="1">
      <w:start w:val="1"/>
      <w:numFmt w:val="lowerRoman"/>
      <w:lvlText w:val="%6."/>
      <w:lvlJc w:val="right"/>
      <w:pPr>
        <w:ind w:left="3690" w:hanging="180"/>
      </w:pPr>
    </w:lvl>
    <w:lvl w:ilvl="6" w:tentative="1">
      <w:start w:val="1"/>
      <w:numFmt w:val="decimal"/>
      <w:lvlText w:val="%7."/>
      <w:lvlJc w:val="left"/>
      <w:pPr>
        <w:ind w:left="4410" w:hanging="360"/>
      </w:pPr>
    </w:lvl>
    <w:lvl w:ilvl="7" w:tentative="1">
      <w:start w:val="1"/>
      <w:numFmt w:val="lowerLetter"/>
      <w:lvlText w:val="%8."/>
      <w:lvlJc w:val="left"/>
      <w:pPr>
        <w:ind w:left="5130" w:hanging="360"/>
      </w:pPr>
    </w:lvl>
    <w:lvl w:ilvl="8" w:tentative="1">
      <w:start w:val="1"/>
      <w:numFmt w:val="lowerRoman"/>
      <w:lvlText w:val="%9."/>
      <w:lvlJc w:val="right"/>
      <w:pPr>
        <w:ind w:left="5850" w:hanging="180"/>
      </w:pPr>
    </w:lvl>
  </w:abstractNum>
  <w:abstractNum w:abstractNumId="33">
    <w:nsid w:val="45F46313"/>
    <w:multiLevelType w:val="hybridMultilevel"/>
    <w:tmpl w:val="1B4A292E"/>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Letter"/>
      <w:lvlText w:val="(%2)"/>
      <w:lvlJc w:val="left"/>
      <w:pPr>
        <w:ind w:left="446" w:hanging="360"/>
      </w:pPr>
      <w:rPr>
        <w:rFonts w:hint="default"/>
      </w:r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34">
    <w:nsid w:val="46FF5C02"/>
    <w:multiLevelType w:val="hybridMultilevel"/>
    <w:tmpl w:val="F384D022"/>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35">
    <w:nsid w:val="475304CA"/>
    <w:multiLevelType w:val="hybridMultilevel"/>
    <w:tmpl w:val="C366C326"/>
    <w:lvl w:ilvl="0">
      <w:start w:val="1"/>
      <w:numFmt w:val="decimal"/>
      <w:lvlText w:val="%1."/>
      <w:lvlJc w:val="left"/>
      <w:pPr>
        <w:ind w:left="-274" w:hanging="360"/>
      </w:pPr>
      <w:rPr>
        <w:rFonts w:hint="default"/>
      </w:rPr>
    </w:lvl>
    <w:lvl w:ilvl="1">
      <w:start w:val="1"/>
      <w:numFmt w:val="lowerLetter"/>
      <w:lvlText w:val="(%2)"/>
      <w:lvlJc w:val="left"/>
      <w:pPr>
        <w:ind w:left="446" w:hanging="360"/>
      </w:pPr>
      <w:rPr>
        <w:rFonts w:hint="default"/>
        <w:sz w:val="22"/>
      </w:rPr>
    </w:lvl>
    <w:lvl w:ilvl="2">
      <w:start w:val="1"/>
      <w:numFmt w:val="lowerRoman"/>
      <w:lvlText w:val="%3."/>
      <w:lvlJc w:val="right"/>
      <w:pPr>
        <w:ind w:left="1166" w:hanging="180"/>
      </w:pPr>
    </w:lvl>
    <w:lvl w:ilvl="3" w:tentative="1">
      <w:start w:val="1"/>
      <w:numFmt w:val="decimal"/>
      <w:lvlText w:val="%4."/>
      <w:lvlJc w:val="left"/>
      <w:pPr>
        <w:ind w:left="1886" w:hanging="360"/>
      </w:p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36">
    <w:nsid w:val="482F7241"/>
    <w:multiLevelType w:val="hybridMultilevel"/>
    <w:tmpl w:val="EDBE3DC0"/>
    <w:lvl w:ilvl="0">
      <w:start w:val="1"/>
      <w:numFmt w:val="bullet"/>
      <w:lvlText w:val=""/>
      <w:lvlJc w:val="left"/>
      <w:pPr>
        <w:ind w:left="90" w:hanging="360"/>
      </w:pPr>
      <w:rPr>
        <w:rFonts w:ascii="Symbol" w:hAnsi="Symbol" w:hint="default"/>
      </w:rPr>
    </w:lvl>
    <w:lvl w:ilvl="1" w:tentative="1">
      <w:start w:val="1"/>
      <w:numFmt w:val="bullet"/>
      <w:lvlText w:val="o"/>
      <w:lvlJc w:val="left"/>
      <w:pPr>
        <w:ind w:left="810" w:hanging="360"/>
      </w:pPr>
      <w:rPr>
        <w:rFonts w:ascii="Courier New" w:hAnsi="Courier New" w:cs="Courier New" w:hint="default"/>
      </w:rPr>
    </w:lvl>
    <w:lvl w:ilvl="2" w:tentative="1">
      <w:start w:val="1"/>
      <w:numFmt w:val="bullet"/>
      <w:lvlText w:val=""/>
      <w:lvlJc w:val="left"/>
      <w:pPr>
        <w:ind w:left="1530" w:hanging="360"/>
      </w:pPr>
      <w:rPr>
        <w:rFonts w:ascii="Wingdings" w:hAnsi="Wingdings" w:hint="default"/>
      </w:rPr>
    </w:lvl>
    <w:lvl w:ilvl="3" w:tentative="1">
      <w:start w:val="1"/>
      <w:numFmt w:val="bullet"/>
      <w:lvlText w:val=""/>
      <w:lvlJc w:val="left"/>
      <w:pPr>
        <w:ind w:left="2250" w:hanging="360"/>
      </w:pPr>
      <w:rPr>
        <w:rFonts w:ascii="Symbol" w:hAnsi="Symbol" w:hint="default"/>
      </w:rPr>
    </w:lvl>
    <w:lvl w:ilvl="4" w:tentative="1">
      <w:start w:val="1"/>
      <w:numFmt w:val="bullet"/>
      <w:lvlText w:val="o"/>
      <w:lvlJc w:val="left"/>
      <w:pPr>
        <w:ind w:left="2970" w:hanging="360"/>
      </w:pPr>
      <w:rPr>
        <w:rFonts w:ascii="Courier New" w:hAnsi="Courier New" w:cs="Courier New" w:hint="default"/>
      </w:rPr>
    </w:lvl>
    <w:lvl w:ilvl="5" w:tentative="1">
      <w:start w:val="1"/>
      <w:numFmt w:val="bullet"/>
      <w:lvlText w:val=""/>
      <w:lvlJc w:val="left"/>
      <w:pPr>
        <w:ind w:left="3690" w:hanging="360"/>
      </w:pPr>
      <w:rPr>
        <w:rFonts w:ascii="Wingdings" w:hAnsi="Wingdings" w:hint="default"/>
      </w:rPr>
    </w:lvl>
    <w:lvl w:ilvl="6" w:tentative="1">
      <w:start w:val="1"/>
      <w:numFmt w:val="bullet"/>
      <w:lvlText w:val=""/>
      <w:lvlJc w:val="left"/>
      <w:pPr>
        <w:ind w:left="4410" w:hanging="360"/>
      </w:pPr>
      <w:rPr>
        <w:rFonts w:ascii="Symbol" w:hAnsi="Symbol" w:hint="default"/>
      </w:rPr>
    </w:lvl>
    <w:lvl w:ilvl="7" w:tentative="1">
      <w:start w:val="1"/>
      <w:numFmt w:val="bullet"/>
      <w:lvlText w:val="o"/>
      <w:lvlJc w:val="left"/>
      <w:pPr>
        <w:ind w:left="5130" w:hanging="360"/>
      </w:pPr>
      <w:rPr>
        <w:rFonts w:ascii="Courier New" w:hAnsi="Courier New" w:cs="Courier New" w:hint="default"/>
      </w:rPr>
    </w:lvl>
    <w:lvl w:ilvl="8" w:tentative="1">
      <w:start w:val="1"/>
      <w:numFmt w:val="bullet"/>
      <w:lvlText w:val=""/>
      <w:lvlJc w:val="left"/>
      <w:pPr>
        <w:ind w:left="5850" w:hanging="360"/>
      </w:pPr>
      <w:rPr>
        <w:rFonts w:ascii="Wingdings" w:hAnsi="Wingdings" w:hint="default"/>
      </w:rPr>
    </w:lvl>
  </w:abstractNum>
  <w:abstractNum w:abstractNumId="37">
    <w:nsid w:val="4B512961"/>
    <w:multiLevelType w:val="hybridMultilevel"/>
    <w:tmpl w:val="4CD02B0A"/>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Letter"/>
      <w:lvlText w:val="(%2)"/>
      <w:lvlJc w:val="left"/>
      <w:pPr>
        <w:ind w:left="446" w:hanging="360"/>
      </w:pPr>
      <w:rPr>
        <w:rFonts w:hint="default"/>
      </w:r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38">
    <w:nsid w:val="4BD2025E"/>
    <w:multiLevelType w:val="hybridMultilevel"/>
    <w:tmpl w:val="E8242E14"/>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Letter"/>
      <w:lvlText w:val="(%2)"/>
      <w:lvlJc w:val="left"/>
      <w:pPr>
        <w:ind w:left="446" w:hanging="360"/>
      </w:pPr>
      <w:rPr>
        <w:rFonts w:hint="default"/>
        <w:b w:val="0"/>
      </w:r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39">
    <w:nsid w:val="4EE85853"/>
    <w:multiLevelType w:val="hybridMultilevel"/>
    <w:tmpl w:val="0B9EF86C"/>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Roman"/>
      <w:lvlText w:val="%2."/>
      <w:lvlJc w:val="right"/>
      <w:pPr>
        <w:ind w:left="446" w:hanging="360"/>
      </w:p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40">
    <w:nsid w:val="4F621AF7"/>
    <w:multiLevelType w:val="hybridMultilevel"/>
    <w:tmpl w:val="0B9EF86C"/>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Roman"/>
      <w:lvlText w:val="%2."/>
      <w:lvlJc w:val="right"/>
      <w:pPr>
        <w:ind w:left="446" w:hanging="360"/>
      </w:p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41">
    <w:nsid w:val="551A1482"/>
    <w:multiLevelType w:val="hybridMultilevel"/>
    <w:tmpl w:val="F2B834B6"/>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55A13B4B"/>
    <w:multiLevelType w:val="hybridMultilevel"/>
    <w:tmpl w:val="C220E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582C57C6"/>
    <w:multiLevelType w:val="hybridMultilevel"/>
    <w:tmpl w:val="06180F32"/>
    <w:lvl w:ilvl="0">
      <w:start w:val="1"/>
      <w:numFmt w:val="lowerLetter"/>
      <w:lvlText w:val="(%1)"/>
      <w:lvlJc w:val="left"/>
      <w:pPr>
        <w:ind w:left="720" w:hanging="360"/>
      </w:pPr>
      <w:rPr>
        <w:rFonts w:asciiTheme="minorHAnsi" w:hAnsiTheme="minorHAnsi" w:hint="default"/>
        <w:b w:val="0"/>
        <w:i w:val="0"/>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584A617F"/>
    <w:multiLevelType w:val="hybridMultilevel"/>
    <w:tmpl w:val="F5BA7E36"/>
    <w:lvl w:ilvl="0">
      <w:start w:val="1"/>
      <w:numFmt w:val="upperRoman"/>
      <w:lvlText w:val="%1."/>
      <w:lvlJc w:val="left"/>
      <w:pPr>
        <w:ind w:left="720" w:hanging="720"/>
      </w:pPr>
      <w:rPr>
        <w:rFonts w:asciiTheme="minorHAnsi" w:hAnsiTheme="minorHAnsi" w:hint="default"/>
        <w:b/>
        <w:sz w:val="23"/>
        <w:szCs w:val="23"/>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5CF32BBA"/>
    <w:multiLevelType w:val="hybridMultilevel"/>
    <w:tmpl w:val="C592EC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62C31FCC"/>
    <w:multiLevelType w:val="hybridMultilevel"/>
    <w:tmpl w:val="0B9EF86C"/>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Roman"/>
      <w:lvlText w:val="%2."/>
      <w:lvlJc w:val="right"/>
      <w:pPr>
        <w:ind w:left="446" w:hanging="360"/>
      </w:p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47">
    <w:nsid w:val="636C74A2"/>
    <w:multiLevelType w:val="hybridMultilevel"/>
    <w:tmpl w:val="75825AB8"/>
    <w:lvl w:ilvl="0">
      <w:start w:val="1"/>
      <w:numFmt w:val="bullet"/>
      <w:lvlText w:val=""/>
      <w:lvlJc w:val="left"/>
      <w:pPr>
        <w:ind w:left="777" w:hanging="360"/>
      </w:pPr>
      <w:rPr>
        <w:rFonts w:ascii="Symbol" w:hAnsi="Symbol" w:hint="default"/>
      </w:rPr>
    </w:lvl>
    <w:lvl w:ilvl="1" w:tentative="1">
      <w:start w:val="1"/>
      <w:numFmt w:val="bullet"/>
      <w:lvlText w:val="o"/>
      <w:lvlJc w:val="left"/>
      <w:pPr>
        <w:ind w:left="1497" w:hanging="360"/>
      </w:pPr>
      <w:rPr>
        <w:rFonts w:ascii="Courier New" w:hAnsi="Courier New" w:cs="Courier New" w:hint="default"/>
      </w:rPr>
    </w:lvl>
    <w:lvl w:ilvl="2" w:tentative="1">
      <w:start w:val="1"/>
      <w:numFmt w:val="bullet"/>
      <w:lvlText w:val=""/>
      <w:lvlJc w:val="left"/>
      <w:pPr>
        <w:ind w:left="2217" w:hanging="360"/>
      </w:pPr>
      <w:rPr>
        <w:rFonts w:ascii="Wingdings" w:hAnsi="Wingdings" w:hint="default"/>
      </w:rPr>
    </w:lvl>
    <w:lvl w:ilvl="3" w:tentative="1">
      <w:start w:val="1"/>
      <w:numFmt w:val="bullet"/>
      <w:lvlText w:val=""/>
      <w:lvlJc w:val="left"/>
      <w:pPr>
        <w:ind w:left="2937" w:hanging="360"/>
      </w:pPr>
      <w:rPr>
        <w:rFonts w:ascii="Symbol" w:hAnsi="Symbol" w:hint="default"/>
      </w:rPr>
    </w:lvl>
    <w:lvl w:ilvl="4" w:tentative="1">
      <w:start w:val="1"/>
      <w:numFmt w:val="bullet"/>
      <w:lvlText w:val="o"/>
      <w:lvlJc w:val="left"/>
      <w:pPr>
        <w:ind w:left="3657" w:hanging="360"/>
      </w:pPr>
      <w:rPr>
        <w:rFonts w:ascii="Courier New" w:hAnsi="Courier New" w:cs="Courier New" w:hint="default"/>
      </w:rPr>
    </w:lvl>
    <w:lvl w:ilvl="5" w:tentative="1">
      <w:start w:val="1"/>
      <w:numFmt w:val="bullet"/>
      <w:lvlText w:val=""/>
      <w:lvlJc w:val="left"/>
      <w:pPr>
        <w:ind w:left="4377" w:hanging="360"/>
      </w:pPr>
      <w:rPr>
        <w:rFonts w:ascii="Wingdings" w:hAnsi="Wingdings" w:hint="default"/>
      </w:rPr>
    </w:lvl>
    <w:lvl w:ilvl="6" w:tentative="1">
      <w:start w:val="1"/>
      <w:numFmt w:val="bullet"/>
      <w:lvlText w:val=""/>
      <w:lvlJc w:val="left"/>
      <w:pPr>
        <w:ind w:left="5097" w:hanging="360"/>
      </w:pPr>
      <w:rPr>
        <w:rFonts w:ascii="Symbol" w:hAnsi="Symbol" w:hint="default"/>
      </w:rPr>
    </w:lvl>
    <w:lvl w:ilvl="7" w:tentative="1">
      <w:start w:val="1"/>
      <w:numFmt w:val="bullet"/>
      <w:lvlText w:val="o"/>
      <w:lvlJc w:val="left"/>
      <w:pPr>
        <w:ind w:left="5817" w:hanging="360"/>
      </w:pPr>
      <w:rPr>
        <w:rFonts w:ascii="Courier New" w:hAnsi="Courier New" w:cs="Courier New" w:hint="default"/>
      </w:rPr>
    </w:lvl>
    <w:lvl w:ilvl="8" w:tentative="1">
      <w:start w:val="1"/>
      <w:numFmt w:val="bullet"/>
      <w:lvlText w:val=""/>
      <w:lvlJc w:val="left"/>
      <w:pPr>
        <w:ind w:left="6537" w:hanging="360"/>
      </w:pPr>
      <w:rPr>
        <w:rFonts w:ascii="Wingdings" w:hAnsi="Wingdings" w:hint="default"/>
      </w:rPr>
    </w:lvl>
  </w:abstractNum>
  <w:abstractNum w:abstractNumId="48">
    <w:nsid w:val="63F90600"/>
    <w:multiLevelType w:val="hybridMultilevel"/>
    <w:tmpl w:val="E64ED46C"/>
    <w:lvl w:ilvl="0">
      <w:start w:val="1"/>
      <w:numFmt w:val="lowerLetter"/>
      <w:lvlText w:val="(%1)"/>
      <w:lvlJc w:val="left"/>
      <w:pPr>
        <w:ind w:left="720" w:hanging="360"/>
      </w:pPr>
      <w:rPr>
        <w:rFonts w:asciiTheme="minorHAnsi" w:hAnsiTheme="minorHAnsi" w:hint="default"/>
        <w:b w:val="0"/>
        <w:i w:val="0"/>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644165FF"/>
    <w:multiLevelType w:val="hybridMultilevel"/>
    <w:tmpl w:val="FBB60628"/>
    <w:lvl w:ilvl="0">
      <w:start w:val="1"/>
      <w:numFmt w:val="decimal"/>
      <w:pStyle w:val="Minh"/>
      <w:lvlText w:val="%1."/>
      <w:lvlJc w:val="left"/>
      <w:pPr>
        <w:ind w:left="3240" w:hanging="360"/>
      </w:pPr>
      <w:rPr>
        <w:rFonts w:ascii="Times New Roman" w:hAnsi="Times New Roman" w:cs="Times New Roman" w:hint="default"/>
        <w:b w:val="0"/>
        <w:i w:val="0"/>
        <w:sz w:val="24"/>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50">
    <w:nsid w:val="66144DFE"/>
    <w:multiLevelType w:val="multilevel"/>
    <w:tmpl w:val="08E6B6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cs="Times New Roman" w:hint="default"/>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8F707A5"/>
    <w:multiLevelType w:val="hybridMultilevel"/>
    <w:tmpl w:val="F044F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6E823F3A"/>
    <w:multiLevelType w:val="hybridMultilevel"/>
    <w:tmpl w:val="AE14A7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6FBC402F"/>
    <w:multiLevelType w:val="hybridMultilevel"/>
    <w:tmpl w:val="2F74DC66"/>
    <w:lvl w:ilvl="0">
      <w:start w:val="1"/>
      <w:numFmt w:val="lowerLetter"/>
      <w:lvlText w:val="(%1)"/>
      <w:lvlJc w:val="left"/>
      <w:pPr>
        <w:ind w:left="90" w:hanging="360"/>
      </w:pPr>
      <w:rPr>
        <w:rFonts w:hint="default"/>
        <w:b w:val="0"/>
      </w:rPr>
    </w:lvl>
    <w:lvl w:ilvl="1">
      <w:start w:val="1"/>
      <w:numFmt w:val="lowerLetter"/>
      <w:lvlText w:val="%2."/>
      <w:lvlJc w:val="left"/>
      <w:pPr>
        <w:ind w:left="810" w:hanging="360"/>
      </w:pPr>
    </w:lvl>
    <w:lvl w:ilvl="2">
      <w:start w:val="1"/>
      <w:numFmt w:val="lowerRoman"/>
      <w:lvlText w:val="%3."/>
      <w:lvlJc w:val="right"/>
      <w:pPr>
        <w:ind w:left="1530" w:hanging="180"/>
      </w:pPr>
    </w:lvl>
    <w:lvl w:ilvl="3">
      <w:start w:val="1"/>
      <w:numFmt w:val="decimal"/>
      <w:lvlText w:val="%4."/>
      <w:lvlJc w:val="left"/>
      <w:pPr>
        <w:ind w:left="2250" w:hanging="360"/>
      </w:pPr>
    </w:lvl>
    <w:lvl w:ilvl="4" w:tentative="1">
      <w:start w:val="1"/>
      <w:numFmt w:val="lowerLetter"/>
      <w:lvlText w:val="%5."/>
      <w:lvlJc w:val="left"/>
      <w:pPr>
        <w:ind w:left="2970" w:hanging="360"/>
      </w:pPr>
    </w:lvl>
    <w:lvl w:ilvl="5" w:tentative="1">
      <w:start w:val="1"/>
      <w:numFmt w:val="lowerRoman"/>
      <w:lvlText w:val="%6."/>
      <w:lvlJc w:val="right"/>
      <w:pPr>
        <w:ind w:left="3690" w:hanging="180"/>
      </w:pPr>
    </w:lvl>
    <w:lvl w:ilvl="6" w:tentative="1">
      <w:start w:val="1"/>
      <w:numFmt w:val="decimal"/>
      <w:lvlText w:val="%7."/>
      <w:lvlJc w:val="left"/>
      <w:pPr>
        <w:ind w:left="4410" w:hanging="360"/>
      </w:pPr>
    </w:lvl>
    <w:lvl w:ilvl="7" w:tentative="1">
      <w:start w:val="1"/>
      <w:numFmt w:val="lowerLetter"/>
      <w:lvlText w:val="%8."/>
      <w:lvlJc w:val="left"/>
      <w:pPr>
        <w:ind w:left="5130" w:hanging="360"/>
      </w:pPr>
    </w:lvl>
    <w:lvl w:ilvl="8" w:tentative="1">
      <w:start w:val="1"/>
      <w:numFmt w:val="lowerRoman"/>
      <w:lvlText w:val="%9."/>
      <w:lvlJc w:val="right"/>
      <w:pPr>
        <w:ind w:left="5850" w:hanging="180"/>
      </w:pPr>
    </w:lvl>
  </w:abstractNum>
  <w:abstractNum w:abstractNumId="54">
    <w:nsid w:val="77C63897"/>
    <w:multiLevelType w:val="multilevel"/>
    <w:tmpl w:val="6A801C2E"/>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7ABA7FB4"/>
    <w:multiLevelType w:val="hybridMultilevel"/>
    <w:tmpl w:val="BCCC759C"/>
    <w:lvl w:ilvl="0">
      <w:start w:val="1"/>
      <w:numFmt w:val="decimal"/>
      <w:lvlText w:val="%1."/>
      <w:lvlJc w:val="left"/>
      <w:pPr>
        <w:ind w:left="720" w:hanging="360"/>
      </w:pPr>
      <w:rPr>
        <w:rFonts w:asciiTheme="minorHAnsi" w:hAnsiTheme="minorHAnsi" w:hint="default"/>
        <w:b w:val="0"/>
        <w:i w:val="0"/>
        <w:color w:val="auto"/>
        <w:sz w:val="22"/>
        <w:szCs w:val="22"/>
      </w:rPr>
    </w:lvl>
    <w:lvl w:ilvl="1">
      <w:start w:val="1"/>
      <w:numFmt w:val="lowerLetter"/>
      <w:lvlText w:val="(%2)"/>
      <w:lvlJc w:val="left"/>
      <w:pPr>
        <w:ind w:left="446" w:hanging="360"/>
      </w:pPr>
      <w:rPr>
        <w:rFonts w:hint="default"/>
      </w:rPr>
    </w:lvl>
    <w:lvl w:ilvl="2">
      <w:start w:val="1"/>
      <w:numFmt w:val="lowerRoman"/>
      <w:lvlText w:val="%3."/>
      <w:lvlJc w:val="right"/>
      <w:pPr>
        <w:ind w:left="1166" w:hanging="180"/>
      </w:pPr>
    </w:lvl>
    <w:lvl w:ilvl="3">
      <w:start w:val="1"/>
      <w:numFmt w:val="lowerRoman"/>
      <w:lvlText w:val="(%4)"/>
      <w:lvlJc w:val="left"/>
      <w:pPr>
        <w:ind w:left="2246" w:hanging="720"/>
      </w:pPr>
      <w:rPr>
        <w:rFonts w:hint="default"/>
      </w:r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56">
    <w:nsid w:val="7EA67B9C"/>
    <w:multiLevelType w:val="hybridMultilevel"/>
    <w:tmpl w:val="BCAA5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4"/>
  </w:num>
  <w:num w:numId="2">
    <w:abstractNumId w:val="45"/>
  </w:num>
  <w:num w:numId="3">
    <w:abstractNumId w:val="30"/>
  </w:num>
  <w:num w:numId="4">
    <w:abstractNumId w:val="18"/>
  </w:num>
  <w:num w:numId="5">
    <w:abstractNumId w:val="29"/>
  </w:num>
  <w:num w:numId="6">
    <w:abstractNumId w:val="51"/>
  </w:num>
  <w:num w:numId="7">
    <w:abstractNumId w:val="56"/>
  </w:num>
  <w:num w:numId="8">
    <w:abstractNumId w:val="19"/>
  </w:num>
  <w:num w:numId="9">
    <w:abstractNumId w:val="34"/>
  </w:num>
  <w:num w:numId="10">
    <w:abstractNumId w:val="21"/>
  </w:num>
  <w:num w:numId="11">
    <w:abstractNumId w:val="47"/>
  </w:num>
  <w:num w:numId="12">
    <w:abstractNumId w:val="3"/>
  </w:num>
  <w:num w:numId="13">
    <w:abstractNumId w:val="23"/>
  </w:num>
  <w:num w:numId="14">
    <w:abstractNumId w:val="6"/>
  </w:num>
  <w:num w:numId="15">
    <w:abstractNumId w:val="13"/>
  </w:num>
  <w:num w:numId="16">
    <w:abstractNumId w:val="26"/>
  </w:num>
  <w:num w:numId="17">
    <w:abstractNumId w:val="39"/>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
  </w:num>
  <w:num w:numId="21">
    <w:abstractNumId w:val="17"/>
  </w:num>
  <w:num w:numId="22">
    <w:abstractNumId w:val="10"/>
  </w:num>
  <w:num w:numId="23">
    <w:abstractNumId w:val="53"/>
  </w:num>
  <w:num w:numId="24">
    <w:abstractNumId w:val="38"/>
  </w:num>
  <w:num w:numId="25">
    <w:abstractNumId w:val="36"/>
  </w:num>
  <w:num w:numId="26">
    <w:abstractNumId w:val="0"/>
  </w:num>
  <w:num w:numId="27">
    <w:abstractNumId w:val="40"/>
  </w:num>
  <w:num w:numId="28">
    <w:abstractNumId w:val="35"/>
  </w:num>
  <w:num w:numId="29">
    <w:abstractNumId w:val="41"/>
  </w:num>
  <w:num w:numId="30">
    <w:abstractNumId w:val="27"/>
  </w:num>
  <w:num w:numId="31">
    <w:abstractNumId w:val="46"/>
  </w:num>
  <w:num w:numId="32">
    <w:abstractNumId w:val="55"/>
  </w:num>
  <w:num w:numId="33">
    <w:abstractNumId w:val="54"/>
  </w:num>
  <w:num w:numId="34">
    <w:abstractNumId w:val="22"/>
  </w:num>
  <w:num w:numId="35">
    <w:abstractNumId w:val="9"/>
  </w:num>
  <w:num w:numId="36">
    <w:abstractNumId w:val="7"/>
  </w:num>
  <w:num w:numId="37">
    <w:abstractNumId w:val="50"/>
  </w:num>
  <w:num w:numId="38">
    <w:abstractNumId w:val="8"/>
  </w:num>
  <w:num w:numId="39">
    <w:abstractNumId w:val="25"/>
  </w:num>
  <w:num w:numId="40">
    <w:abstractNumId w:val="16"/>
  </w:num>
  <w:num w:numId="41">
    <w:abstractNumId w:val="28"/>
  </w:num>
  <w:num w:numId="42">
    <w:abstractNumId w:val="15"/>
  </w:num>
  <w:num w:numId="43">
    <w:abstractNumId w:val="33"/>
  </w:num>
  <w:num w:numId="44">
    <w:abstractNumId w:val="37"/>
  </w:num>
  <w:num w:numId="45">
    <w:abstractNumId w:val="52"/>
  </w:num>
  <w:num w:numId="46">
    <w:abstractNumId w:val="12"/>
  </w:num>
  <w:num w:numId="47">
    <w:abstractNumId w:val="42"/>
  </w:num>
  <w:num w:numId="48">
    <w:abstractNumId w:val="11"/>
  </w:num>
  <w:num w:numId="49">
    <w:abstractNumId w:val="5"/>
  </w:num>
  <w:num w:numId="50">
    <w:abstractNumId w:val="2"/>
  </w:num>
  <w:num w:numId="51">
    <w:abstractNumId w:val="24"/>
  </w:num>
  <w:num w:numId="52">
    <w:abstractNumId w:val="32"/>
  </w:num>
  <w:num w:numId="53">
    <w:abstractNumId w:val="31"/>
  </w:num>
  <w:num w:numId="54">
    <w:abstractNumId w:val="20"/>
  </w:num>
  <w:num w:numId="55">
    <w:abstractNumId w:val="48"/>
  </w:num>
  <w:num w:numId="56">
    <w:abstractNumId w:val="43"/>
  </w:num>
  <w:num w:numId="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verpage" w:val="0,1,2,3,5,6,7,8,10,11"/>
    <w:docVar w:name="docversion" w:val="apr_3.0"/>
    <w:docVar w:name="lastsection" w:val="11"/>
    <w:docVar w:name="PAD_TRACK" w:val="5"/>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3C331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29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74DF3"/>
    <w:pPr>
      <w:keepNext/>
      <w:keepLines/>
      <w:widowControl/>
      <w:autoSpaceDE/>
      <w:autoSpaceDN/>
      <w:adjustRightInd/>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AB11CA"/>
    <w:rPr>
      <w:sz w:val="20"/>
      <w:szCs w:val="20"/>
    </w:rPr>
  </w:style>
  <w:style w:type="character" w:customStyle="1" w:styleId="CommentTextChar">
    <w:name w:val="Comment Text Char"/>
    <w:basedOn w:val="DefaultParagraphFont"/>
    <w:link w:val="CommentText"/>
    <w:uiPriority w:val="99"/>
    <w:semiHidden/>
    <w:rsid w:val="00AB11CA"/>
    <w:rPr>
      <w:rFonts w:ascii="Arial" w:hAnsi="Arial" w:eastAsiaTheme="minorEastAsia"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hAnsi="Tahoma" w:eastAsiaTheme="minorEastAsi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hAnsi="Arial" w:eastAsiaTheme="minorEastAsia"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hAnsi="Arial" w:eastAsiaTheme="minorEastAsia" w:cs="Arial"/>
      <w:color w:val="000000"/>
      <w:sz w:val="24"/>
      <w:szCs w:val="24"/>
    </w:rPr>
  </w:style>
  <w:style w:type="paragraph" w:styleId="NoSpacing">
    <w:name w:val="No Spacing"/>
    <w:link w:val="NoSpacingChar"/>
    <w:uiPriority w:val="1"/>
    <w:qFormat/>
    <w:rsid w:val="005D2961"/>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ListParagraph">
    <w:name w:val="List Paragraph"/>
    <w:aliases w:val="ANNEX,Bullets,Citation List,Dot pt,Ha,List Bullet-OpsManual,List Paragraph (numbered (a)),List Paragraph nowy,List Paragraph1,List Paragraph2,List_Paragraph,Liste 1,Multilevel para_II,Normal 2,References,Resume Title,Source,Title Style 1"/>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5D296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0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uiPriority w:val="39"/>
    <w:unhideWhenUsed/>
    <w:rsid w:val="00CF6439"/>
    <w:pPr>
      <w:tabs>
        <w:tab w:val="left" w:pos="440"/>
        <w:tab w:val="right" w:leader="dot" w:pos="9350"/>
      </w:tabs>
      <w:spacing w:after="100"/>
    </w:pPr>
    <w:rPr>
      <w:rFonts w:ascii="Calibri" w:eastAsia="Times New Roman" w:hAnsi="Calibri"/>
      <w:b/>
      <w:caps/>
      <w:noProof/>
    </w:rPr>
  </w:style>
  <w:style w:type="paragraph" w:styleId="TOC2">
    <w:name w:val="toc 2"/>
    <w:basedOn w:val="Normal"/>
    <w:next w:val="Normal"/>
    <w:autoRedefine/>
    <w:uiPriority w:val="39"/>
    <w:unhideWhenUsed/>
    <w:rsid w:val="002505DF"/>
    <w:pPr>
      <w:tabs>
        <w:tab w:val="left" w:pos="450"/>
        <w:tab w:val="right" w:leader="dot" w:pos="9350"/>
      </w:tabs>
      <w:spacing w:after="100"/>
      <w:ind w:left="540" w:hanging="90"/>
    </w:pPr>
    <w:rPr>
      <w:rFonts w:ascii="Calibri" w:hAnsi="Calibri"/>
      <w:bCs/>
      <w:noProof/>
      <w:color w:val="auto"/>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9868E5"/>
    <w:pPr>
      <w:widowControl/>
      <w:autoSpaceDE/>
      <w:autoSpaceDN/>
      <w:adjustRightInd/>
      <w:spacing w:after="100" w:line="259" w:lineRule="auto"/>
      <w:ind w:left="440"/>
    </w:pPr>
    <w:rPr>
      <w:rFonts w:asciiTheme="minorHAnsi" w:hAnsiTheme="minorHAnsi" w:cs="Times New Roman"/>
      <w:color w:val="auto"/>
      <w:sz w:val="22"/>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hAnsi="Arial" w:eastAsiaTheme="minorEastAsia"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hAnsi="Arial" w:eastAsiaTheme="minorEastAsia"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0">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4">
    <w:name w:val="Table Grid_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5">
    <w:name w:val="Table Grid_5"/>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4">
    <w:name w:val="Table Grid_1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6">
    <w:name w:val="Table Grid_16"/>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DB,ALTS FOOTNOTE,F,FOOTNOTES,Footnote Text Char1 Char Char,Footnote Text Char1 Char Char Char Char,Footnote Text Char2 Char,Footnote Text Char2 Char Char Char,Footnote Text Char2 Char Char Char Char Char,f,fn,footnote text,ft,single space"/>
    <w:basedOn w:val="Normal"/>
    <w:link w:val="FootnoteTextChar"/>
    <w:uiPriority w:val="99"/>
    <w:qFormat/>
    <w:rsid w:val="00BC635D"/>
    <w:pPr>
      <w:widowControl/>
      <w:autoSpaceDE/>
      <w:autoSpaceDN/>
      <w:adjustRightInd/>
    </w:pPr>
    <w:rPr>
      <w:rFonts w:ascii="Times New Roman" w:eastAsia="Times New Roman" w:hAnsi="Times New Roman" w:cs="Times New Roman"/>
      <w:color w:val="auto"/>
    </w:rPr>
  </w:style>
  <w:style w:type="character" w:customStyle="1" w:styleId="FootnoteTextChar">
    <w:name w:val="Footnote Text Char"/>
    <w:aliases w:val="ADB Char,ALTS FOOTNOTE Char,F Char,FOOTNOTES Char,Footnote Text Char1 Char Char Char,Footnote Text Char1 Char Char Char Char Char,Footnote Text Char2 Char Char,Footnote Text Char2 Char Char Char Char,f Char,fn Char,footnote text Char"/>
    <w:basedOn w:val="DefaultParagraphFont"/>
    <w:link w:val="FootnoteText"/>
    <w:uiPriority w:val="99"/>
    <w:rsid w:val="00BC635D"/>
    <w:rPr>
      <w:rFonts w:ascii="Times New Roman" w:eastAsia="Times New Roman" w:hAnsi="Times New Roman" w:cs="Times New Roman"/>
      <w:sz w:val="24"/>
      <w:szCs w:val="24"/>
    </w:rPr>
  </w:style>
  <w:style w:type="character" w:styleId="FootnoteReference">
    <w:name w:val="footnote reference"/>
    <w:aliases w:val=" BVI fnr,16 Point,BVI fnr,Char Char Char Char Car Char,FNRefe,Footnote,Footnote Reference Number,Footnote Reference1,Ref,Superscript 6 Point,Used by Word for Help footnote symbols,de nota al pie,fr,ftref,heading1"/>
    <w:link w:val="BVIfnrCharCharChar1CharCharCharCharCharCharChar1CharCharChar1Char"/>
    <w:uiPriority w:val="99"/>
    <w:qFormat/>
    <w:rsid w:val="00BC635D"/>
    <w:rPr>
      <w:vertAlign w:val="superscript"/>
    </w:rPr>
  </w:style>
  <w:style w:type="paragraph" w:styleId="Caption">
    <w:name w:val="caption"/>
    <w:aliases w:val="Caption Char Char Char,Caption Char Char Char Char,Caption Char Char Char1,Caption Char Char1,Caption Char1 Char,Caption Char2,Caption1,Caption1 Char,Figure Head,LVT Table Heading,Table,Table title,WB Caption,quarterly chart caption"/>
    <w:basedOn w:val="Normal"/>
    <w:next w:val="Normal"/>
    <w:link w:val="CaptionChar"/>
    <w:unhideWhenUsed/>
    <w:qFormat/>
    <w:rsid w:val="00BC635D"/>
    <w:pPr>
      <w:spacing w:after="200"/>
    </w:pPr>
    <w:rPr>
      <w:i/>
      <w:iCs/>
      <w:color w:val="44546A" w:themeColor="text2"/>
      <w:sz w:val="18"/>
      <w:szCs w:val="18"/>
    </w:rPr>
  </w:style>
  <w:style w:type="character" w:customStyle="1" w:styleId="ListParagraphChar">
    <w:name w:val="List Paragraph Char"/>
    <w:aliases w:val="ANNEX Char,Bullets Char,Citation List Char,Dot pt Char,Ha Char,List Bullet-OpsManual Char,List Paragraph (numbered (a)) Char,List Paragraph nowy Char,List Paragraph1 Char,List Paragraph2 Char,List_Paragraph Char,Liste 1 Char"/>
    <w:basedOn w:val="DefaultParagraphFont"/>
    <w:link w:val="ListParagraph"/>
    <w:uiPriority w:val="34"/>
    <w:qFormat/>
    <w:rsid w:val="00BC635D"/>
    <w:rPr>
      <w:rFonts w:ascii="Arial" w:hAnsi="Arial" w:eastAsiaTheme="minorEastAsia" w:cs="Arial"/>
      <w:color w:val="000000"/>
      <w:sz w:val="24"/>
      <w:szCs w:val="24"/>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BC635D"/>
    <w:pPr>
      <w:widowControl/>
      <w:autoSpaceDE/>
      <w:autoSpaceDN/>
      <w:adjustRightInd/>
      <w:spacing w:after="160" w:line="240" w:lineRule="exact"/>
    </w:pPr>
    <w:rPr>
      <w:rFonts w:asciiTheme="minorHAnsi" w:eastAsiaTheme="minorHAnsi" w:hAnsiTheme="minorHAnsi" w:cstheme="minorBidi"/>
      <w:color w:val="auto"/>
      <w:sz w:val="22"/>
      <w:szCs w:val="22"/>
      <w:vertAlign w:val="superscript"/>
    </w:rPr>
  </w:style>
  <w:style w:type="table" w:customStyle="1" w:styleId="PlainTable31">
    <w:name w:val="Plain Table 31"/>
    <w:basedOn w:val="TableNormal"/>
    <w:uiPriority w:val="43"/>
    <w:rsid w:val="00BC635D"/>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BC63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64">
    <w:name w:val="Normal_64"/>
    <w:uiPriority w:val="99"/>
    <w:qFormat/>
    <w:rsid w:val="00BC635D"/>
    <w:pPr>
      <w:widowControl w:val="0"/>
      <w:autoSpaceDE w:val="0"/>
      <w:autoSpaceDN w:val="0"/>
      <w:adjustRightInd w:val="0"/>
      <w:spacing w:after="0" w:line="240" w:lineRule="auto"/>
    </w:pPr>
    <w:rPr>
      <w:rFonts w:ascii="Arial" w:hAnsi="Arial" w:eastAsiaTheme="minorEastAsia" w:cs="Arial"/>
      <w:color w:val="000000"/>
      <w:sz w:val="24"/>
      <w:szCs w:val="24"/>
    </w:rPr>
  </w:style>
  <w:style w:type="character" w:customStyle="1" w:styleId="Heading3Char">
    <w:name w:val="Heading 3 Char"/>
    <w:basedOn w:val="DefaultParagraphFont"/>
    <w:link w:val="Heading3"/>
    <w:uiPriority w:val="9"/>
    <w:semiHidden/>
    <w:rsid w:val="00F74DF3"/>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F74DF3"/>
    <w:rPr>
      <w:b/>
      <w:bCs/>
    </w:rPr>
  </w:style>
  <w:style w:type="character" w:customStyle="1" w:styleId="CommentSubjectChar">
    <w:name w:val="Comment Subject Char"/>
    <w:basedOn w:val="CommentTextChar"/>
    <w:link w:val="CommentSubject"/>
    <w:uiPriority w:val="99"/>
    <w:semiHidden/>
    <w:rsid w:val="00F74DF3"/>
    <w:rPr>
      <w:rFonts w:ascii="Arial" w:hAnsi="Arial" w:eastAsiaTheme="minorEastAsia" w:cs="Arial"/>
      <w:b/>
      <w:bCs/>
      <w:color w:val="000000"/>
      <w:sz w:val="20"/>
      <w:szCs w:val="20"/>
    </w:rPr>
  </w:style>
  <w:style w:type="paragraph" w:styleId="BodyText2">
    <w:name w:val="Body Text 2"/>
    <w:basedOn w:val="Normal"/>
    <w:link w:val="BodyText2Char"/>
    <w:uiPriority w:val="99"/>
    <w:unhideWhenUsed/>
    <w:rsid w:val="00F74DF3"/>
    <w:pPr>
      <w:spacing w:after="120" w:line="480" w:lineRule="auto"/>
    </w:pPr>
  </w:style>
  <w:style w:type="character" w:customStyle="1" w:styleId="BodyText2Char">
    <w:name w:val="Body Text 2 Char"/>
    <w:basedOn w:val="DefaultParagraphFont"/>
    <w:link w:val="BodyText2"/>
    <w:uiPriority w:val="99"/>
    <w:rsid w:val="00F74DF3"/>
    <w:rPr>
      <w:rFonts w:ascii="Arial" w:hAnsi="Arial" w:eastAsiaTheme="minorEastAsia" w:cs="Arial"/>
      <w:color w:val="000000"/>
      <w:sz w:val="24"/>
      <w:szCs w:val="24"/>
    </w:rPr>
  </w:style>
  <w:style w:type="character" w:customStyle="1" w:styleId="apple-converted-space">
    <w:name w:val="apple-converted-space"/>
    <w:basedOn w:val="DefaultParagraphFont"/>
    <w:rsid w:val="00F74DF3"/>
  </w:style>
  <w:style w:type="character" w:customStyle="1" w:styleId="NoSpacingChar">
    <w:name w:val="No Spacing Char"/>
    <w:basedOn w:val="DefaultParagraphFont"/>
    <w:link w:val="NoSpacing"/>
    <w:uiPriority w:val="1"/>
    <w:rsid w:val="00F74DF3"/>
    <w:rPr>
      <w:rFonts w:ascii="Arial" w:hAnsi="Arial" w:eastAsiaTheme="minorEastAsia" w:cs="Arial"/>
      <w:color w:val="000000"/>
      <w:sz w:val="24"/>
      <w:szCs w:val="24"/>
    </w:rPr>
  </w:style>
  <w:style w:type="paragraph" w:customStyle="1" w:styleId="Mynormal">
    <w:name w:val="My normal"/>
    <w:basedOn w:val="NoSpacing"/>
    <w:link w:val="MynormalChar"/>
    <w:qFormat/>
    <w:rsid w:val="00F74DF3"/>
    <w:pPr>
      <w:widowControl/>
      <w:autoSpaceDE/>
      <w:autoSpaceDN/>
      <w:adjustRightInd/>
    </w:pPr>
    <w:rPr>
      <w:rFonts w:ascii="Times New Roman" w:hAnsi="Times New Roman" w:eastAsiaTheme="minorHAnsi" w:cs="Times New Roman"/>
      <w:color w:val="auto"/>
      <w:szCs w:val="32"/>
      <w:lang w:bidi="en-US"/>
    </w:rPr>
  </w:style>
  <w:style w:type="character" w:customStyle="1" w:styleId="MynormalChar">
    <w:name w:val="My normal Char"/>
    <w:basedOn w:val="DefaultParagraphFont"/>
    <w:link w:val="Mynormal"/>
    <w:rsid w:val="00F74DF3"/>
    <w:rPr>
      <w:rFonts w:ascii="Times New Roman" w:hAnsi="Times New Roman" w:cs="Times New Roman"/>
      <w:sz w:val="24"/>
      <w:szCs w:val="32"/>
      <w:lang w:bidi="en-US"/>
    </w:rPr>
  </w:style>
  <w:style w:type="paragraph" w:styleId="Revision">
    <w:name w:val="Revision"/>
    <w:hidden/>
    <w:uiPriority w:val="99"/>
    <w:semiHidden/>
    <w:rsid w:val="00F74DF3"/>
    <w:pPr>
      <w:spacing w:after="0" w:line="240" w:lineRule="auto"/>
    </w:pPr>
    <w:rPr>
      <w:rFonts w:ascii="Arial" w:hAnsi="Arial" w:eastAsiaTheme="minorEastAsia" w:cs="Arial"/>
      <w:color w:val="000000"/>
      <w:sz w:val="24"/>
      <w:szCs w:val="24"/>
    </w:rPr>
  </w:style>
  <w:style w:type="paragraph" w:styleId="NormalWeb">
    <w:name w:val="Normal (Web)"/>
    <w:basedOn w:val="Normal"/>
    <w:uiPriority w:val="99"/>
    <w:unhideWhenUsed/>
    <w:rsid w:val="00F74DF3"/>
    <w:pPr>
      <w:widowControl/>
      <w:autoSpaceDE/>
      <w:autoSpaceDN/>
      <w:adjustRightInd/>
      <w:spacing w:before="100" w:beforeAutospacing="1" w:after="100" w:afterAutospacing="1"/>
    </w:pPr>
    <w:rPr>
      <w:rFonts w:ascii="Times New Roman" w:eastAsia="Times New Roman" w:hAnsi="Times New Roman" w:cs="Times New Roman"/>
      <w:color w:val="auto"/>
    </w:rPr>
  </w:style>
  <w:style w:type="paragraph" w:customStyle="1" w:styleId="BVIfnrCarCar1CarCarCharCarCharCarChar">
    <w:name w:val="BVI fnr Car Car1 Car Car Char Car Char Car Char"/>
    <w:aliases w:val="BVI fnr Car Car Car Car1 Car Car Char Car Char Car Char,BVI fnr Car Car Car Car1 Car1 Char Car Char Car Char Char"/>
    <w:basedOn w:val="Normal"/>
    <w:uiPriority w:val="99"/>
    <w:rsid w:val="00F74DF3"/>
    <w:pPr>
      <w:widowControl/>
      <w:autoSpaceDE/>
      <w:autoSpaceDN/>
      <w:adjustRightInd/>
      <w:spacing w:line="240" w:lineRule="exact"/>
    </w:pPr>
    <w:rPr>
      <w:rFonts w:asciiTheme="minorHAnsi" w:eastAsiaTheme="minorHAnsi" w:hAnsiTheme="minorHAnsi" w:cstheme="minorBidi"/>
      <w:color w:val="auto"/>
      <w:sz w:val="22"/>
      <w:szCs w:val="22"/>
      <w:vertAlign w:val="superscript"/>
    </w:rPr>
  </w:style>
  <w:style w:type="paragraph" w:styleId="EndnoteText">
    <w:name w:val="endnote text"/>
    <w:basedOn w:val="Normal"/>
    <w:link w:val="EndnoteTextChar"/>
    <w:uiPriority w:val="99"/>
    <w:semiHidden/>
    <w:unhideWhenUsed/>
    <w:rsid w:val="00F74DF3"/>
    <w:rPr>
      <w:sz w:val="20"/>
      <w:szCs w:val="20"/>
    </w:rPr>
  </w:style>
  <w:style w:type="character" w:customStyle="1" w:styleId="EndnoteTextChar">
    <w:name w:val="Endnote Text Char"/>
    <w:basedOn w:val="DefaultParagraphFont"/>
    <w:link w:val="EndnoteText"/>
    <w:uiPriority w:val="99"/>
    <w:semiHidden/>
    <w:rsid w:val="00F74DF3"/>
    <w:rPr>
      <w:rFonts w:ascii="Arial" w:hAnsi="Arial" w:eastAsiaTheme="minorEastAsia" w:cs="Arial"/>
      <w:color w:val="000000"/>
      <w:sz w:val="20"/>
      <w:szCs w:val="20"/>
    </w:rPr>
  </w:style>
  <w:style w:type="character" w:styleId="EndnoteReference">
    <w:name w:val="endnote reference"/>
    <w:basedOn w:val="DefaultParagraphFont"/>
    <w:uiPriority w:val="99"/>
    <w:semiHidden/>
    <w:unhideWhenUsed/>
    <w:rsid w:val="00F74DF3"/>
    <w:rPr>
      <w:vertAlign w:val="superscript"/>
    </w:rPr>
  </w:style>
  <w:style w:type="paragraph" w:customStyle="1" w:styleId="ModelNrmlSingle">
    <w:name w:val="ModelNrmlSingle"/>
    <w:basedOn w:val="Normal"/>
    <w:link w:val="ModelNrmlSingleChar"/>
    <w:rsid w:val="00F74DF3"/>
    <w:pPr>
      <w:widowControl/>
      <w:autoSpaceDE/>
      <w:autoSpaceDN/>
      <w:adjustRightInd/>
      <w:spacing w:after="240"/>
      <w:ind w:firstLine="720"/>
      <w:jc w:val="both"/>
    </w:pPr>
    <w:rPr>
      <w:rFonts w:ascii="Times New Roman" w:eastAsia="Times New Roman" w:hAnsi="Times New Roman" w:cs="Times New Roman"/>
      <w:color w:val="auto"/>
      <w:sz w:val="22"/>
      <w:szCs w:val="20"/>
    </w:rPr>
  </w:style>
  <w:style w:type="character" w:customStyle="1" w:styleId="ModelNrmlSingleChar">
    <w:name w:val="ModelNrmlSingle Char"/>
    <w:basedOn w:val="DefaultParagraphFont"/>
    <w:link w:val="ModelNrmlSingle"/>
    <w:rsid w:val="00F74DF3"/>
    <w:rPr>
      <w:rFonts w:ascii="Times New Roman" w:eastAsia="Times New Roman" w:hAnsi="Times New Roman" w:cs="Times New Roman"/>
      <w:szCs w:val="20"/>
    </w:rPr>
  </w:style>
  <w:style w:type="paragraph" w:customStyle="1" w:styleId="Normal71">
    <w:name w:val="Normal_71"/>
    <w:uiPriority w:val="99"/>
    <w:qFormat/>
    <w:rsid w:val="00F74DF3"/>
    <w:pPr>
      <w:widowControl w:val="0"/>
      <w:autoSpaceDE w:val="0"/>
      <w:autoSpaceDN w:val="0"/>
      <w:adjustRightInd w:val="0"/>
      <w:spacing w:after="0" w:line="240" w:lineRule="auto"/>
    </w:pPr>
    <w:rPr>
      <w:rFonts w:ascii="Arial" w:hAnsi="Arial" w:eastAsiaTheme="minorEastAsia" w:cs="Arial"/>
      <w:color w:val="000000"/>
      <w:sz w:val="24"/>
      <w:szCs w:val="24"/>
    </w:rPr>
  </w:style>
  <w:style w:type="character" w:customStyle="1" w:styleId="ModelNrmlDoubleChar">
    <w:name w:val="ModelNrmlDouble Char"/>
    <w:basedOn w:val="DefaultParagraphFont"/>
    <w:link w:val="ModelNrmlDouble"/>
    <w:locked/>
    <w:rsid w:val="00F74DF3"/>
  </w:style>
  <w:style w:type="paragraph" w:customStyle="1" w:styleId="ModelNrmlDouble">
    <w:name w:val="ModelNrmlDouble"/>
    <w:basedOn w:val="Normal"/>
    <w:link w:val="ModelNrmlDoubleChar"/>
    <w:rsid w:val="00F74DF3"/>
    <w:pPr>
      <w:widowControl/>
      <w:autoSpaceDE/>
      <w:autoSpaceDN/>
      <w:adjustRightInd/>
      <w:spacing w:after="360" w:line="480" w:lineRule="auto"/>
      <w:ind w:firstLine="720"/>
      <w:jc w:val="both"/>
    </w:pPr>
    <w:rPr>
      <w:rFonts w:asciiTheme="minorHAnsi" w:eastAsiaTheme="minorHAnsi" w:hAnsiTheme="minorHAnsi" w:cstheme="minorBidi"/>
      <w:color w:val="auto"/>
      <w:sz w:val="22"/>
      <w:szCs w:val="22"/>
    </w:rPr>
  </w:style>
  <w:style w:type="paragraph" w:customStyle="1" w:styleId="Normal95">
    <w:name w:val="Normal_95"/>
    <w:uiPriority w:val="99"/>
    <w:qFormat/>
    <w:rsid w:val="00F74DF3"/>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34">
    <w:name w:val="Table Grid_34"/>
    <w:basedOn w:val="TableNormal"/>
    <w:uiPriority w:val="39"/>
    <w:rsid w:val="00F74DF3"/>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4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74DF3"/>
    <w:rPr>
      <w:rFonts w:ascii="Lucida Grande" w:hAnsi="Lucida Grande" w:cs="Lucida Grande"/>
    </w:rPr>
  </w:style>
  <w:style w:type="character" w:customStyle="1" w:styleId="DocumentMapChar">
    <w:name w:val="Document Map Char"/>
    <w:basedOn w:val="DefaultParagraphFont"/>
    <w:link w:val="DocumentMap"/>
    <w:uiPriority w:val="99"/>
    <w:semiHidden/>
    <w:rsid w:val="00F74DF3"/>
    <w:rPr>
      <w:rFonts w:ascii="Lucida Grande" w:hAnsi="Lucida Grande" w:eastAsiaTheme="minorEastAsia" w:cs="Lucida Grande"/>
      <w:color w:val="000000"/>
      <w:sz w:val="24"/>
      <w:szCs w:val="24"/>
    </w:rPr>
  </w:style>
  <w:style w:type="paragraph" w:customStyle="1" w:styleId="Heading1a">
    <w:name w:val="Heading 1a"/>
    <w:basedOn w:val="Normal"/>
    <w:next w:val="Normal"/>
    <w:rsid w:val="00F74DF3"/>
    <w:pPr>
      <w:keepNext/>
      <w:keepLines/>
      <w:widowControl/>
      <w:numPr>
        <w:numId w:val="16"/>
      </w:numPr>
      <w:autoSpaceDE/>
      <w:autoSpaceDN/>
      <w:adjustRightInd/>
      <w:spacing w:before="1440" w:after="240" w:line="259" w:lineRule="auto"/>
      <w:jc w:val="center"/>
      <w:outlineLvl w:val="0"/>
    </w:pPr>
    <w:rPr>
      <w:rFonts w:ascii="Times New Roman" w:eastAsia="Times New Roman" w:hAnsi="Times New Roman" w:cs="Times New Roman"/>
      <w:b/>
      <w:caps/>
      <w:color w:val="auto"/>
      <w:sz w:val="32"/>
    </w:rPr>
  </w:style>
  <w:style w:type="paragraph" w:customStyle="1" w:styleId="Sub-Para1underX">
    <w:name w:val="Sub-Para 1 under X."/>
    <w:basedOn w:val="Normal"/>
    <w:rsid w:val="00F74DF3"/>
    <w:pPr>
      <w:widowControl/>
      <w:numPr>
        <w:ilvl w:val="2"/>
        <w:numId w:val="16"/>
      </w:numPr>
      <w:autoSpaceDE/>
      <w:autoSpaceDN/>
      <w:adjustRightInd/>
      <w:spacing w:after="240" w:line="259" w:lineRule="auto"/>
      <w:jc w:val="both"/>
      <w:outlineLvl w:val="2"/>
    </w:pPr>
    <w:rPr>
      <w:rFonts w:ascii="Times New Roman" w:eastAsia="Times New Roman" w:hAnsi="Times New Roman" w:cs="Times New Roman"/>
      <w:color w:val="auto"/>
    </w:rPr>
  </w:style>
  <w:style w:type="paragraph" w:customStyle="1" w:styleId="Sub-Para2underX">
    <w:name w:val="Sub-Para 2 under X."/>
    <w:basedOn w:val="Normal"/>
    <w:rsid w:val="00F74DF3"/>
    <w:pPr>
      <w:widowControl/>
      <w:numPr>
        <w:ilvl w:val="3"/>
        <w:numId w:val="16"/>
      </w:numPr>
      <w:autoSpaceDE/>
      <w:autoSpaceDN/>
      <w:adjustRightInd/>
      <w:spacing w:after="240" w:line="259" w:lineRule="auto"/>
      <w:jc w:val="both"/>
      <w:outlineLvl w:val="3"/>
    </w:pPr>
    <w:rPr>
      <w:rFonts w:ascii="Times New Roman" w:eastAsia="Times New Roman" w:hAnsi="Times New Roman" w:cs="Times New Roman"/>
      <w:color w:val="auto"/>
    </w:rPr>
  </w:style>
  <w:style w:type="paragraph" w:customStyle="1" w:styleId="Sub-Para3underX">
    <w:name w:val="Sub-Para 3 under X."/>
    <w:basedOn w:val="Normal"/>
    <w:rsid w:val="00F74DF3"/>
    <w:pPr>
      <w:widowControl/>
      <w:numPr>
        <w:ilvl w:val="4"/>
        <w:numId w:val="16"/>
      </w:numPr>
      <w:autoSpaceDE/>
      <w:autoSpaceDN/>
      <w:adjustRightInd/>
      <w:spacing w:after="240" w:line="259" w:lineRule="auto"/>
      <w:jc w:val="both"/>
      <w:outlineLvl w:val="4"/>
    </w:pPr>
    <w:rPr>
      <w:rFonts w:ascii="Times New Roman" w:eastAsia="Times New Roman" w:hAnsi="Times New Roman" w:cs="Times New Roman"/>
      <w:color w:val="auto"/>
    </w:rPr>
  </w:style>
  <w:style w:type="paragraph" w:customStyle="1" w:styleId="Sub-Para4underX">
    <w:name w:val="Sub-Para 4 under X."/>
    <w:basedOn w:val="Normal"/>
    <w:rsid w:val="00F74DF3"/>
    <w:pPr>
      <w:widowControl/>
      <w:numPr>
        <w:ilvl w:val="5"/>
        <w:numId w:val="16"/>
      </w:numPr>
      <w:autoSpaceDE/>
      <w:autoSpaceDN/>
      <w:adjustRightInd/>
      <w:spacing w:after="240" w:line="259" w:lineRule="auto"/>
      <w:jc w:val="both"/>
      <w:outlineLvl w:val="5"/>
    </w:pPr>
    <w:rPr>
      <w:rFonts w:ascii="Times New Roman" w:eastAsia="Times New Roman" w:hAnsi="Times New Roman" w:cs="Times New Roman"/>
      <w:color w:val="auto"/>
    </w:rPr>
  </w:style>
  <w:style w:type="paragraph" w:customStyle="1" w:styleId="StyleMainParanoChapterAfter6pt">
    <w:name w:val="Style Main Para no Chapter # + After:  6 pt"/>
    <w:basedOn w:val="Normal"/>
    <w:rsid w:val="00F74DF3"/>
    <w:pPr>
      <w:widowControl/>
      <w:numPr>
        <w:ilvl w:val="1"/>
        <w:numId w:val="16"/>
      </w:numPr>
      <w:tabs>
        <w:tab w:val="clear" w:pos="240"/>
        <w:tab w:val="num" w:pos="360"/>
      </w:tabs>
      <w:autoSpaceDE/>
      <w:autoSpaceDN/>
      <w:adjustRightInd/>
      <w:spacing w:after="120" w:line="259" w:lineRule="auto"/>
      <w:ind w:left="4560"/>
      <w:jc w:val="both"/>
      <w:outlineLvl w:val="1"/>
    </w:pPr>
    <w:rPr>
      <w:rFonts w:ascii="Times New Roman" w:eastAsia="Times New Roman" w:hAnsi="Times New Roman" w:cs="Times New Roman"/>
      <w:color w:val="auto"/>
      <w:szCs w:val="20"/>
    </w:rPr>
  </w:style>
  <w:style w:type="paragraph" w:customStyle="1" w:styleId="Normal65">
    <w:name w:val="Normal_6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0">
    <w:name w:val="Table Grid_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0">
    <w:name w:val="Normal_3_0"/>
    <w:qFormat/>
    <w:rPr>
      <w:rFonts w:ascii="Calibri" w:eastAsia="Calibri" w:hAnsi="Calibri" w:cs="Times New Roman"/>
    </w:rPr>
  </w:style>
  <w:style w:type="paragraph" w:customStyle="1" w:styleId="Normal400">
    <w:name w:val="Normal_4_0"/>
    <w:qFormat/>
    <w:rPr>
      <w:rFonts w:ascii="Calibri" w:eastAsia="Calibri" w:hAnsi="Calibri" w:cs="Times New Roman"/>
    </w:rPr>
  </w:style>
  <w:style w:type="paragraph" w:customStyle="1" w:styleId="Footer0">
    <w:name w:val="Footer_0"/>
    <w:basedOn w:val="Normal66"/>
    <w:link w:val="FooterChar0"/>
    <w:uiPriority w:val="99"/>
    <w:unhideWhenUsed/>
    <w:rsid w:val="00F011F2"/>
    <w:pPr>
      <w:tabs>
        <w:tab w:val="center" w:pos="4680"/>
        <w:tab w:val="right" w:pos="9360"/>
      </w:tabs>
    </w:pPr>
  </w:style>
  <w:style w:type="paragraph" w:customStyle="1" w:styleId="Normal66">
    <w:name w:val="Normal_6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0">
    <w:name w:val="Footer Char_0"/>
    <w:basedOn w:val="DefaultParagraphFont"/>
    <w:link w:val="Footer0"/>
    <w:uiPriority w:val="99"/>
    <w:rsid w:val="00F011F2"/>
    <w:rPr>
      <w:rFonts w:ascii="Arial" w:eastAsia="Times New Roman" w:hAnsi="Arial" w:cs="Arial"/>
      <w:color w:val="000000"/>
      <w:sz w:val="24"/>
      <w:szCs w:val="24"/>
    </w:rPr>
  </w:style>
  <w:style w:type="paragraph" w:customStyle="1" w:styleId="Header0">
    <w:name w:val="Header_0"/>
    <w:basedOn w:val="Normal66"/>
    <w:link w:val="HeaderChar0"/>
    <w:uiPriority w:val="99"/>
    <w:unhideWhenUsed/>
    <w:rsid w:val="00F011F2"/>
    <w:pPr>
      <w:tabs>
        <w:tab w:val="center" w:pos="4680"/>
        <w:tab w:val="right" w:pos="9360"/>
      </w:tabs>
    </w:pPr>
  </w:style>
  <w:style w:type="character" w:customStyle="1" w:styleId="HeaderChar0">
    <w:name w:val="Header Char_0"/>
    <w:basedOn w:val="DefaultParagraphFont"/>
    <w:link w:val="Header0"/>
    <w:uiPriority w:val="99"/>
    <w:rsid w:val="00F011F2"/>
    <w:rPr>
      <w:rFonts w:ascii="Arial" w:eastAsia="Times New Roman" w:hAnsi="Arial" w:cs="Arial"/>
      <w:color w:val="000000"/>
      <w:sz w:val="24"/>
      <w:szCs w:val="24"/>
    </w:rPr>
  </w:style>
  <w:style w:type="table" w:customStyle="1" w:styleId="TableGrid10">
    <w:name w:val="Table Grid_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1">
    <w:name w:val="Table Grid_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
    <w:qFormat/>
    <w:rPr>
      <w:rFonts w:ascii="Calibri" w:eastAsia="Calibri" w:hAnsi="Calibri" w:cs="Times New Roman"/>
    </w:rPr>
  </w:style>
  <w:style w:type="paragraph" w:customStyle="1" w:styleId="Normal410">
    <w:name w:val="Normal_4_1"/>
    <w:qFormat/>
    <w:rPr>
      <w:rFonts w:ascii="Calibri" w:eastAsia="Calibri" w:hAnsi="Calibri" w:cs="Times New Roman"/>
    </w:rPr>
  </w:style>
  <w:style w:type="paragraph" w:customStyle="1" w:styleId="Footer1">
    <w:name w:val="Footer_1"/>
    <w:basedOn w:val="Normal68"/>
    <w:link w:val="FooterChar1"/>
    <w:uiPriority w:val="99"/>
    <w:unhideWhenUsed/>
    <w:rsid w:val="00F011F2"/>
    <w:pPr>
      <w:tabs>
        <w:tab w:val="center" w:pos="4680"/>
        <w:tab w:val="right" w:pos="9360"/>
      </w:tabs>
    </w:pPr>
  </w:style>
  <w:style w:type="paragraph" w:customStyle="1" w:styleId="Normal68">
    <w:name w:val="Normal_6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
    <w:name w:val="Footer Char_1"/>
    <w:basedOn w:val="DefaultParagraphFont"/>
    <w:link w:val="Footer1"/>
    <w:uiPriority w:val="99"/>
    <w:rsid w:val="00F011F2"/>
    <w:rPr>
      <w:rFonts w:ascii="Arial" w:eastAsia="Times New Roman" w:hAnsi="Arial" w:cs="Arial"/>
      <w:color w:val="000000"/>
      <w:sz w:val="24"/>
      <w:szCs w:val="24"/>
    </w:rPr>
  </w:style>
  <w:style w:type="paragraph" w:customStyle="1" w:styleId="Header1">
    <w:name w:val="Header_1"/>
    <w:basedOn w:val="Normal68"/>
    <w:link w:val="HeaderChar1"/>
    <w:uiPriority w:val="99"/>
    <w:unhideWhenUsed/>
    <w:rsid w:val="00F011F2"/>
    <w:pPr>
      <w:tabs>
        <w:tab w:val="center" w:pos="4680"/>
        <w:tab w:val="right" w:pos="9360"/>
      </w:tabs>
    </w:pPr>
  </w:style>
  <w:style w:type="character" w:customStyle="1" w:styleId="HeaderChar1">
    <w:name w:val="Header Char_1"/>
    <w:basedOn w:val="DefaultParagraphFont"/>
    <w:link w:val="Header1"/>
    <w:uiPriority w:val="99"/>
    <w:rsid w:val="00F011F2"/>
    <w:rPr>
      <w:rFonts w:ascii="Arial" w:eastAsia="Times New Roman" w:hAnsi="Arial" w:cs="Arial"/>
      <w:color w:val="000000"/>
      <w:sz w:val="24"/>
      <w:szCs w:val="24"/>
    </w:rPr>
  </w:style>
  <w:style w:type="table" w:customStyle="1" w:styleId="TableGrid30">
    <w:name w:val="Table Grid_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9">
    <w:name w:val="Normal_6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6">
    <w:name w:val="Table Grid_6"/>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
    <w:name w:val="Normal_3_2"/>
    <w:qFormat/>
    <w:rPr>
      <w:rFonts w:ascii="Calibri" w:eastAsia="Calibri" w:hAnsi="Calibri" w:cs="Times New Roman"/>
    </w:rPr>
  </w:style>
  <w:style w:type="paragraph" w:customStyle="1" w:styleId="Normal420">
    <w:name w:val="Normal_4_2"/>
    <w:qFormat/>
    <w:rPr>
      <w:rFonts w:ascii="Calibri" w:eastAsia="Calibri" w:hAnsi="Calibri" w:cs="Times New Roman"/>
    </w:rPr>
  </w:style>
  <w:style w:type="paragraph" w:customStyle="1" w:styleId="Footer2">
    <w:name w:val="Footer_2"/>
    <w:basedOn w:val="Normal70"/>
    <w:link w:val="FooterChar2"/>
    <w:uiPriority w:val="99"/>
    <w:unhideWhenUsed/>
    <w:rsid w:val="00F011F2"/>
    <w:pPr>
      <w:tabs>
        <w:tab w:val="center" w:pos="4680"/>
        <w:tab w:val="right" w:pos="9360"/>
      </w:tabs>
    </w:pPr>
  </w:style>
  <w:style w:type="paragraph" w:customStyle="1" w:styleId="Normal70">
    <w:name w:val="Normal_70"/>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2">
    <w:name w:val="Footer Char_2"/>
    <w:basedOn w:val="DefaultParagraphFont"/>
    <w:link w:val="Footer2"/>
    <w:uiPriority w:val="99"/>
    <w:rsid w:val="00F011F2"/>
    <w:rPr>
      <w:rFonts w:ascii="Arial" w:eastAsia="Times New Roman" w:hAnsi="Arial" w:cs="Arial"/>
      <w:color w:val="000000"/>
      <w:sz w:val="24"/>
      <w:szCs w:val="24"/>
    </w:rPr>
  </w:style>
  <w:style w:type="paragraph" w:customStyle="1" w:styleId="Header2">
    <w:name w:val="Header_2"/>
    <w:basedOn w:val="Normal70"/>
    <w:link w:val="HeaderChar2"/>
    <w:uiPriority w:val="99"/>
    <w:unhideWhenUsed/>
    <w:rsid w:val="00F011F2"/>
    <w:pPr>
      <w:tabs>
        <w:tab w:val="center" w:pos="4680"/>
        <w:tab w:val="right" w:pos="9360"/>
      </w:tabs>
    </w:pPr>
  </w:style>
  <w:style w:type="character" w:customStyle="1" w:styleId="HeaderChar2">
    <w:name w:val="Header Char_2"/>
    <w:basedOn w:val="DefaultParagraphFont"/>
    <w:link w:val="Header2"/>
    <w:uiPriority w:val="99"/>
    <w:rsid w:val="00F011F2"/>
    <w:rPr>
      <w:rFonts w:ascii="Arial" w:eastAsia="Times New Roman" w:hAnsi="Arial" w:cs="Arial"/>
      <w:color w:val="000000"/>
      <w:sz w:val="24"/>
      <w:szCs w:val="24"/>
    </w:rPr>
  </w:style>
  <w:style w:type="table" w:customStyle="1" w:styleId="TableGrid7">
    <w:name w:val="Table Grid_7"/>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2">
    <w:name w:val="Normal_7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8">
    <w:name w:val="Table Grid_8"/>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
    <w:name w:val="Normal_3_3"/>
    <w:qFormat/>
    <w:rPr>
      <w:rFonts w:ascii="Calibri" w:eastAsia="Calibri" w:hAnsi="Calibri" w:cs="Times New Roman"/>
    </w:rPr>
  </w:style>
  <w:style w:type="paragraph" w:customStyle="1" w:styleId="Normal430">
    <w:name w:val="Normal_4_3"/>
    <w:qFormat/>
    <w:rPr>
      <w:rFonts w:ascii="Calibri" w:eastAsia="Calibri" w:hAnsi="Calibri" w:cs="Times New Roman"/>
    </w:rPr>
  </w:style>
  <w:style w:type="paragraph" w:customStyle="1" w:styleId="Footer3">
    <w:name w:val="Footer_3"/>
    <w:basedOn w:val="Normal73"/>
    <w:link w:val="FooterChar3"/>
    <w:uiPriority w:val="99"/>
    <w:unhideWhenUsed/>
    <w:rsid w:val="00F011F2"/>
    <w:pPr>
      <w:tabs>
        <w:tab w:val="center" w:pos="4680"/>
        <w:tab w:val="right" w:pos="9360"/>
      </w:tabs>
    </w:pPr>
  </w:style>
  <w:style w:type="paragraph" w:customStyle="1" w:styleId="Normal73">
    <w:name w:val="Normal_7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3">
    <w:name w:val="Footer Char_3"/>
    <w:basedOn w:val="DefaultParagraphFont"/>
    <w:link w:val="Footer3"/>
    <w:uiPriority w:val="99"/>
    <w:rsid w:val="00F011F2"/>
    <w:rPr>
      <w:rFonts w:ascii="Arial" w:eastAsia="Times New Roman" w:hAnsi="Arial" w:cs="Arial"/>
      <w:color w:val="000000"/>
      <w:sz w:val="24"/>
      <w:szCs w:val="24"/>
    </w:rPr>
  </w:style>
  <w:style w:type="paragraph" w:customStyle="1" w:styleId="Header3">
    <w:name w:val="Header_3"/>
    <w:basedOn w:val="Normal73"/>
    <w:link w:val="HeaderChar3"/>
    <w:uiPriority w:val="99"/>
    <w:unhideWhenUsed/>
    <w:rsid w:val="00F011F2"/>
    <w:pPr>
      <w:tabs>
        <w:tab w:val="center" w:pos="4680"/>
        <w:tab w:val="right" w:pos="9360"/>
      </w:tabs>
    </w:pPr>
  </w:style>
  <w:style w:type="character" w:customStyle="1" w:styleId="HeaderChar3">
    <w:name w:val="Header Char_3"/>
    <w:basedOn w:val="DefaultParagraphFont"/>
    <w:link w:val="Header3"/>
    <w:uiPriority w:val="99"/>
    <w:rsid w:val="00F011F2"/>
    <w:rPr>
      <w:rFonts w:ascii="Arial" w:eastAsia="Times New Roman" w:hAnsi="Arial" w:cs="Arial"/>
      <w:color w:val="000000"/>
      <w:sz w:val="24"/>
      <w:szCs w:val="24"/>
    </w:rPr>
  </w:style>
  <w:style w:type="table" w:customStyle="1" w:styleId="TableGrid9">
    <w:name w:val="Table Grid_9"/>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4">
    <w:name w:val="Normal_7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00">
    <w:name w:val="Table Grid_1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0">
    <w:name w:val="Normal_3_4"/>
    <w:qFormat/>
    <w:rPr>
      <w:rFonts w:ascii="Calibri" w:eastAsia="Calibri" w:hAnsi="Calibri" w:cs="Times New Roman"/>
    </w:rPr>
  </w:style>
  <w:style w:type="paragraph" w:customStyle="1" w:styleId="Normal440">
    <w:name w:val="Normal_4_4"/>
    <w:qFormat/>
    <w:rPr>
      <w:rFonts w:ascii="Calibri" w:eastAsia="Calibri" w:hAnsi="Calibri" w:cs="Times New Roman"/>
    </w:rPr>
  </w:style>
  <w:style w:type="paragraph" w:customStyle="1" w:styleId="Footer4">
    <w:name w:val="Footer_4"/>
    <w:basedOn w:val="Normal75"/>
    <w:link w:val="FooterChar4"/>
    <w:uiPriority w:val="99"/>
    <w:unhideWhenUsed/>
    <w:rsid w:val="00F011F2"/>
    <w:pPr>
      <w:tabs>
        <w:tab w:val="center" w:pos="4680"/>
        <w:tab w:val="right" w:pos="9360"/>
      </w:tabs>
    </w:pPr>
  </w:style>
  <w:style w:type="paragraph" w:customStyle="1" w:styleId="Normal75">
    <w:name w:val="Normal_7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4">
    <w:name w:val="Footer Char_4"/>
    <w:basedOn w:val="DefaultParagraphFont"/>
    <w:link w:val="Footer4"/>
    <w:uiPriority w:val="99"/>
    <w:rsid w:val="00F011F2"/>
    <w:rPr>
      <w:rFonts w:ascii="Arial" w:eastAsia="Times New Roman" w:hAnsi="Arial" w:cs="Arial"/>
      <w:color w:val="000000"/>
      <w:sz w:val="24"/>
      <w:szCs w:val="24"/>
    </w:rPr>
  </w:style>
  <w:style w:type="paragraph" w:customStyle="1" w:styleId="Header4">
    <w:name w:val="Header_4"/>
    <w:basedOn w:val="Normal75"/>
    <w:link w:val="HeaderChar4"/>
    <w:uiPriority w:val="99"/>
    <w:unhideWhenUsed/>
    <w:rsid w:val="00F011F2"/>
    <w:pPr>
      <w:tabs>
        <w:tab w:val="center" w:pos="4680"/>
        <w:tab w:val="right" w:pos="9360"/>
      </w:tabs>
    </w:pPr>
  </w:style>
  <w:style w:type="character" w:customStyle="1" w:styleId="HeaderChar4">
    <w:name w:val="Header Char_4"/>
    <w:basedOn w:val="DefaultParagraphFont"/>
    <w:link w:val="Header4"/>
    <w:uiPriority w:val="99"/>
    <w:rsid w:val="00F011F2"/>
    <w:rPr>
      <w:rFonts w:ascii="Arial" w:eastAsia="Times New Roman" w:hAnsi="Arial" w:cs="Arial"/>
      <w:color w:val="000000"/>
      <w:sz w:val="24"/>
      <w:szCs w:val="24"/>
    </w:rPr>
  </w:style>
  <w:style w:type="table" w:customStyle="1" w:styleId="TableGrid11">
    <w:name w:val="Table Grid_1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6">
    <w:name w:val="Normal_7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
    <w:name w:val="Table Grid_1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50">
    <w:name w:val="Normal_3_5"/>
    <w:qFormat/>
    <w:rPr>
      <w:rFonts w:ascii="Calibri" w:eastAsia="Calibri" w:hAnsi="Calibri" w:cs="Times New Roman"/>
    </w:rPr>
  </w:style>
  <w:style w:type="paragraph" w:customStyle="1" w:styleId="Normal450">
    <w:name w:val="Normal_4_5"/>
    <w:qFormat/>
    <w:rPr>
      <w:rFonts w:ascii="Calibri" w:eastAsia="Calibri" w:hAnsi="Calibri" w:cs="Times New Roman"/>
    </w:rPr>
  </w:style>
  <w:style w:type="paragraph" w:customStyle="1" w:styleId="Footer5">
    <w:name w:val="Footer_5"/>
    <w:basedOn w:val="Normal77"/>
    <w:link w:val="FooterChar5"/>
    <w:uiPriority w:val="99"/>
    <w:unhideWhenUsed/>
    <w:rsid w:val="00F011F2"/>
    <w:pPr>
      <w:tabs>
        <w:tab w:val="center" w:pos="4680"/>
        <w:tab w:val="right" w:pos="9360"/>
      </w:tabs>
    </w:pPr>
  </w:style>
  <w:style w:type="paragraph" w:customStyle="1" w:styleId="Normal77">
    <w:name w:val="Normal_7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5">
    <w:name w:val="Footer Char_5"/>
    <w:basedOn w:val="DefaultParagraphFont"/>
    <w:link w:val="Footer5"/>
    <w:uiPriority w:val="99"/>
    <w:rsid w:val="00F011F2"/>
    <w:rPr>
      <w:rFonts w:ascii="Arial" w:eastAsia="Times New Roman" w:hAnsi="Arial" w:cs="Arial"/>
      <w:color w:val="000000"/>
      <w:sz w:val="24"/>
      <w:szCs w:val="24"/>
    </w:rPr>
  </w:style>
  <w:style w:type="paragraph" w:customStyle="1" w:styleId="Header5">
    <w:name w:val="Header_5"/>
    <w:basedOn w:val="Normal77"/>
    <w:link w:val="HeaderChar5"/>
    <w:uiPriority w:val="99"/>
    <w:unhideWhenUsed/>
    <w:rsid w:val="00F011F2"/>
    <w:pPr>
      <w:tabs>
        <w:tab w:val="center" w:pos="4680"/>
        <w:tab w:val="right" w:pos="9360"/>
      </w:tabs>
    </w:pPr>
  </w:style>
  <w:style w:type="character" w:customStyle="1" w:styleId="HeaderChar5">
    <w:name w:val="Header Char_5"/>
    <w:basedOn w:val="DefaultParagraphFont"/>
    <w:link w:val="Header5"/>
    <w:uiPriority w:val="99"/>
    <w:rsid w:val="00F011F2"/>
    <w:rPr>
      <w:rFonts w:ascii="Arial" w:eastAsia="Times New Roman" w:hAnsi="Arial" w:cs="Arial"/>
      <w:color w:val="000000"/>
      <w:sz w:val="24"/>
      <w:szCs w:val="24"/>
    </w:rPr>
  </w:style>
  <w:style w:type="table" w:customStyle="1" w:styleId="TableGrid13">
    <w:name w:val="Table Grid_1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8">
    <w:name w:val="Normal_7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5">
    <w:name w:val="Table Grid_15"/>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60">
    <w:name w:val="Normal_3_6"/>
    <w:qFormat/>
    <w:rPr>
      <w:rFonts w:ascii="Calibri" w:eastAsia="Calibri" w:hAnsi="Calibri" w:cs="Times New Roman"/>
    </w:rPr>
  </w:style>
  <w:style w:type="paragraph" w:customStyle="1" w:styleId="Normal460">
    <w:name w:val="Normal_4_6"/>
    <w:qFormat/>
    <w:rPr>
      <w:rFonts w:ascii="Calibri" w:eastAsia="Calibri" w:hAnsi="Calibri" w:cs="Times New Roman"/>
    </w:rPr>
  </w:style>
  <w:style w:type="paragraph" w:customStyle="1" w:styleId="Footer6">
    <w:name w:val="Footer_6"/>
    <w:basedOn w:val="Normal79"/>
    <w:link w:val="FooterChar6"/>
    <w:uiPriority w:val="99"/>
    <w:unhideWhenUsed/>
    <w:rsid w:val="00F011F2"/>
    <w:pPr>
      <w:tabs>
        <w:tab w:val="center" w:pos="4680"/>
        <w:tab w:val="right" w:pos="9360"/>
      </w:tabs>
    </w:pPr>
  </w:style>
  <w:style w:type="paragraph" w:customStyle="1" w:styleId="Normal79">
    <w:name w:val="Normal_7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6">
    <w:name w:val="Footer Char_6"/>
    <w:basedOn w:val="DefaultParagraphFont"/>
    <w:link w:val="Footer6"/>
    <w:uiPriority w:val="99"/>
    <w:rsid w:val="00F011F2"/>
    <w:rPr>
      <w:rFonts w:ascii="Arial" w:eastAsia="Times New Roman" w:hAnsi="Arial" w:cs="Arial"/>
      <w:color w:val="000000"/>
      <w:sz w:val="24"/>
      <w:szCs w:val="24"/>
    </w:rPr>
  </w:style>
  <w:style w:type="paragraph" w:customStyle="1" w:styleId="Header6">
    <w:name w:val="Header_6"/>
    <w:basedOn w:val="Normal79"/>
    <w:link w:val="HeaderChar6"/>
    <w:uiPriority w:val="99"/>
    <w:unhideWhenUsed/>
    <w:rsid w:val="00F011F2"/>
    <w:pPr>
      <w:tabs>
        <w:tab w:val="center" w:pos="4680"/>
        <w:tab w:val="right" w:pos="9360"/>
      </w:tabs>
    </w:pPr>
  </w:style>
  <w:style w:type="character" w:customStyle="1" w:styleId="HeaderChar6">
    <w:name w:val="Header Char_6"/>
    <w:basedOn w:val="DefaultParagraphFont"/>
    <w:link w:val="Header6"/>
    <w:uiPriority w:val="99"/>
    <w:rsid w:val="00F011F2"/>
    <w:rPr>
      <w:rFonts w:ascii="Arial" w:eastAsia="Times New Roman" w:hAnsi="Arial" w:cs="Arial"/>
      <w:color w:val="000000"/>
      <w:sz w:val="24"/>
      <w:szCs w:val="24"/>
    </w:rPr>
  </w:style>
  <w:style w:type="table" w:customStyle="1" w:styleId="TableGrid17">
    <w:name w:val="Table Grid_17"/>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0">
    <w:name w:val="Normal_80"/>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8">
    <w:name w:val="Table Grid_18"/>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70">
    <w:name w:val="Normal_3_7"/>
    <w:qFormat/>
    <w:rPr>
      <w:rFonts w:ascii="Calibri" w:eastAsia="Calibri" w:hAnsi="Calibri" w:cs="Times New Roman"/>
    </w:rPr>
  </w:style>
  <w:style w:type="paragraph" w:customStyle="1" w:styleId="Normal470">
    <w:name w:val="Normal_4_7"/>
    <w:qFormat/>
    <w:rPr>
      <w:rFonts w:ascii="Calibri" w:eastAsia="Calibri" w:hAnsi="Calibri" w:cs="Times New Roman"/>
    </w:rPr>
  </w:style>
  <w:style w:type="paragraph" w:customStyle="1" w:styleId="Footer7">
    <w:name w:val="Footer_7"/>
    <w:basedOn w:val="Normal81"/>
    <w:link w:val="FooterChar7"/>
    <w:uiPriority w:val="99"/>
    <w:unhideWhenUsed/>
    <w:rsid w:val="00F011F2"/>
    <w:pPr>
      <w:tabs>
        <w:tab w:val="center" w:pos="4680"/>
        <w:tab w:val="right" w:pos="9360"/>
      </w:tabs>
    </w:pPr>
  </w:style>
  <w:style w:type="paragraph" w:customStyle="1" w:styleId="Normal81">
    <w:name w:val="Normal_8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7">
    <w:name w:val="Footer Char_7"/>
    <w:basedOn w:val="DefaultParagraphFont"/>
    <w:link w:val="Footer7"/>
    <w:uiPriority w:val="99"/>
    <w:rsid w:val="00F011F2"/>
    <w:rPr>
      <w:rFonts w:ascii="Arial" w:eastAsia="Times New Roman" w:hAnsi="Arial" w:cs="Arial"/>
      <w:color w:val="000000"/>
      <w:sz w:val="24"/>
      <w:szCs w:val="24"/>
    </w:rPr>
  </w:style>
  <w:style w:type="paragraph" w:customStyle="1" w:styleId="Header7">
    <w:name w:val="Header_7"/>
    <w:basedOn w:val="Normal81"/>
    <w:link w:val="HeaderChar7"/>
    <w:uiPriority w:val="99"/>
    <w:unhideWhenUsed/>
    <w:rsid w:val="00F011F2"/>
    <w:pPr>
      <w:tabs>
        <w:tab w:val="center" w:pos="4680"/>
        <w:tab w:val="right" w:pos="9360"/>
      </w:tabs>
    </w:pPr>
  </w:style>
  <w:style w:type="character" w:customStyle="1" w:styleId="HeaderChar7">
    <w:name w:val="Header Char_7"/>
    <w:basedOn w:val="DefaultParagraphFont"/>
    <w:link w:val="Header7"/>
    <w:uiPriority w:val="99"/>
    <w:rsid w:val="00F011F2"/>
    <w:rPr>
      <w:rFonts w:ascii="Arial" w:eastAsia="Times New Roman" w:hAnsi="Arial" w:cs="Arial"/>
      <w:color w:val="000000"/>
      <w:sz w:val="24"/>
      <w:szCs w:val="24"/>
    </w:rPr>
  </w:style>
  <w:style w:type="table" w:customStyle="1" w:styleId="TableGrid19">
    <w:name w:val="Table Grid_19"/>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2">
    <w:name w:val="Normal_8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00">
    <w:name w:val="Table Grid_2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80">
    <w:name w:val="Normal_3_8"/>
    <w:qFormat/>
    <w:rPr>
      <w:rFonts w:ascii="Calibri" w:eastAsia="Calibri" w:hAnsi="Calibri" w:cs="Times New Roman"/>
    </w:rPr>
  </w:style>
  <w:style w:type="paragraph" w:customStyle="1" w:styleId="Normal480">
    <w:name w:val="Normal_4_8"/>
    <w:qFormat/>
    <w:rPr>
      <w:rFonts w:ascii="Calibri" w:eastAsia="Calibri" w:hAnsi="Calibri" w:cs="Times New Roman"/>
    </w:rPr>
  </w:style>
  <w:style w:type="paragraph" w:customStyle="1" w:styleId="Footer8">
    <w:name w:val="Footer_8"/>
    <w:basedOn w:val="Normal83"/>
    <w:link w:val="FooterChar8"/>
    <w:uiPriority w:val="99"/>
    <w:unhideWhenUsed/>
    <w:rsid w:val="00F011F2"/>
    <w:pPr>
      <w:tabs>
        <w:tab w:val="center" w:pos="4680"/>
        <w:tab w:val="right" w:pos="9360"/>
      </w:tabs>
    </w:pPr>
  </w:style>
  <w:style w:type="paragraph" w:customStyle="1" w:styleId="Normal83">
    <w:name w:val="Normal_8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8">
    <w:name w:val="Footer Char_8"/>
    <w:basedOn w:val="DefaultParagraphFont"/>
    <w:link w:val="Footer8"/>
    <w:uiPriority w:val="99"/>
    <w:rsid w:val="00F011F2"/>
    <w:rPr>
      <w:rFonts w:ascii="Arial" w:eastAsia="Times New Roman" w:hAnsi="Arial" w:cs="Arial"/>
      <w:color w:val="000000"/>
      <w:sz w:val="24"/>
      <w:szCs w:val="24"/>
    </w:rPr>
  </w:style>
  <w:style w:type="paragraph" w:customStyle="1" w:styleId="Header8">
    <w:name w:val="Header_8"/>
    <w:basedOn w:val="Normal83"/>
    <w:link w:val="HeaderChar8"/>
    <w:uiPriority w:val="99"/>
    <w:unhideWhenUsed/>
    <w:rsid w:val="00F011F2"/>
    <w:pPr>
      <w:tabs>
        <w:tab w:val="center" w:pos="4680"/>
        <w:tab w:val="right" w:pos="9360"/>
      </w:tabs>
    </w:pPr>
  </w:style>
  <w:style w:type="character" w:customStyle="1" w:styleId="HeaderChar8">
    <w:name w:val="Header Char_8"/>
    <w:basedOn w:val="DefaultParagraphFont"/>
    <w:link w:val="Header8"/>
    <w:uiPriority w:val="99"/>
    <w:rsid w:val="00F011F2"/>
    <w:rPr>
      <w:rFonts w:ascii="Arial" w:eastAsia="Times New Roman" w:hAnsi="Arial" w:cs="Arial"/>
      <w:color w:val="000000"/>
      <w:sz w:val="24"/>
      <w:szCs w:val="24"/>
    </w:rPr>
  </w:style>
  <w:style w:type="table" w:customStyle="1" w:styleId="TableGrid210">
    <w:name w:val="Table Grid_2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4">
    <w:name w:val="Normal_8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2">
    <w:name w:val="Table Grid_2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90">
    <w:name w:val="Normal_3_9"/>
    <w:qFormat/>
    <w:rPr>
      <w:rFonts w:ascii="Calibri" w:eastAsia="Calibri" w:hAnsi="Calibri" w:cs="Times New Roman"/>
    </w:rPr>
  </w:style>
  <w:style w:type="paragraph" w:customStyle="1" w:styleId="Normal490">
    <w:name w:val="Normal_4_9"/>
    <w:qFormat/>
    <w:rPr>
      <w:rFonts w:ascii="Calibri" w:eastAsia="Calibri" w:hAnsi="Calibri" w:cs="Times New Roman"/>
    </w:rPr>
  </w:style>
  <w:style w:type="paragraph" w:customStyle="1" w:styleId="Footer9">
    <w:name w:val="Footer_9"/>
    <w:basedOn w:val="Normal85"/>
    <w:link w:val="FooterChar9"/>
    <w:uiPriority w:val="99"/>
    <w:unhideWhenUsed/>
    <w:rsid w:val="00F011F2"/>
    <w:pPr>
      <w:tabs>
        <w:tab w:val="center" w:pos="4680"/>
        <w:tab w:val="right" w:pos="9360"/>
      </w:tabs>
    </w:pPr>
  </w:style>
  <w:style w:type="paragraph" w:customStyle="1" w:styleId="Normal85">
    <w:name w:val="Normal_8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9">
    <w:name w:val="Footer Char_9"/>
    <w:basedOn w:val="DefaultParagraphFont"/>
    <w:link w:val="Footer9"/>
    <w:uiPriority w:val="99"/>
    <w:rsid w:val="00F011F2"/>
    <w:rPr>
      <w:rFonts w:ascii="Arial" w:eastAsia="Times New Roman" w:hAnsi="Arial" w:cs="Arial"/>
      <w:color w:val="000000"/>
      <w:sz w:val="24"/>
      <w:szCs w:val="24"/>
    </w:rPr>
  </w:style>
  <w:style w:type="paragraph" w:customStyle="1" w:styleId="Header9">
    <w:name w:val="Header_9"/>
    <w:basedOn w:val="Normal85"/>
    <w:link w:val="HeaderChar9"/>
    <w:uiPriority w:val="99"/>
    <w:unhideWhenUsed/>
    <w:rsid w:val="00F011F2"/>
    <w:pPr>
      <w:tabs>
        <w:tab w:val="center" w:pos="4680"/>
        <w:tab w:val="right" w:pos="9360"/>
      </w:tabs>
    </w:pPr>
  </w:style>
  <w:style w:type="character" w:customStyle="1" w:styleId="HeaderChar9">
    <w:name w:val="Header Char_9"/>
    <w:basedOn w:val="DefaultParagraphFont"/>
    <w:link w:val="Header9"/>
    <w:uiPriority w:val="99"/>
    <w:rsid w:val="00F011F2"/>
    <w:rPr>
      <w:rFonts w:ascii="Arial" w:eastAsia="Times New Roman" w:hAnsi="Arial" w:cs="Arial"/>
      <w:color w:val="000000"/>
      <w:sz w:val="24"/>
      <w:szCs w:val="24"/>
    </w:rPr>
  </w:style>
  <w:style w:type="table" w:customStyle="1" w:styleId="TableGrid23">
    <w:name w:val="Table Grid_2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6">
    <w:name w:val="Normal_8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4">
    <w:name w:val="Table Grid_24"/>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0">
    <w:name w:val="Normal_3_10"/>
    <w:qFormat/>
    <w:rPr>
      <w:rFonts w:ascii="Calibri" w:eastAsia="Calibri" w:hAnsi="Calibri" w:cs="Times New Roman"/>
    </w:rPr>
  </w:style>
  <w:style w:type="paragraph" w:customStyle="1" w:styleId="Normal4100">
    <w:name w:val="Normal_4_10"/>
    <w:qFormat/>
    <w:rPr>
      <w:rFonts w:ascii="Calibri" w:eastAsia="Calibri" w:hAnsi="Calibri" w:cs="Times New Roman"/>
    </w:rPr>
  </w:style>
  <w:style w:type="paragraph" w:customStyle="1" w:styleId="Footer10">
    <w:name w:val="Footer_10"/>
    <w:basedOn w:val="Normal87"/>
    <w:link w:val="FooterChar10"/>
    <w:uiPriority w:val="99"/>
    <w:unhideWhenUsed/>
    <w:rsid w:val="00F011F2"/>
    <w:pPr>
      <w:tabs>
        <w:tab w:val="center" w:pos="4680"/>
        <w:tab w:val="right" w:pos="9360"/>
      </w:tabs>
    </w:pPr>
  </w:style>
  <w:style w:type="paragraph" w:customStyle="1" w:styleId="Normal87">
    <w:name w:val="Normal_8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0">
    <w:name w:val="Footer Char_10"/>
    <w:basedOn w:val="DefaultParagraphFont"/>
    <w:link w:val="Footer10"/>
    <w:uiPriority w:val="99"/>
    <w:rsid w:val="00F011F2"/>
    <w:rPr>
      <w:rFonts w:ascii="Arial" w:eastAsia="Times New Roman" w:hAnsi="Arial" w:cs="Arial"/>
      <w:color w:val="000000"/>
      <w:sz w:val="24"/>
      <w:szCs w:val="24"/>
    </w:rPr>
  </w:style>
  <w:style w:type="paragraph" w:customStyle="1" w:styleId="Header10">
    <w:name w:val="Header_10"/>
    <w:basedOn w:val="Normal87"/>
    <w:link w:val="HeaderChar10"/>
    <w:uiPriority w:val="99"/>
    <w:unhideWhenUsed/>
    <w:rsid w:val="00F011F2"/>
    <w:pPr>
      <w:tabs>
        <w:tab w:val="center" w:pos="4680"/>
        <w:tab w:val="right" w:pos="9360"/>
      </w:tabs>
    </w:pPr>
  </w:style>
  <w:style w:type="character" w:customStyle="1" w:styleId="HeaderChar10">
    <w:name w:val="Header Char_10"/>
    <w:basedOn w:val="DefaultParagraphFont"/>
    <w:link w:val="Header10"/>
    <w:uiPriority w:val="99"/>
    <w:rsid w:val="00F011F2"/>
    <w:rPr>
      <w:rFonts w:ascii="Arial" w:eastAsia="Times New Roman" w:hAnsi="Arial" w:cs="Arial"/>
      <w:color w:val="000000"/>
      <w:sz w:val="24"/>
      <w:szCs w:val="24"/>
    </w:rPr>
  </w:style>
  <w:style w:type="table" w:customStyle="1" w:styleId="TableGrid25">
    <w:name w:val="Table Grid_25"/>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8">
    <w:name w:val="Normal_8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6">
    <w:name w:val="Table Grid_26"/>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
    <w:name w:val="Normal_3_11"/>
    <w:qFormat/>
    <w:rPr>
      <w:rFonts w:ascii="Calibri" w:eastAsia="Calibri" w:hAnsi="Calibri" w:cs="Times New Roman"/>
    </w:rPr>
  </w:style>
  <w:style w:type="paragraph" w:customStyle="1" w:styleId="Normal411">
    <w:name w:val="Normal_4_11"/>
    <w:qFormat/>
    <w:rPr>
      <w:rFonts w:ascii="Calibri" w:eastAsia="Calibri" w:hAnsi="Calibri" w:cs="Times New Roman"/>
    </w:rPr>
  </w:style>
  <w:style w:type="paragraph" w:customStyle="1" w:styleId="Footer11">
    <w:name w:val="Footer_11"/>
    <w:basedOn w:val="Normal89"/>
    <w:link w:val="FooterChar11"/>
    <w:uiPriority w:val="99"/>
    <w:unhideWhenUsed/>
    <w:rsid w:val="00F011F2"/>
    <w:pPr>
      <w:tabs>
        <w:tab w:val="center" w:pos="4680"/>
        <w:tab w:val="right" w:pos="9360"/>
      </w:tabs>
    </w:pPr>
  </w:style>
  <w:style w:type="paragraph" w:customStyle="1" w:styleId="Normal89">
    <w:name w:val="Normal_8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1">
    <w:name w:val="Footer Char_11"/>
    <w:basedOn w:val="DefaultParagraphFont"/>
    <w:link w:val="Footer11"/>
    <w:uiPriority w:val="99"/>
    <w:rsid w:val="00F011F2"/>
    <w:rPr>
      <w:rFonts w:ascii="Arial" w:eastAsia="Times New Roman" w:hAnsi="Arial" w:cs="Arial"/>
      <w:color w:val="000000"/>
      <w:sz w:val="24"/>
      <w:szCs w:val="24"/>
    </w:rPr>
  </w:style>
  <w:style w:type="paragraph" w:customStyle="1" w:styleId="Header11">
    <w:name w:val="Header_11"/>
    <w:basedOn w:val="Normal89"/>
    <w:link w:val="HeaderChar11"/>
    <w:uiPriority w:val="99"/>
    <w:unhideWhenUsed/>
    <w:rsid w:val="00F011F2"/>
    <w:pPr>
      <w:tabs>
        <w:tab w:val="center" w:pos="4680"/>
        <w:tab w:val="right" w:pos="9360"/>
      </w:tabs>
    </w:pPr>
  </w:style>
  <w:style w:type="character" w:customStyle="1" w:styleId="HeaderChar11">
    <w:name w:val="Header Char_11"/>
    <w:basedOn w:val="DefaultParagraphFont"/>
    <w:link w:val="Header11"/>
    <w:uiPriority w:val="99"/>
    <w:rsid w:val="00F011F2"/>
    <w:rPr>
      <w:rFonts w:ascii="Arial" w:eastAsia="Times New Roman" w:hAnsi="Arial" w:cs="Arial"/>
      <w:color w:val="000000"/>
      <w:sz w:val="24"/>
      <w:szCs w:val="24"/>
    </w:rPr>
  </w:style>
  <w:style w:type="table" w:customStyle="1" w:styleId="TableGrid27">
    <w:name w:val="Table Grid_27"/>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0">
    <w:name w:val="Normal_90"/>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8">
    <w:name w:val="Table Grid_28"/>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2">
    <w:name w:val="Normal_3_12"/>
    <w:qFormat/>
    <w:rPr>
      <w:rFonts w:ascii="Calibri" w:eastAsia="Calibri" w:hAnsi="Calibri" w:cs="Times New Roman"/>
    </w:rPr>
  </w:style>
  <w:style w:type="paragraph" w:customStyle="1" w:styleId="Normal412">
    <w:name w:val="Normal_4_12"/>
    <w:qFormat/>
    <w:rPr>
      <w:rFonts w:ascii="Calibri" w:eastAsia="Calibri" w:hAnsi="Calibri" w:cs="Times New Roman"/>
    </w:rPr>
  </w:style>
  <w:style w:type="paragraph" w:customStyle="1" w:styleId="Footer12">
    <w:name w:val="Footer_12"/>
    <w:basedOn w:val="Normal91"/>
    <w:link w:val="FooterChar12"/>
    <w:uiPriority w:val="99"/>
    <w:unhideWhenUsed/>
    <w:rsid w:val="00F011F2"/>
    <w:pPr>
      <w:tabs>
        <w:tab w:val="center" w:pos="4680"/>
        <w:tab w:val="right" w:pos="9360"/>
      </w:tabs>
    </w:pPr>
  </w:style>
  <w:style w:type="paragraph" w:customStyle="1" w:styleId="Normal91">
    <w:name w:val="Normal_9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2">
    <w:name w:val="Footer Char_12"/>
    <w:basedOn w:val="DefaultParagraphFont"/>
    <w:link w:val="Footer12"/>
    <w:uiPriority w:val="99"/>
    <w:rsid w:val="00F011F2"/>
    <w:rPr>
      <w:rFonts w:ascii="Arial" w:eastAsia="Times New Roman" w:hAnsi="Arial" w:cs="Arial"/>
      <w:color w:val="000000"/>
      <w:sz w:val="24"/>
      <w:szCs w:val="24"/>
    </w:rPr>
  </w:style>
  <w:style w:type="paragraph" w:customStyle="1" w:styleId="Header12">
    <w:name w:val="Header_12"/>
    <w:basedOn w:val="Normal91"/>
    <w:link w:val="HeaderChar12"/>
    <w:uiPriority w:val="99"/>
    <w:unhideWhenUsed/>
    <w:rsid w:val="00F011F2"/>
    <w:pPr>
      <w:tabs>
        <w:tab w:val="center" w:pos="4680"/>
        <w:tab w:val="right" w:pos="9360"/>
      </w:tabs>
    </w:pPr>
  </w:style>
  <w:style w:type="character" w:customStyle="1" w:styleId="HeaderChar12">
    <w:name w:val="Header Char_12"/>
    <w:basedOn w:val="DefaultParagraphFont"/>
    <w:link w:val="Header12"/>
    <w:uiPriority w:val="99"/>
    <w:rsid w:val="00F011F2"/>
    <w:rPr>
      <w:rFonts w:ascii="Arial" w:eastAsia="Times New Roman" w:hAnsi="Arial" w:cs="Arial"/>
      <w:color w:val="000000"/>
      <w:sz w:val="24"/>
      <w:szCs w:val="24"/>
    </w:rPr>
  </w:style>
  <w:style w:type="table" w:customStyle="1" w:styleId="TableGrid29">
    <w:name w:val="Table Grid_29"/>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2">
    <w:name w:val="Normal_9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00">
    <w:name w:val="Table Grid_3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3">
    <w:name w:val="Normal_3_13"/>
    <w:qFormat/>
    <w:rPr>
      <w:rFonts w:ascii="Calibri" w:eastAsia="Calibri" w:hAnsi="Calibri" w:cs="Times New Roman"/>
    </w:rPr>
  </w:style>
  <w:style w:type="paragraph" w:customStyle="1" w:styleId="Normal413">
    <w:name w:val="Normal_4_13"/>
    <w:qFormat/>
    <w:rPr>
      <w:rFonts w:ascii="Calibri" w:eastAsia="Calibri" w:hAnsi="Calibri" w:cs="Times New Roman"/>
    </w:rPr>
  </w:style>
  <w:style w:type="paragraph" w:customStyle="1" w:styleId="Footer13">
    <w:name w:val="Footer_13"/>
    <w:basedOn w:val="Normal93"/>
    <w:link w:val="FooterChar13"/>
    <w:uiPriority w:val="99"/>
    <w:unhideWhenUsed/>
    <w:rsid w:val="00F011F2"/>
    <w:pPr>
      <w:tabs>
        <w:tab w:val="center" w:pos="4680"/>
        <w:tab w:val="right" w:pos="9360"/>
      </w:tabs>
    </w:pPr>
  </w:style>
  <w:style w:type="paragraph" w:customStyle="1" w:styleId="Normal93">
    <w:name w:val="Normal_9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3">
    <w:name w:val="Footer Char_13"/>
    <w:basedOn w:val="DefaultParagraphFont"/>
    <w:link w:val="Footer13"/>
    <w:uiPriority w:val="99"/>
    <w:rsid w:val="00F011F2"/>
    <w:rPr>
      <w:rFonts w:ascii="Arial" w:eastAsia="Times New Roman" w:hAnsi="Arial" w:cs="Arial"/>
      <w:color w:val="000000"/>
      <w:sz w:val="24"/>
      <w:szCs w:val="24"/>
    </w:rPr>
  </w:style>
  <w:style w:type="paragraph" w:customStyle="1" w:styleId="Header13">
    <w:name w:val="Header_13"/>
    <w:basedOn w:val="Normal93"/>
    <w:link w:val="HeaderChar13"/>
    <w:uiPriority w:val="99"/>
    <w:unhideWhenUsed/>
    <w:rsid w:val="00F011F2"/>
    <w:pPr>
      <w:tabs>
        <w:tab w:val="center" w:pos="4680"/>
        <w:tab w:val="right" w:pos="9360"/>
      </w:tabs>
    </w:pPr>
  </w:style>
  <w:style w:type="character" w:customStyle="1" w:styleId="HeaderChar13">
    <w:name w:val="Header Char_13"/>
    <w:basedOn w:val="DefaultParagraphFont"/>
    <w:link w:val="Header13"/>
    <w:uiPriority w:val="99"/>
    <w:rsid w:val="00F011F2"/>
    <w:rPr>
      <w:rFonts w:ascii="Arial" w:eastAsia="Times New Roman" w:hAnsi="Arial" w:cs="Arial"/>
      <w:color w:val="000000"/>
      <w:sz w:val="24"/>
      <w:szCs w:val="24"/>
    </w:rPr>
  </w:style>
  <w:style w:type="table" w:customStyle="1" w:styleId="TableGrid31">
    <w:name w:val="Table Grid_3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4">
    <w:name w:val="Normal_9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2">
    <w:name w:val="Table Grid_3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4">
    <w:name w:val="Normal_3_14"/>
    <w:qFormat/>
    <w:rPr>
      <w:rFonts w:ascii="Calibri" w:eastAsia="Calibri" w:hAnsi="Calibri" w:cs="Times New Roman"/>
    </w:rPr>
  </w:style>
  <w:style w:type="paragraph" w:customStyle="1" w:styleId="Normal414">
    <w:name w:val="Normal_4_14"/>
    <w:qFormat/>
    <w:rPr>
      <w:rFonts w:ascii="Calibri" w:eastAsia="Calibri" w:hAnsi="Calibri" w:cs="Times New Roman"/>
    </w:rPr>
  </w:style>
  <w:style w:type="paragraph" w:customStyle="1" w:styleId="Footer14">
    <w:name w:val="Footer_14"/>
    <w:basedOn w:val="Normal96"/>
    <w:link w:val="FooterChar14"/>
    <w:uiPriority w:val="99"/>
    <w:unhideWhenUsed/>
    <w:rsid w:val="00F011F2"/>
    <w:pPr>
      <w:tabs>
        <w:tab w:val="center" w:pos="4680"/>
        <w:tab w:val="right" w:pos="9360"/>
      </w:tabs>
    </w:pPr>
  </w:style>
  <w:style w:type="paragraph" w:customStyle="1" w:styleId="Normal96">
    <w:name w:val="Normal_9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4">
    <w:name w:val="Footer Char_14"/>
    <w:basedOn w:val="DefaultParagraphFont"/>
    <w:link w:val="Footer14"/>
    <w:uiPriority w:val="99"/>
    <w:rsid w:val="00F011F2"/>
    <w:rPr>
      <w:rFonts w:ascii="Arial" w:eastAsia="Times New Roman" w:hAnsi="Arial" w:cs="Arial"/>
      <w:color w:val="000000"/>
      <w:sz w:val="24"/>
      <w:szCs w:val="24"/>
    </w:rPr>
  </w:style>
  <w:style w:type="paragraph" w:customStyle="1" w:styleId="Header14">
    <w:name w:val="Header_14"/>
    <w:basedOn w:val="Normal96"/>
    <w:link w:val="HeaderChar14"/>
    <w:uiPriority w:val="99"/>
    <w:unhideWhenUsed/>
    <w:rsid w:val="00F011F2"/>
    <w:pPr>
      <w:tabs>
        <w:tab w:val="center" w:pos="4680"/>
        <w:tab w:val="right" w:pos="9360"/>
      </w:tabs>
    </w:pPr>
  </w:style>
  <w:style w:type="character" w:customStyle="1" w:styleId="HeaderChar14">
    <w:name w:val="Header Char_14"/>
    <w:basedOn w:val="DefaultParagraphFont"/>
    <w:link w:val="Header14"/>
    <w:uiPriority w:val="99"/>
    <w:rsid w:val="00F011F2"/>
    <w:rPr>
      <w:rFonts w:ascii="Arial" w:eastAsia="Times New Roman" w:hAnsi="Arial" w:cs="Arial"/>
      <w:color w:val="000000"/>
      <w:sz w:val="24"/>
      <w:szCs w:val="24"/>
    </w:rPr>
  </w:style>
  <w:style w:type="table" w:customStyle="1" w:styleId="TableGrid33">
    <w:name w:val="Table Grid_3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 Char Char Char Char Char,Caption Char Char Char Char1,Caption Char Char Char1 Char,Caption Char Char1 Char,Caption Char1 Char Char,Caption Char2 Char,Caption1 Char Char,Caption1 Char1,Figure Head Char,LVT Table Heading Char"/>
    <w:basedOn w:val="DefaultParagraphFont"/>
    <w:link w:val="Caption"/>
    <w:locked/>
    <w:rsid w:val="00E76131"/>
    <w:rPr>
      <w:rFonts w:ascii="Arial" w:hAnsi="Arial" w:eastAsiaTheme="minorEastAsia" w:cs="Arial"/>
      <w:i/>
      <w:iCs/>
      <w:color w:val="44546A" w:themeColor="text2"/>
      <w:sz w:val="18"/>
      <w:szCs w:val="18"/>
    </w:rPr>
  </w:style>
  <w:style w:type="paragraph" w:customStyle="1" w:styleId="Normal97">
    <w:name w:val="Normal_9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5">
    <w:name w:val="Table Grid_35"/>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5">
    <w:name w:val="Normal_3_15"/>
    <w:qFormat/>
    <w:rPr>
      <w:rFonts w:ascii="Calibri" w:eastAsia="Calibri" w:hAnsi="Calibri" w:cs="Times New Roman"/>
    </w:rPr>
  </w:style>
  <w:style w:type="paragraph" w:customStyle="1" w:styleId="Normal415">
    <w:name w:val="Normal_4_15"/>
    <w:qFormat/>
    <w:rPr>
      <w:rFonts w:ascii="Calibri" w:eastAsia="Calibri" w:hAnsi="Calibri" w:cs="Times New Roman"/>
    </w:rPr>
  </w:style>
  <w:style w:type="paragraph" w:customStyle="1" w:styleId="Footer15">
    <w:name w:val="Footer_15"/>
    <w:basedOn w:val="Normal98"/>
    <w:link w:val="FooterChar15"/>
    <w:uiPriority w:val="99"/>
    <w:unhideWhenUsed/>
    <w:rsid w:val="00F011F2"/>
    <w:pPr>
      <w:tabs>
        <w:tab w:val="center" w:pos="4680"/>
        <w:tab w:val="right" w:pos="9360"/>
      </w:tabs>
    </w:pPr>
  </w:style>
  <w:style w:type="paragraph" w:customStyle="1" w:styleId="Normal98">
    <w:name w:val="Normal_9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5">
    <w:name w:val="Footer Char_15"/>
    <w:basedOn w:val="DefaultParagraphFont"/>
    <w:link w:val="Footer15"/>
    <w:uiPriority w:val="99"/>
    <w:rsid w:val="00F011F2"/>
    <w:rPr>
      <w:rFonts w:ascii="Arial" w:eastAsia="Times New Roman" w:hAnsi="Arial" w:cs="Arial"/>
      <w:color w:val="000000"/>
      <w:sz w:val="24"/>
      <w:szCs w:val="24"/>
    </w:rPr>
  </w:style>
  <w:style w:type="paragraph" w:customStyle="1" w:styleId="Header15">
    <w:name w:val="Header_15"/>
    <w:basedOn w:val="Normal98"/>
    <w:link w:val="HeaderChar15"/>
    <w:uiPriority w:val="99"/>
    <w:unhideWhenUsed/>
    <w:rsid w:val="00F011F2"/>
    <w:pPr>
      <w:tabs>
        <w:tab w:val="center" w:pos="4680"/>
        <w:tab w:val="right" w:pos="9360"/>
      </w:tabs>
    </w:pPr>
  </w:style>
  <w:style w:type="character" w:customStyle="1" w:styleId="HeaderChar15">
    <w:name w:val="Header Char_15"/>
    <w:basedOn w:val="DefaultParagraphFont"/>
    <w:link w:val="Header15"/>
    <w:uiPriority w:val="99"/>
    <w:rsid w:val="00F011F2"/>
    <w:rPr>
      <w:rFonts w:ascii="Arial" w:eastAsia="Times New Roman" w:hAnsi="Arial" w:cs="Arial"/>
      <w:color w:val="000000"/>
      <w:sz w:val="24"/>
      <w:szCs w:val="24"/>
    </w:rPr>
  </w:style>
  <w:style w:type="table" w:customStyle="1" w:styleId="TableGrid36">
    <w:name w:val="Table Grid_36"/>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9">
    <w:name w:val="Normal_9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7">
    <w:name w:val="Table Grid_37"/>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6">
    <w:name w:val="Normal_3_16"/>
    <w:qFormat/>
    <w:rPr>
      <w:rFonts w:ascii="Calibri" w:eastAsia="Calibri" w:hAnsi="Calibri" w:cs="Times New Roman"/>
    </w:rPr>
  </w:style>
  <w:style w:type="paragraph" w:customStyle="1" w:styleId="Normal416">
    <w:name w:val="Normal_4_16"/>
    <w:qFormat/>
    <w:rPr>
      <w:rFonts w:ascii="Calibri" w:eastAsia="Calibri" w:hAnsi="Calibri" w:cs="Times New Roman"/>
    </w:rPr>
  </w:style>
  <w:style w:type="paragraph" w:customStyle="1" w:styleId="Footer16">
    <w:name w:val="Footer_16"/>
    <w:basedOn w:val="Normal100"/>
    <w:link w:val="FooterChar16"/>
    <w:uiPriority w:val="99"/>
    <w:unhideWhenUsed/>
    <w:rsid w:val="00F011F2"/>
    <w:pPr>
      <w:tabs>
        <w:tab w:val="center" w:pos="4680"/>
        <w:tab w:val="right" w:pos="9360"/>
      </w:tabs>
    </w:pPr>
  </w:style>
  <w:style w:type="paragraph" w:customStyle="1" w:styleId="Normal100">
    <w:name w:val="Normal_100"/>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6">
    <w:name w:val="Footer Char_16"/>
    <w:basedOn w:val="DefaultParagraphFont"/>
    <w:link w:val="Footer16"/>
    <w:uiPriority w:val="99"/>
    <w:rsid w:val="00F011F2"/>
    <w:rPr>
      <w:rFonts w:ascii="Arial" w:eastAsia="Times New Roman" w:hAnsi="Arial" w:cs="Arial"/>
      <w:color w:val="000000"/>
      <w:sz w:val="24"/>
      <w:szCs w:val="24"/>
    </w:rPr>
  </w:style>
  <w:style w:type="paragraph" w:customStyle="1" w:styleId="Header16">
    <w:name w:val="Header_16"/>
    <w:basedOn w:val="Normal100"/>
    <w:link w:val="HeaderChar16"/>
    <w:uiPriority w:val="99"/>
    <w:unhideWhenUsed/>
    <w:rsid w:val="00F011F2"/>
    <w:pPr>
      <w:tabs>
        <w:tab w:val="center" w:pos="4680"/>
        <w:tab w:val="right" w:pos="9360"/>
      </w:tabs>
    </w:pPr>
  </w:style>
  <w:style w:type="character" w:customStyle="1" w:styleId="HeaderChar16">
    <w:name w:val="Header Char_16"/>
    <w:basedOn w:val="DefaultParagraphFont"/>
    <w:link w:val="Header16"/>
    <w:uiPriority w:val="99"/>
    <w:rsid w:val="00F011F2"/>
    <w:rPr>
      <w:rFonts w:ascii="Arial" w:eastAsia="Times New Roman" w:hAnsi="Arial" w:cs="Arial"/>
      <w:color w:val="000000"/>
      <w:sz w:val="24"/>
      <w:szCs w:val="24"/>
    </w:rPr>
  </w:style>
  <w:style w:type="table" w:customStyle="1" w:styleId="TableGrid38">
    <w:name w:val="Table Grid_38"/>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1">
    <w:name w:val="Normal_10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9">
    <w:name w:val="Table Grid_39"/>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7">
    <w:name w:val="Normal_3_17"/>
    <w:qFormat/>
    <w:rPr>
      <w:rFonts w:ascii="Calibri" w:eastAsia="Calibri" w:hAnsi="Calibri" w:cs="Times New Roman"/>
    </w:rPr>
  </w:style>
  <w:style w:type="paragraph" w:customStyle="1" w:styleId="Normal417">
    <w:name w:val="Normal_4_17"/>
    <w:qFormat/>
    <w:rPr>
      <w:rFonts w:ascii="Calibri" w:eastAsia="Calibri" w:hAnsi="Calibri" w:cs="Times New Roman"/>
    </w:rPr>
  </w:style>
  <w:style w:type="paragraph" w:customStyle="1" w:styleId="Footer17">
    <w:name w:val="Footer_17"/>
    <w:basedOn w:val="Normal102"/>
    <w:link w:val="FooterChar17"/>
    <w:uiPriority w:val="99"/>
    <w:unhideWhenUsed/>
    <w:rsid w:val="00F011F2"/>
    <w:pPr>
      <w:tabs>
        <w:tab w:val="center" w:pos="4680"/>
        <w:tab w:val="right" w:pos="9360"/>
      </w:tabs>
    </w:pPr>
  </w:style>
  <w:style w:type="paragraph" w:customStyle="1" w:styleId="Normal102">
    <w:name w:val="Normal_10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7">
    <w:name w:val="Footer Char_17"/>
    <w:basedOn w:val="DefaultParagraphFont"/>
    <w:link w:val="Footer17"/>
    <w:uiPriority w:val="99"/>
    <w:rsid w:val="00F011F2"/>
    <w:rPr>
      <w:rFonts w:ascii="Arial" w:eastAsia="Times New Roman" w:hAnsi="Arial" w:cs="Arial"/>
      <w:color w:val="000000"/>
      <w:sz w:val="24"/>
      <w:szCs w:val="24"/>
    </w:rPr>
  </w:style>
  <w:style w:type="paragraph" w:customStyle="1" w:styleId="Header17">
    <w:name w:val="Header_17"/>
    <w:basedOn w:val="Normal102"/>
    <w:link w:val="HeaderChar17"/>
    <w:uiPriority w:val="99"/>
    <w:unhideWhenUsed/>
    <w:rsid w:val="00F011F2"/>
    <w:pPr>
      <w:tabs>
        <w:tab w:val="center" w:pos="4680"/>
        <w:tab w:val="right" w:pos="9360"/>
      </w:tabs>
    </w:pPr>
  </w:style>
  <w:style w:type="character" w:customStyle="1" w:styleId="HeaderChar17">
    <w:name w:val="Header Char_17"/>
    <w:basedOn w:val="DefaultParagraphFont"/>
    <w:link w:val="Header17"/>
    <w:uiPriority w:val="99"/>
    <w:rsid w:val="00F011F2"/>
    <w:rPr>
      <w:rFonts w:ascii="Arial" w:eastAsia="Times New Roman" w:hAnsi="Arial" w:cs="Arial"/>
      <w:color w:val="000000"/>
      <w:sz w:val="24"/>
      <w:szCs w:val="24"/>
    </w:rPr>
  </w:style>
  <w:style w:type="table" w:customStyle="1" w:styleId="TableGrid40">
    <w:name w:val="Table Grid_4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3">
    <w:name w:val="Normal_10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1">
    <w:name w:val="Table Grid_4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8">
    <w:name w:val="Normal_3_18"/>
    <w:qFormat/>
    <w:rPr>
      <w:rFonts w:ascii="Calibri" w:eastAsia="Calibri" w:hAnsi="Calibri" w:cs="Times New Roman"/>
    </w:rPr>
  </w:style>
  <w:style w:type="paragraph" w:customStyle="1" w:styleId="Normal418">
    <w:name w:val="Normal_4_18"/>
    <w:qFormat/>
    <w:rPr>
      <w:rFonts w:ascii="Calibri" w:eastAsia="Calibri" w:hAnsi="Calibri" w:cs="Times New Roman"/>
    </w:rPr>
  </w:style>
  <w:style w:type="paragraph" w:customStyle="1" w:styleId="Footer18">
    <w:name w:val="Footer_18"/>
    <w:basedOn w:val="Normal104"/>
    <w:link w:val="FooterChar18"/>
    <w:uiPriority w:val="99"/>
    <w:unhideWhenUsed/>
    <w:rsid w:val="00F011F2"/>
    <w:pPr>
      <w:tabs>
        <w:tab w:val="center" w:pos="4680"/>
        <w:tab w:val="right" w:pos="9360"/>
      </w:tabs>
    </w:pPr>
  </w:style>
  <w:style w:type="paragraph" w:customStyle="1" w:styleId="Normal104">
    <w:name w:val="Normal_10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8">
    <w:name w:val="Footer Char_18"/>
    <w:basedOn w:val="DefaultParagraphFont"/>
    <w:link w:val="Footer18"/>
    <w:uiPriority w:val="99"/>
    <w:rsid w:val="00F011F2"/>
    <w:rPr>
      <w:rFonts w:ascii="Arial" w:eastAsia="Times New Roman" w:hAnsi="Arial" w:cs="Arial"/>
      <w:color w:val="000000"/>
      <w:sz w:val="24"/>
      <w:szCs w:val="24"/>
    </w:rPr>
  </w:style>
  <w:style w:type="paragraph" w:customStyle="1" w:styleId="Header18">
    <w:name w:val="Header_18"/>
    <w:basedOn w:val="Normal104"/>
    <w:link w:val="HeaderChar18"/>
    <w:uiPriority w:val="99"/>
    <w:unhideWhenUsed/>
    <w:rsid w:val="00F011F2"/>
    <w:pPr>
      <w:tabs>
        <w:tab w:val="center" w:pos="4680"/>
        <w:tab w:val="right" w:pos="9360"/>
      </w:tabs>
    </w:pPr>
  </w:style>
  <w:style w:type="character" w:customStyle="1" w:styleId="HeaderChar18">
    <w:name w:val="Header Char_18"/>
    <w:basedOn w:val="DefaultParagraphFont"/>
    <w:link w:val="Header18"/>
    <w:uiPriority w:val="99"/>
    <w:rsid w:val="00F011F2"/>
    <w:rPr>
      <w:rFonts w:ascii="Arial" w:eastAsia="Times New Roman" w:hAnsi="Arial" w:cs="Arial"/>
      <w:color w:val="000000"/>
      <w:sz w:val="24"/>
      <w:szCs w:val="24"/>
    </w:rPr>
  </w:style>
  <w:style w:type="table" w:customStyle="1" w:styleId="TableGrid42">
    <w:name w:val="Table Grid_4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nhChar">
    <w:name w:val="Minh Char"/>
    <w:basedOn w:val="DefaultParagraphFont"/>
    <w:link w:val="Minh"/>
    <w:locked/>
    <w:rsid w:val="00EE410A"/>
    <w:rPr>
      <w:color w:val="000000"/>
      <w:lang w:eastAsia="en-GB"/>
    </w:rPr>
  </w:style>
  <w:style w:type="paragraph" w:customStyle="1" w:styleId="Minh">
    <w:name w:val="Minh"/>
    <w:basedOn w:val="Normal"/>
    <w:link w:val="MinhChar"/>
    <w:rsid w:val="00EE410A"/>
    <w:pPr>
      <w:widowControl/>
      <w:numPr>
        <w:numId w:val="18"/>
      </w:numPr>
      <w:autoSpaceDE/>
      <w:autoSpaceDN/>
      <w:adjustRightInd/>
      <w:spacing w:before="120" w:after="120"/>
      <w:ind w:left="0" w:firstLine="0"/>
      <w:jc w:val="both"/>
    </w:pPr>
    <w:rPr>
      <w:rFonts w:asciiTheme="minorHAnsi" w:eastAsiaTheme="minorHAnsi" w:hAnsiTheme="minorHAnsi" w:cstheme="minorBidi"/>
      <w:sz w:val="22"/>
      <w:szCs w:val="22"/>
      <w:lang w:eastAsia="en-GB"/>
    </w:rPr>
  </w:style>
  <w:style w:type="character" w:styleId="Strong">
    <w:name w:val="Strong"/>
    <w:basedOn w:val="DefaultParagraphFont"/>
    <w:uiPriority w:val="22"/>
    <w:qFormat/>
    <w:rsid w:val="00EE410A"/>
    <w:rPr>
      <w:b/>
      <w:bCs/>
    </w:rPr>
  </w:style>
  <w:style w:type="paragraph" w:customStyle="1" w:styleId="Normal105">
    <w:name w:val="Normal_10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3">
    <w:name w:val="Table Grid_4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9">
    <w:name w:val="Normal_3_19"/>
    <w:qFormat/>
    <w:rPr>
      <w:rFonts w:ascii="Calibri" w:eastAsia="Calibri" w:hAnsi="Calibri" w:cs="Times New Roman"/>
    </w:rPr>
  </w:style>
  <w:style w:type="paragraph" w:customStyle="1" w:styleId="Normal419">
    <w:name w:val="Normal_4_19"/>
    <w:qFormat/>
    <w:rPr>
      <w:rFonts w:ascii="Calibri" w:eastAsia="Calibri" w:hAnsi="Calibri" w:cs="Times New Roman"/>
    </w:rPr>
  </w:style>
  <w:style w:type="paragraph" w:customStyle="1" w:styleId="Footer19">
    <w:name w:val="Footer_19"/>
    <w:basedOn w:val="Normal106"/>
    <w:link w:val="FooterChar19"/>
    <w:uiPriority w:val="99"/>
    <w:unhideWhenUsed/>
    <w:rsid w:val="00F011F2"/>
    <w:pPr>
      <w:tabs>
        <w:tab w:val="center" w:pos="4680"/>
        <w:tab w:val="right" w:pos="9360"/>
      </w:tabs>
    </w:pPr>
  </w:style>
  <w:style w:type="paragraph" w:customStyle="1" w:styleId="Normal106">
    <w:name w:val="Normal_10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19">
    <w:name w:val="Footer Char_19"/>
    <w:basedOn w:val="DefaultParagraphFont"/>
    <w:link w:val="Footer19"/>
    <w:uiPriority w:val="99"/>
    <w:rsid w:val="00F011F2"/>
    <w:rPr>
      <w:rFonts w:ascii="Arial" w:eastAsia="Times New Roman" w:hAnsi="Arial" w:cs="Arial"/>
      <w:color w:val="000000"/>
      <w:sz w:val="24"/>
      <w:szCs w:val="24"/>
    </w:rPr>
  </w:style>
  <w:style w:type="paragraph" w:customStyle="1" w:styleId="Header19">
    <w:name w:val="Header_19"/>
    <w:basedOn w:val="Normal106"/>
    <w:link w:val="HeaderChar19"/>
    <w:uiPriority w:val="99"/>
    <w:unhideWhenUsed/>
    <w:rsid w:val="00F011F2"/>
    <w:pPr>
      <w:tabs>
        <w:tab w:val="center" w:pos="4680"/>
        <w:tab w:val="right" w:pos="9360"/>
      </w:tabs>
    </w:pPr>
  </w:style>
  <w:style w:type="character" w:customStyle="1" w:styleId="HeaderChar19">
    <w:name w:val="Header Char_19"/>
    <w:basedOn w:val="DefaultParagraphFont"/>
    <w:link w:val="Header19"/>
    <w:uiPriority w:val="99"/>
    <w:rsid w:val="00F011F2"/>
    <w:rPr>
      <w:rFonts w:ascii="Arial" w:eastAsia="Times New Roman" w:hAnsi="Arial" w:cs="Arial"/>
      <w:color w:val="000000"/>
      <w:sz w:val="24"/>
      <w:szCs w:val="24"/>
    </w:rPr>
  </w:style>
  <w:style w:type="table" w:customStyle="1" w:styleId="TableGrid44">
    <w:name w:val="Table Grid_44"/>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7">
    <w:name w:val="Normal_10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5">
    <w:name w:val="Table Grid_45"/>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0">
    <w:name w:val="Normal_3_20"/>
    <w:qFormat/>
    <w:rPr>
      <w:rFonts w:ascii="Calibri" w:eastAsia="Calibri" w:hAnsi="Calibri" w:cs="Times New Roman"/>
    </w:rPr>
  </w:style>
  <w:style w:type="paragraph" w:customStyle="1" w:styleId="Normal4200">
    <w:name w:val="Normal_4_20"/>
    <w:qFormat/>
    <w:rPr>
      <w:rFonts w:ascii="Calibri" w:eastAsia="Calibri" w:hAnsi="Calibri" w:cs="Times New Roman"/>
    </w:rPr>
  </w:style>
  <w:style w:type="paragraph" w:customStyle="1" w:styleId="Footer20">
    <w:name w:val="Footer_20"/>
    <w:basedOn w:val="Normal108"/>
    <w:link w:val="FooterChar20"/>
    <w:uiPriority w:val="99"/>
    <w:unhideWhenUsed/>
    <w:rsid w:val="00F011F2"/>
    <w:pPr>
      <w:tabs>
        <w:tab w:val="center" w:pos="4680"/>
        <w:tab w:val="right" w:pos="9360"/>
      </w:tabs>
    </w:pPr>
  </w:style>
  <w:style w:type="paragraph" w:customStyle="1" w:styleId="Normal108">
    <w:name w:val="Normal_10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ooterChar20">
    <w:name w:val="Footer Char_20"/>
    <w:basedOn w:val="DefaultParagraphFont"/>
    <w:link w:val="Footer20"/>
    <w:uiPriority w:val="99"/>
    <w:rsid w:val="00F011F2"/>
    <w:rPr>
      <w:rFonts w:ascii="Arial" w:eastAsia="Times New Roman" w:hAnsi="Arial" w:cs="Arial"/>
      <w:color w:val="000000"/>
      <w:sz w:val="24"/>
      <w:szCs w:val="24"/>
    </w:rPr>
  </w:style>
  <w:style w:type="paragraph" w:customStyle="1" w:styleId="Header20">
    <w:name w:val="Header_20"/>
    <w:basedOn w:val="Normal108"/>
    <w:link w:val="HeaderChar20"/>
    <w:uiPriority w:val="99"/>
    <w:unhideWhenUsed/>
    <w:rsid w:val="00F011F2"/>
    <w:pPr>
      <w:tabs>
        <w:tab w:val="center" w:pos="4680"/>
        <w:tab w:val="right" w:pos="9360"/>
      </w:tabs>
    </w:pPr>
  </w:style>
  <w:style w:type="character" w:customStyle="1" w:styleId="HeaderChar20">
    <w:name w:val="Header Char_20"/>
    <w:basedOn w:val="DefaultParagraphFont"/>
    <w:link w:val="Header20"/>
    <w:uiPriority w:val="99"/>
    <w:rsid w:val="00F011F2"/>
    <w:rPr>
      <w:rFonts w:ascii="Arial" w:eastAsia="Times New Roman" w:hAnsi="Arial" w:cs="Arial"/>
      <w:color w:val="000000"/>
      <w:sz w:val="24"/>
      <w:szCs w:val="24"/>
    </w:rPr>
  </w:style>
  <w:style w:type="table" w:customStyle="1" w:styleId="TableGrid46">
    <w:name w:val="Table Grid_46"/>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9">
    <w:name w:val="Normal_10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7">
    <w:name w:val="Table Grid_47"/>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1">
    <w:name w:val="Normal_3_21"/>
    <w:qFormat/>
    <w:rPr>
      <w:rFonts w:ascii="Calibri" w:eastAsia="Calibri" w:hAnsi="Calibri" w:cs="Times New Roman"/>
    </w:rPr>
  </w:style>
  <w:style w:type="paragraph" w:customStyle="1" w:styleId="Normal421">
    <w:name w:val="Normal_4_21"/>
    <w:qFormat/>
    <w:rPr>
      <w:rFonts w:ascii="Calibri" w:eastAsia="Calibri" w:hAnsi="Calibri" w:cs="Times New Roman"/>
    </w:rPr>
  </w:style>
  <w:style w:type="paragraph" w:customStyle="1" w:styleId="Normal110">
    <w:name w:val="Normal_110"/>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8">
    <w:name w:val="Table Grid_48"/>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2">
    <w:name w:val="Normal_3_22"/>
    <w:qFormat/>
    <w:rPr>
      <w:rFonts w:ascii="Calibri" w:eastAsia="Calibri" w:hAnsi="Calibri" w:cs="Times New Roman"/>
    </w:rPr>
  </w:style>
  <w:style w:type="paragraph" w:customStyle="1" w:styleId="Normal422">
    <w:name w:val="Normal_4_22"/>
    <w:qFormat/>
    <w:rPr>
      <w:rFonts w:ascii="Calibri" w:eastAsia="Calibri" w:hAnsi="Calibri" w:cs="Times New Roman"/>
    </w:rPr>
  </w:style>
  <w:style w:type="paragraph" w:customStyle="1" w:styleId="Normal111">
    <w:name w:val="Normal_11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9">
    <w:name w:val="Table Grid_49"/>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3">
    <w:name w:val="Normal_3_23"/>
    <w:qFormat/>
    <w:rPr>
      <w:rFonts w:ascii="Calibri" w:eastAsia="Calibri" w:hAnsi="Calibri" w:cs="Times New Roman"/>
    </w:rPr>
  </w:style>
  <w:style w:type="paragraph" w:customStyle="1" w:styleId="Normal423">
    <w:name w:val="Normal_4_23"/>
    <w:qFormat/>
    <w:rPr>
      <w:rFonts w:ascii="Calibri" w:eastAsia="Calibri" w:hAnsi="Calibri" w:cs="Times New Roman"/>
    </w:rPr>
  </w:style>
  <w:style w:type="paragraph" w:customStyle="1" w:styleId="Normal112">
    <w:name w:val="Normal_11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0">
    <w:name w:val="Table Grid_5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4">
    <w:name w:val="Normal_3_24"/>
    <w:qFormat/>
    <w:rPr>
      <w:rFonts w:ascii="Calibri" w:eastAsia="Calibri" w:hAnsi="Calibri" w:cs="Times New Roman"/>
    </w:rPr>
  </w:style>
  <w:style w:type="paragraph" w:customStyle="1" w:styleId="Normal424">
    <w:name w:val="Normal_4_24"/>
    <w:qFormat/>
    <w:rPr>
      <w:rFonts w:ascii="Calibri" w:eastAsia="Calibri" w:hAnsi="Calibri" w:cs="Times New Roman"/>
    </w:rPr>
  </w:style>
  <w:style w:type="paragraph" w:customStyle="1" w:styleId="Normal113">
    <w:name w:val="Normal_11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1">
    <w:name w:val="Table Grid_5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5">
    <w:name w:val="Normal_3_25"/>
    <w:qFormat/>
    <w:rPr>
      <w:rFonts w:ascii="Calibri" w:eastAsia="Calibri" w:hAnsi="Calibri" w:cs="Times New Roman"/>
    </w:rPr>
  </w:style>
  <w:style w:type="paragraph" w:customStyle="1" w:styleId="Normal425">
    <w:name w:val="Normal_4_25"/>
    <w:qFormat/>
    <w:rPr>
      <w:rFonts w:ascii="Calibri" w:eastAsia="Calibri" w:hAnsi="Calibri" w:cs="Times New Roman"/>
    </w:rPr>
  </w:style>
  <w:style w:type="paragraph" w:customStyle="1" w:styleId="Normal114">
    <w:name w:val="Normal_11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2">
    <w:name w:val="Table Grid_5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6">
    <w:name w:val="Normal_3_26"/>
    <w:qFormat/>
    <w:rPr>
      <w:rFonts w:ascii="Calibri" w:eastAsia="Calibri" w:hAnsi="Calibri" w:cs="Times New Roman"/>
    </w:rPr>
  </w:style>
  <w:style w:type="paragraph" w:customStyle="1" w:styleId="Normal426">
    <w:name w:val="Normal_4_26"/>
    <w:qFormat/>
    <w:rPr>
      <w:rFonts w:ascii="Calibri" w:eastAsia="Calibri" w:hAnsi="Calibri" w:cs="Times New Roman"/>
    </w:rPr>
  </w:style>
  <w:style w:type="paragraph" w:customStyle="1" w:styleId="Normal115">
    <w:name w:val="Normal_11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3">
    <w:name w:val="Table Grid_5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7">
    <w:name w:val="Normal_3_27"/>
    <w:qFormat/>
    <w:rPr>
      <w:rFonts w:ascii="Calibri" w:eastAsia="Calibri" w:hAnsi="Calibri" w:cs="Times New Roman"/>
    </w:rPr>
  </w:style>
  <w:style w:type="paragraph" w:customStyle="1" w:styleId="Normal427">
    <w:name w:val="Normal_4_27"/>
    <w:qFormat/>
    <w:rPr>
      <w:rFonts w:ascii="Calibri" w:eastAsia="Calibri" w:hAnsi="Calibri" w:cs="Times New Roman"/>
    </w:rPr>
  </w:style>
  <w:style w:type="paragraph" w:customStyle="1" w:styleId="Normal116">
    <w:name w:val="Normal_11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4">
    <w:name w:val="Table Grid_54"/>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8">
    <w:name w:val="Normal_3_28"/>
    <w:qFormat/>
    <w:rPr>
      <w:rFonts w:ascii="Calibri" w:eastAsia="Calibri" w:hAnsi="Calibri" w:cs="Times New Roman"/>
    </w:rPr>
  </w:style>
  <w:style w:type="paragraph" w:customStyle="1" w:styleId="Normal428">
    <w:name w:val="Normal_4_28"/>
    <w:qFormat/>
    <w:rPr>
      <w:rFonts w:ascii="Calibri" w:eastAsia="Calibri" w:hAnsi="Calibri" w:cs="Times New Roman"/>
    </w:rPr>
  </w:style>
  <w:style w:type="paragraph" w:customStyle="1" w:styleId="Normal117">
    <w:name w:val="Normal_11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5">
    <w:name w:val="Table Grid_55"/>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9">
    <w:name w:val="Normal_3_29"/>
    <w:qFormat/>
    <w:rPr>
      <w:rFonts w:ascii="Calibri" w:eastAsia="Calibri" w:hAnsi="Calibri" w:cs="Times New Roman"/>
    </w:rPr>
  </w:style>
  <w:style w:type="paragraph" w:customStyle="1" w:styleId="Normal429">
    <w:name w:val="Normal_4_29"/>
    <w:qFormat/>
    <w:rPr>
      <w:rFonts w:ascii="Calibri" w:eastAsia="Calibri" w:hAnsi="Calibri" w:cs="Times New Roman"/>
    </w:rPr>
  </w:style>
  <w:style w:type="paragraph" w:customStyle="1" w:styleId="Normal118">
    <w:name w:val="Normal_11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6">
    <w:name w:val="Table Grid_56"/>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0">
    <w:name w:val="Normal_3_30"/>
    <w:qFormat/>
    <w:rPr>
      <w:rFonts w:ascii="Calibri" w:eastAsia="Calibri" w:hAnsi="Calibri" w:cs="Times New Roman"/>
    </w:rPr>
  </w:style>
  <w:style w:type="paragraph" w:customStyle="1" w:styleId="Normal4300">
    <w:name w:val="Normal_4_30"/>
    <w:qFormat/>
    <w:rPr>
      <w:rFonts w:ascii="Calibri" w:eastAsia="Calibri" w:hAnsi="Calibri" w:cs="Times New Roman"/>
    </w:rPr>
  </w:style>
  <w:style w:type="paragraph" w:customStyle="1" w:styleId="Normal119">
    <w:name w:val="Normal_11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7">
    <w:name w:val="Table Grid_57"/>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1">
    <w:name w:val="Normal_3_31"/>
    <w:qFormat/>
    <w:rPr>
      <w:rFonts w:ascii="Calibri" w:eastAsia="Calibri" w:hAnsi="Calibri" w:cs="Times New Roman"/>
    </w:rPr>
  </w:style>
  <w:style w:type="paragraph" w:customStyle="1" w:styleId="Normal431">
    <w:name w:val="Normal_4_31"/>
    <w:qFormat/>
    <w:rPr>
      <w:rFonts w:ascii="Calibri" w:eastAsia="Calibri" w:hAnsi="Calibri" w:cs="Times New Roman"/>
    </w:rPr>
  </w:style>
  <w:style w:type="paragraph" w:customStyle="1" w:styleId="Normal120">
    <w:name w:val="Normal_120"/>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8">
    <w:name w:val="Table Grid_58"/>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2">
    <w:name w:val="Normal_3_32"/>
    <w:qFormat/>
    <w:rPr>
      <w:rFonts w:ascii="Calibri" w:eastAsia="Calibri" w:hAnsi="Calibri" w:cs="Times New Roman"/>
    </w:rPr>
  </w:style>
  <w:style w:type="paragraph" w:customStyle="1" w:styleId="Normal432">
    <w:name w:val="Normal_4_32"/>
    <w:qFormat/>
    <w:rPr>
      <w:rFonts w:ascii="Calibri" w:eastAsia="Calibri" w:hAnsi="Calibri" w:cs="Times New Roman"/>
    </w:rPr>
  </w:style>
  <w:style w:type="paragraph" w:customStyle="1" w:styleId="Normal121">
    <w:name w:val="Normal_12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59">
    <w:name w:val="Table Grid_59"/>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3">
    <w:name w:val="Normal_3_33"/>
    <w:qFormat/>
    <w:rPr>
      <w:rFonts w:ascii="Calibri" w:eastAsia="Calibri" w:hAnsi="Calibri" w:cs="Times New Roman"/>
    </w:rPr>
  </w:style>
  <w:style w:type="paragraph" w:customStyle="1" w:styleId="Normal433">
    <w:name w:val="Normal_4_33"/>
    <w:qFormat/>
    <w:rPr>
      <w:rFonts w:ascii="Calibri" w:eastAsia="Calibri" w:hAnsi="Calibri" w:cs="Times New Roman"/>
    </w:rPr>
  </w:style>
  <w:style w:type="paragraph" w:customStyle="1" w:styleId="Normal122">
    <w:name w:val="Normal_12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60">
    <w:name w:val="Table Grid_6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4">
    <w:name w:val="Normal_3_34"/>
    <w:qFormat/>
    <w:rPr>
      <w:rFonts w:ascii="Calibri" w:eastAsia="Calibri" w:hAnsi="Calibri" w:cs="Times New Roman"/>
    </w:rPr>
  </w:style>
  <w:style w:type="paragraph" w:customStyle="1" w:styleId="Normal434">
    <w:name w:val="Normal_4_34"/>
    <w:qFormat/>
    <w:rPr>
      <w:rFonts w:ascii="Calibri" w:eastAsia="Calibri" w:hAnsi="Calibri" w:cs="Times New Roman"/>
    </w:rPr>
  </w:style>
  <w:style w:type="paragraph" w:customStyle="1" w:styleId="Normal123">
    <w:name w:val="Normal_12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61">
    <w:name w:val="Table Grid_6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5">
    <w:name w:val="Normal_3_35"/>
    <w:qFormat/>
    <w:rPr>
      <w:rFonts w:ascii="Calibri" w:eastAsia="Calibri" w:hAnsi="Calibri" w:cs="Times New Roman"/>
    </w:rPr>
  </w:style>
  <w:style w:type="paragraph" w:customStyle="1" w:styleId="Normal435">
    <w:name w:val="Normal_4_35"/>
    <w:qFormat/>
    <w:rPr>
      <w:rFonts w:ascii="Calibri" w:eastAsia="Calibri" w:hAnsi="Calibri" w:cs="Times New Roman"/>
    </w:rPr>
  </w:style>
  <w:style w:type="paragraph" w:customStyle="1" w:styleId="Normal124">
    <w:name w:val="Normal_12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62">
    <w:name w:val="Table Grid_6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6">
    <w:name w:val="Normal_3_36"/>
    <w:qFormat/>
    <w:rPr>
      <w:rFonts w:ascii="Calibri" w:eastAsia="Calibri" w:hAnsi="Calibri" w:cs="Times New Roman"/>
    </w:rPr>
  </w:style>
  <w:style w:type="paragraph" w:customStyle="1" w:styleId="Normal436">
    <w:name w:val="Normal_4_36"/>
    <w:qFormat/>
    <w:rPr>
      <w:rFonts w:ascii="Calibri" w:eastAsia="Calibri" w:hAnsi="Calibri" w:cs="Times New Roman"/>
    </w:rPr>
  </w:style>
  <w:style w:type="paragraph" w:customStyle="1" w:styleId="Normal125">
    <w:name w:val="Normal_12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63">
    <w:name w:val="Table Grid_6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7">
    <w:name w:val="Normal_3_37"/>
    <w:qFormat/>
    <w:rPr>
      <w:rFonts w:ascii="Calibri" w:eastAsia="Calibri" w:hAnsi="Calibri" w:cs="Times New Roman"/>
    </w:rPr>
  </w:style>
  <w:style w:type="paragraph" w:customStyle="1" w:styleId="Normal437">
    <w:name w:val="Normal_4_37"/>
    <w:qFormat/>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1.xml" /><Relationship Id="rId12" Type="http://schemas.openxmlformats.org/officeDocument/2006/relationships/footer" Target="footer2.xml" /><Relationship Id="rId13" Type="http://schemas.openxmlformats.org/officeDocument/2006/relationships/image" Target="media/image2.png" /><Relationship Id="rId14" Type="http://schemas.openxmlformats.org/officeDocument/2006/relationships/image" Target="cid:image006.png@01D23503.DB890610" TargetMode="External" /><Relationship Id="rId15" Type="http://schemas.openxmlformats.org/officeDocument/2006/relationships/header" Target="head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footer" Target="footer4.xml" /><Relationship Id="rId2" Type="http://schemas.openxmlformats.org/officeDocument/2006/relationships/settings" Target="settings.xml" /><Relationship Id="rId20" Type="http://schemas.openxmlformats.org/officeDocument/2006/relationships/image" Target="media/image3.png" /><Relationship Id="rId21" Type="http://schemas.openxmlformats.org/officeDocument/2006/relationships/header" Target="header5.xml" /><Relationship Id="rId22" Type="http://schemas.openxmlformats.org/officeDocument/2006/relationships/footer" Target="footer5.xml" /><Relationship Id="rId23" Type="http://schemas.openxmlformats.org/officeDocument/2006/relationships/image" Target="media/image4.png" /><Relationship Id="rId24" Type="http://schemas.openxmlformats.org/officeDocument/2006/relationships/header" Target="header6.xml" /><Relationship Id="rId25" Type="http://schemas.openxmlformats.org/officeDocument/2006/relationships/footer" Target="footer6.xml" /><Relationship Id="rId26" Type="http://schemas.openxmlformats.org/officeDocument/2006/relationships/header" Target="header7.xml" /><Relationship Id="rId27" Type="http://schemas.openxmlformats.org/officeDocument/2006/relationships/footer" Target="footer7.xml" /><Relationship Id="rId28" Type="http://schemas.openxmlformats.org/officeDocument/2006/relationships/header" Target="header8.xml" /><Relationship Id="rId29" Type="http://schemas.openxmlformats.org/officeDocument/2006/relationships/footer" Target="footer8.xml" /><Relationship Id="rId3" Type="http://schemas.openxmlformats.org/officeDocument/2006/relationships/webSettings" Target="webSettings.xml" /><Relationship Id="rId30" Type="http://schemas.openxmlformats.org/officeDocument/2006/relationships/header" Target="header9.xml" /><Relationship Id="rId31" Type="http://schemas.openxmlformats.org/officeDocument/2006/relationships/footer" Target="footer9.xml" /><Relationship Id="rId32" Type="http://schemas.openxmlformats.org/officeDocument/2006/relationships/header" Target="header10.xml" /><Relationship Id="rId33" Type="http://schemas.openxmlformats.org/officeDocument/2006/relationships/footer" Target="footer10.xml" /><Relationship Id="rId34" Type="http://schemas.openxmlformats.org/officeDocument/2006/relationships/image" Target="media/image5.jpeg" /><Relationship Id="rId35" Type="http://schemas.openxmlformats.org/officeDocument/2006/relationships/header" Target="header11.xml" /><Relationship Id="rId36" Type="http://schemas.openxmlformats.org/officeDocument/2006/relationships/glossaryDocument" Target="glossary/document.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_rels/header10.xml.rels>&#65279;<?xml version="1.0" encoding="utf-8" standalone="yes"?><Relationships xmlns="http://schemas.openxmlformats.org/package/2006/relationships"><Relationship Id="rId1" Type="http://schemas.openxmlformats.org/officeDocument/2006/relationships/image" Target="media/image1.png" /></Relationships>
</file>

<file path=word/_rels/header11.xml.rels>&#65279;<?xml version="1.0" encoding="utf-8" standalone="yes"?><Relationships xmlns="http://schemas.openxmlformats.org/package/2006/relationships"><Relationship Id="rId1" Type="http://schemas.openxmlformats.org/officeDocument/2006/relationships/image" Target="media/image1.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1.png" /></Relationships>
</file>

<file path=word/_rels/header5.xml.rels>&#65279;<?xml version="1.0" encoding="utf-8" standalone="yes"?><Relationships xmlns="http://schemas.openxmlformats.org/package/2006/relationships"><Relationship Id="rId1" Type="http://schemas.openxmlformats.org/officeDocument/2006/relationships/image" Target="media/image1.png" /></Relationships>
</file>

<file path=word/_rels/header6.xml.rels>&#65279;<?xml version="1.0" encoding="utf-8" standalone="yes"?><Relationships xmlns="http://schemas.openxmlformats.org/package/2006/relationships"><Relationship Id="rId1" Type="http://schemas.openxmlformats.org/officeDocument/2006/relationships/image" Target="media/image1.png" /></Relationships>
</file>

<file path=word/_rels/header7.xml.rels>&#65279;<?xml version="1.0" encoding="utf-8" standalone="yes"?><Relationships xmlns="http://schemas.openxmlformats.org/package/2006/relationships"><Relationship Id="rId1" Type="http://schemas.openxmlformats.org/officeDocument/2006/relationships/image" Target="media/image1.png" /></Relationships>
</file>

<file path=word/_rels/header8.xml.rels>&#65279;<?xml version="1.0" encoding="utf-8" standalone="yes"?><Relationships xmlns="http://schemas.openxmlformats.org/package/2006/relationships"><Relationship Id="rId1" Type="http://schemas.openxmlformats.org/officeDocument/2006/relationships/image" Target="media/image1.png" /></Relationships>
</file>

<file path=word/_rels/header9.xml.rels>&#65279;<?xml version="1.0" encoding="utf-8" standalone="yes"?><Relationships xmlns="http://schemas.openxmlformats.org/package/2006/relationships"><Relationship Id="rId1" Type="http://schemas.openxmlformats.org/officeDocument/2006/relationships/image" Target="media/image1.png"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DF5789">
          <w:r w:rsidRPr="00764859">
            <w:rPr>
              <w:rStyle w:val="PlaceholderText"/>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DF5789" w:rsidP="00DF5789">
          <w:pPr>
            <w:pStyle w:val="78ED5D8AF7FB4293B60F728F0F97B4DC"/>
          </w:pPr>
          <w:r w:rsidRPr="00764859">
            <w:rPr>
              <w:rStyle w:val="PlaceholderText"/>
            </w:rPr>
            <w:t>Click here to enter text.</w:t>
          </w:r>
        </w:p>
      </w:docPartBody>
    </w:docPart>
    <w:docPart>
      <w:docPartPr>
        <w:name w:val="AF59DD0FCDAB40029CF2411E6523CCF3"/>
        <w:category>
          <w:name w:val="General"/>
          <w:gallery w:val="placeholder"/>
        </w:category>
        <w:types>
          <w:type w:val="bbPlcHdr"/>
        </w:types>
        <w:behaviors>
          <w:behavior w:val="content"/>
        </w:behaviors>
        <w:guid w:val="{15F5A2D3-4E8F-4205-A460-C6FE89FFEB7C}"/>
      </w:docPartPr>
      <w:docPartBody>
        <w:p w:rsidR="00DF5789">
          <w:r>
            <w:t xml:space="preserve"> </w:t>
          </w:r>
        </w:p>
      </w:docPartBody>
    </w:docPart>
    <w:docPart>
      <w:docPartPr>
        <w:name w:val="4C6F3F8C360047F3AC0EDCD46E696C86"/>
        <w:category>
          <w:name w:val="General"/>
          <w:gallery w:val="placeholder"/>
        </w:category>
        <w:types>
          <w:type w:val="bbPlcHdr"/>
        </w:types>
        <w:behaviors>
          <w:behavior w:val="content"/>
        </w:behaviors>
        <w:guid w:val="{50B90A66-A8E5-4E78-A248-637E36E16A82}"/>
      </w:docPartPr>
      <w:docPartBody>
        <w:p w:rsidR="00DF5789" w:rsidP="00DF5789">
          <w:pPr>
            <w:pStyle w:val="4C6F3F8C360047F3AC0EDCD46E696C86"/>
          </w:pPr>
          <w:r w:rsidRPr="00764859">
            <w:rPr>
              <w:rStyle w:val="PlaceholderText"/>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DF5789">
          <w:r>
            <w:t xml:space="preserve"> </w:t>
          </w:r>
        </w:p>
      </w:docPartBody>
    </w:docPart>
    <w:docPart>
      <w:docPartPr>
        <w:name w:val="DC24153066F24F00AACEADBC73512BAC"/>
        <w:category>
          <w:name w:val="General"/>
          <w:gallery w:val="placeholder"/>
        </w:category>
        <w:types>
          <w:type w:val="bbPlcHdr"/>
        </w:types>
        <w:behaviors>
          <w:behavior w:val="content"/>
        </w:behaviors>
        <w:guid w:val="{E441F751-D50E-4288-B2BF-A25FCBAFB075}"/>
      </w:docPartPr>
      <w:docPartBody>
        <w:p w:rsidR="00DF5789">
          <w: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DF5789" w:rsidP="00DF5789">
          <w:pPr>
            <w:pStyle w:val="F84EC7C53AF5489891A0116775004EA6"/>
          </w:pPr>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DF5789" w:rsidP="00DF5789">
          <w:pPr>
            <w:pStyle w:val="3F0B331C2F344760AE61C9A706D5C71914"/>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DF5789" w:rsidP="00DF5789">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DF5789" w:rsidP="00DF5789">
          <w:pPr>
            <w:pStyle w:val="907ABA86110D43A3A29F78514338019413"/>
          </w:pPr>
          <w:r w:rsidRPr="00764859">
            <w:rPr>
              <w:rStyle w:val="PlaceholderText"/>
            </w:rPr>
            <w: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DF5789" w:rsidP="00DF5789">
          <w:pPr>
            <w:pStyle w:val="5E63676D9F374CAE9D0AE4399CE26A60"/>
          </w:pPr>
          <w:r w:rsidRPr="00764859">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AEA068FA-CDFB-4703-800D-F5F66F03EA1A}"/>
      </w:docPartPr>
      <w:docPartBody>
        <w:p w:rsidR="00DF5789">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NewRomanPSMT">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0" w:formatting="0" w:inkAnnotations="1" w:insDel="1" w:markup="1"/>
  <w:defaultTabStop w:val="720"/>
  <w:characterSpacingControl w:val="doNotCompress"/>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3618"/>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622CFD"/>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622CFD"/>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25330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25330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25330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25330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9">
    <w:name w:val="907ABA86110D43A3A29F7851433801949"/>
    <w:rsid w:val="00913AA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913AA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4C62B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4C62B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1">
    <w:name w:val="907ABA86110D43A3A29F78514338019411"/>
    <w:rsid w:val="004C62B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4C62B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072DED"/>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072DED"/>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08361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083618"/>
    <w:pPr>
      <w:widowControl w:val="0"/>
      <w:autoSpaceDE w:val="0"/>
      <w:autoSpaceDN w:val="0"/>
      <w:adjustRightInd w:val="0"/>
      <w:spacing w:after="0" w:line="240" w:lineRule="auto"/>
    </w:pPr>
    <w:rPr>
      <w:rFonts w:ascii="Arial"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ECENTER-17-998</_dlc_DocId>
    <_dlc_DocIdUrl xmlns="abd7fad0-8e9a-4f24-82a0-e4a690a7a66d">
      <Url>https://ispan.worldbank.org/sites/BOS/_layouts/15/DocIdRedir.aspx?ID=ECENTER-17-998</Url>
      <Description>ECENTER-17-998</Description>
    </_dlc_DocIdUrl>
    <DocumentDate xmlns="1e565efc-c76f-4e3a-ad62-733aa42cc28d">2017-03-09T05:00:00+00:00</DocumentDate>
    <unid xmlns="1e565efc-c76f-4e3a-ad62-733aa42cc28d" xsi:nil="true"/>
    <Volume_x0020_Title xmlns="1e565efc-c76f-4e3a-ad62-733aa42cc28d">Nigeria - Multi-Sectoral Crisis Recovery Project for North Eastern Nigeria - PAD</Volume_x0020_Title>
    <Disclosure_x0020_Type xmlns="1e565efc-c76f-4e3a-ad62-733aa42cc28d" xsi:nil="true"/>
    <Unit_x0020_Owning_x0020_or_x0020_Responsible xmlns="1e565efc-c76f-4e3a-ad62-733aa42cc28d">GSU19</Unit_x0020_Owning_x0020_or_x0020_Responsible>
    <RObjectID xmlns="1e565efc-c76f-4e3a-ad62-733aa42cc28d">090224b084a35537</RObjectID>
    <Document_x0020_Type xmlns="1e565efc-c76f-4e3a-ad62-733aa42cc28d">Board Report</Document_x0020_Type>
    <Bank_x0020_Group_x0020_Institution xmlns="1e565efc-c76f-4e3a-ad62-733aa42cc28d">IDA</Bank_x0020_Group_x0020_Institution>
    <Project_x0020_ID xmlns="1e565efc-c76f-4e3a-ad62-733aa42cc28d">P157891</Project_x0020_ID>
    <Report_x0020_Number xmlns="1e565efc-c76f-4e3a-ad62-733aa42cc28d">PAD1992</Report_x0020_Number>
    <Other_x0020_Meeting_x0020_Date xmlns="1e565efc-c76f-4e3a-ad62-733aa42cc28d" xsi:nil="true"/>
    <Version_x0020_Type xmlns="1e565efc-c76f-4e3a-ad62-733aa42cc28d">Final</Version_x0020_Type>
    <Board_x0020_Document_x0020_Number xmlns="1e565efc-c76f-4e3a-ad62-733aa42cc28d">IDA/R2017-0047/1</Board_x0020_Document_x0020_Number>
    <Disclosure_x0020_Date xmlns="1e565efc-c76f-4e3a-ad62-733aa42cc28d">2017-03-22T04:00:00+00:00</Disclosure_x0020_Date>
    <Board_x0020_Meeting_x0020_Type xmlns="1e565efc-c76f-4e3a-ad62-733aa42cc28d">Board Meeting</Board_x0020_Meeting_x0020_Type>
    <UpdateEntityID xmlns="1e565efc-c76f-4e3a-ad62-733aa42cc28d">7835cd65-b002-e711-94a5-005056953af8</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Country_x0020_Region xmlns="1e565efc-c76f-4e3a-ad62-733aa42cc28d">Nigeria</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Language xmlns="1e565efc-c76f-4e3a-ad62-733aa42cc28d">English</Language>
    <Board_x0020_Meeting_x0020_Date xmlns="1e565efc-c76f-4e3a-ad62-733aa42cc28d">2017-03-20T04:00:00+00:00</Board_x0020_Meeting_x0020_Date>
    <Archive xmlns="1e565efc-c76f-4e3a-ad62-733aa42cc28d">true</Archive>
    <ArchivedDate xmlns="1e565efc-c76f-4e3a-ad62-733aa42cc28d">2017-03-23T14:15:43+00:00</ArchivedDate>
    <PublicClassificationDecidedby xmlns="1e565efc-c76f-4e3a-ad62-733aa42cc28d">msspmv svc grp</PublicClassificationDecidedby>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2017-03-20T04:00:00+00:00</Closing_x0020_Date>
    <Volume_x0020_No xmlns="1e565efc-c76f-4e3a-ad62-733aa42cc28d">1</Volume_x0020_No>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1" ma:contentTypeDescription="Create a new document." ma:contentTypeScope="" ma:versionID="75b4cdd1f18822cafd7605444111725a">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49c729e895b4e939852acae82af35e65"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FBFA1B-60F8-47C2-BBA5-8DF9449BBE5E}"/>
</file>

<file path=customXml/itemProps2.xml><?xml version="1.0" encoding="utf-8"?>
<ds:datastoreItem xmlns:ds="http://schemas.openxmlformats.org/officeDocument/2006/customXml" ds:itemID="{89867D2D-5732-49EC-9835-41F17E0774F0}"/>
</file>

<file path=customXml/itemProps3.xml><?xml version="1.0" encoding="utf-8"?>
<ds:datastoreItem xmlns:ds="http://schemas.openxmlformats.org/officeDocument/2006/customXml" ds:itemID="{84B2DC1B-7C77-4065-8501-3FAFBBB12839}"/>
</file>

<file path=customXml/itemProps4.xml><?xml version="1.0" encoding="utf-8"?>
<ds:datastoreItem xmlns:ds="http://schemas.openxmlformats.org/officeDocument/2006/customXml" ds:itemID="{B5F08B21-6DE9-4132-8F54-4D6922B8965C}"/>
</file>

<file path=customXml/itemProps5.xml><?xml version="1.0" encoding="utf-8"?>
<ds:datastoreItem xmlns:ds="http://schemas.openxmlformats.org/officeDocument/2006/customXml" ds:itemID="{F56D55A9-FD9A-4C0D-8794-BD94D70D5F1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Nigeria - Multi-Sectoral Crisis Recovery Project for North Eastern Nigeria - PAD</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Version">
    <vt:lpwstr>APR:176.0,NEG:323.0,NEG:353.0,NEG:368.0</vt:lpwstr>
  </property>
  <property fmtid="{D5CDD505-2E9C-101B-9397-08002B2CF9AE}" pid="3" name="Authors">
    <vt:lpwstr/>
  </property>
  <property fmtid="{D5CDD505-2E9C-101B-9397-08002B2CF9AE}" pid="4" name="ContentTypeId">
    <vt:lpwstr>0x0101008B7ED80168BFC54D8B2E9A470A96603D</vt:lpwstr>
  </property>
  <property fmtid="{D5CDD505-2E9C-101B-9397-08002B2CF9AE}" pid="5" name="Cordis ID">
    <vt:lpwstr>ITM00201</vt:lpwstr>
  </property>
  <property fmtid="{D5CDD505-2E9C-101B-9397-08002B2CF9AE}" pid="6" name="DependentDoc">
    <vt:lpwstr>ITM00186</vt:lpwstr>
  </property>
  <property fmtid="{D5CDD505-2E9C-101B-9397-08002B2CF9AE}" pid="7" name="DisclosedVersion">
    <vt:lpwstr>APR:177.0,NEG:324.0</vt:lpwstr>
  </property>
  <property fmtid="{D5CDD505-2E9C-101B-9397-08002B2CF9AE}" pid="8" name="DocStatus">
    <vt:lpwstr>21</vt:lpwstr>
  </property>
  <property fmtid="{D5CDD505-2E9C-101B-9397-08002B2CF9AE}" pid="9" name="DocumentType">
    <vt:lpwstr>ITM00201</vt:lpwstr>
  </property>
  <property fmtid="{D5CDD505-2E9C-101B-9397-08002B2CF9AE}" pid="10" name="HasUserUploaded">
    <vt:bool>true</vt:bool>
  </property>
  <property fmtid="{D5CDD505-2E9C-101B-9397-08002B2CF9AE}" pid="11" name="IsHidden">
    <vt:bool>false</vt:bool>
  </property>
  <property fmtid="{D5CDD505-2E9C-101B-9397-08002B2CF9AE}" pid="12" name="IsMandatory">
    <vt:bool>true</vt:bool>
  </property>
  <property fmtid="{D5CDD505-2E9C-101B-9397-08002B2CF9AE}" pid="13" name="IsTemplate">
    <vt:bool>true</vt:bool>
  </property>
  <property fmtid="{D5CDD505-2E9C-101B-9397-08002B2CF9AE}" pid="14" name="LikedBy">
    <vt:lpwstr/>
  </property>
  <property fmtid="{D5CDD505-2E9C-101B-9397-08002B2CF9AE}" pid="15" name="Package">
    <vt:bool>true</vt:bool>
  </property>
  <property fmtid="{D5CDD505-2E9C-101B-9397-08002B2CF9AE}" pid="16" name="ProjectID">
    <vt:lpwstr>P157891</vt:lpwstr>
  </property>
  <property fmtid="{D5CDD505-2E9C-101B-9397-08002B2CF9AE}" pid="17" name="RatedBy">
    <vt:lpwstr/>
  </property>
  <property fmtid="{D5CDD505-2E9C-101B-9397-08002B2CF9AE}" pid="18" name="Ratings">
    <vt:lpwstr/>
  </property>
  <property fmtid="{D5CDD505-2E9C-101B-9397-08002B2CF9AE}" pid="19" name="RefreshDate">
    <vt:filetime>2017-02-27T19:21:04Z</vt:filetime>
  </property>
  <property fmtid="{D5CDD505-2E9C-101B-9397-08002B2CF9AE}" pid="20" name="SAPStage">
    <vt:lpwstr>APR</vt:lpwstr>
  </property>
  <property fmtid="{D5CDD505-2E9C-101B-9397-08002B2CF9AE}" pid="21" name="SecurityClassification">
    <vt:lpwstr>Official use only</vt:lpwstr>
  </property>
  <property fmtid="{D5CDD505-2E9C-101B-9397-08002B2CF9AE}" pid="22" name="Stage">
    <vt:lpwstr>APR</vt:lpwstr>
  </property>
  <property fmtid="{D5CDD505-2E9C-101B-9397-08002B2CF9AE}" pid="23" name="Task ID">
    <vt:lpwstr>TSK5720881,TSK5720883,TSK5720884,TSK5720900,TSK5720902,TSK5720903,TSK5720914,TSK5720915</vt:lpwstr>
  </property>
  <property fmtid="{D5CDD505-2E9C-101B-9397-08002B2CF9AE}" pid="24" name="TemplateDocVersion">
    <vt:lpwstr>apr_3.0</vt:lpwstr>
  </property>
  <property fmtid="{D5CDD505-2E9C-101B-9397-08002B2CF9AE}" pid="25" name="_dlc_DocIdItemGuid">
    <vt:lpwstr>a1a72131-880c-4b1c-9885-7273925c9cdf</vt:lpwstr>
  </property>
</Properties>
</file>