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D4" w:rsidRDefault="008627D4">
      <w:pPr>
        <w:jc w:val="center"/>
        <w:rPr>
          <w:b/>
          <w:bCs/>
          <w:lang w:val="fr-FR"/>
        </w:rPr>
      </w:pPr>
      <w:bookmarkStart w:id="0" w:name="_GoBack"/>
      <w:bookmarkEnd w:id="0"/>
      <w:r>
        <w:rPr>
          <w:b/>
          <w:bCs/>
          <w:lang w:val="fr-FR"/>
        </w:rPr>
        <w:t>PROGRAM INFORMATION DOCUMENT (PID)</w:t>
      </w:r>
    </w:p>
    <w:p w:rsidR="008627D4" w:rsidRDefault="008627D4">
      <w:pPr>
        <w:jc w:val="center"/>
        <w:rPr>
          <w:b/>
          <w:bCs/>
        </w:rPr>
      </w:pPr>
      <w:r>
        <w:rPr>
          <w:b/>
          <w:bCs/>
        </w:rPr>
        <w:t>APPRAISAL STAGE</w:t>
      </w:r>
    </w:p>
    <w:p w:rsidR="00876A71" w:rsidRDefault="00875693">
      <w:pPr>
        <w:ind w:right="720"/>
        <w:jc w:val="right"/>
      </w:pPr>
      <w:r>
        <w:t>Feb 1</w:t>
      </w:r>
      <w:r w:rsidR="00A53BB0">
        <w:t>, 2013</w:t>
      </w:r>
    </w:p>
    <w:p w:rsidR="008627D4" w:rsidRDefault="008627D4">
      <w:pPr>
        <w:ind w:right="720"/>
        <w:jc w:val="right"/>
      </w:pPr>
      <w:r>
        <w:t xml:space="preserve">Report No.:  </w:t>
      </w:r>
      <w:bookmarkStart w:id="1" w:name="ReportNo"/>
      <w:r w:rsidR="00100DA5">
        <w:t>AB7236</w:t>
      </w:r>
      <w:bookmarkEnd w:id="1"/>
    </w:p>
    <w:p w:rsidR="00876A71" w:rsidRDefault="00876A71">
      <w:pPr>
        <w:ind w:right="720"/>
        <w:jc w:val="right"/>
      </w:pPr>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3420"/>
        <w:gridCol w:w="6120"/>
      </w:tblGrid>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8627D4" w:rsidRDefault="00100DA5">
            <w:bookmarkStart w:id="2" w:name="PROJECTNAME"/>
            <w:r>
              <w:t>Mauritius Second Private Sector Competitiveness DPL</w:t>
            </w:r>
            <w:bookmarkEnd w:id="2"/>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8627D4" w:rsidRDefault="00100DA5">
            <w:bookmarkStart w:id="3" w:name="REGION"/>
            <w:r>
              <w:t>AFRICA</w:t>
            </w:r>
            <w:bookmarkEnd w:id="3"/>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876A71" w:rsidRDefault="00100DA5">
            <w:bookmarkStart w:id="4" w:name="COUNTRY"/>
            <w:r>
              <w:t>Mauritius</w:t>
            </w:r>
            <w:bookmarkEnd w:id="4"/>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8627D4" w:rsidRDefault="00100DA5">
            <w:bookmarkStart w:id="5" w:name="SECTOR"/>
            <w:r>
              <w:t>General industry and trade sector (45%);</w:t>
            </w:r>
            <w:r w:rsidR="00A8266A">
              <w:t xml:space="preserve"> </w:t>
            </w:r>
            <w:r>
              <w:t>SME Finance (20%);</w:t>
            </w:r>
            <w:r w:rsidR="00A8266A">
              <w:t xml:space="preserve"> </w:t>
            </w:r>
            <w:r>
              <w:t>Information technology (20%);</w:t>
            </w:r>
            <w:r w:rsidR="00A8266A">
              <w:t xml:space="preserve"> </w:t>
            </w:r>
            <w:r>
              <w:t>Credit Reporting and Secured Transactions (15%)</w:t>
            </w:r>
            <w:bookmarkEnd w:id="5"/>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Pr>
                <w:b/>
                <w:bCs/>
              </w:rPr>
              <w:t>Operation</w:t>
            </w:r>
            <w:r w:rsidR="008627D4">
              <w:rPr>
                <w:b/>
                <w:bCs/>
              </w:rPr>
              <w:t xml:space="preserve"> ID</w:t>
            </w:r>
          </w:p>
        </w:tc>
        <w:tc>
          <w:tcPr>
            <w:tcW w:w="6120" w:type="dxa"/>
            <w:tcBorders>
              <w:top w:val="single" w:sz="4" w:space="0" w:color="auto"/>
              <w:left w:val="single" w:sz="4" w:space="0" w:color="auto"/>
              <w:bottom w:val="single" w:sz="4" w:space="0" w:color="auto"/>
              <w:right w:val="single" w:sz="4" w:space="0" w:color="auto"/>
            </w:tcBorders>
          </w:tcPr>
          <w:p w:rsidR="008627D4" w:rsidRDefault="00100DA5">
            <w:bookmarkStart w:id="6" w:name="PROJECTCODE"/>
            <w:r>
              <w:t>P132510</w:t>
            </w:r>
            <w:bookmarkEnd w:id="6"/>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876A71" w:rsidRDefault="00100DA5">
            <w:bookmarkStart w:id="7" w:name="INSTR_NAME"/>
            <w:r>
              <w:t>Development Policy Lending</w:t>
            </w:r>
            <w:bookmarkEnd w:id="7"/>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8627D4" w:rsidRDefault="00100DA5">
            <w:bookmarkStart w:id="8" w:name="BORROWERNAME"/>
            <w:r>
              <w:t>GOVERNMENT OF MAURITIUS</w:t>
            </w:r>
            <w:bookmarkEnd w:id="8"/>
          </w:p>
        </w:tc>
      </w:tr>
      <w:tr w:rsidR="008627D4" w:rsidTr="00876A71">
        <w:trPr>
          <w:trHeight w:val="140"/>
        </w:trPr>
        <w:tc>
          <w:tcPr>
            <w:tcW w:w="3420" w:type="dxa"/>
            <w:tcBorders>
              <w:top w:val="single" w:sz="4" w:space="0" w:color="auto"/>
              <w:left w:val="single" w:sz="4" w:space="0" w:color="auto"/>
              <w:bottom w:val="nil"/>
              <w:right w:val="single" w:sz="4" w:space="0" w:color="auto"/>
            </w:tcBorders>
          </w:tcPr>
          <w:p w:rsidR="008627D4" w:rsidRDefault="008627D4">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8627D4" w:rsidRDefault="008627D4">
            <w:bookmarkStart w:id="9" w:name="IMPLEMENTINGAGENCY"/>
            <w:bookmarkEnd w:id="9"/>
          </w:p>
        </w:tc>
      </w:tr>
      <w:tr w:rsidR="00100DA5" w:rsidTr="00876A71">
        <w:tc>
          <w:tcPr>
            <w:tcW w:w="3420" w:type="dxa"/>
            <w:tcBorders>
              <w:top w:val="single" w:sz="4" w:space="0" w:color="auto"/>
              <w:left w:val="single" w:sz="4" w:space="0" w:color="auto"/>
              <w:bottom w:val="single" w:sz="4" w:space="0" w:color="auto"/>
              <w:right w:val="single" w:sz="4" w:space="0" w:color="auto"/>
            </w:tcBorders>
          </w:tcPr>
          <w:p w:rsidR="00100DA5" w:rsidRDefault="00100DA5">
            <w:pPr>
              <w:rPr>
                <w:b/>
                <w:bCs/>
              </w:rPr>
            </w:pPr>
          </w:p>
        </w:tc>
        <w:tc>
          <w:tcPr>
            <w:tcW w:w="6120" w:type="dxa"/>
            <w:tcBorders>
              <w:top w:val="single" w:sz="4" w:space="0" w:color="auto"/>
              <w:left w:val="single" w:sz="4" w:space="0" w:color="auto"/>
              <w:bottom w:val="single" w:sz="4" w:space="0" w:color="auto"/>
              <w:right w:val="single" w:sz="4" w:space="0" w:color="auto"/>
            </w:tcBorders>
          </w:tcPr>
          <w:p w:rsidR="00100DA5" w:rsidRDefault="00100DA5">
            <w:r>
              <w:t>Ministry of Finance and Economic Development</w:t>
            </w:r>
          </w:p>
          <w:p w:rsidR="00100DA5" w:rsidRDefault="00100DA5">
            <w:r>
              <w:t>Ground Floor, Government Centre</w:t>
            </w:r>
          </w:p>
          <w:p w:rsidR="00100DA5" w:rsidRDefault="00100DA5">
            <w:r>
              <w:t>Port Louis</w:t>
            </w:r>
          </w:p>
          <w:p w:rsidR="00100DA5" w:rsidRDefault="00100DA5">
            <w:r>
              <w:t>Mauritius</w:t>
            </w:r>
          </w:p>
          <w:p w:rsidR="00100DA5" w:rsidRDefault="0097141A">
            <w:r>
              <w:t>Tel: (230) 2012-339</w:t>
            </w:r>
            <w:r w:rsidR="00100DA5">
              <w:tab/>
            </w:r>
          </w:p>
          <w:p w:rsidR="00100DA5" w:rsidRDefault="0097141A" w:rsidP="0097141A">
            <w:r>
              <w:t>amansoor</w:t>
            </w:r>
            <w:r w:rsidR="00100DA5">
              <w:t>@mail.gov.mu</w:t>
            </w:r>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8627D4" w:rsidRDefault="00100DA5">
            <w:bookmarkStart w:id="10" w:name="DATEPREPARED"/>
            <w:r>
              <w:t>January 18, 2013</w:t>
            </w:r>
            <w:bookmarkEnd w:id="10"/>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8627D4" w:rsidRDefault="00100DA5" w:rsidP="00120C87">
            <w:bookmarkStart w:id="11" w:name="APPRAISALDATE"/>
            <w:r>
              <w:t xml:space="preserve">February </w:t>
            </w:r>
            <w:r w:rsidR="00120C87">
              <w:t>1</w:t>
            </w:r>
            <w:r>
              <w:t>, 2013</w:t>
            </w:r>
            <w:bookmarkEnd w:id="11"/>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rsidP="00876A71">
            <w:pPr>
              <w:rPr>
                <w:b/>
                <w:bCs/>
              </w:rPr>
            </w:pPr>
            <w:r>
              <w:rPr>
                <w:b/>
                <w:bCs/>
              </w:rPr>
              <w:t xml:space="preserve">Estimated </w:t>
            </w:r>
            <w:r w:rsidR="008627D4">
              <w:rPr>
                <w:b/>
                <w:bCs/>
              </w:rPr>
              <w:t>Date of Board Approval</w:t>
            </w:r>
          </w:p>
        </w:tc>
        <w:tc>
          <w:tcPr>
            <w:tcW w:w="6120" w:type="dxa"/>
            <w:tcBorders>
              <w:top w:val="single" w:sz="4" w:space="0" w:color="auto"/>
              <w:left w:val="single" w:sz="4" w:space="0" w:color="auto"/>
              <w:bottom w:val="single" w:sz="4" w:space="0" w:color="auto"/>
              <w:right w:val="single" w:sz="4" w:space="0" w:color="auto"/>
            </w:tcBorders>
          </w:tcPr>
          <w:p w:rsidR="008627D4" w:rsidRDefault="00100DA5">
            <w:bookmarkStart w:id="12" w:name="BOARDAPPROVALDATE"/>
            <w:r>
              <w:t>April 25, 2013</w:t>
            </w:r>
            <w:bookmarkEnd w:id="12"/>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rsidP="00876A71">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876A71" w:rsidRPr="00DE739D" w:rsidRDefault="00876A71" w:rsidP="00C67CB0">
            <w:pPr>
              <w:rPr>
                <w:i/>
                <w:u w:val="single"/>
              </w:rPr>
            </w:pPr>
            <w:r w:rsidRPr="00577870">
              <w:t xml:space="preserve">Following the </w:t>
            </w:r>
            <w:r>
              <w:t xml:space="preserve">corporate </w:t>
            </w:r>
            <w:r w:rsidRPr="00577870">
              <w:t xml:space="preserve">review, the decision was taken to proceed with </w:t>
            </w:r>
            <w:r w:rsidR="00A53BB0">
              <w:t xml:space="preserve">appraisal and negotiation </w:t>
            </w:r>
            <w:r w:rsidRPr="00577870">
              <w:t>of the operation</w:t>
            </w:r>
            <w:r w:rsidR="00C67CB0">
              <w:t>.</w:t>
            </w:r>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Del="00AD4588" w:rsidRDefault="00876A71" w:rsidP="00A53BB0">
            <w:pPr>
              <w:rPr>
                <w:b/>
                <w:bCs/>
              </w:rPr>
            </w:pPr>
            <w:r>
              <w:rPr>
                <w:b/>
                <w:bCs/>
              </w:rPr>
              <w:t xml:space="preserve">Other Decision </w:t>
            </w:r>
          </w:p>
        </w:tc>
        <w:tc>
          <w:tcPr>
            <w:tcW w:w="6120" w:type="dxa"/>
            <w:tcBorders>
              <w:top w:val="single" w:sz="4" w:space="0" w:color="auto"/>
              <w:left w:val="single" w:sz="4" w:space="0" w:color="auto"/>
              <w:bottom w:val="single" w:sz="4" w:space="0" w:color="auto"/>
              <w:right w:val="single" w:sz="4" w:space="0" w:color="auto"/>
            </w:tcBorders>
          </w:tcPr>
          <w:p w:rsidR="00876A71" w:rsidRPr="00577870" w:rsidRDefault="00876A71" w:rsidP="00876A71"/>
        </w:tc>
      </w:tr>
    </w:tbl>
    <w:p w:rsidR="008627D4" w:rsidRDefault="008627D4"/>
    <w:p w:rsidR="004239CB" w:rsidRPr="00671A99" w:rsidRDefault="00CE3401" w:rsidP="004239CB">
      <w:pPr>
        <w:numPr>
          <w:ilvl w:val="0"/>
          <w:numId w:val="7"/>
        </w:numPr>
        <w:rPr>
          <w:b/>
          <w:i/>
        </w:rPr>
      </w:pPr>
      <w:r>
        <w:rPr>
          <w:b/>
          <w:sz w:val="23"/>
          <w:szCs w:val="23"/>
        </w:rPr>
        <w:t>Key Development issues and Rationale for Bank Involvement</w:t>
      </w:r>
    </w:p>
    <w:p w:rsidR="00425A1E" w:rsidRDefault="00425A1E" w:rsidP="00425A1E">
      <w:pPr>
        <w:pStyle w:val="MainParanoChapter"/>
        <w:numPr>
          <w:ilvl w:val="0"/>
          <w:numId w:val="0"/>
        </w:numPr>
        <w:tabs>
          <w:tab w:val="left" w:pos="720"/>
          <w:tab w:val="num" w:pos="900"/>
          <w:tab w:val="num" w:pos="1440"/>
        </w:tabs>
        <w:autoSpaceDE w:val="0"/>
        <w:autoSpaceDN w:val="0"/>
        <w:adjustRightInd w:val="0"/>
        <w:spacing w:after="0"/>
        <w:jc w:val="both"/>
      </w:pPr>
    </w:p>
    <w:p w:rsidR="00425A1E" w:rsidRDefault="00425A1E" w:rsidP="00425A1E">
      <w:pPr>
        <w:pStyle w:val="MainParanoChapter"/>
        <w:numPr>
          <w:ilvl w:val="1"/>
          <w:numId w:val="7"/>
        </w:numPr>
        <w:tabs>
          <w:tab w:val="clear" w:pos="1440"/>
          <w:tab w:val="num" w:pos="630"/>
          <w:tab w:val="left" w:pos="720"/>
          <w:tab w:val="num" w:pos="900"/>
        </w:tabs>
        <w:autoSpaceDE w:val="0"/>
        <w:autoSpaceDN w:val="0"/>
        <w:adjustRightInd w:val="0"/>
        <w:spacing w:after="0"/>
        <w:ind w:left="0" w:firstLine="0"/>
        <w:jc w:val="both"/>
      </w:pPr>
      <w:r>
        <w:t xml:space="preserve">Having </w:t>
      </w:r>
      <w:r w:rsidRPr="00116AD2">
        <w:t xml:space="preserve">successfully become an upper middle income country, </w:t>
      </w:r>
      <w:r>
        <w:t xml:space="preserve">Mauritius </w:t>
      </w:r>
      <w:r w:rsidRPr="00116AD2">
        <w:t>now strives to become a high income nation</w:t>
      </w:r>
      <w:r w:rsidRPr="00116AD2">
        <w:rPr>
          <w:vertAlign w:val="superscript"/>
        </w:rPr>
        <w:footnoteReference w:id="1"/>
      </w:r>
      <w:r w:rsidRPr="00116AD2">
        <w:t xml:space="preserve">. </w:t>
      </w:r>
      <w:r>
        <w:t>Ranked only behind South Africa in the Africa Region on T</w:t>
      </w:r>
      <w:r w:rsidRPr="000E095C">
        <w:t>he World Economic Forum</w:t>
      </w:r>
      <w:r w:rsidR="005560B0">
        <w:t>;</w:t>
      </w:r>
      <w:r w:rsidRPr="000E095C">
        <w:t xml:space="preserve"> Mauritius is recognized as </w:t>
      </w:r>
      <w:r>
        <w:t xml:space="preserve">one of the most competitive and </w:t>
      </w:r>
      <w:r w:rsidRPr="000E095C">
        <w:t>business-friendly destination</w:t>
      </w:r>
      <w:r>
        <w:t>s</w:t>
      </w:r>
      <w:r>
        <w:rPr>
          <w:rStyle w:val="FootnoteReference"/>
        </w:rPr>
        <w:footnoteReference w:id="2"/>
      </w:r>
      <w:r w:rsidRPr="000E095C">
        <w:t xml:space="preserve">. </w:t>
      </w:r>
      <w:r w:rsidRPr="000649DD">
        <w:rPr>
          <w:bCs/>
        </w:rPr>
        <w:t xml:space="preserve">Mauritius has moved from an import substitution strategy which was not very successful given its small local economy towards greater export diversification through industrialization. </w:t>
      </w:r>
      <w:r>
        <w:rPr>
          <w:bCs/>
        </w:rPr>
        <w:t xml:space="preserve">From being a </w:t>
      </w:r>
      <w:r w:rsidRPr="000649DD">
        <w:rPr>
          <w:bCs/>
        </w:rPr>
        <w:t xml:space="preserve">predominantly agricultural economy based on sugar production </w:t>
      </w:r>
      <w:r>
        <w:rPr>
          <w:bCs/>
        </w:rPr>
        <w:t xml:space="preserve">it has been able to diversify into textiles exports, tourism and more recently </w:t>
      </w:r>
      <w:r w:rsidRPr="000649DD">
        <w:rPr>
          <w:lang w:val="en-GB"/>
        </w:rPr>
        <w:t xml:space="preserve">financial services, offshore global business and ICT </w:t>
      </w:r>
      <w:r>
        <w:rPr>
          <w:lang w:val="en-GB"/>
        </w:rPr>
        <w:t xml:space="preserve">which </w:t>
      </w:r>
      <w:r w:rsidRPr="000649DD">
        <w:rPr>
          <w:lang w:val="en-GB"/>
        </w:rPr>
        <w:t>have developed as the economy’s new pillars.</w:t>
      </w:r>
      <w:r>
        <w:rPr>
          <w:lang w:val="en-GB"/>
        </w:rPr>
        <w:t xml:space="preserve"> However, </w:t>
      </w:r>
      <w:r w:rsidRPr="00C47896">
        <w:t>achieving the high income nation status requires keeping up to and surpassing the pace of reforms set by its competitors.</w:t>
      </w:r>
    </w:p>
    <w:p w:rsidR="00C67CB0" w:rsidRDefault="00C67CB0" w:rsidP="00C67CB0">
      <w:pPr>
        <w:pStyle w:val="MainParanoChapter"/>
        <w:numPr>
          <w:ilvl w:val="0"/>
          <w:numId w:val="0"/>
        </w:numPr>
        <w:tabs>
          <w:tab w:val="num" w:pos="900"/>
        </w:tabs>
        <w:autoSpaceDE w:val="0"/>
        <w:autoSpaceDN w:val="0"/>
        <w:adjustRightInd w:val="0"/>
        <w:spacing w:after="0"/>
        <w:jc w:val="both"/>
      </w:pPr>
    </w:p>
    <w:p w:rsidR="00425A1E" w:rsidRDefault="00425A1E" w:rsidP="00425A1E">
      <w:pPr>
        <w:pStyle w:val="MainParanoChapter"/>
        <w:numPr>
          <w:ilvl w:val="1"/>
          <w:numId w:val="7"/>
        </w:numPr>
        <w:tabs>
          <w:tab w:val="clear" w:pos="1440"/>
          <w:tab w:val="num" w:pos="630"/>
          <w:tab w:val="left" w:pos="720"/>
          <w:tab w:val="num" w:pos="900"/>
        </w:tabs>
        <w:autoSpaceDE w:val="0"/>
        <w:autoSpaceDN w:val="0"/>
        <w:adjustRightInd w:val="0"/>
        <w:spacing w:after="0"/>
        <w:ind w:left="0" w:firstLine="0"/>
        <w:jc w:val="both"/>
      </w:pPr>
      <w:r w:rsidRPr="00FA1F82">
        <w:lastRenderedPageBreak/>
        <w:t xml:space="preserve">The manufacturing sector in Mauritius is facing increasing competitive pressure from increasing global competition in the export markets especially in light of the ongoing European slowdown which </w:t>
      </w:r>
      <w:r>
        <w:t xml:space="preserve">being the country’s main </w:t>
      </w:r>
      <w:r w:rsidRPr="008C06A9">
        <w:t xml:space="preserve">export market is taking a toll on Mauritius’ economy. GDP growth </w:t>
      </w:r>
      <w:r w:rsidR="003C436B">
        <w:t>is estimated to be</w:t>
      </w:r>
      <w:r w:rsidR="008C06A9">
        <w:t xml:space="preserve"> </w:t>
      </w:r>
      <w:r w:rsidRPr="008C06A9">
        <w:t>3.</w:t>
      </w:r>
      <w:r w:rsidR="008C06A9" w:rsidRPr="008C06A9">
        <w:t>3</w:t>
      </w:r>
      <w:r w:rsidRPr="008C06A9">
        <w:t xml:space="preserve"> percent in 2012, vis-à-vis the 3.7 percent projection made when the first operation of this DPL series was approved (March 2012), and below government budget projections of close to 4.1 percent. The</w:t>
      </w:r>
      <w:r w:rsidRPr="00FA1F82">
        <w:t xml:space="preserve"> European economic downturn </w:t>
      </w:r>
      <w:r>
        <w:t xml:space="preserve">has had </w:t>
      </w:r>
      <w:r w:rsidRPr="00FA1F82">
        <w:t xml:space="preserve">a significant impact on Mauritian exports </w:t>
      </w:r>
      <w:r>
        <w:t xml:space="preserve">in 2012 </w:t>
      </w:r>
      <w:r w:rsidRPr="00FA1F82">
        <w:t xml:space="preserve">with declines </w:t>
      </w:r>
      <w:r>
        <w:t xml:space="preserve">both in tourist arrivals and export earnings from the </w:t>
      </w:r>
      <w:r w:rsidRPr="00FA1F82">
        <w:t>major European markets</w:t>
      </w:r>
      <w:r>
        <w:t>.</w:t>
      </w:r>
      <w:r w:rsidRPr="00FA1F82">
        <w:t xml:space="preserve">  </w:t>
      </w:r>
    </w:p>
    <w:p w:rsidR="00425A1E" w:rsidRDefault="00425A1E" w:rsidP="00425A1E">
      <w:pPr>
        <w:pStyle w:val="MainParanoChapter"/>
        <w:numPr>
          <w:ilvl w:val="0"/>
          <w:numId w:val="0"/>
        </w:numPr>
        <w:tabs>
          <w:tab w:val="num" w:pos="900"/>
        </w:tabs>
        <w:autoSpaceDE w:val="0"/>
        <w:autoSpaceDN w:val="0"/>
        <w:adjustRightInd w:val="0"/>
        <w:spacing w:after="0"/>
        <w:jc w:val="both"/>
      </w:pPr>
    </w:p>
    <w:p w:rsidR="00425A1E" w:rsidRDefault="00425A1E" w:rsidP="00425A1E">
      <w:pPr>
        <w:pStyle w:val="MainParanoChapter"/>
        <w:numPr>
          <w:ilvl w:val="1"/>
          <w:numId w:val="7"/>
        </w:numPr>
        <w:tabs>
          <w:tab w:val="clear" w:pos="1440"/>
          <w:tab w:val="num" w:pos="630"/>
          <w:tab w:val="left" w:pos="720"/>
          <w:tab w:val="num" w:pos="900"/>
        </w:tabs>
        <w:autoSpaceDE w:val="0"/>
        <w:autoSpaceDN w:val="0"/>
        <w:adjustRightInd w:val="0"/>
        <w:spacing w:after="0"/>
        <w:ind w:left="0" w:firstLine="0"/>
        <w:jc w:val="both"/>
      </w:pPr>
      <w:r>
        <w:t>The c</w:t>
      </w:r>
      <w:r w:rsidRPr="00B36346">
        <w:t xml:space="preserve">ompetitiveness agenda thus remains centre piece to achieving </w:t>
      </w:r>
      <w:r>
        <w:t xml:space="preserve">the </w:t>
      </w:r>
      <w:r w:rsidRPr="00B36346">
        <w:t>Government’s program of reforms</w:t>
      </w:r>
      <w:r w:rsidRPr="00425A1E">
        <w:rPr>
          <w:b/>
        </w:rPr>
        <w:t>.</w:t>
      </w:r>
      <w:r>
        <w:t xml:space="preserve"> </w:t>
      </w:r>
      <w:r w:rsidRPr="000649DD">
        <w:t xml:space="preserve">With a view to weather the slowdown accompanied by the current global economic crisis; </w:t>
      </w:r>
      <w:r>
        <w:t xml:space="preserve">to </w:t>
      </w:r>
      <w:r w:rsidRPr="000649DD">
        <w:t xml:space="preserve">boost economic growth through higher productivity and </w:t>
      </w:r>
      <w:r>
        <w:t xml:space="preserve">to </w:t>
      </w:r>
      <w:r w:rsidRPr="000649DD">
        <w:t xml:space="preserve">increase high value added exports, the </w:t>
      </w:r>
      <w:r>
        <w:t xml:space="preserve">new </w:t>
      </w:r>
      <w:r w:rsidRPr="000649DD">
        <w:t>Government</w:t>
      </w:r>
      <w:r>
        <w:t xml:space="preserve"> Program adopted in April 2012, and the 2013 Budget Speech </w:t>
      </w:r>
      <w:r w:rsidRPr="000649DD">
        <w:t xml:space="preserve">astutely remains </w:t>
      </w:r>
      <w:r>
        <w:t xml:space="preserve">committed </w:t>
      </w:r>
      <w:r w:rsidRPr="000649DD">
        <w:t xml:space="preserve">on continuing to support the competitiveness agenda for development of the manufacturing and services sector. </w:t>
      </w:r>
      <w:r>
        <w:t xml:space="preserve">It emphasizes the need to gain greater global competitiveness through the </w:t>
      </w:r>
      <w:r w:rsidRPr="000649DD">
        <w:t>need to promote technology investments to improve quality of Mauritian exports to enable entry into ne</w:t>
      </w:r>
      <w:r>
        <w:t xml:space="preserve">w markets abroad and also </w:t>
      </w:r>
      <w:r w:rsidRPr="000649DD">
        <w:t xml:space="preserve">reemphasizes the need to prioritize the SME sector which is an important source of job creation and growth. </w:t>
      </w:r>
    </w:p>
    <w:p w:rsidR="00425A1E" w:rsidRDefault="00425A1E" w:rsidP="00425A1E">
      <w:pPr>
        <w:pStyle w:val="ListParagraph"/>
      </w:pPr>
    </w:p>
    <w:p w:rsidR="00425A1E" w:rsidRPr="00425A1E" w:rsidRDefault="00425A1E" w:rsidP="00425A1E">
      <w:pPr>
        <w:pStyle w:val="MainParanoChapter"/>
        <w:numPr>
          <w:ilvl w:val="1"/>
          <w:numId w:val="7"/>
        </w:numPr>
        <w:tabs>
          <w:tab w:val="clear" w:pos="1440"/>
          <w:tab w:val="num" w:pos="630"/>
          <w:tab w:val="left" w:pos="720"/>
          <w:tab w:val="num" w:pos="900"/>
        </w:tabs>
        <w:autoSpaceDE w:val="0"/>
        <w:autoSpaceDN w:val="0"/>
        <w:adjustRightInd w:val="0"/>
        <w:spacing w:after="0"/>
        <w:ind w:left="0" w:firstLine="0"/>
        <w:jc w:val="both"/>
      </w:pPr>
      <w:r>
        <w:t xml:space="preserve">There has been encouraging progress in implementing the reform program since the PSC DPL1; with reforms in some sectors going beyond what was initially envisaged. These include more substantial regulations being passed to </w:t>
      </w:r>
      <w:proofErr w:type="spellStart"/>
      <w:r>
        <w:t>operationalize</w:t>
      </w:r>
      <w:proofErr w:type="spellEnd"/>
      <w:r>
        <w:t xml:space="preserve"> the Mauritian Insolvency Act 2009 making </w:t>
      </w:r>
      <w:r w:rsidRPr="00425A1E">
        <w:rPr>
          <w:bCs/>
        </w:rPr>
        <w:t xml:space="preserve">debt resolution regimes more effective; the development of a National Broadband Policy (NBP) and the implementation of policy reforms to increase competition in the ICT sector. </w:t>
      </w:r>
      <w:r w:rsidRPr="00425A1E">
        <w:rPr>
          <w:bCs/>
          <w:lang w:val="en-GB"/>
        </w:rPr>
        <w:t xml:space="preserve">Through the Bank’s </w:t>
      </w:r>
      <w:r w:rsidRPr="00B36346">
        <w:t>non-lending technical assistance (NLTA)</w:t>
      </w:r>
      <w:r>
        <w:t xml:space="preserve"> technical assistance and support was provided to help </w:t>
      </w:r>
      <w:r w:rsidRPr="004818B6">
        <w:t>develop a pipeline of financial and private sector development policy reforms</w:t>
      </w:r>
      <w:r>
        <w:t xml:space="preserve"> for this Second PSC DPL. This proved to be a very useful tool, as it helped </w:t>
      </w:r>
      <w:r w:rsidRPr="00925A3A">
        <w:t xml:space="preserve">provide technical expertise and global best practice </w:t>
      </w:r>
      <w:r>
        <w:t xml:space="preserve">on policy and institutional issues informing policy dialogue. </w:t>
      </w:r>
    </w:p>
    <w:p w:rsidR="004239CB" w:rsidRDefault="004239CB" w:rsidP="004239CB">
      <w:pPr>
        <w:rPr>
          <w:b/>
        </w:rPr>
      </w:pPr>
    </w:p>
    <w:p w:rsidR="004239CB" w:rsidRDefault="00425A1E" w:rsidP="004239CB">
      <w:pPr>
        <w:numPr>
          <w:ilvl w:val="0"/>
          <w:numId w:val="7"/>
        </w:numPr>
        <w:rPr>
          <w:b/>
        </w:rPr>
      </w:pPr>
      <w:r>
        <w:rPr>
          <w:b/>
        </w:rPr>
        <w:t xml:space="preserve">Proposed </w:t>
      </w:r>
      <w:r w:rsidR="004239CB">
        <w:rPr>
          <w:b/>
        </w:rPr>
        <w:t>Objectives</w:t>
      </w:r>
    </w:p>
    <w:p w:rsidR="00425A1E" w:rsidRDefault="00425A1E" w:rsidP="00425A1E">
      <w:pPr>
        <w:pStyle w:val="MainParanoChapter"/>
        <w:numPr>
          <w:ilvl w:val="0"/>
          <w:numId w:val="0"/>
        </w:numPr>
        <w:tabs>
          <w:tab w:val="left" w:pos="720"/>
          <w:tab w:val="num" w:pos="900"/>
          <w:tab w:val="num" w:pos="1440"/>
        </w:tabs>
        <w:autoSpaceDE w:val="0"/>
        <w:autoSpaceDN w:val="0"/>
        <w:adjustRightInd w:val="0"/>
        <w:spacing w:after="0"/>
        <w:jc w:val="both"/>
      </w:pPr>
    </w:p>
    <w:p w:rsidR="00425A1E" w:rsidRPr="00E1347D" w:rsidRDefault="00425A1E" w:rsidP="00E1347D">
      <w:pPr>
        <w:pStyle w:val="MainParanoChapter"/>
        <w:numPr>
          <w:ilvl w:val="0"/>
          <w:numId w:val="20"/>
        </w:numPr>
        <w:tabs>
          <w:tab w:val="clear" w:pos="1440"/>
          <w:tab w:val="num" w:pos="0"/>
          <w:tab w:val="left" w:pos="720"/>
          <w:tab w:val="num" w:pos="900"/>
        </w:tabs>
        <w:autoSpaceDE w:val="0"/>
        <w:autoSpaceDN w:val="0"/>
        <w:adjustRightInd w:val="0"/>
        <w:spacing w:after="0"/>
        <w:ind w:left="0" w:firstLine="0"/>
        <w:jc w:val="both"/>
      </w:pPr>
      <w:r w:rsidRPr="00AF0B28">
        <w:t xml:space="preserve">This </w:t>
      </w:r>
      <w:r>
        <w:t xml:space="preserve">development policy objective of this </w:t>
      </w:r>
      <w:r w:rsidRPr="00AF0B28">
        <w:t xml:space="preserve">DPL series </w:t>
      </w:r>
      <w:r>
        <w:t xml:space="preserve">is to </w:t>
      </w:r>
      <w:r w:rsidRPr="00AF0B28">
        <w:t>strengthen the policy and institutional environment in Mauritius to support competitiveness and enterprise development. The operation will achieve this by supporting reforms in three integrated and mutually reinforcing pillars (</w:t>
      </w:r>
      <w:proofErr w:type="spellStart"/>
      <w:r w:rsidRPr="00AF0B28">
        <w:t>i</w:t>
      </w:r>
      <w:proofErr w:type="spellEnd"/>
      <w:r w:rsidRPr="00AF0B28">
        <w:t xml:space="preserve">) improving competitiveness and growth of enterprises, (ii) improving access to finance, and (iii) promoting ICT and e-Gov for enhancing competitiveness and </w:t>
      </w:r>
      <w:r w:rsidRPr="00AF0B28">
        <w:rPr>
          <w:bCs/>
          <w:sz w:val="22"/>
          <w:szCs w:val="22"/>
        </w:rPr>
        <w:t>transparency.</w:t>
      </w:r>
    </w:p>
    <w:p w:rsidR="00E1347D" w:rsidRDefault="00E1347D" w:rsidP="00E1347D">
      <w:pPr>
        <w:pStyle w:val="MainParanoChapter"/>
        <w:numPr>
          <w:ilvl w:val="0"/>
          <w:numId w:val="0"/>
        </w:numPr>
        <w:tabs>
          <w:tab w:val="left" w:pos="720"/>
          <w:tab w:val="num" w:pos="1440"/>
        </w:tabs>
        <w:autoSpaceDE w:val="0"/>
        <w:autoSpaceDN w:val="0"/>
        <w:adjustRightInd w:val="0"/>
        <w:spacing w:after="0"/>
        <w:jc w:val="both"/>
      </w:pPr>
    </w:p>
    <w:p w:rsidR="00E1347D" w:rsidRDefault="00E1347D" w:rsidP="00E1347D">
      <w:pPr>
        <w:numPr>
          <w:ilvl w:val="0"/>
          <w:numId w:val="7"/>
        </w:numPr>
        <w:rPr>
          <w:b/>
        </w:rPr>
      </w:pPr>
      <w:r>
        <w:rPr>
          <w:b/>
        </w:rPr>
        <w:t>Preliminary Description</w:t>
      </w:r>
    </w:p>
    <w:p w:rsidR="00E1347D" w:rsidRPr="00E1347D" w:rsidRDefault="00E1347D" w:rsidP="00E1347D">
      <w:pPr>
        <w:pStyle w:val="MainParanoChapter"/>
        <w:numPr>
          <w:ilvl w:val="0"/>
          <w:numId w:val="0"/>
        </w:numPr>
        <w:tabs>
          <w:tab w:val="left" w:pos="720"/>
          <w:tab w:val="num" w:pos="1440"/>
        </w:tabs>
        <w:autoSpaceDE w:val="0"/>
        <w:autoSpaceDN w:val="0"/>
        <w:adjustRightInd w:val="0"/>
        <w:spacing w:after="0"/>
        <w:jc w:val="both"/>
      </w:pPr>
    </w:p>
    <w:p w:rsidR="00E83F1E" w:rsidRDefault="00E83F1E" w:rsidP="00E1347D">
      <w:pPr>
        <w:pStyle w:val="MainParanoChapter"/>
        <w:numPr>
          <w:ilvl w:val="0"/>
          <w:numId w:val="20"/>
        </w:numPr>
        <w:tabs>
          <w:tab w:val="clear" w:pos="1440"/>
          <w:tab w:val="num" w:pos="0"/>
          <w:tab w:val="left" w:pos="720"/>
          <w:tab w:val="num" w:pos="900"/>
        </w:tabs>
        <w:autoSpaceDE w:val="0"/>
        <w:autoSpaceDN w:val="0"/>
        <w:adjustRightInd w:val="0"/>
        <w:spacing w:after="0"/>
        <w:ind w:left="0" w:firstLine="0"/>
        <w:jc w:val="both"/>
      </w:pPr>
      <w:r w:rsidRPr="00E1347D">
        <w:rPr>
          <w:bCs/>
        </w:rPr>
        <w:t>The proposed Second PSC DPL (PSC DPL2) is being designed in coordination with the Second Public Sector Performance (PSP) DPL. Both the DPLs are designed t</w:t>
      </w:r>
      <w:r w:rsidRPr="00AF0B28">
        <w:t xml:space="preserve">o be mutually reinforcing to address complementary aspects of the Government’s reform program. The PSP DPL focuses primarily on the performance of the public sector, while this PSC DPL focuses primarily on strengthening the policy and institutional environment for private sector competitiveness. It is the combination of the reforms supported by these two </w:t>
      </w:r>
      <w:r>
        <w:t xml:space="preserve">operations </w:t>
      </w:r>
      <w:r w:rsidRPr="00AF0B28">
        <w:t xml:space="preserve">that will </w:t>
      </w:r>
      <w:r w:rsidRPr="00AF0B28">
        <w:lastRenderedPageBreak/>
        <w:t>help Government improve its competitiveness, increase its resilience, and prepare it for the next phase of rapid and inclusive economic growth.</w:t>
      </w:r>
    </w:p>
    <w:p w:rsidR="00E83F1E" w:rsidRDefault="00E83F1E" w:rsidP="00E83F1E">
      <w:pPr>
        <w:pStyle w:val="MainParanoChapter"/>
        <w:numPr>
          <w:ilvl w:val="0"/>
          <w:numId w:val="0"/>
        </w:numPr>
        <w:tabs>
          <w:tab w:val="left" w:pos="720"/>
          <w:tab w:val="num" w:pos="900"/>
          <w:tab w:val="num" w:pos="1440"/>
        </w:tabs>
        <w:autoSpaceDE w:val="0"/>
        <w:autoSpaceDN w:val="0"/>
        <w:adjustRightInd w:val="0"/>
        <w:spacing w:after="0"/>
        <w:jc w:val="both"/>
      </w:pPr>
    </w:p>
    <w:p w:rsidR="00E83F1E" w:rsidRDefault="00E83F1E" w:rsidP="00E83F1E">
      <w:pPr>
        <w:pStyle w:val="MainParanoChapter"/>
        <w:numPr>
          <w:ilvl w:val="0"/>
          <w:numId w:val="0"/>
        </w:numPr>
        <w:tabs>
          <w:tab w:val="left" w:pos="720"/>
          <w:tab w:val="num" w:pos="900"/>
          <w:tab w:val="num" w:pos="1440"/>
        </w:tabs>
        <w:autoSpaceDE w:val="0"/>
        <w:autoSpaceDN w:val="0"/>
        <w:adjustRightInd w:val="0"/>
        <w:spacing w:after="0"/>
        <w:jc w:val="both"/>
      </w:pPr>
      <w:r>
        <w:t>For each of the three pillars that will be supported by this operation, prior actions have been identified that create the basic institutions to unlock reforms. The specific measures that have been agreed to as prior actions for the Second PSC DPL are presented in Annex 1.</w:t>
      </w:r>
    </w:p>
    <w:p w:rsidR="004239CB" w:rsidRDefault="004239CB" w:rsidP="004239CB">
      <w:pPr>
        <w:rPr>
          <w:b/>
        </w:rPr>
      </w:pPr>
    </w:p>
    <w:p w:rsidR="004239CB" w:rsidRPr="00B14B1C" w:rsidRDefault="004239CB" w:rsidP="004239CB">
      <w:pPr>
        <w:numPr>
          <w:ilvl w:val="0"/>
          <w:numId w:val="7"/>
        </w:numPr>
        <w:rPr>
          <w:b/>
        </w:rPr>
      </w:pPr>
      <w:r w:rsidRPr="00B14B1C">
        <w:rPr>
          <w:b/>
        </w:rPr>
        <w:t>Tentative financing</w:t>
      </w:r>
    </w:p>
    <w:p w:rsidR="004239CB" w:rsidRDefault="004239CB" w:rsidP="004239CB">
      <w:pPr>
        <w:ind w:firstLine="720"/>
      </w:pPr>
    </w:p>
    <w:tbl>
      <w:tblPr>
        <w:tblW w:w="0" w:type="auto"/>
        <w:tblLook w:val="0000"/>
      </w:tblPr>
      <w:tblGrid>
        <w:gridCol w:w="7488"/>
        <w:gridCol w:w="1980"/>
      </w:tblGrid>
      <w:tr w:rsidR="004239CB" w:rsidTr="00B1679B">
        <w:tc>
          <w:tcPr>
            <w:tcW w:w="7488" w:type="dxa"/>
          </w:tcPr>
          <w:p w:rsidR="004239CB" w:rsidRDefault="004239CB" w:rsidP="00B1679B">
            <w:r>
              <w:t>Source:</w:t>
            </w:r>
            <w:bookmarkStart w:id="13" w:name="FINANCINGTAB_PID"/>
            <w:bookmarkEnd w:id="13"/>
          </w:p>
        </w:tc>
        <w:tc>
          <w:tcPr>
            <w:tcW w:w="1980" w:type="dxa"/>
          </w:tcPr>
          <w:p w:rsidR="004239CB" w:rsidRDefault="004239CB" w:rsidP="00B1679B">
            <w:pPr>
              <w:tabs>
                <w:tab w:val="decimal" w:pos="252"/>
              </w:tabs>
              <w:jc w:val="center"/>
            </w:pPr>
            <w:r>
              <w:t>($m.)</w:t>
            </w:r>
          </w:p>
        </w:tc>
      </w:tr>
      <w:tr w:rsidR="00100DA5" w:rsidTr="00B1679B">
        <w:tc>
          <w:tcPr>
            <w:tcW w:w="7488" w:type="dxa"/>
          </w:tcPr>
          <w:p w:rsidR="00100DA5" w:rsidRDefault="00100DA5" w:rsidP="00B1679B">
            <w:pPr>
              <w:tabs>
                <w:tab w:val="right" w:pos="7200"/>
              </w:tabs>
            </w:pPr>
            <w:r>
              <w:t>Borrower</w:t>
            </w:r>
          </w:p>
        </w:tc>
        <w:tc>
          <w:tcPr>
            <w:tcW w:w="1980" w:type="dxa"/>
          </w:tcPr>
          <w:p w:rsidR="00100DA5" w:rsidRDefault="00100DA5" w:rsidP="00B1679B">
            <w:pPr>
              <w:tabs>
                <w:tab w:val="decimal" w:pos="252"/>
              </w:tabs>
              <w:jc w:val="center"/>
            </w:pPr>
            <w:r>
              <w:t>0</w:t>
            </w:r>
          </w:p>
        </w:tc>
      </w:tr>
      <w:tr w:rsidR="00100DA5" w:rsidTr="00B1679B">
        <w:tc>
          <w:tcPr>
            <w:tcW w:w="7488" w:type="dxa"/>
          </w:tcPr>
          <w:p w:rsidR="00100DA5" w:rsidRDefault="00100DA5" w:rsidP="00B1679B">
            <w:pPr>
              <w:tabs>
                <w:tab w:val="right" w:pos="7200"/>
              </w:tabs>
            </w:pPr>
            <w:r>
              <w:t>International Bank for Reconstruction and Development</w:t>
            </w:r>
          </w:p>
        </w:tc>
        <w:tc>
          <w:tcPr>
            <w:tcW w:w="1980" w:type="dxa"/>
          </w:tcPr>
          <w:p w:rsidR="00100DA5" w:rsidRDefault="00100DA5" w:rsidP="00B1679B">
            <w:pPr>
              <w:tabs>
                <w:tab w:val="decimal" w:pos="252"/>
              </w:tabs>
              <w:jc w:val="center"/>
            </w:pPr>
            <w:r>
              <w:t>15</w:t>
            </w:r>
          </w:p>
        </w:tc>
      </w:tr>
      <w:tr w:rsidR="004239CB" w:rsidTr="00B1679B">
        <w:tc>
          <w:tcPr>
            <w:tcW w:w="7488" w:type="dxa"/>
          </w:tcPr>
          <w:p w:rsidR="004239CB" w:rsidRDefault="004239CB" w:rsidP="00B1679B">
            <w:pPr>
              <w:tabs>
                <w:tab w:val="right" w:pos="7200"/>
              </w:tabs>
            </w:pPr>
            <w:r>
              <w:t>Borrower/Recipient</w:t>
            </w:r>
          </w:p>
        </w:tc>
        <w:tc>
          <w:tcPr>
            <w:tcW w:w="1980" w:type="dxa"/>
          </w:tcPr>
          <w:p w:rsidR="004239CB" w:rsidRDefault="004239CB" w:rsidP="00B1679B">
            <w:pPr>
              <w:tabs>
                <w:tab w:val="decimal" w:pos="252"/>
              </w:tabs>
              <w:jc w:val="center"/>
            </w:pPr>
          </w:p>
        </w:tc>
      </w:tr>
      <w:tr w:rsidR="004239CB" w:rsidTr="00B1679B">
        <w:tc>
          <w:tcPr>
            <w:tcW w:w="7488" w:type="dxa"/>
          </w:tcPr>
          <w:p w:rsidR="004239CB" w:rsidRDefault="004239CB" w:rsidP="00B1679B">
            <w:pPr>
              <w:tabs>
                <w:tab w:val="right" w:pos="7200"/>
              </w:tabs>
            </w:pPr>
            <w:r>
              <w:t>IBRD</w:t>
            </w:r>
          </w:p>
          <w:p w:rsidR="004239CB" w:rsidRDefault="004239CB" w:rsidP="00B1679B">
            <w:pPr>
              <w:tabs>
                <w:tab w:val="right" w:pos="7200"/>
              </w:tabs>
            </w:pPr>
            <w:r>
              <w:t>Others (</w:t>
            </w:r>
            <w:proofErr w:type="spellStart"/>
            <w:r>
              <w:t>specifiy</w:t>
            </w:r>
            <w:proofErr w:type="spellEnd"/>
            <w:r>
              <w:t>)</w:t>
            </w:r>
          </w:p>
        </w:tc>
        <w:tc>
          <w:tcPr>
            <w:tcW w:w="1980" w:type="dxa"/>
          </w:tcPr>
          <w:p w:rsidR="004239CB" w:rsidRDefault="004239CB" w:rsidP="00B1679B">
            <w:pPr>
              <w:tabs>
                <w:tab w:val="decimal" w:pos="252"/>
              </w:tabs>
              <w:jc w:val="center"/>
            </w:pPr>
          </w:p>
        </w:tc>
      </w:tr>
      <w:tr w:rsidR="004239CB" w:rsidTr="00B1679B">
        <w:tc>
          <w:tcPr>
            <w:tcW w:w="7488" w:type="dxa"/>
          </w:tcPr>
          <w:p w:rsidR="004239CB" w:rsidRDefault="004239CB" w:rsidP="00B1679B">
            <w:pPr>
              <w:tabs>
                <w:tab w:val="right" w:pos="7200"/>
              </w:tabs>
            </w:pPr>
            <w:r>
              <w:tab/>
              <w:t>Total</w:t>
            </w:r>
          </w:p>
        </w:tc>
        <w:tc>
          <w:tcPr>
            <w:tcW w:w="1980" w:type="dxa"/>
          </w:tcPr>
          <w:p w:rsidR="004239CB" w:rsidRDefault="00E83F1E" w:rsidP="00B1679B">
            <w:pPr>
              <w:tabs>
                <w:tab w:val="decimal" w:pos="252"/>
              </w:tabs>
              <w:jc w:val="center"/>
            </w:pPr>
            <w:r>
              <w:t>15</w:t>
            </w:r>
          </w:p>
        </w:tc>
      </w:tr>
    </w:tbl>
    <w:p w:rsidR="004239CB" w:rsidRDefault="004239CB" w:rsidP="004239CB">
      <w:pPr>
        <w:rPr>
          <w:b/>
        </w:rPr>
      </w:pPr>
    </w:p>
    <w:p w:rsidR="004239CB" w:rsidRDefault="004239CB" w:rsidP="004239CB">
      <w:pPr>
        <w:numPr>
          <w:ilvl w:val="0"/>
          <w:numId w:val="7"/>
        </w:numPr>
        <w:rPr>
          <w:b/>
        </w:rPr>
      </w:pPr>
      <w:r>
        <w:rPr>
          <w:b/>
        </w:rPr>
        <w:t>Risks and Risk Mitigation</w:t>
      </w:r>
    </w:p>
    <w:p w:rsidR="004239CB" w:rsidRDefault="004239CB" w:rsidP="004239CB">
      <w:pPr>
        <w:ind w:left="720"/>
        <w:rPr>
          <w:b/>
        </w:rPr>
      </w:pPr>
    </w:p>
    <w:p w:rsidR="00E1347D" w:rsidRDefault="00E83F1E" w:rsidP="00E1347D">
      <w:pPr>
        <w:numPr>
          <w:ilvl w:val="1"/>
          <w:numId w:val="16"/>
        </w:numPr>
        <w:tabs>
          <w:tab w:val="clear" w:pos="720"/>
          <w:tab w:val="num" w:pos="90"/>
        </w:tabs>
        <w:ind w:left="0" w:firstLine="0"/>
        <w:jc w:val="both"/>
      </w:pPr>
      <w:r w:rsidRPr="00E83F1E">
        <w:t>The implementation of the proposed reform program entails a number of risks that had been identified at the preparation of the First DPL and are still relevant: (a) the challenge of maintaining macroeconomic stability under growing uncertain global developments; (b) a slowdown in the momentum of reforms, exacerbated by the slim government majority in the parliament; and (c) limited institutional capacity within sector ministries to lead and implement the reforms. The more detailed identification of these risks and the proposed mitigation measures are provided below.</w:t>
      </w:r>
    </w:p>
    <w:p w:rsidR="00E1347D" w:rsidRDefault="00E1347D" w:rsidP="00E1347D">
      <w:pPr>
        <w:jc w:val="both"/>
      </w:pPr>
    </w:p>
    <w:p w:rsidR="00E1347D" w:rsidRDefault="00E83F1E" w:rsidP="00E1347D">
      <w:pPr>
        <w:numPr>
          <w:ilvl w:val="1"/>
          <w:numId w:val="16"/>
        </w:numPr>
        <w:tabs>
          <w:tab w:val="clear" w:pos="720"/>
          <w:tab w:val="num" w:pos="0"/>
        </w:tabs>
        <w:ind w:left="0" w:firstLine="0"/>
        <w:jc w:val="both"/>
      </w:pPr>
      <w:r w:rsidRPr="00E83F1E">
        <w:t xml:space="preserve">The first and perhaps the most important risk is that the macroeconomic stability may be affected given the growing uncertainty in the global economic climate, particularly in the European economies to which Mauritius remains highly exposed. These global economic uncertainties represent a significant threat to a small open economy such as Mauritius. </w:t>
      </w:r>
      <w:r w:rsidR="003C436B">
        <w:t>Overall, the Mauritian economy</w:t>
      </w:r>
      <w:r w:rsidR="003C436B" w:rsidRPr="00E83F1E">
        <w:t xml:space="preserve"> has proven its resilienc</w:t>
      </w:r>
      <w:r w:rsidR="003C436B">
        <w:t>e in 2012 with an estimated GDP growth of 3.3 percent,</w:t>
      </w:r>
      <w:r w:rsidR="003C436B" w:rsidRPr="00E83F1E">
        <w:t xml:space="preserve"> despite all the headwinds to growth on the external front and lowers</w:t>
      </w:r>
      <w:r w:rsidRPr="00E83F1E">
        <w:t xml:space="preserve"> than expected expansionary fiscal policy. Furthermore, on the external front, the increasing levels of foreign exchange reserves (projected to be at six months of imports in the medium term) provide an additional buffer against a potential deterioration in the balance of payments. Mauritius’ floating exchange rate also facilitates correction of external imbalances in the medium term. The recent trend towards reorienting exports towards new markets (particularly Africa) will also help. On the fiscal front, the slowdown in the growth of public revenues is being more than compensated by the containment of public expenditure, with a reduction of the fiscal deficit and public debt. Should revenues dip, this would require an acceleration of efficiency gains in the public sector, and additional use of the remaining funds from the National Resilience Fund created in 2011. The government is also extending the maturity of the public debt further reducing roll-over risks, as the majority of debt is domestic and there is currently excess liquidity in the domestic capital markets.</w:t>
      </w:r>
    </w:p>
    <w:p w:rsidR="00E1347D" w:rsidRDefault="00E83F1E" w:rsidP="00E1347D">
      <w:pPr>
        <w:numPr>
          <w:ilvl w:val="1"/>
          <w:numId w:val="16"/>
        </w:numPr>
        <w:tabs>
          <w:tab w:val="clear" w:pos="720"/>
          <w:tab w:val="num" w:pos="0"/>
        </w:tabs>
        <w:ind w:left="0" w:firstLine="0"/>
        <w:jc w:val="both"/>
      </w:pPr>
      <w:r w:rsidRPr="00E83F1E">
        <w:lastRenderedPageBreak/>
        <w:t xml:space="preserve">The second risk is that a narrowing political reform space affects the pace of the reform program at a time when the need for reform is most urgent. The pace of reform in Mauritius has slowed in recent years and the appetite for further aggressive reform appears modest at this time. There are several ways to mitigate this risk. To the extent that the proposed program has been designed to mitigate this risk by supporting reforms where consensus exists, helping to put in place building blocks to expedite the reform program in the medium term. First, the Government’s focus on growth of SMEs shall support its inclusion agenda. Moreover, over the medium-term the acceleration reforms for engendering competitiveness and growth will generate better conditions for job creation. Finally, better communication will be key to building consensus around the reforms, using visits to Mauritius by high level practitioners and management to raise awareness and understanding about the reforms and their benefits, both within the Cabinet and more broadly. This has been useful in the implementation of the reforms supported under this operation. </w:t>
      </w:r>
    </w:p>
    <w:p w:rsidR="00E1347D" w:rsidRDefault="00E1347D" w:rsidP="00E1347D">
      <w:pPr>
        <w:jc w:val="both"/>
      </w:pPr>
    </w:p>
    <w:p w:rsidR="00E83F1E" w:rsidRDefault="00E83F1E" w:rsidP="00E1347D">
      <w:pPr>
        <w:numPr>
          <w:ilvl w:val="1"/>
          <w:numId w:val="16"/>
        </w:numPr>
        <w:tabs>
          <w:tab w:val="clear" w:pos="720"/>
          <w:tab w:val="num" w:pos="0"/>
        </w:tabs>
        <w:ind w:left="0" w:firstLine="0"/>
        <w:jc w:val="both"/>
      </w:pPr>
      <w:r w:rsidRPr="00E83F1E">
        <w:t xml:space="preserve">The third risk is that of institutional constraints, including limited capacity in sector ministries, which might make it more difficult to effectively design, implement and monitor the reforms. Underlying institutional political economy constraints and the narrowing reforms space identified above combined with limited institutional capacity in some sector ministries can limit the effectiveness and progress of reforms. This is evident from the different pace of reforms across line ministries. The Bank is supporting the government to help mitigate this risk by bringing specialized staff </w:t>
      </w:r>
      <w:r w:rsidR="0076626D">
        <w:t>to complement the DPL dialogue i</w:t>
      </w:r>
      <w:r w:rsidRPr="00E83F1E">
        <w:t xml:space="preserve">n selected areas, and promoting a public debate through articles and technical notes. Additionally, the DPL itself is a catalyst between the different ministries involved in the reform program, thereby enhancing coordination. Also, the Bank’s portfolio in Mauritius is designed to help strengthen capacity tailored to the needs of a Middle Income Country (MIC). </w:t>
      </w:r>
    </w:p>
    <w:p w:rsidR="00E1347D" w:rsidRDefault="00E1347D" w:rsidP="00E1347D">
      <w:pPr>
        <w:pStyle w:val="ListParagraph"/>
      </w:pPr>
    </w:p>
    <w:p w:rsidR="00E1347D" w:rsidRDefault="00E1347D" w:rsidP="00E1347D">
      <w:pPr>
        <w:numPr>
          <w:ilvl w:val="0"/>
          <w:numId w:val="7"/>
        </w:numPr>
        <w:rPr>
          <w:b/>
        </w:rPr>
      </w:pPr>
      <w:r>
        <w:rPr>
          <w:b/>
        </w:rPr>
        <w:t>Poverty and Social Impacts and Environment Aspects</w:t>
      </w:r>
    </w:p>
    <w:p w:rsidR="00E1347D" w:rsidRDefault="00E1347D" w:rsidP="00E1347D">
      <w:pPr>
        <w:pStyle w:val="ListParagraph"/>
      </w:pPr>
    </w:p>
    <w:p w:rsidR="00E1347D" w:rsidRPr="00D04E3C" w:rsidRDefault="00E1347D" w:rsidP="00E1347D">
      <w:pPr>
        <w:pStyle w:val="CM4"/>
        <w:spacing w:after="252" w:line="253" w:lineRule="atLeast"/>
        <w:ind w:left="720"/>
        <w:rPr>
          <w:i/>
          <w:iCs/>
          <w:color w:val="000000" w:themeColor="text1"/>
          <w:sz w:val="22"/>
          <w:szCs w:val="22"/>
        </w:rPr>
      </w:pPr>
      <w:r w:rsidRPr="00D04E3C">
        <w:rPr>
          <w:i/>
          <w:iCs/>
          <w:color w:val="000000" w:themeColor="text1"/>
          <w:sz w:val="22"/>
          <w:szCs w:val="22"/>
        </w:rPr>
        <w:t xml:space="preserve">Poverty and Social Impacts </w:t>
      </w:r>
    </w:p>
    <w:p w:rsidR="00120C87" w:rsidRPr="00120C87" w:rsidRDefault="00120C87" w:rsidP="00120C87">
      <w:pPr>
        <w:numPr>
          <w:ilvl w:val="1"/>
          <w:numId w:val="16"/>
        </w:numPr>
        <w:tabs>
          <w:tab w:val="clear" w:pos="720"/>
          <w:tab w:val="num" w:pos="0"/>
        </w:tabs>
        <w:ind w:left="0" w:firstLine="0"/>
        <w:jc w:val="both"/>
      </w:pPr>
      <w:r w:rsidRPr="00822358">
        <w:t xml:space="preserve">The DPL </w:t>
      </w:r>
      <w:r>
        <w:t>supported reforms are expected to have in general a positive impact on the poor and the vulnerable in the following ways: (</w:t>
      </w:r>
      <w:proofErr w:type="spellStart"/>
      <w:r>
        <w:t>i</w:t>
      </w:r>
      <w:proofErr w:type="spellEnd"/>
      <w:r>
        <w:t>) strengthening the SME programs that will enable SMEs to become more productive, (ii) increasing access to finance to firms that do not have access to immovable collateral and alleviating this constraint by further facilitating movable collateral, (iii) the introduction of a specialized MSME bank and (iii) increasing competition in the telecom sector making mobile services more affordable.</w:t>
      </w:r>
      <w:r w:rsidRPr="00591916">
        <w:t xml:space="preserve"> </w:t>
      </w:r>
      <w:r>
        <w:t xml:space="preserve">Combined, these </w:t>
      </w:r>
      <w:r w:rsidRPr="00591916">
        <w:t xml:space="preserve">measures </w:t>
      </w:r>
      <w:r>
        <w:t xml:space="preserve">are </w:t>
      </w:r>
      <w:r w:rsidRPr="00591916">
        <w:t>aimed at raising private sector competitiveness and increasing investment, including FDI, are designed to support a virtuous cycle of growth, employment gene</w:t>
      </w:r>
      <w:r>
        <w:t xml:space="preserve">ration and productivity gains. </w:t>
      </w:r>
      <w:r w:rsidRPr="00591916">
        <w:t xml:space="preserve">Reform measures supported by the </w:t>
      </w:r>
      <w:r>
        <w:t xml:space="preserve">three </w:t>
      </w:r>
      <w:r w:rsidRPr="00591916">
        <w:t>pillars are targeted at decreasing business costs</w:t>
      </w:r>
      <w:r>
        <w:t xml:space="preserve"> and </w:t>
      </w:r>
      <w:r w:rsidRPr="00591916">
        <w:t xml:space="preserve">creating better conditions for private local and foreign investments and ultimately leading to job creation. </w:t>
      </w:r>
      <w:r>
        <w:t xml:space="preserve"> </w:t>
      </w:r>
    </w:p>
    <w:p w:rsidR="00E1347D" w:rsidRDefault="00E1347D" w:rsidP="00E1347D">
      <w:pPr>
        <w:pStyle w:val="ListParagraph"/>
      </w:pPr>
    </w:p>
    <w:p w:rsidR="00E1347D" w:rsidRPr="00D04E3C" w:rsidRDefault="00E1347D" w:rsidP="00E1347D">
      <w:pPr>
        <w:ind w:left="720"/>
        <w:jc w:val="both"/>
        <w:rPr>
          <w:i/>
          <w:iCs/>
        </w:rPr>
      </w:pPr>
      <w:r w:rsidRPr="00D04E3C">
        <w:rPr>
          <w:i/>
          <w:iCs/>
        </w:rPr>
        <w:t xml:space="preserve">Environment Aspects </w:t>
      </w:r>
    </w:p>
    <w:p w:rsidR="00E1347D" w:rsidRDefault="00E1347D" w:rsidP="00E1347D">
      <w:pPr>
        <w:pStyle w:val="ListParagraph"/>
      </w:pPr>
    </w:p>
    <w:p w:rsidR="00120C87" w:rsidRPr="00120C87" w:rsidRDefault="00120C87" w:rsidP="00120C87">
      <w:pPr>
        <w:numPr>
          <w:ilvl w:val="1"/>
          <w:numId w:val="16"/>
        </w:numPr>
        <w:tabs>
          <w:tab w:val="clear" w:pos="720"/>
          <w:tab w:val="num" w:pos="0"/>
        </w:tabs>
        <w:ind w:left="0" w:firstLine="0"/>
        <w:jc w:val="both"/>
      </w:pPr>
      <w:r w:rsidRPr="00120C87">
        <w:t xml:space="preserve">None of the reforms supported by the DPL series are likely to have a direct effect on the environment, natural resources, or forestry. Beyond the immediate focus of the DPL, other Government policies and development objectives such as increasing tourist arrivals by 2015, </w:t>
      </w:r>
      <w:r w:rsidRPr="00120C87">
        <w:lastRenderedPageBreak/>
        <w:t>expanding the port and airport, relieving traffic congestion, and making the business climate more investor friendly may have an environmental impact. Historically, the record of environmental management, though not perfect, has been relatively good.</w:t>
      </w:r>
      <w:r w:rsidRPr="00120C87">
        <w:rPr>
          <w:vertAlign w:val="superscript"/>
        </w:rPr>
        <w:footnoteReference w:id="3"/>
      </w:r>
      <w:r w:rsidRPr="00120C87">
        <w:t xml:space="preserve"> The Safeguard Diagnosis Review carried out in October 2010</w:t>
      </w:r>
      <w:r w:rsidRPr="00120C87">
        <w:rPr>
          <w:vertAlign w:val="superscript"/>
        </w:rPr>
        <w:footnoteReference w:id="4"/>
      </w:r>
      <w:r w:rsidRPr="00120C87">
        <w:t xml:space="preserve"> shows that Mauritius’ environmental policies are sufficiently robust and are being implemented satisfactorily.  </w:t>
      </w:r>
    </w:p>
    <w:p w:rsidR="00E83F1E" w:rsidRPr="00E83F1E" w:rsidRDefault="00E83F1E" w:rsidP="00120C87">
      <w:pPr>
        <w:jc w:val="both"/>
      </w:pPr>
    </w:p>
    <w:p w:rsidR="00E83F1E" w:rsidRDefault="00E83F1E" w:rsidP="00E83F1E">
      <w:pPr>
        <w:ind w:left="720"/>
        <w:rPr>
          <w:b/>
        </w:rPr>
      </w:pPr>
    </w:p>
    <w:p w:rsidR="004239CB" w:rsidRPr="003E3D6A" w:rsidRDefault="004239CB" w:rsidP="004239CB">
      <w:pPr>
        <w:numPr>
          <w:ilvl w:val="0"/>
          <w:numId w:val="7"/>
        </w:numPr>
        <w:rPr>
          <w:b/>
        </w:rPr>
      </w:pPr>
      <w:r w:rsidRPr="00B14B1C">
        <w:rPr>
          <w:b/>
        </w:rPr>
        <w:t>Contact point</w:t>
      </w:r>
    </w:p>
    <w:p w:rsidR="00F95E57" w:rsidRDefault="00F95E57" w:rsidP="004239CB">
      <w:pPr>
        <w:pStyle w:val="ListParagraph"/>
        <w:ind w:left="0"/>
        <w:rPr>
          <w:b/>
        </w:rPr>
      </w:pPr>
    </w:p>
    <w:p w:rsidR="004239CB" w:rsidRDefault="004239CB" w:rsidP="004239CB">
      <w:pPr>
        <w:pStyle w:val="ListParagraph"/>
        <w:ind w:left="0"/>
      </w:pPr>
      <w:r w:rsidRPr="00225112">
        <w:rPr>
          <w:b/>
        </w:rPr>
        <w:t>World Bank</w:t>
      </w:r>
      <w:r>
        <w:rPr>
          <w:b/>
        </w:rPr>
        <w:t xml:space="preserve"> </w:t>
      </w:r>
    </w:p>
    <w:p w:rsidR="00100DA5" w:rsidRDefault="00100DA5" w:rsidP="004239CB">
      <w:bookmarkStart w:id="14" w:name="ContactInfo"/>
      <w:r>
        <w:t>Contact: Smita Kuriakose</w:t>
      </w:r>
    </w:p>
    <w:p w:rsidR="00100DA5" w:rsidRDefault="00100DA5" w:rsidP="004239CB">
      <w:r>
        <w:t>Title: Economist</w:t>
      </w:r>
    </w:p>
    <w:p w:rsidR="00100DA5" w:rsidRDefault="00100DA5" w:rsidP="004239CB">
      <w:r>
        <w:t>Tel: (202) 458-9003</w:t>
      </w:r>
    </w:p>
    <w:p w:rsidR="00100DA5" w:rsidRDefault="00100DA5" w:rsidP="004239CB">
      <w:r>
        <w:t xml:space="preserve">Fax: </w:t>
      </w:r>
    </w:p>
    <w:p w:rsidR="004239CB" w:rsidRDefault="00100DA5" w:rsidP="004239CB">
      <w:r>
        <w:t>Email: skuriakose@worldbank.org</w:t>
      </w:r>
      <w:bookmarkEnd w:id="14"/>
      <w:r w:rsidR="004239CB">
        <w:tab/>
      </w:r>
    </w:p>
    <w:p w:rsidR="004239CB" w:rsidRDefault="004239CB" w:rsidP="004239CB"/>
    <w:p w:rsidR="004239CB" w:rsidRPr="00225112" w:rsidRDefault="004239CB" w:rsidP="004239CB">
      <w:pPr>
        <w:rPr>
          <w:b/>
        </w:rPr>
      </w:pPr>
      <w:r w:rsidRPr="00225112">
        <w:rPr>
          <w:b/>
        </w:rPr>
        <w:t>Borrower</w:t>
      </w:r>
    </w:p>
    <w:p w:rsidR="004239CB" w:rsidRDefault="004239CB" w:rsidP="004239CB">
      <w:r w:rsidRPr="00A30F2B">
        <w:t>Contact</w:t>
      </w:r>
      <w:r>
        <w:t xml:space="preserve">: </w:t>
      </w:r>
      <w:r w:rsidR="00D04E3C">
        <w:t xml:space="preserve">Ali </w:t>
      </w:r>
      <w:proofErr w:type="spellStart"/>
      <w:r w:rsidR="00D04E3C">
        <w:t>Mansoor</w:t>
      </w:r>
      <w:proofErr w:type="spellEnd"/>
      <w:r>
        <w:tab/>
      </w:r>
    </w:p>
    <w:p w:rsidR="004239CB" w:rsidRDefault="004239CB" w:rsidP="004239CB">
      <w:r>
        <w:t>Title:</w:t>
      </w:r>
      <w:r w:rsidR="00D04E3C">
        <w:t xml:space="preserve"> Financial Secretary, Ministry of Finance and Economic Development</w:t>
      </w:r>
      <w:r>
        <w:tab/>
      </w:r>
      <w:r>
        <w:tab/>
      </w:r>
    </w:p>
    <w:p w:rsidR="004239CB" w:rsidRDefault="004239CB" w:rsidP="004239CB">
      <w:r>
        <w:t>Tel:</w:t>
      </w:r>
      <w:r>
        <w:tab/>
      </w:r>
      <w:r w:rsidR="00D04E3C">
        <w:t>+230 201 2339</w:t>
      </w:r>
      <w:r>
        <w:tab/>
      </w:r>
      <w:r>
        <w:tab/>
      </w:r>
    </w:p>
    <w:p w:rsidR="004239CB" w:rsidRDefault="004239CB" w:rsidP="004239CB">
      <w:r>
        <w:t>Email:</w:t>
      </w:r>
      <w:r>
        <w:tab/>
      </w:r>
      <w:r w:rsidR="00D04E3C">
        <w:t>amansoor@mail.gov.mu</w:t>
      </w:r>
      <w:r>
        <w:tab/>
      </w:r>
    </w:p>
    <w:p w:rsidR="004239CB" w:rsidRDefault="004239CB" w:rsidP="004239CB"/>
    <w:p w:rsidR="004239CB" w:rsidRPr="0059349F" w:rsidRDefault="004239CB" w:rsidP="004239CB">
      <w:pPr>
        <w:numPr>
          <w:ilvl w:val="0"/>
          <w:numId w:val="7"/>
        </w:numPr>
        <w:rPr>
          <w:b/>
        </w:rPr>
      </w:pPr>
      <w:r w:rsidRPr="0059349F">
        <w:rPr>
          <w:b/>
        </w:rPr>
        <w:t>For more information contact:</w:t>
      </w:r>
    </w:p>
    <w:p w:rsidR="00F95E57" w:rsidRDefault="00F95E57" w:rsidP="004239CB"/>
    <w:p w:rsidR="004239CB" w:rsidRPr="00C82216" w:rsidRDefault="004239CB" w:rsidP="004239CB">
      <w:r w:rsidRPr="00C82216">
        <w:t xml:space="preserve">The </w:t>
      </w:r>
      <w:proofErr w:type="spellStart"/>
      <w:r w:rsidRPr="00C82216">
        <w:t>InfoShop</w:t>
      </w:r>
      <w:proofErr w:type="spellEnd"/>
    </w:p>
    <w:p w:rsidR="004239CB" w:rsidRPr="00C82216" w:rsidRDefault="004239CB" w:rsidP="004239CB">
      <w:r w:rsidRPr="00C82216">
        <w:t>The World Bank</w:t>
      </w:r>
    </w:p>
    <w:p w:rsidR="004239CB" w:rsidRPr="00C82216" w:rsidRDefault="004239CB" w:rsidP="004239CB">
      <w:r w:rsidRPr="00C82216">
        <w:t>1818 H Street, NW</w:t>
      </w:r>
    </w:p>
    <w:p w:rsidR="004239CB" w:rsidRPr="00C82216" w:rsidRDefault="004239CB" w:rsidP="004239CB">
      <w:r w:rsidRPr="00C82216">
        <w:t>Washington, D.C. 20433</w:t>
      </w:r>
    </w:p>
    <w:p w:rsidR="004239CB" w:rsidRPr="00C82216" w:rsidRDefault="004239CB" w:rsidP="004239CB">
      <w:r w:rsidRPr="00C82216">
        <w:t>Telephone:  (202) 458-</w:t>
      </w:r>
      <w:r>
        <w:t>4500</w:t>
      </w:r>
    </w:p>
    <w:p w:rsidR="004239CB" w:rsidRPr="00C82216" w:rsidRDefault="004239CB" w:rsidP="004239CB">
      <w:r w:rsidRPr="00C82216">
        <w:t>Fax:  (202) 522-1500</w:t>
      </w:r>
    </w:p>
    <w:p w:rsidR="004239CB" w:rsidRPr="00C82216" w:rsidRDefault="004239CB" w:rsidP="004239CB">
      <w:r w:rsidRPr="00C82216">
        <w:t>Web: http://www.worldbank.org/infoshop</w:t>
      </w:r>
    </w:p>
    <w:p w:rsidR="008627D4" w:rsidRDefault="008627D4"/>
    <w:p w:rsidR="002E666A" w:rsidRDefault="002E666A">
      <w:r>
        <w:br w:type="page"/>
      </w:r>
    </w:p>
    <w:p w:rsidR="002E666A" w:rsidRDefault="002E666A">
      <w:pPr>
        <w:sectPr w:rsidR="002E666A" w:rsidSect="00956013">
          <w:footerReference w:type="default" r:id="rId7"/>
          <w:pgSz w:w="12240" w:h="15840"/>
          <w:pgMar w:top="1440" w:right="1440" w:bottom="1440" w:left="1440" w:header="720" w:footer="720" w:gutter="0"/>
          <w:cols w:space="720"/>
          <w:docGrid w:linePitch="360"/>
        </w:sectPr>
      </w:pPr>
    </w:p>
    <w:p w:rsidR="002E666A" w:rsidRPr="00E7031B" w:rsidRDefault="002E666A" w:rsidP="002E666A">
      <w:pPr>
        <w:pStyle w:val="AdjustmentLendingAnnex"/>
        <w:rPr>
          <w:smallCaps/>
          <w:szCs w:val="24"/>
        </w:rPr>
      </w:pPr>
      <w:bookmarkStart w:id="15" w:name="_Toc292365538"/>
      <w:bookmarkStart w:id="16" w:name="_Toc316292664"/>
      <w:bookmarkStart w:id="17" w:name="_Toc317611838"/>
      <w:bookmarkStart w:id="18" w:name="_Toc346657365"/>
      <w:r w:rsidRPr="00E7031B">
        <w:rPr>
          <w:szCs w:val="24"/>
        </w:rPr>
        <w:lastRenderedPageBreak/>
        <w:t xml:space="preserve">Annex </w:t>
      </w:r>
      <w:r w:rsidR="001A70D3" w:rsidRPr="00E7031B">
        <w:rPr>
          <w:szCs w:val="24"/>
        </w:rPr>
        <w:fldChar w:fldCharType="begin"/>
      </w:r>
      <w:r w:rsidRPr="00E7031B">
        <w:rPr>
          <w:szCs w:val="24"/>
        </w:rPr>
        <w:instrText xml:space="preserve"> SEQ Annex \* ARABIC </w:instrText>
      </w:r>
      <w:r w:rsidR="001A70D3" w:rsidRPr="00E7031B">
        <w:rPr>
          <w:szCs w:val="24"/>
        </w:rPr>
        <w:fldChar w:fldCharType="separate"/>
      </w:r>
      <w:r w:rsidR="005560B0">
        <w:rPr>
          <w:noProof/>
          <w:szCs w:val="24"/>
        </w:rPr>
        <w:t>1</w:t>
      </w:r>
      <w:r w:rsidR="001A70D3" w:rsidRPr="00E7031B">
        <w:rPr>
          <w:szCs w:val="24"/>
        </w:rPr>
        <w:fldChar w:fldCharType="end"/>
      </w:r>
      <w:r w:rsidRPr="00E7031B">
        <w:rPr>
          <w:szCs w:val="24"/>
        </w:rPr>
        <w:t xml:space="preserve">:  </w:t>
      </w:r>
      <w:bookmarkEnd w:id="15"/>
      <w:bookmarkEnd w:id="16"/>
      <w:r w:rsidRPr="00E7031B">
        <w:rPr>
          <w:szCs w:val="24"/>
        </w:rPr>
        <w:t>Operations Policy Matrix</w:t>
      </w:r>
      <w:bookmarkEnd w:id="17"/>
      <w:bookmarkEnd w:id="18"/>
    </w:p>
    <w:p w:rsidR="002E666A" w:rsidRDefault="002E666A" w:rsidP="002E666A">
      <w:pPr>
        <w:jc w:val="center"/>
        <w:rPr>
          <w:b/>
          <w:sz w:val="22"/>
          <w:szCs w:val="22"/>
        </w:rPr>
      </w:pPr>
    </w:p>
    <w:tbl>
      <w:tblPr>
        <w:tblStyle w:val="TableGrid"/>
        <w:tblW w:w="12251" w:type="dxa"/>
        <w:tblInd w:w="-803" w:type="dxa"/>
        <w:tblLayout w:type="fixed"/>
        <w:tblLook w:val="04A0"/>
      </w:tblPr>
      <w:tblGrid>
        <w:gridCol w:w="1572"/>
        <w:gridCol w:w="1504"/>
        <w:gridCol w:w="1932"/>
        <w:gridCol w:w="32"/>
        <w:gridCol w:w="1681"/>
        <w:gridCol w:w="32"/>
        <w:gridCol w:w="1448"/>
        <w:gridCol w:w="25"/>
        <w:gridCol w:w="1353"/>
        <w:gridCol w:w="1142"/>
        <w:gridCol w:w="19"/>
        <w:gridCol w:w="1482"/>
        <w:gridCol w:w="29"/>
      </w:tblGrid>
      <w:tr w:rsidR="00120C87" w:rsidRPr="00E6344A" w:rsidTr="00120C87">
        <w:trPr>
          <w:tblHeader/>
        </w:trPr>
        <w:tc>
          <w:tcPr>
            <w:tcW w:w="1572" w:type="dxa"/>
            <w:tcBorders>
              <w:bottom w:val="single" w:sz="4" w:space="0" w:color="auto"/>
              <w:right w:val="single" w:sz="4" w:space="0" w:color="auto"/>
            </w:tcBorders>
            <w:shd w:val="clear" w:color="auto" w:fill="D9D9D9" w:themeFill="background1" w:themeFillShade="D9"/>
            <w:vAlign w:val="center"/>
          </w:tcPr>
          <w:p w:rsidR="00120C87" w:rsidRPr="00E6344A" w:rsidRDefault="00120C87" w:rsidP="00AF7614">
            <w:pPr>
              <w:jc w:val="center"/>
              <w:rPr>
                <w:b/>
                <w:bCs/>
                <w:sz w:val="20"/>
              </w:rPr>
            </w:pPr>
            <w:r w:rsidRPr="00E6344A">
              <w:rPr>
                <w:b/>
                <w:bCs/>
                <w:sz w:val="20"/>
              </w:rPr>
              <w:t>Medium-term Objectives</w:t>
            </w:r>
          </w:p>
          <w:p w:rsidR="00120C87" w:rsidRPr="00E6344A" w:rsidRDefault="00120C87" w:rsidP="00AF7614">
            <w:pPr>
              <w:jc w:val="center"/>
              <w:rPr>
                <w:b/>
                <w:sz w:val="20"/>
              </w:rPr>
            </w:pPr>
          </w:p>
        </w:tc>
        <w:tc>
          <w:tcPr>
            <w:tcW w:w="1504" w:type="dxa"/>
            <w:tcBorders>
              <w:left w:val="single" w:sz="4" w:space="0" w:color="auto"/>
              <w:bottom w:val="single" w:sz="4" w:space="0" w:color="auto"/>
              <w:right w:val="single" w:sz="4" w:space="0" w:color="auto"/>
            </w:tcBorders>
            <w:shd w:val="clear" w:color="auto" w:fill="D9D9D9" w:themeFill="background1" w:themeFillShade="D9"/>
            <w:vAlign w:val="center"/>
          </w:tcPr>
          <w:p w:rsidR="00120C87" w:rsidRPr="00E6344A" w:rsidRDefault="00120C87" w:rsidP="00AF7614">
            <w:pPr>
              <w:jc w:val="center"/>
              <w:rPr>
                <w:b/>
                <w:sz w:val="20"/>
              </w:rPr>
            </w:pPr>
            <w:r w:rsidRPr="00E6344A">
              <w:rPr>
                <w:b/>
                <w:bCs/>
                <w:sz w:val="20"/>
              </w:rPr>
              <w:t>Policy Actions</w:t>
            </w:r>
          </w:p>
        </w:tc>
        <w:tc>
          <w:tcPr>
            <w:tcW w:w="1932" w:type="dxa"/>
            <w:tcBorders>
              <w:left w:val="single" w:sz="4" w:space="0" w:color="auto"/>
              <w:bottom w:val="single" w:sz="4" w:space="0" w:color="auto"/>
              <w:right w:val="single" w:sz="4" w:space="0" w:color="auto"/>
            </w:tcBorders>
            <w:shd w:val="clear" w:color="auto" w:fill="D9D9D9" w:themeFill="background1" w:themeFillShade="D9"/>
            <w:vAlign w:val="center"/>
          </w:tcPr>
          <w:p w:rsidR="00120C87" w:rsidRPr="00E6344A" w:rsidRDefault="00120C87" w:rsidP="00AF7614">
            <w:pPr>
              <w:jc w:val="center"/>
              <w:rPr>
                <w:b/>
                <w:sz w:val="20"/>
              </w:rPr>
            </w:pPr>
          </w:p>
        </w:tc>
        <w:tc>
          <w:tcPr>
            <w:tcW w:w="1713" w:type="dxa"/>
            <w:gridSpan w:val="2"/>
            <w:tcBorders>
              <w:left w:val="single" w:sz="4" w:space="0" w:color="auto"/>
              <w:bottom w:val="single" w:sz="4" w:space="0" w:color="auto"/>
              <w:right w:val="single" w:sz="4" w:space="0" w:color="auto"/>
            </w:tcBorders>
            <w:shd w:val="clear" w:color="auto" w:fill="D9D9D9" w:themeFill="background1" w:themeFillShade="D9"/>
          </w:tcPr>
          <w:p w:rsidR="00120C87" w:rsidRPr="00E6344A" w:rsidRDefault="00120C87" w:rsidP="00AF7614">
            <w:pPr>
              <w:jc w:val="center"/>
              <w:rPr>
                <w:b/>
                <w:bCs/>
                <w:sz w:val="20"/>
              </w:rPr>
            </w:pPr>
          </w:p>
        </w:tc>
        <w:tc>
          <w:tcPr>
            <w:tcW w:w="150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120C87" w:rsidRPr="00E6344A" w:rsidRDefault="00120C87" w:rsidP="00AF7614">
            <w:pPr>
              <w:jc w:val="center"/>
              <w:rPr>
                <w:b/>
                <w:sz w:val="20"/>
              </w:rPr>
            </w:pPr>
            <w:r w:rsidRPr="00E6344A">
              <w:rPr>
                <w:b/>
                <w:bCs/>
                <w:sz w:val="20"/>
              </w:rPr>
              <w:t>Indicators</w:t>
            </w:r>
          </w:p>
        </w:tc>
        <w:tc>
          <w:tcPr>
            <w:tcW w:w="1353" w:type="dxa"/>
            <w:tcBorders>
              <w:left w:val="single" w:sz="4" w:space="0" w:color="auto"/>
              <w:bottom w:val="single" w:sz="4" w:space="0" w:color="auto"/>
              <w:right w:val="single" w:sz="4" w:space="0" w:color="auto"/>
            </w:tcBorders>
            <w:shd w:val="clear" w:color="auto" w:fill="D9D9D9" w:themeFill="background1" w:themeFillShade="D9"/>
            <w:vAlign w:val="center"/>
          </w:tcPr>
          <w:p w:rsidR="00120C87" w:rsidRPr="00E6344A" w:rsidRDefault="00120C87" w:rsidP="00AF7614">
            <w:pPr>
              <w:jc w:val="center"/>
              <w:rPr>
                <w:b/>
                <w:sz w:val="20"/>
              </w:rPr>
            </w:pPr>
            <w:r w:rsidRPr="00E6344A">
              <w:rPr>
                <w:b/>
                <w:bCs/>
                <w:sz w:val="20"/>
              </w:rPr>
              <w:t>Baseline (2011)</w:t>
            </w:r>
          </w:p>
        </w:tc>
        <w:tc>
          <w:tcPr>
            <w:tcW w:w="1142" w:type="dxa"/>
            <w:tcBorders>
              <w:left w:val="single" w:sz="4" w:space="0" w:color="auto"/>
              <w:bottom w:val="single" w:sz="4" w:space="0" w:color="auto"/>
            </w:tcBorders>
            <w:shd w:val="clear" w:color="auto" w:fill="D9D9D9" w:themeFill="background1" w:themeFillShade="D9"/>
            <w:vAlign w:val="center"/>
          </w:tcPr>
          <w:p w:rsidR="00120C87" w:rsidRPr="00E6344A" w:rsidRDefault="00120C87" w:rsidP="00AF7614">
            <w:pPr>
              <w:jc w:val="center"/>
              <w:rPr>
                <w:b/>
                <w:sz w:val="20"/>
              </w:rPr>
            </w:pPr>
            <w:r>
              <w:rPr>
                <w:b/>
                <w:sz w:val="20"/>
              </w:rPr>
              <w:t>Targets</w:t>
            </w:r>
          </w:p>
        </w:tc>
        <w:tc>
          <w:tcPr>
            <w:tcW w:w="1530" w:type="dxa"/>
            <w:gridSpan w:val="3"/>
            <w:tcBorders>
              <w:left w:val="single" w:sz="4" w:space="0" w:color="auto"/>
              <w:bottom w:val="single" w:sz="4" w:space="0" w:color="auto"/>
            </w:tcBorders>
            <w:shd w:val="clear" w:color="auto" w:fill="D9D9D9" w:themeFill="background1" w:themeFillShade="D9"/>
            <w:vAlign w:val="center"/>
          </w:tcPr>
          <w:p w:rsidR="00120C87" w:rsidRPr="00E6344A" w:rsidRDefault="00120C87" w:rsidP="00AF7614">
            <w:pPr>
              <w:jc w:val="center"/>
              <w:rPr>
                <w:b/>
                <w:sz w:val="20"/>
              </w:rPr>
            </w:pPr>
          </w:p>
        </w:tc>
      </w:tr>
      <w:tr w:rsidR="00120C87" w:rsidRPr="00E6344A" w:rsidTr="00120C87">
        <w:trPr>
          <w:gridAfter w:val="1"/>
          <w:wAfter w:w="29" w:type="dxa"/>
          <w:tblHeader/>
        </w:trPr>
        <w:tc>
          <w:tcPr>
            <w:tcW w:w="1572" w:type="dxa"/>
            <w:tcBorders>
              <w:top w:val="single" w:sz="4" w:space="0" w:color="auto"/>
            </w:tcBorders>
            <w:shd w:val="clear" w:color="auto" w:fill="D9D9D9" w:themeFill="background1" w:themeFillShade="D9"/>
            <w:vAlign w:val="center"/>
          </w:tcPr>
          <w:p w:rsidR="00120C87" w:rsidRPr="00E6344A" w:rsidRDefault="00120C87" w:rsidP="00AF7614">
            <w:pPr>
              <w:jc w:val="center"/>
              <w:rPr>
                <w:b/>
                <w:sz w:val="20"/>
              </w:rPr>
            </w:pPr>
          </w:p>
        </w:tc>
        <w:tc>
          <w:tcPr>
            <w:tcW w:w="1504" w:type="dxa"/>
            <w:tcBorders>
              <w:top w:val="single" w:sz="4" w:space="0" w:color="auto"/>
            </w:tcBorders>
            <w:shd w:val="clear" w:color="auto" w:fill="D9D9D9" w:themeFill="background1" w:themeFillShade="D9"/>
            <w:vAlign w:val="center"/>
          </w:tcPr>
          <w:p w:rsidR="00120C87" w:rsidRPr="00E6344A" w:rsidRDefault="00120C87" w:rsidP="00AF7614">
            <w:pPr>
              <w:jc w:val="center"/>
              <w:rPr>
                <w:b/>
                <w:sz w:val="20"/>
              </w:rPr>
            </w:pPr>
            <w:r w:rsidRPr="00E6344A">
              <w:rPr>
                <w:b/>
                <w:sz w:val="20"/>
              </w:rPr>
              <w:t>DPL1                       (prior actions)</w:t>
            </w:r>
          </w:p>
        </w:tc>
        <w:tc>
          <w:tcPr>
            <w:tcW w:w="1932" w:type="dxa"/>
            <w:tcBorders>
              <w:top w:val="single" w:sz="4" w:space="0" w:color="auto"/>
            </w:tcBorders>
            <w:shd w:val="clear" w:color="auto" w:fill="D9D9D9" w:themeFill="background1" w:themeFillShade="D9"/>
            <w:vAlign w:val="center"/>
          </w:tcPr>
          <w:p w:rsidR="00120C87" w:rsidRPr="00E6344A" w:rsidRDefault="00120C87" w:rsidP="00AF7614">
            <w:pPr>
              <w:jc w:val="center"/>
              <w:rPr>
                <w:b/>
                <w:sz w:val="20"/>
              </w:rPr>
            </w:pPr>
            <w:r w:rsidRPr="00E6344A">
              <w:rPr>
                <w:b/>
                <w:sz w:val="20"/>
              </w:rPr>
              <w:t>DPL2                       (indicative triggers)</w:t>
            </w:r>
          </w:p>
        </w:tc>
        <w:tc>
          <w:tcPr>
            <w:tcW w:w="1713" w:type="dxa"/>
            <w:gridSpan w:val="2"/>
            <w:tcBorders>
              <w:top w:val="single" w:sz="4" w:space="0" w:color="auto"/>
            </w:tcBorders>
            <w:shd w:val="clear" w:color="auto" w:fill="D9D9D9" w:themeFill="background1" w:themeFillShade="D9"/>
          </w:tcPr>
          <w:p w:rsidR="00120C87" w:rsidRDefault="00120C87" w:rsidP="00AF7614">
            <w:pPr>
              <w:jc w:val="center"/>
              <w:rPr>
                <w:b/>
                <w:sz w:val="20"/>
              </w:rPr>
            </w:pPr>
            <w:r>
              <w:rPr>
                <w:b/>
                <w:sz w:val="20"/>
              </w:rPr>
              <w:t>DPL2</w:t>
            </w:r>
          </w:p>
          <w:p w:rsidR="00120C87" w:rsidRPr="00E6344A" w:rsidRDefault="00120C87" w:rsidP="00AF7614">
            <w:pPr>
              <w:jc w:val="center"/>
              <w:rPr>
                <w:b/>
                <w:sz w:val="20"/>
              </w:rPr>
            </w:pPr>
            <w:r>
              <w:rPr>
                <w:b/>
                <w:sz w:val="20"/>
              </w:rPr>
              <w:t>(proposed prior action)</w:t>
            </w:r>
          </w:p>
        </w:tc>
        <w:tc>
          <w:tcPr>
            <w:tcW w:w="1505" w:type="dxa"/>
            <w:gridSpan w:val="3"/>
            <w:tcBorders>
              <w:top w:val="single" w:sz="4" w:space="0" w:color="auto"/>
            </w:tcBorders>
            <w:shd w:val="clear" w:color="auto" w:fill="D9D9D9" w:themeFill="background1" w:themeFillShade="D9"/>
            <w:vAlign w:val="center"/>
          </w:tcPr>
          <w:p w:rsidR="00120C87" w:rsidRPr="00E6344A" w:rsidRDefault="00120C87" w:rsidP="00AF7614">
            <w:pPr>
              <w:jc w:val="center"/>
              <w:rPr>
                <w:b/>
                <w:sz w:val="20"/>
              </w:rPr>
            </w:pPr>
          </w:p>
        </w:tc>
        <w:tc>
          <w:tcPr>
            <w:tcW w:w="1353" w:type="dxa"/>
            <w:tcBorders>
              <w:top w:val="single" w:sz="4" w:space="0" w:color="auto"/>
            </w:tcBorders>
            <w:shd w:val="clear" w:color="auto" w:fill="D9D9D9" w:themeFill="background1" w:themeFillShade="D9"/>
            <w:vAlign w:val="center"/>
          </w:tcPr>
          <w:p w:rsidR="00120C87" w:rsidRPr="00E6344A" w:rsidRDefault="00120C87" w:rsidP="00AF7614">
            <w:pPr>
              <w:jc w:val="center"/>
              <w:rPr>
                <w:b/>
                <w:sz w:val="20"/>
              </w:rPr>
            </w:pPr>
          </w:p>
        </w:tc>
        <w:tc>
          <w:tcPr>
            <w:tcW w:w="1161" w:type="dxa"/>
            <w:gridSpan w:val="2"/>
            <w:tcBorders>
              <w:top w:val="single" w:sz="4" w:space="0" w:color="auto"/>
            </w:tcBorders>
            <w:shd w:val="clear" w:color="auto" w:fill="D9D9D9" w:themeFill="background1" w:themeFillShade="D9"/>
            <w:vAlign w:val="center"/>
          </w:tcPr>
          <w:p w:rsidR="00120C87" w:rsidRPr="00E6344A" w:rsidRDefault="00120C87" w:rsidP="00AF7614">
            <w:pPr>
              <w:jc w:val="center"/>
              <w:rPr>
                <w:b/>
                <w:sz w:val="20"/>
              </w:rPr>
            </w:pPr>
            <w:r w:rsidRPr="00E6344A">
              <w:rPr>
                <w:b/>
                <w:sz w:val="20"/>
              </w:rPr>
              <w:t>2013</w:t>
            </w:r>
          </w:p>
        </w:tc>
        <w:tc>
          <w:tcPr>
            <w:tcW w:w="1482" w:type="dxa"/>
            <w:tcBorders>
              <w:top w:val="single" w:sz="4" w:space="0" w:color="auto"/>
            </w:tcBorders>
            <w:shd w:val="clear" w:color="auto" w:fill="D9D9D9" w:themeFill="background1" w:themeFillShade="D9"/>
            <w:vAlign w:val="center"/>
          </w:tcPr>
          <w:p w:rsidR="00120C87" w:rsidRPr="00E6344A" w:rsidRDefault="00120C87" w:rsidP="00AF7614">
            <w:pPr>
              <w:jc w:val="center"/>
              <w:rPr>
                <w:b/>
                <w:sz w:val="20"/>
              </w:rPr>
            </w:pPr>
            <w:r w:rsidRPr="00E6344A">
              <w:rPr>
                <w:b/>
                <w:bCs/>
                <w:sz w:val="20"/>
              </w:rPr>
              <w:t>Responsible Entity</w:t>
            </w:r>
          </w:p>
        </w:tc>
      </w:tr>
      <w:tr w:rsidR="00120C87" w:rsidRPr="00E6344A" w:rsidTr="00120C87">
        <w:trPr>
          <w:gridAfter w:val="1"/>
          <w:wAfter w:w="29" w:type="dxa"/>
          <w:trHeight w:val="2798"/>
        </w:trPr>
        <w:tc>
          <w:tcPr>
            <w:tcW w:w="1572" w:type="dxa"/>
          </w:tcPr>
          <w:p w:rsidR="00120C87" w:rsidRPr="00E6344A" w:rsidRDefault="00120C87" w:rsidP="00AF7614">
            <w:pPr>
              <w:rPr>
                <w:sz w:val="20"/>
              </w:rPr>
            </w:pPr>
            <w:r w:rsidRPr="00E6344A">
              <w:rPr>
                <w:sz w:val="20"/>
                <w:lang w:bidi="en-US"/>
              </w:rPr>
              <w:t>Improve outreach and quality of Business Development services (BDS) programs targeted towards SMEs</w:t>
            </w:r>
          </w:p>
        </w:tc>
        <w:tc>
          <w:tcPr>
            <w:tcW w:w="1504" w:type="dxa"/>
          </w:tcPr>
          <w:p w:rsidR="00120C87" w:rsidRPr="00E6344A" w:rsidRDefault="00120C87" w:rsidP="00AF7614">
            <w:pPr>
              <w:rPr>
                <w:bCs/>
                <w:sz w:val="20"/>
              </w:rPr>
            </w:pPr>
            <w:r w:rsidRPr="00E6344A">
              <w:rPr>
                <w:bCs/>
                <w:sz w:val="20"/>
              </w:rPr>
              <w:t>Cabinet approval of consolidation of SME programs under Ministry of Business, Enterprise and Cooperatives (</w:t>
            </w:r>
            <w:proofErr w:type="spellStart"/>
            <w:r w:rsidRPr="00E6344A">
              <w:rPr>
                <w:bCs/>
                <w:sz w:val="20"/>
              </w:rPr>
              <w:t>MoBEC</w:t>
            </w:r>
            <w:proofErr w:type="spellEnd"/>
            <w:r w:rsidRPr="00E6344A">
              <w:rPr>
                <w:bCs/>
                <w:sz w:val="20"/>
              </w:rPr>
              <w:t>)</w:t>
            </w:r>
          </w:p>
          <w:p w:rsidR="00120C87" w:rsidRPr="00E6344A" w:rsidRDefault="00120C87" w:rsidP="00AF7614">
            <w:pPr>
              <w:rPr>
                <w:bCs/>
                <w:sz w:val="20"/>
              </w:rPr>
            </w:pPr>
          </w:p>
          <w:p w:rsidR="00120C87" w:rsidRPr="00E6344A" w:rsidRDefault="00120C87" w:rsidP="00AF7614">
            <w:pPr>
              <w:rPr>
                <w:sz w:val="20"/>
              </w:rPr>
            </w:pPr>
          </w:p>
        </w:tc>
        <w:tc>
          <w:tcPr>
            <w:tcW w:w="1964" w:type="dxa"/>
            <w:gridSpan w:val="2"/>
          </w:tcPr>
          <w:p w:rsidR="00120C87" w:rsidRPr="00E6344A" w:rsidRDefault="00120C87" w:rsidP="00AF7614">
            <w:pPr>
              <w:rPr>
                <w:sz w:val="20"/>
              </w:rPr>
            </w:pPr>
            <w:r w:rsidRPr="00E6344A">
              <w:rPr>
                <w:sz w:val="20"/>
              </w:rPr>
              <w:t xml:space="preserve">Implementation of an Action Plan for consolidation of SMEs program under </w:t>
            </w:r>
            <w:proofErr w:type="spellStart"/>
            <w:r w:rsidRPr="00E6344A">
              <w:rPr>
                <w:sz w:val="20"/>
              </w:rPr>
              <w:t>MoBEC</w:t>
            </w:r>
            <w:proofErr w:type="spellEnd"/>
            <w:r w:rsidRPr="00E6344A">
              <w:rPr>
                <w:sz w:val="20"/>
              </w:rPr>
              <w:t xml:space="preserve"> that includes (a) establishing an inter-agency strategic coordination committee, and (b) developing a framework that sets up guidelines on cost-sharing, target groups and types of services, M&amp;E systems</w:t>
            </w:r>
          </w:p>
          <w:p w:rsidR="00120C87" w:rsidRPr="00E6344A" w:rsidRDefault="00120C87" w:rsidP="00AF7614">
            <w:pPr>
              <w:rPr>
                <w:sz w:val="20"/>
              </w:rPr>
            </w:pPr>
          </w:p>
        </w:tc>
        <w:tc>
          <w:tcPr>
            <w:tcW w:w="1713" w:type="dxa"/>
            <w:gridSpan w:val="2"/>
          </w:tcPr>
          <w:p w:rsidR="00120C87" w:rsidRPr="00E6344A" w:rsidRDefault="00120C87" w:rsidP="00120C87">
            <w:pPr>
              <w:rPr>
                <w:sz w:val="20"/>
              </w:rPr>
            </w:pPr>
            <w:r w:rsidRPr="00B9170A">
              <w:rPr>
                <w:sz w:val="20"/>
              </w:rPr>
              <w:t xml:space="preserve">Implementation of the consolidation of SMEs programs that includes (a) establishing an inter-agency coordination committee under </w:t>
            </w:r>
            <w:proofErr w:type="spellStart"/>
            <w:r w:rsidRPr="00B9170A">
              <w:rPr>
                <w:sz w:val="20"/>
              </w:rPr>
              <w:t>MoBEC</w:t>
            </w:r>
            <w:proofErr w:type="spellEnd"/>
            <w:r w:rsidRPr="00B9170A">
              <w:rPr>
                <w:sz w:val="20"/>
              </w:rPr>
              <w:t xml:space="preserve"> and (b) the issuance of the RFP to develop an overall M&amp;E Framework </w:t>
            </w:r>
            <w:r>
              <w:rPr>
                <w:sz w:val="20"/>
              </w:rPr>
              <w:t>for BDS Schemes</w:t>
            </w:r>
            <w:r w:rsidRPr="00B9170A">
              <w:rPr>
                <w:sz w:val="20"/>
              </w:rPr>
              <w:t>.</w:t>
            </w:r>
          </w:p>
        </w:tc>
        <w:tc>
          <w:tcPr>
            <w:tcW w:w="1473" w:type="dxa"/>
            <w:gridSpan w:val="2"/>
          </w:tcPr>
          <w:p w:rsidR="00120C87" w:rsidRPr="00E6344A" w:rsidRDefault="00120C87" w:rsidP="00AF7614">
            <w:pPr>
              <w:rPr>
                <w:sz w:val="20"/>
              </w:rPr>
            </w:pPr>
            <w:r w:rsidRPr="00E6344A">
              <w:rPr>
                <w:sz w:val="20"/>
              </w:rPr>
              <w:t>Number of Enterprises accessing (</w:t>
            </w:r>
            <w:proofErr w:type="spellStart"/>
            <w:r w:rsidRPr="00E6344A">
              <w:rPr>
                <w:sz w:val="20"/>
              </w:rPr>
              <w:t>i</w:t>
            </w:r>
            <w:proofErr w:type="spellEnd"/>
            <w:r w:rsidRPr="00E6344A">
              <w:rPr>
                <w:sz w:val="20"/>
              </w:rPr>
              <w:t xml:space="preserve">) </w:t>
            </w:r>
            <w:r w:rsidRPr="00E6344A">
              <w:rPr>
                <w:i/>
                <w:sz w:val="20"/>
              </w:rPr>
              <w:t>Generic</w:t>
            </w:r>
            <w:r w:rsidRPr="00E6344A">
              <w:rPr>
                <w:sz w:val="20"/>
              </w:rPr>
              <w:t xml:space="preserve"> and (ii) </w:t>
            </w:r>
            <w:r w:rsidRPr="00E6344A">
              <w:rPr>
                <w:i/>
                <w:sz w:val="20"/>
              </w:rPr>
              <w:t>Specialized</w:t>
            </w:r>
            <w:r w:rsidRPr="00E6344A">
              <w:rPr>
                <w:sz w:val="20"/>
              </w:rPr>
              <w:t xml:space="preserve"> BDS increases </w:t>
            </w: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sidRPr="00120C87">
              <w:rPr>
                <w:sz w:val="20"/>
              </w:rPr>
              <w:t>Development of a Monitoring and Evaluation Framework for BDS schemes</w:t>
            </w:r>
          </w:p>
        </w:tc>
        <w:tc>
          <w:tcPr>
            <w:tcW w:w="1353" w:type="dxa"/>
          </w:tcPr>
          <w:p w:rsidR="00120C87" w:rsidRPr="00E6344A" w:rsidRDefault="00120C87" w:rsidP="00AF7614">
            <w:pPr>
              <w:rPr>
                <w:sz w:val="20"/>
              </w:rPr>
            </w:pPr>
            <w:r w:rsidRPr="00E6344A">
              <w:rPr>
                <w:sz w:val="20"/>
              </w:rPr>
              <w:t>Generic BDS = 200</w:t>
            </w:r>
          </w:p>
          <w:p w:rsidR="00120C87" w:rsidRPr="00E6344A"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sidRPr="00E6344A">
              <w:rPr>
                <w:sz w:val="20"/>
              </w:rPr>
              <w:t xml:space="preserve">Specialized BDS =80 </w:t>
            </w: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r>
              <w:rPr>
                <w:sz w:val="20"/>
              </w:rPr>
              <w:t xml:space="preserve"> No</w:t>
            </w:r>
          </w:p>
          <w:p w:rsidR="00120C87" w:rsidRPr="00E6344A" w:rsidRDefault="00120C87" w:rsidP="00AF7614">
            <w:pPr>
              <w:rPr>
                <w:sz w:val="20"/>
              </w:rPr>
            </w:pPr>
          </w:p>
        </w:tc>
        <w:tc>
          <w:tcPr>
            <w:tcW w:w="1161" w:type="dxa"/>
            <w:gridSpan w:val="2"/>
          </w:tcPr>
          <w:p w:rsidR="00120C87" w:rsidRDefault="00120C87" w:rsidP="00AF7614">
            <w:pPr>
              <w:rPr>
                <w:sz w:val="20"/>
              </w:rPr>
            </w:pPr>
          </w:p>
          <w:p w:rsidR="00120C87" w:rsidRPr="00E6344A" w:rsidRDefault="00120C87" w:rsidP="00AF7614">
            <w:pPr>
              <w:rPr>
                <w:sz w:val="20"/>
              </w:rPr>
            </w:pPr>
            <w:r w:rsidRPr="00E6344A">
              <w:rPr>
                <w:sz w:val="20"/>
              </w:rPr>
              <w:t>(</w:t>
            </w:r>
            <w:proofErr w:type="spellStart"/>
            <w:r w:rsidRPr="00E6344A">
              <w:rPr>
                <w:sz w:val="20"/>
              </w:rPr>
              <w:t>i</w:t>
            </w:r>
            <w:proofErr w:type="spellEnd"/>
            <w:r w:rsidRPr="00E6344A">
              <w:rPr>
                <w:sz w:val="20"/>
              </w:rPr>
              <w:t>) 2</w:t>
            </w:r>
            <w:r>
              <w:rPr>
                <w:sz w:val="20"/>
              </w:rPr>
              <w:t>5</w:t>
            </w:r>
            <w:r w:rsidRPr="00E6344A">
              <w:rPr>
                <w:sz w:val="20"/>
              </w:rPr>
              <w:t xml:space="preserve"> percent increase</w:t>
            </w: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r w:rsidRPr="00E6344A">
              <w:rPr>
                <w:sz w:val="20"/>
              </w:rPr>
              <w:t xml:space="preserve"> (ii) </w:t>
            </w:r>
            <w:r>
              <w:rPr>
                <w:sz w:val="20"/>
              </w:rPr>
              <w:t>50</w:t>
            </w:r>
            <w:r w:rsidRPr="00E6344A">
              <w:rPr>
                <w:sz w:val="20"/>
              </w:rPr>
              <w:t xml:space="preserve"> percent increase </w:t>
            </w: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r>
              <w:rPr>
                <w:sz w:val="20"/>
              </w:rPr>
              <w:t>Yes</w:t>
            </w:r>
          </w:p>
          <w:p w:rsidR="00120C87" w:rsidRPr="00E6344A" w:rsidRDefault="00120C87" w:rsidP="00AF7614">
            <w:pPr>
              <w:rPr>
                <w:sz w:val="20"/>
              </w:rPr>
            </w:pPr>
          </w:p>
        </w:tc>
        <w:tc>
          <w:tcPr>
            <w:tcW w:w="1482" w:type="dxa"/>
          </w:tcPr>
          <w:p w:rsidR="00120C87" w:rsidRPr="00E6344A" w:rsidRDefault="00120C87" w:rsidP="00AF7614">
            <w:pPr>
              <w:rPr>
                <w:sz w:val="20"/>
              </w:rPr>
            </w:pPr>
            <w:proofErr w:type="spellStart"/>
            <w:r w:rsidRPr="00E6344A">
              <w:rPr>
                <w:sz w:val="20"/>
              </w:rPr>
              <w:t>MoBEC</w:t>
            </w:r>
            <w:proofErr w:type="spellEnd"/>
          </w:p>
        </w:tc>
      </w:tr>
      <w:tr w:rsidR="00120C87" w:rsidRPr="00E6344A" w:rsidTr="00120C87">
        <w:trPr>
          <w:gridAfter w:val="1"/>
          <w:wAfter w:w="29" w:type="dxa"/>
          <w:trHeight w:val="485"/>
        </w:trPr>
        <w:tc>
          <w:tcPr>
            <w:tcW w:w="1572" w:type="dxa"/>
          </w:tcPr>
          <w:p w:rsidR="00120C87" w:rsidRPr="00E6344A" w:rsidRDefault="00120C87" w:rsidP="00AF7614">
            <w:pPr>
              <w:rPr>
                <w:sz w:val="20"/>
              </w:rPr>
            </w:pPr>
            <w:r w:rsidRPr="00E6344A">
              <w:rPr>
                <w:sz w:val="20"/>
              </w:rPr>
              <w:t xml:space="preserve">Facilitating, through the implementation of existing legislation, firm exit by providing the framework for the rehabilitation of stressed enterprises to seek temporary protection from its creditors </w:t>
            </w:r>
            <w:r w:rsidRPr="00E6344A">
              <w:rPr>
                <w:sz w:val="20"/>
              </w:rPr>
              <w:lastRenderedPageBreak/>
              <w:t>without forcing them into bankruptcy</w:t>
            </w:r>
          </w:p>
          <w:p w:rsidR="00120C87" w:rsidRPr="00E6344A" w:rsidRDefault="00120C87" w:rsidP="00AF7614">
            <w:pPr>
              <w:rPr>
                <w:sz w:val="20"/>
              </w:rPr>
            </w:pPr>
          </w:p>
        </w:tc>
        <w:tc>
          <w:tcPr>
            <w:tcW w:w="1504" w:type="dxa"/>
          </w:tcPr>
          <w:p w:rsidR="00120C87" w:rsidRPr="00E6344A" w:rsidRDefault="00120C87" w:rsidP="00AF7614">
            <w:pPr>
              <w:rPr>
                <w:sz w:val="20"/>
              </w:rPr>
            </w:pPr>
            <w:r w:rsidRPr="00E6344A">
              <w:rPr>
                <w:sz w:val="20"/>
              </w:rPr>
              <w:lastRenderedPageBreak/>
              <w:t xml:space="preserve">Ministerial approval of  </w:t>
            </w:r>
          </w:p>
          <w:p w:rsidR="00120C87" w:rsidRPr="00E6344A" w:rsidRDefault="00120C87" w:rsidP="00AF7614">
            <w:pPr>
              <w:rPr>
                <w:sz w:val="20"/>
              </w:rPr>
            </w:pPr>
            <w:r w:rsidRPr="00E6344A">
              <w:rPr>
                <w:sz w:val="20"/>
              </w:rPr>
              <w:t xml:space="preserve"> the registration guidelines and prescribed application form to register Insolvency Practitioners in Mauritius</w:t>
            </w:r>
          </w:p>
        </w:tc>
        <w:tc>
          <w:tcPr>
            <w:tcW w:w="1964" w:type="dxa"/>
            <w:gridSpan w:val="2"/>
          </w:tcPr>
          <w:p w:rsidR="00120C87" w:rsidRDefault="00120C87" w:rsidP="00AF7614">
            <w:pPr>
              <w:rPr>
                <w:sz w:val="20"/>
              </w:rPr>
            </w:pPr>
            <w:r w:rsidRPr="00E6344A">
              <w:rPr>
                <w:sz w:val="20"/>
              </w:rPr>
              <w:t xml:space="preserve">Ministerial approval and publication of a code of ethics for insolvency practitioners, </w:t>
            </w: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Pr>
                <w:sz w:val="20"/>
              </w:rPr>
              <w:lastRenderedPageBreak/>
              <w:t>E</w:t>
            </w:r>
            <w:r w:rsidRPr="00E6344A">
              <w:rPr>
                <w:sz w:val="20"/>
              </w:rPr>
              <w:t>stablishment of procedures by the  Director of the Insolvency</w:t>
            </w:r>
          </w:p>
          <w:p w:rsidR="00120C87" w:rsidRPr="00E6344A" w:rsidRDefault="00120C87" w:rsidP="00AF7614">
            <w:pPr>
              <w:rPr>
                <w:sz w:val="20"/>
              </w:rPr>
            </w:pPr>
            <w:r w:rsidRPr="00E6344A">
              <w:rPr>
                <w:sz w:val="20"/>
              </w:rPr>
              <w:t>Service to deal with the suspension and removal of insolvency practitioners from the registry.</w:t>
            </w:r>
          </w:p>
        </w:tc>
        <w:tc>
          <w:tcPr>
            <w:tcW w:w="1713" w:type="dxa"/>
            <w:gridSpan w:val="2"/>
          </w:tcPr>
          <w:p w:rsidR="00120C87" w:rsidRDefault="00120C87" w:rsidP="00AF7614">
            <w:pPr>
              <w:rPr>
                <w:sz w:val="20"/>
              </w:rPr>
            </w:pPr>
            <w:r w:rsidRPr="00B9170A">
              <w:rPr>
                <w:sz w:val="20"/>
              </w:rPr>
              <w:lastRenderedPageBreak/>
              <w:t xml:space="preserve">Publication of the amendment to Insolvency Act 2009 to include the </w:t>
            </w:r>
            <w:r w:rsidRPr="00B9170A">
              <w:rPr>
                <w:i/>
                <w:sz w:val="20"/>
              </w:rPr>
              <w:t>Rules relating to the Performance and Conduct of Insolvency Practitioners</w:t>
            </w:r>
            <w:r w:rsidRPr="00B9170A">
              <w:rPr>
                <w:sz w:val="20"/>
              </w:rPr>
              <w:t xml:space="preserve"> in the national gazette.</w:t>
            </w:r>
          </w:p>
          <w:p w:rsidR="00120C87" w:rsidRDefault="00120C87" w:rsidP="00AF7614">
            <w:pPr>
              <w:rPr>
                <w:sz w:val="20"/>
              </w:rPr>
            </w:pPr>
          </w:p>
          <w:p w:rsidR="00120C87" w:rsidRDefault="00120C87" w:rsidP="00AF7614">
            <w:pPr>
              <w:rPr>
                <w:sz w:val="20"/>
              </w:rPr>
            </w:pPr>
          </w:p>
          <w:p w:rsidR="00120C87" w:rsidRDefault="00120C87" w:rsidP="00AF7614">
            <w:pPr>
              <w:overflowPunct/>
              <w:autoSpaceDE/>
              <w:autoSpaceDN/>
              <w:adjustRightInd/>
              <w:jc w:val="both"/>
              <w:textAlignment w:val="auto"/>
              <w:rPr>
                <w:sz w:val="20"/>
              </w:rPr>
            </w:pPr>
          </w:p>
          <w:p w:rsidR="00120C87" w:rsidRDefault="00120C87" w:rsidP="00AF7614">
            <w:pPr>
              <w:overflowPunct/>
              <w:autoSpaceDE/>
              <w:autoSpaceDN/>
              <w:adjustRightInd/>
              <w:jc w:val="both"/>
              <w:textAlignment w:val="auto"/>
              <w:rPr>
                <w:sz w:val="20"/>
              </w:rPr>
            </w:pPr>
          </w:p>
          <w:p w:rsidR="00120C87" w:rsidRPr="007302E3" w:rsidRDefault="00120C87" w:rsidP="00AF7614">
            <w:pPr>
              <w:overflowPunct/>
              <w:autoSpaceDE/>
              <w:autoSpaceDN/>
              <w:adjustRightInd/>
              <w:textAlignment w:val="auto"/>
              <w:rPr>
                <w:sz w:val="20"/>
              </w:rPr>
            </w:pPr>
            <w:r w:rsidRPr="007302E3">
              <w:rPr>
                <w:sz w:val="20"/>
              </w:rPr>
              <w:t xml:space="preserve">Publication of Regulations </w:t>
            </w:r>
            <w:r>
              <w:rPr>
                <w:sz w:val="20"/>
              </w:rPr>
              <w:t>related</w:t>
            </w:r>
            <w:r w:rsidRPr="007302E3">
              <w:rPr>
                <w:sz w:val="20"/>
              </w:rPr>
              <w:t xml:space="preserve"> to the registration and removal of insolvency practitioners</w:t>
            </w:r>
            <w:r>
              <w:rPr>
                <w:sz w:val="20"/>
              </w:rPr>
              <w:t xml:space="preserve"> </w:t>
            </w:r>
            <w:r w:rsidRPr="00B9170A">
              <w:rPr>
                <w:sz w:val="20"/>
              </w:rPr>
              <w:t>in the national gazette</w:t>
            </w:r>
            <w:r w:rsidRPr="007302E3">
              <w:rPr>
                <w:sz w:val="20"/>
              </w:rPr>
              <w:t>.</w:t>
            </w:r>
          </w:p>
          <w:p w:rsidR="00120C87" w:rsidRPr="00F171FA" w:rsidRDefault="00120C87" w:rsidP="00AF7614">
            <w:pPr>
              <w:rPr>
                <w:sz w:val="20"/>
              </w:rPr>
            </w:pPr>
          </w:p>
          <w:p w:rsidR="00120C87" w:rsidRDefault="00120C87" w:rsidP="00AF7614">
            <w:pPr>
              <w:rPr>
                <w:sz w:val="20"/>
              </w:rPr>
            </w:pPr>
          </w:p>
          <w:p w:rsidR="00120C87" w:rsidRPr="00AE057E" w:rsidRDefault="00120C87" w:rsidP="00AF7614">
            <w:pPr>
              <w:ind w:left="360"/>
              <w:rPr>
                <w:b/>
                <w:i/>
                <w:sz w:val="20"/>
              </w:rPr>
            </w:pPr>
          </w:p>
          <w:p w:rsidR="00120C87" w:rsidRDefault="00120C87" w:rsidP="00AF7614">
            <w:pPr>
              <w:rPr>
                <w:sz w:val="20"/>
              </w:rPr>
            </w:pPr>
          </w:p>
          <w:p w:rsidR="00120C87" w:rsidRPr="00AE057E" w:rsidRDefault="00120C87" w:rsidP="00AF7614">
            <w:pPr>
              <w:rPr>
                <w:sz w:val="20"/>
              </w:rPr>
            </w:pPr>
            <w:r w:rsidRPr="007302E3">
              <w:rPr>
                <w:sz w:val="20"/>
              </w:rPr>
              <w:t xml:space="preserve">Publication of the </w:t>
            </w:r>
            <w:r w:rsidRPr="007302E3">
              <w:rPr>
                <w:bCs/>
                <w:sz w:val="20"/>
              </w:rPr>
              <w:t xml:space="preserve">Out-Of-Court Workout Guidelines to promote safeguarding viable businesses on the insolvency website upon endorsement from  </w:t>
            </w:r>
            <w:proofErr w:type="spellStart"/>
            <w:r w:rsidRPr="007302E3">
              <w:rPr>
                <w:bCs/>
                <w:sz w:val="20"/>
              </w:rPr>
              <w:t>BoM</w:t>
            </w:r>
            <w:proofErr w:type="spellEnd"/>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p>
        </w:tc>
        <w:tc>
          <w:tcPr>
            <w:tcW w:w="1473" w:type="dxa"/>
            <w:gridSpan w:val="2"/>
          </w:tcPr>
          <w:p w:rsidR="00120C87" w:rsidRPr="00E6344A" w:rsidRDefault="00120C87" w:rsidP="00AF7614">
            <w:pPr>
              <w:rPr>
                <w:sz w:val="20"/>
                <w:lang w:val="en-GB"/>
              </w:rPr>
            </w:pPr>
            <w:r w:rsidRPr="00E6344A">
              <w:rPr>
                <w:sz w:val="20"/>
              </w:rPr>
              <w:lastRenderedPageBreak/>
              <w:t>Number of insolvency practitioners registered.</w:t>
            </w:r>
          </w:p>
          <w:p w:rsidR="00120C87" w:rsidRPr="00E6344A" w:rsidRDefault="00120C87" w:rsidP="00AF7614">
            <w:pPr>
              <w:rPr>
                <w:sz w:val="20"/>
                <w:lang w:val="en-GB"/>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AE057E" w:rsidRDefault="00120C87" w:rsidP="00AF7614">
            <w:pPr>
              <w:rPr>
                <w:sz w:val="20"/>
              </w:rPr>
            </w:pPr>
            <w:r w:rsidRPr="00AE057E">
              <w:rPr>
                <w:sz w:val="20"/>
              </w:rPr>
              <w:t>Number of banks that have used the OCW guidelines in order to achieve a restructuring plan.</w:t>
            </w:r>
          </w:p>
          <w:p w:rsidR="00120C87" w:rsidRPr="00E6344A" w:rsidRDefault="00120C87" w:rsidP="00AF7614">
            <w:pPr>
              <w:rPr>
                <w:sz w:val="20"/>
                <w:lang w:val="en-GB"/>
              </w:rPr>
            </w:pPr>
          </w:p>
        </w:tc>
        <w:tc>
          <w:tcPr>
            <w:tcW w:w="1353" w:type="dxa"/>
          </w:tcPr>
          <w:p w:rsidR="00120C87" w:rsidRPr="00E6344A" w:rsidRDefault="00120C87" w:rsidP="00AF7614">
            <w:pPr>
              <w:rPr>
                <w:sz w:val="20"/>
              </w:rPr>
            </w:pPr>
            <w:r>
              <w:rPr>
                <w:sz w:val="20"/>
              </w:rPr>
              <w:lastRenderedPageBreak/>
              <w:t>Zero</w:t>
            </w:r>
          </w:p>
          <w:p w:rsidR="00120C87" w:rsidRPr="00E6344A" w:rsidRDefault="00120C87" w:rsidP="00AF7614">
            <w:pPr>
              <w:rPr>
                <w:sz w:val="20"/>
              </w:rPr>
            </w:pPr>
          </w:p>
          <w:p w:rsidR="00120C87" w:rsidRPr="00E6344A"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sidRPr="00E6344A">
              <w:rPr>
                <w:sz w:val="20"/>
              </w:rPr>
              <w:t>0</w:t>
            </w:r>
          </w:p>
        </w:tc>
        <w:tc>
          <w:tcPr>
            <w:tcW w:w="1161" w:type="dxa"/>
            <w:gridSpan w:val="2"/>
          </w:tcPr>
          <w:p w:rsidR="00120C87" w:rsidRPr="00E6344A" w:rsidRDefault="00120C87" w:rsidP="00120C87">
            <w:pPr>
              <w:jc w:val="center"/>
              <w:rPr>
                <w:sz w:val="20"/>
              </w:rPr>
            </w:pPr>
            <w:r>
              <w:rPr>
                <w:sz w:val="20"/>
              </w:rPr>
              <w:lastRenderedPageBreak/>
              <w:t>50</w:t>
            </w: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Pr>
                <w:sz w:val="20"/>
              </w:rPr>
              <w:t>4</w:t>
            </w:r>
          </w:p>
        </w:tc>
        <w:tc>
          <w:tcPr>
            <w:tcW w:w="1482" w:type="dxa"/>
          </w:tcPr>
          <w:p w:rsidR="00120C87" w:rsidRPr="00E6344A" w:rsidRDefault="00120C87" w:rsidP="00AF7614">
            <w:pPr>
              <w:rPr>
                <w:sz w:val="20"/>
              </w:rPr>
            </w:pPr>
            <w:r w:rsidRPr="00E6344A">
              <w:rPr>
                <w:sz w:val="20"/>
              </w:rPr>
              <w:lastRenderedPageBreak/>
              <w:t>Registrar of Companies/ MoFED</w:t>
            </w:r>
          </w:p>
        </w:tc>
      </w:tr>
      <w:tr w:rsidR="00120C87" w:rsidRPr="00E6344A" w:rsidTr="00120C87">
        <w:trPr>
          <w:gridAfter w:val="1"/>
          <w:wAfter w:w="29" w:type="dxa"/>
          <w:trHeight w:val="4058"/>
        </w:trPr>
        <w:tc>
          <w:tcPr>
            <w:tcW w:w="1572" w:type="dxa"/>
          </w:tcPr>
          <w:p w:rsidR="00120C87" w:rsidRPr="00E6344A" w:rsidRDefault="00120C87" w:rsidP="00AF7614">
            <w:pPr>
              <w:rPr>
                <w:sz w:val="20"/>
              </w:rPr>
            </w:pPr>
            <w:r w:rsidRPr="00E6344A">
              <w:rPr>
                <w:sz w:val="20"/>
              </w:rPr>
              <w:lastRenderedPageBreak/>
              <w:t xml:space="preserve">Provision of </w:t>
            </w:r>
            <w:r w:rsidRPr="00E6344A">
              <w:rPr>
                <w:sz w:val="20"/>
                <w:lang w:bidi="en-US"/>
              </w:rPr>
              <w:t>suitable</w:t>
            </w:r>
            <w:r w:rsidRPr="00E6344A">
              <w:rPr>
                <w:sz w:val="20"/>
              </w:rPr>
              <w:t xml:space="preserve"> menu of financial products/services for SMEs through the restructuring of DBM into a sustainable MSME financial institution </w:t>
            </w:r>
          </w:p>
          <w:p w:rsidR="00120C87" w:rsidRPr="00E6344A" w:rsidRDefault="00120C87" w:rsidP="00AF7614">
            <w:pPr>
              <w:rPr>
                <w:sz w:val="20"/>
              </w:rPr>
            </w:pPr>
          </w:p>
        </w:tc>
        <w:tc>
          <w:tcPr>
            <w:tcW w:w="1504" w:type="dxa"/>
          </w:tcPr>
          <w:p w:rsidR="00120C87" w:rsidRPr="00E6344A" w:rsidRDefault="00120C87" w:rsidP="00AF7614">
            <w:pPr>
              <w:rPr>
                <w:sz w:val="20"/>
              </w:rPr>
            </w:pPr>
            <w:r w:rsidRPr="00E6344A">
              <w:rPr>
                <w:sz w:val="20"/>
              </w:rPr>
              <w:t>Cabinet Approval of a decision to transform DBM into a financially viable MSME Bank, licensed by the Central Bank, and with private sector involvement.</w:t>
            </w:r>
          </w:p>
        </w:tc>
        <w:tc>
          <w:tcPr>
            <w:tcW w:w="1932" w:type="dxa"/>
          </w:tcPr>
          <w:p w:rsidR="00120C87" w:rsidRPr="00E6344A" w:rsidRDefault="00120C87" w:rsidP="00AF7614">
            <w:pPr>
              <w:rPr>
                <w:sz w:val="20"/>
              </w:rPr>
            </w:pPr>
            <w:r w:rsidRPr="00E6344A">
              <w:rPr>
                <w:sz w:val="20"/>
              </w:rPr>
              <w:t xml:space="preserve">Adoption of a detailed transformation plan and implementation of selected actions. </w:t>
            </w:r>
          </w:p>
          <w:p w:rsidR="00120C87" w:rsidRPr="00E6344A" w:rsidRDefault="00120C87" w:rsidP="00AF7614">
            <w:pPr>
              <w:rPr>
                <w:sz w:val="20"/>
              </w:rPr>
            </w:pPr>
          </w:p>
        </w:tc>
        <w:tc>
          <w:tcPr>
            <w:tcW w:w="1713" w:type="dxa"/>
            <w:gridSpan w:val="2"/>
          </w:tcPr>
          <w:p w:rsidR="00120C87" w:rsidRPr="00B9170A" w:rsidRDefault="00120C87" w:rsidP="00AF7614">
            <w:pPr>
              <w:overflowPunct/>
              <w:autoSpaceDE/>
              <w:autoSpaceDN/>
              <w:adjustRightInd/>
              <w:spacing w:line="276" w:lineRule="auto"/>
              <w:jc w:val="both"/>
              <w:textAlignment w:val="auto"/>
              <w:rPr>
                <w:bCs/>
                <w:iCs/>
                <w:sz w:val="20"/>
              </w:rPr>
            </w:pPr>
            <w:r w:rsidRPr="00B9170A">
              <w:rPr>
                <w:bCs/>
                <w:iCs/>
                <w:sz w:val="20"/>
              </w:rPr>
              <w:t>DBM restructuring initiated by the appointment of a transaction advisor, endorsement by steering committee of an inception report and the issuance of letters of invitation to potential investors for the sale of DBM’s non-banking assets.</w:t>
            </w:r>
          </w:p>
          <w:p w:rsidR="00120C87" w:rsidRDefault="00120C87" w:rsidP="00AF7614">
            <w:pPr>
              <w:overflowPunct/>
              <w:autoSpaceDE/>
              <w:autoSpaceDN/>
              <w:adjustRightInd/>
              <w:jc w:val="both"/>
              <w:textAlignment w:val="auto"/>
              <w:rPr>
                <w:bCs/>
                <w:iCs/>
                <w:sz w:val="20"/>
              </w:rPr>
            </w:pPr>
          </w:p>
          <w:p w:rsidR="00120C87" w:rsidRPr="00E6344A" w:rsidRDefault="00120C87" w:rsidP="00AF7614">
            <w:pPr>
              <w:overflowPunct/>
              <w:autoSpaceDE/>
              <w:autoSpaceDN/>
              <w:adjustRightInd/>
              <w:jc w:val="both"/>
              <w:textAlignment w:val="auto"/>
              <w:rPr>
                <w:bCs/>
                <w:iCs/>
                <w:sz w:val="20"/>
              </w:rPr>
            </w:pPr>
          </w:p>
        </w:tc>
        <w:tc>
          <w:tcPr>
            <w:tcW w:w="1480" w:type="dxa"/>
            <w:gridSpan w:val="2"/>
          </w:tcPr>
          <w:p w:rsidR="00120C87" w:rsidRPr="00717237" w:rsidRDefault="00120C87" w:rsidP="00AF7614">
            <w:pPr>
              <w:rPr>
                <w:bCs/>
                <w:iCs/>
                <w:sz w:val="20"/>
              </w:rPr>
            </w:pPr>
            <w:r w:rsidRPr="00717237">
              <w:rPr>
                <w:bCs/>
                <w:iCs/>
                <w:sz w:val="20"/>
              </w:rPr>
              <w:t xml:space="preserve">DBM restructured by the sale of its non banking assets </w:t>
            </w:r>
          </w:p>
          <w:p w:rsidR="00120C87" w:rsidRPr="00717237" w:rsidRDefault="00120C87" w:rsidP="00AF7614">
            <w:pPr>
              <w:rPr>
                <w:bCs/>
                <w:iCs/>
                <w:sz w:val="20"/>
              </w:rPr>
            </w:pPr>
          </w:p>
          <w:p w:rsidR="00120C87" w:rsidRPr="00717237" w:rsidRDefault="00120C87" w:rsidP="00AF7614">
            <w:pPr>
              <w:rPr>
                <w:bCs/>
                <w:iCs/>
                <w:sz w:val="20"/>
              </w:rPr>
            </w:pPr>
          </w:p>
          <w:p w:rsidR="00120C87" w:rsidRPr="00717237" w:rsidRDefault="00120C87" w:rsidP="00AF7614">
            <w:pPr>
              <w:rPr>
                <w:bCs/>
                <w:iCs/>
                <w:sz w:val="20"/>
              </w:rPr>
            </w:pPr>
            <w:r w:rsidRPr="00717237">
              <w:rPr>
                <w:bCs/>
                <w:iCs/>
                <w:sz w:val="20"/>
              </w:rPr>
              <w:t>A new licensed commercial Bank with a focus on the MSME segment established</w:t>
            </w:r>
          </w:p>
        </w:tc>
        <w:tc>
          <w:tcPr>
            <w:tcW w:w="1378" w:type="dxa"/>
            <w:gridSpan w:val="2"/>
          </w:tcPr>
          <w:p w:rsidR="00120C87" w:rsidRPr="00E6344A" w:rsidRDefault="00120C87" w:rsidP="00AF7614">
            <w:pPr>
              <w:rPr>
                <w:sz w:val="20"/>
              </w:rPr>
            </w:pPr>
            <w:r>
              <w:rPr>
                <w:sz w:val="20"/>
              </w:rPr>
              <w:t>No</w:t>
            </w: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Default="00120C87" w:rsidP="00AF7614">
            <w:pPr>
              <w:rPr>
                <w:sz w:val="20"/>
              </w:rPr>
            </w:pPr>
          </w:p>
          <w:p w:rsidR="00120C87" w:rsidRPr="00E6344A" w:rsidRDefault="00120C87" w:rsidP="00AF7614">
            <w:pPr>
              <w:rPr>
                <w:sz w:val="20"/>
              </w:rPr>
            </w:pPr>
            <w:r>
              <w:rPr>
                <w:sz w:val="20"/>
              </w:rPr>
              <w:t>No</w:t>
            </w:r>
          </w:p>
          <w:p w:rsidR="00120C87" w:rsidRPr="00E6344A"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p>
        </w:tc>
        <w:tc>
          <w:tcPr>
            <w:tcW w:w="1161" w:type="dxa"/>
            <w:gridSpan w:val="2"/>
          </w:tcPr>
          <w:p w:rsidR="00120C87" w:rsidRDefault="00120C87" w:rsidP="00AF7614">
            <w:pPr>
              <w:rPr>
                <w:sz w:val="20"/>
              </w:rPr>
            </w:pPr>
            <w:r>
              <w:rPr>
                <w:sz w:val="20"/>
              </w:rPr>
              <w:t xml:space="preserve"> Yes</w:t>
            </w: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r>
              <w:rPr>
                <w:sz w:val="20"/>
              </w:rPr>
              <w:t>Yes</w:t>
            </w:r>
          </w:p>
          <w:p w:rsidR="00120C87" w:rsidRDefault="00120C87" w:rsidP="00AF7614">
            <w:pPr>
              <w:rPr>
                <w:sz w:val="20"/>
              </w:rPr>
            </w:pPr>
          </w:p>
        </w:tc>
        <w:tc>
          <w:tcPr>
            <w:tcW w:w="1482" w:type="dxa"/>
          </w:tcPr>
          <w:p w:rsidR="00120C87" w:rsidRPr="00E6344A" w:rsidRDefault="00120C87" w:rsidP="00AF7614">
            <w:pPr>
              <w:rPr>
                <w:sz w:val="20"/>
              </w:rPr>
            </w:pPr>
            <w:r w:rsidRPr="00E6344A">
              <w:rPr>
                <w:sz w:val="20"/>
              </w:rPr>
              <w:t>MoFED/DBM</w:t>
            </w:r>
          </w:p>
        </w:tc>
      </w:tr>
      <w:tr w:rsidR="00120C87" w:rsidRPr="00E6344A" w:rsidTr="00120C87">
        <w:trPr>
          <w:gridAfter w:val="1"/>
          <w:wAfter w:w="29" w:type="dxa"/>
        </w:trPr>
        <w:tc>
          <w:tcPr>
            <w:tcW w:w="1572" w:type="dxa"/>
          </w:tcPr>
          <w:p w:rsidR="00120C87" w:rsidRPr="00E6344A" w:rsidRDefault="00120C87" w:rsidP="00AF7614">
            <w:pPr>
              <w:rPr>
                <w:sz w:val="20"/>
              </w:rPr>
            </w:pPr>
            <w:r w:rsidRPr="00E6344A">
              <w:rPr>
                <w:sz w:val="20"/>
              </w:rPr>
              <w:t xml:space="preserve">Increase access to credit through reforming land titling procedures and secured transactions laws and registries </w:t>
            </w:r>
          </w:p>
          <w:p w:rsidR="00120C87" w:rsidRPr="00E6344A" w:rsidRDefault="00120C87" w:rsidP="00AF7614">
            <w:pPr>
              <w:rPr>
                <w:sz w:val="20"/>
              </w:rPr>
            </w:pPr>
          </w:p>
        </w:tc>
        <w:tc>
          <w:tcPr>
            <w:tcW w:w="1504" w:type="dxa"/>
          </w:tcPr>
          <w:p w:rsidR="00120C87" w:rsidRPr="00E6344A" w:rsidRDefault="00120C87" w:rsidP="00AF7614">
            <w:pPr>
              <w:rPr>
                <w:bCs/>
                <w:sz w:val="20"/>
              </w:rPr>
            </w:pPr>
            <w:r w:rsidRPr="00E6344A">
              <w:rPr>
                <w:bCs/>
                <w:sz w:val="20"/>
              </w:rPr>
              <w:t>The Transcription and Mortgage Act is amended in order to prescribe a time limit consistent with business standards to register property</w:t>
            </w:r>
          </w:p>
        </w:tc>
        <w:tc>
          <w:tcPr>
            <w:tcW w:w="1932" w:type="dxa"/>
          </w:tcPr>
          <w:p w:rsidR="00120C87" w:rsidRPr="00E6344A" w:rsidRDefault="00120C87" w:rsidP="00AF7614">
            <w:pPr>
              <w:rPr>
                <w:sz w:val="20"/>
              </w:rPr>
            </w:pPr>
            <w:r w:rsidRPr="00E6344A">
              <w:rPr>
                <w:sz w:val="20"/>
              </w:rPr>
              <w:t>Cabinet approval of legislative amendments to Civil Code and other laws to allow the setting of a modern movable collateral registry.</w:t>
            </w:r>
          </w:p>
        </w:tc>
        <w:tc>
          <w:tcPr>
            <w:tcW w:w="1713" w:type="dxa"/>
            <w:gridSpan w:val="2"/>
          </w:tcPr>
          <w:p w:rsidR="00120C87" w:rsidRPr="00C7670D" w:rsidRDefault="00120C87" w:rsidP="00120C87">
            <w:pPr>
              <w:rPr>
                <w:sz w:val="20"/>
              </w:rPr>
            </w:pPr>
            <w:r w:rsidRPr="00C7670D">
              <w:rPr>
                <w:sz w:val="20"/>
              </w:rPr>
              <w:t xml:space="preserve">Government </w:t>
            </w:r>
            <w:r>
              <w:rPr>
                <w:sz w:val="20"/>
              </w:rPr>
              <w:t>decision</w:t>
            </w:r>
            <w:r w:rsidRPr="00C7670D">
              <w:rPr>
                <w:sz w:val="20"/>
              </w:rPr>
              <w:t xml:space="preserve"> to further facilitate the use of movable and intangible assets as collateral and the </w:t>
            </w:r>
            <w:r w:rsidRPr="00C7670D">
              <w:rPr>
                <w:bCs/>
                <w:sz w:val="20"/>
              </w:rPr>
              <w:t>establishment of a modern movable collateral registry</w:t>
            </w:r>
            <w:r>
              <w:rPr>
                <w:bCs/>
                <w:sz w:val="20"/>
              </w:rPr>
              <w:t>.</w:t>
            </w:r>
            <w:r w:rsidRPr="00C7670D">
              <w:rPr>
                <w:sz w:val="20"/>
              </w:rPr>
              <w:t xml:space="preserve">  </w:t>
            </w:r>
          </w:p>
        </w:tc>
        <w:tc>
          <w:tcPr>
            <w:tcW w:w="1480" w:type="dxa"/>
            <w:gridSpan w:val="2"/>
          </w:tcPr>
          <w:p w:rsidR="00120C87" w:rsidRDefault="00120C87" w:rsidP="00AF7614">
            <w:pPr>
              <w:rPr>
                <w:sz w:val="20"/>
              </w:rPr>
            </w:pPr>
            <w:r w:rsidRPr="00717237">
              <w:rPr>
                <w:sz w:val="20"/>
              </w:rPr>
              <w:t>Reduction in time taken to register property.</w:t>
            </w: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717237" w:rsidRDefault="00120C87" w:rsidP="00AF7614">
            <w:pPr>
              <w:rPr>
                <w:sz w:val="20"/>
              </w:rPr>
            </w:pPr>
            <w:r w:rsidRPr="00120C87">
              <w:rPr>
                <w:bCs/>
                <w:sz w:val="20"/>
              </w:rPr>
              <w:t xml:space="preserve">Completion of the necessary legislative amendments for the </w:t>
            </w:r>
            <w:r w:rsidRPr="00120C87">
              <w:rPr>
                <w:bCs/>
                <w:sz w:val="20"/>
              </w:rPr>
              <w:lastRenderedPageBreak/>
              <w:t>facilitation of secured lending transactions</w:t>
            </w:r>
          </w:p>
        </w:tc>
        <w:tc>
          <w:tcPr>
            <w:tcW w:w="1378" w:type="dxa"/>
            <w:gridSpan w:val="2"/>
          </w:tcPr>
          <w:p w:rsidR="00120C87" w:rsidRDefault="00120C87" w:rsidP="00AF7614">
            <w:pPr>
              <w:rPr>
                <w:sz w:val="20"/>
              </w:rPr>
            </w:pPr>
            <w:r w:rsidRPr="00E6344A">
              <w:rPr>
                <w:sz w:val="20"/>
              </w:rPr>
              <w:lastRenderedPageBreak/>
              <w:t>15 days</w:t>
            </w: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Pr>
                <w:sz w:val="20"/>
              </w:rPr>
              <w:t>No</w:t>
            </w:r>
          </w:p>
        </w:tc>
        <w:tc>
          <w:tcPr>
            <w:tcW w:w="1161" w:type="dxa"/>
            <w:gridSpan w:val="2"/>
          </w:tcPr>
          <w:p w:rsidR="00120C87" w:rsidRDefault="00120C87" w:rsidP="00AF7614">
            <w:pPr>
              <w:rPr>
                <w:sz w:val="20"/>
              </w:rPr>
            </w:pPr>
            <w:r w:rsidRPr="00E6344A">
              <w:rPr>
                <w:sz w:val="20"/>
              </w:rPr>
              <w:t xml:space="preserve">2 </w:t>
            </w:r>
            <w:r>
              <w:rPr>
                <w:sz w:val="20"/>
              </w:rPr>
              <w:t>days</w:t>
            </w: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Pr>
                <w:sz w:val="20"/>
              </w:rPr>
              <w:t>Yes</w:t>
            </w:r>
          </w:p>
        </w:tc>
        <w:tc>
          <w:tcPr>
            <w:tcW w:w="1482" w:type="dxa"/>
          </w:tcPr>
          <w:p w:rsidR="00120C87" w:rsidRPr="00E6344A" w:rsidRDefault="00120C87" w:rsidP="00AF7614">
            <w:pPr>
              <w:rPr>
                <w:sz w:val="20"/>
              </w:rPr>
            </w:pPr>
            <w:r w:rsidRPr="00E6344A">
              <w:rPr>
                <w:sz w:val="20"/>
              </w:rPr>
              <w:t>Registrar</w:t>
            </w:r>
          </w:p>
          <w:p w:rsidR="00120C87" w:rsidRDefault="00120C87" w:rsidP="00120C87">
            <w:pPr>
              <w:rPr>
                <w:sz w:val="20"/>
              </w:rPr>
            </w:pPr>
            <w:r w:rsidRPr="00E6344A">
              <w:rPr>
                <w:sz w:val="20"/>
              </w:rPr>
              <w:t xml:space="preserve">General </w:t>
            </w:r>
          </w:p>
          <w:p w:rsidR="00120C87" w:rsidRDefault="00120C87" w:rsidP="00120C87">
            <w:pPr>
              <w:rPr>
                <w:sz w:val="20"/>
              </w:rPr>
            </w:pPr>
          </w:p>
          <w:p w:rsidR="00120C87" w:rsidRDefault="00120C87" w:rsidP="00120C87">
            <w:pPr>
              <w:rPr>
                <w:sz w:val="20"/>
              </w:rPr>
            </w:pPr>
          </w:p>
          <w:p w:rsidR="00120C87" w:rsidRDefault="00120C87" w:rsidP="00120C87">
            <w:pPr>
              <w:rPr>
                <w:sz w:val="20"/>
              </w:rPr>
            </w:pPr>
          </w:p>
          <w:p w:rsidR="00120C87" w:rsidRDefault="00120C87" w:rsidP="00120C87">
            <w:pPr>
              <w:rPr>
                <w:sz w:val="20"/>
              </w:rPr>
            </w:pPr>
          </w:p>
          <w:p w:rsidR="00120C87" w:rsidRDefault="00120C87" w:rsidP="00120C87">
            <w:pPr>
              <w:rPr>
                <w:sz w:val="20"/>
              </w:rPr>
            </w:pPr>
          </w:p>
          <w:p w:rsidR="00120C87" w:rsidRPr="00E6344A" w:rsidRDefault="00120C87" w:rsidP="00120C87">
            <w:pPr>
              <w:rPr>
                <w:sz w:val="20"/>
              </w:rPr>
            </w:pPr>
            <w:r>
              <w:rPr>
                <w:sz w:val="20"/>
              </w:rPr>
              <w:t>MoFED</w:t>
            </w:r>
          </w:p>
        </w:tc>
      </w:tr>
      <w:tr w:rsidR="00120C87" w:rsidRPr="00E6344A" w:rsidTr="00120C87">
        <w:trPr>
          <w:gridAfter w:val="1"/>
          <w:wAfter w:w="29" w:type="dxa"/>
        </w:trPr>
        <w:tc>
          <w:tcPr>
            <w:tcW w:w="1572" w:type="dxa"/>
          </w:tcPr>
          <w:p w:rsidR="00120C87" w:rsidRPr="00E6344A" w:rsidRDefault="00120C87" w:rsidP="00AF7614">
            <w:pPr>
              <w:rPr>
                <w:sz w:val="20"/>
              </w:rPr>
            </w:pPr>
            <w:r w:rsidRPr="00E6344A">
              <w:rPr>
                <w:sz w:val="20"/>
              </w:rPr>
              <w:lastRenderedPageBreak/>
              <w:t>Facilitate enhanced access to finance by reducing the risks associated with limited information on potential borrowers</w:t>
            </w:r>
          </w:p>
        </w:tc>
        <w:tc>
          <w:tcPr>
            <w:tcW w:w="1504" w:type="dxa"/>
          </w:tcPr>
          <w:p w:rsidR="00120C87" w:rsidRPr="00E6344A" w:rsidRDefault="00120C87" w:rsidP="00AF7614">
            <w:pPr>
              <w:rPr>
                <w:sz w:val="20"/>
              </w:rPr>
            </w:pPr>
            <w:r w:rsidRPr="00E6344A">
              <w:rPr>
                <w:bCs/>
                <w:sz w:val="20"/>
              </w:rPr>
              <w:t>The coverage of the credit information bureau is expanded to include all non banking financial institution</w:t>
            </w:r>
          </w:p>
        </w:tc>
        <w:tc>
          <w:tcPr>
            <w:tcW w:w="1932" w:type="dxa"/>
          </w:tcPr>
          <w:p w:rsidR="00120C87" w:rsidRPr="00E6344A" w:rsidRDefault="00120C87" w:rsidP="00AF7614">
            <w:pPr>
              <w:rPr>
                <w:bCs/>
                <w:sz w:val="20"/>
              </w:rPr>
            </w:pPr>
            <w:r w:rsidRPr="00E6344A">
              <w:rPr>
                <w:sz w:val="20"/>
              </w:rPr>
              <w:t>The Bank of Mauritius to e</w:t>
            </w:r>
            <w:r w:rsidRPr="00E6344A">
              <w:rPr>
                <w:bCs/>
                <w:sz w:val="20"/>
              </w:rPr>
              <w:t>stablish and publish eligibility criteria and licensing guidelines for the setting up of private credit information</w:t>
            </w:r>
          </w:p>
          <w:p w:rsidR="00120C87" w:rsidRPr="00E6344A" w:rsidRDefault="00120C87" w:rsidP="00AF7614">
            <w:pPr>
              <w:rPr>
                <w:sz w:val="20"/>
              </w:rPr>
            </w:pPr>
            <w:r w:rsidRPr="00E6344A">
              <w:rPr>
                <w:sz w:val="20"/>
              </w:rPr>
              <w:t xml:space="preserve">Regulation from Ministry of Public Utilities to enforce the accuracy of the name on utility bill to match the name of the actual user  </w:t>
            </w:r>
          </w:p>
        </w:tc>
        <w:tc>
          <w:tcPr>
            <w:tcW w:w="1713" w:type="dxa"/>
            <w:gridSpan w:val="2"/>
          </w:tcPr>
          <w:p w:rsidR="00120C87" w:rsidRPr="00C7670D" w:rsidRDefault="00120C87" w:rsidP="00AF7614">
            <w:pPr>
              <w:jc w:val="both"/>
              <w:rPr>
                <w:bCs/>
                <w:iCs/>
                <w:sz w:val="20"/>
              </w:rPr>
            </w:pPr>
            <w:r w:rsidRPr="00C7670D">
              <w:rPr>
                <w:bCs/>
                <w:iCs/>
                <w:sz w:val="20"/>
              </w:rPr>
              <w:t>The Bank of Mauritius to amend the Bank of Mauritius Act in order to define ‘Utility Body</w:t>
            </w:r>
            <w:r w:rsidRPr="00C7670D">
              <w:rPr>
                <w:bCs/>
                <w:iCs/>
                <w:sz w:val="20"/>
                <w:vertAlign w:val="superscript"/>
              </w:rPr>
              <w:footnoteReference w:id="5"/>
            </w:r>
            <w:r w:rsidRPr="00C7670D">
              <w:rPr>
                <w:bCs/>
                <w:iCs/>
                <w:sz w:val="20"/>
              </w:rPr>
              <w:t>’ to further increase coverage of the Credit Information Bureau.</w:t>
            </w:r>
          </w:p>
        </w:tc>
        <w:tc>
          <w:tcPr>
            <w:tcW w:w="1480" w:type="dxa"/>
            <w:gridSpan w:val="2"/>
          </w:tcPr>
          <w:p w:rsidR="00120C87" w:rsidRPr="00D8633F" w:rsidRDefault="00120C87" w:rsidP="00AF7614">
            <w:pPr>
              <w:rPr>
                <w:sz w:val="20"/>
              </w:rPr>
            </w:pPr>
            <w:r w:rsidRPr="00D8633F">
              <w:rPr>
                <w:sz w:val="20"/>
              </w:rPr>
              <w:t>Increase in coverage of the Credit Information bureau</w:t>
            </w:r>
          </w:p>
        </w:tc>
        <w:tc>
          <w:tcPr>
            <w:tcW w:w="1378" w:type="dxa"/>
            <w:gridSpan w:val="2"/>
          </w:tcPr>
          <w:p w:rsidR="00120C87" w:rsidRPr="00E6344A" w:rsidRDefault="00120C87" w:rsidP="00AF7614">
            <w:pPr>
              <w:rPr>
                <w:sz w:val="20"/>
              </w:rPr>
            </w:pPr>
            <w:r w:rsidRPr="00E6344A">
              <w:rPr>
                <w:sz w:val="20"/>
              </w:rPr>
              <w:t>50%</w:t>
            </w:r>
          </w:p>
        </w:tc>
        <w:tc>
          <w:tcPr>
            <w:tcW w:w="1161" w:type="dxa"/>
            <w:gridSpan w:val="2"/>
          </w:tcPr>
          <w:p w:rsidR="00120C87" w:rsidRPr="00E6344A" w:rsidRDefault="00120C87" w:rsidP="00AF7614">
            <w:pPr>
              <w:rPr>
                <w:sz w:val="20"/>
              </w:rPr>
            </w:pPr>
            <w:r>
              <w:rPr>
                <w:sz w:val="20"/>
              </w:rPr>
              <w:t>70</w:t>
            </w:r>
            <w:r w:rsidRPr="00E6344A">
              <w:rPr>
                <w:sz w:val="20"/>
              </w:rPr>
              <w:t>%</w:t>
            </w:r>
          </w:p>
        </w:tc>
        <w:tc>
          <w:tcPr>
            <w:tcW w:w="1482" w:type="dxa"/>
          </w:tcPr>
          <w:p w:rsidR="00120C87" w:rsidRPr="00E6344A" w:rsidRDefault="00120C87" w:rsidP="00AF7614">
            <w:pPr>
              <w:rPr>
                <w:sz w:val="20"/>
              </w:rPr>
            </w:pPr>
            <w:r w:rsidRPr="00E6344A">
              <w:rPr>
                <w:sz w:val="20"/>
              </w:rPr>
              <w:t xml:space="preserve">Bank of Mauritius/ MoFED </w:t>
            </w:r>
          </w:p>
        </w:tc>
      </w:tr>
      <w:tr w:rsidR="00120C87" w:rsidRPr="00E6344A" w:rsidTr="00120C87">
        <w:trPr>
          <w:gridAfter w:val="1"/>
          <w:wAfter w:w="29" w:type="dxa"/>
        </w:trPr>
        <w:tc>
          <w:tcPr>
            <w:tcW w:w="1572" w:type="dxa"/>
          </w:tcPr>
          <w:p w:rsidR="00120C87" w:rsidRPr="00E7031B" w:rsidRDefault="00120C87" w:rsidP="00AF7614">
            <w:pPr>
              <w:rPr>
                <w:bCs/>
                <w:sz w:val="20"/>
              </w:rPr>
            </w:pPr>
            <w:r w:rsidRPr="00E6344A">
              <w:rPr>
                <w:bCs/>
                <w:sz w:val="20"/>
              </w:rPr>
              <w:t xml:space="preserve">Promote investments in affordable and ubiquitous broadband networks by signaling the Government’s long-term policy intentions clearly, credibly </w:t>
            </w:r>
            <w:r w:rsidRPr="00E6344A">
              <w:rPr>
                <w:bCs/>
                <w:sz w:val="20"/>
              </w:rPr>
              <w:lastRenderedPageBreak/>
              <w:t>and convincingly.</w:t>
            </w:r>
          </w:p>
        </w:tc>
        <w:tc>
          <w:tcPr>
            <w:tcW w:w="1504" w:type="dxa"/>
          </w:tcPr>
          <w:p w:rsidR="00120C87" w:rsidRPr="00E6344A" w:rsidRDefault="00120C87" w:rsidP="00AF7614">
            <w:pPr>
              <w:rPr>
                <w:sz w:val="20"/>
              </w:rPr>
            </w:pPr>
            <w:r w:rsidRPr="00E6344A">
              <w:rPr>
                <w:bCs/>
                <w:sz w:val="20"/>
              </w:rPr>
              <w:lastRenderedPageBreak/>
              <w:t>Cabinet approval of National Broadband Policy.</w:t>
            </w:r>
          </w:p>
        </w:tc>
        <w:tc>
          <w:tcPr>
            <w:tcW w:w="1932" w:type="dxa"/>
          </w:tcPr>
          <w:p w:rsidR="00120C87" w:rsidRPr="00E6344A" w:rsidRDefault="00120C87" w:rsidP="00AF7614">
            <w:pPr>
              <w:rPr>
                <w:sz w:val="20"/>
              </w:rPr>
            </w:pPr>
            <w:r w:rsidRPr="00E6344A">
              <w:rPr>
                <w:bCs/>
                <w:sz w:val="20"/>
              </w:rPr>
              <w:t xml:space="preserve">Establish protocols to strengthen the independence of ICTA </w:t>
            </w:r>
          </w:p>
        </w:tc>
        <w:tc>
          <w:tcPr>
            <w:tcW w:w="1713" w:type="dxa"/>
            <w:gridSpan w:val="2"/>
          </w:tcPr>
          <w:p w:rsidR="00120C87" w:rsidRPr="00E6344A" w:rsidRDefault="00120C87" w:rsidP="00120C87">
            <w:pPr>
              <w:rPr>
                <w:bCs/>
                <w:sz w:val="20"/>
              </w:rPr>
            </w:pPr>
            <w:r w:rsidRPr="00C7670D">
              <w:rPr>
                <w:bCs/>
                <w:sz w:val="20"/>
                <w:lang w:val="en-GB"/>
              </w:rPr>
              <w:t>Draft legal changes to pertinent sections of the ICT Act 2001 related to licensing adopted by the ICTA Board</w:t>
            </w:r>
            <w:r>
              <w:rPr>
                <w:bCs/>
                <w:sz w:val="20"/>
                <w:lang w:val="en-GB"/>
              </w:rPr>
              <w:t>.</w:t>
            </w:r>
          </w:p>
        </w:tc>
        <w:tc>
          <w:tcPr>
            <w:tcW w:w="1505" w:type="dxa"/>
            <w:gridSpan w:val="3"/>
          </w:tcPr>
          <w:p w:rsidR="00120C87" w:rsidRPr="00D8633F" w:rsidRDefault="00120C87" w:rsidP="00AF7614">
            <w:pPr>
              <w:rPr>
                <w:sz w:val="20"/>
              </w:rPr>
            </w:pPr>
            <w:r w:rsidRPr="00D8633F">
              <w:rPr>
                <w:bCs/>
                <w:sz w:val="20"/>
              </w:rPr>
              <w:t xml:space="preserve">Increase in number of broadband subscriptions with actual speeds of at least 10 </w:t>
            </w:r>
            <w:proofErr w:type="spellStart"/>
            <w:r w:rsidRPr="00D8633F">
              <w:rPr>
                <w:bCs/>
                <w:sz w:val="20"/>
              </w:rPr>
              <w:t>Mbit</w:t>
            </w:r>
            <w:proofErr w:type="spellEnd"/>
            <w:r w:rsidRPr="00D8633F">
              <w:rPr>
                <w:bCs/>
                <w:sz w:val="20"/>
              </w:rPr>
              <w:t>/s</w:t>
            </w:r>
          </w:p>
        </w:tc>
        <w:tc>
          <w:tcPr>
            <w:tcW w:w="1353" w:type="dxa"/>
          </w:tcPr>
          <w:p w:rsidR="00120C87" w:rsidRPr="00E6344A" w:rsidRDefault="00120C87" w:rsidP="00AF7614">
            <w:pPr>
              <w:rPr>
                <w:sz w:val="20"/>
              </w:rPr>
            </w:pPr>
          </w:p>
          <w:p w:rsidR="00120C87" w:rsidRPr="00E6344A" w:rsidRDefault="00120C87" w:rsidP="00AF7614">
            <w:pPr>
              <w:rPr>
                <w:sz w:val="20"/>
              </w:rPr>
            </w:pPr>
            <w:r>
              <w:rPr>
                <w:sz w:val="20"/>
              </w:rPr>
              <w:t>300,200</w:t>
            </w:r>
            <w:r>
              <w:rPr>
                <w:rStyle w:val="FootnoteReference"/>
                <w:sz w:val="20"/>
              </w:rPr>
              <w:footnoteReference w:id="6"/>
            </w:r>
          </w:p>
          <w:p w:rsidR="00120C87" w:rsidRPr="00E6344A" w:rsidRDefault="00120C87" w:rsidP="00AF7614">
            <w:pPr>
              <w:rPr>
                <w:sz w:val="20"/>
              </w:rPr>
            </w:pPr>
          </w:p>
        </w:tc>
        <w:tc>
          <w:tcPr>
            <w:tcW w:w="1161" w:type="dxa"/>
            <w:gridSpan w:val="2"/>
          </w:tcPr>
          <w:p w:rsidR="00120C87" w:rsidRPr="00E6344A" w:rsidRDefault="00120C87" w:rsidP="00AF7614">
            <w:pPr>
              <w:rPr>
                <w:sz w:val="20"/>
              </w:rPr>
            </w:pPr>
          </w:p>
          <w:p w:rsidR="00120C87" w:rsidRPr="00E6344A" w:rsidRDefault="00120C87" w:rsidP="00AF7614">
            <w:pPr>
              <w:rPr>
                <w:sz w:val="20"/>
              </w:rPr>
            </w:pPr>
            <w:r>
              <w:rPr>
                <w:sz w:val="20"/>
              </w:rPr>
              <w:t>15% increase</w:t>
            </w:r>
          </w:p>
          <w:p w:rsidR="00120C87" w:rsidRPr="00E6344A" w:rsidRDefault="00120C87" w:rsidP="00AF7614">
            <w:pPr>
              <w:rPr>
                <w:sz w:val="20"/>
              </w:rPr>
            </w:pPr>
          </w:p>
        </w:tc>
        <w:tc>
          <w:tcPr>
            <w:tcW w:w="1482" w:type="dxa"/>
          </w:tcPr>
          <w:p w:rsidR="00120C87" w:rsidRPr="00E6344A" w:rsidRDefault="00120C87" w:rsidP="00AF7614">
            <w:pPr>
              <w:rPr>
                <w:sz w:val="20"/>
              </w:rPr>
            </w:pPr>
          </w:p>
          <w:p w:rsidR="00120C87" w:rsidRPr="00E6344A" w:rsidRDefault="00120C87" w:rsidP="00AF7614">
            <w:pPr>
              <w:rPr>
                <w:sz w:val="20"/>
              </w:rPr>
            </w:pPr>
          </w:p>
          <w:p w:rsidR="00120C87" w:rsidRPr="00E6344A" w:rsidRDefault="00120C87" w:rsidP="00AF7614">
            <w:pPr>
              <w:rPr>
                <w:sz w:val="20"/>
              </w:rPr>
            </w:pPr>
            <w:r w:rsidRPr="00E6344A">
              <w:rPr>
                <w:sz w:val="20"/>
              </w:rPr>
              <w:t>ICTA</w:t>
            </w:r>
          </w:p>
        </w:tc>
      </w:tr>
      <w:tr w:rsidR="00120C87" w:rsidRPr="00E6344A" w:rsidTr="00120C87">
        <w:trPr>
          <w:gridAfter w:val="1"/>
          <w:wAfter w:w="29" w:type="dxa"/>
        </w:trPr>
        <w:tc>
          <w:tcPr>
            <w:tcW w:w="1572" w:type="dxa"/>
          </w:tcPr>
          <w:p w:rsidR="00120C87" w:rsidRPr="00E6344A" w:rsidRDefault="00120C87" w:rsidP="00AF7614">
            <w:pPr>
              <w:rPr>
                <w:sz w:val="20"/>
              </w:rPr>
            </w:pPr>
            <w:r w:rsidRPr="00E6344A">
              <w:rPr>
                <w:bCs/>
                <w:sz w:val="20"/>
              </w:rPr>
              <w:lastRenderedPageBreak/>
              <w:t>To reform regulation so that is applied in only markets where necessary and allows competition where possible.</w:t>
            </w:r>
          </w:p>
        </w:tc>
        <w:tc>
          <w:tcPr>
            <w:tcW w:w="1504" w:type="dxa"/>
          </w:tcPr>
          <w:p w:rsidR="00120C87" w:rsidRPr="00E6344A" w:rsidRDefault="00120C87" w:rsidP="00AF7614">
            <w:pPr>
              <w:rPr>
                <w:sz w:val="20"/>
              </w:rPr>
            </w:pPr>
            <w:r w:rsidRPr="00E6344A">
              <w:rPr>
                <w:bCs/>
                <w:sz w:val="20"/>
              </w:rPr>
              <w:t xml:space="preserve"> Cabinet approval to amend ICT Act to introduce a definition of Significant market Power (SMP) and equip the ICT Authority with the appropriate tools to regulate markets in which there is evidence of SMP.</w:t>
            </w:r>
          </w:p>
        </w:tc>
        <w:tc>
          <w:tcPr>
            <w:tcW w:w="1932" w:type="dxa"/>
          </w:tcPr>
          <w:p w:rsidR="00120C87" w:rsidRPr="00E6344A" w:rsidRDefault="00120C87" w:rsidP="00AF7614">
            <w:pPr>
              <w:rPr>
                <w:sz w:val="20"/>
              </w:rPr>
            </w:pPr>
            <w:r w:rsidRPr="00E6344A">
              <w:rPr>
                <w:sz w:val="20"/>
              </w:rPr>
              <w:t>Setting up of system to collect market-level data to be able to assess the existence of significant market power in 5 markets in Mauritius.</w:t>
            </w:r>
          </w:p>
        </w:tc>
        <w:tc>
          <w:tcPr>
            <w:tcW w:w="1713" w:type="dxa"/>
            <w:gridSpan w:val="2"/>
          </w:tcPr>
          <w:p w:rsidR="00120C87" w:rsidRPr="00E6344A" w:rsidRDefault="00120C87" w:rsidP="00AF7614">
            <w:pPr>
              <w:rPr>
                <w:sz w:val="20"/>
              </w:rPr>
            </w:pPr>
            <w:r w:rsidRPr="008D5D05">
              <w:rPr>
                <w:bCs/>
                <w:sz w:val="20"/>
              </w:rPr>
              <w:t>Publication of guidelines for tariff setting on ICTA website.</w:t>
            </w:r>
          </w:p>
        </w:tc>
        <w:tc>
          <w:tcPr>
            <w:tcW w:w="1505" w:type="dxa"/>
            <w:gridSpan w:val="3"/>
          </w:tcPr>
          <w:p w:rsidR="00120C87" w:rsidRPr="00E6344A" w:rsidRDefault="00120C87" w:rsidP="00AF7614">
            <w:pPr>
              <w:rPr>
                <w:sz w:val="20"/>
              </w:rPr>
            </w:pPr>
            <w:r>
              <w:rPr>
                <w:sz w:val="20"/>
              </w:rPr>
              <w:t>Decrease in the price per 1Mbit/s per month of broadband service fixed and mobile</w:t>
            </w:r>
          </w:p>
        </w:tc>
        <w:tc>
          <w:tcPr>
            <w:tcW w:w="1353" w:type="dxa"/>
          </w:tcPr>
          <w:p w:rsidR="00120C87" w:rsidRPr="00E6344A" w:rsidRDefault="00120C87" w:rsidP="00AF7614">
            <w:pPr>
              <w:rPr>
                <w:sz w:val="20"/>
              </w:rPr>
            </w:pPr>
          </w:p>
          <w:p w:rsidR="00120C87" w:rsidRDefault="00120C87" w:rsidP="00AF7614">
            <w:pPr>
              <w:rPr>
                <w:sz w:val="20"/>
              </w:rPr>
            </w:pPr>
            <w:r>
              <w:rPr>
                <w:sz w:val="20"/>
              </w:rPr>
              <w:t>Fixed: $27.83</w:t>
            </w:r>
          </w:p>
          <w:p w:rsidR="00120C87" w:rsidRDefault="00120C87" w:rsidP="00AF7614">
            <w:pPr>
              <w:rPr>
                <w:sz w:val="20"/>
              </w:rPr>
            </w:pPr>
          </w:p>
          <w:p w:rsidR="00120C87" w:rsidRDefault="00120C87" w:rsidP="00AF7614">
            <w:pPr>
              <w:rPr>
                <w:sz w:val="20"/>
              </w:rPr>
            </w:pPr>
          </w:p>
          <w:p w:rsidR="00120C87" w:rsidRPr="00E6344A" w:rsidRDefault="00120C87" w:rsidP="00AF7614">
            <w:pPr>
              <w:rPr>
                <w:sz w:val="20"/>
              </w:rPr>
            </w:pPr>
            <w:r>
              <w:rPr>
                <w:sz w:val="20"/>
              </w:rPr>
              <w:t>Mobile: $17.38</w:t>
            </w:r>
          </w:p>
        </w:tc>
        <w:tc>
          <w:tcPr>
            <w:tcW w:w="1161" w:type="dxa"/>
            <w:gridSpan w:val="2"/>
          </w:tcPr>
          <w:p w:rsidR="00120C87" w:rsidRPr="00E6344A" w:rsidRDefault="00120C87" w:rsidP="00AF7614">
            <w:pPr>
              <w:rPr>
                <w:sz w:val="20"/>
              </w:rPr>
            </w:pPr>
          </w:p>
          <w:p w:rsidR="00120C87" w:rsidRPr="00E6344A" w:rsidRDefault="00120C87" w:rsidP="00AF7614">
            <w:pPr>
              <w:rPr>
                <w:sz w:val="20"/>
              </w:rPr>
            </w:pPr>
            <w:r>
              <w:rPr>
                <w:sz w:val="20"/>
              </w:rPr>
              <w:t>10</w:t>
            </w:r>
            <w:r w:rsidRPr="00E6344A">
              <w:rPr>
                <w:sz w:val="20"/>
              </w:rPr>
              <w:t xml:space="preserve"> percent decrease</w:t>
            </w:r>
          </w:p>
        </w:tc>
        <w:tc>
          <w:tcPr>
            <w:tcW w:w="1482" w:type="dxa"/>
          </w:tcPr>
          <w:p w:rsidR="00120C87" w:rsidRPr="00E6344A" w:rsidRDefault="00120C87" w:rsidP="00AF7614">
            <w:pPr>
              <w:rPr>
                <w:sz w:val="20"/>
              </w:rPr>
            </w:pPr>
            <w:r w:rsidRPr="00E6344A">
              <w:rPr>
                <w:sz w:val="20"/>
              </w:rPr>
              <w:t>ICTA</w:t>
            </w:r>
          </w:p>
        </w:tc>
      </w:tr>
      <w:tr w:rsidR="00120C87" w:rsidRPr="00E6344A" w:rsidTr="00120C87">
        <w:trPr>
          <w:gridAfter w:val="1"/>
          <w:wAfter w:w="29" w:type="dxa"/>
        </w:trPr>
        <w:tc>
          <w:tcPr>
            <w:tcW w:w="1572" w:type="dxa"/>
          </w:tcPr>
          <w:p w:rsidR="00120C87" w:rsidRPr="00E6344A" w:rsidRDefault="00120C87" w:rsidP="00AF7614">
            <w:pPr>
              <w:rPr>
                <w:sz w:val="20"/>
              </w:rPr>
            </w:pPr>
            <w:r w:rsidRPr="00E6344A">
              <w:rPr>
                <w:bCs/>
                <w:sz w:val="20"/>
              </w:rPr>
              <w:t>To promote widespread adoption and use of public key infrastructure (PKI) so that secured electronic transactions can take place.</w:t>
            </w:r>
          </w:p>
        </w:tc>
        <w:tc>
          <w:tcPr>
            <w:tcW w:w="1504" w:type="dxa"/>
          </w:tcPr>
          <w:p w:rsidR="00120C87" w:rsidRPr="00E6344A" w:rsidRDefault="00120C87" w:rsidP="00AF7614">
            <w:pPr>
              <w:rPr>
                <w:sz w:val="20"/>
              </w:rPr>
            </w:pPr>
            <w:r w:rsidRPr="00E6344A">
              <w:rPr>
                <w:bCs/>
                <w:sz w:val="20"/>
              </w:rPr>
              <w:t>Cabinet approval of the Action Plan to ensure the widest adoption of the PKI technology.</w:t>
            </w:r>
          </w:p>
        </w:tc>
        <w:tc>
          <w:tcPr>
            <w:tcW w:w="1932" w:type="dxa"/>
          </w:tcPr>
          <w:p w:rsidR="00120C87" w:rsidRPr="00E6344A" w:rsidRDefault="00120C87" w:rsidP="00AF7614">
            <w:pPr>
              <w:rPr>
                <w:sz w:val="20"/>
              </w:rPr>
            </w:pPr>
            <w:r w:rsidRPr="00F35782">
              <w:rPr>
                <w:bCs/>
                <w:sz w:val="20"/>
              </w:rPr>
              <w:t>Cabinet approval of targets to increasing paperless G to B and G to G transactions.</w:t>
            </w:r>
          </w:p>
        </w:tc>
        <w:tc>
          <w:tcPr>
            <w:tcW w:w="1713" w:type="dxa"/>
            <w:gridSpan w:val="2"/>
          </w:tcPr>
          <w:p w:rsidR="00120C87" w:rsidRPr="00E6344A" w:rsidRDefault="00120C87" w:rsidP="00120C87">
            <w:pPr>
              <w:rPr>
                <w:sz w:val="20"/>
              </w:rPr>
            </w:pPr>
            <w:r w:rsidRPr="008D5D05">
              <w:rPr>
                <w:bCs/>
                <w:sz w:val="20"/>
              </w:rPr>
              <w:t xml:space="preserve">Contract with a </w:t>
            </w:r>
            <w:r>
              <w:rPr>
                <w:bCs/>
                <w:sz w:val="20"/>
              </w:rPr>
              <w:t xml:space="preserve">competitively selected partner </w:t>
            </w:r>
            <w:r w:rsidRPr="008D5D05">
              <w:rPr>
                <w:bCs/>
                <w:sz w:val="20"/>
              </w:rPr>
              <w:t xml:space="preserve">to develop a Government Services Platform for </w:t>
            </w:r>
            <w:proofErr w:type="spellStart"/>
            <w:r w:rsidRPr="008D5D05">
              <w:rPr>
                <w:bCs/>
                <w:sz w:val="20"/>
              </w:rPr>
              <w:t>eGovernment</w:t>
            </w:r>
            <w:proofErr w:type="spellEnd"/>
            <w:r w:rsidRPr="008D5D05">
              <w:rPr>
                <w:bCs/>
                <w:sz w:val="20"/>
              </w:rPr>
              <w:t xml:space="preserve"> services, protected by a Public Key Infrastructure (PKI).</w:t>
            </w:r>
          </w:p>
        </w:tc>
        <w:tc>
          <w:tcPr>
            <w:tcW w:w="1505" w:type="dxa"/>
            <w:gridSpan w:val="3"/>
          </w:tcPr>
          <w:p w:rsidR="00120C87" w:rsidRPr="00E6344A" w:rsidRDefault="00120C87" w:rsidP="00AF7614">
            <w:pPr>
              <w:rPr>
                <w:sz w:val="20"/>
              </w:rPr>
            </w:pPr>
            <w:r w:rsidRPr="00E6344A">
              <w:rPr>
                <w:sz w:val="20"/>
              </w:rPr>
              <w:t>Number of public services that can be executed via secured online transactions</w:t>
            </w:r>
          </w:p>
        </w:tc>
        <w:tc>
          <w:tcPr>
            <w:tcW w:w="1353" w:type="dxa"/>
          </w:tcPr>
          <w:p w:rsidR="00120C87" w:rsidRPr="00E6344A" w:rsidRDefault="00120C87" w:rsidP="00AF7614">
            <w:pPr>
              <w:rPr>
                <w:sz w:val="20"/>
              </w:rPr>
            </w:pPr>
            <w:r w:rsidRPr="00E6344A">
              <w:rPr>
                <w:sz w:val="20"/>
              </w:rPr>
              <w:t>0</w:t>
            </w:r>
          </w:p>
        </w:tc>
        <w:tc>
          <w:tcPr>
            <w:tcW w:w="1161" w:type="dxa"/>
            <w:gridSpan w:val="2"/>
          </w:tcPr>
          <w:p w:rsidR="00120C87" w:rsidRPr="00E6344A" w:rsidRDefault="00120C87" w:rsidP="00AF7614">
            <w:pPr>
              <w:rPr>
                <w:sz w:val="20"/>
              </w:rPr>
            </w:pPr>
            <w:r>
              <w:rPr>
                <w:sz w:val="20"/>
              </w:rPr>
              <w:t>10</w:t>
            </w:r>
          </w:p>
        </w:tc>
        <w:tc>
          <w:tcPr>
            <w:tcW w:w="1482" w:type="dxa"/>
          </w:tcPr>
          <w:p w:rsidR="00120C87" w:rsidRPr="00E6344A" w:rsidRDefault="00120C87" w:rsidP="00AF7614">
            <w:pPr>
              <w:rPr>
                <w:sz w:val="20"/>
              </w:rPr>
            </w:pPr>
            <w:r w:rsidRPr="00E6344A">
              <w:rPr>
                <w:sz w:val="20"/>
              </w:rPr>
              <w:t>Ministry of ICT</w:t>
            </w:r>
          </w:p>
        </w:tc>
      </w:tr>
    </w:tbl>
    <w:p w:rsidR="00BD404D" w:rsidRDefault="00BD404D"/>
    <w:sectPr w:rsidR="00BD404D" w:rsidSect="002E666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B0" w:rsidRDefault="005026B0" w:rsidP="00425A1E">
      <w:r>
        <w:separator/>
      </w:r>
    </w:p>
  </w:endnote>
  <w:endnote w:type="continuationSeparator" w:id="0">
    <w:p w:rsidR="005026B0" w:rsidRDefault="005026B0" w:rsidP="00425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4252"/>
      <w:docPartObj>
        <w:docPartGallery w:val="Page Numbers (Bottom of Page)"/>
        <w:docPartUnique/>
      </w:docPartObj>
    </w:sdtPr>
    <w:sdtContent>
      <w:p w:rsidR="00FB6F37" w:rsidRDefault="001A70D3">
        <w:pPr>
          <w:pStyle w:val="Footer"/>
          <w:jc w:val="center"/>
        </w:pPr>
        <w:r>
          <w:fldChar w:fldCharType="begin"/>
        </w:r>
        <w:r w:rsidR="005026B0">
          <w:instrText xml:space="preserve"> PAGE   \* MERGEFORMAT </w:instrText>
        </w:r>
        <w:r>
          <w:fldChar w:fldCharType="separate"/>
        </w:r>
        <w:r w:rsidR="00875693">
          <w:rPr>
            <w:noProof/>
          </w:rPr>
          <w:t>10</w:t>
        </w:r>
        <w:r>
          <w:rPr>
            <w:noProof/>
          </w:rPr>
          <w:fldChar w:fldCharType="end"/>
        </w:r>
      </w:p>
    </w:sdtContent>
  </w:sdt>
  <w:p w:rsidR="00FB6F37" w:rsidRDefault="00FB6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B0" w:rsidRDefault="005026B0" w:rsidP="00425A1E">
      <w:r>
        <w:separator/>
      </w:r>
    </w:p>
  </w:footnote>
  <w:footnote w:type="continuationSeparator" w:id="0">
    <w:p w:rsidR="005026B0" w:rsidRDefault="005026B0" w:rsidP="00425A1E">
      <w:r>
        <w:continuationSeparator/>
      </w:r>
    </w:p>
  </w:footnote>
  <w:footnote w:id="1">
    <w:p w:rsidR="00425A1E" w:rsidRPr="00DB772C" w:rsidRDefault="00425A1E" w:rsidP="00425A1E">
      <w:pPr>
        <w:pStyle w:val="FootnoteText"/>
        <w:jc w:val="both"/>
        <w:rPr>
          <w:sz w:val="18"/>
          <w:szCs w:val="18"/>
        </w:rPr>
      </w:pPr>
      <w:r w:rsidRPr="00DB772C">
        <w:rPr>
          <w:rStyle w:val="FootnoteReference"/>
          <w:sz w:val="18"/>
          <w:szCs w:val="18"/>
        </w:rPr>
        <w:footnoteRef/>
      </w:r>
      <w:r w:rsidRPr="00DB772C">
        <w:rPr>
          <w:sz w:val="18"/>
          <w:szCs w:val="18"/>
        </w:rPr>
        <w:t xml:space="preserve"> Government Program 2012-15, </w:t>
      </w:r>
      <w:proofErr w:type="spellStart"/>
      <w:r w:rsidRPr="00DB772C">
        <w:rPr>
          <w:sz w:val="18"/>
          <w:szCs w:val="18"/>
        </w:rPr>
        <w:t>GoM</w:t>
      </w:r>
      <w:proofErr w:type="spellEnd"/>
      <w:r w:rsidRPr="00DB772C">
        <w:rPr>
          <w:sz w:val="18"/>
          <w:szCs w:val="18"/>
        </w:rPr>
        <w:t>, April 2012.</w:t>
      </w:r>
    </w:p>
  </w:footnote>
  <w:footnote w:id="2">
    <w:p w:rsidR="00425A1E" w:rsidRDefault="00425A1E" w:rsidP="00425A1E">
      <w:pPr>
        <w:pStyle w:val="FootnoteText"/>
      </w:pPr>
      <w:r w:rsidRPr="00DB772C">
        <w:rPr>
          <w:rStyle w:val="FootnoteReference"/>
          <w:sz w:val="18"/>
          <w:szCs w:val="18"/>
        </w:rPr>
        <w:footnoteRef/>
      </w:r>
      <w:r w:rsidRPr="00DB772C">
        <w:rPr>
          <w:sz w:val="18"/>
          <w:szCs w:val="18"/>
        </w:rPr>
        <w:t xml:space="preserve"> The Doing Business Ranking has moved from 24 to 19 in the 2013 Doing Business Report</w:t>
      </w:r>
    </w:p>
  </w:footnote>
  <w:footnote w:id="3">
    <w:p w:rsidR="00120C87" w:rsidRPr="00833E01" w:rsidRDefault="00120C87" w:rsidP="00120C87">
      <w:pPr>
        <w:pStyle w:val="FootnoteText"/>
        <w:jc w:val="both"/>
      </w:pPr>
      <w:r w:rsidRPr="00833E01">
        <w:rPr>
          <w:rStyle w:val="FootnoteReference"/>
        </w:rPr>
        <w:footnoteRef/>
      </w:r>
      <w:r w:rsidRPr="00833E01">
        <w:t xml:space="preserve"> See EU</w:t>
      </w:r>
      <w:r>
        <w:t xml:space="preserve"> </w:t>
      </w:r>
      <w:r w:rsidRPr="00833E01">
        <w:t>“Mauritius Country Strategy Paper 2008-2013,” Annex 3, Executive Summary of the Country Environmental Profile.</w:t>
      </w:r>
    </w:p>
  </w:footnote>
  <w:footnote w:id="4">
    <w:p w:rsidR="00120C87" w:rsidRDefault="00120C87" w:rsidP="00120C87">
      <w:pPr>
        <w:pStyle w:val="FootnoteText"/>
        <w:jc w:val="both"/>
      </w:pPr>
      <w:r>
        <w:rPr>
          <w:rStyle w:val="FootnoteReference"/>
        </w:rPr>
        <w:footnoteRef/>
      </w:r>
      <w:r>
        <w:t xml:space="preserve"> </w:t>
      </w:r>
      <w:r w:rsidRPr="006807FF">
        <w:t>Safeguard Diagnostic Review for the Republic of Mauritius, October 2010, World Bank</w:t>
      </w:r>
    </w:p>
  </w:footnote>
  <w:footnote w:id="5">
    <w:p w:rsidR="00120C87" w:rsidRPr="006E78B8" w:rsidRDefault="00120C87" w:rsidP="002E666A">
      <w:pPr>
        <w:pStyle w:val="FootnoteText"/>
        <w:jc w:val="both"/>
        <w:rPr>
          <w:bCs/>
          <w:iCs/>
          <w:sz w:val="18"/>
          <w:szCs w:val="18"/>
        </w:rPr>
      </w:pPr>
      <w:r w:rsidRPr="006E78B8">
        <w:rPr>
          <w:rStyle w:val="FootnoteReference"/>
          <w:sz w:val="18"/>
          <w:szCs w:val="18"/>
        </w:rPr>
        <w:footnoteRef/>
      </w:r>
      <w:r w:rsidRPr="006E78B8">
        <w:rPr>
          <w:sz w:val="18"/>
          <w:szCs w:val="18"/>
        </w:rPr>
        <w:t xml:space="preserve"> A</w:t>
      </w:r>
      <w:r w:rsidRPr="006E78B8">
        <w:rPr>
          <w:bCs/>
          <w:iCs/>
          <w:sz w:val="18"/>
          <w:szCs w:val="18"/>
        </w:rPr>
        <w:t xml:space="preserve">s a body corporate which provides utility service to the public and includes the </w:t>
      </w:r>
      <w:r w:rsidRPr="006E78B8">
        <w:rPr>
          <w:bCs/>
          <w:iCs/>
          <w:sz w:val="18"/>
          <w:szCs w:val="18"/>
          <w:lang w:val="en-GB"/>
        </w:rPr>
        <w:t xml:space="preserve">Central Electricity Board, the Central Water Authority, the Waste Water Management Authority, </w:t>
      </w:r>
      <w:proofErr w:type="gramStart"/>
      <w:r w:rsidRPr="006E78B8">
        <w:rPr>
          <w:bCs/>
          <w:iCs/>
          <w:sz w:val="18"/>
          <w:szCs w:val="18"/>
          <w:lang w:val="en-GB"/>
        </w:rPr>
        <w:t>companies</w:t>
      </w:r>
      <w:proofErr w:type="gramEnd"/>
      <w:r w:rsidRPr="006E78B8">
        <w:rPr>
          <w:bCs/>
          <w:iCs/>
          <w:sz w:val="18"/>
          <w:szCs w:val="18"/>
          <w:lang w:val="en-GB"/>
        </w:rPr>
        <w:t xml:space="preserve"> offering information, communication and telecommunication services.</w:t>
      </w:r>
    </w:p>
    <w:p w:rsidR="00120C87" w:rsidRPr="006E78B8" w:rsidRDefault="00120C87" w:rsidP="002E666A">
      <w:pPr>
        <w:pStyle w:val="FootnoteText"/>
        <w:jc w:val="both"/>
        <w:rPr>
          <w:sz w:val="18"/>
          <w:szCs w:val="18"/>
        </w:rPr>
      </w:pPr>
    </w:p>
  </w:footnote>
  <w:footnote w:id="6">
    <w:p w:rsidR="00120C87" w:rsidRPr="006E78B8" w:rsidRDefault="00120C87" w:rsidP="002E666A">
      <w:pPr>
        <w:pStyle w:val="FootnoteText"/>
        <w:rPr>
          <w:sz w:val="18"/>
          <w:szCs w:val="18"/>
        </w:rPr>
      </w:pPr>
      <w:r w:rsidRPr="006E78B8">
        <w:rPr>
          <w:rStyle w:val="FootnoteReference"/>
          <w:sz w:val="18"/>
          <w:szCs w:val="18"/>
        </w:rPr>
        <w:footnoteRef/>
      </w:r>
      <w:r w:rsidRPr="006E78B8">
        <w:rPr>
          <w:sz w:val="18"/>
          <w:szCs w:val="18"/>
        </w:rPr>
        <w:t xml:space="preserve"> Includes all broad band subscription including ADSL, 3G, Fiber optics/ LAN and </w:t>
      </w:r>
      <w:proofErr w:type="spellStart"/>
      <w:r w:rsidRPr="006E78B8">
        <w:rPr>
          <w:sz w:val="18"/>
          <w:szCs w:val="18"/>
        </w:rPr>
        <w:t>WiMax</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404FC58"/>
    <w:lvl w:ilvl="0">
      <w:start w:val="1"/>
      <w:numFmt w:val="decimal"/>
      <w:lvlText w:val="%1."/>
      <w:legacy w:legacy="1" w:legacySpace="120" w:legacyIndent="360"/>
      <w:lvlJc w:val="left"/>
      <w:pPr>
        <w:ind w:left="0" w:hanging="360"/>
      </w:pPr>
    </w:lvl>
    <w:lvl w:ilvl="1">
      <w:numFmt w:val="none"/>
      <w:pStyle w:val="Numberparagraph"/>
      <w:lvlText w:val=""/>
      <w:lvlJc w:val="left"/>
    </w:lvl>
    <w:lvl w:ilvl="2">
      <w:start w:val="1"/>
      <w:numFmt w:val="lowerLetter"/>
      <w:pStyle w:val="Heading6"/>
      <w:lvlText w:val="(%3)"/>
      <w:legacy w:legacy="1" w:legacySpace="120" w:legacyIndent="360"/>
      <w:lvlJc w:val="left"/>
      <w:pPr>
        <w:ind w:left="1440" w:hanging="360"/>
      </w:pPr>
    </w:lvl>
    <w:lvl w:ilvl="3">
      <w:start w:val="1"/>
      <w:numFmt w:val="lowerRoman"/>
      <w:pStyle w:val="Heading7"/>
      <w:lvlText w:val="(%4)"/>
      <w:legacy w:legacy="1" w:legacySpace="120" w:legacyIndent="360"/>
      <w:lvlJc w:val="left"/>
      <w:pPr>
        <w:ind w:left="2160" w:hanging="360"/>
      </w:pPr>
    </w:lvl>
    <w:lvl w:ilvl="4">
      <w:start w:val="1"/>
      <w:numFmt w:val="lowerLetter"/>
      <w:pStyle w:val="Heading8"/>
      <w:lvlText w:val="%5."/>
      <w:legacy w:legacy="1" w:legacySpace="120" w:legacyIndent="360"/>
      <w:lvlJc w:val="left"/>
      <w:pPr>
        <w:ind w:left="2880" w:hanging="360"/>
      </w:pPr>
      <w:rPr>
        <w:caps/>
      </w:rPr>
    </w:lvl>
    <w:lvl w:ilvl="5">
      <w:start w:val="1"/>
      <w:numFmt w:val="lowerRoman"/>
      <w:pStyle w:val="Heading9"/>
      <w:lvlText w:val="%6."/>
      <w:legacy w:legacy="1" w:legacySpace="120" w:legacyIndent="360"/>
      <w:lvlJc w:val="left"/>
      <w:pPr>
        <w:ind w:left="3600" w:hanging="360"/>
      </w:pPr>
    </w:lvl>
    <w:lvl w:ilvl="6">
      <w:numFmt w:val="none"/>
      <w:lvlText w:val=""/>
      <w:lvlJc w:val="left"/>
    </w:lvl>
    <w:lvl w:ilvl="7">
      <w:numFmt w:val="none"/>
      <w:lvlText w:val=""/>
      <w:lvlJc w:val="left"/>
    </w:lvl>
    <w:lvl w:ilvl="8">
      <w:numFmt w:val="none"/>
      <w:lvlText w:val=""/>
      <w:lvlJc w:val="left"/>
    </w:lvl>
  </w:abstractNum>
  <w:abstractNum w:abstractNumId="1">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95365"/>
    <w:multiLevelType w:val="hybridMultilevel"/>
    <w:tmpl w:val="461855EC"/>
    <w:lvl w:ilvl="0" w:tplc="82DEFC84">
      <w:start w:val="5"/>
      <w:numFmt w:val="decimal"/>
      <w:lvlText w:val="%1."/>
      <w:lvlJc w:val="left"/>
      <w:pPr>
        <w:tabs>
          <w:tab w:val="num" w:pos="1440"/>
        </w:tabs>
        <w:ind w:left="144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F96B31"/>
    <w:multiLevelType w:val="multilevel"/>
    <w:tmpl w:val="A2D0ACE6"/>
    <w:lvl w:ilvl="0">
      <w:start w:val="3"/>
      <w:numFmt w:val="none"/>
      <w:suff w:val="nothing"/>
      <w:lvlText w:val="%1"/>
      <w:lvlJc w:val="left"/>
      <w:pPr>
        <w:ind w:left="0" w:firstLine="0"/>
      </w:pPr>
      <w:rPr>
        <w:rFonts w:hint="default"/>
      </w:rPr>
    </w:lvl>
    <w:lvl w:ilvl="1">
      <w:start w:val="7"/>
      <w:numFmt w:val="decimal"/>
      <w:lvlText w:val="%2."/>
      <w:lvlJc w:val="left"/>
      <w:pPr>
        <w:tabs>
          <w:tab w:val="num" w:pos="720"/>
        </w:tabs>
        <w:ind w:left="720" w:hanging="720"/>
      </w:pPr>
      <w:rPr>
        <w:rFonts w:ascii="Times New Roman" w:hAnsi="Times New Roman" w:cs="Times New Roman" w:hint="default"/>
        <w:b w:val="0"/>
        <w:i w:val="0"/>
        <w:sz w:val="24"/>
        <w:szCs w:val="24"/>
        <w:vertAlign w:val="baseline"/>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9439E6"/>
    <w:multiLevelType w:val="multilevel"/>
    <w:tmpl w:val="986AB736"/>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cs="Times New Roman" w:hint="default"/>
        <w:b w:val="0"/>
        <w:i w:val="0"/>
        <w:sz w:val="24"/>
        <w:szCs w:val="24"/>
        <w:vertAlign w:val="baseline"/>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092FAA"/>
    <w:multiLevelType w:val="hybridMultilevel"/>
    <w:tmpl w:val="3794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75684D"/>
    <w:multiLevelType w:val="multilevel"/>
    <w:tmpl w:val="2D7443B0"/>
    <w:lvl w:ilvl="0">
      <w:start w:val="1"/>
      <w:numFmt w:val="none"/>
      <w:suff w:val="nothing"/>
      <w:lvlText w:val="%1"/>
      <w:lvlJc w:val="left"/>
      <w:pPr>
        <w:ind w:left="0" w:firstLine="0"/>
      </w:pPr>
      <w:rPr>
        <w:rFonts w:hint="default"/>
      </w:rPr>
    </w:lvl>
    <w:lvl w:ilvl="1">
      <w:start w:val="107"/>
      <w:numFmt w:val="decimal"/>
      <w:lvlText w:val="%2."/>
      <w:lvlJc w:val="left"/>
      <w:pPr>
        <w:tabs>
          <w:tab w:val="num" w:pos="720"/>
        </w:tabs>
        <w:ind w:left="720" w:hanging="720"/>
      </w:pPr>
      <w:rPr>
        <w:rFonts w:ascii="Times New Roman" w:hAnsi="Times New Roman" w:cs="Times New Roman" w:hint="default"/>
        <w:b w:val="0"/>
        <w:i w:val="0"/>
        <w:sz w:val="24"/>
        <w:szCs w:val="24"/>
        <w:vertAlign w:val="baseline"/>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8BC24B9"/>
    <w:multiLevelType w:val="multilevel"/>
    <w:tmpl w:val="57107B1E"/>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szCs w:val="24"/>
        <w:vertAlign w:val="baseline"/>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BE77F48"/>
    <w:multiLevelType w:val="hybridMultilevel"/>
    <w:tmpl w:val="765048EE"/>
    <w:lvl w:ilvl="0" w:tplc="9E06C7FC">
      <w:start w:val="5"/>
      <w:numFmt w:val="decimal"/>
      <w:lvlText w:val="%1."/>
      <w:lvlJc w:val="left"/>
      <w:pPr>
        <w:tabs>
          <w:tab w:val="num" w:pos="1440"/>
        </w:tabs>
        <w:ind w:left="144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77CE3"/>
    <w:multiLevelType w:val="multilevel"/>
    <w:tmpl w:val="7C66E3E4"/>
    <w:lvl w:ilvl="0">
      <w:start w:val="2"/>
      <w:numFmt w:val="none"/>
      <w:suff w:val="nothing"/>
      <w:lvlText w:val="%1"/>
      <w:lvlJc w:val="left"/>
      <w:pPr>
        <w:ind w:left="0" w:firstLine="0"/>
      </w:pPr>
      <w:rPr>
        <w:rFonts w:hint="default"/>
      </w:rPr>
    </w:lvl>
    <w:lvl w:ilvl="1">
      <w:start w:val="132"/>
      <w:numFmt w:val="decimal"/>
      <w:lvlText w:val="%2."/>
      <w:lvlJc w:val="left"/>
      <w:pPr>
        <w:tabs>
          <w:tab w:val="num" w:pos="720"/>
        </w:tabs>
        <w:ind w:left="720" w:hanging="720"/>
      </w:pPr>
      <w:rPr>
        <w:rFonts w:ascii="Times New Roman" w:hAnsi="Times New Roman" w:cs="Times New Roman" w:hint="default"/>
        <w:b w:val="0"/>
        <w:i w:val="0"/>
        <w:sz w:val="24"/>
        <w:szCs w:val="24"/>
        <w:vertAlign w:val="baseline"/>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57E58EF"/>
    <w:multiLevelType w:val="hybridMultilevel"/>
    <w:tmpl w:val="0F409086"/>
    <w:lvl w:ilvl="0" w:tplc="545E05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01D96"/>
    <w:multiLevelType w:val="multilevel"/>
    <w:tmpl w:val="3EA462E6"/>
    <w:lvl w:ilvl="0">
      <w:start w:val="3"/>
      <w:numFmt w:val="none"/>
      <w:suff w:val="nothing"/>
      <w:lvlText w:val="%1"/>
      <w:lvlJc w:val="left"/>
      <w:pPr>
        <w:ind w:left="0" w:firstLine="0"/>
      </w:pPr>
      <w:rPr>
        <w:rFonts w:hint="default"/>
      </w:rPr>
    </w:lvl>
    <w:lvl w:ilvl="1">
      <w:start w:val="134"/>
      <w:numFmt w:val="decimal"/>
      <w:lvlText w:val="%2."/>
      <w:lvlJc w:val="left"/>
      <w:pPr>
        <w:tabs>
          <w:tab w:val="num" w:pos="720"/>
        </w:tabs>
        <w:ind w:left="720" w:hanging="720"/>
      </w:pPr>
      <w:rPr>
        <w:rFonts w:ascii="Times New Roman" w:hAnsi="Times New Roman" w:cs="Times New Roman" w:hint="default"/>
        <w:b w:val="0"/>
        <w:i w:val="0"/>
        <w:sz w:val="24"/>
        <w:szCs w:val="24"/>
        <w:vertAlign w:val="baseline"/>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73D2F0C"/>
    <w:multiLevelType w:val="hybridMultilevel"/>
    <w:tmpl w:val="0B0ADBA0"/>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409000F">
      <w:start w:val="1"/>
      <w:numFmt w:val="decimal"/>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7"/>
  </w:num>
  <w:num w:numId="4">
    <w:abstractNumId w:val="3"/>
  </w:num>
  <w:num w:numId="5">
    <w:abstractNumId w:val="9"/>
  </w:num>
  <w:num w:numId="6">
    <w:abstractNumId w:val="1"/>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4"/>
  </w:num>
  <w:num w:numId="12">
    <w:abstractNumId w:val="11"/>
  </w:num>
  <w:num w:numId="13">
    <w:abstractNumId w:val="12"/>
  </w:num>
  <w:num w:numId="14">
    <w:abstractNumId w:val="10"/>
  </w:num>
  <w:num w:numId="15">
    <w:abstractNumId w:val="11"/>
  </w:num>
  <w:num w:numId="16">
    <w:abstractNumId w:val="5"/>
  </w:num>
  <w:num w:numId="17">
    <w:abstractNumId w:val="13"/>
  </w:num>
  <w:num w:numId="18">
    <w:abstractNumId w:val="15"/>
  </w:num>
  <w:num w:numId="19">
    <w:abstractNumId w:val="7"/>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93211"/>
    <w:rsid w:val="00100DA5"/>
    <w:rsid w:val="00120C87"/>
    <w:rsid w:val="001A70D3"/>
    <w:rsid w:val="001B7201"/>
    <w:rsid w:val="002E666A"/>
    <w:rsid w:val="003C436B"/>
    <w:rsid w:val="00407528"/>
    <w:rsid w:val="004239CB"/>
    <w:rsid w:val="00425A1E"/>
    <w:rsid w:val="0048609B"/>
    <w:rsid w:val="005026B0"/>
    <w:rsid w:val="00547929"/>
    <w:rsid w:val="005560B0"/>
    <w:rsid w:val="00630082"/>
    <w:rsid w:val="00666942"/>
    <w:rsid w:val="006A7815"/>
    <w:rsid w:val="006C5B94"/>
    <w:rsid w:val="00734742"/>
    <w:rsid w:val="0076626D"/>
    <w:rsid w:val="007B55E9"/>
    <w:rsid w:val="0085639B"/>
    <w:rsid w:val="008627D4"/>
    <w:rsid w:val="00875693"/>
    <w:rsid w:val="00876A71"/>
    <w:rsid w:val="008C06A9"/>
    <w:rsid w:val="00956013"/>
    <w:rsid w:val="0097141A"/>
    <w:rsid w:val="00981583"/>
    <w:rsid w:val="009C45CF"/>
    <w:rsid w:val="00A53BB0"/>
    <w:rsid w:val="00A757FE"/>
    <w:rsid w:val="00A8266A"/>
    <w:rsid w:val="00BD404D"/>
    <w:rsid w:val="00BD6031"/>
    <w:rsid w:val="00C67CB0"/>
    <w:rsid w:val="00CE3401"/>
    <w:rsid w:val="00D04E3C"/>
    <w:rsid w:val="00D93211"/>
    <w:rsid w:val="00DA78A0"/>
    <w:rsid w:val="00DB5ED1"/>
    <w:rsid w:val="00E1347D"/>
    <w:rsid w:val="00E83F1E"/>
    <w:rsid w:val="00EF23BF"/>
    <w:rsid w:val="00F43951"/>
    <w:rsid w:val="00F46677"/>
    <w:rsid w:val="00F95E57"/>
    <w:rsid w:val="00FB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ED1"/>
    <w:rPr>
      <w:sz w:val="24"/>
      <w:szCs w:val="24"/>
    </w:rPr>
  </w:style>
  <w:style w:type="paragraph" w:styleId="Heading1">
    <w:name w:val="heading 1"/>
    <w:basedOn w:val="Normal"/>
    <w:next w:val="Normal"/>
    <w:qFormat/>
    <w:rsid w:val="00DB5ED1"/>
    <w:pPr>
      <w:keepNext/>
      <w:outlineLvl w:val="0"/>
    </w:pPr>
    <w:rPr>
      <w:b/>
      <w:bCs/>
    </w:rPr>
  </w:style>
  <w:style w:type="paragraph" w:styleId="Heading2">
    <w:name w:val="heading 2"/>
    <w:basedOn w:val="Normal"/>
    <w:next w:val="Normal"/>
    <w:qFormat/>
    <w:rsid w:val="00DB5ED1"/>
    <w:pPr>
      <w:keepNext/>
      <w:jc w:val="center"/>
      <w:outlineLvl w:val="1"/>
    </w:pPr>
    <w:rPr>
      <w:b/>
      <w:bCs/>
    </w:rPr>
  </w:style>
  <w:style w:type="paragraph" w:styleId="Heading6">
    <w:name w:val="heading 6"/>
    <w:basedOn w:val="Normal"/>
    <w:next w:val="Normal"/>
    <w:link w:val="Heading6Char"/>
    <w:qFormat/>
    <w:rsid w:val="00120C87"/>
    <w:pPr>
      <w:numPr>
        <w:ilvl w:val="2"/>
        <w:numId w:val="21"/>
      </w:numPr>
      <w:overflowPunct w:val="0"/>
      <w:autoSpaceDE w:val="0"/>
      <w:autoSpaceDN w:val="0"/>
      <w:adjustRightInd w:val="0"/>
      <w:spacing w:after="240"/>
      <w:ind w:hanging="720"/>
      <w:textAlignment w:val="baseline"/>
      <w:outlineLvl w:val="5"/>
    </w:pPr>
    <w:rPr>
      <w:szCs w:val="20"/>
    </w:rPr>
  </w:style>
  <w:style w:type="paragraph" w:styleId="Heading7">
    <w:name w:val="heading 7"/>
    <w:basedOn w:val="Normal"/>
    <w:next w:val="Normal"/>
    <w:link w:val="Heading7Char"/>
    <w:qFormat/>
    <w:rsid w:val="00120C87"/>
    <w:pPr>
      <w:numPr>
        <w:ilvl w:val="3"/>
        <w:numId w:val="21"/>
      </w:numPr>
      <w:overflowPunct w:val="0"/>
      <w:autoSpaceDE w:val="0"/>
      <w:autoSpaceDN w:val="0"/>
      <w:adjustRightInd w:val="0"/>
      <w:spacing w:after="240"/>
      <w:ind w:hanging="720"/>
      <w:textAlignment w:val="baseline"/>
      <w:outlineLvl w:val="6"/>
    </w:pPr>
    <w:rPr>
      <w:szCs w:val="20"/>
    </w:rPr>
  </w:style>
  <w:style w:type="paragraph" w:styleId="Heading8">
    <w:name w:val="heading 8"/>
    <w:basedOn w:val="Normal"/>
    <w:next w:val="Normal"/>
    <w:link w:val="Heading8Char"/>
    <w:qFormat/>
    <w:rsid w:val="00120C87"/>
    <w:pPr>
      <w:numPr>
        <w:ilvl w:val="4"/>
        <w:numId w:val="21"/>
      </w:numPr>
      <w:overflowPunct w:val="0"/>
      <w:autoSpaceDE w:val="0"/>
      <w:autoSpaceDN w:val="0"/>
      <w:adjustRightInd w:val="0"/>
      <w:spacing w:after="240"/>
      <w:ind w:hanging="720"/>
      <w:textAlignment w:val="baseline"/>
      <w:outlineLvl w:val="7"/>
    </w:pPr>
    <w:rPr>
      <w:szCs w:val="20"/>
    </w:rPr>
  </w:style>
  <w:style w:type="paragraph" w:styleId="Heading9">
    <w:name w:val="heading 9"/>
    <w:basedOn w:val="Normal"/>
    <w:next w:val="Normal"/>
    <w:link w:val="Heading9Char"/>
    <w:qFormat/>
    <w:rsid w:val="00120C87"/>
    <w:pPr>
      <w:numPr>
        <w:ilvl w:val="5"/>
        <w:numId w:val="21"/>
      </w:numPr>
      <w:overflowPunct w:val="0"/>
      <w:autoSpaceDE w:val="0"/>
      <w:autoSpaceDN w:val="0"/>
      <w:adjustRightInd w:val="0"/>
      <w:spacing w:after="240"/>
      <w:ind w:hanging="72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5ED1"/>
    <w:pPr>
      <w:ind w:left="-108"/>
      <w:jc w:val="both"/>
    </w:pPr>
  </w:style>
  <w:style w:type="paragraph" w:styleId="CommentText">
    <w:name w:val="annotation text"/>
    <w:basedOn w:val="Normal"/>
    <w:semiHidden/>
    <w:rsid w:val="00DB5ED1"/>
    <w:rPr>
      <w:sz w:val="20"/>
      <w:szCs w:val="20"/>
    </w:rPr>
  </w:style>
  <w:style w:type="character" w:styleId="CommentReference">
    <w:name w:val="annotation reference"/>
    <w:basedOn w:val="DefaultParagraphFont"/>
    <w:semiHidden/>
    <w:rsid w:val="00DB5ED1"/>
    <w:rPr>
      <w:sz w:val="16"/>
      <w:szCs w:val="16"/>
    </w:rPr>
  </w:style>
  <w:style w:type="paragraph" w:styleId="HTMLPreformatted">
    <w:name w:val="HTML Preformatted"/>
    <w:basedOn w:val="Normal"/>
    <w:rsid w:val="00DB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DB5ED1"/>
    <w:pPr>
      <w:spacing w:after="240"/>
    </w:pPr>
    <w:rPr>
      <w:szCs w:val="20"/>
    </w:rPr>
  </w:style>
  <w:style w:type="character" w:styleId="Hyperlink">
    <w:name w:val="Hyperlink"/>
    <w:basedOn w:val="DefaultParagraphFont"/>
    <w:rsid w:val="00DB5ED1"/>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References,Title Style 1"/>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Heading1a">
    <w:name w:val="Heading 1a"/>
    <w:basedOn w:val="Normal"/>
    <w:next w:val="Normal"/>
    <w:rsid w:val="00425A1E"/>
    <w:pPr>
      <w:keepNext/>
      <w:keepLines/>
      <w:numPr>
        <w:numId w:val="9"/>
      </w:numPr>
      <w:spacing w:before="1440" w:after="240"/>
      <w:jc w:val="center"/>
      <w:outlineLvl w:val="0"/>
    </w:pPr>
    <w:rPr>
      <w:b/>
      <w:caps/>
      <w:sz w:val="32"/>
    </w:rPr>
  </w:style>
  <w:style w:type="paragraph" w:customStyle="1" w:styleId="MainParanoChapter">
    <w:name w:val="Main Para no Chapter #"/>
    <w:basedOn w:val="Normal"/>
    <w:link w:val="MainParanoChapterChar"/>
    <w:rsid w:val="00425A1E"/>
    <w:pPr>
      <w:numPr>
        <w:ilvl w:val="1"/>
        <w:numId w:val="9"/>
      </w:numPr>
      <w:spacing w:after="240"/>
      <w:outlineLvl w:val="1"/>
    </w:pPr>
  </w:style>
  <w:style w:type="paragraph" w:customStyle="1" w:styleId="Sub-Para1underX">
    <w:name w:val="Sub-Para 1 under X."/>
    <w:basedOn w:val="Normal"/>
    <w:rsid w:val="00425A1E"/>
    <w:pPr>
      <w:numPr>
        <w:ilvl w:val="2"/>
        <w:numId w:val="9"/>
      </w:numPr>
      <w:spacing w:after="240"/>
      <w:outlineLvl w:val="2"/>
    </w:pPr>
  </w:style>
  <w:style w:type="paragraph" w:customStyle="1" w:styleId="Sub-Para2underX">
    <w:name w:val="Sub-Para 2 under X."/>
    <w:basedOn w:val="Normal"/>
    <w:rsid w:val="00425A1E"/>
    <w:pPr>
      <w:numPr>
        <w:ilvl w:val="3"/>
        <w:numId w:val="9"/>
      </w:numPr>
      <w:spacing w:after="240"/>
      <w:outlineLvl w:val="3"/>
    </w:pPr>
  </w:style>
  <w:style w:type="paragraph" w:customStyle="1" w:styleId="Sub-Para3underX">
    <w:name w:val="Sub-Para 3 under X."/>
    <w:basedOn w:val="Normal"/>
    <w:rsid w:val="00425A1E"/>
    <w:pPr>
      <w:numPr>
        <w:ilvl w:val="4"/>
        <w:numId w:val="9"/>
      </w:numPr>
      <w:spacing w:after="240"/>
      <w:outlineLvl w:val="4"/>
    </w:pPr>
  </w:style>
  <w:style w:type="paragraph" w:customStyle="1" w:styleId="Sub-Para4underX">
    <w:name w:val="Sub-Para 4 under X."/>
    <w:basedOn w:val="Normal"/>
    <w:rsid w:val="00425A1E"/>
    <w:pPr>
      <w:numPr>
        <w:ilvl w:val="5"/>
        <w:numId w:val="9"/>
      </w:numPr>
      <w:spacing w:after="240"/>
      <w:outlineLvl w:val="5"/>
    </w:pPr>
  </w:style>
  <w:style w:type="paragraph" w:styleId="FootnoteText">
    <w:name w:val="footnote text"/>
    <w:aliases w:val="FOOTNOTES,fn,single space,footnote text,ft,Char,f,Footnote Text Char2 Char,Footnote Text Char1 Char Char,Footnote Text Char2 Char Char Char,Footnote Text Char1 Char Char Char Char,Footnote Text Char1 Char,ALTS FOOTNOTE,Note de bas de page2"/>
    <w:basedOn w:val="Normal"/>
    <w:link w:val="FootnoteTextChar1"/>
    <w:uiPriority w:val="99"/>
    <w:qFormat/>
    <w:rsid w:val="00425A1E"/>
    <w:rPr>
      <w:sz w:val="20"/>
      <w:szCs w:val="20"/>
    </w:rPr>
  </w:style>
  <w:style w:type="character" w:customStyle="1" w:styleId="FootnoteTextChar">
    <w:name w:val="Footnote Text Char"/>
    <w:basedOn w:val="DefaultParagraphFont"/>
    <w:rsid w:val="00425A1E"/>
  </w:style>
  <w:style w:type="character" w:customStyle="1" w:styleId="FootnoteTextChar1">
    <w:name w:val="Footnote Text Char1"/>
    <w:aliases w:val="FOOTNOTES Char,fn Char,single space Char,footnote text Char,ft Char,Char Char,f Char,Footnote Text Char2 Char Char,Footnote Text Char1 Char Char Char,Footnote Text Char2 Char Char Char Char,Footnote Text Char1 Char Char1"/>
    <w:basedOn w:val="DefaultParagraphFont"/>
    <w:link w:val="FootnoteText"/>
    <w:uiPriority w:val="99"/>
    <w:locked/>
    <w:rsid w:val="00425A1E"/>
  </w:style>
  <w:style w:type="character" w:styleId="FootnoteReference">
    <w:name w:val="footnote reference"/>
    <w:aliases w:val="ftref,Footnote Reference Number,Footnote Reference_LVL6,Footnote Reference_LVL61,Footnote Reference_LVL62,Footnote Reference_LVL63,Footnote Reference_LVL64,fr,Char Char Char Char Car Char,16 Point,Superscript 6 Point,Ref,Знак сноски 1"/>
    <w:basedOn w:val="DefaultParagraphFont"/>
    <w:uiPriority w:val="99"/>
    <w:rsid w:val="00425A1E"/>
    <w:rPr>
      <w:vertAlign w:val="superscript"/>
    </w:rPr>
  </w:style>
  <w:style w:type="character" w:customStyle="1" w:styleId="MainParanoChapterChar">
    <w:name w:val="Main Para no Chapter # Char"/>
    <w:basedOn w:val="DefaultParagraphFont"/>
    <w:link w:val="MainParanoChapter"/>
    <w:rsid w:val="00425A1E"/>
    <w:rPr>
      <w:sz w:val="24"/>
      <w:szCs w:val="24"/>
    </w:rPr>
  </w:style>
  <w:style w:type="character" w:customStyle="1" w:styleId="ListParagraphChar">
    <w:name w:val="List Paragraph Char"/>
    <w:aliases w:val="References Char,Title Style 1 Char"/>
    <w:basedOn w:val="DefaultParagraphFont"/>
    <w:link w:val="ListParagraph"/>
    <w:uiPriority w:val="34"/>
    <w:rsid w:val="00425A1E"/>
    <w:rPr>
      <w:sz w:val="24"/>
      <w:szCs w:val="24"/>
    </w:rPr>
  </w:style>
  <w:style w:type="paragraph" w:customStyle="1" w:styleId="AdjustmentLendingAnnex">
    <w:name w:val="Adjustment Lending Annex"/>
    <w:next w:val="Normal"/>
    <w:rsid w:val="002E666A"/>
    <w:pPr>
      <w:jc w:val="center"/>
    </w:pPr>
    <w:rPr>
      <w:b/>
      <w:sz w:val="24"/>
    </w:rPr>
  </w:style>
  <w:style w:type="table" w:styleId="TableGrid">
    <w:name w:val="Table Grid"/>
    <w:basedOn w:val="TableNormal"/>
    <w:uiPriority w:val="59"/>
    <w:rsid w:val="002E666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6F37"/>
    <w:pPr>
      <w:tabs>
        <w:tab w:val="center" w:pos="4680"/>
        <w:tab w:val="right" w:pos="9360"/>
      </w:tabs>
    </w:pPr>
  </w:style>
  <w:style w:type="character" w:customStyle="1" w:styleId="HeaderChar">
    <w:name w:val="Header Char"/>
    <w:basedOn w:val="DefaultParagraphFont"/>
    <w:link w:val="Header"/>
    <w:rsid w:val="00FB6F37"/>
    <w:rPr>
      <w:sz w:val="24"/>
      <w:szCs w:val="24"/>
    </w:rPr>
  </w:style>
  <w:style w:type="paragraph" w:styleId="Footer">
    <w:name w:val="footer"/>
    <w:basedOn w:val="Normal"/>
    <w:link w:val="FooterChar"/>
    <w:uiPriority w:val="99"/>
    <w:rsid w:val="00FB6F37"/>
    <w:pPr>
      <w:tabs>
        <w:tab w:val="center" w:pos="4680"/>
        <w:tab w:val="right" w:pos="9360"/>
      </w:tabs>
    </w:pPr>
  </w:style>
  <w:style w:type="character" w:customStyle="1" w:styleId="FooterChar">
    <w:name w:val="Footer Char"/>
    <w:basedOn w:val="DefaultParagraphFont"/>
    <w:link w:val="Footer"/>
    <w:uiPriority w:val="99"/>
    <w:rsid w:val="00FB6F37"/>
    <w:rPr>
      <w:sz w:val="24"/>
      <w:szCs w:val="24"/>
    </w:rPr>
  </w:style>
  <w:style w:type="character" w:customStyle="1" w:styleId="Heading6Char">
    <w:name w:val="Heading 6 Char"/>
    <w:basedOn w:val="DefaultParagraphFont"/>
    <w:link w:val="Heading6"/>
    <w:rsid w:val="00120C87"/>
    <w:rPr>
      <w:sz w:val="24"/>
    </w:rPr>
  </w:style>
  <w:style w:type="character" w:customStyle="1" w:styleId="Heading7Char">
    <w:name w:val="Heading 7 Char"/>
    <w:basedOn w:val="DefaultParagraphFont"/>
    <w:link w:val="Heading7"/>
    <w:rsid w:val="00120C87"/>
    <w:rPr>
      <w:sz w:val="24"/>
    </w:rPr>
  </w:style>
  <w:style w:type="character" w:customStyle="1" w:styleId="Heading8Char">
    <w:name w:val="Heading 8 Char"/>
    <w:basedOn w:val="DefaultParagraphFont"/>
    <w:link w:val="Heading8"/>
    <w:rsid w:val="00120C87"/>
    <w:rPr>
      <w:sz w:val="24"/>
    </w:rPr>
  </w:style>
  <w:style w:type="character" w:customStyle="1" w:styleId="Heading9Char">
    <w:name w:val="Heading 9 Char"/>
    <w:basedOn w:val="DefaultParagraphFont"/>
    <w:link w:val="Heading9"/>
    <w:rsid w:val="00120C87"/>
    <w:rPr>
      <w:sz w:val="24"/>
    </w:rPr>
  </w:style>
  <w:style w:type="paragraph" w:customStyle="1" w:styleId="Numberparagraph">
    <w:name w:val="Number paragraph"/>
    <w:basedOn w:val="MainParanoChapter"/>
    <w:link w:val="NumberparagraphChar"/>
    <w:qFormat/>
    <w:rsid w:val="00120C87"/>
    <w:pPr>
      <w:numPr>
        <w:numId w:val="21"/>
      </w:numPr>
      <w:ind w:left="0" w:firstLine="0"/>
      <w:jc w:val="both"/>
    </w:pPr>
  </w:style>
  <w:style w:type="character" w:customStyle="1" w:styleId="NumberparagraphChar">
    <w:name w:val="Number paragraph Char"/>
    <w:basedOn w:val="MainParanoChapterChar"/>
    <w:link w:val="Numberparagraph"/>
    <w:rsid w:val="00120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ED1"/>
    <w:rPr>
      <w:sz w:val="24"/>
      <w:szCs w:val="24"/>
    </w:rPr>
  </w:style>
  <w:style w:type="paragraph" w:styleId="Heading1">
    <w:name w:val="heading 1"/>
    <w:basedOn w:val="Normal"/>
    <w:next w:val="Normal"/>
    <w:qFormat/>
    <w:rsid w:val="00DB5ED1"/>
    <w:pPr>
      <w:keepNext/>
      <w:outlineLvl w:val="0"/>
    </w:pPr>
    <w:rPr>
      <w:b/>
      <w:bCs/>
    </w:rPr>
  </w:style>
  <w:style w:type="paragraph" w:styleId="Heading2">
    <w:name w:val="heading 2"/>
    <w:basedOn w:val="Normal"/>
    <w:next w:val="Normal"/>
    <w:qFormat/>
    <w:rsid w:val="00DB5ED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5ED1"/>
    <w:pPr>
      <w:ind w:left="-108"/>
      <w:jc w:val="both"/>
    </w:pPr>
  </w:style>
  <w:style w:type="paragraph" w:styleId="CommentText">
    <w:name w:val="annotation text"/>
    <w:basedOn w:val="Normal"/>
    <w:semiHidden/>
    <w:rsid w:val="00DB5ED1"/>
    <w:rPr>
      <w:sz w:val="20"/>
      <w:szCs w:val="20"/>
    </w:rPr>
  </w:style>
  <w:style w:type="character" w:styleId="CommentReference">
    <w:name w:val="annotation reference"/>
    <w:basedOn w:val="DefaultParagraphFont"/>
    <w:semiHidden/>
    <w:rsid w:val="00DB5ED1"/>
    <w:rPr>
      <w:sz w:val="16"/>
      <w:szCs w:val="16"/>
    </w:rPr>
  </w:style>
  <w:style w:type="paragraph" w:styleId="HTMLPreformatted">
    <w:name w:val="HTML Preformatted"/>
    <w:basedOn w:val="Normal"/>
    <w:rsid w:val="00DB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DB5ED1"/>
    <w:pPr>
      <w:spacing w:after="240"/>
    </w:pPr>
    <w:rPr>
      <w:szCs w:val="20"/>
    </w:rPr>
  </w:style>
  <w:style w:type="character" w:styleId="Hyperlink">
    <w:name w:val="Hyperlink"/>
    <w:basedOn w:val="DefaultParagraphFont"/>
    <w:rsid w:val="00DB5ED1"/>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References,Title Style 1"/>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Heading1a">
    <w:name w:val="Heading 1a"/>
    <w:basedOn w:val="Normal"/>
    <w:next w:val="Normal"/>
    <w:rsid w:val="00425A1E"/>
    <w:pPr>
      <w:keepNext/>
      <w:keepLines/>
      <w:numPr>
        <w:numId w:val="9"/>
      </w:numPr>
      <w:spacing w:before="1440" w:after="240"/>
      <w:jc w:val="center"/>
      <w:outlineLvl w:val="0"/>
    </w:pPr>
    <w:rPr>
      <w:b/>
      <w:caps/>
      <w:sz w:val="32"/>
    </w:rPr>
  </w:style>
  <w:style w:type="paragraph" w:customStyle="1" w:styleId="MainParanoChapter">
    <w:name w:val="Main Para no Chapter #"/>
    <w:basedOn w:val="Normal"/>
    <w:link w:val="MainParanoChapterChar"/>
    <w:rsid w:val="00425A1E"/>
    <w:pPr>
      <w:numPr>
        <w:ilvl w:val="1"/>
        <w:numId w:val="9"/>
      </w:numPr>
      <w:spacing w:after="240"/>
      <w:outlineLvl w:val="1"/>
    </w:pPr>
  </w:style>
  <w:style w:type="paragraph" w:customStyle="1" w:styleId="Sub-Para1underX">
    <w:name w:val="Sub-Para 1 under X."/>
    <w:basedOn w:val="Normal"/>
    <w:rsid w:val="00425A1E"/>
    <w:pPr>
      <w:numPr>
        <w:ilvl w:val="2"/>
        <w:numId w:val="9"/>
      </w:numPr>
      <w:spacing w:after="240"/>
      <w:outlineLvl w:val="2"/>
    </w:pPr>
  </w:style>
  <w:style w:type="paragraph" w:customStyle="1" w:styleId="Sub-Para2underX">
    <w:name w:val="Sub-Para 2 under X."/>
    <w:basedOn w:val="Normal"/>
    <w:rsid w:val="00425A1E"/>
    <w:pPr>
      <w:numPr>
        <w:ilvl w:val="3"/>
        <w:numId w:val="9"/>
      </w:numPr>
      <w:spacing w:after="240"/>
      <w:outlineLvl w:val="3"/>
    </w:pPr>
  </w:style>
  <w:style w:type="paragraph" w:customStyle="1" w:styleId="Sub-Para3underX">
    <w:name w:val="Sub-Para 3 under X."/>
    <w:basedOn w:val="Normal"/>
    <w:rsid w:val="00425A1E"/>
    <w:pPr>
      <w:numPr>
        <w:ilvl w:val="4"/>
        <w:numId w:val="9"/>
      </w:numPr>
      <w:spacing w:after="240"/>
      <w:outlineLvl w:val="4"/>
    </w:pPr>
  </w:style>
  <w:style w:type="paragraph" w:customStyle="1" w:styleId="Sub-Para4underX">
    <w:name w:val="Sub-Para 4 under X."/>
    <w:basedOn w:val="Normal"/>
    <w:rsid w:val="00425A1E"/>
    <w:pPr>
      <w:numPr>
        <w:ilvl w:val="5"/>
        <w:numId w:val="9"/>
      </w:numPr>
      <w:spacing w:after="240"/>
      <w:outlineLvl w:val="5"/>
    </w:pPr>
  </w:style>
  <w:style w:type="paragraph" w:styleId="FootnoteText">
    <w:name w:val="footnote text"/>
    <w:aliases w:val="FOOTNOTES,fn,single space,footnote text,ft,Char,f,Footnote Text Char2 Char,Footnote Text Char1 Char Char,Footnote Text Char2 Char Char Char,Footnote Text Char1 Char Char Char Char,Footnote Text Char1 Char,ALTS FOOTNOTE,Note de bas de page2"/>
    <w:basedOn w:val="Normal"/>
    <w:link w:val="FootnoteTextChar1"/>
    <w:uiPriority w:val="99"/>
    <w:qFormat/>
    <w:rsid w:val="00425A1E"/>
    <w:rPr>
      <w:sz w:val="20"/>
      <w:szCs w:val="20"/>
    </w:rPr>
  </w:style>
  <w:style w:type="character" w:customStyle="1" w:styleId="FootnoteTextChar">
    <w:name w:val="Footnote Text Char"/>
    <w:basedOn w:val="DefaultParagraphFont"/>
    <w:rsid w:val="00425A1E"/>
  </w:style>
  <w:style w:type="character" w:customStyle="1" w:styleId="FootnoteTextChar1">
    <w:name w:val="Footnote Text Char1"/>
    <w:aliases w:val="FOOTNOTES Char,fn Char,single space Char,footnote text Char,ft Char,Char Char,f Char,Footnote Text Char2 Char Char,Footnote Text Char1 Char Char Char,Footnote Text Char2 Char Char Char Char,Footnote Text Char1 Char Char1"/>
    <w:basedOn w:val="DefaultParagraphFont"/>
    <w:link w:val="FootnoteText"/>
    <w:uiPriority w:val="99"/>
    <w:locked/>
    <w:rsid w:val="00425A1E"/>
  </w:style>
  <w:style w:type="character" w:styleId="FootnoteReference">
    <w:name w:val="footnote reference"/>
    <w:aliases w:val="ftref,Footnote Reference Number,Footnote Reference_LVL6,Footnote Reference_LVL61,Footnote Reference_LVL62,Footnote Reference_LVL63,Footnote Reference_LVL64,fr,Char Char Char Char Car Char,16 Point,Superscript 6 Point,Ref,Знак сноски 1"/>
    <w:basedOn w:val="DefaultParagraphFont"/>
    <w:uiPriority w:val="99"/>
    <w:rsid w:val="00425A1E"/>
    <w:rPr>
      <w:vertAlign w:val="superscript"/>
    </w:rPr>
  </w:style>
  <w:style w:type="character" w:customStyle="1" w:styleId="MainParanoChapterChar">
    <w:name w:val="Main Para no Chapter # Char"/>
    <w:basedOn w:val="DefaultParagraphFont"/>
    <w:link w:val="MainParanoChapter"/>
    <w:rsid w:val="00425A1E"/>
    <w:rPr>
      <w:sz w:val="24"/>
      <w:szCs w:val="24"/>
    </w:rPr>
  </w:style>
  <w:style w:type="character" w:customStyle="1" w:styleId="ListParagraphChar">
    <w:name w:val="List Paragraph Char"/>
    <w:aliases w:val="References Char,Title Style 1 Char"/>
    <w:basedOn w:val="DefaultParagraphFont"/>
    <w:link w:val="ListParagraph"/>
    <w:uiPriority w:val="34"/>
    <w:rsid w:val="00425A1E"/>
    <w:rPr>
      <w:sz w:val="24"/>
      <w:szCs w:val="24"/>
    </w:rPr>
  </w:style>
  <w:style w:type="paragraph" w:customStyle="1" w:styleId="AdjustmentLendingAnnex">
    <w:name w:val="Adjustment Lending Annex"/>
    <w:next w:val="Normal"/>
    <w:rsid w:val="002E666A"/>
    <w:pPr>
      <w:jc w:val="center"/>
    </w:pPr>
    <w:rPr>
      <w:b/>
      <w:sz w:val="24"/>
    </w:rPr>
  </w:style>
  <w:style w:type="table" w:styleId="TableGrid">
    <w:name w:val="Table Grid"/>
    <w:basedOn w:val="TableNormal"/>
    <w:uiPriority w:val="59"/>
    <w:rsid w:val="002E666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6F37"/>
    <w:pPr>
      <w:tabs>
        <w:tab w:val="center" w:pos="4680"/>
        <w:tab w:val="right" w:pos="9360"/>
      </w:tabs>
    </w:pPr>
  </w:style>
  <w:style w:type="character" w:customStyle="1" w:styleId="HeaderChar">
    <w:name w:val="Header Char"/>
    <w:basedOn w:val="DefaultParagraphFont"/>
    <w:link w:val="Header"/>
    <w:rsid w:val="00FB6F37"/>
    <w:rPr>
      <w:sz w:val="24"/>
      <w:szCs w:val="24"/>
    </w:rPr>
  </w:style>
  <w:style w:type="paragraph" w:styleId="Footer">
    <w:name w:val="footer"/>
    <w:basedOn w:val="Normal"/>
    <w:link w:val="FooterChar"/>
    <w:uiPriority w:val="99"/>
    <w:rsid w:val="00FB6F37"/>
    <w:pPr>
      <w:tabs>
        <w:tab w:val="center" w:pos="4680"/>
        <w:tab w:val="right" w:pos="9360"/>
      </w:tabs>
    </w:pPr>
  </w:style>
  <w:style w:type="character" w:customStyle="1" w:styleId="FooterChar">
    <w:name w:val="Footer Char"/>
    <w:basedOn w:val="DefaultParagraphFont"/>
    <w:link w:val="Footer"/>
    <w:uiPriority w:val="99"/>
    <w:rsid w:val="00FB6F3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2775</Words>
  <Characters>16240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Smita Kuriakose</cp:lastModifiedBy>
  <cp:revision>5</cp:revision>
  <cp:lastPrinted>2013-01-23T14:28:00Z</cp:lastPrinted>
  <dcterms:created xsi:type="dcterms:W3CDTF">2013-01-23T16:20:00Z</dcterms:created>
  <dcterms:modified xsi:type="dcterms:W3CDTF">2013-02-08T15:43:00Z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AB7236</vt:lpwstr>
  </property>
  <property fmtid="{D5CDD505-2E9C-101B-9397-08002B2CF9AE}" pid="3" name="TEAMLEADER">
    <vt:lpwstr>Ms Smita Kuriakose</vt:lpwstr>
  </property>
</Properties>
</file>