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6C" w:rsidRPr="00F93F6C" w:rsidRDefault="00F93F6C" w:rsidP="00F93F6C">
      <w:pPr>
        <w:pageBreakBefore/>
        <w:spacing w:after="0" w:line="240" w:lineRule="auto"/>
        <w:jc w:val="center"/>
        <w:rPr>
          <w:rFonts w:ascii="Times New Roman" w:hAnsi="Times New Roman" w:cs="Times New Roman"/>
          <w:b/>
          <w:bCs/>
          <w:sz w:val="28"/>
          <w:szCs w:val="28"/>
        </w:rPr>
      </w:pPr>
      <w:r w:rsidRPr="00F93F6C">
        <w:rPr>
          <w:rFonts w:ascii="Times New Roman" w:hAnsi="Times New Roman" w:cs="Times New Roman"/>
          <w:b/>
          <w:bCs/>
          <w:sz w:val="28"/>
          <w:szCs w:val="28"/>
        </w:rPr>
        <w:t xml:space="preserve">IDA </w:t>
      </w:r>
      <w:r w:rsidR="00FB5005">
        <w:rPr>
          <w:rFonts w:ascii="Times New Roman" w:hAnsi="Times New Roman" w:cs="Times New Roman"/>
          <w:b/>
          <w:bCs/>
          <w:sz w:val="28"/>
          <w:szCs w:val="28"/>
        </w:rPr>
        <w:t xml:space="preserve">Country </w:t>
      </w:r>
      <w:r w:rsidRPr="00F93F6C">
        <w:rPr>
          <w:rFonts w:ascii="Times New Roman" w:hAnsi="Times New Roman" w:cs="Times New Roman"/>
          <w:b/>
          <w:bCs/>
          <w:sz w:val="28"/>
          <w:szCs w:val="28"/>
        </w:rPr>
        <w:t>Allocations</w:t>
      </w:r>
      <w:r w:rsidR="0080390B">
        <w:rPr>
          <w:rFonts w:ascii="Times New Roman" w:hAnsi="Times New Roman" w:cs="Times New Roman"/>
          <w:b/>
          <w:bCs/>
          <w:sz w:val="28"/>
          <w:szCs w:val="28"/>
        </w:rPr>
        <w:t xml:space="preserve"> </w:t>
      </w:r>
      <w:r w:rsidR="00CE1C69">
        <w:rPr>
          <w:rFonts w:ascii="Times New Roman" w:hAnsi="Times New Roman" w:cs="Times New Roman"/>
          <w:b/>
          <w:bCs/>
          <w:sz w:val="28"/>
          <w:szCs w:val="28"/>
        </w:rPr>
        <w:t>for FY1</w:t>
      </w:r>
      <w:r w:rsidR="00C246F5">
        <w:rPr>
          <w:rFonts w:ascii="Times New Roman" w:hAnsi="Times New Roman" w:cs="Times New Roman"/>
          <w:b/>
          <w:bCs/>
          <w:sz w:val="28"/>
          <w:szCs w:val="28"/>
        </w:rPr>
        <w:t>6</w:t>
      </w:r>
    </w:p>
    <w:p w:rsidR="00F93F6C" w:rsidRDefault="00F93F6C" w:rsidP="00F93F6C">
      <w:pPr>
        <w:spacing w:after="0" w:line="240" w:lineRule="auto"/>
        <w:ind w:left="720"/>
        <w:rPr>
          <w:rFonts w:ascii="Times New Roman" w:hAnsi="Times New Roman" w:cs="Times New Roman"/>
        </w:rPr>
      </w:pPr>
    </w:p>
    <w:p w:rsidR="007B67DD" w:rsidRPr="00D66D36" w:rsidRDefault="007B67DD" w:rsidP="007B67DD">
      <w:pPr>
        <w:spacing w:after="0" w:line="240" w:lineRule="auto"/>
        <w:jc w:val="both"/>
        <w:rPr>
          <w:rFonts w:ascii="Times New Roman" w:hAnsi="Times New Roman" w:cs="Times New Roman"/>
        </w:rPr>
      </w:pPr>
    </w:p>
    <w:p w:rsidR="00E630D9" w:rsidRPr="001505C7" w:rsidRDefault="007C6BF2" w:rsidP="00E630D9">
      <w:pPr>
        <w:pStyle w:val="ListParagraph"/>
        <w:numPr>
          <w:ilvl w:val="0"/>
          <w:numId w:val="1"/>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The IDA17</w:t>
      </w:r>
      <w:r w:rsidR="00E630D9" w:rsidRPr="001505C7">
        <w:rPr>
          <w:rFonts w:ascii="Times New Roman" w:hAnsi="Times New Roman" w:cs="Times New Roman"/>
          <w:bCs/>
          <w:sz w:val="24"/>
          <w:szCs w:val="24"/>
        </w:rPr>
        <w:t xml:space="preserve"> replenishment arrangements provide that IDA country allocations</w:t>
      </w:r>
      <w:r w:rsidR="00E923D4">
        <w:rPr>
          <w:rFonts w:ascii="Times New Roman" w:hAnsi="Times New Roman" w:cs="Times New Roman"/>
          <w:bCs/>
          <w:sz w:val="24"/>
          <w:szCs w:val="24"/>
        </w:rPr>
        <w:t xml:space="preserve"> </w:t>
      </w:r>
      <w:r w:rsidR="00E630D9" w:rsidRPr="001505C7">
        <w:rPr>
          <w:rFonts w:ascii="Times New Roman" w:hAnsi="Times New Roman" w:cs="Times New Roman"/>
          <w:bCs/>
          <w:sz w:val="24"/>
          <w:szCs w:val="24"/>
        </w:rPr>
        <w:t xml:space="preserve">be made available for information to IDA’s </w:t>
      </w:r>
      <w:r w:rsidR="00E630D9" w:rsidRPr="001505C7">
        <w:rPr>
          <w:rFonts w:ascii="Times New Roman" w:hAnsi="Times New Roman" w:cs="Times New Roman"/>
          <w:sz w:val="24"/>
          <w:szCs w:val="24"/>
        </w:rPr>
        <w:t xml:space="preserve">Executive Directors </w:t>
      </w:r>
      <w:r w:rsidR="00500ED2">
        <w:rPr>
          <w:rFonts w:ascii="Times New Roman" w:hAnsi="Times New Roman" w:cs="Times New Roman"/>
          <w:sz w:val="24"/>
          <w:szCs w:val="24"/>
        </w:rPr>
        <w:t xml:space="preserve">and disclosed on </w:t>
      </w:r>
      <w:r w:rsidR="00E630D9">
        <w:rPr>
          <w:rFonts w:ascii="Times New Roman" w:hAnsi="Times New Roman" w:cs="Times New Roman"/>
          <w:sz w:val="24"/>
          <w:szCs w:val="24"/>
        </w:rPr>
        <w:t xml:space="preserve">IDA’s external website </w:t>
      </w:r>
      <w:r w:rsidR="00E630D9" w:rsidRPr="001505C7">
        <w:rPr>
          <w:rFonts w:ascii="Times New Roman" w:hAnsi="Times New Roman" w:cs="Times New Roman"/>
          <w:sz w:val="24"/>
          <w:szCs w:val="24"/>
        </w:rPr>
        <w:t xml:space="preserve">at the end of each fiscal year </w:t>
      </w:r>
      <w:r w:rsidR="00321116">
        <w:rPr>
          <w:rFonts w:ascii="Times New Roman" w:hAnsi="Times New Roman" w:cs="Times New Roman"/>
          <w:sz w:val="24"/>
          <w:szCs w:val="24"/>
        </w:rPr>
        <w:t>of</w:t>
      </w:r>
      <w:r w:rsidR="00E630D9" w:rsidRPr="001505C7">
        <w:rPr>
          <w:rFonts w:ascii="Times New Roman" w:hAnsi="Times New Roman" w:cs="Times New Roman"/>
          <w:sz w:val="24"/>
          <w:szCs w:val="24"/>
        </w:rPr>
        <w:t xml:space="preserve"> the IDA1</w:t>
      </w:r>
      <w:r>
        <w:rPr>
          <w:rFonts w:ascii="Times New Roman" w:hAnsi="Times New Roman" w:cs="Times New Roman"/>
          <w:sz w:val="24"/>
          <w:szCs w:val="24"/>
        </w:rPr>
        <w:t>7</w:t>
      </w:r>
      <w:r w:rsidR="00E630D9" w:rsidRPr="001505C7">
        <w:rPr>
          <w:rFonts w:ascii="Times New Roman" w:hAnsi="Times New Roman" w:cs="Times New Roman"/>
          <w:sz w:val="24"/>
          <w:szCs w:val="24"/>
        </w:rPr>
        <w:t xml:space="preserve"> implementation period</w:t>
      </w:r>
      <w:r w:rsidR="00E630D9" w:rsidRPr="005D08B8">
        <w:rPr>
          <w:rFonts w:ascii="Times New Roman" w:hAnsi="Times New Roman" w:cs="Times New Roman"/>
          <w:sz w:val="20"/>
          <w:szCs w:val="20"/>
        </w:rPr>
        <w:t>.</w:t>
      </w:r>
      <w:r w:rsidR="00E630D9" w:rsidRPr="005D08B8">
        <w:rPr>
          <w:rStyle w:val="FootnoteReference"/>
          <w:rFonts w:ascii="Times New Roman" w:hAnsi="Times New Roman" w:cs="Times New Roman"/>
          <w:sz w:val="20"/>
          <w:szCs w:val="20"/>
        </w:rPr>
        <w:footnoteReference w:id="1"/>
      </w:r>
      <w:r w:rsidR="00E630D9" w:rsidRPr="005D08B8">
        <w:rPr>
          <w:rFonts w:ascii="Times New Roman" w:hAnsi="Times New Roman" w:cs="Times New Roman"/>
          <w:sz w:val="20"/>
          <w:szCs w:val="20"/>
          <w:vertAlign w:val="superscript"/>
        </w:rPr>
        <w:t xml:space="preserve">, </w:t>
      </w:r>
      <w:r w:rsidR="00E630D9" w:rsidRPr="005D08B8">
        <w:rPr>
          <w:rStyle w:val="FootnoteReference"/>
          <w:rFonts w:ascii="Times New Roman" w:hAnsi="Times New Roman" w:cs="Times New Roman"/>
          <w:sz w:val="20"/>
          <w:szCs w:val="20"/>
        </w:rPr>
        <w:footnoteReference w:id="2"/>
      </w:r>
      <w:r w:rsidR="00E630D9" w:rsidRPr="001505C7">
        <w:rPr>
          <w:rFonts w:ascii="Times New Roman" w:hAnsi="Times New Roman" w:cs="Times New Roman"/>
          <w:sz w:val="24"/>
          <w:szCs w:val="24"/>
        </w:rPr>
        <w:t xml:space="preserve"> This note responds to these disclosure commitments</w:t>
      </w:r>
      <w:r w:rsidR="00E630D9">
        <w:rPr>
          <w:rFonts w:ascii="Times New Roman" w:hAnsi="Times New Roman" w:cs="Times New Roman"/>
          <w:sz w:val="24"/>
          <w:szCs w:val="24"/>
        </w:rPr>
        <w:t xml:space="preserve"> by</w:t>
      </w:r>
      <w:r w:rsidR="00E630D9" w:rsidRPr="001505C7">
        <w:rPr>
          <w:rFonts w:ascii="Times New Roman" w:hAnsi="Times New Roman" w:cs="Times New Roman"/>
          <w:sz w:val="24"/>
          <w:szCs w:val="24"/>
        </w:rPr>
        <w:t xml:space="preserve"> provid</w:t>
      </w:r>
      <w:r w:rsidR="00E630D9">
        <w:rPr>
          <w:rFonts w:ascii="Times New Roman" w:hAnsi="Times New Roman" w:cs="Times New Roman"/>
          <w:sz w:val="24"/>
          <w:szCs w:val="24"/>
        </w:rPr>
        <w:t>ing</w:t>
      </w:r>
      <w:r w:rsidR="00E630D9" w:rsidRPr="001505C7">
        <w:rPr>
          <w:rFonts w:ascii="Times New Roman" w:hAnsi="Times New Roman" w:cs="Times New Roman"/>
          <w:sz w:val="24"/>
          <w:szCs w:val="24"/>
        </w:rPr>
        <w:t>: (</w:t>
      </w:r>
      <w:proofErr w:type="spellStart"/>
      <w:r w:rsidR="00E630D9" w:rsidRPr="001505C7">
        <w:rPr>
          <w:rFonts w:ascii="Times New Roman" w:hAnsi="Times New Roman" w:cs="Times New Roman"/>
          <w:sz w:val="24"/>
          <w:szCs w:val="24"/>
        </w:rPr>
        <w:t>i</w:t>
      </w:r>
      <w:proofErr w:type="spellEnd"/>
      <w:r w:rsidR="00E630D9" w:rsidRPr="001505C7">
        <w:rPr>
          <w:rFonts w:ascii="Times New Roman" w:hAnsi="Times New Roman" w:cs="Times New Roman"/>
          <w:sz w:val="24"/>
          <w:szCs w:val="24"/>
        </w:rPr>
        <w:t xml:space="preserve">) </w:t>
      </w:r>
      <w:r w:rsidR="00E630D9">
        <w:rPr>
          <w:rFonts w:ascii="Times New Roman" w:hAnsi="Times New Roman" w:cs="Times New Roman"/>
          <w:sz w:val="24"/>
          <w:szCs w:val="24"/>
        </w:rPr>
        <w:t>FY1</w:t>
      </w:r>
      <w:r w:rsidR="00C246F5">
        <w:rPr>
          <w:rFonts w:ascii="Times New Roman" w:hAnsi="Times New Roman" w:cs="Times New Roman"/>
          <w:sz w:val="24"/>
          <w:szCs w:val="24"/>
        </w:rPr>
        <w:t>6</w:t>
      </w:r>
      <w:r w:rsidR="00E630D9">
        <w:rPr>
          <w:rFonts w:ascii="Times New Roman" w:hAnsi="Times New Roman" w:cs="Times New Roman"/>
          <w:sz w:val="24"/>
          <w:szCs w:val="24"/>
        </w:rPr>
        <w:t xml:space="preserve"> </w:t>
      </w:r>
      <w:r w:rsidR="00E630D9" w:rsidRPr="001505C7">
        <w:rPr>
          <w:rFonts w:ascii="Times New Roman" w:hAnsi="Times New Roman" w:cs="Times New Roman"/>
          <w:sz w:val="24"/>
          <w:szCs w:val="24"/>
        </w:rPr>
        <w:t>IDA country allocations</w:t>
      </w:r>
      <w:r w:rsidR="00E630D9">
        <w:rPr>
          <w:rFonts w:ascii="Times New Roman" w:hAnsi="Times New Roman" w:cs="Times New Roman"/>
          <w:sz w:val="24"/>
          <w:szCs w:val="24"/>
        </w:rPr>
        <w:t xml:space="preserve"> (</w:t>
      </w:r>
      <w:r w:rsidR="00E630D9">
        <w:rPr>
          <w:rFonts w:ascii="Times New Roman" w:hAnsi="Times New Roman" w:cs="Times New Roman"/>
          <w:sz w:val="24"/>
          <w:szCs w:val="24"/>
          <w:u w:val="single"/>
        </w:rPr>
        <w:t xml:space="preserve">Table </w:t>
      </w:r>
      <w:r w:rsidR="00E630D9" w:rsidRPr="00FA23C2">
        <w:rPr>
          <w:rFonts w:ascii="Times New Roman" w:hAnsi="Times New Roman" w:cs="Times New Roman"/>
          <w:sz w:val="24"/>
          <w:szCs w:val="24"/>
          <w:u w:val="single"/>
        </w:rPr>
        <w:t>1</w:t>
      </w:r>
      <w:r w:rsidR="00623B92">
        <w:rPr>
          <w:rFonts w:ascii="Times New Roman" w:hAnsi="Times New Roman" w:cs="Times New Roman"/>
          <w:sz w:val="24"/>
          <w:szCs w:val="24"/>
        </w:rPr>
        <w:t>);</w:t>
      </w:r>
      <w:r w:rsidR="00C246F5">
        <w:rPr>
          <w:rStyle w:val="FootnoteReference"/>
          <w:rFonts w:ascii="Times New Roman" w:hAnsi="Times New Roman" w:cs="Times New Roman"/>
          <w:sz w:val="24"/>
          <w:szCs w:val="24"/>
        </w:rPr>
        <w:footnoteReference w:id="3"/>
      </w:r>
      <w:r w:rsidR="00623B92">
        <w:rPr>
          <w:rFonts w:ascii="Times New Roman" w:hAnsi="Times New Roman" w:cs="Times New Roman"/>
          <w:sz w:val="24"/>
          <w:szCs w:val="24"/>
        </w:rPr>
        <w:t xml:space="preserve"> </w:t>
      </w:r>
      <w:r w:rsidR="00E630D9" w:rsidRPr="003760BB">
        <w:rPr>
          <w:rFonts w:ascii="Times New Roman" w:hAnsi="Times New Roman" w:cs="Times New Roman"/>
          <w:sz w:val="24"/>
          <w:szCs w:val="24"/>
        </w:rPr>
        <w:t>and</w:t>
      </w:r>
      <w:r w:rsidR="00E630D9" w:rsidRPr="001505C7">
        <w:rPr>
          <w:rFonts w:ascii="Times New Roman" w:hAnsi="Times New Roman" w:cs="Times New Roman"/>
          <w:sz w:val="24"/>
          <w:szCs w:val="24"/>
        </w:rPr>
        <w:t xml:space="preserve"> (</w:t>
      </w:r>
      <w:r w:rsidR="003760BB">
        <w:rPr>
          <w:rFonts w:ascii="Times New Roman" w:hAnsi="Times New Roman" w:cs="Times New Roman"/>
          <w:sz w:val="24"/>
          <w:szCs w:val="24"/>
        </w:rPr>
        <w:t>i</w:t>
      </w:r>
      <w:r w:rsidR="00E630D9" w:rsidRPr="001505C7">
        <w:rPr>
          <w:rFonts w:ascii="Times New Roman" w:hAnsi="Times New Roman" w:cs="Times New Roman"/>
          <w:sz w:val="24"/>
          <w:szCs w:val="24"/>
        </w:rPr>
        <w:t>i</w:t>
      </w:r>
      <w:r w:rsidR="00E630D9">
        <w:rPr>
          <w:rFonts w:ascii="Times New Roman" w:hAnsi="Times New Roman" w:cs="Times New Roman"/>
          <w:sz w:val="24"/>
          <w:szCs w:val="24"/>
        </w:rPr>
        <w:t>) key input</w:t>
      </w:r>
      <w:r w:rsidR="00E630D9" w:rsidRPr="001505C7">
        <w:rPr>
          <w:rFonts w:ascii="Times New Roman" w:hAnsi="Times New Roman" w:cs="Times New Roman"/>
          <w:sz w:val="24"/>
          <w:szCs w:val="24"/>
        </w:rPr>
        <w:t xml:space="preserve"> data on which the FY1</w:t>
      </w:r>
      <w:r w:rsidR="008B1290">
        <w:rPr>
          <w:rFonts w:ascii="Times New Roman" w:hAnsi="Times New Roman" w:cs="Times New Roman"/>
          <w:sz w:val="24"/>
          <w:szCs w:val="24"/>
        </w:rPr>
        <w:t>6</w:t>
      </w:r>
      <w:r w:rsidR="00E630D9" w:rsidRPr="001505C7">
        <w:rPr>
          <w:rFonts w:ascii="Times New Roman" w:hAnsi="Times New Roman" w:cs="Times New Roman"/>
          <w:sz w:val="24"/>
          <w:szCs w:val="24"/>
        </w:rPr>
        <w:t xml:space="preserve"> allocations were based</w:t>
      </w:r>
      <w:r w:rsidR="00E630D9">
        <w:rPr>
          <w:rFonts w:ascii="Times New Roman" w:hAnsi="Times New Roman" w:cs="Times New Roman"/>
          <w:sz w:val="24"/>
          <w:szCs w:val="24"/>
        </w:rPr>
        <w:t xml:space="preserve"> (</w:t>
      </w:r>
      <w:r w:rsidR="00E630D9" w:rsidRPr="00FA23C2">
        <w:rPr>
          <w:rFonts w:ascii="Times New Roman" w:hAnsi="Times New Roman" w:cs="Times New Roman"/>
          <w:sz w:val="24"/>
          <w:szCs w:val="24"/>
          <w:u w:val="single"/>
        </w:rPr>
        <w:t xml:space="preserve">Table </w:t>
      </w:r>
      <w:r w:rsidR="00255008">
        <w:rPr>
          <w:rFonts w:ascii="Times New Roman" w:hAnsi="Times New Roman" w:cs="Times New Roman"/>
          <w:sz w:val="24"/>
          <w:szCs w:val="24"/>
          <w:u w:val="single"/>
        </w:rPr>
        <w:t>2</w:t>
      </w:r>
      <w:r w:rsidR="00E630D9">
        <w:rPr>
          <w:rFonts w:ascii="Times New Roman" w:hAnsi="Times New Roman" w:cs="Times New Roman"/>
          <w:sz w:val="24"/>
          <w:szCs w:val="24"/>
        </w:rPr>
        <w:t>)</w:t>
      </w:r>
      <w:r w:rsidR="00B112FE">
        <w:rPr>
          <w:rFonts w:ascii="Times New Roman" w:hAnsi="Times New Roman" w:cs="Times New Roman"/>
          <w:sz w:val="24"/>
          <w:szCs w:val="24"/>
        </w:rPr>
        <w:t xml:space="preserve">. In addition, the note </w:t>
      </w:r>
      <w:r w:rsidR="003760BB">
        <w:rPr>
          <w:rFonts w:ascii="Times New Roman" w:hAnsi="Times New Roman" w:cs="Times New Roman"/>
          <w:sz w:val="24"/>
          <w:szCs w:val="24"/>
        </w:rPr>
        <w:t xml:space="preserve">provides the </w:t>
      </w:r>
      <w:r w:rsidR="00CF728B">
        <w:rPr>
          <w:rFonts w:ascii="Times New Roman" w:hAnsi="Times New Roman" w:cs="Times New Roman"/>
          <w:sz w:val="24"/>
          <w:szCs w:val="24"/>
        </w:rPr>
        <w:t>FY1</w:t>
      </w:r>
      <w:r w:rsidR="008B1290">
        <w:rPr>
          <w:rFonts w:ascii="Times New Roman" w:hAnsi="Times New Roman" w:cs="Times New Roman"/>
          <w:sz w:val="24"/>
          <w:szCs w:val="24"/>
        </w:rPr>
        <w:t>6</w:t>
      </w:r>
      <w:r w:rsidR="00CF728B">
        <w:rPr>
          <w:rFonts w:ascii="Times New Roman" w:hAnsi="Times New Roman" w:cs="Times New Roman"/>
          <w:sz w:val="24"/>
          <w:szCs w:val="24"/>
        </w:rPr>
        <w:t xml:space="preserve"> </w:t>
      </w:r>
      <w:r w:rsidR="00E0345F">
        <w:rPr>
          <w:rFonts w:ascii="Times New Roman" w:hAnsi="Times New Roman" w:cs="Times New Roman"/>
          <w:sz w:val="24"/>
          <w:szCs w:val="24"/>
        </w:rPr>
        <w:t>a</w:t>
      </w:r>
      <w:r w:rsidR="003760BB">
        <w:rPr>
          <w:rFonts w:ascii="Times New Roman" w:hAnsi="Times New Roman" w:cs="Times New Roman"/>
          <w:sz w:val="24"/>
          <w:szCs w:val="24"/>
        </w:rPr>
        <w:t xml:space="preserve">llocations </w:t>
      </w:r>
      <w:r w:rsidR="00270473">
        <w:rPr>
          <w:rFonts w:ascii="Times New Roman" w:hAnsi="Times New Roman" w:cs="Times New Roman"/>
          <w:sz w:val="24"/>
          <w:szCs w:val="24"/>
        </w:rPr>
        <w:t xml:space="preserve">under </w:t>
      </w:r>
      <w:r w:rsidR="003760BB">
        <w:rPr>
          <w:rFonts w:ascii="Times New Roman" w:hAnsi="Times New Roman" w:cs="Times New Roman"/>
          <w:sz w:val="24"/>
          <w:szCs w:val="24"/>
        </w:rPr>
        <w:t>the IDA’s Crisis Response Window (CRW) (</w:t>
      </w:r>
      <w:r w:rsidR="003760BB" w:rsidRPr="003760BB">
        <w:rPr>
          <w:rFonts w:ascii="Times New Roman" w:hAnsi="Times New Roman" w:cs="Times New Roman"/>
          <w:sz w:val="24"/>
          <w:szCs w:val="24"/>
          <w:u w:val="single"/>
        </w:rPr>
        <w:t xml:space="preserve">Table </w:t>
      </w:r>
      <w:r w:rsidR="00255008">
        <w:rPr>
          <w:rFonts w:ascii="Times New Roman" w:hAnsi="Times New Roman" w:cs="Times New Roman"/>
          <w:sz w:val="24"/>
          <w:szCs w:val="24"/>
          <w:u w:val="single"/>
        </w:rPr>
        <w:t>3</w:t>
      </w:r>
      <w:r w:rsidR="003760BB">
        <w:rPr>
          <w:rFonts w:ascii="Times New Roman" w:hAnsi="Times New Roman" w:cs="Times New Roman"/>
          <w:sz w:val="24"/>
          <w:szCs w:val="24"/>
        </w:rPr>
        <w:t>)</w:t>
      </w:r>
      <w:r w:rsidR="008B1290">
        <w:rPr>
          <w:rFonts w:ascii="Times New Roman" w:hAnsi="Times New Roman" w:cs="Times New Roman"/>
          <w:sz w:val="24"/>
          <w:szCs w:val="24"/>
        </w:rPr>
        <w:t xml:space="preserve"> and </w:t>
      </w:r>
      <w:r w:rsidR="00C119D3">
        <w:rPr>
          <w:rFonts w:ascii="Times New Roman" w:hAnsi="Times New Roman" w:cs="Times New Roman"/>
          <w:sz w:val="24"/>
          <w:szCs w:val="24"/>
        </w:rPr>
        <w:t xml:space="preserve">regional allocations under the IDA17 </w:t>
      </w:r>
      <w:r w:rsidR="008B1290">
        <w:rPr>
          <w:rFonts w:ascii="Times New Roman" w:hAnsi="Times New Roman" w:cs="Times New Roman"/>
          <w:sz w:val="24"/>
          <w:szCs w:val="24"/>
        </w:rPr>
        <w:t>Scale-Up facility (SUF) (</w:t>
      </w:r>
      <w:r w:rsidR="008B1290" w:rsidRPr="003042F9">
        <w:rPr>
          <w:rFonts w:ascii="Times New Roman" w:hAnsi="Times New Roman" w:cs="Times New Roman"/>
          <w:sz w:val="24"/>
          <w:szCs w:val="24"/>
          <w:u w:val="single"/>
        </w:rPr>
        <w:t>Table 4</w:t>
      </w:r>
      <w:r w:rsidR="008B1290">
        <w:rPr>
          <w:rFonts w:ascii="Times New Roman" w:hAnsi="Times New Roman" w:cs="Times New Roman"/>
          <w:sz w:val="24"/>
          <w:szCs w:val="24"/>
        </w:rPr>
        <w:t xml:space="preserve">). </w:t>
      </w:r>
      <w:r w:rsidR="003760BB">
        <w:rPr>
          <w:rFonts w:ascii="Times New Roman" w:hAnsi="Times New Roman" w:cs="Times New Roman"/>
          <w:sz w:val="24"/>
          <w:szCs w:val="24"/>
        </w:rPr>
        <w:t xml:space="preserve"> </w:t>
      </w:r>
    </w:p>
    <w:p w:rsidR="007B67DD" w:rsidRDefault="007B67DD" w:rsidP="00FF2E60">
      <w:pPr>
        <w:pStyle w:val="ListParagraph"/>
        <w:ind w:hanging="720"/>
        <w:rPr>
          <w:rFonts w:ascii="Times New Roman" w:hAnsi="Times New Roman" w:cs="Times New Roman"/>
          <w:bCs/>
          <w:sz w:val="24"/>
          <w:szCs w:val="24"/>
        </w:rPr>
      </w:pPr>
    </w:p>
    <w:p w:rsidR="009A11FF" w:rsidRPr="002E0254" w:rsidRDefault="00CB26BD" w:rsidP="009A11FF">
      <w:pPr>
        <w:pStyle w:val="ListParagraph"/>
        <w:numPr>
          <w:ilvl w:val="0"/>
          <w:numId w:val="1"/>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b/>
          <w:bCs/>
          <w:sz w:val="24"/>
          <w:szCs w:val="24"/>
        </w:rPr>
        <w:t>FY1</w:t>
      </w:r>
      <w:r w:rsidR="008B1290">
        <w:rPr>
          <w:rFonts w:ascii="Times New Roman" w:hAnsi="Times New Roman" w:cs="Times New Roman"/>
          <w:b/>
          <w:bCs/>
          <w:sz w:val="24"/>
          <w:szCs w:val="24"/>
        </w:rPr>
        <w:t>6</w:t>
      </w:r>
      <w:r w:rsidR="00144A0B">
        <w:rPr>
          <w:rFonts w:ascii="Times New Roman" w:hAnsi="Times New Roman" w:cs="Times New Roman"/>
          <w:b/>
          <w:bCs/>
          <w:sz w:val="24"/>
          <w:szCs w:val="24"/>
        </w:rPr>
        <w:t xml:space="preserve"> Allocations.</w:t>
      </w:r>
      <w:r w:rsidR="00623B92">
        <w:rPr>
          <w:rFonts w:ascii="Times New Roman" w:hAnsi="Times New Roman" w:cs="Times New Roman"/>
          <w:bCs/>
          <w:sz w:val="24"/>
          <w:szCs w:val="24"/>
        </w:rPr>
        <w:t xml:space="preserve"> </w:t>
      </w:r>
      <w:r w:rsidR="009A11FF" w:rsidRPr="00825A65">
        <w:rPr>
          <w:rFonts w:ascii="Times New Roman" w:hAnsi="Times New Roman" w:cs="Times New Roman"/>
          <w:bCs/>
          <w:sz w:val="24"/>
          <w:szCs w:val="24"/>
        </w:rPr>
        <w:t>Table 1 shows</w:t>
      </w:r>
      <w:r w:rsidR="009A11FF">
        <w:rPr>
          <w:rFonts w:ascii="Times New Roman" w:hAnsi="Times New Roman" w:cs="Times New Roman"/>
          <w:bCs/>
          <w:sz w:val="24"/>
          <w:szCs w:val="24"/>
        </w:rPr>
        <w:t>: (</w:t>
      </w:r>
      <w:proofErr w:type="spellStart"/>
      <w:r w:rsidR="009A11FF">
        <w:rPr>
          <w:rFonts w:ascii="Times New Roman" w:hAnsi="Times New Roman" w:cs="Times New Roman"/>
          <w:bCs/>
          <w:sz w:val="24"/>
          <w:szCs w:val="24"/>
        </w:rPr>
        <w:t>i</w:t>
      </w:r>
      <w:proofErr w:type="spellEnd"/>
      <w:r w:rsidR="009A11FF">
        <w:rPr>
          <w:rFonts w:ascii="Times New Roman" w:hAnsi="Times New Roman" w:cs="Times New Roman"/>
          <w:bCs/>
          <w:sz w:val="24"/>
          <w:szCs w:val="24"/>
        </w:rPr>
        <w:t>)</w:t>
      </w:r>
      <w:r w:rsidR="009A11FF" w:rsidRPr="00825A65">
        <w:rPr>
          <w:rFonts w:ascii="Times New Roman" w:hAnsi="Times New Roman" w:cs="Times New Roman"/>
          <w:bCs/>
          <w:sz w:val="24"/>
          <w:szCs w:val="24"/>
        </w:rPr>
        <w:t xml:space="preserve"> </w:t>
      </w:r>
      <w:r w:rsidR="007956A2">
        <w:rPr>
          <w:rFonts w:ascii="Times New Roman" w:hAnsi="Times New Roman" w:cs="Times New Roman"/>
          <w:bCs/>
          <w:sz w:val="24"/>
          <w:szCs w:val="24"/>
        </w:rPr>
        <w:t xml:space="preserve">the </w:t>
      </w:r>
      <w:r w:rsidR="009A11FF" w:rsidRPr="00825A65">
        <w:rPr>
          <w:rFonts w:ascii="Times New Roman" w:hAnsi="Times New Roman" w:cs="Times New Roman"/>
          <w:bCs/>
          <w:sz w:val="24"/>
          <w:szCs w:val="24"/>
        </w:rPr>
        <w:t>country allocations</w:t>
      </w:r>
      <w:r w:rsidR="00C17060">
        <w:rPr>
          <w:rFonts w:ascii="Times New Roman" w:hAnsi="Times New Roman" w:cs="Times New Roman"/>
          <w:bCs/>
          <w:sz w:val="24"/>
          <w:szCs w:val="24"/>
        </w:rPr>
        <w:t xml:space="preserve"> for FY1</w:t>
      </w:r>
      <w:r w:rsidR="008B1290">
        <w:rPr>
          <w:rFonts w:ascii="Times New Roman" w:hAnsi="Times New Roman" w:cs="Times New Roman"/>
          <w:bCs/>
          <w:sz w:val="24"/>
          <w:szCs w:val="24"/>
        </w:rPr>
        <w:t>6</w:t>
      </w:r>
      <w:r w:rsidR="009A11FF" w:rsidRPr="00825A65">
        <w:rPr>
          <w:rFonts w:ascii="Times New Roman" w:hAnsi="Times New Roman" w:cs="Times New Roman"/>
          <w:bCs/>
          <w:sz w:val="24"/>
          <w:szCs w:val="24"/>
        </w:rPr>
        <w:t>, as determined through</w:t>
      </w:r>
      <w:r w:rsidR="009A11FF" w:rsidRPr="002A3C1F">
        <w:rPr>
          <w:rFonts w:ascii="Times New Roman" w:hAnsi="Times New Roman" w:cs="Times New Roman"/>
          <w:bCs/>
          <w:sz w:val="24"/>
          <w:szCs w:val="24"/>
        </w:rPr>
        <w:t xml:space="preserve"> the Performance Based Allocation (PBA) system</w:t>
      </w:r>
      <w:r w:rsidR="009A11FF">
        <w:rPr>
          <w:rFonts w:ascii="Times New Roman" w:hAnsi="Times New Roman" w:cs="Times New Roman"/>
          <w:bCs/>
          <w:sz w:val="24"/>
          <w:szCs w:val="24"/>
        </w:rPr>
        <w:t>;</w:t>
      </w:r>
      <w:r w:rsidR="009A11FF" w:rsidRPr="00203F17">
        <w:rPr>
          <w:rStyle w:val="FootnoteReference"/>
          <w:rFonts w:ascii="Times New Roman" w:hAnsi="Times New Roman" w:cs="Times New Roman"/>
          <w:sz w:val="24"/>
          <w:szCs w:val="24"/>
        </w:rPr>
        <w:footnoteReference w:id="4"/>
      </w:r>
      <w:proofErr w:type="gramStart"/>
      <w:r w:rsidR="003E45C7" w:rsidRPr="003E45C7">
        <w:rPr>
          <w:rFonts w:ascii="Times New Roman" w:hAnsi="Times New Roman" w:cs="Times New Roman"/>
          <w:bCs/>
          <w:sz w:val="24"/>
          <w:szCs w:val="24"/>
          <w:vertAlign w:val="superscript"/>
        </w:rPr>
        <w:t>,</w:t>
      </w:r>
      <w:proofErr w:type="gramEnd"/>
      <w:r w:rsidR="003E45C7">
        <w:rPr>
          <w:rStyle w:val="FootnoteReference"/>
          <w:rFonts w:ascii="Times New Roman" w:hAnsi="Times New Roman" w:cs="Times New Roman"/>
          <w:bCs/>
          <w:sz w:val="24"/>
          <w:szCs w:val="24"/>
        </w:rPr>
        <w:footnoteReference w:id="5"/>
      </w:r>
      <w:r w:rsidR="009A11FF" w:rsidRPr="00203F17">
        <w:rPr>
          <w:rStyle w:val="FootnoteReference"/>
        </w:rPr>
        <w:t xml:space="preserve"> </w:t>
      </w:r>
      <w:r w:rsidR="00406CD7" w:rsidRPr="00406CD7">
        <w:rPr>
          <w:rFonts w:ascii="Times New Roman" w:hAnsi="Times New Roman" w:cs="Times New Roman"/>
          <w:sz w:val="24"/>
          <w:szCs w:val="24"/>
        </w:rPr>
        <w:t>and</w:t>
      </w:r>
      <w:r w:rsidR="00406CD7" w:rsidRPr="00406CD7">
        <w:rPr>
          <w:rFonts w:ascii="Times New Roman" w:hAnsi="Times New Roman" w:cs="Times New Roman"/>
        </w:rPr>
        <w:t xml:space="preserve"> </w:t>
      </w:r>
      <w:r w:rsidR="009A11FF">
        <w:rPr>
          <w:rFonts w:ascii="Times New Roman" w:hAnsi="Times New Roman" w:cs="Times New Roman"/>
          <w:bCs/>
          <w:sz w:val="24"/>
          <w:szCs w:val="24"/>
        </w:rPr>
        <w:t xml:space="preserve">(ii) </w:t>
      </w:r>
      <w:r w:rsidR="009A11FF" w:rsidRPr="002A3C1F">
        <w:rPr>
          <w:rFonts w:ascii="Times New Roman" w:hAnsi="Times New Roman" w:cs="Times New Roman"/>
          <w:bCs/>
          <w:sz w:val="24"/>
          <w:szCs w:val="24"/>
        </w:rPr>
        <w:t>funds set aside for regional projects</w:t>
      </w:r>
      <w:r w:rsidR="009A11FF">
        <w:rPr>
          <w:rFonts w:ascii="Times New Roman" w:hAnsi="Times New Roman" w:cs="Times New Roman"/>
          <w:bCs/>
          <w:sz w:val="24"/>
          <w:szCs w:val="24"/>
        </w:rPr>
        <w:t xml:space="preserve"> in FY1</w:t>
      </w:r>
      <w:r w:rsidR="008B1290">
        <w:rPr>
          <w:rFonts w:ascii="Times New Roman" w:hAnsi="Times New Roman" w:cs="Times New Roman"/>
          <w:bCs/>
          <w:sz w:val="24"/>
          <w:szCs w:val="24"/>
        </w:rPr>
        <w:t xml:space="preserve">6, </w:t>
      </w:r>
      <w:r w:rsidR="009A11FF">
        <w:rPr>
          <w:rFonts w:ascii="Times New Roman" w:hAnsi="Times New Roman" w:cs="Times New Roman"/>
          <w:bCs/>
          <w:sz w:val="24"/>
          <w:szCs w:val="24"/>
        </w:rPr>
        <w:t>br</w:t>
      </w:r>
      <w:r w:rsidR="008B1290">
        <w:rPr>
          <w:rFonts w:ascii="Times New Roman" w:hAnsi="Times New Roman" w:cs="Times New Roman"/>
          <w:bCs/>
          <w:sz w:val="24"/>
          <w:szCs w:val="24"/>
        </w:rPr>
        <w:t xml:space="preserve">oken </w:t>
      </w:r>
      <w:r w:rsidR="009A11FF">
        <w:rPr>
          <w:rFonts w:ascii="Times New Roman" w:hAnsi="Times New Roman" w:cs="Times New Roman"/>
          <w:bCs/>
          <w:sz w:val="24"/>
          <w:szCs w:val="24"/>
        </w:rPr>
        <w:t xml:space="preserve">down </w:t>
      </w:r>
      <w:r w:rsidR="008B1290">
        <w:rPr>
          <w:rFonts w:ascii="Times New Roman" w:hAnsi="Times New Roman" w:cs="Times New Roman"/>
          <w:bCs/>
          <w:sz w:val="24"/>
          <w:szCs w:val="24"/>
        </w:rPr>
        <w:t>by region</w:t>
      </w:r>
      <w:r w:rsidR="00FF0C81">
        <w:rPr>
          <w:rFonts w:ascii="Times New Roman" w:hAnsi="Times New Roman" w:cs="Times New Roman"/>
          <w:bCs/>
          <w:sz w:val="24"/>
          <w:szCs w:val="24"/>
        </w:rPr>
        <w:t>.</w:t>
      </w:r>
      <w:r w:rsidR="00432CCD">
        <w:rPr>
          <w:rFonts w:ascii="Times New Roman" w:hAnsi="Times New Roman" w:cs="Times New Roman"/>
          <w:bCs/>
          <w:sz w:val="24"/>
          <w:szCs w:val="24"/>
        </w:rPr>
        <w:t xml:space="preserve"> </w:t>
      </w:r>
      <w:r w:rsidR="009A11FF">
        <w:rPr>
          <w:rFonts w:ascii="Times New Roman" w:hAnsi="Times New Roman" w:cs="Times New Roman"/>
          <w:bCs/>
          <w:sz w:val="24"/>
          <w:szCs w:val="24"/>
        </w:rPr>
        <w:t>In FY1</w:t>
      </w:r>
      <w:r w:rsidR="008B1290">
        <w:rPr>
          <w:rFonts w:ascii="Times New Roman" w:hAnsi="Times New Roman" w:cs="Times New Roman"/>
          <w:bCs/>
          <w:sz w:val="24"/>
          <w:szCs w:val="24"/>
        </w:rPr>
        <w:t>6</w:t>
      </w:r>
      <w:r w:rsidR="009A11FF">
        <w:rPr>
          <w:rFonts w:ascii="Times New Roman" w:hAnsi="Times New Roman" w:cs="Times New Roman"/>
          <w:bCs/>
          <w:sz w:val="24"/>
          <w:szCs w:val="24"/>
        </w:rPr>
        <w:t xml:space="preserve">, a total </w:t>
      </w:r>
      <w:r w:rsidR="009A11FF" w:rsidRPr="003B16CD">
        <w:rPr>
          <w:rFonts w:ascii="Times New Roman" w:hAnsi="Times New Roman" w:cs="Times New Roman"/>
          <w:bCs/>
          <w:sz w:val="24"/>
          <w:szCs w:val="24"/>
        </w:rPr>
        <w:t>of SDR</w:t>
      </w:r>
      <w:r w:rsidR="00CE117E">
        <w:rPr>
          <w:rFonts w:ascii="Times New Roman" w:hAnsi="Times New Roman" w:cs="Times New Roman"/>
          <w:bCs/>
          <w:sz w:val="24"/>
          <w:szCs w:val="24"/>
        </w:rPr>
        <w:t>10</w:t>
      </w:r>
      <w:proofErr w:type="gramStart"/>
      <w:r w:rsidR="009A11FF" w:rsidRPr="003B16CD">
        <w:rPr>
          <w:rFonts w:ascii="Times New Roman" w:hAnsi="Times New Roman" w:cs="Times New Roman"/>
          <w:bCs/>
          <w:sz w:val="24"/>
          <w:szCs w:val="24"/>
        </w:rPr>
        <w:t>,</w:t>
      </w:r>
      <w:r w:rsidR="00FF0C81">
        <w:rPr>
          <w:rFonts w:ascii="Times New Roman" w:hAnsi="Times New Roman" w:cs="Times New Roman"/>
          <w:bCs/>
          <w:sz w:val="24"/>
          <w:szCs w:val="24"/>
        </w:rPr>
        <w:t>27</w:t>
      </w:r>
      <w:r w:rsidR="00973F56">
        <w:rPr>
          <w:rFonts w:ascii="Times New Roman" w:hAnsi="Times New Roman" w:cs="Times New Roman"/>
          <w:bCs/>
          <w:sz w:val="24"/>
          <w:szCs w:val="24"/>
        </w:rPr>
        <w:t>9</w:t>
      </w:r>
      <w:proofErr w:type="gramEnd"/>
      <w:r w:rsidR="009A11FF">
        <w:rPr>
          <w:rFonts w:ascii="Times New Roman" w:hAnsi="Times New Roman" w:cs="Times New Roman"/>
          <w:bCs/>
          <w:sz w:val="24"/>
          <w:szCs w:val="24"/>
        </w:rPr>
        <w:t xml:space="preserve"> million was allocated to </w:t>
      </w:r>
      <w:r w:rsidR="000B7520">
        <w:rPr>
          <w:rFonts w:ascii="Times New Roman" w:hAnsi="Times New Roman" w:cs="Times New Roman"/>
          <w:bCs/>
          <w:sz w:val="24"/>
          <w:szCs w:val="24"/>
        </w:rPr>
        <w:t>7</w:t>
      </w:r>
      <w:r w:rsidR="00C119D3">
        <w:rPr>
          <w:rFonts w:ascii="Times New Roman" w:hAnsi="Times New Roman" w:cs="Times New Roman"/>
          <w:bCs/>
          <w:sz w:val="24"/>
          <w:szCs w:val="24"/>
        </w:rPr>
        <w:t>4</w:t>
      </w:r>
      <w:r w:rsidR="009A11FF">
        <w:rPr>
          <w:rFonts w:ascii="Times New Roman" w:hAnsi="Times New Roman" w:cs="Times New Roman"/>
          <w:bCs/>
          <w:sz w:val="24"/>
          <w:szCs w:val="24"/>
        </w:rPr>
        <w:t xml:space="preserve"> countries.</w:t>
      </w:r>
      <w:r w:rsidR="009A11FF" w:rsidRPr="009C4DD6">
        <w:rPr>
          <w:rStyle w:val="FootnoteReference"/>
          <w:rFonts w:ascii="Times New Roman" w:hAnsi="Times New Roman" w:cs="Times New Roman"/>
          <w:sz w:val="24"/>
          <w:szCs w:val="24"/>
        </w:rPr>
        <w:footnoteReference w:id="6"/>
      </w:r>
      <w:r w:rsidR="009A11FF">
        <w:rPr>
          <w:rFonts w:ascii="Times New Roman" w:hAnsi="Times New Roman" w:cs="Times New Roman"/>
          <w:bCs/>
          <w:sz w:val="24"/>
          <w:szCs w:val="24"/>
        </w:rPr>
        <w:t xml:space="preserve"> This </w:t>
      </w:r>
      <w:r w:rsidR="009A11FF" w:rsidRPr="003B16CD">
        <w:rPr>
          <w:rFonts w:ascii="Times New Roman" w:hAnsi="Times New Roman" w:cs="Times New Roman"/>
          <w:bCs/>
          <w:sz w:val="24"/>
          <w:szCs w:val="24"/>
        </w:rPr>
        <w:t>include</w:t>
      </w:r>
      <w:r w:rsidR="00E91D23" w:rsidRPr="003B16CD">
        <w:rPr>
          <w:rFonts w:ascii="Times New Roman" w:hAnsi="Times New Roman" w:cs="Times New Roman"/>
          <w:bCs/>
          <w:sz w:val="24"/>
          <w:szCs w:val="24"/>
        </w:rPr>
        <w:t>d SDR</w:t>
      </w:r>
      <w:r w:rsidR="00964A96">
        <w:rPr>
          <w:rFonts w:ascii="Times New Roman" w:hAnsi="Times New Roman" w:cs="Times New Roman"/>
          <w:bCs/>
          <w:sz w:val="24"/>
          <w:szCs w:val="24"/>
        </w:rPr>
        <w:t>95</w:t>
      </w:r>
      <w:r w:rsidR="00973F56">
        <w:rPr>
          <w:rFonts w:ascii="Times New Roman" w:hAnsi="Times New Roman" w:cs="Times New Roman"/>
          <w:bCs/>
          <w:sz w:val="24"/>
          <w:szCs w:val="24"/>
        </w:rPr>
        <w:t>5</w:t>
      </w:r>
      <w:r w:rsidR="009A11FF">
        <w:rPr>
          <w:rFonts w:ascii="Times New Roman" w:hAnsi="Times New Roman" w:cs="Times New Roman"/>
          <w:bCs/>
          <w:sz w:val="24"/>
          <w:szCs w:val="24"/>
        </w:rPr>
        <w:t xml:space="preserve"> million on grant terms</w:t>
      </w:r>
      <w:r w:rsidR="009A11FF" w:rsidRPr="003B16CD">
        <w:rPr>
          <w:rFonts w:ascii="Times New Roman" w:hAnsi="Times New Roman" w:cs="Times New Roman"/>
          <w:bCs/>
          <w:sz w:val="24"/>
          <w:szCs w:val="24"/>
        </w:rPr>
        <w:t xml:space="preserve">, </w:t>
      </w:r>
      <w:r w:rsidR="00E91D23" w:rsidRPr="003B16CD">
        <w:rPr>
          <w:rFonts w:ascii="Times New Roman" w:hAnsi="Times New Roman" w:cs="Times New Roman"/>
          <w:bCs/>
          <w:sz w:val="24"/>
          <w:szCs w:val="24"/>
        </w:rPr>
        <w:t>SDR</w:t>
      </w:r>
      <w:r w:rsidR="003B16CD" w:rsidRPr="003B16CD">
        <w:rPr>
          <w:rFonts w:ascii="Times New Roman" w:hAnsi="Times New Roman" w:cs="Times New Roman"/>
          <w:bCs/>
          <w:sz w:val="24"/>
          <w:szCs w:val="24"/>
        </w:rPr>
        <w:t>8,</w:t>
      </w:r>
      <w:r w:rsidR="000B7520">
        <w:rPr>
          <w:rFonts w:ascii="Times New Roman" w:hAnsi="Times New Roman" w:cs="Times New Roman"/>
          <w:bCs/>
          <w:sz w:val="24"/>
          <w:szCs w:val="24"/>
        </w:rPr>
        <w:t>4</w:t>
      </w:r>
      <w:r w:rsidR="00A629AA">
        <w:rPr>
          <w:rFonts w:ascii="Times New Roman" w:hAnsi="Times New Roman" w:cs="Times New Roman"/>
          <w:bCs/>
          <w:sz w:val="24"/>
          <w:szCs w:val="24"/>
        </w:rPr>
        <w:t>7</w:t>
      </w:r>
      <w:r w:rsidR="00973F56">
        <w:rPr>
          <w:rFonts w:ascii="Times New Roman" w:hAnsi="Times New Roman" w:cs="Times New Roman"/>
          <w:bCs/>
          <w:sz w:val="24"/>
          <w:szCs w:val="24"/>
        </w:rPr>
        <w:t>9</w:t>
      </w:r>
      <w:r w:rsidR="009A11FF">
        <w:rPr>
          <w:rFonts w:ascii="Times New Roman" w:hAnsi="Times New Roman" w:cs="Times New Roman"/>
          <w:bCs/>
          <w:sz w:val="24"/>
          <w:szCs w:val="24"/>
        </w:rPr>
        <w:t xml:space="preserve"> million in regular or blend terms</w:t>
      </w:r>
      <w:r w:rsidR="009A11FF" w:rsidRPr="003B16CD">
        <w:rPr>
          <w:rFonts w:ascii="Times New Roman" w:hAnsi="Times New Roman" w:cs="Times New Roman"/>
          <w:bCs/>
          <w:sz w:val="24"/>
          <w:szCs w:val="24"/>
        </w:rPr>
        <w:t>, SDR</w:t>
      </w:r>
      <w:r w:rsidR="000B7520">
        <w:rPr>
          <w:rFonts w:ascii="Times New Roman" w:hAnsi="Times New Roman" w:cs="Times New Roman"/>
          <w:bCs/>
          <w:sz w:val="24"/>
          <w:szCs w:val="24"/>
        </w:rPr>
        <w:t>1</w:t>
      </w:r>
      <w:r w:rsidR="00964A96">
        <w:rPr>
          <w:rFonts w:ascii="Times New Roman" w:hAnsi="Times New Roman" w:cs="Times New Roman"/>
          <w:bCs/>
          <w:sz w:val="24"/>
          <w:szCs w:val="24"/>
        </w:rPr>
        <w:t>10</w:t>
      </w:r>
      <w:r w:rsidR="009A11FF">
        <w:rPr>
          <w:rFonts w:ascii="Times New Roman" w:hAnsi="Times New Roman" w:cs="Times New Roman"/>
          <w:bCs/>
          <w:sz w:val="24"/>
          <w:szCs w:val="24"/>
        </w:rPr>
        <w:t xml:space="preserve"> million on hard terms, </w:t>
      </w:r>
      <w:r w:rsidR="00A629AA">
        <w:rPr>
          <w:rFonts w:ascii="Times New Roman" w:hAnsi="Times New Roman" w:cs="Times New Roman"/>
          <w:bCs/>
          <w:sz w:val="24"/>
          <w:szCs w:val="24"/>
        </w:rPr>
        <w:t xml:space="preserve">and </w:t>
      </w:r>
      <w:r w:rsidR="009A11FF" w:rsidRPr="003B16CD">
        <w:rPr>
          <w:rFonts w:ascii="Times New Roman" w:hAnsi="Times New Roman" w:cs="Times New Roman"/>
          <w:bCs/>
          <w:sz w:val="24"/>
          <w:szCs w:val="24"/>
        </w:rPr>
        <w:t>SDR</w:t>
      </w:r>
      <w:r w:rsidR="000B7520">
        <w:rPr>
          <w:rFonts w:ascii="Times New Roman" w:hAnsi="Times New Roman" w:cs="Times New Roman"/>
          <w:bCs/>
          <w:sz w:val="24"/>
          <w:szCs w:val="24"/>
        </w:rPr>
        <w:t>720</w:t>
      </w:r>
      <w:r w:rsidR="009A11FF">
        <w:rPr>
          <w:rFonts w:ascii="Times New Roman" w:hAnsi="Times New Roman" w:cs="Times New Roman"/>
          <w:bCs/>
          <w:sz w:val="24"/>
          <w:szCs w:val="24"/>
        </w:rPr>
        <w:t xml:space="preserve"> million in set aside funds for regional projects</w:t>
      </w:r>
      <w:r w:rsidR="00A629AA">
        <w:rPr>
          <w:rFonts w:ascii="Times New Roman" w:hAnsi="Times New Roman" w:cs="Times New Roman"/>
          <w:bCs/>
          <w:sz w:val="24"/>
          <w:szCs w:val="24"/>
        </w:rPr>
        <w:t>.</w:t>
      </w:r>
      <w:r w:rsidR="009A11FF" w:rsidRPr="003B16CD">
        <w:rPr>
          <w:rStyle w:val="FootnoteReference"/>
          <w:rFonts w:ascii="Times New Roman" w:hAnsi="Times New Roman" w:cs="Times New Roman"/>
          <w:sz w:val="24"/>
          <w:szCs w:val="24"/>
        </w:rPr>
        <w:footnoteReference w:id="7"/>
      </w:r>
      <w:r w:rsidR="00152949" w:rsidRPr="00152949">
        <w:rPr>
          <w:rFonts w:ascii="Times New Roman" w:hAnsi="Times New Roman" w:cs="Times New Roman"/>
          <w:bCs/>
          <w:sz w:val="24"/>
          <w:szCs w:val="24"/>
          <w:vertAlign w:val="superscript"/>
        </w:rPr>
        <w:t>,</w:t>
      </w:r>
      <w:r w:rsidR="00152949">
        <w:rPr>
          <w:rStyle w:val="FootnoteReference"/>
          <w:rFonts w:ascii="Times New Roman" w:hAnsi="Times New Roman" w:cs="Times New Roman"/>
          <w:bCs/>
          <w:sz w:val="24"/>
          <w:szCs w:val="24"/>
        </w:rPr>
        <w:footnoteReference w:id="8"/>
      </w:r>
      <w:r w:rsidR="009A11FF">
        <w:rPr>
          <w:rFonts w:ascii="Times New Roman" w:hAnsi="Times New Roman" w:cs="Times New Roman"/>
          <w:bCs/>
          <w:sz w:val="24"/>
          <w:szCs w:val="24"/>
        </w:rPr>
        <w:t xml:space="preserve"> </w:t>
      </w:r>
      <w:r w:rsidR="009324A7">
        <w:rPr>
          <w:rFonts w:ascii="Times New Roman" w:hAnsi="Times New Roman" w:cs="Times New Roman"/>
          <w:bCs/>
          <w:sz w:val="24"/>
          <w:szCs w:val="24"/>
        </w:rPr>
        <w:t xml:space="preserve">The largest share of </w:t>
      </w:r>
      <w:r w:rsidR="009A11FF">
        <w:rPr>
          <w:rFonts w:ascii="Times New Roman" w:hAnsi="Times New Roman" w:cs="Times New Roman"/>
          <w:bCs/>
          <w:sz w:val="24"/>
          <w:szCs w:val="24"/>
        </w:rPr>
        <w:t>FY1</w:t>
      </w:r>
      <w:r w:rsidR="00964A96">
        <w:rPr>
          <w:rFonts w:ascii="Times New Roman" w:hAnsi="Times New Roman" w:cs="Times New Roman"/>
          <w:bCs/>
          <w:sz w:val="24"/>
          <w:szCs w:val="24"/>
        </w:rPr>
        <w:t>6</w:t>
      </w:r>
      <w:r w:rsidR="009A11FF">
        <w:rPr>
          <w:rFonts w:ascii="Times New Roman" w:hAnsi="Times New Roman" w:cs="Times New Roman"/>
          <w:bCs/>
          <w:sz w:val="24"/>
          <w:szCs w:val="24"/>
        </w:rPr>
        <w:t xml:space="preserve"> resources was allocated to Africa (</w:t>
      </w:r>
      <w:r w:rsidR="009A11FF" w:rsidRPr="00F27765">
        <w:rPr>
          <w:rFonts w:ascii="Times New Roman" w:hAnsi="Times New Roman" w:cs="Times New Roman"/>
          <w:bCs/>
          <w:sz w:val="24"/>
          <w:szCs w:val="24"/>
        </w:rPr>
        <w:t>SDR5,</w:t>
      </w:r>
      <w:r w:rsidR="00A629AA">
        <w:rPr>
          <w:rFonts w:ascii="Times New Roman" w:hAnsi="Times New Roman" w:cs="Times New Roman"/>
          <w:bCs/>
          <w:sz w:val="24"/>
          <w:szCs w:val="24"/>
        </w:rPr>
        <w:t>4</w:t>
      </w:r>
      <w:r w:rsidR="00973F56">
        <w:rPr>
          <w:rFonts w:ascii="Times New Roman" w:hAnsi="Times New Roman" w:cs="Times New Roman"/>
          <w:bCs/>
          <w:sz w:val="24"/>
          <w:szCs w:val="24"/>
        </w:rPr>
        <w:t xml:space="preserve">11 </w:t>
      </w:r>
      <w:r w:rsidR="009A11FF" w:rsidRPr="00F27765">
        <w:rPr>
          <w:rFonts w:ascii="Times New Roman" w:hAnsi="Times New Roman" w:cs="Times New Roman"/>
          <w:bCs/>
          <w:sz w:val="24"/>
          <w:szCs w:val="24"/>
        </w:rPr>
        <w:t>million),</w:t>
      </w:r>
      <w:r w:rsidR="009A11FF">
        <w:rPr>
          <w:rFonts w:ascii="Times New Roman" w:hAnsi="Times New Roman" w:cs="Times New Roman"/>
          <w:bCs/>
          <w:sz w:val="24"/>
          <w:szCs w:val="24"/>
        </w:rPr>
        <w:t xml:space="preserve"> followed by South Asia </w:t>
      </w:r>
      <w:r w:rsidR="009A11FF" w:rsidRPr="00F27765">
        <w:rPr>
          <w:rFonts w:ascii="Times New Roman" w:hAnsi="Times New Roman" w:cs="Times New Roman"/>
          <w:bCs/>
          <w:sz w:val="24"/>
          <w:szCs w:val="24"/>
        </w:rPr>
        <w:t>(SDR</w:t>
      </w:r>
      <w:r w:rsidR="00F27765" w:rsidRPr="00F27765">
        <w:rPr>
          <w:rFonts w:ascii="Times New Roman" w:hAnsi="Times New Roman" w:cs="Times New Roman"/>
          <w:bCs/>
          <w:sz w:val="24"/>
          <w:szCs w:val="24"/>
        </w:rPr>
        <w:t>2</w:t>
      </w:r>
      <w:r w:rsidR="009A11FF" w:rsidRPr="00F27765">
        <w:rPr>
          <w:rFonts w:ascii="Times New Roman" w:hAnsi="Times New Roman" w:cs="Times New Roman"/>
          <w:bCs/>
          <w:sz w:val="24"/>
          <w:szCs w:val="24"/>
        </w:rPr>
        <w:t>,</w:t>
      </w:r>
      <w:r w:rsidR="00964A96">
        <w:rPr>
          <w:rFonts w:ascii="Times New Roman" w:hAnsi="Times New Roman" w:cs="Times New Roman"/>
          <w:bCs/>
          <w:sz w:val="24"/>
          <w:szCs w:val="24"/>
        </w:rPr>
        <w:t>142</w:t>
      </w:r>
      <w:r w:rsidR="009A11FF" w:rsidRPr="00F27765">
        <w:rPr>
          <w:rFonts w:ascii="Times New Roman" w:hAnsi="Times New Roman" w:cs="Times New Roman"/>
          <w:bCs/>
          <w:sz w:val="24"/>
          <w:szCs w:val="24"/>
        </w:rPr>
        <w:t xml:space="preserve"> million),</w:t>
      </w:r>
      <w:r w:rsidR="009A11FF">
        <w:rPr>
          <w:rFonts w:ascii="Times New Roman" w:hAnsi="Times New Roman" w:cs="Times New Roman"/>
          <w:bCs/>
          <w:sz w:val="24"/>
          <w:szCs w:val="24"/>
        </w:rPr>
        <w:t xml:space="preserve"> East Asia and Pacific </w:t>
      </w:r>
      <w:r w:rsidR="009A11FF" w:rsidRPr="00F27765">
        <w:rPr>
          <w:rFonts w:ascii="Times New Roman" w:hAnsi="Times New Roman" w:cs="Times New Roman"/>
          <w:bCs/>
          <w:sz w:val="24"/>
          <w:szCs w:val="24"/>
        </w:rPr>
        <w:t>(SDR1,</w:t>
      </w:r>
      <w:r w:rsidR="00964A96">
        <w:rPr>
          <w:rFonts w:ascii="Times New Roman" w:hAnsi="Times New Roman" w:cs="Times New Roman"/>
          <w:bCs/>
          <w:sz w:val="24"/>
          <w:szCs w:val="24"/>
        </w:rPr>
        <w:t>419</w:t>
      </w:r>
      <w:r w:rsidR="009A11FF" w:rsidRPr="00F27765">
        <w:rPr>
          <w:rFonts w:ascii="Times New Roman" w:hAnsi="Times New Roman" w:cs="Times New Roman"/>
          <w:bCs/>
          <w:sz w:val="24"/>
          <w:szCs w:val="24"/>
        </w:rPr>
        <w:t xml:space="preserve"> million),</w:t>
      </w:r>
      <w:r w:rsidR="009A11FF">
        <w:rPr>
          <w:rFonts w:ascii="Times New Roman" w:hAnsi="Times New Roman" w:cs="Times New Roman"/>
          <w:bCs/>
          <w:sz w:val="24"/>
          <w:szCs w:val="24"/>
        </w:rPr>
        <w:t xml:space="preserve"> Europe and Central Asia </w:t>
      </w:r>
      <w:r w:rsidR="009A11FF" w:rsidRPr="00F27765">
        <w:rPr>
          <w:rFonts w:ascii="Times New Roman" w:hAnsi="Times New Roman" w:cs="Times New Roman"/>
          <w:bCs/>
          <w:sz w:val="24"/>
          <w:szCs w:val="24"/>
        </w:rPr>
        <w:t>(SDR3</w:t>
      </w:r>
      <w:r w:rsidR="00CA555F">
        <w:rPr>
          <w:rFonts w:ascii="Times New Roman" w:hAnsi="Times New Roman" w:cs="Times New Roman"/>
          <w:bCs/>
          <w:sz w:val="24"/>
          <w:szCs w:val="24"/>
        </w:rPr>
        <w:t>0</w:t>
      </w:r>
      <w:r w:rsidR="00964A96">
        <w:rPr>
          <w:rFonts w:ascii="Times New Roman" w:hAnsi="Times New Roman" w:cs="Times New Roman"/>
          <w:bCs/>
          <w:sz w:val="24"/>
          <w:szCs w:val="24"/>
        </w:rPr>
        <w:t>8</w:t>
      </w:r>
      <w:r w:rsidR="009A11FF" w:rsidRPr="00F27765">
        <w:rPr>
          <w:rFonts w:ascii="Times New Roman" w:hAnsi="Times New Roman" w:cs="Times New Roman"/>
          <w:bCs/>
          <w:sz w:val="24"/>
          <w:szCs w:val="24"/>
        </w:rPr>
        <w:t xml:space="preserve"> million),</w:t>
      </w:r>
      <w:r w:rsidR="009A11FF">
        <w:rPr>
          <w:rFonts w:ascii="Times New Roman" w:hAnsi="Times New Roman" w:cs="Times New Roman"/>
          <w:bCs/>
          <w:sz w:val="24"/>
          <w:szCs w:val="24"/>
        </w:rPr>
        <w:t xml:space="preserve"> Latin America and the Caribbean </w:t>
      </w:r>
      <w:r w:rsidR="009A11FF" w:rsidRPr="00F27765">
        <w:rPr>
          <w:rFonts w:ascii="Times New Roman" w:hAnsi="Times New Roman" w:cs="Times New Roman"/>
          <w:bCs/>
          <w:sz w:val="24"/>
          <w:szCs w:val="24"/>
        </w:rPr>
        <w:t>(SDR</w:t>
      </w:r>
      <w:r w:rsidR="00CA555F">
        <w:rPr>
          <w:rFonts w:ascii="Times New Roman" w:hAnsi="Times New Roman" w:cs="Times New Roman"/>
          <w:bCs/>
          <w:sz w:val="24"/>
          <w:szCs w:val="24"/>
        </w:rPr>
        <w:t>1</w:t>
      </w:r>
      <w:r w:rsidR="00964A96">
        <w:rPr>
          <w:rFonts w:ascii="Times New Roman" w:hAnsi="Times New Roman" w:cs="Times New Roman"/>
          <w:bCs/>
          <w:sz w:val="24"/>
          <w:szCs w:val="24"/>
        </w:rPr>
        <w:t>77</w:t>
      </w:r>
      <w:r w:rsidR="009A11FF" w:rsidRPr="00F27765">
        <w:rPr>
          <w:rFonts w:ascii="Times New Roman" w:hAnsi="Times New Roman" w:cs="Times New Roman"/>
          <w:bCs/>
          <w:sz w:val="24"/>
          <w:szCs w:val="24"/>
        </w:rPr>
        <w:t xml:space="preserve"> million</w:t>
      </w:r>
      <w:r w:rsidR="009A11FF">
        <w:rPr>
          <w:rFonts w:ascii="Times New Roman" w:hAnsi="Times New Roman" w:cs="Times New Roman"/>
          <w:bCs/>
          <w:sz w:val="24"/>
          <w:szCs w:val="24"/>
        </w:rPr>
        <w:t xml:space="preserve">), and Middle East and North Africa </w:t>
      </w:r>
      <w:r w:rsidR="009A11FF" w:rsidRPr="00F27765">
        <w:rPr>
          <w:rFonts w:ascii="Times New Roman" w:hAnsi="Times New Roman" w:cs="Times New Roman"/>
          <w:bCs/>
          <w:sz w:val="24"/>
          <w:szCs w:val="24"/>
        </w:rPr>
        <w:t>(SDR</w:t>
      </w:r>
      <w:r w:rsidR="00CA555F">
        <w:rPr>
          <w:rFonts w:ascii="Times New Roman" w:hAnsi="Times New Roman" w:cs="Times New Roman"/>
          <w:bCs/>
          <w:sz w:val="24"/>
          <w:szCs w:val="24"/>
        </w:rPr>
        <w:t>10</w:t>
      </w:r>
      <w:r w:rsidR="00964A96">
        <w:rPr>
          <w:rFonts w:ascii="Times New Roman" w:hAnsi="Times New Roman" w:cs="Times New Roman"/>
          <w:bCs/>
          <w:sz w:val="24"/>
          <w:szCs w:val="24"/>
        </w:rPr>
        <w:t>2</w:t>
      </w:r>
      <w:r w:rsidR="009A11FF" w:rsidRPr="00F27765">
        <w:rPr>
          <w:rFonts w:ascii="Times New Roman" w:hAnsi="Times New Roman" w:cs="Times New Roman"/>
          <w:bCs/>
          <w:sz w:val="24"/>
          <w:szCs w:val="24"/>
        </w:rPr>
        <w:t xml:space="preserve"> million).</w:t>
      </w:r>
    </w:p>
    <w:p w:rsidR="00686EFC" w:rsidRPr="00686EFC" w:rsidRDefault="00686EFC" w:rsidP="00686EFC">
      <w:pPr>
        <w:pStyle w:val="ListParagraph"/>
        <w:rPr>
          <w:rFonts w:ascii="Times New Roman" w:hAnsi="Times New Roman" w:cs="Times New Roman"/>
          <w:bCs/>
          <w:sz w:val="24"/>
          <w:szCs w:val="24"/>
        </w:rPr>
      </w:pPr>
    </w:p>
    <w:p w:rsidR="008F253B" w:rsidRDefault="00083F54" w:rsidP="008F253B">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3</w:t>
      </w:r>
      <w:r w:rsidR="008F253B" w:rsidRPr="008F253B">
        <w:rPr>
          <w:rFonts w:ascii="Times New Roman" w:hAnsi="Times New Roman" w:cs="Times New Roman"/>
          <w:bCs/>
          <w:sz w:val="24"/>
          <w:szCs w:val="24"/>
        </w:rPr>
        <w:t>.</w:t>
      </w:r>
      <w:r w:rsidR="008F253B">
        <w:rPr>
          <w:rFonts w:ascii="Times New Roman" w:hAnsi="Times New Roman" w:cs="Times New Roman"/>
          <w:b/>
          <w:bCs/>
          <w:sz w:val="24"/>
          <w:szCs w:val="24"/>
        </w:rPr>
        <w:t xml:space="preserve"> </w:t>
      </w:r>
      <w:r w:rsidR="00482FB6">
        <w:rPr>
          <w:rFonts w:ascii="Times New Roman" w:hAnsi="Times New Roman" w:cs="Times New Roman"/>
          <w:b/>
          <w:bCs/>
          <w:sz w:val="24"/>
          <w:szCs w:val="24"/>
        </w:rPr>
        <w:tab/>
      </w:r>
      <w:r w:rsidR="009E4D15">
        <w:rPr>
          <w:rFonts w:ascii="Times New Roman" w:hAnsi="Times New Roman" w:cs="Times New Roman"/>
          <w:b/>
          <w:bCs/>
          <w:sz w:val="24"/>
          <w:szCs w:val="24"/>
        </w:rPr>
        <w:t>Key Input Data for FY1</w:t>
      </w:r>
      <w:r w:rsidR="001838B2">
        <w:rPr>
          <w:rFonts w:ascii="Times New Roman" w:hAnsi="Times New Roman" w:cs="Times New Roman"/>
          <w:b/>
          <w:bCs/>
          <w:sz w:val="24"/>
          <w:szCs w:val="24"/>
        </w:rPr>
        <w:t>6</w:t>
      </w:r>
      <w:r w:rsidR="005E695C">
        <w:rPr>
          <w:rFonts w:ascii="Times New Roman" w:hAnsi="Times New Roman" w:cs="Times New Roman"/>
          <w:b/>
          <w:bCs/>
          <w:sz w:val="24"/>
          <w:szCs w:val="24"/>
        </w:rPr>
        <w:t xml:space="preserve"> Allocations. </w:t>
      </w:r>
      <w:r w:rsidR="008F253B">
        <w:rPr>
          <w:rFonts w:ascii="Times New Roman" w:hAnsi="Times New Roman" w:cs="Times New Roman"/>
          <w:bCs/>
          <w:sz w:val="24"/>
          <w:szCs w:val="24"/>
        </w:rPr>
        <w:t xml:space="preserve">Table </w:t>
      </w:r>
      <w:r w:rsidR="005E695C">
        <w:rPr>
          <w:rFonts w:ascii="Times New Roman" w:hAnsi="Times New Roman" w:cs="Times New Roman"/>
          <w:bCs/>
          <w:sz w:val="24"/>
          <w:szCs w:val="24"/>
        </w:rPr>
        <w:t>2</w:t>
      </w:r>
      <w:r w:rsidR="008F253B">
        <w:rPr>
          <w:rFonts w:ascii="Times New Roman" w:hAnsi="Times New Roman" w:cs="Times New Roman"/>
          <w:bCs/>
          <w:sz w:val="24"/>
          <w:szCs w:val="24"/>
        </w:rPr>
        <w:t xml:space="preserve"> presents the key data underpinning the FY1</w:t>
      </w:r>
      <w:r w:rsidR="001838B2">
        <w:rPr>
          <w:rFonts w:ascii="Times New Roman" w:hAnsi="Times New Roman" w:cs="Times New Roman"/>
          <w:bCs/>
          <w:sz w:val="24"/>
          <w:szCs w:val="24"/>
        </w:rPr>
        <w:t>6</w:t>
      </w:r>
      <w:r w:rsidR="008F253B">
        <w:rPr>
          <w:rFonts w:ascii="Times New Roman" w:hAnsi="Times New Roman" w:cs="Times New Roman"/>
          <w:bCs/>
          <w:sz w:val="24"/>
          <w:szCs w:val="24"/>
        </w:rPr>
        <w:t xml:space="preserve"> country allocations. C</w:t>
      </w:r>
      <w:r w:rsidR="008F253B" w:rsidRPr="009C6819">
        <w:rPr>
          <w:rFonts w:ascii="Times New Roman" w:hAnsi="Times New Roman" w:cs="Times New Roman"/>
          <w:bCs/>
          <w:sz w:val="24"/>
          <w:szCs w:val="24"/>
        </w:rPr>
        <w:t>olumn</w:t>
      </w:r>
      <w:r w:rsidR="008F253B">
        <w:rPr>
          <w:rFonts w:ascii="Times New Roman" w:hAnsi="Times New Roman" w:cs="Times New Roman"/>
          <w:bCs/>
          <w:sz w:val="24"/>
          <w:szCs w:val="24"/>
        </w:rPr>
        <w:t xml:space="preserve"> A.4</w:t>
      </w:r>
      <w:r w:rsidR="008F253B" w:rsidRPr="009C6819">
        <w:rPr>
          <w:rFonts w:ascii="Times New Roman" w:hAnsi="Times New Roman" w:cs="Times New Roman"/>
          <w:bCs/>
          <w:sz w:val="24"/>
          <w:szCs w:val="24"/>
        </w:rPr>
        <w:t xml:space="preserve"> show</w:t>
      </w:r>
      <w:r w:rsidR="008F253B">
        <w:rPr>
          <w:rFonts w:ascii="Times New Roman" w:hAnsi="Times New Roman" w:cs="Times New Roman"/>
          <w:bCs/>
          <w:sz w:val="24"/>
          <w:szCs w:val="24"/>
        </w:rPr>
        <w:t>s</w:t>
      </w:r>
      <w:r w:rsidR="008F253B" w:rsidRPr="009C6819">
        <w:rPr>
          <w:rFonts w:ascii="Times New Roman" w:hAnsi="Times New Roman" w:cs="Times New Roman"/>
          <w:bCs/>
          <w:sz w:val="24"/>
          <w:szCs w:val="24"/>
        </w:rPr>
        <w:t xml:space="preserve"> country performance ratings (CPRs) </w:t>
      </w:r>
      <w:r w:rsidR="008F253B">
        <w:rPr>
          <w:rFonts w:ascii="Times New Roman" w:hAnsi="Times New Roman" w:cs="Times New Roman"/>
          <w:bCs/>
          <w:sz w:val="24"/>
          <w:szCs w:val="24"/>
        </w:rPr>
        <w:t>with columns A</w:t>
      </w:r>
      <w:r w:rsidR="005E695C">
        <w:rPr>
          <w:rFonts w:ascii="Times New Roman" w:hAnsi="Times New Roman" w:cs="Times New Roman"/>
          <w:bCs/>
          <w:sz w:val="24"/>
          <w:szCs w:val="24"/>
        </w:rPr>
        <w:t>.</w:t>
      </w:r>
      <w:r w:rsidR="008F253B">
        <w:rPr>
          <w:rFonts w:ascii="Times New Roman" w:hAnsi="Times New Roman" w:cs="Times New Roman"/>
          <w:bCs/>
          <w:sz w:val="24"/>
          <w:szCs w:val="24"/>
        </w:rPr>
        <w:t>1-A</w:t>
      </w:r>
      <w:r w:rsidR="005E695C">
        <w:rPr>
          <w:rFonts w:ascii="Times New Roman" w:hAnsi="Times New Roman" w:cs="Times New Roman"/>
          <w:bCs/>
          <w:sz w:val="24"/>
          <w:szCs w:val="24"/>
        </w:rPr>
        <w:t>.</w:t>
      </w:r>
      <w:r w:rsidR="008F253B">
        <w:rPr>
          <w:rFonts w:ascii="Times New Roman" w:hAnsi="Times New Roman" w:cs="Times New Roman"/>
          <w:bCs/>
          <w:sz w:val="24"/>
          <w:szCs w:val="24"/>
        </w:rPr>
        <w:t xml:space="preserve">3 showing </w:t>
      </w:r>
      <w:r w:rsidR="008F253B" w:rsidRPr="009C6819">
        <w:rPr>
          <w:rFonts w:ascii="Times New Roman" w:hAnsi="Times New Roman" w:cs="Times New Roman"/>
          <w:bCs/>
          <w:sz w:val="24"/>
          <w:szCs w:val="24"/>
        </w:rPr>
        <w:t>th</w:t>
      </w:r>
      <w:r w:rsidR="008F253B">
        <w:rPr>
          <w:rFonts w:ascii="Times New Roman" w:hAnsi="Times New Roman" w:cs="Times New Roman"/>
          <w:bCs/>
          <w:sz w:val="24"/>
          <w:szCs w:val="24"/>
        </w:rPr>
        <w:t xml:space="preserve">e </w:t>
      </w:r>
      <w:r w:rsidR="008F253B" w:rsidRPr="009C6819">
        <w:rPr>
          <w:rFonts w:ascii="Times New Roman" w:hAnsi="Times New Roman" w:cs="Times New Roman"/>
          <w:bCs/>
          <w:sz w:val="24"/>
          <w:szCs w:val="24"/>
        </w:rPr>
        <w:t xml:space="preserve">indicators </w:t>
      </w:r>
      <w:r w:rsidR="008F253B">
        <w:rPr>
          <w:rFonts w:ascii="Times New Roman" w:hAnsi="Times New Roman" w:cs="Times New Roman"/>
          <w:bCs/>
          <w:sz w:val="24"/>
          <w:szCs w:val="24"/>
        </w:rPr>
        <w:t xml:space="preserve">based </w:t>
      </w:r>
      <w:r w:rsidR="008F253B" w:rsidRPr="009C6819">
        <w:rPr>
          <w:rFonts w:ascii="Times New Roman" w:hAnsi="Times New Roman" w:cs="Times New Roman"/>
          <w:bCs/>
          <w:sz w:val="24"/>
          <w:szCs w:val="24"/>
        </w:rPr>
        <w:t>on which the</w:t>
      </w:r>
      <w:r w:rsidR="008F253B">
        <w:rPr>
          <w:rFonts w:ascii="Times New Roman" w:hAnsi="Times New Roman" w:cs="Times New Roman"/>
          <w:bCs/>
          <w:sz w:val="24"/>
          <w:szCs w:val="24"/>
        </w:rPr>
        <w:t xml:space="preserve"> CPRs</w:t>
      </w:r>
      <w:r w:rsidR="008F253B" w:rsidRPr="009C6819">
        <w:rPr>
          <w:rFonts w:ascii="Times New Roman" w:hAnsi="Times New Roman" w:cs="Times New Roman"/>
          <w:bCs/>
          <w:sz w:val="24"/>
          <w:szCs w:val="24"/>
        </w:rPr>
        <w:t xml:space="preserve"> </w:t>
      </w:r>
      <w:r w:rsidR="008F253B">
        <w:rPr>
          <w:rFonts w:ascii="Times New Roman" w:hAnsi="Times New Roman" w:cs="Times New Roman"/>
          <w:bCs/>
          <w:sz w:val="24"/>
          <w:szCs w:val="24"/>
        </w:rPr>
        <w:t>were</w:t>
      </w:r>
      <w:r w:rsidR="008F253B" w:rsidRPr="009C6819">
        <w:rPr>
          <w:rFonts w:ascii="Times New Roman" w:hAnsi="Times New Roman" w:cs="Times New Roman"/>
          <w:bCs/>
          <w:sz w:val="24"/>
          <w:szCs w:val="24"/>
        </w:rPr>
        <w:t xml:space="preserve"> </w:t>
      </w:r>
      <w:r w:rsidR="008F253B">
        <w:rPr>
          <w:rFonts w:ascii="Times New Roman" w:hAnsi="Times New Roman" w:cs="Times New Roman"/>
          <w:bCs/>
          <w:sz w:val="24"/>
          <w:szCs w:val="24"/>
        </w:rPr>
        <w:t>calculated. C</w:t>
      </w:r>
      <w:r w:rsidR="008F253B" w:rsidRPr="009C6819">
        <w:rPr>
          <w:rFonts w:ascii="Times New Roman" w:hAnsi="Times New Roman" w:cs="Times New Roman"/>
          <w:bCs/>
          <w:sz w:val="24"/>
          <w:szCs w:val="24"/>
        </w:rPr>
        <w:t>olumn A.1</w:t>
      </w:r>
      <w:r w:rsidR="008F253B">
        <w:rPr>
          <w:rFonts w:ascii="Times New Roman" w:hAnsi="Times New Roman" w:cs="Times New Roman"/>
          <w:bCs/>
          <w:sz w:val="24"/>
          <w:szCs w:val="24"/>
        </w:rPr>
        <w:t xml:space="preserve"> shows </w:t>
      </w:r>
      <w:r w:rsidR="008F253B" w:rsidRPr="009C6819">
        <w:rPr>
          <w:rFonts w:ascii="Times New Roman" w:hAnsi="Times New Roman" w:cs="Times New Roman"/>
          <w:bCs/>
          <w:sz w:val="24"/>
          <w:szCs w:val="24"/>
        </w:rPr>
        <w:t xml:space="preserve">the average rating for </w:t>
      </w:r>
      <w:r w:rsidR="008F253B">
        <w:rPr>
          <w:rFonts w:ascii="Times New Roman" w:hAnsi="Times New Roman" w:cs="Times New Roman"/>
          <w:bCs/>
          <w:sz w:val="24"/>
          <w:szCs w:val="24"/>
        </w:rPr>
        <w:t>the Country Policy and Institutional Assessment (</w:t>
      </w:r>
      <w:r w:rsidR="008F253B" w:rsidRPr="009C6819">
        <w:rPr>
          <w:rFonts w:ascii="Times New Roman" w:hAnsi="Times New Roman" w:cs="Times New Roman"/>
          <w:bCs/>
          <w:sz w:val="24"/>
          <w:szCs w:val="24"/>
        </w:rPr>
        <w:t>CPIA</w:t>
      </w:r>
      <w:r w:rsidR="008F253B">
        <w:rPr>
          <w:rFonts w:ascii="Times New Roman" w:hAnsi="Times New Roman" w:cs="Times New Roman"/>
          <w:bCs/>
          <w:sz w:val="24"/>
          <w:szCs w:val="24"/>
        </w:rPr>
        <w:t>)</w:t>
      </w:r>
      <w:r w:rsidR="008F253B" w:rsidRPr="009C6819">
        <w:rPr>
          <w:rFonts w:ascii="Times New Roman" w:hAnsi="Times New Roman" w:cs="Times New Roman"/>
          <w:bCs/>
          <w:sz w:val="24"/>
          <w:szCs w:val="24"/>
        </w:rPr>
        <w:t xml:space="preserve"> </w:t>
      </w:r>
      <w:r w:rsidR="008F253B">
        <w:rPr>
          <w:rFonts w:ascii="Times New Roman" w:hAnsi="Times New Roman" w:cs="Times New Roman"/>
          <w:bCs/>
          <w:sz w:val="24"/>
          <w:szCs w:val="24"/>
        </w:rPr>
        <w:t>clusters A through C (</w:t>
      </w:r>
      <w:r w:rsidR="008F253B" w:rsidRPr="009C6819">
        <w:rPr>
          <w:rFonts w:ascii="Times New Roman" w:hAnsi="Times New Roman" w:cs="Times New Roman"/>
          <w:bCs/>
          <w:sz w:val="24"/>
          <w:szCs w:val="24"/>
        </w:rPr>
        <w:t>“Economic Management</w:t>
      </w:r>
      <w:r w:rsidR="008F253B">
        <w:rPr>
          <w:rFonts w:ascii="Times New Roman" w:hAnsi="Times New Roman" w:cs="Times New Roman"/>
          <w:bCs/>
          <w:sz w:val="24"/>
          <w:szCs w:val="24"/>
        </w:rPr>
        <w:t>,</w:t>
      </w:r>
      <w:r w:rsidR="008F253B" w:rsidRPr="009C6819">
        <w:rPr>
          <w:rFonts w:ascii="Times New Roman" w:hAnsi="Times New Roman" w:cs="Times New Roman"/>
          <w:bCs/>
          <w:sz w:val="24"/>
          <w:szCs w:val="24"/>
        </w:rPr>
        <w:t>” “Structural Policies</w:t>
      </w:r>
      <w:r w:rsidR="008F253B">
        <w:rPr>
          <w:rFonts w:ascii="Times New Roman" w:hAnsi="Times New Roman" w:cs="Times New Roman"/>
          <w:bCs/>
          <w:sz w:val="24"/>
          <w:szCs w:val="24"/>
        </w:rPr>
        <w:t>,</w:t>
      </w:r>
      <w:r w:rsidR="008F253B" w:rsidRPr="009C6819">
        <w:rPr>
          <w:rFonts w:ascii="Times New Roman" w:hAnsi="Times New Roman" w:cs="Times New Roman"/>
          <w:bCs/>
          <w:sz w:val="24"/>
          <w:szCs w:val="24"/>
        </w:rPr>
        <w:t xml:space="preserve">” </w:t>
      </w:r>
      <w:r w:rsidR="008F253B">
        <w:rPr>
          <w:rFonts w:ascii="Times New Roman" w:hAnsi="Times New Roman" w:cs="Times New Roman"/>
          <w:bCs/>
          <w:sz w:val="24"/>
          <w:szCs w:val="24"/>
        </w:rPr>
        <w:t xml:space="preserve">and </w:t>
      </w:r>
      <w:r w:rsidR="008F253B" w:rsidRPr="009C6819">
        <w:rPr>
          <w:rFonts w:ascii="Times New Roman" w:hAnsi="Times New Roman" w:cs="Times New Roman"/>
          <w:bCs/>
          <w:sz w:val="24"/>
          <w:szCs w:val="24"/>
        </w:rPr>
        <w:t>“Policies for Social Inclusion</w:t>
      </w:r>
      <w:r w:rsidR="008F253B">
        <w:rPr>
          <w:rFonts w:ascii="Times New Roman" w:hAnsi="Times New Roman" w:cs="Times New Roman"/>
          <w:bCs/>
          <w:sz w:val="24"/>
          <w:szCs w:val="24"/>
        </w:rPr>
        <w:t>,</w:t>
      </w:r>
      <w:r w:rsidR="009C6B96">
        <w:rPr>
          <w:rFonts w:ascii="Times New Roman" w:hAnsi="Times New Roman" w:cs="Times New Roman"/>
          <w:bCs/>
          <w:sz w:val="24"/>
          <w:szCs w:val="24"/>
        </w:rPr>
        <w:t>”</w:t>
      </w:r>
      <w:r w:rsidR="008F253B">
        <w:rPr>
          <w:rFonts w:ascii="Times New Roman" w:hAnsi="Times New Roman" w:cs="Times New Roman"/>
          <w:bCs/>
          <w:sz w:val="24"/>
          <w:szCs w:val="24"/>
        </w:rPr>
        <w:t xml:space="preserve"> respectively); </w:t>
      </w:r>
      <w:r w:rsidR="008F253B" w:rsidRPr="009C6819">
        <w:rPr>
          <w:rFonts w:ascii="Times New Roman" w:hAnsi="Times New Roman" w:cs="Times New Roman"/>
          <w:bCs/>
          <w:sz w:val="24"/>
          <w:szCs w:val="24"/>
        </w:rPr>
        <w:t xml:space="preserve">column A.2 </w:t>
      </w:r>
      <w:r w:rsidR="008F253B">
        <w:rPr>
          <w:rFonts w:ascii="Times New Roman" w:hAnsi="Times New Roman" w:cs="Times New Roman"/>
          <w:bCs/>
          <w:sz w:val="24"/>
          <w:szCs w:val="24"/>
        </w:rPr>
        <w:t xml:space="preserve">shows </w:t>
      </w:r>
      <w:r w:rsidR="008F253B" w:rsidRPr="009C6819">
        <w:rPr>
          <w:rFonts w:ascii="Times New Roman" w:hAnsi="Times New Roman" w:cs="Times New Roman"/>
          <w:bCs/>
          <w:sz w:val="24"/>
          <w:szCs w:val="24"/>
        </w:rPr>
        <w:t xml:space="preserve">the rating for the </w:t>
      </w:r>
      <w:r w:rsidR="008F253B">
        <w:rPr>
          <w:rFonts w:ascii="Times New Roman" w:hAnsi="Times New Roman" w:cs="Times New Roman"/>
          <w:bCs/>
          <w:sz w:val="24"/>
          <w:szCs w:val="24"/>
        </w:rPr>
        <w:t xml:space="preserve">CPIA </w:t>
      </w:r>
      <w:r w:rsidR="008F253B" w:rsidRPr="009C6819">
        <w:rPr>
          <w:rFonts w:ascii="Times New Roman" w:hAnsi="Times New Roman" w:cs="Times New Roman"/>
          <w:bCs/>
          <w:sz w:val="24"/>
          <w:szCs w:val="24"/>
        </w:rPr>
        <w:t>cluster D</w:t>
      </w:r>
      <w:r w:rsidR="008F253B">
        <w:rPr>
          <w:rFonts w:ascii="Times New Roman" w:hAnsi="Times New Roman" w:cs="Times New Roman"/>
          <w:bCs/>
          <w:sz w:val="24"/>
          <w:szCs w:val="24"/>
        </w:rPr>
        <w:t xml:space="preserve"> (</w:t>
      </w:r>
      <w:r w:rsidR="008F253B" w:rsidRPr="009C6819">
        <w:rPr>
          <w:rFonts w:ascii="Times New Roman" w:hAnsi="Times New Roman" w:cs="Times New Roman"/>
          <w:bCs/>
          <w:sz w:val="24"/>
          <w:szCs w:val="24"/>
        </w:rPr>
        <w:t>“Public Sector Management and Institutions”</w:t>
      </w:r>
      <w:r w:rsidR="008F253B">
        <w:rPr>
          <w:rFonts w:ascii="Times New Roman" w:hAnsi="Times New Roman" w:cs="Times New Roman"/>
          <w:bCs/>
          <w:sz w:val="24"/>
          <w:szCs w:val="24"/>
        </w:rPr>
        <w:t xml:space="preserve">); and </w:t>
      </w:r>
      <w:r w:rsidR="008F253B" w:rsidRPr="009C6819">
        <w:rPr>
          <w:rFonts w:ascii="Times New Roman" w:hAnsi="Times New Roman" w:cs="Times New Roman"/>
          <w:bCs/>
          <w:sz w:val="24"/>
          <w:szCs w:val="24"/>
        </w:rPr>
        <w:t xml:space="preserve">column A.3 </w:t>
      </w:r>
      <w:r w:rsidR="008F253B">
        <w:rPr>
          <w:rFonts w:ascii="Times New Roman" w:hAnsi="Times New Roman" w:cs="Times New Roman"/>
          <w:bCs/>
          <w:sz w:val="24"/>
          <w:szCs w:val="24"/>
        </w:rPr>
        <w:t>shows the portfolio performance rating</w:t>
      </w:r>
      <w:r w:rsidR="008F253B" w:rsidRPr="009C6819">
        <w:rPr>
          <w:rFonts w:ascii="Times New Roman" w:hAnsi="Times New Roman" w:cs="Times New Roman"/>
          <w:bCs/>
          <w:sz w:val="24"/>
          <w:szCs w:val="24"/>
        </w:rPr>
        <w:t xml:space="preserve">. </w:t>
      </w:r>
      <w:r w:rsidR="008F253B">
        <w:rPr>
          <w:rFonts w:ascii="Times New Roman" w:hAnsi="Times New Roman" w:cs="Times New Roman"/>
          <w:bCs/>
          <w:sz w:val="24"/>
          <w:szCs w:val="24"/>
        </w:rPr>
        <w:t>C</w:t>
      </w:r>
      <w:r w:rsidR="008F253B" w:rsidRPr="009C6819">
        <w:rPr>
          <w:rFonts w:ascii="Times New Roman" w:hAnsi="Times New Roman" w:cs="Times New Roman"/>
          <w:bCs/>
          <w:sz w:val="24"/>
          <w:szCs w:val="24"/>
        </w:rPr>
        <w:t xml:space="preserve">olumns </w:t>
      </w:r>
      <w:r w:rsidR="008F253B">
        <w:rPr>
          <w:rFonts w:ascii="Times New Roman" w:hAnsi="Times New Roman" w:cs="Times New Roman"/>
          <w:bCs/>
          <w:sz w:val="24"/>
          <w:szCs w:val="24"/>
        </w:rPr>
        <w:t xml:space="preserve">B and C </w:t>
      </w:r>
      <w:r w:rsidR="008F253B" w:rsidRPr="009C6819">
        <w:rPr>
          <w:rFonts w:ascii="Times New Roman" w:hAnsi="Times New Roman" w:cs="Times New Roman"/>
          <w:bCs/>
          <w:sz w:val="24"/>
          <w:szCs w:val="24"/>
        </w:rPr>
        <w:t>show the country population and GNI per c</w:t>
      </w:r>
      <w:r w:rsidR="008F253B">
        <w:rPr>
          <w:rFonts w:ascii="Times New Roman" w:hAnsi="Times New Roman" w:cs="Times New Roman"/>
          <w:bCs/>
          <w:sz w:val="24"/>
          <w:szCs w:val="24"/>
        </w:rPr>
        <w:t>apita</w:t>
      </w:r>
      <w:r w:rsidR="008F253B" w:rsidRPr="009C6819">
        <w:rPr>
          <w:rFonts w:ascii="Times New Roman" w:hAnsi="Times New Roman" w:cs="Times New Roman"/>
          <w:bCs/>
          <w:sz w:val="24"/>
          <w:szCs w:val="24"/>
        </w:rPr>
        <w:t>, respectively.</w:t>
      </w:r>
    </w:p>
    <w:p w:rsidR="00482FB6" w:rsidRDefault="00482FB6" w:rsidP="008F253B">
      <w:pPr>
        <w:pStyle w:val="ListParagraph"/>
        <w:spacing w:after="0" w:line="240" w:lineRule="auto"/>
        <w:ind w:left="0"/>
        <w:jc w:val="both"/>
        <w:rPr>
          <w:rFonts w:ascii="Times New Roman" w:hAnsi="Times New Roman" w:cs="Times New Roman"/>
          <w:bCs/>
          <w:sz w:val="24"/>
          <w:szCs w:val="24"/>
        </w:rPr>
      </w:pPr>
    </w:p>
    <w:p w:rsidR="000137C6" w:rsidRDefault="00957E56" w:rsidP="000137C6">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4</w:t>
      </w:r>
      <w:r w:rsidR="000137C6">
        <w:rPr>
          <w:rFonts w:ascii="Times New Roman" w:hAnsi="Times New Roman" w:cs="Times New Roman"/>
          <w:bCs/>
          <w:sz w:val="24"/>
          <w:szCs w:val="24"/>
        </w:rPr>
        <w:t>.</w:t>
      </w:r>
      <w:r w:rsidR="00857483">
        <w:rPr>
          <w:rFonts w:ascii="Times New Roman" w:hAnsi="Times New Roman" w:cs="Times New Roman"/>
          <w:bCs/>
          <w:sz w:val="24"/>
          <w:szCs w:val="24"/>
        </w:rPr>
        <w:tab/>
      </w:r>
      <w:r>
        <w:rPr>
          <w:rFonts w:ascii="Times New Roman" w:hAnsi="Times New Roman" w:cs="Times New Roman"/>
          <w:b/>
          <w:bCs/>
          <w:sz w:val="24"/>
          <w:szCs w:val="24"/>
        </w:rPr>
        <w:t>FY1</w:t>
      </w:r>
      <w:r w:rsidR="00A614B0">
        <w:rPr>
          <w:rFonts w:ascii="Times New Roman" w:hAnsi="Times New Roman" w:cs="Times New Roman"/>
          <w:b/>
          <w:bCs/>
          <w:sz w:val="24"/>
          <w:szCs w:val="24"/>
        </w:rPr>
        <w:t>6</w:t>
      </w:r>
      <w:r w:rsidR="005E695C">
        <w:rPr>
          <w:rFonts w:ascii="Times New Roman" w:hAnsi="Times New Roman" w:cs="Times New Roman"/>
          <w:b/>
          <w:bCs/>
          <w:sz w:val="24"/>
          <w:szCs w:val="24"/>
        </w:rPr>
        <w:t xml:space="preserve"> CRW Allocations. </w:t>
      </w:r>
      <w:r w:rsidR="00DE5EE7">
        <w:rPr>
          <w:rFonts w:ascii="Times New Roman" w:hAnsi="Times New Roman" w:cs="Times New Roman"/>
          <w:bCs/>
          <w:sz w:val="24"/>
          <w:szCs w:val="24"/>
        </w:rPr>
        <w:t xml:space="preserve">Table </w:t>
      </w:r>
      <w:r w:rsidR="003A18B3">
        <w:rPr>
          <w:rFonts w:ascii="Times New Roman" w:hAnsi="Times New Roman" w:cs="Times New Roman"/>
          <w:bCs/>
          <w:sz w:val="24"/>
          <w:szCs w:val="24"/>
        </w:rPr>
        <w:t>3</w:t>
      </w:r>
      <w:r>
        <w:rPr>
          <w:rFonts w:ascii="Times New Roman" w:hAnsi="Times New Roman" w:cs="Times New Roman"/>
          <w:bCs/>
          <w:sz w:val="24"/>
          <w:szCs w:val="24"/>
        </w:rPr>
        <w:t xml:space="preserve"> provides the FY1</w:t>
      </w:r>
      <w:r w:rsidR="00DF6F91">
        <w:rPr>
          <w:rFonts w:ascii="Times New Roman" w:hAnsi="Times New Roman" w:cs="Times New Roman"/>
          <w:bCs/>
          <w:sz w:val="24"/>
          <w:szCs w:val="24"/>
        </w:rPr>
        <w:t>6</w:t>
      </w:r>
      <w:r w:rsidR="008E4439">
        <w:rPr>
          <w:rFonts w:ascii="Times New Roman" w:hAnsi="Times New Roman" w:cs="Times New Roman"/>
          <w:bCs/>
          <w:sz w:val="24"/>
          <w:szCs w:val="24"/>
        </w:rPr>
        <w:t xml:space="preserve"> country allocations funded through CRW. </w:t>
      </w:r>
      <w:r w:rsidR="00A01F81">
        <w:rPr>
          <w:rFonts w:ascii="Times New Roman" w:hAnsi="Times New Roman" w:cs="Times New Roman"/>
          <w:bCs/>
          <w:sz w:val="24"/>
          <w:szCs w:val="24"/>
        </w:rPr>
        <w:t xml:space="preserve">As </w:t>
      </w:r>
      <w:r w:rsidR="00D20D74">
        <w:rPr>
          <w:rFonts w:ascii="Times New Roman" w:hAnsi="Times New Roman" w:cs="Times New Roman"/>
          <w:bCs/>
          <w:sz w:val="24"/>
          <w:szCs w:val="24"/>
        </w:rPr>
        <w:t xml:space="preserve">shown in </w:t>
      </w:r>
      <w:r w:rsidR="00A01F81">
        <w:rPr>
          <w:rFonts w:ascii="Times New Roman" w:hAnsi="Times New Roman" w:cs="Times New Roman"/>
          <w:bCs/>
          <w:sz w:val="24"/>
          <w:szCs w:val="24"/>
        </w:rPr>
        <w:t xml:space="preserve">the table, the </w:t>
      </w:r>
      <w:r w:rsidR="00683333">
        <w:rPr>
          <w:rFonts w:ascii="Times New Roman" w:hAnsi="Times New Roman" w:cs="Times New Roman"/>
          <w:bCs/>
          <w:sz w:val="24"/>
          <w:szCs w:val="24"/>
        </w:rPr>
        <w:t xml:space="preserve">CRW resources </w:t>
      </w:r>
      <w:r w:rsidR="00683333" w:rsidRPr="005B175C">
        <w:rPr>
          <w:rFonts w:ascii="Times New Roman" w:hAnsi="Times New Roman" w:cs="Times New Roman"/>
          <w:bCs/>
          <w:sz w:val="24"/>
          <w:szCs w:val="24"/>
        </w:rPr>
        <w:t xml:space="preserve">of </w:t>
      </w:r>
      <w:r w:rsidR="00B33DA9">
        <w:rPr>
          <w:rFonts w:ascii="Times New Roman" w:hAnsi="Times New Roman" w:cs="Times New Roman"/>
          <w:bCs/>
          <w:sz w:val="24"/>
          <w:szCs w:val="24"/>
        </w:rPr>
        <w:t xml:space="preserve">US$200 million (equivalent to about </w:t>
      </w:r>
      <w:r w:rsidR="008E4439" w:rsidRPr="00B607BD">
        <w:rPr>
          <w:rFonts w:ascii="Times New Roman" w:hAnsi="Times New Roman" w:cs="Times New Roman"/>
          <w:bCs/>
          <w:sz w:val="24"/>
          <w:szCs w:val="24"/>
        </w:rPr>
        <w:t>SDR</w:t>
      </w:r>
      <w:r w:rsidR="00A629AA">
        <w:rPr>
          <w:rFonts w:ascii="Times New Roman" w:hAnsi="Times New Roman" w:cs="Times New Roman"/>
          <w:bCs/>
          <w:sz w:val="24"/>
          <w:szCs w:val="24"/>
        </w:rPr>
        <w:t xml:space="preserve">133 </w:t>
      </w:r>
      <w:r w:rsidR="00A01F81" w:rsidRPr="005B175C">
        <w:rPr>
          <w:rFonts w:ascii="Times New Roman" w:hAnsi="Times New Roman" w:cs="Times New Roman"/>
          <w:bCs/>
          <w:sz w:val="24"/>
          <w:szCs w:val="24"/>
        </w:rPr>
        <w:t>million</w:t>
      </w:r>
      <w:r w:rsidR="00B33DA9">
        <w:rPr>
          <w:rFonts w:ascii="Times New Roman" w:hAnsi="Times New Roman" w:cs="Times New Roman"/>
          <w:bCs/>
          <w:sz w:val="24"/>
          <w:szCs w:val="24"/>
        </w:rPr>
        <w:t>)</w:t>
      </w:r>
      <w:r w:rsidR="00A01F81">
        <w:rPr>
          <w:rFonts w:ascii="Times New Roman" w:hAnsi="Times New Roman" w:cs="Times New Roman"/>
          <w:bCs/>
          <w:sz w:val="24"/>
          <w:szCs w:val="24"/>
        </w:rPr>
        <w:t xml:space="preserve"> </w:t>
      </w:r>
      <w:r w:rsidR="00300618">
        <w:rPr>
          <w:rFonts w:ascii="Times New Roman" w:hAnsi="Times New Roman" w:cs="Times New Roman"/>
          <w:bCs/>
          <w:sz w:val="24"/>
          <w:szCs w:val="24"/>
        </w:rPr>
        <w:t xml:space="preserve">were </w:t>
      </w:r>
      <w:r w:rsidR="00683333">
        <w:rPr>
          <w:rFonts w:ascii="Times New Roman" w:hAnsi="Times New Roman" w:cs="Times New Roman"/>
          <w:bCs/>
          <w:sz w:val="24"/>
          <w:szCs w:val="24"/>
        </w:rPr>
        <w:t xml:space="preserve">made available </w:t>
      </w:r>
      <w:r w:rsidR="005D5EFC">
        <w:rPr>
          <w:rFonts w:ascii="Times New Roman" w:hAnsi="Times New Roman" w:cs="Times New Roman"/>
          <w:bCs/>
          <w:sz w:val="24"/>
          <w:szCs w:val="24"/>
        </w:rPr>
        <w:t>to</w:t>
      </w:r>
      <w:r w:rsidR="00B607BD">
        <w:rPr>
          <w:rFonts w:ascii="Times New Roman" w:hAnsi="Times New Roman" w:cs="Times New Roman"/>
          <w:bCs/>
          <w:sz w:val="24"/>
          <w:szCs w:val="24"/>
        </w:rPr>
        <w:t xml:space="preserve"> </w:t>
      </w:r>
      <w:r w:rsidR="00A629AA">
        <w:rPr>
          <w:rFonts w:ascii="Times New Roman" w:hAnsi="Times New Roman" w:cs="Times New Roman"/>
          <w:bCs/>
          <w:sz w:val="24"/>
          <w:szCs w:val="24"/>
        </w:rPr>
        <w:t xml:space="preserve">Ethiopia and Myanmar </w:t>
      </w:r>
      <w:r w:rsidR="001E6704">
        <w:rPr>
          <w:rFonts w:ascii="Times New Roman" w:hAnsi="Times New Roman" w:cs="Times New Roman"/>
          <w:bCs/>
          <w:sz w:val="24"/>
          <w:szCs w:val="24"/>
        </w:rPr>
        <w:t>in FY1</w:t>
      </w:r>
      <w:r w:rsidR="00DF6F91">
        <w:rPr>
          <w:rFonts w:ascii="Times New Roman" w:hAnsi="Times New Roman" w:cs="Times New Roman"/>
          <w:bCs/>
          <w:sz w:val="24"/>
          <w:szCs w:val="24"/>
        </w:rPr>
        <w:t>6</w:t>
      </w:r>
      <w:r w:rsidR="003A18B3">
        <w:rPr>
          <w:rFonts w:ascii="Times New Roman" w:hAnsi="Times New Roman" w:cs="Times New Roman"/>
          <w:bCs/>
          <w:sz w:val="24"/>
          <w:szCs w:val="24"/>
        </w:rPr>
        <w:t xml:space="preserve">. </w:t>
      </w:r>
    </w:p>
    <w:p w:rsidR="009D0580" w:rsidRDefault="009D0580" w:rsidP="000137C6">
      <w:pPr>
        <w:pStyle w:val="ListParagraph"/>
        <w:spacing w:after="0" w:line="240" w:lineRule="auto"/>
        <w:ind w:left="0"/>
        <w:jc w:val="both"/>
        <w:rPr>
          <w:rFonts w:ascii="Times New Roman" w:hAnsi="Times New Roman" w:cs="Times New Roman"/>
          <w:bCs/>
          <w:sz w:val="24"/>
          <w:szCs w:val="24"/>
        </w:rPr>
      </w:pPr>
    </w:p>
    <w:p w:rsidR="009D0580" w:rsidRDefault="009D0580" w:rsidP="000137C6">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5.</w:t>
      </w:r>
      <w:r>
        <w:rPr>
          <w:rFonts w:ascii="Times New Roman" w:hAnsi="Times New Roman" w:cs="Times New Roman"/>
          <w:bCs/>
          <w:sz w:val="24"/>
          <w:szCs w:val="24"/>
        </w:rPr>
        <w:tab/>
      </w:r>
      <w:r>
        <w:rPr>
          <w:rFonts w:ascii="Times New Roman" w:hAnsi="Times New Roman" w:cs="Times New Roman"/>
          <w:b/>
          <w:bCs/>
          <w:sz w:val="24"/>
          <w:szCs w:val="24"/>
        </w:rPr>
        <w:t>SUF Allocations.</w:t>
      </w:r>
      <w:r>
        <w:rPr>
          <w:rFonts w:ascii="Times New Roman" w:hAnsi="Times New Roman" w:cs="Times New Roman"/>
          <w:bCs/>
          <w:sz w:val="24"/>
          <w:szCs w:val="24"/>
        </w:rPr>
        <w:t xml:space="preserve"> </w:t>
      </w:r>
      <w:r w:rsidR="000C3814">
        <w:rPr>
          <w:rFonts w:ascii="Times New Roman" w:hAnsi="Times New Roman" w:cs="Times New Roman"/>
          <w:bCs/>
          <w:sz w:val="24"/>
          <w:szCs w:val="24"/>
        </w:rPr>
        <w:t xml:space="preserve">In FY16, the World Bank </w:t>
      </w:r>
      <w:r w:rsidR="00004CA3">
        <w:rPr>
          <w:rFonts w:ascii="Times New Roman" w:hAnsi="Times New Roman" w:cs="Times New Roman"/>
          <w:bCs/>
          <w:sz w:val="24"/>
          <w:szCs w:val="24"/>
        </w:rPr>
        <w:t>established a short-term facility (the IDA17 Scale-Up Facility, or SUF) of US$3.9 billion (equivalent to about SDR2.</w:t>
      </w:r>
      <w:r w:rsidR="00EB1791">
        <w:rPr>
          <w:rFonts w:ascii="Times New Roman" w:hAnsi="Times New Roman" w:cs="Times New Roman"/>
          <w:bCs/>
          <w:sz w:val="24"/>
          <w:szCs w:val="24"/>
        </w:rPr>
        <w:t>5</w:t>
      </w:r>
      <w:r w:rsidR="00004CA3">
        <w:rPr>
          <w:rFonts w:ascii="Times New Roman" w:hAnsi="Times New Roman" w:cs="Times New Roman"/>
          <w:bCs/>
          <w:sz w:val="24"/>
          <w:szCs w:val="24"/>
        </w:rPr>
        <w:t xml:space="preserve"> billion) to allow the Regions to finance additional IDA operations to be delivered by the end of FY17.</w:t>
      </w:r>
      <w:r w:rsidR="006D0C3A">
        <w:rPr>
          <w:rStyle w:val="FootnoteReference"/>
          <w:rFonts w:ascii="Times New Roman" w:hAnsi="Times New Roman" w:cs="Times New Roman"/>
          <w:bCs/>
          <w:sz w:val="24"/>
          <w:szCs w:val="24"/>
        </w:rPr>
        <w:footnoteReference w:id="9"/>
      </w:r>
      <w:r w:rsidR="00004CA3">
        <w:rPr>
          <w:rFonts w:ascii="Times New Roman" w:hAnsi="Times New Roman" w:cs="Times New Roman"/>
          <w:bCs/>
          <w:sz w:val="24"/>
          <w:szCs w:val="24"/>
        </w:rPr>
        <w:t xml:space="preserve"> Table 4 shows </w:t>
      </w:r>
      <w:r w:rsidR="00F231C0">
        <w:rPr>
          <w:rFonts w:ascii="Times New Roman" w:hAnsi="Times New Roman" w:cs="Times New Roman"/>
          <w:bCs/>
          <w:sz w:val="24"/>
          <w:szCs w:val="24"/>
        </w:rPr>
        <w:t>regional allocations under this facility</w:t>
      </w:r>
      <w:r w:rsidR="00FD307B">
        <w:rPr>
          <w:rFonts w:ascii="Times New Roman" w:hAnsi="Times New Roman" w:cs="Times New Roman"/>
          <w:bCs/>
          <w:sz w:val="24"/>
          <w:szCs w:val="24"/>
        </w:rPr>
        <w:t xml:space="preserve"> as of end-June 2016</w:t>
      </w:r>
      <w:r w:rsidR="00F231C0">
        <w:rPr>
          <w:rFonts w:ascii="Times New Roman" w:hAnsi="Times New Roman" w:cs="Times New Roman"/>
          <w:bCs/>
          <w:sz w:val="24"/>
          <w:szCs w:val="24"/>
        </w:rPr>
        <w:t>.</w:t>
      </w:r>
    </w:p>
    <w:p w:rsidR="009D0580" w:rsidRDefault="009D0580" w:rsidP="000137C6">
      <w:pPr>
        <w:pStyle w:val="ListParagraph"/>
        <w:spacing w:after="0" w:line="240" w:lineRule="auto"/>
        <w:ind w:left="0"/>
        <w:jc w:val="both"/>
        <w:rPr>
          <w:rFonts w:ascii="Times New Roman" w:hAnsi="Times New Roman" w:cs="Times New Roman"/>
          <w:bCs/>
          <w:sz w:val="24"/>
          <w:szCs w:val="24"/>
        </w:rPr>
      </w:pPr>
    </w:p>
    <w:p w:rsidR="009D0580" w:rsidRPr="009D0580" w:rsidRDefault="009D0580" w:rsidP="000137C6">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r>
      <w:r>
        <w:rPr>
          <w:rFonts w:ascii="Times New Roman" w:hAnsi="Times New Roman" w:cs="Times New Roman"/>
          <w:b/>
          <w:bCs/>
          <w:sz w:val="24"/>
          <w:szCs w:val="24"/>
        </w:rPr>
        <w:t xml:space="preserve">Exceptional Allocations. </w:t>
      </w:r>
      <w:r>
        <w:rPr>
          <w:rFonts w:ascii="Times New Roman" w:hAnsi="Times New Roman" w:cs="Times New Roman"/>
          <w:bCs/>
          <w:sz w:val="24"/>
          <w:szCs w:val="24"/>
        </w:rPr>
        <w:t>In addition, an IDA allocation of US$200 million (equivalent to about SDR13</w:t>
      </w:r>
      <w:r w:rsidR="00EB1791">
        <w:rPr>
          <w:rFonts w:ascii="Times New Roman" w:hAnsi="Times New Roman" w:cs="Times New Roman"/>
          <w:bCs/>
          <w:sz w:val="24"/>
          <w:szCs w:val="24"/>
        </w:rPr>
        <w:t>0</w:t>
      </w:r>
      <w:r>
        <w:rPr>
          <w:rFonts w:ascii="Times New Roman" w:hAnsi="Times New Roman" w:cs="Times New Roman"/>
          <w:bCs/>
          <w:sz w:val="24"/>
          <w:szCs w:val="24"/>
        </w:rPr>
        <w:t xml:space="preserve"> million) was provided to Jordan and Lebanon</w:t>
      </w:r>
      <w:r w:rsidR="007F7D25">
        <w:rPr>
          <w:rFonts w:ascii="Times New Roman" w:hAnsi="Times New Roman" w:cs="Times New Roman"/>
          <w:bCs/>
          <w:sz w:val="24"/>
          <w:szCs w:val="24"/>
        </w:rPr>
        <w:t xml:space="preserve"> in support of the two Governments’ efforts to respond to the Syrian refugee crisis</w:t>
      </w:r>
      <w:r>
        <w:rPr>
          <w:rFonts w:ascii="Times New Roman" w:hAnsi="Times New Roman" w:cs="Times New Roman"/>
          <w:bCs/>
          <w:sz w:val="24"/>
          <w:szCs w:val="24"/>
        </w:rPr>
        <w:t xml:space="preserve">, on an exceptional basis, </w:t>
      </w:r>
      <w:r w:rsidR="00CF71A2">
        <w:rPr>
          <w:rFonts w:ascii="Times New Roman" w:hAnsi="Times New Roman" w:cs="Times New Roman"/>
          <w:bCs/>
          <w:sz w:val="24"/>
          <w:szCs w:val="24"/>
        </w:rPr>
        <w:t xml:space="preserve">and </w:t>
      </w:r>
      <w:r>
        <w:rPr>
          <w:rFonts w:ascii="Times New Roman" w:hAnsi="Times New Roman" w:cs="Times New Roman"/>
          <w:bCs/>
          <w:sz w:val="24"/>
          <w:szCs w:val="24"/>
        </w:rPr>
        <w:t>as part of the World Bank Group’s crisis response initiative in the Middle East and North Africa region.</w:t>
      </w:r>
      <w:r w:rsidR="009C0D45">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w:t>
      </w:r>
    </w:p>
    <w:p w:rsidR="0031530E" w:rsidRDefault="0031530E" w:rsidP="000137C6">
      <w:pPr>
        <w:pStyle w:val="ListParagraph"/>
        <w:spacing w:after="0" w:line="240" w:lineRule="auto"/>
        <w:ind w:left="0"/>
        <w:jc w:val="both"/>
        <w:rPr>
          <w:rFonts w:ascii="Times New Roman" w:hAnsi="Times New Roman" w:cs="Times New Roman"/>
          <w:b/>
          <w:bCs/>
          <w:sz w:val="24"/>
          <w:szCs w:val="24"/>
        </w:rPr>
      </w:pPr>
    </w:p>
    <w:p w:rsidR="008B2760" w:rsidRPr="00080240" w:rsidRDefault="008B2760" w:rsidP="000137C6">
      <w:pPr>
        <w:pStyle w:val="ListParagraph"/>
        <w:spacing w:after="0" w:line="240" w:lineRule="auto"/>
        <w:ind w:left="0"/>
        <w:jc w:val="both"/>
        <w:rPr>
          <w:rFonts w:ascii="Times New Roman" w:hAnsi="Times New Roman" w:cs="Times New Roman"/>
          <w:bCs/>
          <w:sz w:val="24"/>
          <w:szCs w:val="24"/>
        </w:rPr>
      </w:pPr>
    </w:p>
    <w:p w:rsidR="00BF6D8A" w:rsidRPr="00EC0F5E" w:rsidRDefault="00BF6D8A" w:rsidP="00CC2473">
      <w:pPr>
        <w:pStyle w:val="ListParagraph"/>
        <w:pageBreakBefore/>
        <w:spacing w:after="0"/>
        <w:ind w:left="0"/>
        <w:rPr>
          <w:rFonts w:ascii="Times New Roman" w:hAnsi="Times New Roman" w:cs="Times New Roman"/>
          <w:bCs/>
        </w:rPr>
        <w:sectPr w:rsidR="00BF6D8A" w:rsidRPr="00EC0F5E" w:rsidSect="00F23086">
          <w:headerReference w:type="default" r:id="rId8"/>
          <w:headerReference w:type="first" r:id="rId9"/>
          <w:pgSz w:w="12240" w:h="15840"/>
          <w:pgMar w:top="1080" w:right="1440" w:bottom="1440" w:left="1260" w:header="720" w:footer="720" w:gutter="0"/>
          <w:pgNumType w:fmt="numberInDash"/>
          <w:cols w:space="720"/>
          <w:titlePg/>
          <w:docGrid w:linePitch="360"/>
        </w:sectPr>
      </w:pPr>
    </w:p>
    <w:p w:rsidR="00842C6A" w:rsidRPr="004F3C19" w:rsidRDefault="007D1BB3" w:rsidP="00F93F6C">
      <w:pPr>
        <w:pageBreakBefore/>
        <w:spacing w:after="0"/>
        <w:jc w:val="center"/>
        <w:rPr>
          <w:rFonts w:ascii="Times New Roman" w:hAnsi="Times New Roman" w:cs="Times New Roman"/>
          <w:b/>
          <w:sz w:val="24"/>
          <w:szCs w:val="24"/>
        </w:rPr>
      </w:pPr>
      <w:r w:rsidRPr="004F3C19">
        <w:rPr>
          <w:rFonts w:ascii="Times New Roman" w:hAnsi="Times New Roman" w:cs="Times New Roman"/>
          <w:b/>
          <w:sz w:val="24"/>
          <w:szCs w:val="24"/>
        </w:rPr>
        <w:lastRenderedPageBreak/>
        <w:t xml:space="preserve">Table 1. IDA </w:t>
      </w:r>
      <w:r w:rsidR="00BB159B">
        <w:rPr>
          <w:rFonts w:ascii="Times New Roman" w:hAnsi="Times New Roman" w:cs="Times New Roman"/>
          <w:b/>
          <w:sz w:val="24"/>
          <w:szCs w:val="24"/>
        </w:rPr>
        <w:t xml:space="preserve">Country </w:t>
      </w:r>
      <w:r w:rsidRPr="004F3C19">
        <w:rPr>
          <w:rFonts w:ascii="Times New Roman" w:hAnsi="Times New Roman" w:cs="Times New Roman"/>
          <w:b/>
          <w:sz w:val="24"/>
          <w:szCs w:val="24"/>
        </w:rPr>
        <w:t>All</w:t>
      </w:r>
      <w:r w:rsidR="00842C6A">
        <w:rPr>
          <w:rFonts w:ascii="Times New Roman" w:hAnsi="Times New Roman" w:cs="Times New Roman"/>
          <w:b/>
          <w:sz w:val="24"/>
          <w:szCs w:val="24"/>
        </w:rPr>
        <w:t>ocations in FY1</w:t>
      </w:r>
      <w:r w:rsidR="00396639">
        <w:rPr>
          <w:rFonts w:ascii="Times New Roman" w:hAnsi="Times New Roman" w:cs="Times New Roman"/>
          <w:b/>
          <w:sz w:val="24"/>
          <w:szCs w:val="24"/>
        </w:rPr>
        <w:t>6</w:t>
      </w:r>
      <w:r w:rsidR="00BB159B">
        <w:rPr>
          <w:rFonts w:ascii="Times New Roman" w:hAnsi="Times New Roman" w:cs="Times New Roman"/>
          <w:b/>
          <w:sz w:val="24"/>
          <w:szCs w:val="24"/>
        </w:rPr>
        <w:t xml:space="preserve"> </w:t>
      </w:r>
    </w:p>
    <w:p w:rsidR="00342EB9" w:rsidRDefault="00842C6A" w:rsidP="00842C6A">
      <w:pPr>
        <w:pStyle w:val="NoSpacing"/>
        <w:jc w:val="center"/>
        <w:rPr>
          <w:rFonts w:ascii="Times New Roman" w:hAnsi="Times New Roman" w:cs="Times New Roman"/>
          <w:sz w:val="20"/>
          <w:szCs w:val="20"/>
        </w:rPr>
      </w:pPr>
      <w:r>
        <w:rPr>
          <w:rFonts w:ascii="Times New Roman" w:hAnsi="Times New Roman" w:cs="Times New Roman"/>
          <w:sz w:val="20"/>
          <w:szCs w:val="20"/>
        </w:rPr>
        <w:t>(SDR million)</w:t>
      </w:r>
    </w:p>
    <w:p w:rsidR="00AD14CD" w:rsidRDefault="00AD14CD" w:rsidP="00842C6A">
      <w:pPr>
        <w:pStyle w:val="NoSpacing"/>
        <w:jc w:val="center"/>
        <w:rPr>
          <w:rFonts w:ascii="Times New Roman" w:hAnsi="Times New Roman" w:cs="Times New Roman"/>
          <w:sz w:val="20"/>
          <w:szCs w:val="20"/>
        </w:rPr>
      </w:pPr>
    </w:p>
    <w:p w:rsidR="00342EB9" w:rsidRDefault="005A36CB" w:rsidP="00AD14CD">
      <w:pPr>
        <w:pStyle w:val="NoSpacing"/>
        <w:jc w:val="center"/>
        <w:rPr>
          <w:rFonts w:ascii="Times New Roman" w:hAnsi="Times New Roman" w:cs="Times New Roman"/>
          <w:sz w:val="20"/>
          <w:szCs w:val="20"/>
        </w:rPr>
      </w:pPr>
      <w:r w:rsidRPr="005A36CB">
        <w:rPr>
          <w:noProof/>
        </w:rPr>
        <w:drawing>
          <wp:inline distT="0" distB="0" distL="0" distR="0">
            <wp:extent cx="5682343" cy="754307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365" cy="7548409"/>
                    </a:xfrm>
                    <a:prstGeom prst="rect">
                      <a:avLst/>
                    </a:prstGeom>
                    <a:noFill/>
                    <a:ln>
                      <a:noFill/>
                    </a:ln>
                  </pic:spPr>
                </pic:pic>
              </a:graphicData>
            </a:graphic>
          </wp:inline>
        </w:drawing>
      </w:r>
    </w:p>
    <w:p w:rsidR="00AD14CD" w:rsidRDefault="00AD14CD" w:rsidP="008B309A">
      <w:pPr>
        <w:pStyle w:val="NoSpacing"/>
        <w:rPr>
          <w:rFonts w:ascii="Times New Roman" w:hAnsi="Times New Roman" w:cs="Times New Roman"/>
          <w:sz w:val="20"/>
          <w:szCs w:val="20"/>
        </w:rPr>
      </w:pPr>
    </w:p>
    <w:p w:rsidR="00342EB9" w:rsidRDefault="00342EB9">
      <w:pPr>
        <w:rPr>
          <w:rFonts w:ascii="Times New Roman" w:hAnsi="Times New Roman" w:cs="Times New Roman"/>
          <w:sz w:val="20"/>
          <w:szCs w:val="20"/>
        </w:rPr>
      </w:pPr>
      <w:r>
        <w:rPr>
          <w:rFonts w:ascii="Times New Roman" w:hAnsi="Times New Roman" w:cs="Times New Roman"/>
          <w:sz w:val="20"/>
          <w:szCs w:val="20"/>
        </w:rPr>
        <w:br w:type="page"/>
      </w:r>
    </w:p>
    <w:p w:rsidR="00396639" w:rsidRPr="00396639" w:rsidRDefault="00396639" w:rsidP="00396639">
      <w:pPr>
        <w:pageBreakBefore/>
        <w:spacing w:after="0"/>
        <w:jc w:val="center"/>
        <w:rPr>
          <w:rFonts w:ascii="Times New Roman" w:hAnsi="Times New Roman" w:cs="Times New Roman"/>
          <w:sz w:val="24"/>
          <w:szCs w:val="24"/>
        </w:rPr>
      </w:pPr>
      <w:r w:rsidRPr="004F3C19">
        <w:rPr>
          <w:rFonts w:ascii="Times New Roman" w:hAnsi="Times New Roman" w:cs="Times New Roman"/>
          <w:b/>
          <w:sz w:val="24"/>
          <w:szCs w:val="24"/>
        </w:rPr>
        <w:lastRenderedPageBreak/>
        <w:t xml:space="preserve">Table 1. IDA </w:t>
      </w:r>
      <w:r>
        <w:rPr>
          <w:rFonts w:ascii="Times New Roman" w:hAnsi="Times New Roman" w:cs="Times New Roman"/>
          <w:b/>
          <w:sz w:val="24"/>
          <w:szCs w:val="24"/>
        </w:rPr>
        <w:t xml:space="preserve">Country </w:t>
      </w:r>
      <w:r w:rsidRPr="004F3C19">
        <w:rPr>
          <w:rFonts w:ascii="Times New Roman" w:hAnsi="Times New Roman" w:cs="Times New Roman"/>
          <w:b/>
          <w:sz w:val="24"/>
          <w:szCs w:val="24"/>
        </w:rPr>
        <w:t>All</w:t>
      </w:r>
      <w:r>
        <w:rPr>
          <w:rFonts w:ascii="Times New Roman" w:hAnsi="Times New Roman" w:cs="Times New Roman"/>
          <w:b/>
          <w:sz w:val="24"/>
          <w:szCs w:val="24"/>
        </w:rPr>
        <w:t xml:space="preserve">ocations in FY16 </w:t>
      </w:r>
      <w:r>
        <w:rPr>
          <w:rFonts w:ascii="Times New Roman" w:hAnsi="Times New Roman" w:cs="Times New Roman"/>
          <w:sz w:val="24"/>
          <w:szCs w:val="24"/>
        </w:rPr>
        <w:t>(continued)</w:t>
      </w:r>
    </w:p>
    <w:p w:rsidR="00396639" w:rsidRDefault="00396639" w:rsidP="00396639">
      <w:pPr>
        <w:pStyle w:val="NoSpacing"/>
        <w:jc w:val="center"/>
        <w:rPr>
          <w:rFonts w:ascii="Times New Roman" w:hAnsi="Times New Roman" w:cs="Times New Roman"/>
          <w:sz w:val="20"/>
          <w:szCs w:val="20"/>
        </w:rPr>
      </w:pPr>
      <w:r>
        <w:rPr>
          <w:rFonts w:ascii="Times New Roman" w:hAnsi="Times New Roman" w:cs="Times New Roman"/>
          <w:sz w:val="20"/>
          <w:szCs w:val="20"/>
        </w:rPr>
        <w:t>(SDR million)</w:t>
      </w:r>
    </w:p>
    <w:p w:rsidR="00396639" w:rsidRDefault="00396639" w:rsidP="00396639">
      <w:pPr>
        <w:pStyle w:val="NoSpacing"/>
        <w:jc w:val="center"/>
        <w:rPr>
          <w:rFonts w:ascii="Times New Roman" w:hAnsi="Times New Roman" w:cs="Times New Roman"/>
          <w:sz w:val="20"/>
          <w:szCs w:val="20"/>
        </w:rPr>
      </w:pPr>
    </w:p>
    <w:p w:rsidR="00396639" w:rsidRDefault="00396639" w:rsidP="00396639">
      <w:pPr>
        <w:pStyle w:val="NoSpacing"/>
        <w:jc w:val="center"/>
        <w:rPr>
          <w:rFonts w:ascii="Times New Roman" w:hAnsi="Times New Roman" w:cs="Times New Roman"/>
          <w:sz w:val="20"/>
          <w:szCs w:val="20"/>
        </w:rPr>
      </w:pPr>
      <w:r w:rsidRPr="00396639">
        <w:rPr>
          <w:noProof/>
        </w:rPr>
        <w:drawing>
          <wp:inline distT="0" distB="0" distL="0" distR="0">
            <wp:extent cx="5802086" cy="7598410"/>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2008" cy="7611404"/>
                    </a:xfrm>
                    <a:prstGeom prst="rect">
                      <a:avLst/>
                    </a:prstGeom>
                    <a:noFill/>
                    <a:ln>
                      <a:noFill/>
                    </a:ln>
                  </pic:spPr>
                </pic:pic>
              </a:graphicData>
            </a:graphic>
          </wp:inline>
        </w:drawing>
      </w:r>
    </w:p>
    <w:p w:rsidR="00396639" w:rsidRDefault="00396639" w:rsidP="00396639">
      <w:pPr>
        <w:pStyle w:val="NoSpacing"/>
        <w:rPr>
          <w:rFonts w:ascii="Times New Roman" w:hAnsi="Times New Roman" w:cs="Times New Roman"/>
          <w:sz w:val="20"/>
          <w:szCs w:val="20"/>
        </w:rPr>
      </w:pPr>
    </w:p>
    <w:p w:rsidR="007914FC" w:rsidRDefault="007914FC">
      <w:pPr>
        <w:rPr>
          <w:rFonts w:ascii="Times New Roman" w:hAnsi="Times New Roman" w:cs="Times New Roman"/>
          <w:sz w:val="20"/>
          <w:szCs w:val="20"/>
        </w:rPr>
      </w:pPr>
      <w:r>
        <w:rPr>
          <w:rFonts w:ascii="Times New Roman" w:hAnsi="Times New Roman" w:cs="Times New Roman"/>
          <w:sz w:val="20"/>
          <w:szCs w:val="20"/>
        </w:rPr>
        <w:br w:type="page"/>
      </w:r>
    </w:p>
    <w:p w:rsidR="0090651E" w:rsidRPr="00396639" w:rsidRDefault="0090651E" w:rsidP="0090651E">
      <w:pPr>
        <w:pageBreakBefore/>
        <w:spacing w:after="0"/>
        <w:jc w:val="center"/>
        <w:rPr>
          <w:rFonts w:ascii="Times New Roman" w:hAnsi="Times New Roman" w:cs="Times New Roman"/>
          <w:sz w:val="24"/>
          <w:szCs w:val="24"/>
        </w:rPr>
      </w:pPr>
      <w:r w:rsidRPr="004F3C19">
        <w:rPr>
          <w:rFonts w:ascii="Times New Roman" w:hAnsi="Times New Roman" w:cs="Times New Roman"/>
          <w:b/>
          <w:sz w:val="24"/>
          <w:szCs w:val="24"/>
        </w:rPr>
        <w:lastRenderedPageBreak/>
        <w:t xml:space="preserve">Table 1. IDA </w:t>
      </w:r>
      <w:r>
        <w:rPr>
          <w:rFonts w:ascii="Times New Roman" w:hAnsi="Times New Roman" w:cs="Times New Roman"/>
          <w:b/>
          <w:sz w:val="24"/>
          <w:szCs w:val="24"/>
        </w:rPr>
        <w:t xml:space="preserve">Country </w:t>
      </w:r>
      <w:r w:rsidRPr="004F3C19">
        <w:rPr>
          <w:rFonts w:ascii="Times New Roman" w:hAnsi="Times New Roman" w:cs="Times New Roman"/>
          <w:b/>
          <w:sz w:val="24"/>
          <w:szCs w:val="24"/>
        </w:rPr>
        <w:t>All</w:t>
      </w:r>
      <w:r>
        <w:rPr>
          <w:rFonts w:ascii="Times New Roman" w:hAnsi="Times New Roman" w:cs="Times New Roman"/>
          <w:b/>
          <w:sz w:val="24"/>
          <w:szCs w:val="24"/>
        </w:rPr>
        <w:t xml:space="preserve">ocations in FY16 </w:t>
      </w:r>
      <w:r>
        <w:rPr>
          <w:rFonts w:ascii="Times New Roman" w:hAnsi="Times New Roman" w:cs="Times New Roman"/>
          <w:sz w:val="24"/>
          <w:szCs w:val="24"/>
        </w:rPr>
        <w:t>(continued)</w:t>
      </w:r>
    </w:p>
    <w:p w:rsidR="0090651E" w:rsidRDefault="0090651E" w:rsidP="0090651E">
      <w:pPr>
        <w:pStyle w:val="NoSpacing"/>
        <w:jc w:val="center"/>
        <w:rPr>
          <w:rFonts w:ascii="Times New Roman" w:hAnsi="Times New Roman" w:cs="Times New Roman"/>
          <w:sz w:val="20"/>
          <w:szCs w:val="20"/>
        </w:rPr>
      </w:pPr>
      <w:r>
        <w:rPr>
          <w:rFonts w:ascii="Times New Roman" w:hAnsi="Times New Roman" w:cs="Times New Roman"/>
          <w:sz w:val="20"/>
          <w:szCs w:val="20"/>
        </w:rPr>
        <w:t>(SDR million)</w:t>
      </w:r>
    </w:p>
    <w:p w:rsidR="0090651E" w:rsidRDefault="0090651E" w:rsidP="0090651E">
      <w:pPr>
        <w:pStyle w:val="NoSpacing"/>
        <w:jc w:val="center"/>
        <w:rPr>
          <w:rFonts w:ascii="Times New Roman" w:hAnsi="Times New Roman" w:cs="Times New Roman"/>
          <w:sz w:val="20"/>
          <w:szCs w:val="20"/>
        </w:rPr>
      </w:pPr>
    </w:p>
    <w:p w:rsidR="007914FC" w:rsidRDefault="00445F38" w:rsidP="00D63378">
      <w:pPr>
        <w:jc w:val="center"/>
        <w:rPr>
          <w:rFonts w:ascii="Times New Roman" w:hAnsi="Times New Roman" w:cs="Times New Roman"/>
          <w:sz w:val="20"/>
          <w:szCs w:val="20"/>
        </w:rPr>
      </w:pPr>
      <w:r w:rsidRPr="00445F38">
        <w:rPr>
          <w:noProof/>
        </w:rPr>
        <w:drawing>
          <wp:inline distT="0" distB="0" distL="0" distR="0">
            <wp:extent cx="5660571" cy="4006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845" cy="4009240"/>
                    </a:xfrm>
                    <a:prstGeom prst="rect">
                      <a:avLst/>
                    </a:prstGeom>
                    <a:noFill/>
                    <a:ln>
                      <a:noFill/>
                    </a:ln>
                  </pic:spPr>
                </pic:pic>
              </a:graphicData>
            </a:graphic>
          </wp:inline>
        </w:drawing>
      </w:r>
    </w:p>
    <w:p w:rsidR="00D63378" w:rsidRDefault="00D63378" w:rsidP="000A3312">
      <w:pPr>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Notes:</w:t>
      </w:r>
    </w:p>
    <w:p w:rsidR="00D63378" w:rsidRDefault="00C57AF1" w:rsidP="00004951">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w:t>
      </w:r>
      <w:r>
        <w:rPr>
          <w:rFonts w:ascii="Times New Roman" w:hAnsi="Times New Roman" w:cs="Times New Roman"/>
          <w:sz w:val="20"/>
          <w:szCs w:val="20"/>
        </w:rPr>
        <w:tab/>
      </w:r>
      <w:r w:rsidR="005831EA" w:rsidRPr="005831EA">
        <w:rPr>
          <w:rFonts w:ascii="Times New Roman" w:hAnsi="Times New Roman" w:cs="Times New Roman"/>
          <w:sz w:val="20"/>
          <w:szCs w:val="20"/>
        </w:rPr>
        <w:t xml:space="preserve">The sum of credits and grants does not correspond to the total because </w:t>
      </w:r>
      <w:r w:rsidR="003B4C5E">
        <w:rPr>
          <w:rFonts w:ascii="Times New Roman" w:hAnsi="Times New Roman" w:cs="Times New Roman"/>
          <w:sz w:val="20"/>
          <w:szCs w:val="20"/>
        </w:rPr>
        <w:t xml:space="preserve">of the following two reasons. First, </w:t>
      </w:r>
      <w:r w:rsidR="005831EA" w:rsidRPr="005831EA">
        <w:rPr>
          <w:rFonts w:ascii="Times New Roman" w:hAnsi="Times New Roman" w:cs="Times New Roman"/>
          <w:sz w:val="20"/>
          <w:szCs w:val="20"/>
        </w:rPr>
        <w:t>an exact country breakdown for regional projects is not available at the time the allocations are determined. The funds that are set aside for regional projects are distributed between credits and grants as regional projects are prepared and agreed with the IDA Resource Mobilization Department (DFIRM)</w:t>
      </w:r>
      <w:r w:rsidR="005831EA">
        <w:rPr>
          <w:rFonts w:ascii="Times New Roman" w:hAnsi="Times New Roman" w:cs="Times New Roman"/>
          <w:sz w:val="20"/>
          <w:szCs w:val="20"/>
        </w:rPr>
        <w:t>.</w:t>
      </w:r>
      <w:r w:rsidR="003B4C5E">
        <w:rPr>
          <w:rFonts w:ascii="Times New Roman" w:hAnsi="Times New Roman" w:cs="Times New Roman"/>
          <w:sz w:val="20"/>
          <w:szCs w:val="20"/>
        </w:rPr>
        <w:t xml:space="preserve"> Second, the financing terms for Eritrea will be determined only at the time of its re-engagement with IDA. See footnote e/ for more details.</w:t>
      </w:r>
    </w:p>
    <w:p w:rsidR="005831EA" w:rsidRDefault="005831EA" w:rsidP="00004951">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r>
        <w:rPr>
          <w:rFonts w:ascii="Times New Roman" w:hAnsi="Times New Roman" w:cs="Times New Roman"/>
          <w:sz w:val="20"/>
          <w:szCs w:val="20"/>
        </w:rPr>
        <w:tab/>
      </w:r>
      <w:r w:rsidRPr="005831EA">
        <w:rPr>
          <w:rFonts w:ascii="Times New Roman" w:hAnsi="Times New Roman" w:cs="Times New Roman"/>
          <w:sz w:val="20"/>
          <w:szCs w:val="20"/>
        </w:rPr>
        <w:t>The terms of these credits vary by country (either regular IDA terms or blend IDA terms), based on each country's IDA classification in FY1</w:t>
      </w:r>
      <w:r w:rsidR="00A173DB">
        <w:rPr>
          <w:rFonts w:ascii="Times New Roman" w:hAnsi="Times New Roman" w:cs="Times New Roman"/>
          <w:sz w:val="20"/>
          <w:szCs w:val="20"/>
        </w:rPr>
        <w:t>6</w:t>
      </w:r>
      <w:r w:rsidRPr="005831EA">
        <w:rPr>
          <w:rFonts w:ascii="Times New Roman" w:hAnsi="Times New Roman" w:cs="Times New Roman"/>
          <w:sz w:val="20"/>
          <w:szCs w:val="20"/>
        </w:rPr>
        <w:t xml:space="preserve"> (se</w:t>
      </w:r>
      <w:r w:rsidR="00AD1736">
        <w:rPr>
          <w:rFonts w:ascii="Times New Roman" w:hAnsi="Times New Roman" w:cs="Times New Roman"/>
          <w:sz w:val="20"/>
          <w:szCs w:val="20"/>
        </w:rPr>
        <w:t>e OP3.10 Annex D</w:t>
      </w:r>
      <w:r w:rsidRPr="005831EA">
        <w:rPr>
          <w:rFonts w:ascii="Times New Roman" w:hAnsi="Times New Roman" w:cs="Times New Roman"/>
          <w:sz w:val="20"/>
          <w:szCs w:val="20"/>
        </w:rPr>
        <w:t xml:space="preserve"> as of July 201</w:t>
      </w:r>
      <w:r w:rsidR="00A173DB">
        <w:rPr>
          <w:rFonts w:ascii="Times New Roman" w:hAnsi="Times New Roman" w:cs="Times New Roman"/>
          <w:sz w:val="20"/>
          <w:szCs w:val="20"/>
        </w:rPr>
        <w:t>5</w:t>
      </w:r>
      <w:r w:rsidRPr="005831EA">
        <w:rPr>
          <w:rFonts w:ascii="Times New Roman" w:hAnsi="Times New Roman" w:cs="Times New Roman"/>
          <w:sz w:val="20"/>
          <w:szCs w:val="20"/>
        </w:rPr>
        <w:t>).</w:t>
      </w:r>
    </w:p>
    <w:p w:rsidR="005831EA" w:rsidRDefault="005831EA" w:rsidP="00004951">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c</w:t>
      </w:r>
      <w:proofErr w:type="gramEnd"/>
      <w:r>
        <w:rPr>
          <w:rFonts w:ascii="Times New Roman" w:hAnsi="Times New Roman" w:cs="Times New Roman"/>
          <w:sz w:val="20"/>
          <w:szCs w:val="20"/>
        </w:rPr>
        <w:t>/</w:t>
      </w:r>
      <w:r>
        <w:rPr>
          <w:rFonts w:ascii="Times New Roman" w:hAnsi="Times New Roman" w:cs="Times New Roman"/>
          <w:sz w:val="20"/>
          <w:szCs w:val="20"/>
        </w:rPr>
        <w:tab/>
      </w:r>
      <w:r w:rsidRPr="005831EA">
        <w:rPr>
          <w:rFonts w:ascii="Times New Roman" w:hAnsi="Times New Roman" w:cs="Times New Roman"/>
          <w:sz w:val="20"/>
          <w:szCs w:val="20"/>
        </w:rPr>
        <w:t>Hard-term credits were made available to all credit-worthy IBRD/IDA blend countries, except for the small island blend countries (Cape Verde, Dominica, Grenada, St. Lucia, and St. Vincent and Grenadines). The small island blend countries received IDA credits under the IDA-only regular terms as agreed in IDA17 replenishment. For more details on the credit terms in FY1</w:t>
      </w:r>
      <w:r w:rsidR="00635FE4">
        <w:rPr>
          <w:rFonts w:ascii="Times New Roman" w:hAnsi="Times New Roman" w:cs="Times New Roman"/>
          <w:sz w:val="20"/>
          <w:szCs w:val="20"/>
        </w:rPr>
        <w:t>6</w:t>
      </w:r>
      <w:r w:rsidRPr="005831EA">
        <w:rPr>
          <w:rFonts w:ascii="Times New Roman" w:hAnsi="Times New Roman" w:cs="Times New Roman"/>
          <w:sz w:val="20"/>
          <w:szCs w:val="20"/>
        </w:rPr>
        <w:t>, please refer to OP3.10 Annex D as of July 201</w:t>
      </w:r>
      <w:r w:rsidR="00635FE4">
        <w:rPr>
          <w:rFonts w:ascii="Times New Roman" w:hAnsi="Times New Roman" w:cs="Times New Roman"/>
          <w:sz w:val="20"/>
          <w:szCs w:val="20"/>
        </w:rPr>
        <w:t>5</w:t>
      </w:r>
      <w:r w:rsidRPr="005831EA">
        <w:rPr>
          <w:rFonts w:ascii="Times New Roman" w:hAnsi="Times New Roman" w:cs="Times New Roman"/>
          <w:sz w:val="20"/>
          <w:szCs w:val="20"/>
        </w:rPr>
        <w:t>.</w:t>
      </w:r>
    </w:p>
    <w:p w:rsidR="005831EA" w:rsidRDefault="005831EA" w:rsidP="00004951">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d</w:t>
      </w:r>
      <w:proofErr w:type="gramEnd"/>
      <w:r>
        <w:rPr>
          <w:rFonts w:ascii="Times New Roman" w:hAnsi="Times New Roman" w:cs="Times New Roman"/>
          <w:sz w:val="20"/>
          <w:szCs w:val="20"/>
        </w:rPr>
        <w:t>/</w:t>
      </w:r>
      <w:r>
        <w:rPr>
          <w:rFonts w:ascii="Times New Roman" w:hAnsi="Times New Roman" w:cs="Times New Roman"/>
          <w:sz w:val="20"/>
          <w:szCs w:val="20"/>
        </w:rPr>
        <w:tab/>
      </w:r>
      <w:r w:rsidRPr="005831EA">
        <w:rPr>
          <w:rFonts w:ascii="Times New Roman" w:hAnsi="Times New Roman" w:cs="Times New Roman"/>
          <w:sz w:val="20"/>
          <w:szCs w:val="20"/>
        </w:rPr>
        <w:t>The breakdown of funds set aside for regional projects into credits and grants is not available at the time when the allocations are determined. See footnote a/ for more details.</w:t>
      </w:r>
    </w:p>
    <w:p w:rsidR="005831EA" w:rsidRDefault="005831EA" w:rsidP="00004951">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w:t>
      </w:r>
      <w:r>
        <w:rPr>
          <w:rFonts w:ascii="Times New Roman" w:hAnsi="Times New Roman" w:cs="Times New Roman"/>
          <w:sz w:val="20"/>
          <w:szCs w:val="20"/>
        </w:rPr>
        <w:tab/>
      </w:r>
      <w:r w:rsidRPr="005831EA">
        <w:rPr>
          <w:rFonts w:ascii="Times New Roman" w:hAnsi="Times New Roman" w:cs="Times New Roman"/>
          <w:sz w:val="20"/>
          <w:szCs w:val="20"/>
        </w:rPr>
        <w:t>Eritrea was classified as a country with credits in non-accrual status effective March 15, 2012. The applicable financing terms of its allocation will be determined at the time of its re-engagement with IDA.</w:t>
      </w:r>
    </w:p>
    <w:p w:rsidR="005831EA" w:rsidRDefault="005831EA" w:rsidP="00004951">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f</w:t>
      </w:r>
      <w:proofErr w:type="gramEnd"/>
      <w:r>
        <w:rPr>
          <w:rFonts w:ascii="Times New Roman" w:hAnsi="Times New Roman" w:cs="Times New Roman"/>
          <w:sz w:val="20"/>
          <w:szCs w:val="20"/>
        </w:rPr>
        <w:t>/</w:t>
      </w:r>
      <w:r>
        <w:rPr>
          <w:rFonts w:ascii="Times New Roman" w:hAnsi="Times New Roman" w:cs="Times New Roman"/>
          <w:sz w:val="20"/>
          <w:szCs w:val="20"/>
        </w:rPr>
        <w:tab/>
      </w:r>
      <w:r w:rsidRPr="005831EA">
        <w:rPr>
          <w:rFonts w:ascii="Times New Roman" w:hAnsi="Times New Roman" w:cs="Times New Roman"/>
          <w:sz w:val="20"/>
          <w:szCs w:val="20"/>
        </w:rPr>
        <w:t>Inactive IDA countries with credits in protracted non-accrual status.</w:t>
      </w:r>
    </w:p>
    <w:p w:rsidR="00445F38" w:rsidRDefault="005831EA" w:rsidP="00004951">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g</w:t>
      </w:r>
      <w:proofErr w:type="gramEnd"/>
      <w:r>
        <w:rPr>
          <w:rFonts w:ascii="Times New Roman" w:hAnsi="Times New Roman" w:cs="Times New Roman"/>
          <w:sz w:val="20"/>
          <w:szCs w:val="20"/>
        </w:rPr>
        <w:t>/</w:t>
      </w:r>
      <w:r>
        <w:rPr>
          <w:rFonts w:ascii="Times New Roman" w:hAnsi="Times New Roman" w:cs="Times New Roman"/>
          <w:sz w:val="20"/>
          <w:szCs w:val="20"/>
        </w:rPr>
        <w:tab/>
      </w:r>
      <w:r w:rsidR="00635FE4" w:rsidRPr="00635FE4">
        <w:rPr>
          <w:rFonts w:ascii="Times New Roman" w:hAnsi="Times New Roman" w:cs="Times New Roman"/>
          <w:sz w:val="20"/>
          <w:szCs w:val="20"/>
        </w:rPr>
        <w:t>Guinea-Bissau and Madagascar received exceptional IDA allocation under the "turn-around" regime effective February 4, 2016.</w:t>
      </w:r>
    </w:p>
    <w:p w:rsidR="00D63378" w:rsidRDefault="00445F38" w:rsidP="00004951">
      <w:pPr>
        <w:tabs>
          <w:tab w:val="left" w:pos="630"/>
        </w:tabs>
        <w:spacing w:after="0" w:line="240" w:lineRule="auto"/>
        <w:ind w:left="630" w:right="270" w:hanging="450"/>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ab/>
        <w:t>In addition to its exceptional allocation of SDR14.3 million under the “turn-around” regime, Guinea-Bissau was also allowed to front-load its entire regular PBA allocation of SDR7.2 million before the “turn-around” allocation came into effect on February 4, 2016.</w:t>
      </w:r>
    </w:p>
    <w:p w:rsidR="00D43B94" w:rsidRDefault="007763C1" w:rsidP="006A105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Table </w:t>
      </w:r>
      <w:r w:rsidR="00E25951">
        <w:rPr>
          <w:rFonts w:ascii="Times New Roman" w:hAnsi="Times New Roman" w:cs="Times New Roman"/>
          <w:b/>
          <w:color w:val="000000"/>
          <w:sz w:val="24"/>
          <w:szCs w:val="24"/>
        </w:rPr>
        <w:t>2</w:t>
      </w:r>
      <w:r w:rsidR="003A0DEF" w:rsidRPr="003A0DEF">
        <w:rPr>
          <w:rFonts w:ascii="Times New Roman" w:hAnsi="Times New Roman" w:cs="Times New Roman"/>
          <w:b/>
          <w:color w:val="000000"/>
          <w:sz w:val="24"/>
          <w:szCs w:val="24"/>
        </w:rPr>
        <w:t xml:space="preserve">. </w:t>
      </w:r>
      <w:r w:rsidR="006A49EC">
        <w:rPr>
          <w:rFonts w:ascii="Times New Roman" w:hAnsi="Times New Roman" w:cs="Times New Roman"/>
          <w:b/>
          <w:color w:val="000000"/>
          <w:sz w:val="24"/>
          <w:szCs w:val="24"/>
        </w:rPr>
        <w:t xml:space="preserve">Key </w:t>
      </w:r>
      <w:r w:rsidR="003A0DEF" w:rsidRPr="003A0DEF">
        <w:rPr>
          <w:rFonts w:ascii="Times New Roman" w:hAnsi="Times New Roman" w:cs="Times New Roman"/>
          <w:b/>
          <w:color w:val="000000"/>
          <w:sz w:val="24"/>
          <w:szCs w:val="24"/>
        </w:rPr>
        <w:t>Input Data for FY1</w:t>
      </w:r>
      <w:r w:rsidR="002245BB">
        <w:rPr>
          <w:rFonts w:ascii="Times New Roman" w:hAnsi="Times New Roman" w:cs="Times New Roman"/>
          <w:b/>
          <w:color w:val="000000"/>
          <w:sz w:val="24"/>
          <w:szCs w:val="24"/>
        </w:rPr>
        <w:t>6</w:t>
      </w:r>
      <w:r w:rsidR="003A0DEF" w:rsidRPr="003A0DEF">
        <w:rPr>
          <w:rFonts w:ascii="Times New Roman" w:hAnsi="Times New Roman" w:cs="Times New Roman"/>
          <w:b/>
          <w:color w:val="000000"/>
          <w:sz w:val="24"/>
          <w:szCs w:val="24"/>
        </w:rPr>
        <w:t xml:space="preserve"> Allocations</w:t>
      </w:r>
      <w:r w:rsidR="000434C3" w:rsidRPr="000434C3">
        <w:rPr>
          <w:rFonts w:ascii="Times New Roman" w:hAnsi="Times New Roman" w:cs="Times New Roman"/>
          <w:b/>
          <w:color w:val="000000"/>
          <w:sz w:val="24"/>
          <w:szCs w:val="24"/>
        </w:rPr>
        <w:t xml:space="preserve"> </w:t>
      </w:r>
    </w:p>
    <w:p w:rsidR="009766F9" w:rsidRDefault="00192EC8" w:rsidP="006A1059">
      <w:pPr>
        <w:jc w:val="center"/>
        <w:rPr>
          <w:rFonts w:ascii="Times New Roman" w:hAnsi="Times New Roman" w:cs="Times New Roman"/>
          <w:sz w:val="20"/>
          <w:szCs w:val="20"/>
        </w:rPr>
      </w:pPr>
      <w:r w:rsidRPr="00192EC8">
        <w:rPr>
          <w:noProof/>
        </w:rPr>
        <w:drawing>
          <wp:inline distT="0" distB="0" distL="0" distR="0">
            <wp:extent cx="5613400" cy="7555865"/>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830" cy="7559136"/>
                    </a:xfrm>
                    <a:prstGeom prst="rect">
                      <a:avLst/>
                    </a:prstGeom>
                    <a:noFill/>
                    <a:ln>
                      <a:noFill/>
                    </a:ln>
                  </pic:spPr>
                </pic:pic>
              </a:graphicData>
            </a:graphic>
          </wp:inline>
        </w:drawing>
      </w:r>
    </w:p>
    <w:p w:rsidR="00663EFB" w:rsidRDefault="00663EFB">
      <w:pPr>
        <w:rPr>
          <w:rFonts w:ascii="Times New Roman" w:hAnsi="Times New Roman" w:cs="Times New Roman"/>
          <w:sz w:val="20"/>
          <w:szCs w:val="20"/>
        </w:rPr>
      </w:pPr>
      <w:r>
        <w:rPr>
          <w:rFonts w:ascii="Times New Roman" w:hAnsi="Times New Roman" w:cs="Times New Roman"/>
          <w:sz w:val="20"/>
          <w:szCs w:val="20"/>
        </w:rPr>
        <w:br w:type="page"/>
      </w:r>
    </w:p>
    <w:p w:rsidR="00192EC8" w:rsidRDefault="00192EC8" w:rsidP="00192EC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Table 2</w:t>
      </w:r>
      <w:r w:rsidRPr="003A0D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Key </w:t>
      </w:r>
      <w:r w:rsidRPr="003A0DEF">
        <w:rPr>
          <w:rFonts w:ascii="Times New Roman" w:hAnsi="Times New Roman" w:cs="Times New Roman"/>
          <w:b/>
          <w:color w:val="000000"/>
          <w:sz w:val="24"/>
          <w:szCs w:val="24"/>
        </w:rPr>
        <w:t>Input Data for FY1</w:t>
      </w:r>
      <w:r>
        <w:rPr>
          <w:rFonts w:ascii="Times New Roman" w:hAnsi="Times New Roman" w:cs="Times New Roman"/>
          <w:b/>
          <w:color w:val="000000"/>
          <w:sz w:val="24"/>
          <w:szCs w:val="24"/>
        </w:rPr>
        <w:t>6</w:t>
      </w:r>
      <w:r w:rsidRPr="003A0DEF">
        <w:rPr>
          <w:rFonts w:ascii="Times New Roman" w:hAnsi="Times New Roman" w:cs="Times New Roman"/>
          <w:b/>
          <w:color w:val="000000"/>
          <w:sz w:val="24"/>
          <w:szCs w:val="24"/>
        </w:rPr>
        <w:t xml:space="preserve"> Allocations</w:t>
      </w:r>
      <w:r>
        <w:rPr>
          <w:rFonts w:ascii="Times New Roman" w:hAnsi="Times New Roman" w:cs="Times New Roman"/>
          <w:color w:val="000000"/>
          <w:sz w:val="24"/>
          <w:szCs w:val="24"/>
        </w:rPr>
        <w:t xml:space="preserve"> (continued)</w:t>
      </w:r>
      <w:r w:rsidRPr="000434C3">
        <w:rPr>
          <w:rFonts w:ascii="Times New Roman" w:hAnsi="Times New Roman" w:cs="Times New Roman"/>
          <w:b/>
          <w:color w:val="000000"/>
          <w:sz w:val="24"/>
          <w:szCs w:val="24"/>
        </w:rPr>
        <w:t xml:space="preserve"> </w:t>
      </w:r>
    </w:p>
    <w:p w:rsidR="0078270F" w:rsidRDefault="003C0C8E" w:rsidP="0029386D">
      <w:pPr>
        <w:jc w:val="center"/>
        <w:rPr>
          <w:rFonts w:ascii="Times New Roman" w:hAnsi="Times New Roman" w:cs="Times New Roman"/>
          <w:sz w:val="20"/>
          <w:szCs w:val="20"/>
        </w:rPr>
      </w:pPr>
      <w:r w:rsidRPr="003C0C8E">
        <w:rPr>
          <w:noProof/>
        </w:rPr>
        <w:drawing>
          <wp:inline distT="0" distB="0" distL="0" distR="0">
            <wp:extent cx="5681134" cy="6938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667" cy="6941104"/>
                    </a:xfrm>
                    <a:prstGeom prst="rect">
                      <a:avLst/>
                    </a:prstGeom>
                    <a:noFill/>
                    <a:ln>
                      <a:noFill/>
                    </a:ln>
                  </pic:spPr>
                </pic:pic>
              </a:graphicData>
            </a:graphic>
          </wp:inline>
        </w:drawing>
      </w:r>
    </w:p>
    <w:p w:rsidR="0078270F" w:rsidRDefault="0078270F">
      <w:pPr>
        <w:rPr>
          <w:rFonts w:ascii="Times New Roman" w:hAnsi="Times New Roman" w:cs="Times New Roman"/>
          <w:sz w:val="20"/>
          <w:szCs w:val="20"/>
        </w:rPr>
      </w:pPr>
      <w:r>
        <w:rPr>
          <w:rFonts w:ascii="Times New Roman" w:hAnsi="Times New Roman" w:cs="Times New Roman"/>
          <w:sz w:val="20"/>
          <w:szCs w:val="20"/>
        </w:rPr>
        <w:br w:type="page"/>
      </w:r>
    </w:p>
    <w:p w:rsidR="003C0C8E" w:rsidRDefault="003C0C8E" w:rsidP="003C0C8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Table 2</w:t>
      </w:r>
      <w:r w:rsidRPr="003A0D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Key </w:t>
      </w:r>
      <w:r w:rsidRPr="003A0DEF">
        <w:rPr>
          <w:rFonts w:ascii="Times New Roman" w:hAnsi="Times New Roman" w:cs="Times New Roman"/>
          <w:b/>
          <w:color w:val="000000"/>
          <w:sz w:val="24"/>
          <w:szCs w:val="24"/>
        </w:rPr>
        <w:t>Input Data for FY1</w:t>
      </w:r>
      <w:r>
        <w:rPr>
          <w:rFonts w:ascii="Times New Roman" w:hAnsi="Times New Roman" w:cs="Times New Roman"/>
          <w:b/>
          <w:color w:val="000000"/>
          <w:sz w:val="24"/>
          <w:szCs w:val="24"/>
        </w:rPr>
        <w:t>6</w:t>
      </w:r>
      <w:r w:rsidRPr="003A0DEF">
        <w:rPr>
          <w:rFonts w:ascii="Times New Roman" w:hAnsi="Times New Roman" w:cs="Times New Roman"/>
          <w:b/>
          <w:color w:val="000000"/>
          <w:sz w:val="24"/>
          <w:szCs w:val="24"/>
        </w:rPr>
        <w:t xml:space="preserve"> Allocations</w:t>
      </w:r>
      <w:r>
        <w:rPr>
          <w:rFonts w:ascii="Times New Roman" w:hAnsi="Times New Roman" w:cs="Times New Roman"/>
          <w:color w:val="000000"/>
          <w:sz w:val="24"/>
          <w:szCs w:val="24"/>
        </w:rPr>
        <w:t xml:space="preserve"> (continued)</w:t>
      </w:r>
      <w:r w:rsidRPr="000434C3">
        <w:rPr>
          <w:rFonts w:ascii="Times New Roman" w:hAnsi="Times New Roman" w:cs="Times New Roman"/>
          <w:b/>
          <w:color w:val="000000"/>
          <w:sz w:val="24"/>
          <w:szCs w:val="24"/>
        </w:rPr>
        <w:t xml:space="preserve"> </w:t>
      </w:r>
    </w:p>
    <w:p w:rsidR="0078270F" w:rsidRDefault="003C0C8E" w:rsidP="00BF2603">
      <w:pPr>
        <w:ind w:right="180"/>
        <w:jc w:val="center"/>
        <w:rPr>
          <w:rFonts w:ascii="Times New Roman" w:hAnsi="Times New Roman" w:cs="Times New Roman"/>
          <w:sz w:val="20"/>
          <w:szCs w:val="20"/>
        </w:rPr>
      </w:pPr>
      <w:r w:rsidRPr="003C0C8E">
        <w:rPr>
          <w:noProof/>
        </w:rPr>
        <w:drawing>
          <wp:inline distT="0" distB="0" distL="0" distR="0">
            <wp:extent cx="5571067" cy="23380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2259" cy="2346964"/>
                    </a:xfrm>
                    <a:prstGeom prst="rect">
                      <a:avLst/>
                    </a:prstGeom>
                    <a:noFill/>
                    <a:ln>
                      <a:noFill/>
                    </a:ln>
                  </pic:spPr>
                </pic:pic>
              </a:graphicData>
            </a:graphic>
          </wp:inline>
        </w:drawing>
      </w:r>
    </w:p>
    <w:p w:rsidR="005072A9" w:rsidRDefault="00042498" w:rsidP="006477B5">
      <w:pPr>
        <w:tabs>
          <w:tab w:val="left" w:pos="180"/>
        </w:tabs>
        <w:spacing w:after="0" w:line="240" w:lineRule="auto"/>
        <w:ind w:left="180" w:right="270"/>
        <w:jc w:val="both"/>
        <w:rPr>
          <w:rFonts w:ascii="Times New Roman" w:hAnsi="Times New Roman" w:cs="Times New Roman"/>
          <w:sz w:val="20"/>
          <w:szCs w:val="20"/>
        </w:rPr>
      </w:pPr>
      <w:r>
        <w:rPr>
          <w:rFonts w:ascii="Times New Roman" w:hAnsi="Times New Roman" w:cs="Times New Roman"/>
          <w:sz w:val="20"/>
          <w:szCs w:val="20"/>
        </w:rPr>
        <w:t>Notes:</w:t>
      </w:r>
    </w:p>
    <w:p w:rsidR="0029386D" w:rsidRDefault="00004951" w:rsidP="00F120FE">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Pr>
          <w:rFonts w:ascii="Times New Roman" w:hAnsi="Times New Roman" w:cs="Times New Roman"/>
          <w:sz w:val="20"/>
          <w:szCs w:val="20"/>
        </w:rPr>
        <w:tab/>
      </w:r>
      <w:r w:rsidR="0029386D" w:rsidRPr="0029386D">
        <w:rPr>
          <w:rFonts w:ascii="Times New Roman" w:hAnsi="Times New Roman" w:cs="Times New Roman"/>
          <w:sz w:val="20"/>
          <w:szCs w:val="20"/>
        </w:rPr>
        <w:t>For details on the CPR formula, see "</w:t>
      </w:r>
      <w:r w:rsidR="0029386D" w:rsidRPr="00F120FE">
        <w:rPr>
          <w:rFonts w:ascii="Times New Roman" w:hAnsi="Times New Roman" w:cs="Times New Roman"/>
          <w:i/>
          <w:sz w:val="20"/>
          <w:szCs w:val="20"/>
        </w:rPr>
        <w:t>Additions to IDA Resources: Seventeenth Replenishment. IDA17: Maximizing Development Impact</w:t>
      </w:r>
      <w:r w:rsidR="0029386D" w:rsidRPr="0029386D">
        <w:rPr>
          <w:rFonts w:ascii="Times New Roman" w:hAnsi="Times New Roman" w:cs="Times New Roman"/>
          <w:sz w:val="20"/>
          <w:szCs w:val="20"/>
        </w:rPr>
        <w:t>,” Annex 2.</w:t>
      </w:r>
    </w:p>
    <w:p w:rsidR="006E4884" w:rsidRDefault="006E4884" w:rsidP="00F120FE">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r>
        <w:rPr>
          <w:rFonts w:ascii="Times New Roman" w:hAnsi="Times New Roman" w:cs="Times New Roman"/>
          <w:sz w:val="20"/>
          <w:szCs w:val="20"/>
        </w:rPr>
        <w:tab/>
      </w:r>
      <w:r w:rsidR="0029386D" w:rsidRPr="0029386D">
        <w:rPr>
          <w:rFonts w:ascii="Times New Roman" w:hAnsi="Times New Roman" w:cs="Times New Roman"/>
          <w:sz w:val="20"/>
          <w:szCs w:val="20"/>
        </w:rPr>
        <w:t>The source for the population and GNI per capita data is the Development Economics Data Group (DECDG). Data for 201</w:t>
      </w:r>
      <w:r w:rsidR="00794F73">
        <w:rPr>
          <w:rFonts w:ascii="Times New Roman" w:hAnsi="Times New Roman" w:cs="Times New Roman"/>
          <w:sz w:val="20"/>
          <w:szCs w:val="20"/>
        </w:rPr>
        <w:t>4</w:t>
      </w:r>
      <w:r w:rsidR="0029386D" w:rsidRPr="0029386D">
        <w:rPr>
          <w:rFonts w:ascii="Times New Roman" w:hAnsi="Times New Roman" w:cs="Times New Roman"/>
          <w:sz w:val="20"/>
          <w:szCs w:val="20"/>
        </w:rPr>
        <w:t xml:space="preserve"> were DECDG estimates as of June 201</w:t>
      </w:r>
      <w:r w:rsidR="00794F73">
        <w:rPr>
          <w:rFonts w:ascii="Times New Roman" w:hAnsi="Times New Roman" w:cs="Times New Roman"/>
          <w:sz w:val="20"/>
          <w:szCs w:val="20"/>
        </w:rPr>
        <w:t>5</w:t>
      </w:r>
      <w:r w:rsidR="0029386D" w:rsidRPr="0029386D">
        <w:rPr>
          <w:rFonts w:ascii="Times New Roman" w:hAnsi="Times New Roman" w:cs="Times New Roman"/>
          <w:sz w:val="20"/>
          <w:szCs w:val="20"/>
        </w:rPr>
        <w:t>, when the IDA country allocations for FY1</w:t>
      </w:r>
      <w:r w:rsidR="00794F73">
        <w:rPr>
          <w:rFonts w:ascii="Times New Roman" w:hAnsi="Times New Roman" w:cs="Times New Roman"/>
          <w:sz w:val="20"/>
          <w:szCs w:val="20"/>
        </w:rPr>
        <w:t>6</w:t>
      </w:r>
      <w:r w:rsidR="0029386D" w:rsidRPr="0029386D">
        <w:rPr>
          <w:rFonts w:ascii="Times New Roman" w:hAnsi="Times New Roman" w:cs="Times New Roman"/>
          <w:sz w:val="20"/>
          <w:szCs w:val="20"/>
        </w:rPr>
        <w:t xml:space="preserve"> had been determined. When the data for 201</w:t>
      </w:r>
      <w:r w:rsidR="00794F73">
        <w:rPr>
          <w:rFonts w:ascii="Times New Roman" w:hAnsi="Times New Roman" w:cs="Times New Roman"/>
          <w:sz w:val="20"/>
          <w:szCs w:val="20"/>
        </w:rPr>
        <w:t>4</w:t>
      </w:r>
      <w:r w:rsidR="0029386D" w:rsidRPr="0029386D">
        <w:rPr>
          <w:rFonts w:ascii="Times New Roman" w:hAnsi="Times New Roman" w:cs="Times New Roman"/>
          <w:sz w:val="20"/>
          <w:szCs w:val="20"/>
        </w:rPr>
        <w:t xml:space="preserve"> were not available, the latest available estimates had been used instead. Data queries on population and GNI per capita</w:t>
      </w:r>
      <w:r w:rsidR="0029386D">
        <w:rPr>
          <w:rFonts w:ascii="Times New Roman" w:hAnsi="Times New Roman" w:cs="Times New Roman"/>
          <w:sz w:val="20"/>
          <w:szCs w:val="20"/>
        </w:rPr>
        <w:t xml:space="preserve"> should be addressed to DECDG.</w:t>
      </w:r>
    </w:p>
    <w:p w:rsidR="006E4884" w:rsidRDefault="006E4884" w:rsidP="00F120FE">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c</w:t>
      </w:r>
      <w:proofErr w:type="gramEnd"/>
      <w:r>
        <w:rPr>
          <w:rFonts w:ascii="Times New Roman" w:hAnsi="Times New Roman" w:cs="Times New Roman"/>
          <w:sz w:val="20"/>
          <w:szCs w:val="20"/>
        </w:rPr>
        <w:t>/</w:t>
      </w:r>
      <w:r>
        <w:rPr>
          <w:rFonts w:ascii="Times New Roman" w:hAnsi="Times New Roman" w:cs="Times New Roman"/>
          <w:sz w:val="20"/>
          <w:szCs w:val="20"/>
        </w:rPr>
        <w:tab/>
      </w:r>
      <w:r w:rsidRPr="006E4884">
        <w:rPr>
          <w:rFonts w:ascii="Times New Roman" w:hAnsi="Times New Roman" w:cs="Times New Roman"/>
          <w:sz w:val="20"/>
          <w:szCs w:val="20"/>
        </w:rPr>
        <w:t>Eritrea was classified as a country with credits in non-accrual status effective March 15, 2012.</w:t>
      </w:r>
    </w:p>
    <w:p w:rsidR="006E4884" w:rsidRDefault="006E4884" w:rsidP="00F120FE">
      <w:pPr>
        <w:tabs>
          <w:tab w:val="left" w:pos="630"/>
        </w:tabs>
        <w:spacing w:after="0" w:line="240" w:lineRule="auto"/>
        <w:ind w:left="630" w:right="270" w:hanging="450"/>
        <w:jc w:val="both"/>
        <w:rPr>
          <w:rFonts w:ascii="Times New Roman" w:hAnsi="Times New Roman" w:cs="Times New Roman"/>
          <w:sz w:val="20"/>
          <w:szCs w:val="20"/>
        </w:rPr>
      </w:pPr>
      <w:proofErr w:type="gramStart"/>
      <w:r>
        <w:rPr>
          <w:rFonts w:ascii="Times New Roman" w:hAnsi="Times New Roman" w:cs="Times New Roman"/>
          <w:sz w:val="20"/>
          <w:szCs w:val="20"/>
        </w:rPr>
        <w:t>d</w:t>
      </w:r>
      <w:proofErr w:type="gramEnd"/>
      <w:r>
        <w:rPr>
          <w:rFonts w:ascii="Times New Roman" w:hAnsi="Times New Roman" w:cs="Times New Roman"/>
          <w:sz w:val="20"/>
          <w:szCs w:val="20"/>
        </w:rPr>
        <w:t>/</w:t>
      </w:r>
      <w:r>
        <w:rPr>
          <w:rFonts w:ascii="Times New Roman" w:hAnsi="Times New Roman" w:cs="Times New Roman"/>
          <w:sz w:val="20"/>
          <w:szCs w:val="20"/>
        </w:rPr>
        <w:tab/>
      </w:r>
      <w:r w:rsidRPr="006E4884">
        <w:rPr>
          <w:rFonts w:ascii="Times New Roman" w:hAnsi="Times New Roman" w:cs="Times New Roman"/>
          <w:sz w:val="20"/>
          <w:szCs w:val="20"/>
        </w:rPr>
        <w:t>Inactive IDA countries with credits in protracted non-accrual status.</w:t>
      </w:r>
    </w:p>
    <w:p w:rsidR="005072A9" w:rsidRPr="00042498" w:rsidRDefault="005072A9" w:rsidP="00F120FE">
      <w:pPr>
        <w:tabs>
          <w:tab w:val="left" w:pos="630"/>
        </w:tabs>
        <w:spacing w:after="0" w:line="240" w:lineRule="auto"/>
        <w:ind w:left="630" w:right="270" w:hanging="450"/>
        <w:jc w:val="both"/>
        <w:rPr>
          <w:rFonts w:ascii="Times New Roman" w:hAnsi="Times New Roman" w:cs="Times New Roman"/>
          <w:sz w:val="20"/>
          <w:szCs w:val="20"/>
        </w:rPr>
      </w:pPr>
    </w:p>
    <w:p w:rsidR="005072A9" w:rsidRDefault="005072A9">
      <w:pPr>
        <w:rPr>
          <w:rFonts w:ascii="Times New Roman" w:hAnsi="Times New Roman" w:cs="Times New Roman"/>
          <w:sz w:val="24"/>
          <w:szCs w:val="24"/>
        </w:rPr>
      </w:pPr>
      <w:r>
        <w:rPr>
          <w:rFonts w:ascii="Times New Roman" w:hAnsi="Times New Roman" w:cs="Times New Roman"/>
          <w:sz w:val="24"/>
          <w:szCs w:val="24"/>
        </w:rPr>
        <w:br w:type="page"/>
      </w:r>
    </w:p>
    <w:p w:rsidR="004976F4" w:rsidRDefault="004976F4" w:rsidP="006A1059">
      <w:pPr>
        <w:pStyle w:val="NoSpacing"/>
        <w:jc w:val="center"/>
        <w:rPr>
          <w:rFonts w:ascii="Times New Roman" w:hAnsi="Times New Roman" w:cs="Times New Roman"/>
          <w:b/>
          <w:sz w:val="24"/>
          <w:szCs w:val="24"/>
        </w:rPr>
      </w:pPr>
    </w:p>
    <w:p w:rsidR="005072A9" w:rsidRPr="006A1059" w:rsidRDefault="005072A9" w:rsidP="006A1059">
      <w:pPr>
        <w:pStyle w:val="NoSpacing"/>
        <w:jc w:val="center"/>
        <w:rPr>
          <w:rFonts w:ascii="Times New Roman" w:hAnsi="Times New Roman" w:cs="Times New Roman"/>
          <w:b/>
          <w:sz w:val="24"/>
          <w:szCs w:val="24"/>
        </w:rPr>
      </w:pPr>
      <w:r w:rsidRPr="006A1059">
        <w:rPr>
          <w:rFonts w:ascii="Times New Roman" w:hAnsi="Times New Roman" w:cs="Times New Roman"/>
          <w:b/>
          <w:sz w:val="24"/>
          <w:szCs w:val="24"/>
        </w:rPr>
        <w:t xml:space="preserve">Table </w:t>
      </w:r>
      <w:r w:rsidR="00272023" w:rsidRPr="006A1059">
        <w:rPr>
          <w:rFonts w:ascii="Times New Roman" w:hAnsi="Times New Roman" w:cs="Times New Roman"/>
          <w:b/>
          <w:sz w:val="24"/>
          <w:szCs w:val="24"/>
        </w:rPr>
        <w:t>3</w:t>
      </w:r>
      <w:r w:rsidR="00FB1551">
        <w:rPr>
          <w:rFonts w:ascii="Times New Roman" w:hAnsi="Times New Roman" w:cs="Times New Roman"/>
          <w:b/>
          <w:sz w:val="24"/>
          <w:szCs w:val="24"/>
        </w:rPr>
        <w:t>. FY1</w:t>
      </w:r>
      <w:r w:rsidR="00486F64">
        <w:rPr>
          <w:rFonts w:ascii="Times New Roman" w:hAnsi="Times New Roman" w:cs="Times New Roman"/>
          <w:b/>
          <w:sz w:val="24"/>
          <w:szCs w:val="24"/>
        </w:rPr>
        <w:t>6</w:t>
      </w:r>
      <w:r w:rsidRPr="006A1059">
        <w:rPr>
          <w:rFonts w:ascii="Times New Roman" w:hAnsi="Times New Roman" w:cs="Times New Roman"/>
          <w:b/>
          <w:sz w:val="24"/>
          <w:szCs w:val="24"/>
        </w:rPr>
        <w:t xml:space="preserve"> IDA Allocations under the Crisis Response Window</w:t>
      </w:r>
    </w:p>
    <w:p w:rsidR="003F4B08" w:rsidRDefault="005072A9" w:rsidP="00D43B94">
      <w:pPr>
        <w:pStyle w:val="NoSpacing"/>
        <w:jc w:val="center"/>
        <w:rPr>
          <w:rFonts w:ascii="Times New Roman" w:hAnsi="Times New Roman" w:cs="Times New Roman"/>
          <w:sz w:val="20"/>
          <w:szCs w:val="20"/>
        </w:rPr>
      </w:pPr>
      <w:r w:rsidRPr="006A1059">
        <w:rPr>
          <w:rFonts w:ascii="Times New Roman" w:hAnsi="Times New Roman" w:cs="Times New Roman"/>
          <w:sz w:val="20"/>
          <w:szCs w:val="20"/>
        </w:rPr>
        <w:t>(SDR million)</w:t>
      </w:r>
    </w:p>
    <w:p w:rsidR="001C70C3" w:rsidRDefault="001C70C3" w:rsidP="00026246">
      <w:pPr>
        <w:pStyle w:val="NoSpacing"/>
        <w:ind w:left="180" w:right="270"/>
        <w:jc w:val="center"/>
        <w:rPr>
          <w:rFonts w:ascii="Times New Roman" w:hAnsi="Times New Roman" w:cs="Times New Roman"/>
          <w:color w:val="000000"/>
          <w:sz w:val="20"/>
          <w:szCs w:val="20"/>
        </w:rPr>
      </w:pPr>
    </w:p>
    <w:p w:rsidR="00B12EF2" w:rsidRPr="00663EFB" w:rsidRDefault="00E34B80" w:rsidP="00E34B80">
      <w:pPr>
        <w:ind w:left="180"/>
        <w:jc w:val="center"/>
        <w:rPr>
          <w:rFonts w:ascii="Times New Roman" w:hAnsi="Times New Roman" w:cs="Times New Roman"/>
          <w:color w:val="000000"/>
          <w:sz w:val="20"/>
          <w:szCs w:val="20"/>
        </w:rPr>
      </w:pPr>
      <w:r w:rsidRPr="00E34B80">
        <w:rPr>
          <w:noProof/>
        </w:rPr>
        <w:drawing>
          <wp:inline distT="0" distB="0" distL="0" distR="0">
            <wp:extent cx="5631180" cy="115815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1738" cy="1176784"/>
                    </a:xfrm>
                    <a:prstGeom prst="rect">
                      <a:avLst/>
                    </a:prstGeom>
                    <a:noFill/>
                    <a:ln>
                      <a:noFill/>
                    </a:ln>
                  </pic:spPr>
                </pic:pic>
              </a:graphicData>
            </a:graphic>
          </wp:inline>
        </w:drawing>
      </w:r>
    </w:p>
    <w:p w:rsidR="001C1731" w:rsidRDefault="001C1731" w:rsidP="0088589A">
      <w:pPr>
        <w:tabs>
          <w:tab w:val="left" w:pos="180"/>
        </w:tabs>
        <w:spacing w:after="0" w:line="240" w:lineRule="auto"/>
        <w:ind w:left="180" w:right="270"/>
        <w:jc w:val="both"/>
        <w:rPr>
          <w:rFonts w:ascii="Times New Roman" w:hAnsi="Times New Roman" w:cs="Times New Roman"/>
          <w:sz w:val="20"/>
          <w:szCs w:val="20"/>
        </w:rPr>
      </w:pPr>
      <w:r>
        <w:rPr>
          <w:rFonts w:ascii="Times New Roman" w:hAnsi="Times New Roman" w:cs="Times New Roman"/>
          <w:sz w:val="20"/>
          <w:szCs w:val="20"/>
        </w:rPr>
        <w:t>Notes:</w:t>
      </w:r>
    </w:p>
    <w:p w:rsidR="004A0716" w:rsidRDefault="004A0716" w:rsidP="00026246">
      <w:pPr>
        <w:tabs>
          <w:tab w:val="left" w:pos="630"/>
        </w:tabs>
        <w:spacing w:after="0" w:line="240" w:lineRule="auto"/>
        <w:ind w:left="630" w:hanging="450"/>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w:t>
      </w:r>
      <w:r>
        <w:rPr>
          <w:rFonts w:ascii="Times New Roman" w:hAnsi="Times New Roman" w:cs="Times New Roman"/>
          <w:sz w:val="20"/>
          <w:szCs w:val="20"/>
        </w:rPr>
        <w:tab/>
      </w:r>
      <w:r w:rsidR="00760AF6" w:rsidRPr="00760AF6">
        <w:rPr>
          <w:rFonts w:ascii="Times New Roman" w:hAnsi="Times New Roman" w:cs="Times New Roman"/>
          <w:sz w:val="20"/>
          <w:szCs w:val="20"/>
        </w:rPr>
        <w:t xml:space="preserve">CRW resources </w:t>
      </w:r>
      <w:r w:rsidR="00141625">
        <w:rPr>
          <w:rFonts w:ascii="Times New Roman" w:hAnsi="Times New Roman" w:cs="Times New Roman"/>
          <w:sz w:val="20"/>
          <w:szCs w:val="20"/>
        </w:rPr>
        <w:t>of US$100 million (equivalent to about SDR6</w:t>
      </w:r>
      <w:r w:rsidR="005915BF">
        <w:rPr>
          <w:rFonts w:ascii="Times New Roman" w:hAnsi="Times New Roman" w:cs="Times New Roman"/>
          <w:sz w:val="20"/>
          <w:szCs w:val="20"/>
        </w:rPr>
        <w:t>6</w:t>
      </w:r>
      <w:r w:rsidR="00141625">
        <w:rPr>
          <w:rFonts w:ascii="Times New Roman" w:hAnsi="Times New Roman" w:cs="Times New Roman"/>
          <w:sz w:val="20"/>
          <w:szCs w:val="20"/>
        </w:rPr>
        <w:t xml:space="preserve"> million</w:t>
      </w:r>
      <w:r w:rsidR="005915BF">
        <w:rPr>
          <w:rFonts w:ascii="Times New Roman" w:hAnsi="Times New Roman" w:cs="Times New Roman"/>
          <w:sz w:val="20"/>
          <w:szCs w:val="20"/>
        </w:rPr>
        <w:t xml:space="preserve">) </w:t>
      </w:r>
      <w:r w:rsidR="00141625" w:rsidRPr="00141625">
        <w:rPr>
          <w:rFonts w:ascii="Times New Roman" w:hAnsi="Times New Roman" w:cs="Times New Roman"/>
          <w:sz w:val="20"/>
          <w:szCs w:val="20"/>
        </w:rPr>
        <w:t>were allocated to Myanmar in support of the country's reconstruction efforts in the aftermath of floods and landslides, which hit Myanmar during July to September 2015. See "</w:t>
      </w:r>
      <w:r w:rsidR="00141625" w:rsidRPr="0088589A">
        <w:rPr>
          <w:rFonts w:ascii="Times New Roman" w:hAnsi="Times New Roman" w:cs="Times New Roman"/>
          <w:i/>
          <w:sz w:val="20"/>
          <w:szCs w:val="20"/>
        </w:rPr>
        <w:t>IDA Crisis Response Window (CRW) - Support for Floods and Landslides Emergency Recovery in Myanmar</w:t>
      </w:r>
      <w:r w:rsidR="00141625" w:rsidRPr="00141625">
        <w:rPr>
          <w:rFonts w:ascii="Times New Roman" w:hAnsi="Times New Roman" w:cs="Times New Roman"/>
          <w:sz w:val="20"/>
          <w:szCs w:val="20"/>
        </w:rPr>
        <w:t>," March 24, 2016.</w:t>
      </w:r>
    </w:p>
    <w:p w:rsidR="008A452C" w:rsidRDefault="008A452C" w:rsidP="00026246">
      <w:pPr>
        <w:tabs>
          <w:tab w:val="left" w:pos="630"/>
        </w:tabs>
        <w:spacing w:after="0" w:line="240" w:lineRule="auto"/>
        <w:ind w:left="630" w:hanging="450"/>
        <w:jc w:val="both"/>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r>
        <w:rPr>
          <w:rFonts w:ascii="Times New Roman" w:hAnsi="Times New Roman" w:cs="Times New Roman"/>
          <w:sz w:val="20"/>
          <w:szCs w:val="20"/>
        </w:rPr>
        <w:tab/>
      </w:r>
      <w:r w:rsidRPr="008A452C">
        <w:rPr>
          <w:rFonts w:ascii="Times New Roman" w:hAnsi="Times New Roman" w:cs="Times New Roman"/>
          <w:sz w:val="20"/>
          <w:szCs w:val="20"/>
        </w:rPr>
        <w:t>CRW resources of US$100 million (equivalent to about SDR66 million) were allocated to Ethiopia to support the country's drought response through the Productive Safe</w:t>
      </w:r>
      <w:r w:rsidR="005915BF">
        <w:rPr>
          <w:rFonts w:ascii="Times New Roman" w:hAnsi="Times New Roman" w:cs="Times New Roman"/>
          <w:sz w:val="20"/>
          <w:szCs w:val="20"/>
        </w:rPr>
        <w:t>t</w:t>
      </w:r>
      <w:r w:rsidRPr="008A452C">
        <w:rPr>
          <w:rFonts w:ascii="Times New Roman" w:hAnsi="Times New Roman" w:cs="Times New Roman"/>
          <w:sz w:val="20"/>
          <w:szCs w:val="20"/>
        </w:rPr>
        <w:t>y Net Program. See "</w:t>
      </w:r>
      <w:r w:rsidRPr="005915BF">
        <w:rPr>
          <w:rFonts w:ascii="Times New Roman" w:hAnsi="Times New Roman" w:cs="Times New Roman"/>
          <w:i/>
          <w:sz w:val="20"/>
          <w:szCs w:val="20"/>
        </w:rPr>
        <w:t>Ethiopia: IDA Crisis Response Window Support for Drought Response through the Productive Safety Net Program</w:t>
      </w:r>
      <w:r w:rsidRPr="008A452C">
        <w:rPr>
          <w:rFonts w:ascii="Times New Roman" w:hAnsi="Times New Roman" w:cs="Times New Roman"/>
          <w:sz w:val="20"/>
          <w:szCs w:val="20"/>
        </w:rPr>
        <w:t>," May 27, 2016.</w:t>
      </w:r>
    </w:p>
    <w:p w:rsidR="00CB28B7" w:rsidRDefault="00CB28B7" w:rsidP="00004951">
      <w:pPr>
        <w:spacing w:after="0" w:line="240" w:lineRule="auto"/>
        <w:ind w:left="180"/>
        <w:jc w:val="both"/>
        <w:rPr>
          <w:rFonts w:ascii="Times New Roman" w:hAnsi="Times New Roman" w:cs="Times New Roman"/>
          <w:sz w:val="20"/>
          <w:szCs w:val="20"/>
        </w:rPr>
      </w:pPr>
    </w:p>
    <w:p w:rsidR="00760E5E" w:rsidRDefault="00760E5E" w:rsidP="00760E5E">
      <w:pPr>
        <w:rPr>
          <w:rFonts w:ascii="Times New Roman" w:hAnsi="Times New Roman" w:cs="Times New Roman"/>
          <w:sz w:val="24"/>
          <w:szCs w:val="24"/>
        </w:rPr>
      </w:pPr>
      <w:r>
        <w:rPr>
          <w:rFonts w:ascii="Times New Roman" w:hAnsi="Times New Roman" w:cs="Times New Roman"/>
          <w:sz w:val="24"/>
          <w:szCs w:val="24"/>
        </w:rPr>
        <w:br w:type="page"/>
      </w:r>
    </w:p>
    <w:p w:rsidR="00113949" w:rsidRDefault="00760E5E" w:rsidP="00760E5E">
      <w:pPr>
        <w:pStyle w:val="NoSpacing"/>
        <w:jc w:val="center"/>
        <w:rPr>
          <w:rFonts w:ascii="Times New Roman" w:hAnsi="Times New Roman" w:cs="Times New Roman"/>
          <w:b/>
          <w:sz w:val="24"/>
          <w:szCs w:val="24"/>
        </w:rPr>
      </w:pPr>
      <w:r w:rsidRPr="006A1059">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4. </w:t>
      </w:r>
      <w:r w:rsidRPr="006A1059">
        <w:rPr>
          <w:rFonts w:ascii="Times New Roman" w:hAnsi="Times New Roman" w:cs="Times New Roman"/>
          <w:b/>
          <w:sz w:val="24"/>
          <w:szCs w:val="24"/>
        </w:rPr>
        <w:t xml:space="preserve">IDA </w:t>
      </w:r>
      <w:r w:rsidR="00E32E91">
        <w:rPr>
          <w:rFonts w:ascii="Times New Roman" w:hAnsi="Times New Roman" w:cs="Times New Roman"/>
          <w:b/>
          <w:sz w:val="24"/>
          <w:szCs w:val="24"/>
        </w:rPr>
        <w:t xml:space="preserve">Regional </w:t>
      </w:r>
      <w:r w:rsidRPr="006A1059">
        <w:rPr>
          <w:rFonts w:ascii="Times New Roman" w:hAnsi="Times New Roman" w:cs="Times New Roman"/>
          <w:b/>
          <w:sz w:val="24"/>
          <w:szCs w:val="24"/>
        </w:rPr>
        <w:t xml:space="preserve">Allocations under the </w:t>
      </w:r>
      <w:r w:rsidR="00913430">
        <w:rPr>
          <w:rFonts w:ascii="Times New Roman" w:hAnsi="Times New Roman" w:cs="Times New Roman"/>
          <w:b/>
          <w:sz w:val="24"/>
          <w:szCs w:val="24"/>
        </w:rPr>
        <w:t>IDA17 Scale-up Facility</w:t>
      </w:r>
    </w:p>
    <w:p w:rsidR="002B6D4D" w:rsidRDefault="002B6D4D" w:rsidP="00760E5E">
      <w:pPr>
        <w:pStyle w:val="NoSpacing"/>
        <w:jc w:val="center"/>
        <w:rPr>
          <w:rFonts w:ascii="Times New Roman" w:hAnsi="Times New Roman" w:cs="Times New Roman"/>
          <w:sz w:val="20"/>
          <w:szCs w:val="20"/>
        </w:rPr>
      </w:pPr>
    </w:p>
    <w:p w:rsidR="002B6D4D" w:rsidRDefault="00890E51" w:rsidP="00760E5E">
      <w:pPr>
        <w:pStyle w:val="NoSpacing"/>
        <w:jc w:val="center"/>
        <w:rPr>
          <w:rFonts w:ascii="Times New Roman" w:hAnsi="Times New Roman" w:cs="Times New Roman"/>
          <w:sz w:val="20"/>
          <w:szCs w:val="20"/>
        </w:rPr>
      </w:pPr>
      <w:r w:rsidRPr="00890E51">
        <w:rPr>
          <w:noProof/>
        </w:rPr>
        <w:drawing>
          <wp:inline distT="0" distB="0" distL="0" distR="0">
            <wp:extent cx="5562600" cy="18714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0232" cy="1880704"/>
                    </a:xfrm>
                    <a:prstGeom prst="rect">
                      <a:avLst/>
                    </a:prstGeom>
                    <a:noFill/>
                    <a:ln>
                      <a:noFill/>
                    </a:ln>
                  </pic:spPr>
                </pic:pic>
              </a:graphicData>
            </a:graphic>
          </wp:inline>
        </w:drawing>
      </w:r>
    </w:p>
    <w:p w:rsidR="00760E5E" w:rsidRDefault="00760E5E" w:rsidP="00004951">
      <w:pPr>
        <w:spacing w:after="0" w:line="240" w:lineRule="auto"/>
        <w:ind w:left="180"/>
        <w:jc w:val="both"/>
        <w:rPr>
          <w:rFonts w:ascii="Times New Roman" w:hAnsi="Times New Roman" w:cs="Times New Roman"/>
          <w:sz w:val="20"/>
          <w:szCs w:val="20"/>
        </w:rPr>
      </w:pPr>
    </w:p>
    <w:p w:rsidR="00562D3F" w:rsidRDefault="00562D3F" w:rsidP="00562D3F">
      <w:pPr>
        <w:tabs>
          <w:tab w:val="left" w:pos="180"/>
        </w:tabs>
        <w:spacing w:after="0" w:line="240" w:lineRule="auto"/>
        <w:ind w:left="180" w:right="270"/>
        <w:jc w:val="both"/>
        <w:rPr>
          <w:rFonts w:ascii="Times New Roman" w:hAnsi="Times New Roman" w:cs="Times New Roman"/>
          <w:sz w:val="20"/>
          <w:szCs w:val="20"/>
        </w:rPr>
      </w:pPr>
      <w:r>
        <w:rPr>
          <w:rFonts w:ascii="Times New Roman" w:hAnsi="Times New Roman" w:cs="Times New Roman"/>
          <w:sz w:val="20"/>
          <w:szCs w:val="20"/>
        </w:rPr>
        <w:t>Notes:</w:t>
      </w:r>
    </w:p>
    <w:p w:rsidR="00562D3F" w:rsidRDefault="00562D3F" w:rsidP="00562D3F">
      <w:pPr>
        <w:tabs>
          <w:tab w:val="left" w:pos="630"/>
        </w:tabs>
        <w:spacing w:after="0" w:line="240" w:lineRule="auto"/>
        <w:ind w:left="630" w:hanging="450"/>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w:t>
      </w:r>
      <w:r>
        <w:rPr>
          <w:rFonts w:ascii="Times New Roman" w:hAnsi="Times New Roman" w:cs="Times New Roman"/>
          <w:sz w:val="20"/>
          <w:szCs w:val="20"/>
        </w:rPr>
        <w:tab/>
      </w:r>
      <w:r w:rsidR="00E32E91" w:rsidRPr="00E32E91">
        <w:rPr>
          <w:rFonts w:ascii="Times New Roman" w:hAnsi="Times New Roman" w:cs="Times New Roman"/>
          <w:sz w:val="20"/>
          <w:szCs w:val="20"/>
        </w:rPr>
        <w:t xml:space="preserve">The SUF resources are denominated in US$ terms. The equivalent SDR amounts were calculated based on the IDA17 foreign exchange </w:t>
      </w:r>
      <w:r w:rsidR="00203786">
        <w:rPr>
          <w:rFonts w:ascii="Times New Roman" w:hAnsi="Times New Roman" w:cs="Times New Roman"/>
          <w:sz w:val="20"/>
          <w:szCs w:val="20"/>
        </w:rPr>
        <w:t xml:space="preserve">hedge </w:t>
      </w:r>
      <w:r w:rsidR="00E32E91" w:rsidRPr="00E32E91">
        <w:rPr>
          <w:rFonts w:ascii="Times New Roman" w:hAnsi="Times New Roman" w:cs="Times New Roman"/>
          <w:sz w:val="20"/>
          <w:szCs w:val="20"/>
        </w:rPr>
        <w:t>rate of US$/</w:t>
      </w:r>
      <w:r w:rsidR="00203786" w:rsidRPr="00203786">
        <w:rPr>
          <w:rFonts w:ascii="Times New Roman" w:hAnsi="Times New Roman" w:cs="Times New Roman"/>
          <w:sz w:val="20"/>
          <w:szCs w:val="20"/>
        </w:rPr>
        <w:t xml:space="preserve"> </w:t>
      </w:r>
      <w:r w:rsidR="00203786" w:rsidRPr="00141625">
        <w:rPr>
          <w:rFonts w:ascii="Times New Roman" w:hAnsi="Times New Roman" w:cs="Times New Roman"/>
          <w:sz w:val="20"/>
          <w:szCs w:val="20"/>
        </w:rPr>
        <w:t>SDR1.5</w:t>
      </w:r>
      <w:r w:rsidR="00203786">
        <w:rPr>
          <w:rFonts w:ascii="Times New Roman" w:hAnsi="Times New Roman" w:cs="Times New Roman"/>
          <w:sz w:val="20"/>
          <w:szCs w:val="20"/>
        </w:rPr>
        <w:t>4099</w:t>
      </w:r>
      <w:r w:rsidR="00203786" w:rsidRPr="00141625">
        <w:rPr>
          <w:rFonts w:ascii="Times New Roman" w:hAnsi="Times New Roman" w:cs="Times New Roman"/>
          <w:sz w:val="20"/>
          <w:szCs w:val="20"/>
        </w:rPr>
        <w:t>8</w:t>
      </w:r>
      <w:r w:rsidR="00890E51">
        <w:rPr>
          <w:rFonts w:ascii="Times New Roman" w:hAnsi="Times New Roman" w:cs="Times New Roman"/>
          <w:sz w:val="20"/>
          <w:szCs w:val="20"/>
        </w:rPr>
        <w:t xml:space="preserve"> for illustrative purposes</w:t>
      </w:r>
      <w:r w:rsidR="00F662A5">
        <w:rPr>
          <w:rFonts w:ascii="Times New Roman" w:hAnsi="Times New Roman" w:cs="Times New Roman"/>
          <w:sz w:val="20"/>
          <w:szCs w:val="20"/>
        </w:rPr>
        <w:t xml:space="preserve"> only.</w:t>
      </w:r>
    </w:p>
    <w:p w:rsidR="000D6272" w:rsidRPr="0047527F" w:rsidRDefault="000D6272" w:rsidP="00004951">
      <w:pPr>
        <w:spacing w:after="0" w:line="240" w:lineRule="auto"/>
        <w:ind w:left="180"/>
        <w:jc w:val="both"/>
        <w:rPr>
          <w:rFonts w:ascii="Times New Roman" w:hAnsi="Times New Roman" w:cs="Times New Roman"/>
          <w:sz w:val="20"/>
          <w:szCs w:val="20"/>
        </w:rPr>
      </w:pPr>
    </w:p>
    <w:sectPr w:rsidR="000D6272" w:rsidRPr="0047527F" w:rsidSect="00026246">
      <w:headerReference w:type="default" r:id="rId18"/>
      <w:pgSz w:w="12240" w:h="15840"/>
      <w:pgMar w:top="1080" w:right="1980" w:bottom="1440" w:left="12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48" w:rsidRDefault="00A34548" w:rsidP="0093216A">
      <w:pPr>
        <w:spacing w:after="0" w:line="240" w:lineRule="auto"/>
      </w:pPr>
      <w:r>
        <w:separator/>
      </w:r>
    </w:p>
  </w:endnote>
  <w:endnote w:type="continuationSeparator" w:id="0">
    <w:p w:rsidR="00A34548" w:rsidRDefault="00A34548" w:rsidP="0093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48" w:rsidRDefault="00A34548" w:rsidP="0093216A">
      <w:pPr>
        <w:spacing w:after="0" w:line="240" w:lineRule="auto"/>
      </w:pPr>
      <w:r>
        <w:separator/>
      </w:r>
    </w:p>
  </w:footnote>
  <w:footnote w:type="continuationSeparator" w:id="0">
    <w:p w:rsidR="00A34548" w:rsidRDefault="00A34548" w:rsidP="0093216A">
      <w:pPr>
        <w:spacing w:after="0" w:line="240" w:lineRule="auto"/>
      </w:pPr>
      <w:r>
        <w:continuationSeparator/>
      </w:r>
    </w:p>
  </w:footnote>
  <w:footnote w:id="1">
    <w:p w:rsidR="00E0345F" w:rsidRPr="00757FBE" w:rsidRDefault="00E0345F" w:rsidP="00E630D9">
      <w:pPr>
        <w:pStyle w:val="FootnoteText"/>
        <w:tabs>
          <w:tab w:val="left" w:pos="720"/>
        </w:tabs>
        <w:ind w:left="360" w:hanging="360"/>
        <w:rPr>
          <w:sz w:val="18"/>
          <w:szCs w:val="18"/>
        </w:rPr>
      </w:pPr>
      <w:r w:rsidRPr="00757FBE">
        <w:rPr>
          <w:rStyle w:val="FootnoteReference"/>
          <w:sz w:val="18"/>
          <w:szCs w:val="18"/>
        </w:rPr>
        <w:footnoteRef/>
      </w:r>
      <w:r w:rsidRPr="00757FBE">
        <w:rPr>
          <w:sz w:val="18"/>
          <w:szCs w:val="18"/>
        </w:rPr>
        <w:t xml:space="preserve"> </w:t>
      </w:r>
      <w:r w:rsidRPr="00757FBE">
        <w:rPr>
          <w:sz w:val="18"/>
          <w:szCs w:val="18"/>
        </w:rPr>
        <w:tab/>
        <w:t>The IDA1</w:t>
      </w:r>
      <w:r w:rsidR="007C6BF2">
        <w:rPr>
          <w:sz w:val="18"/>
          <w:szCs w:val="18"/>
        </w:rPr>
        <w:t>7</w:t>
      </w:r>
      <w:r w:rsidRPr="00757FBE">
        <w:rPr>
          <w:sz w:val="18"/>
          <w:szCs w:val="18"/>
        </w:rPr>
        <w:t xml:space="preserve"> implementation period covers the </w:t>
      </w:r>
      <w:r w:rsidR="00792BEC">
        <w:rPr>
          <w:sz w:val="18"/>
          <w:szCs w:val="18"/>
        </w:rPr>
        <w:t xml:space="preserve">three </w:t>
      </w:r>
      <w:r w:rsidRPr="00757FBE">
        <w:rPr>
          <w:sz w:val="18"/>
          <w:szCs w:val="18"/>
        </w:rPr>
        <w:t>fiscal years 201</w:t>
      </w:r>
      <w:r w:rsidR="007C6BF2">
        <w:rPr>
          <w:sz w:val="18"/>
          <w:szCs w:val="18"/>
        </w:rPr>
        <w:t>5</w:t>
      </w:r>
      <w:r w:rsidRPr="00757FBE">
        <w:rPr>
          <w:sz w:val="18"/>
          <w:szCs w:val="18"/>
        </w:rPr>
        <w:t>-201</w:t>
      </w:r>
      <w:r w:rsidR="007C6BF2">
        <w:rPr>
          <w:sz w:val="18"/>
          <w:szCs w:val="18"/>
        </w:rPr>
        <w:t>7</w:t>
      </w:r>
      <w:r w:rsidRPr="00757FBE">
        <w:rPr>
          <w:sz w:val="18"/>
          <w:szCs w:val="18"/>
        </w:rPr>
        <w:t xml:space="preserve"> (FY1</w:t>
      </w:r>
      <w:r w:rsidR="007C6BF2">
        <w:rPr>
          <w:sz w:val="18"/>
          <w:szCs w:val="18"/>
        </w:rPr>
        <w:t>5</w:t>
      </w:r>
      <w:r w:rsidRPr="00757FBE">
        <w:rPr>
          <w:sz w:val="18"/>
          <w:szCs w:val="18"/>
        </w:rPr>
        <w:t>-FY1</w:t>
      </w:r>
      <w:r w:rsidR="007C6BF2">
        <w:rPr>
          <w:sz w:val="18"/>
          <w:szCs w:val="18"/>
        </w:rPr>
        <w:t>7</w:t>
      </w:r>
      <w:r w:rsidRPr="00757FBE">
        <w:rPr>
          <w:sz w:val="18"/>
          <w:szCs w:val="18"/>
        </w:rPr>
        <w:t>).</w:t>
      </w:r>
      <w:r w:rsidRPr="00757FBE">
        <w:rPr>
          <w:sz w:val="18"/>
          <w:szCs w:val="18"/>
        </w:rPr>
        <w:tab/>
      </w:r>
    </w:p>
  </w:footnote>
  <w:footnote w:id="2">
    <w:p w:rsidR="00E0345F" w:rsidRPr="00757FBE" w:rsidRDefault="00E0345F" w:rsidP="00E630D9">
      <w:pPr>
        <w:tabs>
          <w:tab w:val="left" w:pos="360"/>
        </w:tabs>
        <w:autoSpaceDE w:val="0"/>
        <w:autoSpaceDN w:val="0"/>
        <w:adjustRightInd w:val="0"/>
        <w:spacing w:after="0" w:line="240" w:lineRule="auto"/>
        <w:ind w:left="360" w:hanging="360"/>
        <w:jc w:val="both"/>
        <w:rPr>
          <w:rStyle w:val="FootnoteReference"/>
          <w:rFonts w:ascii="Times New Roman" w:hAnsi="Times New Roman" w:cs="Times New Roman"/>
          <w:sz w:val="18"/>
          <w:szCs w:val="18"/>
        </w:rPr>
      </w:pPr>
      <w:r w:rsidRPr="00757FBE">
        <w:rPr>
          <w:rStyle w:val="FootnoteReference"/>
          <w:rFonts w:ascii="Times New Roman" w:hAnsi="Times New Roman" w:cs="Times New Roman"/>
          <w:sz w:val="18"/>
          <w:szCs w:val="18"/>
        </w:rPr>
        <w:footnoteRef/>
      </w:r>
      <w:r w:rsidRPr="00757FBE">
        <w:rPr>
          <w:rStyle w:val="FootnoteReference"/>
          <w:rFonts w:ascii="Times New Roman" w:hAnsi="Times New Roman" w:cs="Times New Roman"/>
          <w:sz w:val="18"/>
          <w:szCs w:val="18"/>
        </w:rPr>
        <w:t xml:space="preserve"> </w:t>
      </w:r>
      <w:r w:rsidRPr="00757FBE">
        <w:rPr>
          <w:rStyle w:val="FootnoteReference"/>
          <w:rFonts w:ascii="Times New Roman" w:hAnsi="Times New Roman" w:cs="Times New Roman"/>
          <w:sz w:val="18"/>
          <w:szCs w:val="18"/>
        </w:rPr>
        <w:tab/>
      </w:r>
      <w:r w:rsidRPr="00757FBE">
        <w:rPr>
          <w:rFonts w:ascii="Times New Roman" w:hAnsi="Times New Roman" w:cs="Times New Roman"/>
          <w:sz w:val="18"/>
          <w:szCs w:val="18"/>
        </w:rPr>
        <w:t>“</w:t>
      </w:r>
      <w:r w:rsidR="00D447E5">
        <w:rPr>
          <w:rFonts w:ascii="Times New Roman" w:hAnsi="Times New Roman" w:cs="Times New Roman"/>
          <w:i/>
          <w:iCs/>
          <w:sz w:val="18"/>
          <w:szCs w:val="18"/>
        </w:rPr>
        <w:t>Additions to IDA Resources: Seven</w:t>
      </w:r>
      <w:r w:rsidRPr="00757FBE">
        <w:rPr>
          <w:rFonts w:ascii="Times New Roman" w:hAnsi="Times New Roman" w:cs="Times New Roman"/>
          <w:i/>
          <w:iCs/>
          <w:sz w:val="18"/>
          <w:szCs w:val="18"/>
        </w:rPr>
        <w:t>teenth Replenishment. IDA1</w:t>
      </w:r>
      <w:r w:rsidR="00D447E5">
        <w:rPr>
          <w:rFonts w:ascii="Times New Roman" w:hAnsi="Times New Roman" w:cs="Times New Roman"/>
          <w:i/>
          <w:iCs/>
          <w:sz w:val="18"/>
          <w:szCs w:val="18"/>
        </w:rPr>
        <w:t>7</w:t>
      </w:r>
      <w:r w:rsidRPr="00757FBE">
        <w:rPr>
          <w:rFonts w:ascii="Times New Roman" w:hAnsi="Times New Roman" w:cs="Times New Roman"/>
          <w:i/>
          <w:iCs/>
          <w:sz w:val="18"/>
          <w:szCs w:val="18"/>
        </w:rPr>
        <w:t xml:space="preserve">: </w:t>
      </w:r>
      <w:r w:rsidR="00D447E5">
        <w:rPr>
          <w:rFonts w:ascii="Times New Roman" w:hAnsi="Times New Roman" w:cs="Times New Roman"/>
          <w:i/>
          <w:iCs/>
          <w:sz w:val="18"/>
          <w:szCs w:val="18"/>
        </w:rPr>
        <w:t xml:space="preserve">Maximizing </w:t>
      </w:r>
      <w:r w:rsidRPr="00757FBE">
        <w:rPr>
          <w:rFonts w:ascii="Times New Roman" w:hAnsi="Times New Roman" w:cs="Times New Roman"/>
          <w:i/>
          <w:iCs/>
          <w:sz w:val="18"/>
          <w:szCs w:val="18"/>
        </w:rPr>
        <w:t xml:space="preserve">Development </w:t>
      </w:r>
      <w:r w:rsidR="00D447E5">
        <w:rPr>
          <w:rFonts w:ascii="Times New Roman" w:hAnsi="Times New Roman" w:cs="Times New Roman"/>
          <w:i/>
          <w:iCs/>
          <w:sz w:val="18"/>
          <w:szCs w:val="18"/>
        </w:rPr>
        <w:t>Impact</w:t>
      </w:r>
      <w:r>
        <w:rPr>
          <w:rFonts w:ascii="Times New Roman" w:hAnsi="Times New Roman" w:cs="Times New Roman"/>
          <w:i/>
          <w:iCs/>
          <w:sz w:val="18"/>
          <w:szCs w:val="18"/>
        </w:rPr>
        <w:t>.</w:t>
      </w:r>
      <w:r w:rsidRPr="00757FBE">
        <w:rPr>
          <w:rFonts w:ascii="Times New Roman" w:hAnsi="Times New Roman" w:cs="Times New Roman"/>
          <w:sz w:val="18"/>
          <w:szCs w:val="18"/>
        </w:rPr>
        <w:t xml:space="preserve">” </w:t>
      </w:r>
      <w:r>
        <w:rPr>
          <w:rFonts w:ascii="Times New Roman" w:hAnsi="Times New Roman" w:cs="Times New Roman"/>
          <w:sz w:val="18"/>
          <w:szCs w:val="18"/>
        </w:rPr>
        <w:t>(IDA1</w:t>
      </w:r>
      <w:r w:rsidR="00D447E5">
        <w:rPr>
          <w:rFonts w:ascii="Times New Roman" w:hAnsi="Times New Roman" w:cs="Times New Roman"/>
          <w:sz w:val="18"/>
          <w:szCs w:val="18"/>
        </w:rPr>
        <w:t>7</w:t>
      </w:r>
      <w:r>
        <w:rPr>
          <w:rFonts w:ascii="Times New Roman" w:hAnsi="Times New Roman" w:cs="Times New Roman"/>
          <w:sz w:val="18"/>
          <w:szCs w:val="18"/>
        </w:rPr>
        <w:t xml:space="preserve"> Deputies Report). </w:t>
      </w:r>
      <w:r w:rsidRPr="00757FBE">
        <w:rPr>
          <w:rFonts w:ascii="Times New Roman" w:hAnsi="Times New Roman" w:cs="Times New Roman"/>
          <w:sz w:val="18"/>
          <w:szCs w:val="18"/>
        </w:rPr>
        <w:t xml:space="preserve">March </w:t>
      </w:r>
      <w:r>
        <w:rPr>
          <w:rFonts w:ascii="Times New Roman" w:hAnsi="Times New Roman" w:cs="Times New Roman"/>
          <w:sz w:val="18"/>
          <w:szCs w:val="18"/>
        </w:rPr>
        <w:t>2</w:t>
      </w:r>
      <w:r w:rsidR="00D447E5">
        <w:rPr>
          <w:rFonts w:ascii="Times New Roman" w:hAnsi="Times New Roman" w:cs="Times New Roman"/>
          <w:sz w:val="18"/>
          <w:szCs w:val="18"/>
        </w:rPr>
        <w:t>5</w:t>
      </w:r>
      <w:r w:rsidRPr="00757FBE">
        <w:rPr>
          <w:rFonts w:ascii="Times New Roman" w:hAnsi="Times New Roman" w:cs="Times New Roman"/>
          <w:sz w:val="18"/>
          <w:szCs w:val="18"/>
        </w:rPr>
        <w:t>, 201</w:t>
      </w:r>
      <w:r w:rsidR="00D447E5">
        <w:rPr>
          <w:rFonts w:ascii="Times New Roman" w:hAnsi="Times New Roman" w:cs="Times New Roman"/>
          <w:sz w:val="18"/>
          <w:szCs w:val="18"/>
        </w:rPr>
        <w:t>4</w:t>
      </w:r>
      <w:r w:rsidRPr="00757FBE">
        <w:rPr>
          <w:rFonts w:ascii="Times New Roman" w:hAnsi="Times New Roman" w:cs="Times New Roman"/>
          <w:sz w:val="18"/>
          <w:szCs w:val="18"/>
        </w:rPr>
        <w:t xml:space="preserve"> (page </w:t>
      </w:r>
      <w:r w:rsidR="00D447E5">
        <w:rPr>
          <w:rFonts w:ascii="Times New Roman" w:hAnsi="Times New Roman" w:cs="Times New Roman"/>
          <w:sz w:val="18"/>
          <w:szCs w:val="18"/>
        </w:rPr>
        <w:t>9</w:t>
      </w:r>
      <w:r w:rsidRPr="00757FBE">
        <w:rPr>
          <w:rFonts w:ascii="Times New Roman" w:hAnsi="Times New Roman" w:cs="Times New Roman"/>
          <w:sz w:val="18"/>
          <w:szCs w:val="18"/>
        </w:rPr>
        <w:t xml:space="preserve">2). </w:t>
      </w:r>
    </w:p>
  </w:footnote>
  <w:footnote w:id="3">
    <w:p w:rsidR="00C246F5" w:rsidRDefault="00C246F5" w:rsidP="00C246F5">
      <w:pPr>
        <w:pStyle w:val="FootnoteText"/>
        <w:tabs>
          <w:tab w:val="left" w:pos="360"/>
        </w:tabs>
        <w:ind w:left="360" w:hanging="360"/>
        <w:jc w:val="both"/>
      </w:pPr>
      <w:r>
        <w:rPr>
          <w:rStyle w:val="FootnoteReference"/>
        </w:rPr>
        <w:footnoteRef/>
      </w:r>
      <w:r>
        <w:t xml:space="preserve"> </w:t>
      </w:r>
      <w:r>
        <w:tab/>
      </w:r>
      <w:r w:rsidRPr="00296A90">
        <w:rPr>
          <w:sz w:val="18"/>
          <w:szCs w:val="18"/>
        </w:rPr>
        <w:t>IDA allocations for the first year of IDA17 were disclosed in “</w:t>
      </w:r>
      <w:r w:rsidRPr="00296A90">
        <w:rPr>
          <w:i/>
          <w:sz w:val="18"/>
          <w:szCs w:val="18"/>
        </w:rPr>
        <w:t>IDA Country Allocations for FY15</w:t>
      </w:r>
      <w:r w:rsidRPr="00296A90">
        <w:rPr>
          <w:sz w:val="18"/>
          <w:szCs w:val="18"/>
        </w:rPr>
        <w:t xml:space="preserve">,” August 10, 2015. </w:t>
      </w:r>
    </w:p>
  </w:footnote>
  <w:footnote w:id="4">
    <w:p w:rsidR="009A11FF" w:rsidRPr="00757FBE" w:rsidRDefault="009A11FF" w:rsidP="009A11FF">
      <w:pPr>
        <w:pStyle w:val="FootnoteText"/>
        <w:ind w:left="360" w:hanging="360"/>
        <w:jc w:val="both"/>
        <w:rPr>
          <w:rStyle w:val="FootnoteReference"/>
          <w:sz w:val="18"/>
          <w:szCs w:val="18"/>
        </w:rPr>
      </w:pPr>
      <w:r w:rsidRPr="00757FBE">
        <w:rPr>
          <w:rStyle w:val="FootnoteReference"/>
          <w:sz w:val="18"/>
          <w:szCs w:val="18"/>
        </w:rPr>
        <w:footnoteRef/>
      </w:r>
      <w:r w:rsidRPr="00757FBE">
        <w:rPr>
          <w:rStyle w:val="FootnoteReference"/>
          <w:sz w:val="18"/>
          <w:szCs w:val="18"/>
        </w:rPr>
        <w:t xml:space="preserve"> </w:t>
      </w:r>
      <w:r w:rsidRPr="00757FBE">
        <w:rPr>
          <w:sz w:val="18"/>
          <w:szCs w:val="18"/>
        </w:rPr>
        <w:tab/>
        <w:t>For details on the PBA</w:t>
      </w:r>
      <w:r>
        <w:rPr>
          <w:sz w:val="18"/>
          <w:szCs w:val="18"/>
        </w:rPr>
        <w:t xml:space="preserve"> system</w:t>
      </w:r>
      <w:r w:rsidRPr="00757FBE">
        <w:rPr>
          <w:sz w:val="18"/>
          <w:szCs w:val="18"/>
        </w:rPr>
        <w:t xml:space="preserve">, see Annex 2 </w:t>
      </w:r>
      <w:r w:rsidR="00C2607B">
        <w:rPr>
          <w:sz w:val="18"/>
          <w:szCs w:val="18"/>
        </w:rPr>
        <w:t>of IDA17</w:t>
      </w:r>
      <w:r w:rsidRPr="00961DA1">
        <w:rPr>
          <w:sz w:val="18"/>
          <w:szCs w:val="18"/>
        </w:rPr>
        <w:t xml:space="preserve"> Deputies Report</w:t>
      </w:r>
      <w:r>
        <w:rPr>
          <w:sz w:val="18"/>
          <w:szCs w:val="18"/>
        </w:rPr>
        <w:t>,</w:t>
      </w:r>
      <w:r w:rsidRPr="00961DA1">
        <w:rPr>
          <w:sz w:val="18"/>
          <w:szCs w:val="18"/>
        </w:rPr>
        <w:t xml:space="preserve"> </w:t>
      </w:r>
      <w:proofErr w:type="spellStart"/>
      <w:r w:rsidRPr="00961DA1">
        <w:rPr>
          <w:sz w:val="18"/>
          <w:szCs w:val="18"/>
        </w:rPr>
        <w:t>Op.Cit</w:t>
      </w:r>
      <w:proofErr w:type="spellEnd"/>
      <w:r w:rsidRPr="00961DA1">
        <w:rPr>
          <w:sz w:val="18"/>
          <w:szCs w:val="18"/>
        </w:rPr>
        <w:t>.</w:t>
      </w:r>
    </w:p>
  </w:footnote>
  <w:footnote w:id="5">
    <w:p w:rsidR="003E45C7" w:rsidRPr="003E45C7" w:rsidRDefault="003E45C7" w:rsidP="003E45C7">
      <w:pPr>
        <w:pStyle w:val="FootnoteText"/>
        <w:ind w:left="360" w:hanging="360"/>
        <w:jc w:val="both"/>
        <w:rPr>
          <w:rStyle w:val="FootnoteReference"/>
          <w:sz w:val="18"/>
          <w:szCs w:val="18"/>
        </w:rPr>
      </w:pPr>
      <w:r w:rsidRPr="003E45C7">
        <w:rPr>
          <w:rStyle w:val="FootnoteReference"/>
          <w:sz w:val="18"/>
          <w:szCs w:val="18"/>
        </w:rPr>
        <w:footnoteRef/>
      </w:r>
      <w:r w:rsidRPr="003E45C7">
        <w:rPr>
          <w:rStyle w:val="FootnoteReference"/>
          <w:sz w:val="18"/>
          <w:szCs w:val="18"/>
        </w:rPr>
        <w:t xml:space="preserve"> </w:t>
      </w:r>
      <w:r>
        <w:rPr>
          <w:sz w:val="18"/>
          <w:szCs w:val="18"/>
        </w:rPr>
        <w:tab/>
      </w:r>
      <w:r w:rsidR="00CC1DCF">
        <w:rPr>
          <w:sz w:val="18"/>
          <w:szCs w:val="18"/>
        </w:rPr>
        <w:t>The transitional support to India and the set-aside resources for potential arrears clearance during IDA17 (SDR2.3 billion and SDR806 million</w:t>
      </w:r>
      <w:r w:rsidR="00833FC0">
        <w:rPr>
          <w:sz w:val="18"/>
          <w:szCs w:val="18"/>
        </w:rPr>
        <w:t xml:space="preserve">, respectively) are not included in this table. </w:t>
      </w:r>
      <w:r>
        <w:rPr>
          <w:sz w:val="18"/>
          <w:szCs w:val="18"/>
        </w:rPr>
        <w:t xml:space="preserve"> </w:t>
      </w:r>
    </w:p>
  </w:footnote>
  <w:footnote w:id="6">
    <w:p w:rsidR="009A11FF" w:rsidRPr="00757FBE" w:rsidRDefault="009A11FF" w:rsidP="009A11FF">
      <w:pPr>
        <w:pStyle w:val="FootnoteText"/>
        <w:tabs>
          <w:tab w:val="left" w:pos="360"/>
        </w:tabs>
        <w:ind w:left="360" w:hanging="360"/>
        <w:jc w:val="both"/>
        <w:rPr>
          <w:sz w:val="18"/>
          <w:szCs w:val="18"/>
        </w:rPr>
      </w:pPr>
      <w:r w:rsidRPr="00757FBE">
        <w:rPr>
          <w:rStyle w:val="FootnoteReference"/>
          <w:sz w:val="18"/>
          <w:szCs w:val="18"/>
        </w:rPr>
        <w:footnoteRef/>
      </w:r>
      <w:r w:rsidRPr="00757FBE">
        <w:rPr>
          <w:sz w:val="18"/>
          <w:szCs w:val="18"/>
        </w:rPr>
        <w:t xml:space="preserve"> </w:t>
      </w:r>
      <w:r w:rsidRPr="00757FBE">
        <w:rPr>
          <w:sz w:val="18"/>
          <w:szCs w:val="18"/>
        </w:rPr>
        <w:tab/>
        <w:t xml:space="preserve">Of </w:t>
      </w:r>
      <w:r w:rsidR="00500ED2">
        <w:rPr>
          <w:sz w:val="18"/>
          <w:szCs w:val="18"/>
        </w:rPr>
        <w:t xml:space="preserve">77 </w:t>
      </w:r>
      <w:r w:rsidRPr="003B16CD">
        <w:rPr>
          <w:sz w:val="18"/>
          <w:szCs w:val="18"/>
        </w:rPr>
        <w:t>IDA-eligible countries in FY1</w:t>
      </w:r>
      <w:r w:rsidR="008B1290">
        <w:rPr>
          <w:sz w:val="18"/>
          <w:szCs w:val="18"/>
        </w:rPr>
        <w:t>6</w:t>
      </w:r>
      <w:r w:rsidRPr="003B16CD">
        <w:rPr>
          <w:sz w:val="18"/>
          <w:szCs w:val="18"/>
        </w:rPr>
        <w:t>, three inactive</w:t>
      </w:r>
      <w:r w:rsidRPr="00757FBE">
        <w:rPr>
          <w:sz w:val="18"/>
          <w:szCs w:val="18"/>
        </w:rPr>
        <w:t xml:space="preserve"> IDA countries</w:t>
      </w:r>
      <w:r>
        <w:rPr>
          <w:sz w:val="18"/>
          <w:szCs w:val="18"/>
        </w:rPr>
        <w:t xml:space="preserve"> with credits </w:t>
      </w:r>
      <w:r w:rsidRPr="00757FBE">
        <w:rPr>
          <w:sz w:val="18"/>
          <w:szCs w:val="18"/>
        </w:rPr>
        <w:t xml:space="preserve">in protracted non-accrual status (Somalia, Sudan, and Zimbabwe) </w:t>
      </w:r>
      <w:r>
        <w:rPr>
          <w:sz w:val="18"/>
          <w:szCs w:val="18"/>
        </w:rPr>
        <w:t>were not allocated IDA resources.</w:t>
      </w:r>
      <w:r w:rsidRPr="00757FBE">
        <w:rPr>
          <w:sz w:val="18"/>
          <w:szCs w:val="18"/>
        </w:rPr>
        <w:t xml:space="preserve"> </w:t>
      </w:r>
    </w:p>
  </w:footnote>
  <w:footnote w:id="7">
    <w:p w:rsidR="009A11FF" w:rsidRPr="00757FBE" w:rsidRDefault="009A11FF" w:rsidP="009A11FF">
      <w:pPr>
        <w:pStyle w:val="FootnoteText"/>
        <w:tabs>
          <w:tab w:val="left" w:pos="360"/>
        </w:tabs>
        <w:ind w:left="360" w:hanging="360"/>
        <w:jc w:val="both"/>
        <w:rPr>
          <w:sz w:val="18"/>
          <w:szCs w:val="18"/>
        </w:rPr>
      </w:pPr>
      <w:r w:rsidRPr="00757FBE">
        <w:rPr>
          <w:rStyle w:val="FootnoteReference"/>
          <w:sz w:val="18"/>
          <w:szCs w:val="18"/>
        </w:rPr>
        <w:footnoteRef/>
      </w:r>
      <w:r w:rsidRPr="00757FBE">
        <w:rPr>
          <w:rStyle w:val="FootnoteReference"/>
          <w:sz w:val="18"/>
          <w:szCs w:val="18"/>
        </w:rPr>
        <w:t xml:space="preserve"> </w:t>
      </w:r>
      <w:r w:rsidRPr="00757FBE">
        <w:rPr>
          <w:sz w:val="18"/>
          <w:szCs w:val="18"/>
        </w:rPr>
        <w:tab/>
      </w:r>
      <w:r w:rsidRPr="00757FBE">
        <w:rPr>
          <w:rStyle w:val="FootnoteReference"/>
          <w:sz w:val="18"/>
          <w:szCs w:val="18"/>
          <w:vertAlign w:val="baseline"/>
        </w:rPr>
        <w:t xml:space="preserve">The break-down of </w:t>
      </w:r>
      <w:r>
        <w:rPr>
          <w:rStyle w:val="FootnoteReference"/>
          <w:sz w:val="18"/>
          <w:szCs w:val="18"/>
          <w:vertAlign w:val="baseline"/>
        </w:rPr>
        <w:t>f</w:t>
      </w:r>
      <w:r>
        <w:rPr>
          <w:sz w:val="18"/>
          <w:szCs w:val="18"/>
        </w:rPr>
        <w:t>unding</w:t>
      </w:r>
      <w:r w:rsidRPr="00757FBE">
        <w:rPr>
          <w:rStyle w:val="FootnoteReference"/>
          <w:sz w:val="18"/>
          <w:szCs w:val="18"/>
          <w:vertAlign w:val="baseline"/>
        </w:rPr>
        <w:t xml:space="preserve"> for regional projects into grant</w:t>
      </w:r>
      <w:r>
        <w:rPr>
          <w:rStyle w:val="FootnoteReference"/>
          <w:sz w:val="18"/>
          <w:szCs w:val="18"/>
          <w:vertAlign w:val="baseline"/>
        </w:rPr>
        <w:t>s</w:t>
      </w:r>
      <w:r w:rsidRPr="00757FBE">
        <w:rPr>
          <w:rStyle w:val="FootnoteReference"/>
          <w:sz w:val="18"/>
          <w:szCs w:val="18"/>
          <w:vertAlign w:val="baseline"/>
        </w:rPr>
        <w:t xml:space="preserve"> and credit</w:t>
      </w:r>
      <w:r>
        <w:rPr>
          <w:rStyle w:val="FootnoteReference"/>
          <w:sz w:val="18"/>
          <w:szCs w:val="18"/>
          <w:vertAlign w:val="baseline"/>
        </w:rPr>
        <w:t>s</w:t>
      </w:r>
      <w:r w:rsidRPr="00757FBE">
        <w:rPr>
          <w:rStyle w:val="FootnoteReference"/>
          <w:sz w:val="18"/>
          <w:szCs w:val="18"/>
          <w:vertAlign w:val="baseline"/>
        </w:rPr>
        <w:t xml:space="preserve"> </w:t>
      </w:r>
      <w:r>
        <w:rPr>
          <w:rStyle w:val="FootnoteReference"/>
          <w:sz w:val="18"/>
          <w:szCs w:val="18"/>
          <w:vertAlign w:val="baseline"/>
        </w:rPr>
        <w:t>i</w:t>
      </w:r>
      <w:r>
        <w:rPr>
          <w:sz w:val="18"/>
          <w:szCs w:val="18"/>
        </w:rPr>
        <w:t xml:space="preserve">s determined at the time of </w:t>
      </w:r>
      <w:r>
        <w:rPr>
          <w:rStyle w:val="FootnoteReference"/>
          <w:sz w:val="18"/>
          <w:szCs w:val="18"/>
          <w:vertAlign w:val="baseline"/>
        </w:rPr>
        <w:t>t</w:t>
      </w:r>
      <w:r>
        <w:rPr>
          <w:sz w:val="18"/>
          <w:szCs w:val="18"/>
        </w:rPr>
        <w:t xml:space="preserve">heir preparation based on </w:t>
      </w:r>
      <w:r w:rsidRPr="00757FBE">
        <w:rPr>
          <w:rStyle w:val="FootnoteReference"/>
          <w:sz w:val="18"/>
          <w:szCs w:val="18"/>
          <w:vertAlign w:val="baseline"/>
        </w:rPr>
        <w:t xml:space="preserve">the grant eligibility of </w:t>
      </w:r>
      <w:r>
        <w:rPr>
          <w:rStyle w:val="FootnoteReference"/>
          <w:sz w:val="18"/>
          <w:szCs w:val="18"/>
          <w:vertAlign w:val="baseline"/>
        </w:rPr>
        <w:t xml:space="preserve">the </w:t>
      </w:r>
      <w:r w:rsidRPr="00757FBE">
        <w:rPr>
          <w:rStyle w:val="FootnoteReference"/>
          <w:sz w:val="18"/>
          <w:szCs w:val="18"/>
          <w:vertAlign w:val="baseline"/>
        </w:rPr>
        <w:t xml:space="preserve">IDA countries participating in the project, </w:t>
      </w:r>
      <w:r w:rsidRPr="00757FBE">
        <w:rPr>
          <w:sz w:val="18"/>
          <w:szCs w:val="18"/>
        </w:rPr>
        <w:t xml:space="preserve">and </w:t>
      </w:r>
      <w:r w:rsidRPr="00757FBE">
        <w:rPr>
          <w:rStyle w:val="FootnoteReference"/>
          <w:sz w:val="18"/>
          <w:szCs w:val="18"/>
          <w:vertAlign w:val="baseline"/>
        </w:rPr>
        <w:t>on whether there are any regional institutions that receive IDA financing</w:t>
      </w:r>
      <w:r w:rsidR="00465E08">
        <w:rPr>
          <w:sz w:val="18"/>
          <w:szCs w:val="18"/>
        </w:rPr>
        <w:t xml:space="preserve"> on grant terms</w:t>
      </w:r>
      <w:r w:rsidRPr="00757FBE">
        <w:rPr>
          <w:rStyle w:val="FootnoteReference"/>
          <w:sz w:val="18"/>
          <w:szCs w:val="18"/>
          <w:vertAlign w:val="baseline"/>
        </w:rPr>
        <w:t xml:space="preserve"> through these projects. </w:t>
      </w:r>
      <w:r w:rsidR="00296A90">
        <w:rPr>
          <w:sz w:val="18"/>
          <w:szCs w:val="18"/>
        </w:rPr>
        <w:t xml:space="preserve"> </w:t>
      </w:r>
    </w:p>
  </w:footnote>
  <w:footnote w:id="8">
    <w:p w:rsidR="00152949" w:rsidRDefault="00152949" w:rsidP="00FD1FD1">
      <w:pPr>
        <w:pStyle w:val="FootnoteText"/>
        <w:tabs>
          <w:tab w:val="left" w:pos="360"/>
        </w:tabs>
        <w:ind w:left="360" w:hanging="360"/>
        <w:jc w:val="both"/>
      </w:pPr>
      <w:r>
        <w:rPr>
          <w:rStyle w:val="FootnoteReference"/>
        </w:rPr>
        <w:footnoteRef/>
      </w:r>
      <w:r>
        <w:t xml:space="preserve"> </w:t>
      </w:r>
      <w:r w:rsidR="00361947">
        <w:tab/>
      </w:r>
      <w:r w:rsidR="003B40E3">
        <w:rPr>
          <w:sz w:val="18"/>
          <w:szCs w:val="18"/>
        </w:rPr>
        <w:t>T</w:t>
      </w:r>
      <w:r w:rsidR="00361947" w:rsidRPr="00296A90">
        <w:rPr>
          <w:sz w:val="18"/>
          <w:szCs w:val="18"/>
        </w:rPr>
        <w:t xml:space="preserve">he allocation of SDR15.0 million for Eritrea was not broken down into </w:t>
      </w:r>
      <w:r w:rsidR="005C2AC0" w:rsidRPr="00296A90">
        <w:rPr>
          <w:sz w:val="18"/>
          <w:szCs w:val="18"/>
        </w:rPr>
        <w:t xml:space="preserve">grants and credits </w:t>
      </w:r>
      <w:r w:rsidR="00361947" w:rsidRPr="00296A90">
        <w:rPr>
          <w:sz w:val="18"/>
          <w:szCs w:val="18"/>
        </w:rPr>
        <w:t xml:space="preserve">because the terms applicable to its allocation </w:t>
      </w:r>
      <w:r w:rsidR="005C2AC0" w:rsidRPr="00296A90">
        <w:rPr>
          <w:sz w:val="18"/>
          <w:szCs w:val="18"/>
        </w:rPr>
        <w:t xml:space="preserve">will </w:t>
      </w:r>
      <w:r w:rsidR="00361947" w:rsidRPr="00296A90">
        <w:rPr>
          <w:sz w:val="18"/>
          <w:szCs w:val="18"/>
        </w:rPr>
        <w:t>be determined only at the time of its re-engagement with IDA.</w:t>
      </w:r>
      <w:r w:rsidR="00361947">
        <w:t xml:space="preserve">  </w:t>
      </w:r>
    </w:p>
  </w:footnote>
  <w:footnote w:id="9">
    <w:p w:rsidR="006D0C3A" w:rsidRDefault="006D0C3A" w:rsidP="009C0D45">
      <w:pPr>
        <w:pStyle w:val="FootnoteText"/>
        <w:tabs>
          <w:tab w:val="left" w:pos="360"/>
        </w:tabs>
        <w:ind w:left="360" w:hanging="360"/>
      </w:pPr>
      <w:r>
        <w:rPr>
          <w:rStyle w:val="FootnoteReference"/>
        </w:rPr>
        <w:footnoteRef/>
      </w:r>
      <w:r>
        <w:t xml:space="preserve"> </w:t>
      </w:r>
      <w:r w:rsidR="005F0341" w:rsidRPr="005F0341">
        <w:rPr>
          <w:sz w:val="18"/>
          <w:szCs w:val="18"/>
        </w:rPr>
        <w:tab/>
      </w:r>
      <w:r w:rsidR="00C15803">
        <w:rPr>
          <w:sz w:val="18"/>
          <w:szCs w:val="18"/>
        </w:rPr>
        <w:t>“</w:t>
      </w:r>
      <w:r w:rsidR="004165C6">
        <w:rPr>
          <w:i/>
          <w:sz w:val="18"/>
          <w:szCs w:val="18"/>
        </w:rPr>
        <w:t xml:space="preserve">Enhancing </w:t>
      </w:r>
      <w:r w:rsidR="005F0341" w:rsidRPr="007462F9">
        <w:rPr>
          <w:i/>
          <w:sz w:val="18"/>
          <w:szCs w:val="18"/>
        </w:rPr>
        <w:t>IDA</w:t>
      </w:r>
      <w:r w:rsidR="004165C6">
        <w:rPr>
          <w:i/>
          <w:sz w:val="18"/>
          <w:szCs w:val="18"/>
        </w:rPr>
        <w:t>’s Finan</w:t>
      </w:r>
      <w:r w:rsidR="009C0D45">
        <w:rPr>
          <w:i/>
          <w:sz w:val="18"/>
          <w:szCs w:val="18"/>
        </w:rPr>
        <w:t>cial Support in IDA17 (Revised),”</w:t>
      </w:r>
      <w:r w:rsidR="005F0341">
        <w:rPr>
          <w:sz w:val="18"/>
          <w:szCs w:val="18"/>
        </w:rPr>
        <w:t xml:space="preserve"> </w:t>
      </w:r>
      <w:r w:rsidR="007462F9">
        <w:rPr>
          <w:sz w:val="18"/>
          <w:szCs w:val="18"/>
        </w:rPr>
        <w:t xml:space="preserve">March </w:t>
      </w:r>
      <w:r w:rsidR="009C0D45">
        <w:rPr>
          <w:sz w:val="18"/>
          <w:szCs w:val="18"/>
        </w:rPr>
        <w:t>2</w:t>
      </w:r>
      <w:r w:rsidR="007462F9">
        <w:rPr>
          <w:sz w:val="18"/>
          <w:szCs w:val="18"/>
        </w:rPr>
        <w:t>, 2016</w:t>
      </w:r>
      <w:r w:rsidR="00C15803">
        <w:rPr>
          <w:sz w:val="18"/>
          <w:szCs w:val="18"/>
        </w:rPr>
        <w:t>.</w:t>
      </w:r>
      <w:r w:rsidR="009C0D45">
        <w:rPr>
          <w:sz w:val="18"/>
          <w:szCs w:val="18"/>
        </w:rPr>
        <w:t xml:space="preserve"> </w:t>
      </w:r>
      <w:r w:rsidR="009C0D45">
        <w:rPr>
          <w:sz w:val="18"/>
          <w:szCs w:val="18"/>
        </w:rPr>
        <w:t xml:space="preserve">This paper </w:t>
      </w:r>
      <w:r w:rsidR="0023717E">
        <w:rPr>
          <w:sz w:val="18"/>
          <w:szCs w:val="18"/>
        </w:rPr>
        <w:t xml:space="preserve">is excluded from </w:t>
      </w:r>
      <w:r w:rsidR="009C0D45">
        <w:rPr>
          <w:sz w:val="18"/>
          <w:szCs w:val="18"/>
        </w:rPr>
        <w:t>public disclos</w:t>
      </w:r>
      <w:r w:rsidR="0023717E">
        <w:rPr>
          <w:sz w:val="18"/>
          <w:szCs w:val="18"/>
        </w:rPr>
        <w:t>ure under the</w:t>
      </w:r>
      <w:r w:rsidR="009C0D45">
        <w:rPr>
          <w:sz w:val="18"/>
          <w:szCs w:val="18"/>
        </w:rPr>
        <w:t xml:space="preserve"> WBG’s Access to Information Policy </w:t>
      </w:r>
      <w:r w:rsidR="0023717E">
        <w:rPr>
          <w:sz w:val="18"/>
          <w:szCs w:val="18"/>
        </w:rPr>
        <w:t xml:space="preserve">as it includes </w:t>
      </w:r>
      <w:r w:rsidR="009C0D45">
        <w:rPr>
          <w:sz w:val="18"/>
          <w:szCs w:val="18"/>
        </w:rPr>
        <w:t xml:space="preserve">financial </w:t>
      </w:r>
      <w:r w:rsidR="0023717E">
        <w:rPr>
          <w:sz w:val="18"/>
          <w:szCs w:val="18"/>
        </w:rPr>
        <w:t>projections</w:t>
      </w:r>
      <w:bookmarkStart w:id="0" w:name="_GoBack"/>
      <w:bookmarkEnd w:id="0"/>
      <w:r w:rsidR="009C0D45">
        <w:rPr>
          <w:sz w:val="18"/>
          <w:szCs w:val="18"/>
        </w:rPr>
        <w:t>.</w:t>
      </w:r>
    </w:p>
  </w:footnote>
  <w:footnote w:id="10">
    <w:p w:rsidR="009C0D45" w:rsidRDefault="009C0D45" w:rsidP="009C0D45">
      <w:pPr>
        <w:pStyle w:val="FootnoteText"/>
        <w:tabs>
          <w:tab w:val="left" w:pos="360"/>
        </w:tabs>
      </w:pPr>
      <w:r>
        <w:rPr>
          <w:rStyle w:val="FootnoteReference"/>
        </w:rPr>
        <w:footnoteRef/>
      </w:r>
      <w:r>
        <w:t xml:space="preserve"> </w:t>
      </w:r>
      <w:r>
        <w:tab/>
      </w:r>
      <w:r w:rsidRPr="009C0D45">
        <w:rPr>
          <w:sz w:val="18"/>
          <w:szCs w:val="18"/>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5F" w:rsidRDefault="00E0345F">
    <w:pPr>
      <w:pStyle w:val="Header"/>
      <w:jc w:val="center"/>
    </w:pPr>
    <w:r>
      <w:fldChar w:fldCharType="begin"/>
    </w:r>
    <w:r>
      <w:instrText xml:space="preserve"> PAGE   \* MERGEFORMAT </w:instrText>
    </w:r>
    <w:r>
      <w:fldChar w:fldCharType="separate"/>
    </w:r>
    <w:r w:rsidR="0023717E">
      <w:rPr>
        <w:noProof/>
      </w:rPr>
      <w:t>- 2 -</w:t>
    </w:r>
    <w:r>
      <w:rPr>
        <w:noProof/>
      </w:rPr>
      <w:fldChar w:fldCharType="end"/>
    </w:r>
  </w:p>
  <w:p w:rsidR="00E0345F" w:rsidRDefault="00E034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5F" w:rsidRDefault="00E0345F">
    <w:pPr>
      <w:pStyle w:val="Header"/>
      <w:jc w:val="center"/>
    </w:pPr>
  </w:p>
  <w:p w:rsidR="00E0345F" w:rsidRDefault="00E03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5F" w:rsidRDefault="00E0345F">
    <w:pPr>
      <w:pStyle w:val="Header"/>
      <w:jc w:val="center"/>
    </w:pPr>
    <w:r w:rsidRPr="00D66D36">
      <w:rPr>
        <w:rFonts w:ascii="Times New Roman" w:hAnsi="Times New Roman" w:cs="Times New Roman"/>
      </w:rPr>
      <w:fldChar w:fldCharType="begin"/>
    </w:r>
    <w:r w:rsidRPr="00D66D36">
      <w:rPr>
        <w:rFonts w:ascii="Times New Roman" w:hAnsi="Times New Roman" w:cs="Times New Roman"/>
      </w:rPr>
      <w:instrText xml:space="preserve"> PAGE   \* MERGEFORMAT </w:instrText>
    </w:r>
    <w:r w:rsidRPr="00D66D36">
      <w:rPr>
        <w:rFonts w:ascii="Times New Roman" w:hAnsi="Times New Roman" w:cs="Times New Roman"/>
      </w:rPr>
      <w:fldChar w:fldCharType="separate"/>
    </w:r>
    <w:r w:rsidR="0023717E">
      <w:rPr>
        <w:rFonts w:ascii="Times New Roman" w:hAnsi="Times New Roman" w:cs="Times New Roman"/>
        <w:noProof/>
      </w:rPr>
      <w:t>- 10 -</w:t>
    </w:r>
    <w:r w:rsidRPr="00D66D36">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790"/>
    <w:multiLevelType w:val="hybridMultilevel"/>
    <w:tmpl w:val="25EE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A5315"/>
    <w:multiLevelType w:val="hybridMultilevel"/>
    <w:tmpl w:val="4400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24EF0"/>
    <w:multiLevelType w:val="hybridMultilevel"/>
    <w:tmpl w:val="0BAE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D302B"/>
    <w:multiLevelType w:val="hybridMultilevel"/>
    <w:tmpl w:val="0BC00D28"/>
    <w:lvl w:ilvl="0" w:tplc="F6886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21813"/>
    <w:multiLevelType w:val="hybridMultilevel"/>
    <w:tmpl w:val="7BB2C7E6"/>
    <w:lvl w:ilvl="0" w:tplc="948074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A"/>
    <w:rsid w:val="00001132"/>
    <w:rsid w:val="00004951"/>
    <w:rsid w:val="00004CA3"/>
    <w:rsid w:val="00005722"/>
    <w:rsid w:val="00006814"/>
    <w:rsid w:val="0000759B"/>
    <w:rsid w:val="000100E9"/>
    <w:rsid w:val="00010DBC"/>
    <w:rsid w:val="00013139"/>
    <w:rsid w:val="000137C6"/>
    <w:rsid w:val="00013E02"/>
    <w:rsid w:val="0001425A"/>
    <w:rsid w:val="000161F5"/>
    <w:rsid w:val="00017414"/>
    <w:rsid w:val="00020155"/>
    <w:rsid w:val="00020CB0"/>
    <w:rsid w:val="00020F68"/>
    <w:rsid w:val="00021AD5"/>
    <w:rsid w:val="000236B0"/>
    <w:rsid w:val="00024880"/>
    <w:rsid w:val="00026246"/>
    <w:rsid w:val="000266D2"/>
    <w:rsid w:val="00031D14"/>
    <w:rsid w:val="00034EA0"/>
    <w:rsid w:val="00037A91"/>
    <w:rsid w:val="000408FB"/>
    <w:rsid w:val="00042498"/>
    <w:rsid w:val="000434C3"/>
    <w:rsid w:val="00043AC8"/>
    <w:rsid w:val="00044C1F"/>
    <w:rsid w:val="00050C47"/>
    <w:rsid w:val="00051362"/>
    <w:rsid w:val="0005299A"/>
    <w:rsid w:val="00052BE0"/>
    <w:rsid w:val="00057D6D"/>
    <w:rsid w:val="00062CE1"/>
    <w:rsid w:val="00064062"/>
    <w:rsid w:val="00066AD7"/>
    <w:rsid w:val="00067225"/>
    <w:rsid w:val="0006722D"/>
    <w:rsid w:val="000715A8"/>
    <w:rsid w:val="00074820"/>
    <w:rsid w:val="00080240"/>
    <w:rsid w:val="00081068"/>
    <w:rsid w:val="00082A37"/>
    <w:rsid w:val="00083DC2"/>
    <w:rsid w:val="00083F54"/>
    <w:rsid w:val="00084E72"/>
    <w:rsid w:val="00084F1E"/>
    <w:rsid w:val="0009268A"/>
    <w:rsid w:val="00096052"/>
    <w:rsid w:val="000A306A"/>
    <w:rsid w:val="000A3312"/>
    <w:rsid w:val="000A4B02"/>
    <w:rsid w:val="000B3474"/>
    <w:rsid w:val="000B67F9"/>
    <w:rsid w:val="000B7520"/>
    <w:rsid w:val="000C1089"/>
    <w:rsid w:val="000C1788"/>
    <w:rsid w:val="000C2011"/>
    <w:rsid w:val="000C3814"/>
    <w:rsid w:val="000C549D"/>
    <w:rsid w:val="000C6DE0"/>
    <w:rsid w:val="000D6272"/>
    <w:rsid w:val="000D67E8"/>
    <w:rsid w:val="000D7822"/>
    <w:rsid w:val="000E0840"/>
    <w:rsid w:val="000E29DF"/>
    <w:rsid w:val="000E4CB6"/>
    <w:rsid w:val="000F1B2B"/>
    <w:rsid w:val="000F2AF9"/>
    <w:rsid w:val="000F457B"/>
    <w:rsid w:val="00101123"/>
    <w:rsid w:val="00102354"/>
    <w:rsid w:val="00105201"/>
    <w:rsid w:val="00105F89"/>
    <w:rsid w:val="0011081E"/>
    <w:rsid w:val="00110998"/>
    <w:rsid w:val="00111E0C"/>
    <w:rsid w:val="001138EC"/>
    <w:rsid w:val="00113949"/>
    <w:rsid w:val="00117B2E"/>
    <w:rsid w:val="0012157E"/>
    <w:rsid w:val="00130106"/>
    <w:rsid w:val="00134358"/>
    <w:rsid w:val="001351D4"/>
    <w:rsid w:val="00136E99"/>
    <w:rsid w:val="00141625"/>
    <w:rsid w:val="001434A6"/>
    <w:rsid w:val="00144216"/>
    <w:rsid w:val="00144A0B"/>
    <w:rsid w:val="0015071F"/>
    <w:rsid w:val="00150B6F"/>
    <w:rsid w:val="00152949"/>
    <w:rsid w:val="001532FC"/>
    <w:rsid w:val="0015653F"/>
    <w:rsid w:val="00161982"/>
    <w:rsid w:val="001634AC"/>
    <w:rsid w:val="0016668B"/>
    <w:rsid w:val="001667F1"/>
    <w:rsid w:val="0016760F"/>
    <w:rsid w:val="00170875"/>
    <w:rsid w:val="00170A1E"/>
    <w:rsid w:val="001754BA"/>
    <w:rsid w:val="00177293"/>
    <w:rsid w:val="00180F17"/>
    <w:rsid w:val="001838B2"/>
    <w:rsid w:val="001839C5"/>
    <w:rsid w:val="00192EC8"/>
    <w:rsid w:val="001A2129"/>
    <w:rsid w:val="001A4088"/>
    <w:rsid w:val="001A5256"/>
    <w:rsid w:val="001A6523"/>
    <w:rsid w:val="001A6C5F"/>
    <w:rsid w:val="001B2581"/>
    <w:rsid w:val="001B390D"/>
    <w:rsid w:val="001B66B9"/>
    <w:rsid w:val="001C0F59"/>
    <w:rsid w:val="001C1661"/>
    <w:rsid w:val="001C1731"/>
    <w:rsid w:val="001C4A8D"/>
    <w:rsid w:val="001C5BAC"/>
    <w:rsid w:val="001C6DE0"/>
    <w:rsid w:val="001C70C3"/>
    <w:rsid w:val="001C7B1F"/>
    <w:rsid w:val="001D0567"/>
    <w:rsid w:val="001D4AC1"/>
    <w:rsid w:val="001D56D1"/>
    <w:rsid w:val="001E2E8A"/>
    <w:rsid w:val="001E6704"/>
    <w:rsid w:val="001F00F5"/>
    <w:rsid w:val="001F1D79"/>
    <w:rsid w:val="001F32BD"/>
    <w:rsid w:val="001F435E"/>
    <w:rsid w:val="001F5760"/>
    <w:rsid w:val="00203786"/>
    <w:rsid w:val="00203F17"/>
    <w:rsid w:val="00206DF0"/>
    <w:rsid w:val="0021075F"/>
    <w:rsid w:val="0021344F"/>
    <w:rsid w:val="00215EB7"/>
    <w:rsid w:val="00220F6E"/>
    <w:rsid w:val="002218E7"/>
    <w:rsid w:val="002228E7"/>
    <w:rsid w:val="00223397"/>
    <w:rsid w:val="002234FB"/>
    <w:rsid w:val="002245BB"/>
    <w:rsid w:val="00226531"/>
    <w:rsid w:val="00231D69"/>
    <w:rsid w:val="00235711"/>
    <w:rsid w:val="0023717E"/>
    <w:rsid w:val="00240094"/>
    <w:rsid w:val="002425B6"/>
    <w:rsid w:val="002437E5"/>
    <w:rsid w:val="0025200A"/>
    <w:rsid w:val="00255008"/>
    <w:rsid w:val="00265815"/>
    <w:rsid w:val="00266D86"/>
    <w:rsid w:val="00270473"/>
    <w:rsid w:val="00271282"/>
    <w:rsid w:val="00272023"/>
    <w:rsid w:val="00272BEE"/>
    <w:rsid w:val="00280CAA"/>
    <w:rsid w:val="00285722"/>
    <w:rsid w:val="00292B85"/>
    <w:rsid w:val="0029386D"/>
    <w:rsid w:val="00296A90"/>
    <w:rsid w:val="002978B8"/>
    <w:rsid w:val="002B1712"/>
    <w:rsid w:val="002B2C2E"/>
    <w:rsid w:val="002B2F34"/>
    <w:rsid w:val="002B34A4"/>
    <w:rsid w:val="002B3EA3"/>
    <w:rsid w:val="002B5FED"/>
    <w:rsid w:val="002B654C"/>
    <w:rsid w:val="002B6D4D"/>
    <w:rsid w:val="002C646C"/>
    <w:rsid w:val="002D2241"/>
    <w:rsid w:val="002D2695"/>
    <w:rsid w:val="002D4F8B"/>
    <w:rsid w:val="002D7CA1"/>
    <w:rsid w:val="002E4429"/>
    <w:rsid w:val="002E552E"/>
    <w:rsid w:val="002E5550"/>
    <w:rsid w:val="002E5F7D"/>
    <w:rsid w:val="002E6BBD"/>
    <w:rsid w:val="002E75E1"/>
    <w:rsid w:val="002F20C1"/>
    <w:rsid w:val="002F57E0"/>
    <w:rsid w:val="002F59C6"/>
    <w:rsid w:val="002F6D54"/>
    <w:rsid w:val="00300618"/>
    <w:rsid w:val="003042F9"/>
    <w:rsid w:val="003114E3"/>
    <w:rsid w:val="00311A58"/>
    <w:rsid w:val="0031530E"/>
    <w:rsid w:val="003164F4"/>
    <w:rsid w:val="00316DA7"/>
    <w:rsid w:val="00317E5A"/>
    <w:rsid w:val="003201A7"/>
    <w:rsid w:val="00321116"/>
    <w:rsid w:val="00322059"/>
    <w:rsid w:val="003268F4"/>
    <w:rsid w:val="0033538F"/>
    <w:rsid w:val="003376CE"/>
    <w:rsid w:val="00337978"/>
    <w:rsid w:val="00337EDA"/>
    <w:rsid w:val="00342EB9"/>
    <w:rsid w:val="0034622F"/>
    <w:rsid w:val="00346E33"/>
    <w:rsid w:val="00350BDE"/>
    <w:rsid w:val="00351229"/>
    <w:rsid w:val="0035224E"/>
    <w:rsid w:val="00354701"/>
    <w:rsid w:val="00357BE2"/>
    <w:rsid w:val="00361947"/>
    <w:rsid w:val="00361984"/>
    <w:rsid w:val="003619CB"/>
    <w:rsid w:val="00365480"/>
    <w:rsid w:val="00366077"/>
    <w:rsid w:val="00366868"/>
    <w:rsid w:val="003672B1"/>
    <w:rsid w:val="0036795E"/>
    <w:rsid w:val="0037575B"/>
    <w:rsid w:val="00375C7D"/>
    <w:rsid w:val="003760BB"/>
    <w:rsid w:val="003801EF"/>
    <w:rsid w:val="00382B8F"/>
    <w:rsid w:val="00385729"/>
    <w:rsid w:val="00385CB5"/>
    <w:rsid w:val="0038798D"/>
    <w:rsid w:val="003902C0"/>
    <w:rsid w:val="003916D7"/>
    <w:rsid w:val="00393681"/>
    <w:rsid w:val="00393809"/>
    <w:rsid w:val="00396639"/>
    <w:rsid w:val="003A0A07"/>
    <w:rsid w:val="003A0DEF"/>
    <w:rsid w:val="003A0FA5"/>
    <w:rsid w:val="003A0FAD"/>
    <w:rsid w:val="003A18B3"/>
    <w:rsid w:val="003B16CD"/>
    <w:rsid w:val="003B220F"/>
    <w:rsid w:val="003B3030"/>
    <w:rsid w:val="003B40E3"/>
    <w:rsid w:val="003B4C5E"/>
    <w:rsid w:val="003C0C8E"/>
    <w:rsid w:val="003C4B86"/>
    <w:rsid w:val="003C6777"/>
    <w:rsid w:val="003C696A"/>
    <w:rsid w:val="003D3AFD"/>
    <w:rsid w:val="003D5DCC"/>
    <w:rsid w:val="003D6FA1"/>
    <w:rsid w:val="003E0084"/>
    <w:rsid w:val="003E1509"/>
    <w:rsid w:val="003E1ABF"/>
    <w:rsid w:val="003E39CB"/>
    <w:rsid w:val="003E45C7"/>
    <w:rsid w:val="003E57F6"/>
    <w:rsid w:val="003E7C9C"/>
    <w:rsid w:val="003F4B08"/>
    <w:rsid w:val="003F56BB"/>
    <w:rsid w:val="004000CB"/>
    <w:rsid w:val="004019EF"/>
    <w:rsid w:val="00401E00"/>
    <w:rsid w:val="00402B34"/>
    <w:rsid w:val="004040DF"/>
    <w:rsid w:val="00406CD7"/>
    <w:rsid w:val="00407441"/>
    <w:rsid w:val="004145D0"/>
    <w:rsid w:val="00414B4C"/>
    <w:rsid w:val="00416073"/>
    <w:rsid w:val="004165C6"/>
    <w:rsid w:val="004170A6"/>
    <w:rsid w:val="00424140"/>
    <w:rsid w:val="004305CF"/>
    <w:rsid w:val="00431B9B"/>
    <w:rsid w:val="00432CCD"/>
    <w:rsid w:val="00432DAD"/>
    <w:rsid w:val="00433326"/>
    <w:rsid w:val="004344F7"/>
    <w:rsid w:val="00436E46"/>
    <w:rsid w:val="00441FCD"/>
    <w:rsid w:val="00442C61"/>
    <w:rsid w:val="00444498"/>
    <w:rsid w:val="00445600"/>
    <w:rsid w:val="00445F38"/>
    <w:rsid w:val="00447482"/>
    <w:rsid w:val="00453F2C"/>
    <w:rsid w:val="0045568D"/>
    <w:rsid w:val="004570C4"/>
    <w:rsid w:val="004577B2"/>
    <w:rsid w:val="00457921"/>
    <w:rsid w:val="00461AD5"/>
    <w:rsid w:val="00465E08"/>
    <w:rsid w:val="00470D3F"/>
    <w:rsid w:val="00471FB0"/>
    <w:rsid w:val="0047527F"/>
    <w:rsid w:val="0047556F"/>
    <w:rsid w:val="00476B29"/>
    <w:rsid w:val="004776D0"/>
    <w:rsid w:val="0048291C"/>
    <w:rsid w:val="00482FB6"/>
    <w:rsid w:val="00486F64"/>
    <w:rsid w:val="00495D9A"/>
    <w:rsid w:val="00496671"/>
    <w:rsid w:val="004976F4"/>
    <w:rsid w:val="004A0716"/>
    <w:rsid w:val="004A0F2C"/>
    <w:rsid w:val="004A2E48"/>
    <w:rsid w:val="004B24E9"/>
    <w:rsid w:val="004B418D"/>
    <w:rsid w:val="004C02A6"/>
    <w:rsid w:val="004C203B"/>
    <w:rsid w:val="004D162C"/>
    <w:rsid w:val="004D5725"/>
    <w:rsid w:val="004D5A15"/>
    <w:rsid w:val="004E404B"/>
    <w:rsid w:val="004E56FD"/>
    <w:rsid w:val="004E6038"/>
    <w:rsid w:val="004E65D3"/>
    <w:rsid w:val="004E7136"/>
    <w:rsid w:val="004F2FA8"/>
    <w:rsid w:val="004F3C13"/>
    <w:rsid w:val="004F3C19"/>
    <w:rsid w:val="004F5CC7"/>
    <w:rsid w:val="00500ED2"/>
    <w:rsid w:val="00501966"/>
    <w:rsid w:val="00501BAE"/>
    <w:rsid w:val="0050376F"/>
    <w:rsid w:val="00503B03"/>
    <w:rsid w:val="005072A9"/>
    <w:rsid w:val="00513E3C"/>
    <w:rsid w:val="00517303"/>
    <w:rsid w:val="005208C6"/>
    <w:rsid w:val="00520C2F"/>
    <w:rsid w:val="005211D1"/>
    <w:rsid w:val="005211E0"/>
    <w:rsid w:val="0052127B"/>
    <w:rsid w:val="00524773"/>
    <w:rsid w:val="00525C79"/>
    <w:rsid w:val="0052644B"/>
    <w:rsid w:val="00526776"/>
    <w:rsid w:val="00527A19"/>
    <w:rsid w:val="005312CC"/>
    <w:rsid w:val="0053212D"/>
    <w:rsid w:val="00533296"/>
    <w:rsid w:val="00533955"/>
    <w:rsid w:val="00533A43"/>
    <w:rsid w:val="00535259"/>
    <w:rsid w:val="005364E0"/>
    <w:rsid w:val="00541770"/>
    <w:rsid w:val="00545631"/>
    <w:rsid w:val="00545818"/>
    <w:rsid w:val="00554F1D"/>
    <w:rsid w:val="00562D3F"/>
    <w:rsid w:val="00570787"/>
    <w:rsid w:val="00570C6A"/>
    <w:rsid w:val="005713CC"/>
    <w:rsid w:val="0057285F"/>
    <w:rsid w:val="00573531"/>
    <w:rsid w:val="00574D84"/>
    <w:rsid w:val="005831EA"/>
    <w:rsid w:val="005915BF"/>
    <w:rsid w:val="00591A7F"/>
    <w:rsid w:val="005933E6"/>
    <w:rsid w:val="0059346A"/>
    <w:rsid w:val="005937CA"/>
    <w:rsid w:val="00596640"/>
    <w:rsid w:val="005A0603"/>
    <w:rsid w:val="005A36CB"/>
    <w:rsid w:val="005A38FC"/>
    <w:rsid w:val="005A52CA"/>
    <w:rsid w:val="005A75E9"/>
    <w:rsid w:val="005B175C"/>
    <w:rsid w:val="005B396B"/>
    <w:rsid w:val="005B4DE7"/>
    <w:rsid w:val="005B6DE9"/>
    <w:rsid w:val="005B76FD"/>
    <w:rsid w:val="005C1840"/>
    <w:rsid w:val="005C2AC0"/>
    <w:rsid w:val="005C5BEE"/>
    <w:rsid w:val="005D156F"/>
    <w:rsid w:val="005D5EFC"/>
    <w:rsid w:val="005E1B96"/>
    <w:rsid w:val="005E695C"/>
    <w:rsid w:val="005F0341"/>
    <w:rsid w:val="005F0903"/>
    <w:rsid w:val="005F103C"/>
    <w:rsid w:val="005F449B"/>
    <w:rsid w:val="005F5853"/>
    <w:rsid w:val="00601470"/>
    <w:rsid w:val="006016C7"/>
    <w:rsid w:val="0060180F"/>
    <w:rsid w:val="0060269D"/>
    <w:rsid w:val="006031B3"/>
    <w:rsid w:val="00603F48"/>
    <w:rsid w:val="00617AF1"/>
    <w:rsid w:val="00620DB9"/>
    <w:rsid w:val="006233BC"/>
    <w:rsid w:val="00623B92"/>
    <w:rsid w:val="00627AD7"/>
    <w:rsid w:val="006315D1"/>
    <w:rsid w:val="00635FE4"/>
    <w:rsid w:val="00640591"/>
    <w:rsid w:val="006411DA"/>
    <w:rsid w:val="006419F9"/>
    <w:rsid w:val="0064277E"/>
    <w:rsid w:val="00642A0E"/>
    <w:rsid w:val="00645799"/>
    <w:rsid w:val="006477B5"/>
    <w:rsid w:val="00650488"/>
    <w:rsid w:val="0065244E"/>
    <w:rsid w:val="00652D6A"/>
    <w:rsid w:val="0065507E"/>
    <w:rsid w:val="006551D9"/>
    <w:rsid w:val="0065522E"/>
    <w:rsid w:val="006558C5"/>
    <w:rsid w:val="00661C07"/>
    <w:rsid w:val="00663EFB"/>
    <w:rsid w:val="00664128"/>
    <w:rsid w:val="00665229"/>
    <w:rsid w:val="0067083D"/>
    <w:rsid w:val="0067151E"/>
    <w:rsid w:val="00673AD8"/>
    <w:rsid w:val="00675A5D"/>
    <w:rsid w:val="006811B2"/>
    <w:rsid w:val="006815A2"/>
    <w:rsid w:val="00683333"/>
    <w:rsid w:val="006868A1"/>
    <w:rsid w:val="00686EFC"/>
    <w:rsid w:val="006A1059"/>
    <w:rsid w:val="006A2290"/>
    <w:rsid w:val="006A49EC"/>
    <w:rsid w:val="006B139D"/>
    <w:rsid w:val="006B1B0D"/>
    <w:rsid w:val="006B2282"/>
    <w:rsid w:val="006C4ED9"/>
    <w:rsid w:val="006D0C3A"/>
    <w:rsid w:val="006D2933"/>
    <w:rsid w:val="006D5437"/>
    <w:rsid w:val="006D5B2C"/>
    <w:rsid w:val="006D78A0"/>
    <w:rsid w:val="006E0C37"/>
    <w:rsid w:val="006E1E25"/>
    <w:rsid w:val="006E2908"/>
    <w:rsid w:val="006E4813"/>
    <w:rsid w:val="006E4884"/>
    <w:rsid w:val="006E553F"/>
    <w:rsid w:val="006F3367"/>
    <w:rsid w:val="006F353B"/>
    <w:rsid w:val="006F3FA4"/>
    <w:rsid w:val="006F454D"/>
    <w:rsid w:val="006F4AD6"/>
    <w:rsid w:val="006F6CEC"/>
    <w:rsid w:val="007004F3"/>
    <w:rsid w:val="00703E22"/>
    <w:rsid w:val="0070439B"/>
    <w:rsid w:val="00704CC3"/>
    <w:rsid w:val="007135D1"/>
    <w:rsid w:val="007157DC"/>
    <w:rsid w:val="007162BD"/>
    <w:rsid w:val="0071695E"/>
    <w:rsid w:val="00724636"/>
    <w:rsid w:val="0073089F"/>
    <w:rsid w:val="00730CEA"/>
    <w:rsid w:val="00732F89"/>
    <w:rsid w:val="0073342A"/>
    <w:rsid w:val="00734E74"/>
    <w:rsid w:val="0073539B"/>
    <w:rsid w:val="0073696C"/>
    <w:rsid w:val="00737C43"/>
    <w:rsid w:val="00740F5B"/>
    <w:rsid w:val="007441B9"/>
    <w:rsid w:val="007462F9"/>
    <w:rsid w:val="0074725E"/>
    <w:rsid w:val="00751FF3"/>
    <w:rsid w:val="00752EBE"/>
    <w:rsid w:val="00760747"/>
    <w:rsid w:val="00760AF6"/>
    <w:rsid w:val="00760E5E"/>
    <w:rsid w:val="00760F5A"/>
    <w:rsid w:val="00761E04"/>
    <w:rsid w:val="00762CA7"/>
    <w:rsid w:val="00764805"/>
    <w:rsid w:val="00764C0D"/>
    <w:rsid w:val="007737C4"/>
    <w:rsid w:val="00774256"/>
    <w:rsid w:val="00774DD4"/>
    <w:rsid w:val="007763C1"/>
    <w:rsid w:val="0077748A"/>
    <w:rsid w:val="00777C7C"/>
    <w:rsid w:val="0078125D"/>
    <w:rsid w:val="0078143A"/>
    <w:rsid w:val="0078270F"/>
    <w:rsid w:val="00783824"/>
    <w:rsid w:val="00784699"/>
    <w:rsid w:val="007868B9"/>
    <w:rsid w:val="007914FC"/>
    <w:rsid w:val="00792BEC"/>
    <w:rsid w:val="00794F73"/>
    <w:rsid w:val="007951DF"/>
    <w:rsid w:val="007956A2"/>
    <w:rsid w:val="007A0411"/>
    <w:rsid w:val="007B2757"/>
    <w:rsid w:val="007B2C74"/>
    <w:rsid w:val="007B6321"/>
    <w:rsid w:val="007B67DD"/>
    <w:rsid w:val="007C2469"/>
    <w:rsid w:val="007C2FCE"/>
    <w:rsid w:val="007C3531"/>
    <w:rsid w:val="007C4191"/>
    <w:rsid w:val="007C6BF2"/>
    <w:rsid w:val="007C730D"/>
    <w:rsid w:val="007D0740"/>
    <w:rsid w:val="007D18E8"/>
    <w:rsid w:val="007D1BB3"/>
    <w:rsid w:val="007D3891"/>
    <w:rsid w:val="007D7325"/>
    <w:rsid w:val="007E5BF8"/>
    <w:rsid w:val="007F077F"/>
    <w:rsid w:val="007F1940"/>
    <w:rsid w:val="007F2525"/>
    <w:rsid w:val="007F26FC"/>
    <w:rsid w:val="007F7D25"/>
    <w:rsid w:val="00800034"/>
    <w:rsid w:val="0080390B"/>
    <w:rsid w:val="00820004"/>
    <w:rsid w:val="0082249F"/>
    <w:rsid w:val="00822DCC"/>
    <w:rsid w:val="00823109"/>
    <w:rsid w:val="008265BE"/>
    <w:rsid w:val="0082671A"/>
    <w:rsid w:val="00826EDC"/>
    <w:rsid w:val="00827B49"/>
    <w:rsid w:val="00833D7B"/>
    <w:rsid w:val="00833FC0"/>
    <w:rsid w:val="00840125"/>
    <w:rsid w:val="0084091B"/>
    <w:rsid w:val="00842C6A"/>
    <w:rsid w:val="008513A1"/>
    <w:rsid w:val="008519FB"/>
    <w:rsid w:val="00857483"/>
    <w:rsid w:val="00861113"/>
    <w:rsid w:val="008645E6"/>
    <w:rsid w:val="00865371"/>
    <w:rsid w:val="0087751B"/>
    <w:rsid w:val="00880C28"/>
    <w:rsid w:val="00882CA4"/>
    <w:rsid w:val="00884057"/>
    <w:rsid w:val="0088589A"/>
    <w:rsid w:val="00890E51"/>
    <w:rsid w:val="008A12EE"/>
    <w:rsid w:val="008A1AFC"/>
    <w:rsid w:val="008A452C"/>
    <w:rsid w:val="008B1290"/>
    <w:rsid w:val="008B2760"/>
    <w:rsid w:val="008B309A"/>
    <w:rsid w:val="008B637B"/>
    <w:rsid w:val="008C0D45"/>
    <w:rsid w:val="008C1C4F"/>
    <w:rsid w:val="008C2D35"/>
    <w:rsid w:val="008C4D9B"/>
    <w:rsid w:val="008C6248"/>
    <w:rsid w:val="008C69BD"/>
    <w:rsid w:val="008C6A56"/>
    <w:rsid w:val="008D05BD"/>
    <w:rsid w:val="008D0DCE"/>
    <w:rsid w:val="008D1156"/>
    <w:rsid w:val="008D1D3D"/>
    <w:rsid w:val="008D6EEC"/>
    <w:rsid w:val="008E21B3"/>
    <w:rsid w:val="008E4439"/>
    <w:rsid w:val="008F06E6"/>
    <w:rsid w:val="008F253B"/>
    <w:rsid w:val="008F2620"/>
    <w:rsid w:val="008F4ACB"/>
    <w:rsid w:val="008F4EDF"/>
    <w:rsid w:val="00901B1E"/>
    <w:rsid w:val="00901C9B"/>
    <w:rsid w:val="0090651E"/>
    <w:rsid w:val="00910F1C"/>
    <w:rsid w:val="00913430"/>
    <w:rsid w:val="00914AFC"/>
    <w:rsid w:val="0091505E"/>
    <w:rsid w:val="00922E37"/>
    <w:rsid w:val="00924522"/>
    <w:rsid w:val="00930BDE"/>
    <w:rsid w:val="0093216A"/>
    <w:rsid w:val="009324A7"/>
    <w:rsid w:val="009331E9"/>
    <w:rsid w:val="00933B76"/>
    <w:rsid w:val="00933DE3"/>
    <w:rsid w:val="009345C2"/>
    <w:rsid w:val="00947F5A"/>
    <w:rsid w:val="00950A9A"/>
    <w:rsid w:val="00954D4F"/>
    <w:rsid w:val="00955877"/>
    <w:rsid w:val="00957E56"/>
    <w:rsid w:val="00961939"/>
    <w:rsid w:val="0096221D"/>
    <w:rsid w:val="00964A96"/>
    <w:rsid w:val="00970119"/>
    <w:rsid w:val="00973F56"/>
    <w:rsid w:val="00976429"/>
    <w:rsid w:val="009766F9"/>
    <w:rsid w:val="0097741D"/>
    <w:rsid w:val="00980FD3"/>
    <w:rsid w:val="00981293"/>
    <w:rsid w:val="009812C7"/>
    <w:rsid w:val="0098195E"/>
    <w:rsid w:val="00982BD3"/>
    <w:rsid w:val="00983504"/>
    <w:rsid w:val="009835E8"/>
    <w:rsid w:val="00985AC8"/>
    <w:rsid w:val="0099146B"/>
    <w:rsid w:val="00992E16"/>
    <w:rsid w:val="009A0995"/>
    <w:rsid w:val="009A0BF2"/>
    <w:rsid w:val="009A11FF"/>
    <w:rsid w:val="009A467B"/>
    <w:rsid w:val="009A4C1B"/>
    <w:rsid w:val="009A591B"/>
    <w:rsid w:val="009B19AE"/>
    <w:rsid w:val="009B1D70"/>
    <w:rsid w:val="009B5AE9"/>
    <w:rsid w:val="009C0D45"/>
    <w:rsid w:val="009C3122"/>
    <w:rsid w:val="009C4DD6"/>
    <w:rsid w:val="009C6B96"/>
    <w:rsid w:val="009C77A7"/>
    <w:rsid w:val="009C7A3F"/>
    <w:rsid w:val="009D0580"/>
    <w:rsid w:val="009D23D3"/>
    <w:rsid w:val="009D29C6"/>
    <w:rsid w:val="009D6106"/>
    <w:rsid w:val="009E258C"/>
    <w:rsid w:val="009E4714"/>
    <w:rsid w:val="009E4D15"/>
    <w:rsid w:val="009F324E"/>
    <w:rsid w:val="009F47BF"/>
    <w:rsid w:val="00A01F81"/>
    <w:rsid w:val="00A02E6A"/>
    <w:rsid w:val="00A0430D"/>
    <w:rsid w:val="00A07D15"/>
    <w:rsid w:val="00A1063A"/>
    <w:rsid w:val="00A153F1"/>
    <w:rsid w:val="00A15F2B"/>
    <w:rsid w:val="00A173DB"/>
    <w:rsid w:val="00A17CC4"/>
    <w:rsid w:val="00A3075D"/>
    <w:rsid w:val="00A30E03"/>
    <w:rsid w:val="00A315C9"/>
    <w:rsid w:val="00A32123"/>
    <w:rsid w:val="00A34548"/>
    <w:rsid w:val="00A43824"/>
    <w:rsid w:val="00A44157"/>
    <w:rsid w:val="00A46EF6"/>
    <w:rsid w:val="00A5384A"/>
    <w:rsid w:val="00A57EE8"/>
    <w:rsid w:val="00A614B0"/>
    <w:rsid w:val="00A629AA"/>
    <w:rsid w:val="00A66A38"/>
    <w:rsid w:val="00A6723D"/>
    <w:rsid w:val="00A67957"/>
    <w:rsid w:val="00A7076F"/>
    <w:rsid w:val="00A771C0"/>
    <w:rsid w:val="00A82035"/>
    <w:rsid w:val="00A82684"/>
    <w:rsid w:val="00AA1364"/>
    <w:rsid w:val="00AA1B19"/>
    <w:rsid w:val="00AA4940"/>
    <w:rsid w:val="00AA7739"/>
    <w:rsid w:val="00AB351E"/>
    <w:rsid w:val="00AC590A"/>
    <w:rsid w:val="00AC7229"/>
    <w:rsid w:val="00AC7DB0"/>
    <w:rsid w:val="00AD14CD"/>
    <w:rsid w:val="00AD1736"/>
    <w:rsid w:val="00AD2B5B"/>
    <w:rsid w:val="00AD34CA"/>
    <w:rsid w:val="00AD47B5"/>
    <w:rsid w:val="00AE2269"/>
    <w:rsid w:val="00AE3617"/>
    <w:rsid w:val="00AE77CF"/>
    <w:rsid w:val="00AF206A"/>
    <w:rsid w:val="00AF413E"/>
    <w:rsid w:val="00B02692"/>
    <w:rsid w:val="00B06E2F"/>
    <w:rsid w:val="00B112FE"/>
    <w:rsid w:val="00B12EF2"/>
    <w:rsid w:val="00B151C5"/>
    <w:rsid w:val="00B22707"/>
    <w:rsid w:val="00B266FD"/>
    <w:rsid w:val="00B32A96"/>
    <w:rsid w:val="00B33D01"/>
    <w:rsid w:val="00B33DA9"/>
    <w:rsid w:val="00B46E8F"/>
    <w:rsid w:val="00B47CA6"/>
    <w:rsid w:val="00B51BE7"/>
    <w:rsid w:val="00B53473"/>
    <w:rsid w:val="00B53529"/>
    <w:rsid w:val="00B54257"/>
    <w:rsid w:val="00B5444C"/>
    <w:rsid w:val="00B55968"/>
    <w:rsid w:val="00B55A4C"/>
    <w:rsid w:val="00B56B07"/>
    <w:rsid w:val="00B57861"/>
    <w:rsid w:val="00B60188"/>
    <w:rsid w:val="00B607BD"/>
    <w:rsid w:val="00B60979"/>
    <w:rsid w:val="00B62984"/>
    <w:rsid w:val="00B63057"/>
    <w:rsid w:val="00B63540"/>
    <w:rsid w:val="00B646E4"/>
    <w:rsid w:val="00B66556"/>
    <w:rsid w:val="00B7187E"/>
    <w:rsid w:val="00B72098"/>
    <w:rsid w:val="00B75BB4"/>
    <w:rsid w:val="00B85103"/>
    <w:rsid w:val="00B86085"/>
    <w:rsid w:val="00B86EED"/>
    <w:rsid w:val="00B949EE"/>
    <w:rsid w:val="00B97C01"/>
    <w:rsid w:val="00BA0337"/>
    <w:rsid w:val="00BA0B9D"/>
    <w:rsid w:val="00BA0E30"/>
    <w:rsid w:val="00BA22C3"/>
    <w:rsid w:val="00BA6314"/>
    <w:rsid w:val="00BB159B"/>
    <w:rsid w:val="00BB4873"/>
    <w:rsid w:val="00BB6441"/>
    <w:rsid w:val="00BB7E4E"/>
    <w:rsid w:val="00BC0CC2"/>
    <w:rsid w:val="00BC6058"/>
    <w:rsid w:val="00BC63CD"/>
    <w:rsid w:val="00BC69C5"/>
    <w:rsid w:val="00BD0C45"/>
    <w:rsid w:val="00BF2603"/>
    <w:rsid w:val="00BF6D8A"/>
    <w:rsid w:val="00C03022"/>
    <w:rsid w:val="00C04BC1"/>
    <w:rsid w:val="00C11956"/>
    <w:rsid w:val="00C119D3"/>
    <w:rsid w:val="00C12F3D"/>
    <w:rsid w:val="00C1419D"/>
    <w:rsid w:val="00C15803"/>
    <w:rsid w:val="00C159D3"/>
    <w:rsid w:val="00C15B2E"/>
    <w:rsid w:val="00C17060"/>
    <w:rsid w:val="00C17BCD"/>
    <w:rsid w:val="00C22CFE"/>
    <w:rsid w:val="00C23497"/>
    <w:rsid w:val="00C238F0"/>
    <w:rsid w:val="00C246F5"/>
    <w:rsid w:val="00C250EE"/>
    <w:rsid w:val="00C2607B"/>
    <w:rsid w:val="00C30A97"/>
    <w:rsid w:val="00C31A2B"/>
    <w:rsid w:val="00C32194"/>
    <w:rsid w:val="00C338D0"/>
    <w:rsid w:val="00C37B16"/>
    <w:rsid w:val="00C37DC2"/>
    <w:rsid w:val="00C41243"/>
    <w:rsid w:val="00C44CBE"/>
    <w:rsid w:val="00C53E3B"/>
    <w:rsid w:val="00C55F86"/>
    <w:rsid w:val="00C57AF1"/>
    <w:rsid w:val="00C61369"/>
    <w:rsid w:val="00C63D45"/>
    <w:rsid w:val="00C66176"/>
    <w:rsid w:val="00C66D59"/>
    <w:rsid w:val="00C70820"/>
    <w:rsid w:val="00C70BCF"/>
    <w:rsid w:val="00C716D6"/>
    <w:rsid w:val="00C748D0"/>
    <w:rsid w:val="00C82981"/>
    <w:rsid w:val="00C834A6"/>
    <w:rsid w:val="00C83BCC"/>
    <w:rsid w:val="00C85888"/>
    <w:rsid w:val="00C90F67"/>
    <w:rsid w:val="00C976C4"/>
    <w:rsid w:val="00CA555F"/>
    <w:rsid w:val="00CB0798"/>
    <w:rsid w:val="00CB0E62"/>
    <w:rsid w:val="00CB1783"/>
    <w:rsid w:val="00CB1EFD"/>
    <w:rsid w:val="00CB26BD"/>
    <w:rsid w:val="00CB28B7"/>
    <w:rsid w:val="00CC122D"/>
    <w:rsid w:val="00CC1DCF"/>
    <w:rsid w:val="00CC2473"/>
    <w:rsid w:val="00CC395A"/>
    <w:rsid w:val="00CC70CD"/>
    <w:rsid w:val="00CD1FBE"/>
    <w:rsid w:val="00CD4CB4"/>
    <w:rsid w:val="00CD5615"/>
    <w:rsid w:val="00CD61A2"/>
    <w:rsid w:val="00CE117E"/>
    <w:rsid w:val="00CE1C69"/>
    <w:rsid w:val="00CE4149"/>
    <w:rsid w:val="00CF1C7F"/>
    <w:rsid w:val="00CF1CE7"/>
    <w:rsid w:val="00CF3DD6"/>
    <w:rsid w:val="00CF67B6"/>
    <w:rsid w:val="00CF71A2"/>
    <w:rsid w:val="00CF728B"/>
    <w:rsid w:val="00D00C2A"/>
    <w:rsid w:val="00D20361"/>
    <w:rsid w:val="00D20D74"/>
    <w:rsid w:val="00D2198F"/>
    <w:rsid w:val="00D22380"/>
    <w:rsid w:val="00D24921"/>
    <w:rsid w:val="00D252A3"/>
    <w:rsid w:val="00D2540A"/>
    <w:rsid w:val="00D27C47"/>
    <w:rsid w:val="00D30644"/>
    <w:rsid w:val="00D428F0"/>
    <w:rsid w:val="00D43B94"/>
    <w:rsid w:val="00D447E5"/>
    <w:rsid w:val="00D45748"/>
    <w:rsid w:val="00D4751B"/>
    <w:rsid w:val="00D479D5"/>
    <w:rsid w:val="00D52644"/>
    <w:rsid w:val="00D52809"/>
    <w:rsid w:val="00D56ACC"/>
    <w:rsid w:val="00D63378"/>
    <w:rsid w:val="00D661CE"/>
    <w:rsid w:val="00D66D36"/>
    <w:rsid w:val="00D72EB1"/>
    <w:rsid w:val="00D7402D"/>
    <w:rsid w:val="00D81C68"/>
    <w:rsid w:val="00D838E6"/>
    <w:rsid w:val="00D847C2"/>
    <w:rsid w:val="00D84C47"/>
    <w:rsid w:val="00D943F2"/>
    <w:rsid w:val="00DA1787"/>
    <w:rsid w:val="00DA3A5F"/>
    <w:rsid w:val="00DA76B9"/>
    <w:rsid w:val="00DB0379"/>
    <w:rsid w:val="00DB39E0"/>
    <w:rsid w:val="00DC1896"/>
    <w:rsid w:val="00DD37BC"/>
    <w:rsid w:val="00DD3F26"/>
    <w:rsid w:val="00DD7B96"/>
    <w:rsid w:val="00DE53ED"/>
    <w:rsid w:val="00DE5EE7"/>
    <w:rsid w:val="00DF29E8"/>
    <w:rsid w:val="00DF3243"/>
    <w:rsid w:val="00DF4008"/>
    <w:rsid w:val="00DF4FF1"/>
    <w:rsid w:val="00DF545E"/>
    <w:rsid w:val="00DF5FAA"/>
    <w:rsid w:val="00DF6F91"/>
    <w:rsid w:val="00DF7BEC"/>
    <w:rsid w:val="00E00018"/>
    <w:rsid w:val="00E0345F"/>
    <w:rsid w:val="00E03878"/>
    <w:rsid w:val="00E10234"/>
    <w:rsid w:val="00E11411"/>
    <w:rsid w:val="00E11547"/>
    <w:rsid w:val="00E15039"/>
    <w:rsid w:val="00E15494"/>
    <w:rsid w:val="00E22A5D"/>
    <w:rsid w:val="00E23ACE"/>
    <w:rsid w:val="00E24592"/>
    <w:rsid w:val="00E25951"/>
    <w:rsid w:val="00E31CB8"/>
    <w:rsid w:val="00E32E91"/>
    <w:rsid w:val="00E34B80"/>
    <w:rsid w:val="00E455AD"/>
    <w:rsid w:val="00E5524A"/>
    <w:rsid w:val="00E630D9"/>
    <w:rsid w:val="00E63537"/>
    <w:rsid w:val="00E67721"/>
    <w:rsid w:val="00E67E90"/>
    <w:rsid w:val="00E70015"/>
    <w:rsid w:val="00E700D5"/>
    <w:rsid w:val="00E73CF7"/>
    <w:rsid w:val="00E75734"/>
    <w:rsid w:val="00E762D3"/>
    <w:rsid w:val="00E81A19"/>
    <w:rsid w:val="00E9034F"/>
    <w:rsid w:val="00E91D23"/>
    <w:rsid w:val="00E923D4"/>
    <w:rsid w:val="00E93A20"/>
    <w:rsid w:val="00E96231"/>
    <w:rsid w:val="00EA05E7"/>
    <w:rsid w:val="00EA711A"/>
    <w:rsid w:val="00EB087D"/>
    <w:rsid w:val="00EB1791"/>
    <w:rsid w:val="00EB2836"/>
    <w:rsid w:val="00EB4BB1"/>
    <w:rsid w:val="00EB55D7"/>
    <w:rsid w:val="00EC0F5E"/>
    <w:rsid w:val="00EC54AC"/>
    <w:rsid w:val="00ED2FC1"/>
    <w:rsid w:val="00ED4CAF"/>
    <w:rsid w:val="00ED740D"/>
    <w:rsid w:val="00EE182D"/>
    <w:rsid w:val="00EE1F88"/>
    <w:rsid w:val="00EF3F75"/>
    <w:rsid w:val="00EF6BE7"/>
    <w:rsid w:val="00EF7A61"/>
    <w:rsid w:val="00F03FAA"/>
    <w:rsid w:val="00F054AC"/>
    <w:rsid w:val="00F059A7"/>
    <w:rsid w:val="00F119A8"/>
    <w:rsid w:val="00F11E80"/>
    <w:rsid w:val="00F120FE"/>
    <w:rsid w:val="00F15187"/>
    <w:rsid w:val="00F161F0"/>
    <w:rsid w:val="00F20030"/>
    <w:rsid w:val="00F21204"/>
    <w:rsid w:val="00F216A1"/>
    <w:rsid w:val="00F23086"/>
    <w:rsid w:val="00F231C0"/>
    <w:rsid w:val="00F27765"/>
    <w:rsid w:val="00F32CE6"/>
    <w:rsid w:val="00F333EF"/>
    <w:rsid w:val="00F33797"/>
    <w:rsid w:val="00F33C40"/>
    <w:rsid w:val="00F377BE"/>
    <w:rsid w:val="00F403B4"/>
    <w:rsid w:val="00F40FEA"/>
    <w:rsid w:val="00F45DC9"/>
    <w:rsid w:val="00F47655"/>
    <w:rsid w:val="00F47C08"/>
    <w:rsid w:val="00F511BA"/>
    <w:rsid w:val="00F53A1E"/>
    <w:rsid w:val="00F555C0"/>
    <w:rsid w:val="00F56F47"/>
    <w:rsid w:val="00F62E4F"/>
    <w:rsid w:val="00F662A5"/>
    <w:rsid w:val="00F66CD3"/>
    <w:rsid w:val="00F70D97"/>
    <w:rsid w:val="00F8474D"/>
    <w:rsid w:val="00F868B1"/>
    <w:rsid w:val="00F93C06"/>
    <w:rsid w:val="00F93F6C"/>
    <w:rsid w:val="00F94257"/>
    <w:rsid w:val="00F96138"/>
    <w:rsid w:val="00FA04ED"/>
    <w:rsid w:val="00FA2940"/>
    <w:rsid w:val="00FA338E"/>
    <w:rsid w:val="00FA4541"/>
    <w:rsid w:val="00FA5FD7"/>
    <w:rsid w:val="00FB0680"/>
    <w:rsid w:val="00FB1551"/>
    <w:rsid w:val="00FB5005"/>
    <w:rsid w:val="00FB6601"/>
    <w:rsid w:val="00FB6F75"/>
    <w:rsid w:val="00FC1ECD"/>
    <w:rsid w:val="00FC2908"/>
    <w:rsid w:val="00FC4BB1"/>
    <w:rsid w:val="00FC4D41"/>
    <w:rsid w:val="00FD1FD1"/>
    <w:rsid w:val="00FD307B"/>
    <w:rsid w:val="00FD4EF2"/>
    <w:rsid w:val="00FD5D66"/>
    <w:rsid w:val="00FE2D8A"/>
    <w:rsid w:val="00FE3EAB"/>
    <w:rsid w:val="00FE6C80"/>
    <w:rsid w:val="00FE7071"/>
    <w:rsid w:val="00FE7435"/>
    <w:rsid w:val="00FF0C81"/>
    <w:rsid w:val="00FF127F"/>
    <w:rsid w:val="00F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15F9B-07A8-4170-8D2D-613E1754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1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21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3216A"/>
    <w:rPr>
      <w:color w:val="0000FF"/>
      <w:u w:val="single"/>
    </w:rPr>
  </w:style>
  <w:style w:type="character" w:styleId="FollowedHyperlink">
    <w:name w:val="FollowedHyperlink"/>
    <w:basedOn w:val="DefaultParagraphFont"/>
    <w:uiPriority w:val="99"/>
    <w:semiHidden/>
    <w:unhideWhenUsed/>
    <w:rsid w:val="0093216A"/>
    <w:rPr>
      <w:color w:val="800080"/>
      <w:u w:val="single"/>
    </w:rPr>
  </w:style>
  <w:style w:type="paragraph" w:customStyle="1" w:styleId="xl102">
    <w:name w:val="xl102"/>
    <w:basedOn w:val="Normal"/>
    <w:rsid w:val="0093216A"/>
    <w:pPr>
      <w:spacing w:before="100" w:beforeAutospacing="1" w:after="100" w:afterAutospacing="1" w:line="240" w:lineRule="auto"/>
    </w:pPr>
    <w:rPr>
      <w:rFonts w:ascii="Arial" w:eastAsia="Times New Roman" w:hAnsi="Arial" w:cs="Arial"/>
      <w:b/>
      <w:bCs/>
      <w:sz w:val="24"/>
      <w:szCs w:val="24"/>
    </w:rPr>
  </w:style>
  <w:style w:type="paragraph" w:customStyle="1" w:styleId="xl103">
    <w:name w:val="xl103"/>
    <w:basedOn w:val="Normal"/>
    <w:rsid w:val="0093216A"/>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93216A"/>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93216A"/>
    <w:pPr>
      <w:spacing w:before="100" w:beforeAutospacing="1" w:after="100" w:afterAutospacing="1" w:line="240" w:lineRule="auto"/>
      <w:jc w:val="right"/>
    </w:pPr>
    <w:rPr>
      <w:rFonts w:ascii="Arial" w:eastAsia="Times New Roman" w:hAnsi="Arial" w:cs="Arial"/>
      <w:sz w:val="24"/>
      <w:szCs w:val="24"/>
    </w:rPr>
  </w:style>
  <w:style w:type="paragraph" w:customStyle="1" w:styleId="xl106">
    <w:name w:val="xl106"/>
    <w:basedOn w:val="Normal"/>
    <w:rsid w:val="0093216A"/>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Normal"/>
    <w:rsid w:val="0093216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93216A"/>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93216A"/>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9321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93216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2">
    <w:name w:val="xl112"/>
    <w:basedOn w:val="Normal"/>
    <w:rsid w:val="009321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93216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93216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7">
    <w:name w:val="xl117"/>
    <w:basedOn w:val="Normal"/>
    <w:rsid w:val="0093216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93216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9">
    <w:name w:val="xl119"/>
    <w:basedOn w:val="Normal"/>
    <w:rsid w:val="0093216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93216A"/>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1">
    <w:name w:val="xl121"/>
    <w:basedOn w:val="Normal"/>
    <w:rsid w:val="0093216A"/>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2">
    <w:name w:val="xl122"/>
    <w:basedOn w:val="Normal"/>
    <w:rsid w:val="0093216A"/>
    <w:pPr>
      <w:pBdr>
        <w:lef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93216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3216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93216A"/>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27">
    <w:name w:val="xl127"/>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28">
    <w:name w:val="xl128"/>
    <w:basedOn w:val="Normal"/>
    <w:rsid w:val="0093216A"/>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29">
    <w:name w:val="xl129"/>
    <w:basedOn w:val="Normal"/>
    <w:rsid w:val="0093216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30">
    <w:name w:val="xl130"/>
    <w:basedOn w:val="Normal"/>
    <w:rsid w:val="0093216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1">
    <w:name w:val="xl131"/>
    <w:basedOn w:val="Normal"/>
    <w:rsid w:val="0093216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93216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93216A"/>
    <w:pPr>
      <w:pBdr>
        <w:top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sz w:val="24"/>
      <w:szCs w:val="24"/>
    </w:rPr>
  </w:style>
  <w:style w:type="paragraph" w:customStyle="1" w:styleId="xl134">
    <w:name w:val="xl134"/>
    <w:basedOn w:val="Normal"/>
    <w:rsid w:val="0093216A"/>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93216A"/>
    <w:pPr>
      <w:pBdr>
        <w:top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24"/>
      <w:szCs w:val="24"/>
    </w:rPr>
  </w:style>
  <w:style w:type="paragraph" w:customStyle="1" w:styleId="xl136">
    <w:name w:val="xl136"/>
    <w:basedOn w:val="Normal"/>
    <w:rsid w:val="0093216A"/>
    <w:pPr>
      <w:spacing w:before="100" w:beforeAutospacing="1" w:after="100" w:afterAutospacing="1" w:line="240" w:lineRule="auto"/>
    </w:pPr>
    <w:rPr>
      <w:rFonts w:ascii="Arial" w:eastAsia="Times New Roman" w:hAnsi="Arial" w:cs="Arial"/>
      <w:i/>
      <w:iCs/>
      <w:sz w:val="24"/>
      <w:szCs w:val="24"/>
    </w:rPr>
  </w:style>
  <w:style w:type="paragraph" w:customStyle="1" w:styleId="xl137">
    <w:name w:val="xl137"/>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38">
    <w:name w:val="xl138"/>
    <w:basedOn w:val="Normal"/>
    <w:rsid w:val="0093216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39">
    <w:name w:val="xl139"/>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0">
    <w:name w:val="xl140"/>
    <w:basedOn w:val="Normal"/>
    <w:rsid w:val="0093216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93216A"/>
    <w:pPr>
      <w:pBdr>
        <w:bottom w:val="single" w:sz="4" w:space="0" w:color="auto"/>
      </w:pBdr>
      <w:shd w:val="clear" w:color="000000" w:fill="CCFFCC"/>
      <w:spacing w:before="100" w:beforeAutospacing="1" w:after="100" w:afterAutospacing="1" w:line="240" w:lineRule="auto"/>
    </w:pPr>
    <w:rPr>
      <w:rFonts w:ascii="Arial" w:eastAsia="Times New Roman" w:hAnsi="Arial" w:cs="Arial"/>
      <w:sz w:val="24"/>
      <w:szCs w:val="24"/>
    </w:rPr>
  </w:style>
  <w:style w:type="paragraph" w:customStyle="1" w:styleId="xl142">
    <w:name w:val="xl142"/>
    <w:basedOn w:val="Normal"/>
    <w:rsid w:val="0093216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3">
    <w:name w:val="xl143"/>
    <w:basedOn w:val="Normal"/>
    <w:rsid w:val="0093216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4">
    <w:name w:val="xl144"/>
    <w:basedOn w:val="Normal"/>
    <w:rsid w:val="0093216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5">
    <w:name w:val="xl145"/>
    <w:basedOn w:val="Normal"/>
    <w:rsid w:val="0093216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6">
    <w:name w:val="xl146"/>
    <w:basedOn w:val="Normal"/>
    <w:rsid w:val="0093216A"/>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47">
    <w:name w:val="xl147"/>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48">
    <w:name w:val="xl148"/>
    <w:basedOn w:val="Normal"/>
    <w:rsid w:val="0093216A"/>
    <w:pPr>
      <w:spacing w:before="100" w:beforeAutospacing="1" w:after="100" w:afterAutospacing="1" w:line="240" w:lineRule="auto"/>
      <w:jc w:val="right"/>
    </w:pPr>
    <w:rPr>
      <w:rFonts w:ascii="Arial" w:eastAsia="Times New Roman" w:hAnsi="Arial" w:cs="Arial"/>
      <w:sz w:val="24"/>
      <w:szCs w:val="24"/>
    </w:rPr>
  </w:style>
  <w:style w:type="paragraph" w:customStyle="1" w:styleId="xl149">
    <w:name w:val="xl149"/>
    <w:basedOn w:val="Normal"/>
    <w:rsid w:val="0093216A"/>
    <w:pPr>
      <w:spacing w:before="100" w:beforeAutospacing="1" w:after="100" w:afterAutospacing="1" w:line="240" w:lineRule="auto"/>
    </w:pPr>
    <w:rPr>
      <w:rFonts w:ascii="Arial" w:eastAsia="Times New Roman" w:hAnsi="Arial" w:cs="Arial"/>
      <w:sz w:val="24"/>
      <w:szCs w:val="24"/>
    </w:rPr>
  </w:style>
  <w:style w:type="paragraph" w:customStyle="1" w:styleId="xl150">
    <w:name w:val="xl150"/>
    <w:basedOn w:val="Normal"/>
    <w:rsid w:val="0093216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93216A"/>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rsid w:val="0093216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3">
    <w:name w:val="xl153"/>
    <w:basedOn w:val="Normal"/>
    <w:rsid w:val="0093216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93216A"/>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55">
    <w:name w:val="xl155"/>
    <w:basedOn w:val="Normal"/>
    <w:rsid w:val="0093216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56">
    <w:name w:val="xl156"/>
    <w:basedOn w:val="Normal"/>
    <w:rsid w:val="0093216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58">
    <w:name w:val="xl158"/>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59">
    <w:name w:val="xl159"/>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60">
    <w:name w:val="xl160"/>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61">
    <w:name w:val="xl161"/>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63">
    <w:name w:val="xl163"/>
    <w:basedOn w:val="Normal"/>
    <w:rsid w:val="0093216A"/>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64">
    <w:name w:val="xl164"/>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65">
    <w:name w:val="xl165"/>
    <w:basedOn w:val="Normal"/>
    <w:rsid w:val="00932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66">
    <w:name w:val="xl166"/>
    <w:basedOn w:val="Normal"/>
    <w:rsid w:val="0093216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7">
    <w:name w:val="xl167"/>
    <w:basedOn w:val="Normal"/>
    <w:rsid w:val="0093216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8">
    <w:name w:val="xl168"/>
    <w:basedOn w:val="Normal"/>
    <w:rsid w:val="0093216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9">
    <w:name w:val="xl169"/>
    <w:basedOn w:val="Normal"/>
    <w:rsid w:val="0093216A"/>
    <w:pPr>
      <w:spacing w:before="100" w:beforeAutospacing="1" w:after="100" w:afterAutospacing="1" w:line="240" w:lineRule="auto"/>
    </w:pPr>
    <w:rPr>
      <w:rFonts w:ascii="Arial" w:eastAsia="Times New Roman" w:hAnsi="Arial" w:cs="Arial"/>
      <w:sz w:val="24"/>
      <w:szCs w:val="24"/>
    </w:rPr>
  </w:style>
  <w:style w:type="paragraph" w:customStyle="1" w:styleId="xl170">
    <w:name w:val="xl170"/>
    <w:basedOn w:val="Normal"/>
    <w:rsid w:val="0093216A"/>
    <w:pPr>
      <w:spacing w:before="100" w:beforeAutospacing="1" w:after="100" w:afterAutospacing="1" w:line="240" w:lineRule="auto"/>
    </w:pPr>
    <w:rPr>
      <w:rFonts w:ascii="Arial" w:eastAsia="Times New Roman" w:hAnsi="Arial" w:cs="Arial"/>
      <w:sz w:val="24"/>
      <w:szCs w:val="24"/>
    </w:rPr>
  </w:style>
  <w:style w:type="paragraph" w:styleId="FootnoteText">
    <w:name w:val="footnote text"/>
    <w:aliases w:val="ADB,single space,footnote text,fn,ft,Footnote Text Char1,Footnote Text Char Char,FOOTNOTES"/>
    <w:basedOn w:val="Normal"/>
    <w:link w:val="FootnoteTextChar"/>
    <w:semiHidden/>
    <w:rsid w:val="0093216A"/>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ADB Char,single space Char,footnote text Char,fn Char,ft Char,Footnote Text Char1 Char,Footnote Text Char Char Char,FOOTNOTES Char"/>
    <w:basedOn w:val="DefaultParagraphFont"/>
    <w:link w:val="FootnoteText"/>
    <w:semiHidden/>
    <w:rsid w:val="0093216A"/>
    <w:rPr>
      <w:rFonts w:ascii="Times New Roman" w:eastAsia="MS Mincho" w:hAnsi="Times New Roman" w:cs="Times New Roman"/>
      <w:sz w:val="20"/>
      <w:szCs w:val="20"/>
    </w:rPr>
  </w:style>
  <w:style w:type="character" w:styleId="FootnoteReference">
    <w:name w:val="footnote reference"/>
    <w:aliases w:val="ftref"/>
    <w:basedOn w:val="DefaultParagraphFont"/>
    <w:semiHidden/>
    <w:rsid w:val="0093216A"/>
    <w:rPr>
      <w:vertAlign w:val="superscript"/>
    </w:rPr>
  </w:style>
  <w:style w:type="paragraph" w:styleId="ListParagraph">
    <w:name w:val="List Paragraph"/>
    <w:basedOn w:val="Normal"/>
    <w:uiPriority w:val="34"/>
    <w:qFormat/>
    <w:rsid w:val="0093216A"/>
    <w:pPr>
      <w:ind w:left="720"/>
      <w:contextualSpacing/>
    </w:pPr>
  </w:style>
  <w:style w:type="paragraph" w:styleId="BalloonText">
    <w:name w:val="Balloon Text"/>
    <w:basedOn w:val="Normal"/>
    <w:link w:val="BalloonTextChar"/>
    <w:uiPriority w:val="99"/>
    <w:semiHidden/>
    <w:unhideWhenUsed/>
    <w:rsid w:val="00932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6A"/>
    <w:rPr>
      <w:rFonts w:ascii="Tahoma" w:hAnsi="Tahoma" w:cs="Tahoma"/>
      <w:sz w:val="16"/>
      <w:szCs w:val="16"/>
    </w:rPr>
  </w:style>
  <w:style w:type="paragraph" w:styleId="Header">
    <w:name w:val="header"/>
    <w:basedOn w:val="Normal"/>
    <w:link w:val="HeaderChar"/>
    <w:uiPriority w:val="99"/>
    <w:unhideWhenUsed/>
    <w:rsid w:val="00A46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EF6"/>
  </w:style>
  <w:style w:type="paragraph" w:styleId="Footer">
    <w:name w:val="footer"/>
    <w:basedOn w:val="Normal"/>
    <w:link w:val="FooterChar"/>
    <w:uiPriority w:val="99"/>
    <w:unhideWhenUsed/>
    <w:rsid w:val="00A46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F6"/>
  </w:style>
  <w:style w:type="paragraph" w:customStyle="1" w:styleId="font5">
    <w:name w:val="font5"/>
    <w:basedOn w:val="Normal"/>
    <w:rsid w:val="002218E7"/>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2218E7"/>
    <w:pPr>
      <w:spacing w:before="100" w:beforeAutospacing="1" w:after="100" w:afterAutospacing="1" w:line="240" w:lineRule="auto"/>
    </w:pPr>
    <w:rPr>
      <w:rFonts w:ascii="Arial" w:eastAsia="Times New Roman" w:hAnsi="Arial" w:cs="Arial"/>
      <w:b/>
      <w:bCs/>
      <w:sz w:val="20"/>
      <w:szCs w:val="20"/>
      <w:u w:val="single"/>
    </w:rPr>
  </w:style>
  <w:style w:type="paragraph" w:customStyle="1" w:styleId="font7">
    <w:name w:val="font7"/>
    <w:basedOn w:val="Normal"/>
    <w:rsid w:val="002218E7"/>
    <w:pPr>
      <w:spacing w:before="100" w:beforeAutospacing="1" w:after="100" w:afterAutospacing="1" w:line="240" w:lineRule="auto"/>
    </w:pPr>
    <w:rPr>
      <w:rFonts w:ascii="Arial" w:eastAsia="Times New Roman" w:hAnsi="Arial" w:cs="Arial"/>
      <w:b/>
      <w:bCs/>
      <w:i/>
      <w:iCs/>
      <w:sz w:val="20"/>
      <w:szCs w:val="20"/>
    </w:rPr>
  </w:style>
  <w:style w:type="paragraph" w:customStyle="1" w:styleId="font8">
    <w:name w:val="font8"/>
    <w:basedOn w:val="Normal"/>
    <w:rsid w:val="002218E7"/>
    <w:pPr>
      <w:spacing w:before="100" w:beforeAutospacing="1" w:after="100" w:afterAutospacing="1" w:line="240" w:lineRule="auto"/>
    </w:pPr>
    <w:rPr>
      <w:rFonts w:ascii="Arial" w:eastAsia="Times New Roman" w:hAnsi="Arial" w:cs="Arial"/>
      <w:b/>
      <w:bCs/>
      <w:i/>
      <w:iCs/>
      <w:sz w:val="20"/>
      <w:szCs w:val="20"/>
      <w:u w:val="single"/>
    </w:rPr>
  </w:style>
  <w:style w:type="paragraph" w:customStyle="1" w:styleId="xl171">
    <w:name w:val="xl171"/>
    <w:basedOn w:val="Normal"/>
    <w:rsid w:val="002218E7"/>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2">
    <w:name w:val="xl172"/>
    <w:basedOn w:val="Normal"/>
    <w:rsid w:val="002218E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3">
    <w:name w:val="xl173"/>
    <w:basedOn w:val="Normal"/>
    <w:rsid w:val="005C1840"/>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174">
    <w:name w:val="xl174"/>
    <w:basedOn w:val="Normal"/>
    <w:rsid w:val="005C1840"/>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75">
    <w:name w:val="xl175"/>
    <w:basedOn w:val="Normal"/>
    <w:rsid w:val="005C1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76">
    <w:name w:val="xl176"/>
    <w:basedOn w:val="Normal"/>
    <w:rsid w:val="005C1840"/>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77">
    <w:name w:val="xl177"/>
    <w:basedOn w:val="Normal"/>
    <w:rsid w:val="005C1840"/>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78">
    <w:name w:val="xl178"/>
    <w:basedOn w:val="Normal"/>
    <w:rsid w:val="005C1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79">
    <w:name w:val="xl179"/>
    <w:basedOn w:val="Normal"/>
    <w:rsid w:val="005C1840"/>
    <w:pPr>
      <w:spacing w:before="100" w:beforeAutospacing="1" w:after="100" w:afterAutospacing="1" w:line="240" w:lineRule="auto"/>
      <w:jc w:val="center"/>
      <w:textAlignment w:val="center"/>
    </w:pPr>
    <w:rPr>
      <w:rFonts w:ascii="Arial" w:eastAsia="Times New Roman" w:hAnsi="Arial" w:cs="Arial"/>
      <w:b/>
      <w:bCs/>
      <w:sz w:val="24"/>
      <w:szCs w:val="24"/>
      <w:lang w:eastAsia="zh-CN"/>
    </w:rPr>
  </w:style>
  <w:style w:type="paragraph" w:customStyle="1" w:styleId="xl180">
    <w:name w:val="xl180"/>
    <w:basedOn w:val="Normal"/>
    <w:rsid w:val="005C1840"/>
    <w:pPr>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181">
    <w:name w:val="xl181"/>
    <w:basedOn w:val="Normal"/>
    <w:rsid w:val="005C1840"/>
    <w:pPr>
      <w:spacing w:before="100" w:beforeAutospacing="1" w:after="100" w:afterAutospacing="1" w:line="240" w:lineRule="auto"/>
      <w:jc w:val="center"/>
      <w:textAlignment w:val="center"/>
    </w:pPr>
    <w:rPr>
      <w:rFonts w:ascii="Arial" w:eastAsia="Times New Roman" w:hAnsi="Arial" w:cs="Arial"/>
      <w:b/>
      <w:bCs/>
      <w:sz w:val="24"/>
      <w:szCs w:val="24"/>
      <w:lang w:eastAsia="zh-CN"/>
    </w:rPr>
  </w:style>
  <w:style w:type="paragraph" w:customStyle="1" w:styleId="xl182">
    <w:name w:val="xl182"/>
    <w:basedOn w:val="Normal"/>
    <w:rsid w:val="005C18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183">
    <w:name w:val="xl183"/>
    <w:basedOn w:val="Normal"/>
    <w:rsid w:val="005C1840"/>
    <w:pP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84">
    <w:name w:val="xl184"/>
    <w:basedOn w:val="Normal"/>
    <w:rsid w:val="005C184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85">
    <w:name w:val="xl185"/>
    <w:basedOn w:val="Normal"/>
    <w:rsid w:val="005C1840"/>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86">
    <w:name w:val="xl186"/>
    <w:basedOn w:val="Normal"/>
    <w:rsid w:val="005C1840"/>
    <w:pPr>
      <w:pBdr>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87">
    <w:name w:val="xl187"/>
    <w:basedOn w:val="Normal"/>
    <w:rsid w:val="005C184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188">
    <w:name w:val="xl188"/>
    <w:basedOn w:val="Normal"/>
    <w:rsid w:val="005C184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zh-CN"/>
    </w:rPr>
  </w:style>
  <w:style w:type="paragraph" w:customStyle="1" w:styleId="xl189">
    <w:name w:val="xl189"/>
    <w:basedOn w:val="Normal"/>
    <w:rsid w:val="005C1840"/>
    <w:pPr>
      <w:pBdr>
        <w:bottom w:val="single" w:sz="4" w:space="0" w:color="C0C0C0"/>
      </w:pBdr>
      <w:spacing w:before="100" w:beforeAutospacing="1" w:after="100" w:afterAutospacing="1" w:line="240" w:lineRule="auto"/>
    </w:pPr>
    <w:rPr>
      <w:rFonts w:ascii="Arial" w:eastAsia="Times New Roman" w:hAnsi="Arial" w:cs="Arial"/>
      <w:sz w:val="24"/>
      <w:szCs w:val="24"/>
      <w:lang w:eastAsia="zh-CN"/>
    </w:rPr>
  </w:style>
  <w:style w:type="paragraph" w:customStyle="1" w:styleId="xl190">
    <w:name w:val="xl190"/>
    <w:basedOn w:val="Normal"/>
    <w:rsid w:val="005C18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zh-CN"/>
    </w:rPr>
  </w:style>
  <w:style w:type="paragraph" w:customStyle="1" w:styleId="xl191">
    <w:name w:val="xl191"/>
    <w:basedOn w:val="Normal"/>
    <w:rsid w:val="005C1840"/>
    <w:pPr>
      <w:pBdr>
        <w:top w:val="single" w:sz="4" w:space="0" w:color="C0C0C0"/>
        <w:left w:val="single" w:sz="4" w:space="0" w:color="auto"/>
        <w:bottom w:val="single" w:sz="4" w:space="0" w:color="C0C0C0"/>
        <w:right w:val="single" w:sz="4" w:space="0" w:color="auto"/>
      </w:pBdr>
      <w:spacing w:before="100" w:beforeAutospacing="1" w:after="100" w:afterAutospacing="1" w:line="240" w:lineRule="auto"/>
    </w:pPr>
    <w:rPr>
      <w:rFonts w:ascii="Arial" w:eastAsia="Times New Roman" w:hAnsi="Arial" w:cs="Arial"/>
      <w:sz w:val="24"/>
      <w:szCs w:val="24"/>
      <w:lang w:eastAsia="zh-CN"/>
    </w:rPr>
  </w:style>
  <w:style w:type="paragraph" w:customStyle="1" w:styleId="xl192">
    <w:name w:val="xl192"/>
    <w:basedOn w:val="Normal"/>
    <w:rsid w:val="005C1840"/>
    <w:pPr>
      <w:pBdr>
        <w:top w:val="single" w:sz="4" w:space="0" w:color="C0C0C0"/>
        <w:left w:val="single" w:sz="4" w:space="0" w:color="auto"/>
        <w:bottom w:val="single" w:sz="4" w:space="0" w:color="C0C0C0"/>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93">
    <w:name w:val="xl193"/>
    <w:basedOn w:val="Normal"/>
    <w:rsid w:val="005C1840"/>
    <w:pPr>
      <w:pBdr>
        <w:top w:val="single" w:sz="4" w:space="0" w:color="C0C0C0"/>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zh-CN"/>
    </w:rPr>
  </w:style>
  <w:style w:type="paragraph" w:customStyle="1" w:styleId="xl194">
    <w:name w:val="xl194"/>
    <w:basedOn w:val="Normal"/>
    <w:rsid w:val="005C1840"/>
    <w:pPr>
      <w:pBdr>
        <w:top w:val="single" w:sz="4" w:space="0" w:color="C0C0C0"/>
      </w:pBdr>
      <w:spacing w:before="100" w:beforeAutospacing="1" w:after="100" w:afterAutospacing="1" w:line="240" w:lineRule="auto"/>
    </w:pPr>
    <w:rPr>
      <w:rFonts w:ascii="Arial" w:eastAsia="Times New Roman" w:hAnsi="Arial" w:cs="Arial"/>
      <w:sz w:val="24"/>
      <w:szCs w:val="24"/>
      <w:lang w:eastAsia="zh-CN"/>
    </w:rPr>
  </w:style>
  <w:style w:type="paragraph" w:customStyle="1" w:styleId="xl195">
    <w:name w:val="xl195"/>
    <w:basedOn w:val="Normal"/>
    <w:rsid w:val="005C1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196">
    <w:name w:val="xl196"/>
    <w:basedOn w:val="Normal"/>
    <w:rsid w:val="005C18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zh-CN"/>
    </w:rPr>
  </w:style>
  <w:style w:type="paragraph" w:customStyle="1" w:styleId="xl197">
    <w:name w:val="xl197"/>
    <w:basedOn w:val="Normal"/>
    <w:rsid w:val="005C1840"/>
    <w:pPr>
      <w:pBdr>
        <w:top w:val="single" w:sz="4" w:space="0" w:color="C0C0C0"/>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zh-CN"/>
    </w:rPr>
  </w:style>
  <w:style w:type="paragraph" w:customStyle="1" w:styleId="xl198">
    <w:name w:val="xl198"/>
    <w:basedOn w:val="Normal"/>
    <w:rsid w:val="005C1840"/>
    <w:pPr>
      <w:pBdr>
        <w:top w:val="single" w:sz="4" w:space="0" w:color="C0C0C0"/>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zh-CN"/>
    </w:rPr>
  </w:style>
  <w:style w:type="paragraph" w:customStyle="1" w:styleId="xl199">
    <w:name w:val="xl199"/>
    <w:basedOn w:val="Normal"/>
    <w:rsid w:val="005C1840"/>
    <w:pPr>
      <w:pBdr>
        <w:top w:val="single" w:sz="4" w:space="0" w:color="auto"/>
        <w:left w:val="single" w:sz="4" w:space="0" w:color="auto"/>
        <w:bottom w:val="single" w:sz="4" w:space="0" w:color="C0C0C0"/>
        <w:right w:val="single" w:sz="4" w:space="0" w:color="auto"/>
      </w:pBd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00">
    <w:name w:val="xl200"/>
    <w:basedOn w:val="Normal"/>
    <w:rsid w:val="005C1840"/>
    <w:pP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01">
    <w:name w:val="xl201"/>
    <w:basedOn w:val="Normal"/>
    <w:rsid w:val="005C1840"/>
    <w:pPr>
      <w:spacing w:before="100" w:beforeAutospacing="1" w:after="100" w:afterAutospacing="1" w:line="240" w:lineRule="auto"/>
    </w:pPr>
    <w:rPr>
      <w:rFonts w:ascii="Arial" w:eastAsia="Times New Roman" w:hAnsi="Arial" w:cs="Arial"/>
      <w:sz w:val="24"/>
      <w:szCs w:val="24"/>
      <w:lang w:eastAsia="zh-CN"/>
    </w:rPr>
  </w:style>
  <w:style w:type="paragraph" w:customStyle="1" w:styleId="xl202">
    <w:name w:val="xl202"/>
    <w:basedOn w:val="Normal"/>
    <w:rsid w:val="005C1840"/>
    <w:pP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03">
    <w:name w:val="xl203"/>
    <w:basedOn w:val="Normal"/>
    <w:rsid w:val="005C184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204">
    <w:name w:val="xl204"/>
    <w:basedOn w:val="Normal"/>
    <w:rsid w:val="005C184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205">
    <w:name w:val="xl205"/>
    <w:basedOn w:val="Normal"/>
    <w:rsid w:val="005C184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206">
    <w:name w:val="xl206"/>
    <w:basedOn w:val="Normal"/>
    <w:rsid w:val="005C184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207">
    <w:name w:val="xl207"/>
    <w:basedOn w:val="Normal"/>
    <w:rsid w:val="005C184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208">
    <w:name w:val="xl208"/>
    <w:basedOn w:val="Normal"/>
    <w:rsid w:val="005C184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zh-CN"/>
    </w:rPr>
  </w:style>
  <w:style w:type="paragraph" w:customStyle="1" w:styleId="xl209">
    <w:name w:val="xl209"/>
    <w:basedOn w:val="Normal"/>
    <w:rsid w:val="005C184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zh-CN"/>
    </w:rPr>
  </w:style>
  <w:style w:type="paragraph" w:customStyle="1" w:styleId="xl210">
    <w:name w:val="xl210"/>
    <w:basedOn w:val="Normal"/>
    <w:rsid w:val="005C1840"/>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zh-CN"/>
    </w:rPr>
  </w:style>
  <w:style w:type="paragraph" w:customStyle="1" w:styleId="xl211">
    <w:name w:val="xl211"/>
    <w:basedOn w:val="Normal"/>
    <w:rsid w:val="005C184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zh-CN"/>
    </w:rPr>
  </w:style>
  <w:style w:type="paragraph" w:styleId="NoSpacing">
    <w:name w:val="No Spacing"/>
    <w:uiPriority w:val="1"/>
    <w:qFormat/>
    <w:rsid w:val="008F2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0824">
      <w:bodyDiv w:val="1"/>
      <w:marLeft w:val="0"/>
      <w:marRight w:val="0"/>
      <w:marTop w:val="0"/>
      <w:marBottom w:val="0"/>
      <w:divBdr>
        <w:top w:val="none" w:sz="0" w:space="0" w:color="auto"/>
        <w:left w:val="none" w:sz="0" w:space="0" w:color="auto"/>
        <w:bottom w:val="none" w:sz="0" w:space="0" w:color="auto"/>
        <w:right w:val="none" w:sz="0" w:space="0" w:color="auto"/>
      </w:divBdr>
    </w:div>
    <w:div w:id="51857448">
      <w:bodyDiv w:val="1"/>
      <w:marLeft w:val="0"/>
      <w:marRight w:val="0"/>
      <w:marTop w:val="0"/>
      <w:marBottom w:val="0"/>
      <w:divBdr>
        <w:top w:val="none" w:sz="0" w:space="0" w:color="auto"/>
        <w:left w:val="none" w:sz="0" w:space="0" w:color="auto"/>
        <w:bottom w:val="none" w:sz="0" w:space="0" w:color="auto"/>
        <w:right w:val="none" w:sz="0" w:space="0" w:color="auto"/>
      </w:divBdr>
    </w:div>
    <w:div w:id="71393060">
      <w:bodyDiv w:val="1"/>
      <w:marLeft w:val="0"/>
      <w:marRight w:val="0"/>
      <w:marTop w:val="0"/>
      <w:marBottom w:val="0"/>
      <w:divBdr>
        <w:top w:val="none" w:sz="0" w:space="0" w:color="auto"/>
        <w:left w:val="none" w:sz="0" w:space="0" w:color="auto"/>
        <w:bottom w:val="none" w:sz="0" w:space="0" w:color="auto"/>
        <w:right w:val="none" w:sz="0" w:space="0" w:color="auto"/>
      </w:divBdr>
    </w:div>
    <w:div w:id="168066566">
      <w:bodyDiv w:val="1"/>
      <w:marLeft w:val="0"/>
      <w:marRight w:val="0"/>
      <w:marTop w:val="0"/>
      <w:marBottom w:val="0"/>
      <w:divBdr>
        <w:top w:val="none" w:sz="0" w:space="0" w:color="auto"/>
        <w:left w:val="none" w:sz="0" w:space="0" w:color="auto"/>
        <w:bottom w:val="none" w:sz="0" w:space="0" w:color="auto"/>
        <w:right w:val="none" w:sz="0" w:space="0" w:color="auto"/>
      </w:divBdr>
    </w:div>
    <w:div w:id="175536011">
      <w:bodyDiv w:val="1"/>
      <w:marLeft w:val="0"/>
      <w:marRight w:val="0"/>
      <w:marTop w:val="0"/>
      <w:marBottom w:val="0"/>
      <w:divBdr>
        <w:top w:val="none" w:sz="0" w:space="0" w:color="auto"/>
        <w:left w:val="none" w:sz="0" w:space="0" w:color="auto"/>
        <w:bottom w:val="none" w:sz="0" w:space="0" w:color="auto"/>
        <w:right w:val="none" w:sz="0" w:space="0" w:color="auto"/>
      </w:divBdr>
    </w:div>
    <w:div w:id="245458030">
      <w:bodyDiv w:val="1"/>
      <w:marLeft w:val="0"/>
      <w:marRight w:val="0"/>
      <w:marTop w:val="0"/>
      <w:marBottom w:val="0"/>
      <w:divBdr>
        <w:top w:val="none" w:sz="0" w:space="0" w:color="auto"/>
        <w:left w:val="none" w:sz="0" w:space="0" w:color="auto"/>
        <w:bottom w:val="none" w:sz="0" w:space="0" w:color="auto"/>
        <w:right w:val="none" w:sz="0" w:space="0" w:color="auto"/>
      </w:divBdr>
    </w:div>
    <w:div w:id="272055835">
      <w:bodyDiv w:val="1"/>
      <w:marLeft w:val="0"/>
      <w:marRight w:val="0"/>
      <w:marTop w:val="0"/>
      <w:marBottom w:val="0"/>
      <w:divBdr>
        <w:top w:val="none" w:sz="0" w:space="0" w:color="auto"/>
        <w:left w:val="none" w:sz="0" w:space="0" w:color="auto"/>
        <w:bottom w:val="none" w:sz="0" w:space="0" w:color="auto"/>
        <w:right w:val="none" w:sz="0" w:space="0" w:color="auto"/>
      </w:divBdr>
    </w:div>
    <w:div w:id="280768206">
      <w:bodyDiv w:val="1"/>
      <w:marLeft w:val="0"/>
      <w:marRight w:val="0"/>
      <w:marTop w:val="0"/>
      <w:marBottom w:val="0"/>
      <w:divBdr>
        <w:top w:val="none" w:sz="0" w:space="0" w:color="auto"/>
        <w:left w:val="none" w:sz="0" w:space="0" w:color="auto"/>
        <w:bottom w:val="none" w:sz="0" w:space="0" w:color="auto"/>
        <w:right w:val="none" w:sz="0" w:space="0" w:color="auto"/>
      </w:divBdr>
    </w:div>
    <w:div w:id="310453153">
      <w:bodyDiv w:val="1"/>
      <w:marLeft w:val="0"/>
      <w:marRight w:val="0"/>
      <w:marTop w:val="0"/>
      <w:marBottom w:val="0"/>
      <w:divBdr>
        <w:top w:val="none" w:sz="0" w:space="0" w:color="auto"/>
        <w:left w:val="none" w:sz="0" w:space="0" w:color="auto"/>
        <w:bottom w:val="none" w:sz="0" w:space="0" w:color="auto"/>
        <w:right w:val="none" w:sz="0" w:space="0" w:color="auto"/>
      </w:divBdr>
    </w:div>
    <w:div w:id="334768968">
      <w:bodyDiv w:val="1"/>
      <w:marLeft w:val="0"/>
      <w:marRight w:val="0"/>
      <w:marTop w:val="0"/>
      <w:marBottom w:val="0"/>
      <w:divBdr>
        <w:top w:val="none" w:sz="0" w:space="0" w:color="auto"/>
        <w:left w:val="none" w:sz="0" w:space="0" w:color="auto"/>
        <w:bottom w:val="none" w:sz="0" w:space="0" w:color="auto"/>
        <w:right w:val="none" w:sz="0" w:space="0" w:color="auto"/>
      </w:divBdr>
    </w:div>
    <w:div w:id="335574645">
      <w:bodyDiv w:val="1"/>
      <w:marLeft w:val="0"/>
      <w:marRight w:val="0"/>
      <w:marTop w:val="0"/>
      <w:marBottom w:val="0"/>
      <w:divBdr>
        <w:top w:val="none" w:sz="0" w:space="0" w:color="auto"/>
        <w:left w:val="none" w:sz="0" w:space="0" w:color="auto"/>
        <w:bottom w:val="none" w:sz="0" w:space="0" w:color="auto"/>
        <w:right w:val="none" w:sz="0" w:space="0" w:color="auto"/>
      </w:divBdr>
    </w:div>
    <w:div w:id="342169933">
      <w:bodyDiv w:val="1"/>
      <w:marLeft w:val="0"/>
      <w:marRight w:val="0"/>
      <w:marTop w:val="0"/>
      <w:marBottom w:val="0"/>
      <w:divBdr>
        <w:top w:val="none" w:sz="0" w:space="0" w:color="auto"/>
        <w:left w:val="none" w:sz="0" w:space="0" w:color="auto"/>
        <w:bottom w:val="none" w:sz="0" w:space="0" w:color="auto"/>
        <w:right w:val="none" w:sz="0" w:space="0" w:color="auto"/>
      </w:divBdr>
    </w:div>
    <w:div w:id="373966809">
      <w:bodyDiv w:val="1"/>
      <w:marLeft w:val="0"/>
      <w:marRight w:val="0"/>
      <w:marTop w:val="0"/>
      <w:marBottom w:val="0"/>
      <w:divBdr>
        <w:top w:val="none" w:sz="0" w:space="0" w:color="auto"/>
        <w:left w:val="none" w:sz="0" w:space="0" w:color="auto"/>
        <w:bottom w:val="none" w:sz="0" w:space="0" w:color="auto"/>
        <w:right w:val="none" w:sz="0" w:space="0" w:color="auto"/>
      </w:divBdr>
    </w:div>
    <w:div w:id="395205287">
      <w:bodyDiv w:val="1"/>
      <w:marLeft w:val="0"/>
      <w:marRight w:val="0"/>
      <w:marTop w:val="0"/>
      <w:marBottom w:val="0"/>
      <w:divBdr>
        <w:top w:val="none" w:sz="0" w:space="0" w:color="auto"/>
        <w:left w:val="none" w:sz="0" w:space="0" w:color="auto"/>
        <w:bottom w:val="none" w:sz="0" w:space="0" w:color="auto"/>
        <w:right w:val="none" w:sz="0" w:space="0" w:color="auto"/>
      </w:divBdr>
    </w:div>
    <w:div w:id="403113368">
      <w:bodyDiv w:val="1"/>
      <w:marLeft w:val="0"/>
      <w:marRight w:val="0"/>
      <w:marTop w:val="0"/>
      <w:marBottom w:val="0"/>
      <w:divBdr>
        <w:top w:val="none" w:sz="0" w:space="0" w:color="auto"/>
        <w:left w:val="none" w:sz="0" w:space="0" w:color="auto"/>
        <w:bottom w:val="none" w:sz="0" w:space="0" w:color="auto"/>
        <w:right w:val="none" w:sz="0" w:space="0" w:color="auto"/>
      </w:divBdr>
    </w:div>
    <w:div w:id="422995919">
      <w:bodyDiv w:val="1"/>
      <w:marLeft w:val="0"/>
      <w:marRight w:val="0"/>
      <w:marTop w:val="0"/>
      <w:marBottom w:val="0"/>
      <w:divBdr>
        <w:top w:val="none" w:sz="0" w:space="0" w:color="auto"/>
        <w:left w:val="none" w:sz="0" w:space="0" w:color="auto"/>
        <w:bottom w:val="none" w:sz="0" w:space="0" w:color="auto"/>
        <w:right w:val="none" w:sz="0" w:space="0" w:color="auto"/>
      </w:divBdr>
    </w:div>
    <w:div w:id="436607277">
      <w:bodyDiv w:val="1"/>
      <w:marLeft w:val="0"/>
      <w:marRight w:val="0"/>
      <w:marTop w:val="0"/>
      <w:marBottom w:val="0"/>
      <w:divBdr>
        <w:top w:val="none" w:sz="0" w:space="0" w:color="auto"/>
        <w:left w:val="none" w:sz="0" w:space="0" w:color="auto"/>
        <w:bottom w:val="none" w:sz="0" w:space="0" w:color="auto"/>
        <w:right w:val="none" w:sz="0" w:space="0" w:color="auto"/>
      </w:divBdr>
    </w:div>
    <w:div w:id="476996133">
      <w:bodyDiv w:val="1"/>
      <w:marLeft w:val="0"/>
      <w:marRight w:val="0"/>
      <w:marTop w:val="0"/>
      <w:marBottom w:val="0"/>
      <w:divBdr>
        <w:top w:val="none" w:sz="0" w:space="0" w:color="auto"/>
        <w:left w:val="none" w:sz="0" w:space="0" w:color="auto"/>
        <w:bottom w:val="none" w:sz="0" w:space="0" w:color="auto"/>
        <w:right w:val="none" w:sz="0" w:space="0" w:color="auto"/>
      </w:divBdr>
    </w:div>
    <w:div w:id="478814262">
      <w:bodyDiv w:val="1"/>
      <w:marLeft w:val="0"/>
      <w:marRight w:val="0"/>
      <w:marTop w:val="0"/>
      <w:marBottom w:val="0"/>
      <w:divBdr>
        <w:top w:val="none" w:sz="0" w:space="0" w:color="auto"/>
        <w:left w:val="none" w:sz="0" w:space="0" w:color="auto"/>
        <w:bottom w:val="none" w:sz="0" w:space="0" w:color="auto"/>
        <w:right w:val="none" w:sz="0" w:space="0" w:color="auto"/>
      </w:divBdr>
    </w:div>
    <w:div w:id="523248814">
      <w:bodyDiv w:val="1"/>
      <w:marLeft w:val="0"/>
      <w:marRight w:val="0"/>
      <w:marTop w:val="0"/>
      <w:marBottom w:val="0"/>
      <w:divBdr>
        <w:top w:val="none" w:sz="0" w:space="0" w:color="auto"/>
        <w:left w:val="none" w:sz="0" w:space="0" w:color="auto"/>
        <w:bottom w:val="none" w:sz="0" w:space="0" w:color="auto"/>
        <w:right w:val="none" w:sz="0" w:space="0" w:color="auto"/>
      </w:divBdr>
    </w:div>
    <w:div w:id="533883731">
      <w:bodyDiv w:val="1"/>
      <w:marLeft w:val="0"/>
      <w:marRight w:val="0"/>
      <w:marTop w:val="0"/>
      <w:marBottom w:val="0"/>
      <w:divBdr>
        <w:top w:val="none" w:sz="0" w:space="0" w:color="auto"/>
        <w:left w:val="none" w:sz="0" w:space="0" w:color="auto"/>
        <w:bottom w:val="none" w:sz="0" w:space="0" w:color="auto"/>
        <w:right w:val="none" w:sz="0" w:space="0" w:color="auto"/>
      </w:divBdr>
    </w:div>
    <w:div w:id="545259880">
      <w:bodyDiv w:val="1"/>
      <w:marLeft w:val="0"/>
      <w:marRight w:val="0"/>
      <w:marTop w:val="0"/>
      <w:marBottom w:val="0"/>
      <w:divBdr>
        <w:top w:val="none" w:sz="0" w:space="0" w:color="auto"/>
        <w:left w:val="none" w:sz="0" w:space="0" w:color="auto"/>
        <w:bottom w:val="none" w:sz="0" w:space="0" w:color="auto"/>
        <w:right w:val="none" w:sz="0" w:space="0" w:color="auto"/>
      </w:divBdr>
    </w:div>
    <w:div w:id="576213981">
      <w:bodyDiv w:val="1"/>
      <w:marLeft w:val="0"/>
      <w:marRight w:val="0"/>
      <w:marTop w:val="0"/>
      <w:marBottom w:val="0"/>
      <w:divBdr>
        <w:top w:val="none" w:sz="0" w:space="0" w:color="auto"/>
        <w:left w:val="none" w:sz="0" w:space="0" w:color="auto"/>
        <w:bottom w:val="none" w:sz="0" w:space="0" w:color="auto"/>
        <w:right w:val="none" w:sz="0" w:space="0" w:color="auto"/>
      </w:divBdr>
    </w:div>
    <w:div w:id="640303887">
      <w:bodyDiv w:val="1"/>
      <w:marLeft w:val="0"/>
      <w:marRight w:val="0"/>
      <w:marTop w:val="0"/>
      <w:marBottom w:val="0"/>
      <w:divBdr>
        <w:top w:val="none" w:sz="0" w:space="0" w:color="auto"/>
        <w:left w:val="none" w:sz="0" w:space="0" w:color="auto"/>
        <w:bottom w:val="none" w:sz="0" w:space="0" w:color="auto"/>
        <w:right w:val="none" w:sz="0" w:space="0" w:color="auto"/>
      </w:divBdr>
    </w:div>
    <w:div w:id="671760697">
      <w:bodyDiv w:val="1"/>
      <w:marLeft w:val="0"/>
      <w:marRight w:val="0"/>
      <w:marTop w:val="0"/>
      <w:marBottom w:val="0"/>
      <w:divBdr>
        <w:top w:val="none" w:sz="0" w:space="0" w:color="auto"/>
        <w:left w:val="none" w:sz="0" w:space="0" w:color="auto"/>
        <w:bottom w:val="none" w:sz="0" w:space="0" w:color="auto"/>
        <w:right w:val="none" w:sz="0" w:space="0" w:color="auto"/>
      </w:divBdr>
    </w:div>
    <w:div w:id="761025768">
      <w:bodyDiv w:val="1"/>
      <w:marLeft w:val="0"/>
      <w:marRight w:val="0"/>
      <w:marTop w:val="0"/>
      <w:marBottom w:val="0"/>
      <w:divBdr>
        <w:top w:val="none" w:sz="0" w:space="0" w:color="auto"/>
        <w:left w:val="none" w:sz="0" w:space="0" w:color="auto"/>
        <w:bottom w:val="none" w:sz="0" w:space="0" w:color="auto"/>
        <w:right w:val="none" w:sz="0" w:space="0" w:color="auto"/>
      </w:divBdr>
    </w:div>
    <w:div w:id="952589269">
      <w:bodyDiv w:val="1"/>
      <w:marLeft w:val="0"/>
      <w:marRight w:val="0"/>
      <w:marTop w:val="0"/>
      <w:marBottom w:val="0"/>
      <w:divBdr>
        <w:top w:val="none" w:sz="0" w:space="0" w:color="auto"/>
        <w:left w:val="none" w:sz="0" w:space="0" w:color="auto"/>
        <w:bottom w:val="none" w:sz="0" w:space="0" w:color="auto"/>
        <w:right w:val="none" w:sz="0" w:space="0" w:color="auto"/>
      </w:divBdr>
    </w:div>
    <w:div w:id="992568540">
      <w:bodyDiv w:val="1"/>
      <w:marLeft w:val="0"/>
      <w:marRight w:val="0"/>
      <w:marTop w:val="0"/>
      <w:marBottom w:val="0"/>
      <w:divBdr>
        <w:top w:val="none" w:sz="0" w:space="0" w:color="auto"/>
        <w:left w:val="none" w:sz="0" w:space="0" w:color="auto"/>
        <w:bottom w:val="none" w:sz="0" w:space="0" w:color="auto"/>
        <w:right w:val="none" w:sz="0" w:space="0" w:color="auto"/>
      </w:divBdr>
    </w:div>
    <w:div w:id="1149710160">
      <w:bodyDiv w:val="1"/>
      <w:marLeft w:val="0"/>
      <w:marRight w:val="0"/>
      <w:marTop w:val="0"/>
      <w:marBottom w:val="0"/>
      <w:divBdr>
        <w:top w:val="none" w:sz="0" w:space="0" w:color="auto"/>
        <w:left w:val="none" w:sz="0" w:space="0" w:color="auto"/>
        <w:bottom w:val="none" w:sz="0" w:space="0" w:color="auto"/>
        <w:right w:val="none" w:sz="0" w:space="0" w:color="auto"/>
      </w:divBdr>
    </w:div>
    <w:div w:id="1242449834">
      <w:bodyDiv w:val="1"/>
      <w:marLeft w:val="0"/>
      <w:marRight w:val="0"/>
      <w:marTop w:val="0"/>
      <w:marBottom w:val="0"/>
      <w:divBdr>
        <w:top w:val="none" w:sz="0" w:space="0" w:color="auto"/>
        <w:left w:val="none" w:sz="0" w:space="0" w:color="auto"/>
        <w:bottom w:val="none" w:sz="0" w:space="0" w:color="auto"/>
        <w:right w:val="none" w:sz="0" w:space="0" w:color="auto"/>
      </w:divBdr>
    </w:div>
    <w:div w:id="1331443593">
      <w:bodyDiv w:val="1"/>
      <w:marLeft w:val="0"/>
      <w:marRight w:val="0"/>
      <w:marTop w:val="0"/>
      <w:marBottom w:val="0"/>
      <w:divBdr>
        <w:top w:val="none" w:sz="0" w:space="0" w:color="auto"/>
        <w:left w:val="none" w:sz="0" w:space="0" w:color="auto"/>
        <w:bottom w:val="none" w:sz="0" w:space="0" w:color="auto"/>
        <w:right w:val="none" w:sz="0" w:space="0" w:color="auto"/>
      </w:divBdr>
    </w:div>
    <w:div w:id="1334451036">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483850">
      <w:bodyDiv w:val="1"/>
      <w:marLeft w:val="0"/>
      <w:marRight w:val="0"/>
      <w:marTop w:val="0"/>
      <w:marBottom w:val="0"/>
      <w:divBdr>
        <w:top w:val="none" w:sz="0" w:space="0" w:color="auto"/>
        <w:left w:val="none" w:sz="0" w:space="0" w:color="auto"/>
        <w:bottom w:val="none" w:sz="0" w:space="0" w:color="auto"/>
        <w:right w:val="none" w:sz="0" w:space="0" w:color="auto"/>
      </w:divBdr>
    </w:div>
    <w:div w:id="1428621801">
      <w:bodyDiv w:val="1"/>
      <w:marLeft w:val="0"/>
      <w:marRight w:val="0"/>
      <w:marTop w:val="0"/>
      <w:marBottom w:val="0"/>
      <w:divBdr>
        <w:top w:val="none" w:sz="0" w:space="0" w:color="auto"/>
        <w:left w:val="none" w:sz="0" w:space="0" w:color="auto"/>
        <w:bottom w:val="none" w:sz="0" w:space="0" w:color="auto"/>
        <w:right w:val="none" w:sz="0" w:space="0" w:color="auto"/>
      </w:divBdr>
    </w:div>
    <w:div w:id="1438910007">
      <w:bodyDiv w:val="1"/>
      <w:marLeft w:val="0"/>
      <w:marRight w:val="0"/>
      <w:marTop w:val="0"/>
      <w:marBottom w:val="0"/>
      <w:divBdr>
        <w:top w:val="none" w:sz="0" w:space="0" w:color="auto"/>
        <w:left w:val="none" w:sz="0" w:space="0" w:color="auto"/>
        <w:bottom w:val="none" w:sz="0" w:space="0" w:color="auto"/>
        <w:right w:val="none" w:sz="0" w:space="0" w:color="auto"/>
      </w:divBdr>
    </w:div>
    <w:div w:id="1501895310">
      <w:bodyDiv w:val="1"/>
      <w:marLeft w:val="0"/>
      <w:marRight w:val="0"/>
      <w:marTop w:val="0"/>
      <w:marBottom w:val="0"/>
      <w:divBdr>
        <w:top w:val="none" w:sz="0" w:space="0" w:color="auto"/>
        <w:left w:val="none" w:sz="0" w:space="0" w:color="auto"/>
        <w:bottom w:val="none" w:sz="0" w:space="0" w:color="auto"/>
        <w:right w:val="none" w:sz="0" w:space="0" w:color="auto"/>
      </w:divBdr>
    </w:div>
    <w:div w:id="1527016190">
      <w:bodyDiv w:val="1"/>
      <w:marLeft w:val="0"/>
      <w:marRight w:val="0"/>
      <w:marTop w:val="0"/>
      <w:marBottom w:val="0"/>
      <w:divBdr>
        <w:top w:val="none" w:sz="0" w:space="0" w:color="auto"/>
        <w:left w:val="none" w:sz="0" w:space="0" w:color="auto"/>
        <w:bottom w:val="none" w:sz="0" w:space="0" w:color="auto"/>
        <w:right w:val="none" w:sz="0" w:space="0" w:color="auto"/>
      </w:divBdr>
    </w:div>
    <w:div w:id="1570381112">
      <w:bodyDiv w:val="1"/>
      <w:marLeft w:val="0"/>
      <w:marRight w:val="0"/>
      <w:marTop w:val="0"/>
      <w:marBottom w:val="0"/>
      <w:divBdr>
        <w:top w:val="none" w:sz="0" w:space="0" w:color="auto"/>
        <w:left w:val="none" w:sz="0" w:space="0" w:color="auto"/>
        <w:bottom w:val="none" w:sz="0" w:space="0" w:color="auto"/>
        <w:right w:val="none" w:sz="0" w:space="0" w:color="auto"/>
      </w:divBdr>
    </w:div>
    <w:div w:id="1658074091">
      <w:bodyDiv w:val="1"/>
      <w:marLeft w:val="0"/>
      <w:marRight w:val="0"/>
      <w:marTop w:val="0"/>
      <w:marBottom w:val="0"/>
      <w:divBdr>
        <w:top w:val="none" w:sz="0" w:space="0" w:color="auto"/>
        <w:left w:val="none" w:sz="0" w:space="0" w:color="auto"/>
        <w:bottom w:val="none" w:sz="0" w:space="0" w:color="auto"/>
        <w:right w:val="none" w:sz="0" w:space="0" w:color="auto"/>
      </w:divBdr>
    </w:div>
    <w:div w:id="1685326222">
      <w:bodyDiv w:val="1"/>
      <w:marLeft w:val="0"/>
      <w:marRight w:val="0"/>
      <w:marTop w:val="0"/>
      <w:marBottom w:val="0"/>
      <w:divBdr>
        <w:top w:val="none" w:sz="0" w:space="0" w:color="auto"/>
        <w:left w:val="none" w:sz="0" w:space="0" w:color="auto"/>
        <w:bottom w:val="none" w:sz="0" w:space="0" w:color="auto"/>
        <w:right w:val="none" w:sz="0" w:space="0" w:color="auto"/>
      </w:divBdr>
    </w:div>
    <w:div w:id="1713576740">
      <w:bodyDiv w:val="1"/>
      <w:marLeft w:val="0"/>
      <w:marRight w:val="0"/>
      <w:marTop w:val="0"/>
      <w:marBottom w:val="0"/>
      <w:divBdr>
        <w:top w:val="none" w:sz="0" w:space="0" w:color="auto"/>
        <w:left w:val="none" w:sz="0" w:space="0" w:color="auto"/>
        <w:bottom w:val="none" w:sz="0" w:space="0" w:color="auto"/>
        <w:right w:val="none" w:sz="0" w:space="0" w:color="auto"/>
      </w:divBdr>
    </w:div>
    <w:div w:id="1762487275">
      <w:bodyDiv w:val="1"/>
      <w:marLeft w:val="0"/>
      <w:marRight w:val="0"/>
      <w:marTop w:val="0"/>
      <w:marBottom w:val="0"/>
      <w:divBdr>
        <w:top w:val="none" w:sz="0" w:space="0" w:color="auto"/>
        <w:left w:val="none" w:sz="0" w:space="0" w:color="auto"/>
        <w:bottom w:val="none" w:sz="0" w:space="0" w:color="auto"/>
        <w:right w:val="none" w:sz="0" w:space="0" w:color="auto"/>
      </w:divBdr>
    </w:div>
    <w:div w:id="1768116557">
      <w:bodyDiv w:val="1"/>
      <w:marLeft w:val="0"/>
      <w:marRight w:val="0"/>
      <w:marTop w:val="0"/>
      <w:marBottom w:val="0"/>
      <w:divBdr>
        <w:top w:val="none" w:sz="0" w:space="0" w:color="auto"/>
        <w:left w:val="none" w:sz="0" w:space="0" w:color="auto"/>
        <w:bottom w:val="none" w:sz="0" w:space="0" w:color="auto"/>
        <w:right w:val="none" w:sz="0" w:space="0" w:color="auto"/>
      </w:divBdr>
    </w:div>
    <w:div w:id="1771048477">
      <w:bodyDiv w:val="1"/>
      <w:marLeft w:val="0"/>
      <w:marRight w:val="0"/>
      <w:marTop w:val="0"/>
      <w:marBottom w:val="0"/>
      <w:divBdr>
        <w:top w:val="none" w:sz="0" w:space="0" w:color="auto"/>
        <w:left w:val="none" w:sz="0" w:space="0" w:color="auto"/>
        <w:bottom w:val="none" w:sz="0" w:space="0" w:color="auto"/>
        <w:right w:val="none" w:sz="0" w:space="0" w:color="auto"/>
      </w:divBdr>
    </w:div>
    <w:div w:id="1793670097">
      <w:bodyDiv w:val="1"/>
      <w:marLeft w:val="0"/>
      <w:marRight w:val="0"/>
      <w:marTop w:val="0"/>
      <w:marBottom w:val="0"/>
      <w:divBdr>
        <w:top w:val="none" w:sz="0" w:space="0" w:color="auto"/>
        <w:left w:val="none" w:sz="0" w:space="0" w:color="auto"/>
        <w:bottom w:val="none" w:sz="0" w:space="0" w:color="auto"/>
        <w:right w:val="none" w:sz="0" w:space="0" w:color="auto"/>
      </w:divBdr>
    </w:div>
    <w:div w:id="1835563508">
      <w:bodyDiv w:val="1"/>
      <w:marLeft w:val="0"/>
      <w:marRight w:val="0"/>
      <w:marTop w:val="0"/>
      <w:marBottom w:val="0"/>
      <w:divBdr>
        <w:top w:val="none" w:sz="0" w:space="0" w:color="auto"/>
        <w:left w:val="none" w:sz="0" w:space="0" w:color="auto"/>
        <w:bottom w:val="none" w:sz="0" w:space="0" w:color="auto"/>
        <w:right w:val="none" w:sz="0" w:space="0" w:color="auto"/>
      </w:divBdr>
    </w:div>
    <w:div w:id="1900627352">
      <w:bodyDiv w:val="1"/>
      <w:marLeft w:val="0"/>
      <w:marRight w:val="0"/>
      <w:marTop w:val="0"/>
      <w:marBottom w:val="0"/>
      <w:divBdr>
        <w:top w:val="none" w:sz="0" w:space="0" w:color="auto"/>
        <w:left w:val="none" w:sz="0" w:space="0" w:color="auto"/>
        <w:bottom w:val="none" w:sz="0" w:space="0" w:color="auto"/>
        <w:right w:val="none" w:sz="0" w:space="0" w:color="auto"/>
      </w:divBdr>
    </w:div>
    <w:div w:id="1907181668">
      <w:bodyDiv w:val="1"/>
      <w:marLeft w:val="0"/>
      <w:marRight w:val="0"/>
      <w:marTop w:val="0"/>
      <w:marBottom w:val="0"/>
      <w:divBdr>
        <w:top w:val="none" w:sz="0" w:space="0" w:color="auto"/>
        <w:left w:val="none" w:sz="0" w:space="0" w:color="auto"/>
        <w:bottom w:val="none" w:sz="0" w:space="0" w:color="auto"/>
        <w:right w:val="none" w:sz="0" w:space="0" w:color="auto"/>
      </w:divBdr>
    </w:div>
    <w:div w:id="1957788066">
      <w:bodyDiv w:val="1"/>
      <w:marLeft w:val="0"/>
      <w:marRight w:val="0"/>
      <w:marTop w:val="0"/>
      <w:marBottom w:val="0"/>
      <w:divBdr>
        <w:top w:val="none" w:sz="0" w:space="0" w:color="auto"/>
        <w:left w:val="none" w:sz="0" w:space="0" w:color="auto"/>
        <w:bottom w:val="none" w:sz="0" w:space="0" w:color="auto"/>
        <w:right w:val="none" w:sz="0" w:space="0" w:color="auto"/>
      </w:divBdr>
    </w:div>
    <w:div w:id="2020113696">
      <w:bodyDiv w:val="1"/>
      <w:marLeft w:val="0"/>
      <w:marRight w:val="0"/>
      <w:marTop w:val="0"/>
      <w:marBottom w:val="0"/>
      <w:divBdr>
        <w:top w:val="none" w:sz="0" w:space="0" w:color="auto"/>
        <w:left w:val="none" w:sz="0" w:space="0" w:color="auto"/>
        <w:bottom w:val="none" w:sz="0" w:space="0" w:color="auto"/>
        <w:right w:val="none" w:sz="0" w:space="0" w:color="auto"/>
      </w:divBdr>
    </w:div>
    <w:div w:id="2082946332">
      <w:bodyDiv w:val="1"/>
      <w:marLeft w:val="0"/>
      <w:marRight w:val="0"/>
      <w:marTop w:val="0"/>
      <w:marBottom w:val="0"/>
      <w:divBdr>
        <w:top w:val="none" w:sz="0" w:space="0" w:color="auto"/>
        <w:left w:val="none" w:sz="0" w:space="0" w:color="auto"/>
        <w:bottom w:val="none" w:sz="0" w:space="0" w:color="auto"/>
        <w:right w:val="none" w:sz="0" w:space="0" w:color="auto"/>
      </w:divBdr>
    </w:div>
    <w:div w:id="2089379955">
      <w:bodyDiv w:val="1"/>
      <w:marLeft w:val="0"/>
      <w:marRight w:val="0"/>
      <w:marTop w:val="0"/>
      <w:marBottom w:val="0"/>
      <w:divBdr>
        <w:top w:val="none" w:sz="0" w:space="0" w:color="auto"/>
        <w:left w:val="none" w:sz="0" w:space="0" w:color="auto"/>
        <w:bottom w:val="none" w:sz="0" w:space="0" w:color="auto"/>
        <w:right w:val="none" w:sz="0" w:space="0" w:color="auto"/>
      </w:divBdr>
    </w:div>
    <w:div w:id="2110738452">
      <w:bodyDiv w:val="1"/>
      <w:marLeft w:val="0"/>
      <w:marRight w:val="0"/>
      <w:marTop w:val="0"/>
      <w:marBottom w:val="0"/>
      <w:divBdr>
        <w:top w:val="none" w:sz="0" w:space="0" w:color="auto"/>
        <w:left w:val="none" w:sz="0" w:space="0" w:color="auto"/>
        <w:bottom w:val="none" w:sz="0" w:space="0" w:color="auto"/>
        <w:right w:val="none" w:sz="0" w:space="0" w:color="auto"/>
      </w:divBdr>
    </w:div>
    <w:div w:id="21469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ustomXml" Target="../customXml/item4.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ECENTER-17-161</_dlc_DocId>
    <_dlc_DocIdUrl xmlns="abd7fad0-8e9a-4f24-82a0-e4a690a7a66d">
      <Url>https://ispan.worldbank.org/sites/BOS/_layouts/15/DocIdRedir.aspx?ID=ECENTER-17-161</Url>
      <Description>ECENTER-17-161</Description>
    </_dlc_DocIdUrl>
    <DocumentDate xmlns="1e565efc-c76f-4e3a-ad62-733aa42cc28d">2016-08-31T04:00:00+00:00</DocumentDate>
    <unid xmlns="1e565efc-c76f-4e3a-ad62-733aa42cc28d" xsi:nil="true"/>
    <Volume_x0020_Title xmlns="1e565efc-c76f-4e3a-ad62-733aa42cc28d">IDA Country Allocations for FY16</Volume_x0020_Title>
    <Disclosure_x0020_Type xmlns="1e565efc-c76f-4e3a-ad62-733aa42cc28d" xsi:nil="true"/>
    <Unit_x0020_Owning_x0020_or_x0020_Responsible xmlns="1e565efc-c76f-4e3a-ad62-733aa42cc28d">DFIRM</Unit_x0020_Owning_x0020_or_x0020_Responsible>
    <RObjectID xmlns="1e565efc-c76f-4e3a-ad62-733aa42cc28d">090224b08454ff97</RObjectID>
    <Document_x0020_Type xmlns="1e565efc-c76f-4e3a-ad62-733aa42cc28d">Board Report</Document_x0020_Type>
    <Bank_x0020_Group_x0020_Institution xmlns="1e565efc-c76f-4e3a-ad62-733aa42cc28d">IDA</Bank_x0020_Group_x0020_Institution>
    <Project_x0020_ID xmlns="1e565efc-c76f-4e3a-ad62-733aa42cc28d" xsi:nil="true"/>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IDA/SecM2016-0157</Board_x0020_Document_x0020_Number>
    <Disclosure_x0020_Date xmlns="1e565efc-c76f-4e3a-ad62-733aa42cc28d" xsi:nil="true"/>
    <Board_x0020_Meeting_x0020_Type xmlns="1e565efc-c76f-4e3a-ad62-733aa42cc28d">Board Meeting</Board_x0020_Meeting_x0020_Type>
    <UpdateEntityID xmlns="1e565efc-c76f-4e3a-ad62-733aa42cc28d">532e359c-665a-e611-947a-005056953af8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Country_x0020_Region xmlns="1e565efc-c76f-4e3a-ad62-733aa42cc28d">World</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Language xmlns="1e565efc-c76f-4e3a-ad62-733aa42cc28d">English</Language>
    <Board_x0020_Meeting_x0020_Date xmlns="1e565efc-c76f-4e3a-ad62-733aa42cc28d" xsi:nil="true"/>
    <Archive xmlns="1e565efc-c76f-4e3a-ad62-733aa42cc28d">true</Archive>
    <ArchivedDate xmlns="1e565efc-c76f-4e3a-ad62-733aa42cc28d">2016-09-06T19:21:38+00:00</ArchivedDate>
    <PublicClassificationDecidedby xmlns="1e565efc-c76f-4e3a-ad62-733aa42cc28d">Tetiana Kovalchuk</PublicClassificationDecidedby>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1" ma:contentTypeDescription="Create a new document." ma:contentTypeScope="" ma:versionID="75b4cdd1f18822cafd7605444111725a">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49c729e895b4e939852acae82af35e65"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855F65-32B9-48E9-80C9-CB5F11F0F95F}"/>
</file>

<file path=customXml/itemProps2.xml><?xml version="1.0" encoding="utf-8"?>
<ds:datastoreItem xmlns:ds="http://schemas.openxmlformats.org/officeDocument/2006/customXml" ds:itemID="{B7253D37-B205-4195-9C64-0FFEEBD37888}"/>
</file>

<file path=customXml/itemProps3.xml><?xml version="1.0" encoding="utf-8"?>
<ds:datastoreItem xmlns:ds="http://schemas.openxmlformats.org/officeDocument/2006/customXml" ds:itemID="{B3D8DDE8-48F1-4CC5-863B-EE0D15CD47F8}"/>
</file>

<file path=customXml/itemProps4.xml><?xml version="1.0" encoding="utf-8"?>
<ds:datastoreItem xmlns:ds="http://schemas.openxmlformats.org/officeDocument/2006/customXml" ds:itemID="{2AC672D6-62AF-4C4C-9736-00CAA8A7D0DB}"/>
</file>

<file path=customXml/itemProps5.xml><?xml version="1.0" encoding="utf-8"?>
<ds:datastoreItem xmlns:ds="http://schemas.openxmlformats.org/officeDocument/2006/customXml" ds:itemID="{2E0CAAE0-15C0-40E9-9558-85F1F3A2D9DB}"/>
</file>

<file path=docProps/app.xml><?xml version="1.0" encoding="utf-8"?>
<Properties xmlns="http://schemas.openxmlformats.org/officeDocument/2006/extended-properties" xmlns:vt="http://schemas.openxmlformats.org/officeDocument/2006/docPropsVTypes">
  <Template>Normal.dotm</Template>
  <TotalTime>3</TotalTime>
  <Pages>10</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 Country Allocations for FY16</dc:title>
  <dc:creator>Iryna Trach</dc:creator>
  <cp:lastModifiedBy>Iryna Trach</cp:lastModifiedBy>
  <cp:revision>3</cp:revision>
  <cp:lastPrinted>2016-07-27T17:15:00Z</cp:lastPrinted>
  <dcterms:created xsi:type="dcterms:W3CDTF">2016-07-27T18:03:00Z</dcterms:created>
  <dcterms:modified xsi:type="dcterms:W3CDTF">2016-07-29T13:04:00Z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e6feab92-b383-48d9-afbc-e511bf6cc100</vt:lpwstr>
  </property>
</Properties>
</file>