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F3" w:rsidRDefault="00E150F3" w:rsidP="00FD3032">
      <w:pPr>
        <w:pStyle w:val="Style9"/>
        <w:spacing w:line="240" w:lineRule="auto"/>
        <w:jc w:val="right"/>
        <w:rPr>
          <w:bCs/>
          <w:sz w:val="22"/>
          <w:szCs w:val="22"/>
        </w:rPr>
      </w:pPr>
    </w:p>
    <w:p w:rsidR="00E150F3" w:rsidRDefault="00E150F3" w:rsidP="00FD3032">
      <w:pPr>
        <w:pStyle w:val="Style9"/>
        <w:spacing w:line="240" w:lineRule="auto"/>
        <w:jc w:val="right"/>
        <w:rPr>
          <w:bCs/>
          <w:sz w:val="22"/>
          <w:szCs w:val="22"/>
        </w:rPr>
      </w:pPr>
    </w:p>
    <w:p w:rsidR="00E150F3" w:rsidRDefault="00E150F3" w:rsidP="00FD3032">
      <w:pPr>
        <w:pStyle w:val="Style9"/>
        <w:spacing w:line="240" w:lineRule="auto"/>
        <w:jc w:val="right"/>
        <w:rPr>
          <w:bCs/>
          <w:sz w:val="22"/>
          <w:szCs w:val="22"/>
        </w:rPr>
      </w:pPr>
    </w:p>
    <w:p w:rsidR="00B22F3A" w:rsidRDefault="00612264">
      <w:pPr>
        <w:pStyle w:val="Style9"/>
        <w:spacing w:line="240" w:lineRule="auto"/>
        <w:jc w:val="left"/>
        <w:rPr>
          <w:b/>
          <w:bCs/>
          <w:sz w:val="22"/>
          <w:szCs w:val="22"/>
        </w:rPr>
      </w:pPr>
      <w:r w:rsidRPr="00612264">
        <w:rPr>
          <w:b/>
          <w:bCs/>
          <w:sz w:val="22"/>
          <w:szCs w:val="22"/>
        </w:rPr>
        <w:t>CONFORMED COPY</w:t>
      </w:r>
    </w:p>
    <w:p w:rsidR="00B22F3A" w:rsidRDefault="00B22F3A">
      <w:pPr>
        <w:pStyle w:val="Style9"/>
        <w:spacing w:line="240" w:lineRule="auto"/>
        <w:jc w:val="left"/>
        <w:rPr>
          <w:b/>
          <w:bCs/>
          <w:sz w:val="22"/>
          <w:szCs w:val="22"/>
        </w:rPr>
      </w:pPr>
    </w:p>
    <w:p w:rsidR="00B42528" w:rsidRPr="00E150F3" w:rsidRDefault="00E150F3" w:rsidP="00E150F3">
      <w:pPr>
        <w:pStyle w:val="Style9"/>
        <w:spacing w:line="240" w:lineRule="auto"/>
        <w:jc w:val="left"/>
        <w:rPr>
          <w:bCs/>
          <w:sz w:val="23"/>
          <w:szCs w:val="23"/>
        </w:rPr>
      </w:pPr>
      <w:r w:rsidRPr="00E150F3">
        <w:rPr>
          <w:bCs/>
          <w:sz w:val="23"/>
          <w:szCs w:val="23"/>
          <w:u w:val="single"/>
        </w:rPr>
        <w:t>Letter No. CD-228/FCPF/V/2011</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sidR="00250F58" w:rsidRPr="00E150F3">
        <w:rPr>
          <w:bCs/>
          <w:sz w:val="23"/>
          <w:szCs w:val="23"/>
        </w:rPr>
        <w:t>May</w:t>
      </w:r>
      <w:r w:rsidR="00BF4917" w:rsidRPr="00E150F3">
        <w:rPr>
          <w:bCs/>
          <w:sz w:val="23"/>
          <w:szCs w:val="23"/>
        </w:rPr>
        <w:t xml:space="preserve"> </w:t>
      </w:r>
      <w:r w:rsidRPr="00E150F3">
        <w:rPr>
          <w:bCs/>
          <w:sz w:val="23"/>
          <w:szCs w:val="23"/>
        </w:rPr>
        <w:t>27</w:t>
      </w:r>
      <w:r w:rsidR="00B42528" w:rsidRPr="00E150F3">
        <w:rPr>
          <w:bCs/>
          <w:sz w:val="23"/>
          <w:szCs w:val="23"/>
        </w:rPr>
        <w:t>, 201</w:t>
      </w:r>
      <w:r w:rsidR="00B741A6" w:rsidRPr="00E150F3">
        <w:rPr>
          <w:bCs/>
          <w:sz w:val="23"/>
          <w:szCs w:val="23"/>
        </w:rPr>
        <w:t>1</w:t>
      </w:r>
    </w:p>
    <w:p w:rsidR="001C1ACC" w:rsidRPr="00E150F3" w:rsidRDefault="001C1ACC" w:rsidP="00FD3032">
      <w:pPr>
        <w:pStyle w:val="Style9"/>
        <w:spacing w:line="240" w:lineRule="auto"/>
        <w:jc w:val="both"/>
        <w:rPr>
          <w:bCs/>
          <w:sz w:val="23"/>
          <w:szCs w:val="23"/>
        </w:rPr>
      </w:pPr>
    </w:p>
    <w:p w:rsidR="00E150F3" w:rsidRDefault="00E150F3" w:rsidP="00FD3032">
      <w:pPr>
        <w:pStyle w:val="ModelNrmlSingle"/>
        <w:spacing w:after="0"/>
        <w:ind w:left="720" w:hanging="720"/>
        <w:rPr>
          <w:rFonts w:eastAsia="SimSun"/>
          <w:bCs/>
          <w:color w:val="000000"/>
          <w:sz w:val="23"/>
          <w:szCs w:val="23"/>
          <w:lang w:eastAsia="zh-CN"/>
        </w:rPr>
      </w:pPr>
    </w:p>
    <w:p w:rsidR="00334527" w:rsidRPr="00E150F3" w:rsidRDefault="00FE1BB3" w:rsidP="00FD3032">
      <w:pPr>
        <w:pStyle w:val="ModelNrmlSingle"/>
        <w:spacing w:after="0"/>
        <w:ind w:left="720" w:hanging="720"/>
        <w:rPr>
          <w:rFonts w:eastAsia="SimSun"/>
          <w:bCs/>
          <w:color w:val="000000"/>
          <w:sz w:val="23"/>
          <w:szCs w:val="23"/>
          <w:lang w:eastAsia="zh-CN"/>
        </w:rPr>
      </w:pPr>
      <w:r w:rsidRPr="00E150F3">
        <w:rPr>
          <w:rFonts w:eastAsia="SimSun"/>
          <w:bCs/>
          <w:color w:val="000000"/>
          <w:sz w:val="23"/>
          <w:szCs w:val="23"/>
          <w:lang w:eastAsia="zh-CN"/>
        </w:rPr>
        <w:t>M</w:t>
      </w:r>
      <w:r w:rsidR="00F2046E" w:rsidRPr="00E150F3">
        <w:rPr>
          <w:rFonts w:eastAsia="SimSun"/>
          <w:bCs/>
          <w:color w:val="000000"/>
          <w:sz w:val="23"/>
          <w:szCs w:val="23"/>
          <w:lang w:eastAsia="zh-CN"/>
        </w:rPr>
        <w:t xml:space="preserve">r. </w:t>
      </w:r>
      <w:proofErr w:type="spellStart"/>
      <w:r w:rsidR="00F2046E" w:rsidRPr="00E150F3">
        <w:rPr>
          <w:rFonts w:eastAsia="SimSun"/>
          <w:bCs/>
          <w:color w:val="000000"/>
          <w:sz w:val="23"/>
          <w:szCs w:val="23"/>
          <w:lang w:eastAsia="zh-CN"/>
        </w:rPr>
        <w:t>Rahmat</w:t>
      </w:r>
      <w:proofErr w:type="spellEnd"/>
      <w:r w:rsidR="00F2046E" w:rsidRPr="00E150F3">
        <w:rPr>
          <w:rFonts w:eastAsia="SimSun"/>
          <w:bCs/>
          <w:color w:val="000000"/>
          <w:sz w:val="23"/>
          <w:szCs w:val="23"/>
          <w:lang w:eastAsia="zh-CN"/>
        </w:rPr>
        <w:t xml:space="preserve"> </w:t>
      </w:r>
      <w:proofErr w:type="spellStart"/>
      <w:r w:rsidR="00F2046E" w:rsidRPr="00E150F3">
        <w:rPr>
          <w:rFonts w:eastAsia="SimSun"/>
          <w:bCs/>
          <w:color w:val="000000"/>
          <w:sz w:val="23"/>
          <w:szCs w:val="23"/>
          <w:lang w:eastAsia="zh-CN"/>
        </w:rPr>
        <w:t>Waluyanto</w:t>
      </w:r>
      <w:proofErr w:type="spellEnd"/>
    </w:p>
    <w:p w:rsidR="00334527" w:rsidRPr="00E150F3" w:rsidRDefault="00F2046E" w:rsidP="00FD3032">
      <w:pPr>
        <w:autoSpaceDE w:val="0"/>
        <w:autoSpaceDN w:val="0"/>
        <w:adjustRightInd w:val="0"/>
        <w:jc w:val="both"/>
        <w:rPr>
          <w:rFonts w:eastAsia="SimSun"/>
          <w:color w:val="000000"/>
          <w:sz w:val="23"/>
          <w:szCs w:val="23"/>
          <w:lang w:eastAsia="zh-CN"/>
        </w:rPr>
      </w:pPr>
      <w:r w:rsidRPr="00E150F3">
        <w:rPr>
          <w:rFonts w:eastAsia="SimSun"/>
          <w:color w:val="000000"/>
          <w:sz w:val="23"/>
          <w:szCs w:val="23"/>
          <w:lang w:eastAsia="zh-CN"/>
        </w:rPr>
        <w:t>Director General of Debt Management</w:t>
      </w:r>
    </w:p>
    <w:p w:rsidR="001C1ACC" w:rsidRPr="00E150F3" w:rsidRDefault="00F2046E" w:rsidP="00FD3032">
      <w:pPr>
        <w:pStyle w:val="ModelNrmlSingle"/>
        <w:spacing w:after="0"/>
        <w:ind w:left="720" w:hanging="720"/>
        <w:rPr>
          <w:bCs/>
          <w:sz w:val="23"/>
          <w:szCs w:val="23"/>
        </w:rPr>
      </w:pPr>
      <w:r w:rsidRPr="00E150F3">
        <w:rPr>
          <w:bCs/>
          <w:sz w:val="23"/>
          <w:szCs w:val="23"/>
        </w:rPr>
        <w:t>Ministry of Finance</w:t>
      </w:r>
    </w:p>
    <w:p w:rsidR="001C1ACC" w:rsidRPr="00E150F3" w:rsidRDefault="00F2046E" w:rsidP="00FD3032">
      <w:pPr>
        <w:pStyle w:val="ModelNrmlSingle"/>
        <w:spacing w:after="0"/>
        <w:ind w:left="720" w:hanging="720"/>
        <w:rPr>
          <w:bCs/>
          <w:sz w:val="23"/>
          <w:szCs w:val="23"/>
          <w:lang w:val="nb-NO"/>
        </w:rPr>
      </w:pPr>
      <w:r w:rsidRPr="00E150F3">
        <w:rPr>
          <w:bCs/>
          <w:sz w:val="23"/>
          <w:szCs w:val="23"/>
          <w:lang w:val="nb-NO"/>
        </w:rPr>
        <w:t>Jalan Lapangan Banteng Timur 2-4</w:t>
      </w:r>
    </w:p>
    <w:p w:rsidR="001C1ACC" w:rsidRPr="00E150F3" w:rsidRDefault="00F2046E" w:rsidP="00FD3032">
      <w:pPr>
        <w:pStyle w:val="ModelNrmlSingle"/>
        <w:spacing w:after="0"/>
        <w:ind w:left="720" w:hanging="720"/>
        <w:rPr>
          <w:bCs/>
          <w:sz w:val="23"/>
          <w:szCs w:val="23"/>
          <w:lang w:val="nb-NO"/>
        </w:rPr>
      </w:pPr>
      <w:r w:rsidRPr="00E150F3">
        <w:rPr>
          <w:bCs/>
          <w:sz w:val="23"/>
          <w:szCs w:val="23"/>
          <w:lang w:val="nb-NO"/>
        </w:rPr>
        <w:t>Jakarta 10710</w:t>
      </w:r>
    </w:p>
    <w:p w:rsidR="00B42528" w:rsidRPr="00E150F3" w:rsidRDefault="00B42528" w:rsidP="00FD3032">
      <w:pPr>
        <w:pStyle w:val="Style9"/>
        <w:spacing w:line="240" w:lineRule="auto"/>
        <w:jc w:val="both"/>
        <w:rPr>
          <w:b/>
          <w:bCs/>
          <w:sz w:val="23"/>
          <w:szCs w:val="23"/>
        </w:rPr>
      </w:pPr>
    </w:p>
    <w:p w:rsidR="00961B0E" w:rsidRDefault="00961B0E" w:rsidP="00FD3032">
      <w:pPr>
        <w:tabs>
          <w:tab w:val="left" w:pos="-1440"/>
          <w:tab w:val="left" w:pos="-720"/>
          <w:tab w:val="left" w:pos="2592"/>
          <w:tab w:val="left" w:pos="4896"/>
          <w:tab w:val="left" w:pos="7776"/>
        </w:tabs>
        <w:suppressAutoHyphens/>
        <w:ind w:right="144"/>
        <w:jc w:val="both"/>
        <w:rPr>
          <w:spacing w:val="-3"/>
          <w:sz w:val="23"/>
          <w:szCs w:val="23"/>
        </w:rPr>
      </w:pPr>
      <w:r w:rsidRPr="00E150F3">
        <w:rPr>
          <w:spacing w:val="-3"/>
          <w:sz w:val="23"/>
          <w:szCs w:val="23"/>
        </w:rPr>
        <w:t xml:space="preserve">Dear </w:t>
      </w:r>
      <w:r w:rsidR="00E150F3">
        <w:rPr>
          <w:spacing w:val="-3"/>
          <w:sz w:val="23"/>
          <w:szCs w:val="23"/>
        </w:rPr>
        <w:t xml:space="preserve">Mr. </w:t>
      </w:r>
      <w:proofErr w:type="spellStart"/>
      <w:r w:rsidR="00E150F3">
        <w:rPr>
          <w:spacing w:val="-3"/>
          <w:sz w:val="23"/>
          <w:szCs w:val="23"/>
        </w:rPr>
        <w:t>Waluyanto</w:t>
      </w:r>
      <w:proofErr w:type="spellEnd"/>
      <w:r w:rsidR="00334527" w:rsidRPr="00E150F3">
        <w:rPr>
          <w:spacing w:val="-3"/>
          <w:sz w:val="23"/>
          <w:szCs w:val="23"/>
        </w:rPr>
        <w:t>:</w:t>
      </w:r>
    </w:p>
    <w:p w:rsidR="00E150F3" w:rsidRDefault="00E150F3" w:rsidP="00FD3032">
      <w:pPr>
        <w:tabs>
          <w:tab w:val="left" w:pos="-1440"/>
          <w:tab w:val="left" w:pos="-720"/>
          <w:tab w:val="left" w:pos="2592"/>
          <w:tab w:val="left" w:pos="4896"/>
          <w:tab w:val="left" w:pos="7776"/>
        </w:tabs>
        <w:suppressAutoHyphens/>
        <w:ind w:right="144"/>
        <w:jc w:val="both"/>
        <w:rPr>
          <w:spacing w:val="-3"/>
          <w:sz w:val="23"/>
          <w:szCs w:val="23"/>
        </w:rPr>
      </w:pPr>
    </w:p>
    <w:p w:rsidR="00E150F3" w:rsidRPr="00F3422F" w:rsidRDefault="002B7977" w:rsidP="00E150F3">
      <w:pPr>
        <w:tabs>
          <w:tab w:val="left" w:pos="-1440"/>
          <w:tab w:val="left" w:pos="-720"/>
        </w:tabs>
        <w:suppressAutoHyphens/>
        <w:ind w:right="144"/>
        <w:jc w:val="center"/>
        <w:rPr>
          <w:b/>
          <w:i/>
          <w:spacing w:val="-3"/>
          <w:sz w:val="23"/>
          <w:szCs w:val="23"/>
        </w:rPr>
      </w:pPr>
      <w:r w:rsidRPr="002B7977">
        <w:rPr>
          <w:b/>
          <w:i/>
          <w:spacing w:val="-3"/>
          <w:sz w:val="23"/>
          <w:szCs w:val="23"/>
        </w:rPr>
        <w:t>Re: Republic of Indonesia: FCPF Readiness Fund Grant:</w:t>
      </w:r>
    </w:p>
    <w:p w:rsidR="00E150F3" w:rsidRPr="00F3422F" w:rsidRDefault="002B7977" w:rsidP="00E150F3">
      <w:pPr>
        <w:tabs>
          <w:tab w:val="left" w:pos="-1440"/>
          <w:tab w:val="left" w:pos="-720"/>
        </w:tabs>
        <w:suppressAutoHyphens/>
        <w:ind w:right="144"/>
        <w:jc w:val="center"/>
        <w:rPr>
          <w:b/>
          <w:i/>
          <w:spacing w:val="-3"/>
          <w:sz w:val="23"/>
          <w:szCs w:val="23"/>
        </w:rPr>
      </w:pPr>
      <w:r w:rsidRPr="002B7977">
        <w:rPr>
          <w:b/>
          <w:i/>
          <w:spacing w:val="-3"/>
          <w:sz w:val="23"/>
          <w:szCs w:val="23"/>
        </w:rPr>
        <w:t>REDD+ Readiness Preparation</w:t>
      </w:r>
    </w:p>
    <w:p w:rsidR="00E150F3" w:rsidRPr="00F3422F" w:rsidRDefault="002B7977" w:rsidP="00E150F3">
      <w:pPr>
        <w:tabs>
          <w:tab w:val="left" w:pos="-1440"/>
          <w:tab w:val="left" w:pos="-720"/>
        </w:tabs>
        <w:suppressAutoHyphens/>
        <w:ind w:right="144"/>
        <w:jc w:val="center"/>
        <w:rPr>
          <w:b/>
          <w:i/>
          <w:spacing w:val="-3"/>
          <w:sz w:val="23"/>
          <w:szCs w:val="23"/>
        </w:rPr>
      </w:pPr>
      <w:proofErr w:type="gramStart"/>
      <w:r w:rsidRPr="002B7977">
        <w:rPr>
          <w:b/>
          <w:i/>
          <w:spacing w:val="-3"/>
          <w:sz w:val="23"/>
          <w:szCs w:val="23"/>
        </w:rPr>
        <w:t>Grant No.</w:t>
      </w:r>
      <w:proofErr w:type="gramEnd"/>
      <w:r w:rsidRPr="002B7977">
        <w:rPr>
          <w:b/>
          <w:i/>
          <w:spacing w:val="-3"/>
          <w:sz w:val="23"/>
          <w:szCs w:val="23"/>
        </w:rPr>
        <w:t xml:space="preserve"> TF99721-ID</w:t>
      </w:r>
    </w:p>
    <w:p w:rsidR="00E150F3" w:rsidRDefault="00E150F3" w:rsidP="00FD3032">
      <w:pPr>
        <w:ind w:firstLine="720"/>
        <w:jc w:val="both"/>
        <w:rPr>
          <w:spacing w:val="-3"/>
          <w:sz w:val="23"/>
          <w:szCs w:val="23"/>
        </w:rPr>
      </w:pPr>
    </w:p>
    <w:p w:rsidR="00961B0E" w:rsidRPr="00E150F3" w:rsidRDefault="00961B0E" w:rsidP="00FD3032">
      <w:pPr>
        <w:ind w:firstLine="720"/>
        <w:jc w:val="both"/>
        <w:rPr>
          <w:sz w:val="23"/>
          <w:szCs w:val="23"/>
        </w:rPr>
      </w:pPr>
      <w:r w:rsidRPr="00E150F3">
        <w:rPr>
          <w:spacing w:val="-3"/>
          <w:sz w:val="23"/>
          <w:szCs w:val="23"/>
        </w:rPr>
        <w:t>I wish to refer to Resolution PC2008-2 of t</w:t>
      </w:r>
      <w:r w:rsidRPr="00E150F3">
        <w:rPr>
          <w:sz w:val="23"/>
          <w:szCs w:val="23"/>
        </w:rPr>
        <w:t>he Participants</w:t>
      </w:r>
      <w:r w:rsidR="003022D9" w:rsidRPr="00E150F3">
        <w:rPr>
          <w:sz w:val="23"/>
          <w:szCs w:val="23"/>
        </w:rPr>
        <w:t>’</w:t>
      </w:r>
      <w:r w:rsidRPr="00E150F3">
        <w:rPr>
          <w:sz w:val="23"/>
          <w:szCs w:val="23"/>
        </w:rPr>
        <w:t xml:space="preserve"> Committee </w:t>
      </w:r>
      <w:r w:rsidR="00A74888" w:rsidRPr="00E150F3">
        <w:rPr>
          <w:sz w:val="23"/>
          <w:szCs w:val="23"/>
        </w:rPr>
        <w:t>(</w:t>
      </w:r>
      <w:r w:rsidR="00C32E55" w:rsidRPr="00E150F3">
        <w:rPr>
          <w:sz w:val="23"/>
          <w:szCs w:val="23"/>
        </w:rPr>
        <w:t>“</w:t>
      </w:r>
      <w:r w:rsidR="00A74888" w:rsidRPr="00E150F3">
        <w:rPr>
          <w:sz w:val="23"/>
          <w:szCs w:val="23"/>
        </w:rPr>
        <w:t>PC</w:t>
      </w:r>
      <w:r w:rsidR="00C32E55" w:rsidRPr="00E150F3">
        <w:rPr>
          <w:sz w:val="23"/>
          <w:szCs w:val="23"/>
        </w:rPr>
        <w:t>”</w:t>
      </w:r>
      <w:r w:rsidR="00A74888" w:rsidRPr="00E150F3">
        <w:rPr>
          <w:sz w:val="23"/>
          <w:szCs w:val="23"/>
        </w:rPr>
        <w:t xml:space="preserve">) </w:t>
      </w:r>
      <w:r w:rsidRPr="00E150F3">
        <w:rPr>
          <w:sz w:val="23"/>
          <w:szCs w:val="23"/>
        </w:rPr>
        <w:t>of the Forest Carbon Partnership Facility (“FCPF”) regarding Selection of REDD</w:t>
      </w:r>
      <w:r w:rsidR="00EB2377" w:rsidRPr="00E150F3">
        <w:rPr>
          <w:sz w:val="23"/>
          <w:szCs w:val="23"/>
        </w:rPr>
        <w:t>+</w:t>
      </w:r>
      <w:r w:rsidRPr="00E150F3">
        <w:rPr>
          <w:sz w:val="23"/>
          <w:szCs w:val="23"/>
        </w:rPr>
        <w:t xml:space="preserve"> Country Participants (“Resolution PC2008-2”). </w:t>
      </w:r>
      <w:r w:rsidR="00DA5342" w:rsidRPr="00E150F3">
        <w:rPr>
          <w:sz w:val="23"/>
          <w:szCs w:val="23"/>
        </w:rPr>
        <w:t xml:space="preserve"> “</w:t>
      </w:r>
      <w:r w:rsidR="00E26B7D" w:rsidRPr="00E150F3">
        <w:rPr>
          <w:sz w:val="23"/>
          <w:szCs w:val="23"/>
        </w:rPr>
        <w:t>REDD</w:t>
      </w:r>
      <w:r w:rsidR="0055361C" w:rsidRPr="00E150F3">
        <w:rPr>
          <w:sz w:val="23"/>
          <w:szCs w:val="23"/>
        </w:rPr>
        <w:t>+</w:t>
      </w:r>
      <w:r w:rsidR="00DA5342" w:rsidRPr="00E150F3">
        <w:rPr>
          <w:sz w:val="23"/>
          <w:szCs w:val="23"/>
        </w:rPr>
        <w:t>”</w:t>
      </w:r>
      <w:r w:rsidR="00E26B7D" w:rsidRPr="00E150F3">
        <w:rPr>
          <w:sz w:val="23"/>
          <w:szCs w:val="23"/>
        </w:rPr>
        <w:t xml:space="preserve"> refers</w:t>
      </w:r>
      <w:r w:rsidR="00740E22" w:rsidRPr="00E150F3">
        <w:rPr>
          <w:sz w:val="23"/>
          <w:szCs w:val="23"/>
        </w:rPr>
        <w:t>, collectively,</w:t>
      </w:r>
      <w:r w:rsidR="00E26B7D" w:rsidRPr="00E150F3">
        <w:rPr>
          <w:sz w:val="23"/>
          <w:szCs w:val="23"/>
        </w:rPr>
        <w:t xml:space="preserve"> to </w:t>
      </w:r>
      <w:r w:rsidR="00740E22" w:rsidRPr="00E150F3">
        <w:rPr>
          <w:sz w:val="23"/>
          <w:szCs w:val="23"/>
        </w:rPr>
        <w:t xml:space="preserve">a set of activities focused on </w:t>
      </w:r>
      <w:r w:rsidR="00E26B7D" w:rsidRPr="00E150F3">
        <w:rPr>
          <w:sz w:val="23"/>
          <w:szCs w:val="23"/>
        </w:rPr>
        <w:t>reducing emissions from deforestation and forest degradation, and</w:t>
      </w:r>
      <w:r w:rsidR="00EB2377" w:rsidRPr="00E150F3">
        <w:rPr>
          <w:sz w:val="23"/>
          <w:szCs w:val="23"/>
        </w:rPr>
        <w:t xml:space="preserve"> the role of</w:t>
      </w:r>
      <w:r w:rsidR="00E26B7D" w:rsidRPr="00E150F3">
        <w:rPr>
          <w:sz w:val="23"/>
          <w:szCs w:val="23"/>
        </w:rPr>
        <w:t xml:space="preserve"> conservation, sustainable management of forests</w:t>
      </w:r>
      <w:r w:rsidR="00B60C0B" w:rsidRPr="00E150F3">
        <w:rPr>
          <w:sz w:val="23"/>
          <w:szCs w:val="23"/>
        </w:rPr>
        <w:t>,</w:t>
      </w:r>
      <w:r w:rsidR="00E26B7D" w:rsidRPr="00E150F3">
        <w:rPr>
          <w:sz w:val="23"/>
          <w:szCs w:val="23"/>
        </w:rPr>
        <w:t xml:space="preserve"> and enhancement of forest carbon stocks.</w:t>
      </w:r>
    </w:p>
    <w:p w:rsidR="00961B0E" w:rsidRPr="00E150F3" w:rsidRDefault="00961B0E" w:rsidP="00FD3032">
      <w:pPr>
        <w:jc w:val="both"/>
        <w:rPr>
          <w:sz w:val="23"/>
          <w:szCs w:val="23"/>
        </w:rPr>
      </w:pPr>
    </w:p>
    <w:p w:rsidR="00961B0E" w:rsidRPr="00E150F3" w:rsidRDefault="00961B0E" w:rsidP="00FD3032">
      <w:pPr>
        <w:ind w:firstLine="720"/>
        <w:jc w:val="both"/>
        <w:rPr>
          <w:sz w:val="23"/>
          <w:szCs w:val="23"/>
        </w:rPr>
      </w:pPr>
      <w:r w:rsidRPr="00E150F3">
        <w:rPr>
          <w:sz w:val="23"/>
          <w:szCs w:val="23"/>
        </w:rPr>
        <w:t>Resolution PC2008-2 provides that</w:t>
      </w:r>
      <w:r w:rsidR="00B60C0B" w:rsidRPr="00E150F3">
        <w:rPr>
          <w:sz w:val="23"/>
          <w:szCs w:val="23"/>
        </w:rPr>
        <w:t>,</w:t>
      </w:r>
      <w:r w:rsidRPr="00E150F3">
        <w:rPr>
          <w:sz w:val="23"/>
          <w:szCs w:val="23"/>
        </w:rPr>
        <w:t xml:space="preserve"> subject to the availability of funds, certain REDD</w:t>
      </w:r>
      <w:r w:rsidR="002A387C" w:rsidRPr="00E150F3">
        <w:rPr>
          <w:sz w:val="23"/>
          <w:szCs w:val="23"/>
        </w:rPr>
        <w:t>+</w:t>
      </w:r>
      <w:r w:rsidRPr="00E150F3">
        <w:rPr>
          <w:sz w:val="23"/>
          <w:szCs w:val="23"/>
        </w:rPr>
        <w:t xml:space="preserve"> Country Participants may receive grant funding of up to three million six hundred thousand United States Dollars (US$3,600,000)</w:t>
      </w:r>
      <w:r w:rsidR="001C2B91" w:rsidRPr="00E150F3">
        <w:rPr>
          <w:sz w:val="23"/>
          <w:szCs w:val="23"/>
        </w:rPr>
        <w:t xml:space="preserve"> </w:t>
      </w:r>
      <w:r w:rsidRPr="00E150F3">
        <w:rPr>
          <w:sz w:val="23"/>
          <w:szCs w:val="23"/>
        </w:rPr>
        <w:t xml:space="preserve">for formulating and carrying out a Readiness Preparation Proposal (R-PP). </w:t>
      </w:r>
    </w:p>
    <w:p w:rsidR="00961B0E" w:rsidRPr="00E150F3" w:rsidRDefault="00961B0E" w:rsidP="00FD3032">
      <w:pPr>
        <w:jc w:val="both"/>
        <w:rPr>
          <w:sz w:val="23"/>
          <w:szCs w:val="23"/>
        </w:rPr>
      </w:pPr>
    </w:p>
    <w:p w:rsidR="00DB5B29" w:rsidRPr="00E150F3" w:rsidRDefault="00961B0E" w:rsidP="00FD3032">
      <w:pPr>
        <w:pStyle w:val="Style9"/>
        <w:spacing w:line="240" w:lineRule="auto"/>
        <w:jc w:val="both"/>
        <w:rPr>
          <w:bCs/>
          <w:sz w:val="23"/>
          <w:szCs w:val="23"/>
        </w:rPr>
      </w:pPr>
      <w:r w:rsidRPr="00E150F3">
        <w:rPr>
          <w:sz w:val="23"/>
          <w:szCs w:val="23"/>
        </w:rPr>
        <w:tab/>
      </w:r>
      <w:r w:rsidR="003E0B8F" w:rsidRPr="00E150F3">
        <w:rPr>
          <w:sz w:val="23"/>
          <w:szCs w:val="23"/>
        </w:rPr>
        <w:t xml:space="preserve">Republic of </w:t>
      </w:r>
      <w:r w:rsidR="00C54346" w:rsidRPr="00E150F3">
        <w:rPr>
          <w:spacing w:val="-3"/>
          <w:sz w:val="23"/>
          <w:szCs w:val="23"/>
        </w:rPr>
        <w:t>Indonesia (“Recipient”</w:t>
      </w:r>
      <w:r w:rsidR="003E0B8F" w:rsidRPr="00E150F3">
        <w:rPr>
          <w:spacing w:val="-3"/>
          <w:sz w:val="23"/>
          <w:szCs w:val="23"/>
        </w:rPr>
        <w:t xml:space="preserve"> / “Indonesia”</w:t>
      </w:r>
      <w:r w:rsidR="00C54346" w:rsidRPr="00E150F3">
        <w:rPr>
          <w:spacing w:val="-3"/>
          <w:sz w:val="23"/>
          <w:szCs w:val="23"/>
        </w:rPr>
        <w:t>) was selected as a REDD</w:t>
      </w:r>
      <w:r w:rsidR="002A387C" w:rsidRPr="00E150F3">
        <w:rPr>
          <w:spacing w:val="-3"/>
          <w:sz w:val="23"/>
          <w:szCs w:val="23"/>
        </w:rPr>
        <w:t>+</w:t>
      </w:r>
      <w:r w:rsidR="00C54346" w:rsidRPr="00E150F3">
        <w:rPr>
          <w:spacing w:val="-3"/>
          <w:sz w:val="23"/>
          <w:szCs w:val="23"/>
        </w:rPr>
        <w:t xml:space="preserve"> Country Participant. </w:t>
      </w:r>
      <w:r w:rsidR="00577B59" w:rsidRPr="00E150F3">
        <w:rPr>
          <w:spacing w:val="-3"/>
          <w:sz w:val="23"/>
          <w:szCs w:val="23"/>
        </w:rPr>
        <w:t xml:space="preserve"> </w:t>
      </w:r>
      <w:r w:rsidR="00DB5B29" w:rsidRPr="00E150F3">
        <w:rPr>
          <w:bCs/>
          <w:sz w:val="23"/>
          <w:szCs w:val="23"/>
        </w:rPr>
        <w:t>The P</w:t>
      </w:r>
      <w:r w:rsidR="00214625" w:rsidRPr="00E150F3">
        <w:rPr>
          <w:bCs/>
          <w:sz w:val="23"/>
          <w:szCs w:val="23"/>
        </w:rPr>
        <w:t xml:space="preserve">C </w:t>
      </w:r>
      <w:r w:rsidR="00DB5B29" w:rsidRPr="00E150F3">
        <w:rPr>
          <w:bCs/>
          <w:sz w:val="23"/>
          <w:szCs w:val="23"/>
        </w:rPr>
        <w:t>has reviewed the R-PP submitted by the Recipient and acknowledged the great efforts made by the Recipient in formulating its R-PP.  Accordingly, the PC, through its Resolution PC/3/2009/5, decided to allocate grant funding to the Recip</w:t>
      </w:r>
      <w:r w:rsidR="00FE1307" w:rsidRPr="00E150F3">
        <w:rPr>
          <w:bCs/>
          <w:sz w:val="23"/>
          <w:szCs w:val="23"/>
        </w:rPr>
        <w:t>ient in the amount of up to US$</w:t>
      </w:r>
      <w:r w:rsidR="00EA2305" w:rsidRPr="00E150F3">
        <w:rPr>
          <w:bCs/>
          <w:sz w:val="23"/>
          <w:szCs w:val="23"/>
        </w:rPr>
        <w:t>3,600,000</w:t>
      </w:r>
      <w:r w:rsidR="00EC337F" w:rsidRPr="00E150F3">
        <w:rPr>
          <w:bCs/>
          <w:sz w:val="23"/>
          <w:szCs w:val="23"/>
        </w:rPr>
        <w:t>,</w:t>
      </w:r>
      <w:r w:rsidR="00DB5B29" w:rsidRPr="00E150F3">
        <w:rPr>
          <w:bCs/>
          <w:sz w:val="23"/>
          <w:szCs w:val="23"/>
        </w:rPr>
        <w:t xml:space="preserve"> to enable it to move ahead with preparation for readiness, subject to the terms and conditions set out in </w:t>
      </w:r>
      <w:r w:rsidR="002A1281" w:rsidRPr="00E150F3">
        <w:rPr>
          <w:bCs/>
          <w:sz w:val="23"/>
          <w:szCs w:val="23"/>
        </w:rPr>
        <w:t>said Resolution</w:t>
      </w:r>
      <w:r w:rsidR="00EA2305" w:rsidRPr="00E150F3">
        <w:rPr>
          <w:bCs/>
          <w:sz w:val="23"/>
          <w:szCs w:val="23"/>
        </w:rPr>
        <w:t>.</w:t>
      </w:r>
    </w:p>
    <w:p w:rsidR="00DB5B29" w:rsidRPr="00E150F3" w:rsidRDefault="00DB5B29" w:rsidP="00FD3032">
      <w:pPr>
        <w:pStyle w:val="Style9"/>
        <w:spacing w:line="240" w:lineRule="auto"/>
        <w:jc w:val="both"/>
        <w:rPr>
          <w:sz w:val="23"/>
          <w:szCs w:val="23"/>
        </w:rPr>
      </w:pPr>
      <w:r w:rsidRPr="00E150F3">
        <w:rPr>
          <w:sz w:val="23"/>
          <w:szCs w:val="23"/>
        </w:rPr>
        <w:tab/>
      </w:r>
    </w:p>
    <w:p w:rsidR="00E150F3" w:rsidRDefault="00DB5B29" w:rsidP="00FD3032">
      <w:pPr>
        <w:ind w:firstLine="720"/>
        <w:jc w:val="both"/>
        <w:rPr>
          <w:sz w:val="23"/>
          <w:szCs w:val="23"/>
        </w:rPr>
      </w:pPr>
      <w:r w:rsidRPr="00E150F3">
        <w:rPr>
          <w:sz w:val="23"/>
          <w:szCs w:val="23"/>
        </w:rPr>
        <w:t xml:space="preserve">In response to the request for financial assistance made on behalf of the Recipient and the decision of the PC referred to above, I am pleased to inform you that the </w:t>
      </w:r>
      <w:r w:rsidR="00B07A93" w:rsidRPr="00E150F3">
        <w:rPr>
          <w:sz w:val="23"/>
          <w:szCs w:val="23"/>
        </w:rPr>
        <w:t>International Bank for Reconstruction and Development (“Wor</w:t>
      </w:r>
      <w:r w:rsidRPr="00E150F3">
        <w:rPr>
          <w:sz w:val="23"/>
          <w:szCs w:val="23"/>
        </w:rPr>
        <w:t>ld Bank</w:t>
      </w:r>
      <w:r w:rsidR="00B07A93" w:rsidRPr="00E150F3">
        <w:rPr>
          <w:sz w:val="23"/>
          <w:szCs w:val="23"/>
        </w:rPr>
        <w:t>”), acting as Trustee of the Readiness Fund for the FCPF (“Trustee”)</w:t>
      </w:r>
      <w:r w:rsidR="006947BD" w:rsidRPr="00E150F3">
        <w:rPr>
          <w:sz w:val="23"/>
          <w:szCs w:val="23"/>
        </w:rPr>
        <w:t>,</w:t>
      </w:r>
      <w:r w:rsidR="00B07A93" w:rsidRPr="00E150F3">
        <w:rPr>
          <w:sz w:val="23"/>
          <w:szCs w:val="23"/>
        </w:rPr>
        <w:t xml:space="preserve"> </w:t>
      </w:r>
      <w:r w:rsidRPr="00E150F3">
        <w:rPr>
          <w:sz w:val="23"/>
          <w:szCs w:val="23"/>
        </w:rPr>
        <w:t xml:space="preserve">agrees to extend to the Recipient a grant in an amount not to exceed </w:t>
      </w:r>
      <w:r w:rsidR="00F2046E" w:rsidRPr="00E150F3">
        <w:rPr>
          <w:sz w:val="23"/>
          <w:szCs w:val="23"/>
        </w:rPr>
        <w:t xml:space="preserve">three million one hundred ninety six thousand four hundred twenty </w:t>
      </w:r>
      <w:r w:rsidR="00C766B3" w:rsidRPr="00E150F3">
        <w:rPr>
          <w:sz w:val="23"/>
          <w:szCs w:val="23"/>
        </w:rPr>
        <w:t>eight</w:t>
      </w:r>
      <w:r w:rsidR="00F2046E" w:rsidRPr="00E150F3">
        <w:rPr>
          <w:sz w:val="23"/>
          <w:szCs w:val="23"/>
        </w:rPr>
        <w:t xml:space="preserve"> Uni</w:t>
      </w:r>
      <w:r w:rsidR="00C766B3" w:rsidRPr="00E150F3">
        <w:rPr>
          <w:sz w:val="23"/>
          <w:szCs w:val="23"/>
        </w:rPr>
        <w:t>ted States Dollars (US$3,196,428</w:t>
      </w:r>
      <w:r w:rsidR="00F2046E" w:rsidRPr="00E150F3">
        <w:rPr>
          <w:sz w:val="23"/>
          <w:szCs w:val="23"/>
        </w:rPr>
        <w:t>)</w:t>
      </w:r>
      <w:r w:rsidR="00540174" w:rsidRPr="00E150F3">
        <w:rPr>
          <w:rStyle w:val="FootnoteReference"/>
          <w:sz w:val="23"/>
          <w:szCs w:val="23"/>
        </w:rPr>
        <w:footnoteReference w:id="1"/>
      </w:r>
      <w:r w:rsidR="00C54346" w:rsidRPr="00E150F3">
        <w:rPr>
          <w:sz w:val="23"/>
          <w:szCs w:val="23"/>
        </w:rPr>
        <w:t xml:space="preserve"> </w:t>
      </w:r>
      <w:r w:rsidRPr="00E150F3">
        <w:rPr>
          <w:sz w:val="23"/>
          <w:szCs w:val="23"/>
        </w:rPr>
        <w:t>(“Grant”)</w:t>
      </w:r>
      <w:r w:rsidR="00E66C2F" w:rsidRPr="00E150F3">
        <w:rPr>
          <w:sz w:val="23"/>
          <w:szCs w:val="23"/>
        </w:rPr>
        <w:t xml:space="preserve"> to assist in the financing </w:t>
      </w:r>
      <w:r w:rsidR="00F52157" w:rsidRPr="00E150F3">
        <w:rPr>
          <w:sz w:val="23"/>
          <w:szCs w:val="23"/>
        </w:rPr>
        <w:t xml:space="preserve">of </w:t>
      </w:r>
      <w:r w:rsidR="00F659EF" w:rsidRPr="00E150F3">
        <w:rPr>
          <w:sz w:val="23"/>
          <w:szCs w:val="23"/>
        </w:rPr>
        <w:t xml:space="preserve">the carrying out </w:t>
      </w:r>
      <w:r w:rsidR="00F52157" w:rsidRPr="00E150F3">
        <w:rPr>
          <w:sz w:val="23"/>
          <w:szCs w:val="23"/>
        </w:rPr>
        <w:t xml:space="preserve">of the R-PP. </w:t>
      </w:r>
      <w:r w:rsidR="00E267A2" w:rsidRPr="00E150F3">
        <w:rPr>
          <w:sz w:val="23"/>
          <w:szCs w:val="23"/>
        </w:rPr>
        <w:t xml:space="preserve"> </w:t>
      </w:r>
      <w:r w:rsidRPr="00E150F3">
        <w:rPr>
          <w:sz w:val="23"/>
          <w:szCs w:val="23"/>
        </w:rPr>
        <w:t xml:space="preserve">The Grant shall be subject to the terms and conditions set forth or </w:t>
      </w:r>
    </w:p>
    <w:p w:rsidR="00E150F3" w:rsidRDefault="00E150F3" w:rsidP="00E150F3">
      <w:pPr>
        <w:jc w:val="both"/>
        <w:rPr>
          <w:sz w:val="23"/>
          <w:szCs w:val="23"/>
        </w:rPr>
      </w:pPr>
    </w:p>
    <w:p w:rsidR="00DB5B29" w:rsidRPr="00E150F3" w:rsidRDefault="00DB5B29" w:rsidP="00E150F3">
      <w:pPr>
        <w:jc w:val="both"/>
        <w:rPr>
          <w:sz w:val="23"/>
          <w:szCs w:val="23"/>
        </w:rPr>
      </w:pPr>
      <w:proofErr w:type="gramStart"/>
      <w:r w:rsidRPr="00E150F3">
        <w:rPr>
          <w:sz w:val="23"/>
          <w:szCs w:val="23"/>
        </w:rPr>
        <w:t>referred</w:t>
      </w:r>
      <w:proofErr w:type="gramEnd"/>
      <w:r w:rsidRPr="00E150F3">
        <w:rPr>
          <w:sz w:val="23"/>
          <w:szCs w:val="23"/>
        </w:rPr>
        <w:t xml:space="preserve"> to in this letter a</w:t>
      </w:r>
      <w:r w:rsidR="00E66C2F" w:rsidRPr="00E150F3">
        <w:rPr>
          <w:sz w:val="23"/>
          <w:szCs w:val="23"/>
        </w:rPr>
        <w:t>greement (“</w:t>
      </w:r>
      <w:r w:rsidRPr="00E150F3">
        <w:rPr>
          <w:sz w:val="23"/>
          <w:szCs w:val="23"/>
        </w:rPr>
        <w:t xml:space="preserve">Agreement”), which includes the attached Annex </w:t>
      </w:r>
      <w:r w:rsidR="00A87A50" w:rsidRPr="00E150F3">
        <w:rPr>
          <w:sz w:val="23"/>
          <w:szCs w:val="23"/>
        </w:rPr>
        <w:t>setting out</w:t>
      </w:r>
      <w:r w:rsidRPr="00E150F3">
        <w:rPr>
          <w:sz w:val="23"/>
          <w:szCs w:val="23"/>
        </w:rPr>
        <w:t xml:space="preserve"> </w:t>
      </w:r>
      <w:r w:rsidR="00D97ADF" w:rsidRPr="00E150F3">
        <w:rPr>
          <w:sz w:val="23"/>
          <w:szCs w:val="23"/>
        </w:rPr>
        <w:t xml:space="preserve">a </w:t>
      </w:r>
      <w:r w:rsidRPr="00E150F3">
        <w:rPr>
          <w:sz w:val="23"/>
          <w:szCs w:val="23"/>
        </w:rPr>
        <w:t xml:space="preserve">description of </w:t>
      </w:r>
      <w:r w:rsidR="00D97ADF" w:rsidRPr="00E150F3">
        <w:rPr>
          <w:sz w:val="23"/>
          <w:szCs w:val="23"/>
        </w:rPr>
        <w:t xml:space="preserve">the </w:t>
      </w:r>
      <w:r w:rsidRPr="00E150F3">
        <w:rPr>
          <w:sz w:val="23"/>
          <w:szCs w:val="23"/>
        </w:rPr>
        <w:t xml:space="preserve">activities </w:t>
      </w:r>
      <w:r w:rsidR="00F478D8" w:rsidRPr="00E150F3">
        <w:rPr>
          <w:sz w:val="23"/>
          <w:szCs w:val="23"/>
        </w:rPr>
        <w:t xml:space="preserve">to be financed </w:t>
      </w:r>
      <w:r w:rsidRPr="00E150F3">
        <w:rPr>
          <w:sz w:val="23"/>
          <w:szCs w:val="23"/>
        </w:rPr>
        <w:t>(“</w:t>
      </w:r>
      <w:r w:rsidR="002F78F8" w:rsidRPr="00E150F3">
        <w:rPr>
          <w:sz w:val="23"/>
          <w:szCs w:val="23"/>
        </w:rPr>
        <w:t xml:space="preserve">Readiness </w:t>
      </w:r>
      <w:r w:rsidRPr="00E150F3">
        <w:rPr>
          <w:sz w:val="23"/>
          <w:szCs w:val="23"/>
        </w:rPr>
        <w:t>Preparation Activities”).</w:t>
      </w:r>
    </w:p>
    <w:p w:rsidR="00DB5B29" w:rsidRPr="00E150F3" w:rsidRDefault="00DB5B29" w:rsidP="00FD3032">
      <w:pPr>
        <w:tabs>
          <w:tab w:val="left" w:pos="-1440"/>
          <w:tab w:val="left" w:pos="-720"/>
        </w:tabs>
        <w:suppressAutoHyphens/>
        <w:jc w:val="both"/>
        <w:rPr>
          <w:sz w:val="23"/>
          <w:szCs w:val="23"/>
        </w:rPr>
      </w:pPr>
    </w:p>
    <w:p w:rsidR="00961B0E" w:rsidRPr="00E150F3" w:rsidRDefault="00961B0E" w:rsidP="00EB71F4">
      <w:pPr>
        <w:jc w:val="both"/>
        <w:rPr>
          <w:sz w:val="23"/>
          <w:szCs w:val="23"/>
        </w:rPr>
      </w:pPr>
      <w:r w:rsidRPr="00E150F3">
        <w:rPr>
          <w:spacing w:val="-3"/>
          <w:sz w:val="23"/>
          <w:szCs w:val="23"/>
        </w:rPr>
        <w:tab/>
        <w:t xml:space="preserve">The Recipient represents, by confirming its agreement below, that it is authorized to enter into this Agreement and to carry out the </w:t>
      </w:r>
      <w:r w:rsidR="002F78F8" w:rsidRPr="00E150F3">
        <w:rPr>
          <w:spacing w:val="-3"/>
          <w:sz w:val="23"/>
          <w:szCs w:val="23"/>
        </w:rPr>
        <w:t xml:space="preserve">Readiness </w:t>
      </w:r>
      <w:r w:rsidR="00DB5B29" w:rsidRPr="00E150F3">
        <w:rPr>
          <w:spacing w:val="-3"/>
          <w:sz w:val="23"/>
          <w:szCs w:val="23"/>
        </w:rPr>
        <w:t xml:space="preserve">Preparation </w:t>
      </w:r>
      <w:r w:rsidRPr="00E150F3">
        <w:rPr>
          <w:spacing w:val="-3"/>
          <w:sz w:val="23"/>
          <w:szCs w:val="23"/>
        </w:rPr>
        <w:t>Activities in accordance with the terms and conditions set forth or referred to in this Agreement.</w:t>
      </w:r>
    </w:p>
    <w:p w:rsidR="00D07100" w:rsidRPr="00E150F3" w:rsidRDefault="00961B0E" w:rsidP="00FD3032">
      <w:pPr>
        <w:tabs>
          <w:tab w:val="left" w:pos="-1440"/>
          <w:tab w:val="left" w:pos="-810"/>
          <w:tab w:val="left" w:pos="-720"/>
        </w:tabs>
        <w:suppressAutoHyphens/>
        <w:ind w:right="144"/>
        <w:jc w:val="both"/>
        <w:rPr>
          <w:spacing w:val="-3"/>
          <w:sz w:val="23"/>
          <w:szCs w:val="23"/>
        </w:rPr>
      </w:pPr>
      <w:r w:rsidRPr="00E150F3">
        <w:rPr>
          <w:spacing w:val="-3"/>
          <w:sz w:val="23"/>
          <w:szCs w:val="23"/>
        </w:rPr>
        <w:tab/>
      </w:r>
    </w:p>
    <w:p w:rsidR="00444A63" w:rsidRPr="00E150F3" w:rsidRDefault="001E309A" w:rsidP="00444A63">
      <w:pPr>
        <w:tabs>
          <w:tab w:val="left" w:pos="-1440"/>
          <w:tab w:val="left" w:pos="-810"/>
          <w:tab w:val="left" w:pos="-720"/>
        </w:tabs>
        <w:suppressAutoHyphens/>
        <w:ind w:right="144"/>
        <w:jc w:val="both"/>
        <w:rPr>
          <w:sz w:val="23"/>
          <w:szCs w:val="23"/>
        </w:rPr>
      </w:pPr>
      <w:r w:rsidRPr="00E150F3">
        <w:rPr>
          <w:sz w:val="23"/>
          <w:szCs w:val="23"/>
        </w:rPr>
        <w:tab/>
      </w:r>
      <w:r w:rsidR="006A053E" w:rsidRPr="00E150F3">
        <w:rPr>
          <w:sz w:val="23"/>
          <w:szCs w:val="23"/>
        </w:rPr>
        <w:t xml:space="preserve">Please confirm the Recipient’s agreement with the foregoing by having an authorized official of the Recipient </w:t>
      </w:r>
      <w:r w:rsidR="00444A63" w:rsidRPr="00E150F3">
        <w:rPr>
          <w:sz w:val="23"/>
          <w:szCs w:val="23"/>
        </w:rPr>
        <w:t>counter</w:t>
      </w:r>
      <w:r w:rsidR="006A053E" w:rsidRPr="00E150F3">
        <w:rPr>
          <w:sz w:val="23"/>
          <w:szCs w:val="23"/>
        </w:rPr>
        <w:t xml:space="preserve">sign and date </w:t>
      </w:r>
      <w:r w:rsidR="00444A63" w:rsidRPr="00E150F3">
        <w:rPr>
          <w:sz w:val="23"/>
          <w:szCs w:val="23"/>
        </w:rPr>
        <w:t xml:space="preserve">one (1) of the two (2) originals </w:t>
      </w:r>
      <w:r w:rsidR="006A053E" w:rsidRPr="00E150F3">
        <w:rPr>
          <w:sz w:val="23"/>
          <w:szCs w:val="23"/>
        </w:rPr>
        <w:t>of this Agreement, and returning it to the World Bank.</w:t>
      </w:r>
    </w:p>
    <w:p w:rsidR="001E309A" w:rsidRPr="00E150F3" w:rsidRDefault="001E309A" w:rsidP="006A053E">
      <w:pPr>
        <w:tabs>
          <w:tab w:val="left" w:pos="-1440"/>
          <w:tab w:val="left" w:pos="-810"/>
          <w:tab w:val="left" w:pos="-720"/>
        </w:tabs>
        <w:suppressAutoHyphens/>
        <w:ind w:right="144"/>
        <w:jc w:val="both"/>
        <w:rPr>
          <w:bCs/>
          <w:sz w:val="23"/>
          <w:szCs w:val="23"/>
          <w:highlight w:val="yellow"/>
        </w:rPr>
      </w:pPr>
    </w:p>
    <w:p w:rsidR="00471118" w:rsidRPr="00E150F3" w:rsidRDefault="00471118" w:rsidP="006A053E">
      <w:pPr>
        <w:tabs>
          <w:tab w:val="left" w:pos="-1440"/>
          <w:tab w:val="left" w:pos="-810"/>
          <w:tab w:val="left" w:pos="-720"/>
        </w:tabs>
        <w:suppressAutoHyphens/>
        <w:ind w:right="144"/>
        <w:jc w:val="both"/>
        <w:rPr>
          <w:bCs/>
          <w:sz w:val="23"/>
          <w:szCs w:val="23"/>
        </w:rPr>
      </w:pPr>
      <w:r w:rsidRPr="00E150F3">
        <w:rPr>
          <w:bCs/>
          <w:sz w:val="23"/>
          <w:szCs w:val="23"/>
        </w:rPr>
        <w:tab/>
        <w:t xml:space="preserve">This Agreement shall enter into effect on the date </w:t>
      </w:r>
      <w:r w:rsidR="00954671" w:rsidRPr="00E150F3">
        <w:rPr>
          <w:bCs/>
          <w:sz w:val="23"/>
          <w:szCs w:val="23"/>
        </w:rPr>
        <w:t>of such countersignature by the Recipient</w:t>
      </w:r>
      <w:r w:rsidRPr="00E150F3">
        <w:rPr>
          <w:bCs/>
          <w:sz w:val="23"/>
          <w:szCs w:val="23"/>
        </w:rPr>
        <w:t>.</w:t>
      </w:r>
    </w:p>
    <w:p w:rsidR="00471118" w:rsidRDefault="00471118" w:rsidP="00FD3032">
      <w:pPr>
        <w:tabs>
          <w:tab w:val="center" w:pos="4392"/>
        </w:tabs>
        <w:suppressAutoHyphens/>
        <w:ind w:right="144"/>
        <w:jc w:val="center"/>
        <w:rPr>
          <w:spacing w:val="-3"/>
          <w:sz w:val="23"/>
          <w:szCs w:val="23"/>
        </w:rPr>
      </w:pPr>
    </w:p>
    <w:p w:rsidR="00E150F3" w:rsidRPr="00E150F3" w:rsidRDefault="00E150F3" w:rsidP="00FD3032">
      <w:pPr>
        <w:tabs>
          <w:tab w:val="center" w:pos="4392"/>
        </w:tabs>
        <w:suppressAutoHyphens/>
        <w:ind w:right="144"/>
        <w:jc w:val="center"/>
        <w:rPr>
          <w:spacing w:val="-3"/>
          <w:sz w:val="23"/>
          <w:szCs w:val="23"/>
        </w:rPr>
      </w:pPr>
    </w:p>
    <w:p w:rsidR="00B42528" w:rsidRPr="00E150F3" w:rsidRDefault="00B42528" w:rsidP="00FD3032">
      <w:pPr>
        <w:tabs>
          <w:tab w:val="center" w:pos="4392"/>
        </w:tabs>
        <w:suppressAutoHyphens/>
        <w:ind w:right="144"/>
        <w:jc w:val="center"/>
        <w:rPr>
          <w:spacing w:val="-3"/>
          <w:sz w:val="23"/>
          <w:szCs w:val="23"/>
        </w:rPr>
      </w:pPr>
      <w:r w:rsidRPr="00E150F3">
        <w:rPr>
          <w:spacing w:val="-3"/>
          <w:sz w:val="23"/>
          <w:szCs w:val="23"/>
        </w:rPr>
        <w:t>Very truly yours,</w:t>
      </w:r>
    </w:p>
    <w:p w:rsidR="000F1132" w:rsidRPr="00E150F3" w:rsidRDefault="000F1132" w:rsidP="00FD3032">
      <w:pPr>
        <w:tabs>
          <w:tab w:val="center" w:pos="4392"/>
        </w:tabs>
        <w:suppressAutoHyphens/>
        <w:ind w:right="144"/>
        <w:jc w:val="center"/>
        <w:rPr>
          <w:b/>
          <w:spacing w:val="-3"/>
          <w:sz w:val="23"/>
          <w:szCs w:val="23"/>
        </w:rPr>
      </w:pPr>
    </w:p>
    <w:p w:rsidR="00B42528" w:rsidRPr="00E150F3" w:rsidRDefault="00B42528" w:rsidP="00FD3032">
      <w:pPr>
        <w:tabs>
          <w:tab w:val="center" w:pos="4392"/>
        </w:tabs>
        <w:suppressAutoHyphens/>
        <w:ind w:right="144"/>
        <w:jc w:val="center"/>
        <w:rPr>
          <w:b/>
          <w:spacing w:val="-3"/>
          <w:sz w:val="23"/>
          <w:szCs w:val="23"/>
        </w:rPr>
      </w:pPr>
      <w:r w:rsidRPr="00E150F3">
        <w:rPr>
          <w:b/>
          <w:spacing w:val="-3"/>
          <w:sz w:val="23"/>
          <w:szCs w:val="23"/>
        </w:rPr>
        <w:t>INTERNATIONAL BANK FOR</w:t>
      </w:r>
    </w:p>
    <w:p w:rsidR="00B42528" w:rsidRPr="00E150F3" w:rsidRDefault="00B42528" w:rsidP="00FD3032">
      <w:pPr>
        <w:tabs>
          <w:tab w:val="center" w:pos="4392"/>
        </w:tabs>
        <w:suppressAutoHyphens/>
        <w:ind w:right="144"/>
        <w:jc w:val="center"/>
        <w:rPr>
          <w:b/>
          <w:spacing w:val="-3"/>
          <w:sz w:val="23"/>
          <w:szCs w:val="23"/>
        </w:rPr>
      </w:pPr>
      <w:r w:rsidRPr="00E150F3">
        <w:rPr>
          <w:b/>
          <w:spacing w:val="-3"/>
          <w:sz w:val="23"/>
          <w:szCs w:val="23"/>
        </w:rPr>
        <w:t>RECONSTRUCTION AND DEVELOPMENT</w:t>
      </w:r>
    </w:p>
    <w:p w:rsidR="00B42528" w:rsidRPr="00E150F3" w:rsidRDefault="00B42528" w:rsidP="00FD3032">
      <w:pPr>
        <w:jc w:val="center"/>
        <w:rPr>
          <w:sz w:val="23"/>
          <w:szCs w:val="23"/>
        </w:rPr>
      </w:pPr>
      <w:r w:rsidRPr="00E150F3">
        <w:rPr>
          <w:sz w:val="23"/>
          <w:szCs w:val="23"/>
        </w:rPr>
        <w:t>Acting as Trustee of the Readiness Fund of the Forest Carbon Partnership Facility</w:t>
      </w:r>
    </w:p>
    <w:p w:rsidR="00B42528" w:rsidRPr="00E150F3" w:rsidRDefault="00B42528" w:rsidP="00FD3032">
      <w:pPr>
        <w:tabs>
          <w:tab w:val="left" w:pos="-1440"/>
          <w:tab w:val="left" w:pos="-720"/>
          <w:tab w:val="left" w:pos="1152"/>
          <w:tab w:val="left" w:pos="2592"/>
          <w:tab w:val="left" w:pos="4896"/>
          <w:tab w:val="left" w:pos="7776"/>
        </w:tabs>
        <w:suppressAutoHyphens/>
        <w:ind w:right="144"/>
        <w:jc w:val="center"/>
        <w:rPr>
          <w:spacing w:val="-3"/>
          <w:sz w:val="23"/>
          <w:szCs w:val="23"/>
        </w:rPr>
      </w:pPr>
    </w:p>
    <w:p w:rsidR="001C1ACC" w:rsidRPr="00E150F3" w:rsidRDefault="001C1ACC" w:rsidP="00FD3032">
      <w:pPr>
        <w:ind w:right="36"/>
        <w:jc w:val="center"/>
        <w:rPr>
          <w:bCs/>
          <w:sz w:val="23"/>
          <w:szCs w:val="23"/>
          <w:lang w:val="en-GB"/>
        </w:rPr>
      </w:pPr>
    </w:p>
    <w:p w:rsidR="001C1ACC" w:rsidRPr="00E150F3" w:rsidRDefault="001C1ACC" w:rsidP="00FD3032">
      <w:pPr>
        <w:ind w:right="36"/>
        <w:jc w:val="center"/>
        <w:rPr>
          <w:bCs/>
          <w:sz w:val="23"/>
          <w:szCs w:val="23"/>
          <w:lang w:val="en-GB"/>
        </w:rPr>
      </w:pPr>
    </w:p>
    <w:p w:rsidR="00CB524A" w:rsidRPr="00E150F3" w:rsidRDefault="00CB524A" w:rsidP="00FD3032">
      <w:pPr>
        <w:ind w:right="36"/>
        <w:jc w:val="center"/>
        <w:rPr>
          <w:bCs/>
          <w:sz w:val="23"/>
          <w:szCs w:val="23"/>
          <w:lang w:val="en-GB"/>
        </w:rPr>
      </w:pPr>
    </w:p>
    <w:p w:rsidR="001C1ACC" w:rsidRPr="00E150F3" w:rsidRDefault="001C1ACC" w:rsidP="00FD3032">
      <w:pPr>
        <w:ind w:right="36"/>
        <w:jc w:val="center"/>
        <w:rPr>
          <w:bCs/>
          <w:sz w:val="23"/>
          <w:szCs w:val="23"/>
          <w:lang w:val="en-GB"/>
        </w:rPr>
      </w:pPr>
      <w:r w:rsidRPr="00E150F3">
        <w:rPr>
          <w:bCs/>
          <w:sz w:val="23"/>
          <w:szCs w:val="23"/>
          <w:lang w:val="en-GB"/>
        </w:rPr>
        <w:t>__________________</w:t>
      </w:r>
    </w:p>
    <w:p w:rsidR="001C1ACC" w:rsidRPr="00E150F3" w:rsidRDefault="00B52185" w:rsidP="00FD3032">
      <w:pPr>
        <w:ind w:right="36"/>
        <w:jc w:val="center"/>
        <w:rPr>
          <w:bCs/>
          <w:sz w:val="23"/>
          <w:szCs w:val="23"/>
          <w:lang w:val="en-GB"/>
        </w:rPr>
      </w:pPr>
      <w:r>
        <w:rPr>
          <w:bCs/>
          <w:sz w:val="23"/>
          <w:szCs w:val="23"/>
          <w:lang w:val="en-GB"/>
        </w:rPr>
        <w:t xml:space="preserve">/s/ </w:t>
      </w:r>
      <w:proofErr w:type="spellStart"/>
      <w:r w:rsidR="00E150F3">
        <w:rPr>
          <w:bCs/>
          <w:sz w:val="23"/>
          <w:szCs w:val="23"/>
          <w:lang w:val="en-GB"/>
        </w:rPr>
        <w:t>Shubham</w:t>
      </w:r>
      <w:proofErr w:type="spellEnd"/>
      <w:r w:rsidR="00E150F3">
        <w:rPr>
          <w:bCs/>
          <w:sz w:val="23"/>
          <w:szCs w:val="23"/>
          <w:lang w:val="en-GB"/>
        </w:rPr>
        <w:t xml:space="preserve"> </w:t>
      </w:r>
      <w:proofErr w:type="spellStart"/>
      <w:r w:rsidR="00E150F3">
        <w:rPr>
          <w:bCs/>
          <w:sz w:val="23"/>
          <w:szCs w:val="23"/>
          <w:lang w:val="en-GB"/>
        </w:rPr>
        <w:t>Chaud</w:t>
      </w:r>
      <w:r w:rsidR="00C61454">
        <w:rPr>
          <w:bCs/>
          <w:sz w:val="23"/>
          <w:szCs w:val="23"/>
          <w:lang w:val="en-GB"/>
        </w:rPr>
        <w:t>h</w:t>
      </w:r>
      <w:r w:rsidR="00E150F3">
        <w:rPr>
          <w:bCs/>
          <w:sz w:val="23"/>
          <w:szCs w:val="23"/>
          <w:lang w:val="en-GB"/>
        </w:rPr>
        <w:t>uri</w:t>
      </w:r>
      <w:proofErr w:type="spellEnd"/>
    </w:p>
    <w:p w:rsidR="00F2046E" w:rsidRPr="00E150F3" w:rsidRDefault="00E150F3" w:rsidP="00FD3032">
      <w:pPr>
        <w:pStyle w:val="BodyTextIndent"/>
        <w:spacing w:after="0"/>
        <w:ind w:left="0"/>
        <w:jc w:val="center"/>
        <w:rPr>
          <w:bCs/>
          <w:sz w:val="23"/>
          <w:szCs w:val="23"/>
          <w:lang w:val="en-GB"/>
        </w:rPr>
      </w:pPr>
      <w:r>
        <w:rPr>
          <w:bCs/>
          <w:sz w:val="23"/>
          <w:szCs w:val="23"/>
          <w:lang w:val="en-GB"/>
        </w:rPr>
        <w:t xml:space="preserve">Acting </w:t>
      </w:r>
      <w:r w:rsidR="001C1ACC" w:rsidRPr="00E150F3">
        <w:rPr>
          <w:bCs/>
          <w:sz w:val="23"/>
          <w:szCs w:val="23"/>
          <w:lang w:val="en-GB"/>
        </w:rPr>
        <w:t>Country Director</w:t>
      </w:r>
      <w:r w:rsidR="00CD4E4E" w:rsidRPr="00E150F3">
        <w:rPr>
          <w:bCs/>
          <w:sz w:val="23"/>
          <w:szCs w:val="23"/>
          <w:lang w:val="en-GB"/>
        </w:rPr>
        <w:t>,</w:t>
      </w:r>
      <w:r w:rsidR="003619A1" w:rsidRPr="00E150F3">
        <w:rPr>
          <w:bCs/>
          <w:sz w:val="23"/>
          <w:szCs w:val="23"/>
          <w:lang w:val="en-GB"/>
        </w:rPr>
        <w:t xml:space="preserve"> </w:t>
      </w:r>
      <w:r w:rsidR="001C1ACC" w:rsidRPr="00E150F3">
        <w:rPr>
          <w:bCs/>
          <w:sz w:val="23"/>
          <w:szCs w:val="23"/>
          <w:lang w:val="en-GB"/>
        </w:rPr>
        <w:t>Indonesia</w:t>
      </w:r>
    </w:p>
    <w:p w:rsidR="00D07100" w:rsidRPr="00E150F3" w:rsidRDefault="00D07100" w:rsidP="00FD3032">
      <w:pPr>
        <w:tabs>
          <w:tab w:val="left" w:pos="-1440"/>
          <w:tab w:val="left" w:pos="-720"/>
          <w:tab w:val="left" w:pos="1152"/>
          <w:tab w:val="left" w:pos="2592"/>
          <w:tab w:val="left" w:pos="4896"/>
          <w:tab w:val="left" w:pos="7776"/>
        </w:tabs>
        <w:suppressAutoHyphens/>
        <w:ind w:right="144"/>
        <w:jc w:val="both"/>
        <w:rPr>
          <w:spacing w:val="-3"/>
          <w:sz w:val="23"/>
          <w:szCs w:val="23"/>
        </w:rPr>
      </w:pPr>
    </w:p>
    <w:p w:rsidR="00B42528" w:rsidRPr="00E150F3" w:rsidRDefault="00B42528" w:rsidP="00FD3032">
      <w:pPr>
        <w:tabs>
          <w:tab w:val="left" w:pos="-1440"/>
          <w:tab w:val="left" w:pos="-720"/>
          <w:tab w:val="left" w:pos="1152"/>
          <w:tab w:val="left" w:pos="2592"/>
          <w:tab w:val="left" w:pos="4896"/>
          <w:tab w:val="left" w:pos="7776"/>
        </w:tabs>
        <w:suppressAutoHyphens/>
        <w:ind w:right="144"/>
        <w:jc w:val="both"/>
        <w:rPr>
          <w:spacing w:val="-3"/>
          <w:sz w:val="23"/>
          <w:szCs w:val="23"/>
        </w:rPr>
      </w:pPr>
      <w:r w:rsidRPr="00E150F3">
        <w:rPr>
          <w:spacing w:val="-3"/>
          <w:sz w:val="23"/>
          <w:szCs w:val="23"/>
        </w:rPr>
        <w:t>AGREED:</w:t>
      </w:r>
    </w:p>
    <w:p w:rsidR="00B42528" w:rsidRPr="00E150F3" w:rsidRDefault="003E0B8F" w:rsidP="00FD3032">
      <w:pPr>
        <w:tabs>
          <w:tab w:val="left" w:pos="-1440"/>
          <w:tab w:val="left" w:pos="-720"/>
          <w:tab w:val="left" w:pos="1152"/>
          <w:tab w:val="left" w:pos="2592"/>
          <w:tab w:val="left" w:pos="4896"/>
          <w:tab w:val="left" w:pos="7776"/>
        </w:tabs>
        <w:suppressAutoHyphens/>
        <w:ind w:right="144"/>
        <w:jc w:val="both"/>
        <w:rPr>
          <w:b/>
          <w:caps/>
          <w:spacing w:val="-3"/>
          <w:sz w:val="23"/>
          <w:szCs w:val="23"/>
        </w:rPr>
      </w:pPr>
      <w:r w:rsidRPr="00E150F3">
        <w:rPr>
          <w:b/>
          <w:caps/>
          <w:spacing w:val="-3"/>
          <w:sz w:val="23"/>
          <w:szCs w:val="23"/>
        </w:rPr>
        <w:t xml:space="preserve">Republic of </w:t>
      </w:r>
      <w:r w:rsidR="00E66C2F" w:rsidRPr="00E150F3">
        <w:rPr>
          <w:b/>
          <w:caps/>
          <w:spacing w:val="-3"/>
          <w:sz w:val="23"/>
          <w:szCs w:val="23"/>
        </w:rPr>
        <w:t>INDONESIA</w:t>
      </w:r>
    </w:p>
    <w:p w:rsidR="00B42528" w:rsidRPr="00E150F3" w:rsidRDefault="00B42528" w:rsidP="00FD3032">
      <w:pPr>
        <w:tabs>
          <w:tab w:val="left" w:pos="-1440"/>
          <w:tab w:val="left" w:pos="-720"/>
          <w:tab w:val="left" w:pos="1152"/>
          <w:tab w:val="left" w:pos="2592"/>
          <w:tab w:val="left" w:pos="4896"/>
          <w:tab w:val="left" w:pos="7776"/>
        </w:tabs>
        <w:suppressAutoHyphens/>
        <w:ind w:right="144"/>
        <w:jc w:val="both"/>
        <w:rPr>
          <w:spacing w:val="-3"/>
          <w:sz w:val="23"/>
          <w:szCs w:val="23"/>
        </w:rPr>
      </w:pPr>
    </w:p>
    <w:p w:rsidR="003E0B8F" w:rsidRPr="00E150F3" w:rsidRDefault="003E0B8F" w:rsidP="00FD3032">
      <w:pPr>
        <w:tabs>
          <w:tab w:val="left" w:pos="-1440"/>
          <w:tab w:val="left" w:pos="-720"/>
          <w:tab w:val="left" w:pos="1152"/>
          <w:tab w:val="left" w:pos="2592"/>
          <w:tab w:val="left" w:pos="4896"/>
          <w:tab w:val="left" w:pos="7776"/>
        </w:tabs>
        <w:suppressAutoHyphens/>
        <w:ind w:right="144"/>
        <w:jc w:val="both"/>
        <w:rPr>
          <w:spacing w:val="-3"/>
          <w:sz w:val="23"/>
          <w:szCs w:val="23"/>
        </w:rPr>
      </w:pPr>
    </w:p>
    <w:p w:rsidR="003E0B8F" w:rsidRPr="00E150F3" w:rsidRDefault="003E0B8F" w:rsidP="00FD3032">
      <w:pPr>
        <w:tabs>
          <w:tab w:val="left" w:pos="-1440"/>
          <w:tab w:val="left" w:pos="-720"/>
          <w:tab w:val="left" w:pos="1152"/>
          <w:tab w:val="left" w:pos="2592"/>
          <w:tab w:val="left" w:pos="4896"/>
          <w:tab w:val="left" w:pos="7776"/>
        </w:tabs>
        <w:suppressAutoHyphens/>
        <w:ind w:right="144"/>
        <w:jc w:val="both"/>
        <w:rPr>
          <w:spacing w:val="-3"/>
          <w:sz w:val="23"/>
          <w:szCs w:val="23"/>
        </w:rPr>
      </w:pPr>
    </w:p>
    <w:p w:rsidR="00B42528" w:rsidRPr="00E150F3" w:rsidRDefault="00B42528" w:rsidP="00FD3032">
      <w:pPr>
        <w:tabs>
          <w:tab w:val="left" w:pos="-1440"/>
          <w:tab w:val="left" w:pos="-720"/>
          <w:tab w:val="left" w:pos="720"/>
          <w:tab w:val="left" w:pos="4896"/>
          <w:tab w:val="left" w:pos="7776"/>
        </w:tabs>
        <w:suppressAutoHyphens/>
        <w:ind w:right="144"/>
        <w:jc w:val="both"/>
        <w:rPr>
          <w:spacing w:val="-3"/>
          <w:sz w:val="23"/>
          <w:szCs w:val="23"/>
        </w:rPr>
      </w:pPr>
      <w:r w:rsidRPr="00E150F3">
        <w:rPr>
          <w:spacing w:val="-3"/>
          <w:sz w:val="23"/>
          <w:szCs w:val="23"/>
        </w:rPr>
        <w:t>By</w:t>
      </w:r>
      <w:proofErr w:type="gramStart"/>
      <w:r w:rsidR="008B640D" w:rsidRPr="00E150F3">
        <w:rPr>
          <w:spacing w:val="-3"/>
          <w:sz w:val="23"/>
          <w:szCs w:val="23"/>
        </w:rPr>
        <w:t>:</w:t>
      </w:r>
      <w:r w:rsidR="00B52185">
        <w:rPr>
          <w:spacing w:val="-3"/>
          <w:sz w:val="23"/>
          <w:szCs w:val="23"/>
        </w:rPr>
        <w:t>/</w:t>
      </w:r>
      <w:proofErr w:type="gramEnd"/>
      <w:r w:rsidR="00B52185">
        <w:rPr>
          <w:spacing w:val="-3"/>
          <w:sz w:val="23"/>
          <w:szCs w:val="23"/>
        </w:rPr>
        <w:t>s/</w:t>
      </w:r>
      <w:r w:rsidR="00334527" w:rsidRPr="00E150F3">
        <w:rPr>
          <w:spacing w:val="-3"/>
          <w:sz w:val="23"/>
          <w:szCs w:val="23"/>
        </w:rPr>
        <w:tab/>
      </w:r>
      <w:proofErr w:type="spellStart"/>
      <w:r w:rsidR="00612264" w:rsidRPr="00612264">
        <w:rPr>
          <w:spacing w:val="-3"/>
          <w:sz w:val="23"/>
          <w:szCs w:val="23"/>
          <w:u w:val="single"/>
        </w:rPr>
        <w:t>Rahmat</w:t>
      </w:r>
      <w:proofErr w:type="spellEnd"/>
      <w:r w:rsidR="00612264" w:rsidRPr="00612264">
        <w:rPr>
          <w:spacing w:val="-3"/>
          <w:sz w:val="23"/>
          <w:szCs w:val="23"/>
          <w:u w:val="single"/>
        </w:rPr>
        <w:t xml:space="preserve"> </w:t>
      </w:r>
      <w:proofErr w:type="spellStart"/>
      <w:r w:rsidR="00612264" w:rsidRPr="00612264">
        <w:rPr>
          <w:spacing w:val="-3"/>
          <w:sz w:val="23"/>
          <w:szCs w:val="23"/>
          <w:u w:val="single"/>
        </w:rPr>
        <w:t>Waluyanto</w:t>
      </w:r>
      <w:proofErr w:type="spellEnd"/>
      <w:r w:rsidR="00B52185">
        <w:rPr>
          <w:spacing w:val="-3"/>
          <w:sz w:val="23"/>
          <w:szCs w:val="23"/>
          <w:u w:val="single"/>
        </w:rPr>
        <w:t>___________</w:t>
      </w:r>
    </w:p>
    <w:p w:rsidR="00601350" w:rsidRPr="00E150F3" w:rsidRDefault="00601350" w:rsidP="00FD3032">
      <w:pPr>
        <w:tabs>
          <w:tab w:val="left" w:pos="-1440"/>
          <w:tab w:val="left" w:pos="-720"/>
          <w:tab w:val="left" w:pos="720"/>
          <w:tab w:val="left" w:pos="2592"/>
          <w:tab w:val="left" w:pos="4896"/>
          <w:tab w:val="left" w:pos="7776"/>
        </w:tabs>
        <w:suppressAutoHyphens/>
        <w:ind w:right="144"/>
        <w:jc w:val="both"/>
        <w:rPr>
          <w:spacing w:val="-3"/>
          <w:sz w:val="23"/>
          <w:szCs w:val="23"/>
        </w:rPr>
      </w:pPr>
    </w:p>
    <w:p w:rsidR="00B42528" w:rsidRPr="00E150F3" w:rsidRDefault="00B42528" w:rsidP="00FD3032">
      <w:pPr>
        <w:tabs>
          <w:tab w:val="left" w:pos="-1440"/>
          <w:tab w:val="left" w:pos="-720"/>
          <w:tab w:val="left" w:pos="720"/>
          <w:tab w:val="left" w:pos="2592"/>
          <w:tab w:val="left" w:pos="4896"/>
          <w:tab w:val="left" w:pos="7776"/>
        </w:tabs>
        <w:suppressAutoHyphens/>
        <w:ind w:right="144"/>
        <w:jc w:val="both"/>
        <w:rPr>
          <w:spacing w:val="-3"/>
          <w:sz w:val="23"/>
          <w:szCs w:val="23"/>
        </w:rPr>
      </w:pPr>
      <w:r w:rsidRPr="00E150F3">
        <w:rPr>
          <w:spacing w:val="-3"/>
          <w:sz w:val="23"/>
          <w:szCs w:val="23"/>
        </w:rPr>
        <w:t>Name</w:t>
      </w:r>
      <w:r w:rsidR="00334527" w:rsidRPr="00E150F3">
        <w:rPr>
          <w:spacing w:val="-3"/>
          <w:sz w:val="23"/>
          <w:szCs w:val="23"/>
        </w:rPr>
        <w:t>:</w:t>
      </w:r>
      <w:r w:rsidR="00334527" w:rsidRPr="00E150F3">
        <w:rPr>
          <w:spacing w:val="-3"/>
          <w:sz w:val="23"/>
          <w:szCs w:val="23"/>
        </w:rPr>
        <w:tab/>
      </w:r>
      <w:proofErr w:type="spellStart"/>
      <w:r w:rsidR="00B52185" w:rsidRPr="00B52185">
        <w:rPr>
          <w:spacing w:val="-3"/>
          <w:sz w:val="23"/>
          <w:szCs w:val="23"/>
          <w:u w:val="single"/>
        </w:rPr>
        <w:t>Rahmat</w:t>
      </w:r>
      <w:proofErr w:type="spellEnd"/>
      <w:r w:rsidR="00B52185" w:rsidRPr="00B52185">
        <w:rPr>
          <w:spacing w:val="-3"/>
          <w:sz w:val="23"/>
          <w:szCs w:val="23"/>
          <w:u w:val="single"/>
        </w:rPr>
        <w:t xml:space="preserve"> </w:t>
      </w:r>
      <w:proofErr w:type="spellStart"/>
      <w:r w:rsidR="00B52185" w:rsidRPr="00B52185">
        <w:rPr>
          <w:spacing w:val="-3"/>
          <w:sz w:val="23"/>
          <w:szCs w:val="23"/>
          <w:u w:val="single"/>
        </w:rPr>
        <w:t>Waluyanto</w:t>
      </w:r>
      <w:proofErr w:type="spellEnd"/>
      <w:r w:rsidR="00B52185">
        <w:rPr>
          <w:spacing w:val="-3"/>
          <w:sz w:val="23"/>
          <w:szCs w:val="23"/>
          <w:u w:val="single"/>
        </w:rPr>
        <w:t>___________</w:t>
      </w:r>
    </w:p>
    <w:p w:rsidR="00601350" w:rsidRPr="00E150F3" w:rsidRDefault="00601350" w:rsidP="00FD3032">
      <w:pPr>
        <w:tabs>
          <w:tab w:val="left" w:pos="-1440"/>
          <w:tab w:val="left" w:pos="-720"/>
          <w:tab w:val="left" w:pos="720"/>
          <w:tab w:val="left" w:pos="2592"/>
          <w:tab w:val="left" w:pos="4896"/>
          <w:tab w:val="left" w:pos="7776"/>
        </w:tabs>
        <w:suppressAutoHyphens/>
        <w:ind w:right="144"/>
        <w:jc w:val="both"/>
        <w:rPr>
          <w:spacing w:val="-3"/>
          <w:sz w:val="23"/>
          <w:szCs w:val="23"/>
        </w:rPr>
      </w:pPr>
    </w:p>
    <w:p w:rsidR="00B42528" w:rsidRPr="00E150F3" w:rsidRDefault="00B42528" w:rsidP="00FD3032">
      <w:pPr>
        <w:tabs>
          <w:tab w:val="left" w:pos="-1440"/>
          <w:tab w:val="left" w:pos="-720"/>
          <w:tab w:val="left" w:pos="720"/>
          <w:tab w:val="left" w:pos="2592"/>
          <w:tab w:val="left" w:pos="4896"/>
          <w:tab w:val="left" w:pos="7776"/>
        </w:tabs>
        <w:suppressAutoHyphens/>
        <w:ind w:right="144"/>
        <w:jc w:val="both"/>
        <w:rPr>
          <w:spacing w:val="-3"/>
          <w:sz w:val="23"/>
          <w:szCs w:val="23"/>
        </w:rPr>
      </w:pPr>
      <w:r w:rsidRPr="00E150F3">
        <w:rPr>
          <w:spacing w:val="-3"/>
          <w:sz w:val="23"/>
          <w:szCs w:val="23"/>
        </w:rPr>
        <w:t>Title</w:t>
      </w:r>
      <w:r w:rsidR="00334527" w:rsidRPr="00E150F3">
        <w:rPr>
          <w:spacing w:val="-3"/>
          <w:sz w:val="23"/>
          <w:szCs w:val="23"/>
        </w:rPr>
        <w:t>:</w:t>
      </w:r>
      <w:r w:rsidRPr="00E150F3">
        <w:rPr>
          <w:spacing w:val="-3"/>
          <w:sz w:val="23"/>
          <w:szCs w:val="23"/>
        </w:rPr>
        <w:t xml:space="preserve"> </w:t>
      </w:r>
      <w:r w:rsidR="00334527" w:rsidRPr="00E150F3">
        <w:rPr>
          <w:spacing w:val="-3"/>
          <w:sz w:val="23"/>
          <w:szCs w:val="23"/>
        </w:rPr>
        <w:tab/>
      </w:r>
      <w:r w:rsidR="00612264" w:rsidRPr="00612264">
        <w:rPr>
          <w:spacing w:val="-3"/>
          <w:sz w:val="23"/>
          <w:szCs w:val="23"/>
          <w:u w:val="single"/>
        </w:rPr>
        <w:t>General Director of Debt Manage</w:t>
      </w:r>
      <w:r w:rsidR="00B52185">
        <w:rPr>
          <w:spacing w:val="-3"/>
          <w:sz w:val="23"/>
          <w:szCs w:val="23"/>
        </w:rPr>
        <w:t>ment</w:t>
      </w:r>
    </w:p>
    <w:p w:rsidR="00601350" w:rsidRPr="00E150F3" w:rsidRDefault="00601350" w:rsidP="00FD3032">
      <w:pPr>
        <w:tabs>
          <w:tab w:val="left" w:pos="-1440"/>
          <w:tab w:val="left" w:pos="-720"/>
          <w:tab w:val="left" w:pos="720"/>
          <w:tab w:val="left" w:pos="2592"/>
          <w:tab w:val="left" w:pos="4896"/>
          <w:tab w:val="left" w:pos="7776"/>
        </w:tabs>
        <w:suppressAutoHyphens/>
        <w:ind w:right="144"/>
        <w:jc w:val="both"/>
        <w:rPr>
          <w:spacing w:val="-3"/>
          <w:sz w:val="23"/>
          <w:szCs w:val="23"/>
        </w:rPr>
      </w:pPr>
    </w:p>
    <w:p w:rsidR="00B42528" w:rsidRPr="00E150F3" w:rsidRDefault="00B42528" w:rsidP="00FD3032">
      <w:pPr>
        <w:tabs>
          <w:tab w:val="left" w:pos="-1440"/>
          <w:tab w:val="left" w:pos="-720"/>
          <w:tab w:val="left" w:pos="720"/>
          <w:tab w:val="left" w:pos="2592"/>
          <w:tab w:val="left" w:pos="4896"/>
          <w:tab w:val="left" w:pos="7776"/>
        </w:tabs>
        <w:suppressAutoHyphens/>
        <w:ind w:right="144"/>
        <w:jc w:val="both"/>
        <w:rPr>
          <w:spacing w:val="-3"/>
          <w:sz w:val="23"/>
          <w:szCs w:val="23"/>
        </w:rPr>
      </w:pPr>
      <w:r w:rsidRPr="00E150F3">
        <w:rPr>
          <w:spacing w:val="-3"/>
          <w:sz w:val="23"/>
          <w:szCs w:val="23"/>
        </w:rPr>
        <w:t>Date</w:t>
      </w:r>
      <w:r w:rsidR="00C97395" w:rsidRPr="00E150F3">
        <w:rPr>
          <w:spacing w:val="-3"/>
          <w:sz w:val="23"/>
          <w:szCs w:val="23"/>
        </w:rPr>
        <w:t>:</w:t>
      </w:r>
      <w:r w:rsidRPr="00E150F3">
        <w:rPr>
          <w:spacing w:val="-3"/>
          <w:sz w:val="23"/>
          <w:szCs w:val="23"/>
        </w:rPr>
        <w:t xml:space="preserve"> </w:t>
      </w:r>
      <w:r w:rsidR="00334527" w:rsidRPr="00E150F3">
        <w:rPr>
          <w:spacing w:val="-3"/>
          <w:sz w:val="23"/>
          <w:szCs w:val="23"/>
        </w:rPr>
        <w:tab/>
      </w:r>
      <w:r w:rsidR="00612264" w:rsidRPr="00612264">
        <w:rPr>
          <w:spacing w:val="-3"/>
          <w:sz w:val="23"/>
          <w:szCs w:val="23"/>
          <w:u w:val="single"/>
        </w:rPr>
        <w:t>June 10, 2011</w:t>
      </w:r>
      <w:r w:rsidR="00B52185">
        <w:rPr>
          <w:spacing w:val="-3"/>
          <w:sz w:val="23"/>
          <w:szCs w:val="23"/>
          <w:u w:val="single"/>
        </w:rPr>
        <w:t>_______________</w:t>
      </w:r>
    </w:p>
    <w:p w:rsidR="00BD03C9" w:rsidRPr="00E150F3" w:rsidRDefault="00BD03C9" w:rsidP="00FD3032">
      <w:pPr>
        <w:tabs>
          <w:tab w:val="left" w:pos="-1440"/>
          <w:tab w:val="left" w:pos="-720"/>
        </w:tabs>
        <w:suppressAutoHyphens/>
        <w:ind w:right="144"/>
        <w:jc w:val="both"/>
        <w:rPr>
          <w:spacing w:val="-3"/>
          <w:sz w:val="23"/>
          <w:szCs w:val="23"/>
        </w:rPr>
      </w:pPr>
    </w:p>
    <w:p w:rsidR="00E150F3" w:rsidRDefault="00E150F3" w:rsidP="00FD3032">
      <w:pPr>
        <w:tabs>
          <w:tab w:val="left" w:pos="-1440"/>
          <w:tab w:val="left" w:pos="-720"/>
        </w:tabs>
        <w:suppressAutoHyphens/>
        <w:ind w:right="144"/>
        <w:jc w:val="both"/>
        <w:rPr>
          <w:spacing w:val="-3"/>
          <w:sz w:val="23"/>
          <w:szCs w:val="23"/>
          <w:u w:val="single"/>
        </w:rPr>
      </w:pPr>
    </w:p>
    <w:p w:rsidR="00C61454" w:rsidRDefault="00C61454" w:rsidP="00FD3032">
      <w:pPr>
        <w:tabs>
          <w:tab w:val="left" w:pos="-1440"/>
          <w:tab w:val="left" w:pos="-720"/>
        </w:tabs>
        <w:suppressAutoHyphens/>
        <w:ind w:right="144"/>
        <w:jc w:val="both"/>
        <w:rPr>
          <w:spacing w:val="-3"/>
          <w:sz w:val="23"/>
          <w:szCs w:val="23"/>
          <w:u w:val="single"/>
        </w:rPr>
      </w:pPr>
    </w:p>
    <w:p w:rsidR="00C61454" w:rsidRDefault="00C61454" w:rsidP="00FD3032">
      <w:pPr>
        <w:tabs>
          <w:tab w:val="left" w:pos="-1440"/>
          <w:tab w:val="left" w:pos="-720"/>
        </w:tabs>
        <w:suppressAutoHyphens/>
        <w:ind w:right="144"/>
        <w:jc w:val="both"/>
        <w:rPr>
          <w:spacing w:val="-3"/>
          <w:sz w:val="23"/>
          <w:szCs w:val="23"/>
          <w:u w:val="single"/>
        </w:rPr>
      </w:pPr>
    </w:p>
    <w:p w:rsidR="00C61454" w:rsidRDefault="00C61454" w:rsidP="00FD3032">
      <w:pPr>
        <w:tabs>
          <w:tab w:val="left" w:pos="-1440"/>
          <w:tab w:val="left" w:pos="-720"/>
        </w:tabs>
        <w:suppressAutoHyphens/>
        <w:ind w:right="144"/>
        <w:jc w:val="both"/>
        <w:rPr>
          <w:spacing w:val="-3"/>
          <w:sz w:val="23"/>
          <w:szCs w:val="23"/>
          <w:u w:val="single"/>
        </w:rPr>
      </w:pPr>
    </w:p>
    <w:p w:rsidR="00C61454" w:rsidRDefault="00C61454" w:rsidP="00FD3032">
      <w:pPr>
        <w:tabs>
          <w:tab w:val="left" w:pos="-1440"/>
          <w:tab w:val="left" w:pos="-720"/>
        </w:tabs>
        <w:suppressAutoHyphens/>
        <w:ind w:right="144"/>
        <w:jc w:val="both"/>
        <w:rPr>
          <w:spacing w:val="-3"/>
          <w:sz w:val="23"/>
          <w:szCs w:val="23"/>
          <w:u w:val="single"/>
        </w:rPr>
      </w:pPr>
    </w:p>
    <w:p w:rsidR="00C61454" w:rsidRDefault="00C61454" w:rsidP="00FD3032">
      <w:pPr>
        <w:tabs>
          <w:tab w:val="left" w:pos="-1440"/>
          <w:tab w:val="left" w:pos="-720"/>
        </w:tabs>
        <w:suppressAutoHyphens/>
        <w:ind w:right="144"/>
        <w:jc w:val="both"/>
        <w:rPr>
          <w:spacing w:val="-3"/>
          <w:sz w:val="23"/>
          <w:szCs w:val="23"/>
          <w:u w:val="single"/>
        </w:rPr>
      </w:pPr>
    </w:p>
    <w:p w:rsidR="00C61454" w:rsidRDefault="00C61454" w:rsidP="00FD3032">
      <w:pPr>
        <w:tabs>
          <w:tab w:val="left" w:pos="-1440"/>
          <w:tab w:val="left" w:pos="-720"/>
        </w:tabs>
        <w:suppressAutoHyphens/>
        <w:ind w:right="144"/>
        <w:jc w:val="both"/>
        <w:rPr>
          <w:spacing w:val="-3"/>
          <w:sz w:val="23"/>
          <w:szCs w:val="23"/>
          <w:u w:val="single"/>
        </w:rPr>
      </w:pPr>
    </w:p>
    <w:p w:rsidR="00C61454" w:rsidRDefault="00C61454" w:rsidP="00FD3032">
      <w:pPr>
        <w:tabs>
          <w:tab w:val="left" w:pos="-1440"/>
          <w:tab w:val="left" w:pos="-720"/>
        </w:tabs>
        <w:suppressAutoHyphens/>
        <w:ind w:right="144"/>
        <w:jc w:val="both"/>
        <w:rPr>
          <w:spacing w:val="-3"/>
          <w:sz w:val="23"/>
          <w:szCs w:val="23"/>
          <w:u w:val="single"/>
        </w:rPr>
      </w:pPr>
    </w:p>
    <w:p w:rsidR="00C61454" w:rsidRDefault="00C61454" w:rsidP="00FD3032">
      <w:pPr>
        <w:tabs>
          <w:tab w:val="left" w:pos="-1440"/>
          <w:tab w:val="left" w:pos="-720"/>
        </w:tabs>
        <w:suppressAutoHyphens/>
        <w:ind w:right="144"/>
        <w:jc w:val="both"/>
        <w:rPr>
          <w:spacing w:val="-3"/>
          <w:sz w:val="23"/>
          <w:szCs w:val="23"/>
          <w:u w:val="single"/>
        </w:rPr>
      </w:pPr>
    </w:p>
    <w:p w:rsidR="00B42528" w:rsidRPr="00E150F3" w:rsidRDefault="00B42528" w:rsidP="00FD3032">
      <w:pPr>
        <w:tabs>
          <w:tab w:val="left" w:pos="-1440"/>
          <w:tab w:val="left" w:pos="-720"/>
        </w:tabs>
        <w:suppressAutoHyphens/>
        <w:ind w:right="144"/>
        <w:jc w:val="both"/>
        <w:rPr>
          <w:spacing w:val="-3"/>
          <w:sz w:val="23"/>
          <w:szCs w:val="23"/>
        </w:rPr>
      </w:pPr>
      <w:r w:rsidRPr="00E150F3">
        <w:rPr>
          <w:spacing w:val="-3"/>
          <w:sz w:val="23"/>
          <w:szCs w:val="23"/>
          <w:u w:val="single"/>
        </w:rPr>
        <w:t>Enclosures</w:t>
      </w:r>
      <w:r w:rsidRPr="00E150F3">
        <w:rPr>
          <w:spacing w:val="-3"/>
          <w:sz w:val="23"/>
          <w:szCs w:val="23"/>
        </w:rPr>
        <w:t xml:space="preserve">:  </w:t>
      </w:r>
    </w:p>
    <w:p w:rsidR="00B42528" w:rsidRPr="00E150F3" w:rsidRDefault="00B42528" w:rsidP="00FD3032">
      <w:pPr>
        <w:tabs>
          <w:tab w:val="left" w:pos="-1440"/>
          <w:tab w:val="left" w:pos="-720"/>
        </w:tabs>
        <w:suppressAutoHyphens/>
        <w:ind w:right="144"/>
        <w:jc w:val="both"/>
        <w:rPr>
          <w:spacing w:val="-3"/>
          <w:sz w:val="23"/>
          <w:szCs w:val="23"/>
        </w:rPr>
      </w:pPr>
    </w:p>
    <w:p w:rsidR="00B42528" w:rsidRPr="00E150F3" w:rsidRDefault="00B42528" w:rsidP="00FD3032">
      <w:pPr>
        <w:tabs>
          <w:tab w:val="left" w:pos="-1440"/>
          <w:tab w:val="left" w:pos="-720"/>
        </w:tabs>
        <w:suppressAutoHyphens/>
        <w:ind w:right="144"/>
        <w:jc w:val="both"/>
        <w:rPr>
          <w:bCs/>
          <w:color w:val="000000"/>
          <w:sz w:val="23"/>
          <w:szCs w:val="23"/>
        </w:rPr>
      </w:pPr>
      <w:r w:rsidRPr="00E150F3">
        <w:rPr>
          <w:spacing w:val="-3"/>
          <w:sz w:val="23"/>
          <w:szCs w:val="23"/>
        </w:rPr>
        <w:tab/>
      </w:r>
      <w:r w:rsidRPr="00E150F3">
        <w:rPr>
          <w:color w:val="000000"/>
          <w:spacing w:val="-3"/>
          <w:sz w:val="23"/>
          <w:szCs w:val="23"/>
        </w:rPr>
        <w:t xml:space="preserve">(1) </w:t>
      </w:r>
      <w:r w:rsidRPr="00E150F3">
        <w:rPr>
          <w:color w:val="000000"/>
          <w:spacing w:val="-3"/>
          <w:sz w:val="23"/>
          <w:szCs w:val="23"/>
        </w:rPr>
        <w:tab/>
      </w:r>
      <w:r w:rsidRPr="00E150F3">
        <w:rPr>
          <w:bCs/>
          <w:color w:val="000000"/>
          <w:sz w:val="23"/>
          <w:szCs w:val="23"/>
        </w:rPr>
        <w:t xml:space="preserve">Standard Conditions for Grants Made by the World Bank </w:t>
      </w:r>
      <w:r w:rsidR="003E0B8F" w:rsidRPr="00E150F3">
        <w:rPr>
          <w:bCs/>
          <w:color w:val="000000"/>
          <w:sz w:val="23"/>
          <w:szCs w:val="23"/>
        </w:rPr>
        <w:t>o</w:t>
      </w:r>
      <w:r w:rsidRPr="00E150F3">
        <w:rPr>
          <w:bCs/>
          <w:color w:val="000000"/>
          <w:sz w:val="23"/>
          <w:szCs w:val="23"/>
        </w:rPr>
        <w:t xml:space="preserve">ut of Various Funds, dated </w:t>
      </w:r>
      <w:r w:rsidR="00717B67" w:rsidRPr="00E150F3">
        <w:rPr>
          <w:color w:val="000000"/>
          <w:sz w:val="23"/>
          <w:szCs w:val="23"/>
          <w:lang w:eastAsia="ja-JP"/>
        </w:rPr>
        <w:t>July 31, 2010</w:t>
      </w:r>
      <w:r w:rsidR="003E0B8F" w:rsidRPr="00E150F3">
        <w:rPr>
          <w:color w:val="000000"/>
          <w:sz w:val="23"/>
          <w:szCs w:val="23"/>
          <w:lang w:eastAsia="ja-JP"/>
        </w:rPr>
        <w:t>.</w:t>
      </w:r>
    </w:p>
    <w:p w:rsidR="00E150F3" w:rsidRDefault="00E150F3" w:rsidP="00FD3032">
      <w:pPr>
        <w:tabs>
          <w:tab w:val="left" w:pos="-1440"/>
          <w:tab w:val="left" w:pos="-720"/>
        </w:tabs>
        <w:suppressAutoHyphens/>
        <w:ind w:right="144"/>
        <w:jc w:val="both"/>
        <w:rPr>
          <w:bCs/>
          <w:color w:val="000000"/>
          <w:sz w:val="23"/>
          <w:szCs w:val="23"/>
        </w:rPr>
      </w:pPr>
    </w:p>
    <w:p w:rsidR="00B42528" w:rsidRPr="00E150F3" w:rsidRDefault="00E150F3" w:rsidP="00FD3032">
      <w:pPr>
        <w:tabs>
          <w:tab w:val="left" w:pos="-1440"/>
          <w:tab w:val="left" w:pos="-720"/>
        </w:tabs>
        <w:suppressAutoHyphens/>
        <w:ind w:right="144"/>
        <w:jc w:val="both"/>
        <w:rPr>
          <w:bCs/>
          <w:color w:val="000000"/>
          <w:sz w:val="23"/>
          <w:szCs w:val="23"/>
        </w:rPr>
      </w:pPr>
      <w:r>
        <w:rPr>
          <w:bCs/>
          <w:color w:val="000000"/>
          <w:sz w:val="23"/>
          <w:szCs w:val="23"/>
        </w:rPr>
        <w:tab/>
      </w:r>
      <w:r w:rsidR="00147C2F" w:rsidRPr="00E150F3">
        <w:rPr>
          <w:bCs/>
          <w:color w:val="000000"/>
          <w:sz w:val="23"/>
          <w:szCs w:val="23"/>
        </w:rPr>
        <w:t>(2)</w:t>
      </w:r>
      <w:r w:rsidR="00147C2F" w:rsidRPr="00E150F3">
        <w:rPr>
          <w:bCs/>
          <w:color w:val="000000"/>
          <w:sz w:val="23"/>
          <w:szCs w:val="23"/>
        </w:rPr>
        <w:tab/>
        <w:t>Disbursement Letter of even date herewith,</w:t>
      </w:r>
      <w:r w:rsidR="00B42528" w:rsidRPr="00E150F3">
        <w:rPr>
          <w:bCs/>
          <w:color w:val="000000"/>
          <w:sz w:val="23"/>
          <w:szCs w:val="23"/>
        </w:rPr>
        <w:t xml:space="preserve"> together with World Bank Disbursement Guidelines for Projects, dated May 1, 2006</w:t>
      </w:r>
      <w:r w:rsidR="00334527" w:rsidRPr="00E150F3">
        <w:rPr>
          <w:bCs/>
          <w:color w:val="000000"/>
          <w:sz w:val="23"/>
          <w:szCs w:val="23"/>
        </w:rPr>
        <w:t>.</w:t>
      </w:r>
    </w:p>
    <w:p w:rsidR="00B42528" w:rsidRPr="00E150F3" w:rsidRDefault="00B42528" w:rsidP="00FD3032">
      <w:pPr>
        <w:tabs>
          <w:tab w:val="left" w:pos="-1440"/>
          <w:tab w:val="left" w:pos="-720"/>
        </w:tabs>
        <w:suppressAutoHyphens/>
        <w:ind w:right="144"/>
        <w:jc w:val="both"/>
        <w:rPr>
          <w:b/>
          <w:sz w:val="23"/>
          <w:szCs w:val="23"/>
        </w:rPr>
      </w:pPr>
    </w:p>
    <w:p w:rsidR="00B576C0" w:rsidRPr="00E150F3" w:rsidRDefault="00B576C0" w:rsidP="003B210A">
      <w:pPr>
        <w:ind w:left="720" w:hanging="720"/>
        <w:jc w:val="both"/>
        <w:rPr>
          <w:sz w:val="23"/>
          <w:szCs w:val="23"/>
        </w:rPr>
      </w:pPr>
    </w:p>
    <w:p w:rsidR="00B576C0" w:rsidRPr="00E150F3" w:rsidRDefault="00B576C0" w:rsidP="003B210A">
      <w:pPr>
        <w:ind w:left="720" w:hanging="720"/>
        <w:jc w:val="both"/>
        <w:rPr>
          <w:sz w:val="23"/>
          <w:szCs w:val="23"/>
        </w:rPr>
      </w:pPr>
    </w:p>
    <w:p w:rsidR="001C2B91" w:rsidRPr="00E150F3" w:rsidRDefault="003B210A" w:rsidP="003B210A">
      <w:pPr>
        <w:ind w:left="720" w:hanging="720"/>
        <w:jc w:val="both"/>
        <w:rPr>
          <w:b/>
          <w:sz w:val="23"/>
          <w:szCs w:val="23"/>
        </w:rPr>
      </w:pPr>
      <w:r w:rsidRPr="00E150F3">
        <w:rPr>
          <w:sz w:val="23"/>
          <w:szCs w:val="23"/>
        </w:rPr>
        <w:t>Cc:</w:t>
      </w:r>
      <w:r w:rsidRPr="00E150F3">
        <w:rPr>
          <w:sz w:val="23"/>
          <w:szCs w:val="23"/>
        </w:rPr>
        <w:tab/>
        <w:t xml:space="preserve">Mr. </w:t>
      </w:r>
      <w:proofErr w:type="spellStart"/>
      <w:r w:rsidRPr="00E150F3">
        <w:rPr>
          <w:sz w:val="23"/>
          <w:szCs w:val="23"/>
        </w:rPr>
        <w:t>Widjanarko</w:t>
      </w:r>
      <w:proofErr w:type="spellEnd"/>
      <w:r w:rsidRPr="00E150F3">
        <w:rPr>
          <w:sz w:val="23"/>
          <w:szCs w:val="23"/>
        </w:rPr>
        <w:t>, Acting Director of Funds, Directorate of Funds, Directorate General of Debt Management, Ministry of Finance</w:t>
      </w:r>
      <w:r w:rsidR="001C2B91" w:rsidRPr="00E150F3">
        <w:rPr>
          <w:b/>
          <w:sz w:val="23"/>
          <w:szCs w:val="23"/>
        </w:rPr>
        <w:br w:type="page"/>
      </w:r>
    </w:p>
    <w:p w:rsidR="00B52185" w:rsidRDefault="00B52185" w:rsidP="00FD3032">
      <w:pPr>
        <w:jc w:val="right"/>
        <w:rPr>
          <w:b/>
          <w:sz w:val="22"/>
          <w:szCs w:val="22"/>
        </w:rPr>
        <w:sectPr w:rsidR="00B52185" w:rsidSect="00B5218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800" w:bottom="1440" w:left="1800" w:header="720" w:footer="390" w:gutter="0"/>
          <w:cols w:space="720"/>
          <w:titlePg/>
          <w:docGrid w:linePitch="272"/>
        </w:sectPr>
      </w:pPr>
    </w:p>
    <w:p w:rsidR="00B42528" w:rsidRPr="00305325" w:rsidRDefault="00B42528" w:rsidP="00FD3032">
      <w:pPr>
        <w:jc w:val="right"/>
        <w:rPr>
          <w:b/>
          <w:sz w:val="22"/>
          <w:szCs w:val="22"/>
        </w:rPr>
      </w:pPr>
      <w:r w:rsidRPr="005D1043">
        <w:rPr>
          <w:b/>
          <w:sz w:val="22"/>
          <w:szCs w:val="22"/>
        </w:rPr>
        <w:lastRenderedPageBreak/>
        <w:t>ANNEX</w:t>
      </w:r>
    </w:p>
    <w:p w:rsidR="002B7D74" w:rsidRPr="00305325" w:rsidRDefault="002B7D74" w:rsidP="00FD3032">
      <w:pPr>
        <w:pStyle w:val="Heading1"/>
        <w:jc w:val="both"/>
        <w:rPr>
          <w:i w:val="0"/>
          <w:sz w:val="22"/>
          <w:szCs w:val="22"/>
        </w:rPr>
      </w:pPr>
    </w:p>
    <w:p w:rsidR="00EC337F" w:rsidRPr="00305325" w:rsidRDefault="00EC337F" w:rsidP="00FD3032">
      <w:pPr>
        <w:pStyle w:val="Heading1"/>
        <w:rPr>
          <w:b/>
          <w:i w:val="0"/>
          <w:sz w:val="22"/>
          <w:szCs w:val="22"/>
        </w:rPr>
      </w:pPr>
      <w:r w:rsidRPr="00305325">
        <w:rPr>
          <w:b/>
          <w:i w:val="0"/>
          <w:sz w:val="22"/>
          <w:szCs w:val="22"/>
        </w:rPr>
        <w:t>Article I</w:t>
      </w:r>
    </w:p>
    <w:p w:rsidR="00EC337F" w:rsidRPr="00305325" w:rsidRDefault="00EC337F" w:rsidP="00FD3032">
      <w:pPr>
        <w:pStyle w:val="Heading1"/>
        <w:rPr>
          <w:b/>
          <w:i w:val="0"/>
          <w:sz w:val="22"/>
          <w:szCs w:val="22"/>
        </w:rPr>
      </w:pPr>
      <w:r w:rsidRPr="00305325">
        <w:rPr>
          <w:b/>
          <w:i w:val="0"/>
          <w:sz w:val="22"/>
          <w:szCs w:val="22"/>
        </w:rPr>
        <w:t>Standard Conditions; Definitions</w:t>
      </w:r>
    </w:p>
    <w:p w:rsidR="00EC337F" w:rsidRPr="00305325" w:rsidRDefault="00EC337F" w:rsidP="00FD3032">
      <w:pPr>
        <w:jc w:val="both"/>
        <w:rPr>
          <w:sz w:val="22"/>
          <w:szCs w:val="22"/>
        </w:rPr>
      </w:pPr>
    </w:p>
    <w:p w:rsidR="00EC337F" w:rsidRPr="00305325" w:rsidRDefault="00EC337F" w:rsidP="00FD3032">
      <w:pPr>
        <w:pStyle w:val="BodyText"/>
        <w:numPr>
          <w:ilvl w:val="1"/>
          <w:numId w:val="1"/>
        </w:numPr>
        <w:tabs>
          <w:tab w:val="clear" w:pos="1485"/>
          <w:tab w:val="num" w:pos="0"/>
        </w:tabs>
        <w:ind w:left="0" w:firstLine="0"/>
        <w:rPr>
          <w:sz w:val="22"/>
          <w:szCs w:val="22"/>
        </w:rPr>
      </w:pPr>
      <w:r w:rsidRPr="00305325">
        <w:rPr>
          <w:b/>
          <w:i/>
          <w:sz w:val="22"/>
          <w:szCs w:val="22"/>
        </w:rPr>
        <w:t>Standard Conditions</w:t>
      </w:r>
      <w:r w:rsidRPr="00305325">
        <w:rPr>
          <w:sz w:val="22"/>
          <w:szCs w:val="22"/>
        </w:rPr>
        <w:t xml:space="preserve">  </w:t>
      </w:r>
    </w:p>
    <w:p w:rsidR="00EC337F" w:rsidRPr="00305325" w:rsidRDefault="00EC337F" w:rsidP="00FD3032">
      <w:pPr>
        <w:pStyle w:val="BodyText"/>
        <w:rPr>
          <w:sz w:val="22"/>
          <w:szCs w:val="22"/>
        </w:rPr>
      </w:pPr>
    </w:p>
    <w:p w:rsidR="00EC337F" w:rsidRPr="00305325" w:rsidRDefault="00EC337F" w:rsidP="00E73B42">
      <w:pPr>
        <w:pStyle w:val="BodyText"/>
        <w:numPr>
          <w:ilvl w:val="0"/>
          <w:numId w:val="2"/>
        </w:numPr>
        <w:tabs>
          <w:tab w:val="clear" w:pos="1080"/>
          <w:tab w:val="num" w:pos="1440"/>
        </w:tabs>
        <w:ind w:left="1440" w:hanging="720"/>
        <w:rPr>
          <w:sz w:val="22"/>
          <w:szCs w:val="22"/>
        </w:rPr>
      </w:pPr>
      <w:r w:rsidRPr="00305325">
        <w:rPr>
          <w:sz w:val="22"/>
          <w:szCs w:val="22"/>
        </w:rPr>
        <w:t xml:space="preserve">The Standard Conditions </w:t>
      </w:r>
      <w:r w:rsidRPr="00305325">
        <w:rPr>
          <w:bCs/>
          <w:sz w:val="22"/>
          <w:szCs w:val="22"/>
        </w:rPr>
        <w:t xml:space="preserve">for Grants Made by the World Bank </w:t>
      </w:r>
      <w:r w:rsidR="003E0B8F" w:rsidRPr="00305325">
        <w:rPr>
          <w:bCs/>
          <w:sz w:val="22"/>
          <w:szCs w:val="22"/>
        </w:rPr>
        <w:t>o</w:t>
      </w:r>
      <w:r w:rsidRPr="00305325">
        <w:rPr>
          <w:bCs/>
          <w:sz w:val="22"/>
          <w:szCs w:val="22"/>
        </w:rPr>
        <w:t>ut of Various Funds</w:t>
      </w:r>
      <w:r w:rsidRPr="00305325">
        <w:rPr>
          <w:sz w:val="22"/>
          <w:szCs w:val="22"/>
        </w:rPr>
        <w:t xml:space="preserve"> </w:t>
      </w:r>
      <w:r w:rsidRPr="00305325">
        <w:rPr>
          <w:bCs/>
          <w:sz w:val="22"/>
          <w:szCs w:val="22"/>
        </w:rPr>
        <w:t>dated July 31, 2010</w:t>
      </w:r>
      <w:r w:rsidRPr="00305325">
        <w:rPr>
          <w:sz w:val="22"/>
          <w:szCs w:val="22"/>
        </w:rPr>
        <w:t xml:space="preserve"> (“Standard Conditions”), with the modifications set forth in paragraphs (b) and (c) below, constitute an integral part of this Agreement.</w:t>
      </w:r>
    </w:p>
    <w:p w:rsidR="00EC337F" w:rsidRPr="00305325" w:rsidRDefault="00EC337F" w:rsidP="00FD3032">
      <w:pPr>
        <w:pStyle w:val="BodyText"/>
        <w:ind w:left="720"/>
        <w:rPr>
          <w:sz w:val="22"/>
          <w:szCs w:val="22"/>
        </w:rPr>
      </w:pPr>
    </w:p>
    <w:p w:rsidR="00EC337F" w:rsidRPr="00305325" w:rsidRDefault="00EC337F" w:rsidP="00E73B42">
      <w:pPr>
        <w:pStyle w:val="BodyText"/>
        <w:numPr>
          <w:ilvl w:val="0"/>
          <w:numId w:val="2"/>
        </w:numPr>
        <w:tabs>
          <w:tab w:val="clear" w:pos="1080"/>
          <w:tab w:val="num" w:pos="1440"/>
        </w:tabs>
        <w:ind w:left="1440" w:hanging="720"/>
        <w:rPr>
          <w:sz w:val="22"/>
          <w:szCs w:val="22"/>
        </w:rPr>
      </w:pPr>
      <w:r w:rsidRPr="00305325">
        <w:rPr>
          <w:sz w:val="22"/>
          <w:szCs w:val="22"/>
        </w:rPr>
        <w:t xml:space="preserve">The following term shall be inserted as </w:t>
      </w:r>
      <w:r w:rsidR="00B05BDA" w:rsidRPr="00305325">
        <w:rPr>
          <w:sz w:val="22"/>
          <w:szCs w:val="22"/>
        </w:rPr>
        <w:t xml:space="preserve">a new </w:t>
      </w:r>
      <w:r w:rsidR="00E95FAE" w:rsidRPr="00305325">
        <w:rPr>
          <w:sz w:val="22"/>
          <w:szCs w:val="22"/>
        </w:rPr>
        <w:t>paragraph 5bis</w:t>
      </w:r>
      <w:r w:rsidR="00B05BDA" w:rsidRPr="00305325">
        <w:rPr>
          <w:sz w:val="22"/>
          <w:szCs w:val="22"/>
        </w:rPr>
        <w:t xml:space="preserve"> in the Appendix</w:t>
      </w:r>
      <w:r w:rsidRPr="00305325">
        <w:rPr>
          <w:sz w:val="22"/>
          <w:szCs w:val="22"/>
        </w:rPr>
        <w:t>:</w:t>
      </w:r>
    </w:p>
    <w:p w:rsidR="00EC337F" w:rsidRPr="00305325" w:rsidRDefault="00EC337F" w:rsidP="00FD3032">
      <w:pPr>
        <w:jc w:val="both"/>
        <w:rPr>
          <w:sz w:val="22"/>
          <w:szCs w:val="22"/>
        </w:rPr>
      </w:pPr>
    </w:p>
    <w:p w:rsidR="00EC337F" w:rsidRPr="00305325" w:rsidRDefault="00EC3D6C" w:rsidP="00EC3D6C">
      <w:pPr>
        <w:ind w:left="2160" w:hanging="720"/>
        <w:jc w:val="both"/>
        <w:rPr>
          <w:sz w:val="22"/>
          <w:szCs w:val="22"/>
        </w:rPr>
      </w:pPr>
      <w:r w:rsidRPr="00305325">
        <w:rPr>
          <w:sz w:val="22"/>
          <w:szCs w:val="22"/>
        </w:rPr>
        <w:t>“</w:t>
      </w:r>
      <w:r w:rsidR="00E95FAE" w:rsidRPr="00305325">
        <w:rPr>
          <w:sz w:val="22"/>
          <w:szCs w:val="22"/>
        </w:rPr>
        <w:t>5bis</w:t>
      </w:r>
      <w:r w:rsidRPr="00305325">
        <w:rPr>
          <w:sz w:val="22"/>
          <w:szCs w:val="22"/>
        </w:rPr>
        <w:t>.</w:t>
      </w:r>
      <w:r w:rsidRPr="00305325">
        <w:rPr>
          <w:sz w:val="22"/>
          <w:szCs w:val="22"/>
        </w:rPr>
        <w:tab/>
      </w:r>
      <w:r w:rsidR="00EC337F" w:rsidRPr="00305325">
        <w:rPr>
          <w:sz w:val="22"/>
          <w:szCs w:val="22"/>
        </w:rPr>
        <w:t>“Charter” means the Charter Establishing the Forest Carbon Partnership Facility, as may be amended from time to time;”</w:t>
      </w:r>
    </w:p>
    <w:p w:rsidR="00EC337F" w:rsidRPr="00305325" w:rsidRDefault="00EC337F" w:rsidP="00FD3032">
      <w:pPr>
        <w:pStyle w:val="BodyText"/>
        <w:rPr>
          <w:sz w:val="22"/>
          <w:szCs w:val="22"/>
        </w:rPr>
      </w:pPr>
    </w:p>
    <w:p w:rsidR="00EC337F" w:rsidRPr="00305325" w:rsidRDefault="00EC337F" w:rsidP="00E73B42">
      <w:pPr>
        <w:pStyle w:val="BodyText"/>
        <w:numPr>
          <w:ilvl w:val="0"/>
          <w:numId w:val="2"/>
        </w:numPr>
        <w:tabs>
          <w:tab w:val="clear" w:pos="1080"/>
          <w:tab w:val="num" w:pos="1440"/>
        </w:tabs>
        <w:ind w:left="1440" w:hanging="720"/>
        <w:rPr>
          <w:sz w:val="22"/>
          <w:szCs w:val="22"/>
        </w:rPr>
      </w:pPr>
      <w:r w:rsidRPr="00305325">
        <w:rPr>
          <w:sz w:val="22"/>
          <w:szCs w:val="22"/>
        </w:rPr>
        <w:t xml:space="preserve">The definition of the term “Project” </w:t>
      </w:r>
      <w:r w:rsidR="00686FD8" w:rsidRPr="00305325">
        <w:rPr>
          <w:sz w:val="22"/>
          <w:szCs w:val="22"/>
        </w:rPr>
        <w:t xml:space="preserve">in paragraph 18 of the Appendix </w:t>
      </w:r>
      <w:r w:rsidRPr="00305325">
        <w:rPr>
          <w:sz w:val="22"/>
          <w:szCs w:val="22"/>
        </w:rPr>
        <w:t xml:space="preserve">is replaced </w:t>
      </w:r>
      <w:r w:rsidR="009E6CD2" w:rsidRPr="00305325">
        <w:rPr>
          <w:sz w:val="22"/>
          <w:szCs w:val="22"/>
        </w:rPr>
        <w:t>by the following</w:t>
      </w:r>
      <w:r w:rsidR="00991E47" w:rsidRPr="00305325">
        <w:rPr>
          <w:sz w:val="22"/>
          <w:szCs w:val="22"/>
        </w:rPr>
        <w:t xml:space="preserve">, and </w:t>
      </w:r>
      <w:r w:rsidR="006C2CF9" w:rsidRPr="00305325">
        <w:rPr>
          <w:sz w:val="22"/>
          <w:szCs w:val="22"/>
        </w:rPr>
        <w:t>said</w:t>
      </w:r>
      <w:r w:rsidR="0028482A" w:rsidRPr="00305325">
        <w:rPr>
          <w:sz w:val="22"/>
          <w:szCs w:val="22"/>
        </w:rPr>
        <w:t xml:space="preserve"> term, wherever it appears </w:t>
      </w:r>
      <w:r w:rsidR="003220F3" w:rsidRPr="00305325">
        <w:rPr>
          <w:sz w:val="22"/>
          <w:szCs w:val="22"/>
        </w:rPr>
        <w:t>in the Standard Conditions</w:t>
      </w:r>
      <w:r w:rsidR="0028482A" w:rsidRPr="00305325">
        <w:rPr>
          <w:sz w:val="22"/>
          <w:szCs w:val="22"/>
        </w:rPr>
        <w:t>,</w:t>
      </w:r>
      <w:r w:rsidR="003220F3" w:rsidRPr="00305325">
        <w:rPr>
          <w:sz w:val="22"/>
          <w:szCs w:val="22"/>
        </w:rPr>
        <w:t xml:space="preserve"> shall be read as “</w:t>
      </w:r>
      <w:r w:rsidR="000341B6" w:rsidRPr="00305325">
        <w:rPr>
          <w:sz w:val="22"/>
          <w:szCs w:val="22"/>
        </w:rPr>
        <w:t xml:space="preserve">Readiness </w:t>
      </w:r>
      <w:r w:rsidR="003220F3" w:rsidRPr="00305325">
        <w:rPr>
          <w:sz w:val="22"/>
          <w:szCs w:val="22"/>
        </w:rPr>
        <w:t>Preparation Activities”</w:t>
      </w:r>
      <w:r w:rsidRPr="00305325">
        <w:rPr>
          <w:sz w:val="22"/>
          <w:szCs w:val="22"/>
        </w:rPr>
        <w:t>:</w:t>
      </w:r>
    </w:p>
    <w:p w:rsidR="00EC337F" w:rsidRPr="00305325" w:rsidRDefault="00EC337F" w:rsidP="00FD3032">
      <w:pPr>
        <w:pStyle w:val="BodyText"/>
        <w:ind w:left="1440" w:hanging="720"/>
        <w:rPr>
          <w:sz w:val="22"/>
          <w:szCs w:val="22"/>
        </w:rPr>
      </w:pPr>
    </w:p>
    <w:p w:rsidR="00EC337F" w:rsidRPr="00305325" w:rsidRDefault="00EC337F" w:rsidP="00FD3032">
      <w:pPr>
        <w:adjustRightInd w:val="0"/>
        <w:ind w:left="1440"/>
        <w:jc w:val="both"/>
        <w:rPr>
          <w:color w:val="000000"/>
          <w:sz w:val="22"/>
          <w:szCs w:val="22"/>
        </w:rPr>
      </w:pPr>
      <w:r w:rsidRPr="00305325">
        <w:rPr>
          <w:color w:val="000000"/>
          <w:sz w:val="22"/>
          <w:szCs w:val="22"/>
        </w:rPr>
        <w:t>“‘</w:t>
      </w:r>
      <w:r w:rsidR="002F78F8" w:rsidRPr="00305325">
        <w:rPr>
          <w:color w:val="000000"/>
          <w:sz w:val="22"/>
          <w:szCs w:val="22"/>
        </w:rPr>
        <w:t xml:space="preserve">Readiness </w:t>
      </w:r>
      <w:r w:rsidRPr="00305325">
        <w:rPr>
          <w:color w:val="000000"/>
          <w:sz w:val="22"/>
          <w:szCs w:val="22"/>
        </w:rPr>
        <w:t>Preparation Activities’ means the proposed activities for which the World Bank</w:t>
      </w:r>
      <w:r w:rsidR="0085364A" w:rsidRPr="00305325">
        <w:rPr>
          <w:color w:val="000000"/>
          <w:sz w:val="22"/>
          <w:szCs w:val="22"/>
        </w:rPr>
        <w:t>,</w:t>
      </w:r>
      <w:r w:rsidRPr="00305325">
        <w:rPr>
          <w:color w:val="000000"/>
          <w:sz w:val="22"/>
          <w:szCs w:val="22"/>
        </w:rPr>
        <w:t xml:space="preserve"> </w:t>
      </w:r>
      <w:r w:rsidR="00F93CDB" w:rsidRPr="00305325">
        <w:rPr>
          <w:color w:val="000000"/>
          <w:sz w:val="22"/>
          <w:szCs w:val="22"/>
        </w:rPr>
        <w:t xml:space="preserve">acting </w:t>
      </w:r>
      <w:r w:rsidRPr="00305325">
        <w:rPr>
          <w:color w:val="000000"/>
          <w:sz w:val="22"/>
          <w:szCs w:val="22"/>
        </w:rPr>
        <w:t>as Trustee of the Readiness Fund of the Forest Carbon Partnership Facility</w:t>
      </w:r>
      <w:r w:rsidR="0085364A" w:rsidRPr="00305325">
        <w:rPr>
          <w:color w:val="000000"/>
          <w:sz w:val="22"/>
          <w:szCs w:val="22"/>
        </w:rPr>
        <w:t>,</w:t>
      </w:r>
      <w:r w:rsidRPr="00305325">
        <w:rPr>
          <w:color w:val="000000"/>
          <w:sz w:val="22"/>
          <w:szCs w:val="22"/>
        </w:rPr>
        <w:t xml:space="preserve"> has made the Grant, for the carrying out by the Recipient of its Readiness Preparation Proposal.”</w:t>
      </w:r>
    </w:p>
    <w:p w:rsidR="00EC337F" w:rsidRPr="00305325" w:rsidRDefault="00EC337F" w:rsidP="00FD3032">
      <w:pPr>
        <w:pStyle w:val="BodyText"/>
        <w:rPr>
          <w:sz w:val="22"/>
          <w:szCs w:val="22"/>
        </w:rPr>
      </w:pPr>
    </w:p>
    <w:p w:rsidR="00B07A93" w:rsidRPr="00305325" w:rsidRDefault="00EC337F" w:rsidP="00FD3032">
      <w:pPr>
        <w:pStyle w:val="BodyText"/>
        <w:numPr>
          <w:ilvl w:val="1"/>
          <w:numId w:val="1"/>
        </w:numPr>
        <w:tabs>
          <w:tab w:val="clear" w:pos="1485"/>
          <w:tab w:val="num" w:pos="0"/>
        </w:tabs>
        <w:ind w:left="0" w:firstLine="0"/>
        <w:rPr>
          <w:sz w:val="22"/>
          <w:szCs w:val="22"/>
        </w:rPr>
      </w:pPr>
      <w:r w:rsidRPr="00305325">
        <w:rPr>
          <w:b/>
          <w:i/>
          <w:sz w:val="22"/>
          <w:szCs w:val="22"/>
        </w:rPr>
        <w:t xml:space="preserve">Definitions.  </w:t>
      </w:r>
      <w:r w:rsidRPr="00305325">
        <w:rPr>
          <w:sz w:val="22"/>
          <w:szCs w:val="22"/>
        </w:rPr>
        <w:t>Unless the context requires otherwise, the capitalized terms used in this Agreement have the meanings ascribed to them in the Standard Conditi</w:t>
      </w:r>
      <w:r w:rsidR="009B735A" w:rsidRPr="00305325">
        <w:rPr>
          <w:sz w:val="22"/>
          <w:szCs w:val="22"/>
        </w:rPr>
        <w:t xml:space="preserve">ons, the Charter, or </w:t>
      </w:r>
      <w:r w:rsidRPr="00305325">
        <w:rPr>
          <w:sz w:val="22"/>
          <w:szCs w:val="22"/>
        </w:rPr>
        <w:t>this Agreement.</w:t>
      </w:r>
      <w:r w:rsidR="00B07A93" w:rsidRPr="00305325">
        <w:rPr>
          <w:sz w:val="22"/>
          <w:szCs w:val="22"/>
        </w:rPr>
        <w:t xml:space="preserve"> </w:t>
      </w:r>
      <w:r w:rsidR="001340C1" w:rsidRPr="00305325">
        <w:rPr>
          <w:sz w:val="22"/>
          <w:szCs w:val="22"/>
        </w:rPr>
        <w:t xml:space="preserve"> </w:t>
      </w:r>
      <w:r w:rsidR="00B07A93" w:rsidRPr="00305325">
        <w:rPr>
          <w:sz w:val="22"/>
          <w:szCs w:val="22"/>
        </w:rPr>
        <w:t>For the purpose of this Agreement, the following terms have the meanings given to them as follows:</w:t>
      </w:r>
    </w:p>
    <w:p w:rsidR="00B07A93" w:rsidRPr="00305325" w:rsidRDefault="00B07A93" w:rsidP="00FD3032">
      <w:pPr>
        <w:pStyle w:val="BodyText"/>
        <w:rPr>
          <w:sz w:val="22"/>
          <w:szCs w:val="22"/>
        </w:rPr>
      </w:pPr>
    </w:p>
    <w:p w:rsidR="00165C5D" w:rsidRPr="00B6415C" w:rsidRDefault="00053E46" w:rsidP="00FD3032">
      <w:pPr>
        <w:numPr>
          <w:ilvl w:val="0"/>
          <w:numId w:val="13"/>
        </w:numPr>
        <w:tabs>
          <w:tab w:val="left" w:pos="1440"/>
        </w:tabs>
        <w:autoSpaceDE w:val="0"/>
        <w:autoSpaceDN w:val="0"/>
        <w:adjustRightInd w:val="0"/>
        <w:spacing w:after="240"/>
        <w:jc w:val="both"/>
        <w:rPr>
          <w:iCs/>
          <w:sz w:val="22"/>
          <w:szCs w:val="22"/>
        </w:rPr>
      </w:pPr>
      <w:r>
        <w:rPr>
          <w:bCs/>
          <w:iCs/>
          <w:sz w:val="22"/>
          <w:szCs w:val="22"/>
        </w:rPr>
        <w:t>“</w:t>
      </w:r>
      <w:r w:rsidR="00165C5D" w:rsidRPr="00165C5D">
        <w:rPr>
          <w:bCs/>
          <w:iCs/>
          <w:sz w:val="22"/>
          <w:szCs w:val="22"/>
        </w:rPr>
        <w:t>Center for Climate Change and Policy</w:t>
      </w:r>
      <w:r>
        <w:rPr>
          <w:bCs/>
          <w:iCs/>
          <w:sz w:val="22"/>
          <w:szCs w:val="22"/>
        </w:rPr>
        <w:t>”</w:t>
      </w:r>
      <w:r w:rsidR="00165C5D">
        <w:rPr>
          <w:bCs/>
          <w:iCs/>
          <w:sz w:val="22"/>
          <w:szCs w:val="22"/>
        </w:rPr>
        <w:t xml:space="preserve"> means the Recipient’s entity, under the </w:t>
      </w:r>
      <w:r w:rsidR="00C70609">
        <w:rPr>
          <w:bCs/>
          <w:iCs/>
          <w:sz w:val="22"/>
          <w:szCs w:val="22"/>
        </w:rPr>
        <w:t>Directorate General for Research and Development</w:t>
      </w:r>
      <w:r w:rsidR="00165C5D">
        <w:rPr>
          <w:bCs/>
          <w:iCs/>
          <w:sz w:val="22"/>
          <w:szCs w:val="22"/>
        </w:rPr>
        <w:t xml:space="preserve"> (as hereinafter defined), responsible for the management of climate change and policy, or any successor thereto;</w:t>
      </w:r>
    </w:p>
    <w:p w:rsidR="00822FE7" w:rsidRPr="00822FE7" w:rsidRDefault="00822FE7" w:rsidP="00822FE7">
      <w:pPr>
        <w:numPr>
          <w:ilvl w:val="0"/>
          <w:numId w:val="13"/>
        </w:numPr>
        <w:tabs>
          <w:tab w:val="left" w:pos="1440"/>
        </w:tabs>
        <w:autoSpaceDE w:val="0"/>
        <w:autoSpaceDN w:val="0"/>
        <w:adjustRightInd w:val="0"/>
        <w:spacing w:after="240"/>
        <w:jc w:val="both"/>
        <w:rPr>
          <w:iCs/>
          <w:sz w:val="22"/>
          <w:szCs w:val="22"/>
        </w:rPr>
      </w:pPr>
      <w:r>
        <w:rPr>
          <w:bCs/>
          <w:iCs/>
          <w:sz w:val="22"/>
          <w:szCs w:val="22"/>
        </w:rPr>
        <w:t>“</w:t>
      </w:r>
      <w:r w:rsidRPr="00247124">
        <w:rPr>
          <w:bCs/>
          <w:iCs/>
          <w:sz w:val="22"/>
          <w:szCs w:val="22"/>
        </w:rPr>
        <w:t>Center for International Cooperation</w:t>
      </w:r>
      <w:r>
        <w:rPr>
          <w:bCs/>
          <w:iCs/>
          <w:sz w:val="22"/>
          <w:szCs w:val="22"/>
        </w:rPr>
        <w:t xml:space="preserve">” </w:t>
      </w:r>
      <w:r w:rsidRPr="00247124">
        <w:rPr>
          <w:bCs/>
          <w:iCs/>
          <w:sz w:val="22"/>
          <w:szCs w:val="22"/>
        </w:rPr>
        <w:t xml:space="preserve">means the Recipient’s entity, under the Ministry of Forestry (as hereinafter defined), responsible for the management of </w:t>
      </w:r>
      <w:r>
        <w:rPr>
          <w:bCs/>
          <w:iCs/>
          <w:sz w:val="22"/>
          <w:szCs w:val="22"/>
        </w:rPr>
        <w:t>international cooperation</w:t>
      </w:r>
      <w:r w:rsidRPr="00247124">
        <w:rPr>
          <w:bCs/>
          <w:iCs/>
          <w:sz w:val="22"/>
          <w:szCs w:val="22"/>
        </w:rPr>
        <w:t>, or any successor thereto;</w:t>
      </w:r>
    </w:p>
    <w:p w:rsidR="00B6415C" w:rsidRPr="00165C5D" w:rsidRDefault="00B6415C" w:rsidP="00FD3032">
      <w:pPr>
        <w:numPr>
          <w:ilvl w:val="0"/>
          <w:numId w:val="13"/>
        </w:numPr>
        <w:tabs>
          <w:tab w:val="left" w:pos="1440"/>
        </w:tabs>
        <w:autoSpaceDE w:val="0"/>
        <w:autoSpaceDN w:val="0"/>
        <w:adjustRightInd w:val="0"/>
        <w:spacing w:after="240"/>
        <w:jc w:val="both"/>
        <w:rPr>
          <w:iCs/>
          <w:sz w:val="22"/>
          <w:szCs w:val="22"/>
        </w:rPr>
      </w:pPr>
      <w:r>
        <w:rPr>
          <w:bCs/>
          <w:iCs/>
          <w:sz w:val="22"/>
          <w:szCs w:val="22"/>
        </w:rPr>
        <w:t>“</w:t>
      </w:r>
      <w:r w:rsidRPr="00B6415C">
        <w:rPr>
          <w:bCs/>
          <w:iCs/>
          <w:sz w:val="22"/>
          <w:szCs w:val="22"/>
        </w:rPr>
        <w:t>Center for Standardization and Environment</w:t>
      </w:r>
      <w:r>
        <w:rPr>
          <w:bCs/>
          <w:iCs/>
          <w:sz w:val="22"/>
          <w:szCs w:val="22"/>
        </w:rPr>
        <w:t>”</w:t>
      </w:r>
      <w:r w:rsidRPr="00B6415C">
        <w:rPr>
          <w:bCs/>
          <w:iCs/>
          <w:sz w:val="22"/>
          <w:szCs w:val="22"/>
        </w:rPr>
        <w:t xml:space="preserve"> means the Recipient’s entity, under the </w:t>
      </w:r>
      <w:r>
        <w:rPr>
          <w:bCs/>
          <w:iCs/>
          <w:sz w:val="22"/>
          <w:szCs w:val="22"/>
        </w:rPr>
        <w:t>Office of the Secretary General</w:t>
      </w:r>
      <w:r w:rsidRPr="00B6415C">
        <w:rPr>
          <w:bCs/>
          <w:iCs/>
          <w:sz w:val="22"/>
          <w:szCs w:val="22"/>
        </w:rPr>
        <w:t xml:space="preserve"> (as hereinafter defined), responsible for the management of </w:t>
      </w:r>
      <w:r>
        <w:rPr>
          <w:bCs/>
          <w:iCs/>
          <w:sz w:val="22"/>
          <w:szCs w:val="22"/>
        </w:rPr>
        <w:t>standardization and the environment</w:t>
      </w:r>
      <w:r w:rsidRPr="00B6415C">
        <w:rPr>
          <w:bCs/>
          <w:iCs/>
          <w:sz w:val="22"/>
          <w:szCs w:val="22"/>
        </w:rPr>
        <w:t>, or any successor thereto;</w:t>
      </w:r>
    </w:p>
    <w:p w:rsidR="00C70609" w:rsidRPr="00C70609" w:rsidRDefault="00C70609" w:rsidP="00FD3032">
      <w:pPr>
        <w:numPr>
          <w:ilvl w:val="0"/>
          <w:numId w:val="13"/>
        </w:numPr>
        <w:tabs>
          <w:tab w:val="left" w:pos="1440"/>
        </w:tabs>
        <w:autoSpaceDE w:val="0"/>
        <w:autoSpaceDN w:val="0"/>
        <w:adjustRightInd w:val="0"/>
        <w:spacing w:after="240"/>
        <w:jc w:val="both"/>
        <w:rPr>
          <w:iCs/>
          <w:sz w:val="22"/>
          <w:szCs w:val="22"/>
        </w:rPr>
      </w:pPr>
      <w:r>
        <w:rPr>
          <w:bCs/>
          <w:iCs/>
          <w:sz w:val="22"/>
          <w:szCs w:val="22"/>
        </w:rPr>
        <w:t>“</w:t>
      </w:r>
      <w:r w:rsidRPr="00C70609">
        <w:rPr>
          <w:bCs/>
          <w:iCs/>
          <w:sz w:val="22"/>
          <w:szCs w:val="22"/>
        </w:rPr>
        <w:t>Directorate General for Research and Development</w:t>
      </w:r>
      <w:r>
        <w:rPr>
          <w:bCs/>
          <w:iCs/>
          <w:sz w:val="22"/>
          <w:szCs w:val="22"/>
        </w:rPr>
        <w:t xml:space="preserve">” </w:t>
      </w:r>
      <w:r w:rsidRPr="00C70609">
        <w:rPr>
          <w:bCs/>
          <w:iCs/>
          <w:sz w:val="22"/>
          <w:szCs w:val="22"/>
        </w:rPr>
        <w:t xml:space="preserve">means the </w:t>
      </w:r>
      <w:r w:rsidR="00C55EB5">
        <w:rPr>
          <w:bCs/>
          <w:iCs/>
          <w:sz w:val="22"/>
          <w:szCs w:val="22"/>
        </w:rPr>
        <w:t>department of</w:t>
      </w:r>
      <w:r w:rsidRPr="00C70609">
        <w:rPr>
          <w:bCs/>
          <w:iCs/>
          <w:sz w:val="22"/>
          <w:szCs w:val="22"/>
        </w:rPr>
        <w:t xml:space="preserve"> the Forest Research and Development Agency (as hereinafte</w:t>
      </w:r>
      <w:r w:rsidR="003762D1">
        <w:rPr>
          <w:bCs/>
          <w:iCs/>
          <w:sz w:val="22"/>
          <w:szCs w:val="22"/>
        </w:rPr>
        <w:t>r defined)</w:t>
      </w:r>
      <w:r w:rsidRPr="00C70609">
        <w:rPr>
          <w:bCs/>
          <w:iCs/>
          <w:sz w:val="22"/>
          <w:szCs w:val="22"/>
        </w:rPr>
        <w:t xml:space="preserve"> responsible for the management of </w:t>
      </w:r>
      <w:r>
        <w:rPr>
          <w:bCs/>
          <w:iCs/>
          <w:sz w:val="22"/>
          <w:szCs w:val="22"/>
        </w:rPr>
        <w:t>research and development</w:t>
      </w:r>
      <w:r w:rsidRPr="00C70609">
        <w:rPr>
          <w:bCs/>
          <w:iCs/>
          <w:sz w:val="22"/>
          <w:szCs w:val="22"/>
        </w:rPr>
        <w:t>, or any successor thereto;</w:t>
      </w:r>
    </w:p>
    <w:p w:rsidR="00B07A93" w:rsidRPr="00D601C4" w:rsidRDefault="00B07A93" w:rsidP="00FD3032">
      <w:pPr>
        <w:numPr>
          <w:ilvl w:val="0"/>
          <w:numId w:val="13"/>
        </w:numPr>
        <w:tabs>
          <w:tab w:val="left" w:pos="1440"/>
        </w:tabs>
        <w:autoSpaceDE w:val="0"/>
        <w:autoSpaceDN w:val="0"/>
        <w:adjustRightInd w:val="0"/>
        <w:spacing w:after="240"/>
        <w:jc w:val="both"/>
        <w:rPr>
          <w:iCs/>
          <w:sz w:val="22"/>
          <w:szCs w:val="22"/>
        </w:rPr>
      </w:pPr>
      <w:r w:rsidRPr="00305325">
        <w:rPr>
          <w:sz w:val="22"/>
          <w:szCs w:val="22"/>
        </w:rPr>
        <w:t>“Forest Research and Development Agency</w:t>
      </w:r>
      <w:r w:rsidR="0023741D" w:rsidRPr="00305325">
        <w:rPr>
          <w:sz w:val="22"/>
          <w:szCs w:val="22"/>
        </w:rPr>
        <w:t>”</w:t>
      </w:r>
      <w:r w:rsidRPr="00305325">
        <w:rPr>
          <w:sz w:val="22"/>
          <w:szCs w:val="22"/>
        </w:rPr>
        <w:t xml:space="preserve"> </w:t>
      </w:r>
      <w:r w:rsidR="0023741D" w:rsidRPr="00305325">
        <w:rPr>
          <w:sz w:val="22"/>
          <w:szCs w:val="22"/>
        </w:rPr>
        <w:t>means the Recipient’s entity, under</w:t>
      </w:r>
      <w:r w:rsidRPr="00305325">
        <w:rPr>
          <w:sz w:val="22"/>
          <w:szCs w:val="22"/>
        </w:rPr>
        <w:t xml:space="preserve"> the Ministry of Forestry</w:t>
      </w:r>
      <w:r w:rsidR="00536EF5">
        <w:rPr>
          <w:sz w:val="22"/>
          <w:szCs w:val="22"/>
        </w:rPr>
        <w:t>,</w:t>
      </w:r>
      <w:r w:rsidR="00D90CFA" w:rsidRPr="00305325">
        <w:rPr>
          <w:sz w:val="22"/>
          <w:szCs w:val="22"/>
        </w:rPr>
        <w:t xml:space="preserve"> </w:t>
      </w:r>
      <w:r w:rsidR="0023741D" w:rsidRPr="00305325">
        <w:rPr>
          <w:sz w:val="22"/>
          <w:szCs w:val="22"/>
        </w:rPr>
        <w:t xml:space="preserve">responsible for the management </w:t>
      </w:r>
      <w:r w:rsidR="0023741D" w:rsidRPr="00D601C4">
        <w:rPr>
          <w:sz w:val="22"/>
          <w:szCs w:val="22"/>
        </w:rPr>
        <w:t xml:space="preserve">of forest research and development, </w:t>
      </w:r>
      <w:r w:rsidRPr="00D601C4">
        <w:rPr>
          <w:sz w:val="22"/>
          <w:szCs w:val="22"/>
        </w:rPr>
        <w:t>or any successor thereto</w:t>
      </w:r>
      <w:r w:rsidR="00D90CFA" w:rsidRPr="00D601C4">
        <w:rPr>
          <w:sz w:val="22"/>
          <w:szCs w:val="22"/>
        </w:rPr>
        <w:t xml:space="preserve">; </w:t>
      </w:r>
    </w:p>
    <w:p w:rsidR="00247C8E" w:rsidRPr="00A42B52" w:rsidRDefault="00247C8E" w:rsidP="00FD3032">
      <w:pPr>
        <w:numPr>
          <w:ilvl w:val="0"/>
          <w:numId w:val="13"/>
        </w:numPr>
        <w:tabs>
          <w:tab w:val="left" w:pos="1440"/>
        </w:tabs>
        <w:autoSpaceDE w:val="0"/>
        <w:autoSpaceDN w:val="0"/>
        <w:adjustRightInd w:val="0"/>
        <w:spacing w:after="240"/>
        <w:jc w:val="both"/>
        <w:rPr>
          <w:iCs/>
          <w:sz w:val="22"/>
          <w:szCs w:val="22"/>
        </w:rPr>
      </w:pPr>
      <w:r w:rsidRPr="00D601C4">
        <w:rPr>
          <w:sz w:val="22"/>
          <w:szCs w:val="22"/>
        </w:rPr>
        <w:lastRenderedPageBreak/>
        <w:t xml:space="preserve">“Inspectorate General” </w:t>
      </w:r>
      <w:r w:rsidR="000B409A" w:rsidRPr="000B409A">
        <w:rPr>
          <w:sz w:val="22"/>
          <w:szCs w:val="22"/>
        </w:rPr>
        <w:t xml:space="preserve">means the department of the Ministry </w:t>
      </w:r>
      <w:r w:rsidR="000B409A" w:rsidRPr="00124F20">
        <w:rPr>
          <w:sz w:val="22"/>
          <w:szCs w:val="22"/>
        </w:rPr>
        <w:t xml:space="preserve">of </w:t>
      </w:r>
      <w:r w:rsidR="003762D1">
        <w:rPr>
          <w:sz w:val="22"/>
          <w:szCs w:val="22"/>
        </w:rPr>
        <w:t xml:space="preserve">Forestry </w:t>
      </w:r>
      <w:r w:rsidR="000B409A" w:rsidRPr="000B409A">
        <w:rPr>
          <w:sz w:val="22"/>
          <w:szCs w:val="22"/>
        </w:rPr>
        <w:t>responsible for governance and anti-corruption, or any successor thereto</w:t>
      </w:r>
      <w:r w:rsidR="006A053E" w:rsidRPr="00D601C4">
        <w:rPr>
          <w:sz w:val="22"/>
          <w:szCs w:val="22"/>
        </w:rPr>
        <w:t>;</w:t>
      </w:r>
    </w:p>
    <w:p w:rsidR="00D90CFA" w:rsidRPr="00305325" w:rsidRDefault="00203FC8" w:rsidP="00FD3032">
      <w:pPr>
        <w:pStyle w:val="ModelNrmlDouble"/>
        <w:numPr>
          <w:ilvl w:val="0"/>
          <w:numId w:val="13"/>
        </w:numPr>
        <w:spacing w:line="240" w:lineRule="auto"/>
        <w:rPr>
          <w:szCs w:val="22"/>
        </w:rPr>
      </w:pPr>
      <w:r w:rsidRPr="00203FC8">
        <w:rPr>
          <w:szCs w:val="22"/>
        </w:rPr>
        <w:t>“Ministry of Forestry” means the Recipient’s ministry responsible for the management of forestry, or any successor thereto;</w:t>
      </w:r>
    </w:p>
    <w:p w:rsidR="006623A4" w:rsidRDefault="00203FC8" w:rsidP="00FD3032">
      <w:pPr>
        <w:pStyle w:val="ModelNrmlDouble"/>
        <w:numPr>
          <w:ilvl w:val="0"/>
          <w:numId w:val="13"/>
        </w:numPr>
        <w:spacing w:line="240" w:lineRule="auto"/>
        <w:rPr>
          <w:szCs w:val="22"/>
        </w:rPr>
      </w:pPr>
      <w:r w:rsidRPr="00203FC8">
        <w:rPr>
          <w:szCs w:val="22"/>
        </w:rPr>
        <w:t xml:space="preserve">“National Forestry </w:t>
      </w:r>
      <w:r w:rsidR="00E054E3">
        <w:rPr>
          <w:szCs w:val="22"/>
        </w:rPr>
        <w:t>Council</w:t>
      </w:r>
      <w:r w:rsidRPr="00203FC8">
        <w:rPr>
          <w:szCs w:val="22"/>
        </w:rPr>
        <w:t xml:space="preserve">” means the quasi-autonomous non-governmental organization, established and operating pursuant to the decision of September 15, 2006 of the Fourth Indonesian Forestry Congress, the Articles of Association </w:t>
      </w:r>
      <w:r w:rsidR="004E327D">
        <w:rPr>
          <w:szCs w:val="22"/>
        </w:rPr>
        <w:t xml:space="preserve">of said Council </w:t>
      </w:r>
      <w:r w:rsidRPr="00203FC8">
        <w:rPr>
          <w:szCs w:val="22"/>
        </w:rPr>
        <w:t xml:space="preserve">dated November 11, 2006, and Deed No. 31 </w:t>
      </w:r>
      <w:r w:rsidR="004E327D">
        <w:rPr>
          <w:szCs w:val="22"/>
        </w:rPr>
        <w:t xml:space="preserve">of said Council </w:t>
      </w:r>
      <w:r w:rsidRPr="00203FC8">
        <w:rPr>
          <w:szCs w:val="22"/>
        </w:rPr>
        <w:t>dated December 17, 2007, whose objective is to encourage the realization of effective forestry policies, or any successor thereto;</w:t>
      </w:r>
    </w:p>
    <w:p w:rsidR="00F530C1" w:rsidRPr="00305325" w:rsidRDefault="00F530C1" w:rsidP="00FD3032">
      <w:pPr>
        <w:pStyle w:val="ModelNrmlDouble"/>
        <w:numPr>
          <w:ilvl w:val="0"/>
          <w:numId w:val="13"/>
        </w:numPr>
        <w:spacing w:line="240" w:lineRule="auto"/>
        <w:rPr>
          <w:szCs w:val="22"/>
        </w:rPr>
      </w:pPr>
      <w:r>
        <w:rPr>
          <w:szCs w:val="22"/>
        </w:rPr>
        <w:t>“</w:t>
      </w:r>
      <w:r w:rsidRPr="00F530C1">
        <w:rPr>
          <w:bCs/>
          <w:iCs/>
          <w:szCs w:val="22"/>
        </w:rPr>
        <w:t>Office of the Secretary General</w:t>
      </w:r>
      <w:r>
        <w:rPr>
          <w:szCs w:val="22"/>
        </w:rPr>
        <w:t xml:space="preserve">” means the </w:t>
      </w:r>
      <w:r w:rsidR="00C43440">
        <w:rPr>
          <w:szCs w:val="22"/>
        </w:rPr>
        <w:t>department of the Ministry of Forestry</w:t>
      </w:r>
      <w:r>
        <w:rPr>
          <w:szCs w:val="22"/>
        </w:rPr>
        <w:t xml:space="preserve"> </w:t>
      </w:r>
      <w:r w:rsidRPr="00F530C1">
        <w:rPr>
          <w:szCs w:val="22"/>
        </w:rPr>
        <w:t xml:space="preserve">responsible for the </w:t>
      </w:r>
      <w:r w:rsidR="00B55038">
        <w:rPr>
          <w:szCs w:val="22"/>
        </w:rPr>
        <w:t xml:space="preserve">overall coordination of </w:t>
      </w:r>
      <w:r w:rsidR="00B55038" w:rsidRPr="00B55038">
        <w:rPr>
          <w:szCs w:val="22"/>
        </w:rPr>
        <w:t>the activities of said Ministry</w:t>
      </w:r>
      <w:r w:rsidRPr="00F530C1">
        <w:rPr>
          <w:szCs w:val="22"/>
        </w:rPr>
        <w:t>, or any successor thereto;</w:t>
      </w:r>
    </w:p>
    <w:p w:rsidR="0011631E" w:rsidRDefault="00203FC8" w:rsidP="00BF4917">
      <w:pPr>
        <w:pStyle w:val="ModelNrmlDouble"/>
        <w:numPr>
          <w:ilvl w:val="0"/>
          <w:numId w:val="13"/>
        </w:numPr>
        <w:spacing w:line="240" w:lineRule="auto"/>
        <w:rPr>
          <w:szCs w:val="22"/>
        </w:rPr>
      </w:pPr>
      <w:r w:rsidRPr="00203FC8">
        <w:rPr>
          <w:szCs w:val="22"/>
        </w:rPr>
        <w:t xml:space="preserve">“Operating Costs” means the incremental operating costs under the Readiness Preparation Activities, incurred by the Recipient </w:t>
      </w:r>
      <w:r w:rsidR="004C76D5">
        <w:rPr>
          <w:szCs w:val="22"/>
        </w:rPr>
        <w:t xml:space="preserve">for non-consulting services </w:t>
      </w:r>
      <w:r w:rsidRPr="00203FC8">
        <w:rPr>
          <w:szCs w:val="22"/>
        </w:rPr>
        <w:t>for purposes of the implementation, management, and monitoring and evaluation of the Readiness Preparation Activities, on account of office supplies and consumables, utilities, bank charges, communications, mass media and printing services, vehicle rental, operation, maintenance, and insurance, office space rental, building and equipment maintenance, domestic travel, lodging, and subsistence allowances, and salaries of contractual and temporary staff, but excluding salaries, fees, honoraria, and bonuses of members of the Recipient’s civil service;</w:t>
      </w:r>
    </w:p>
    <w:p w:rsidR="00247C8E" w:rsidRDefault="0011631E" w:rsidP="00BF4917">
      <w:pPr>
        <w:pStyle w:val="ModelNrmlDouble"/>
        <w:numPr>
          <w:ilvl w:val="0"/>
          <w:numId w:val="13"/>
        </w:numPr>
        <w:spacing w:line="240" w:lineRule="auto"/>
        <w:rPr>
          <w:szCs w:val="22"/>
        </w:rPr>
      </w:pPr>
      <w:r>
        <w:rPr>
          <w:szCs w:val="22"/>
        </w:rPr>
        <w:t>“</w:t>
      </w:r>
      <w:r w:rsidR="00E52538" w:rsidRPr="00E52538">
        <w:rPr>
          <w:szCs w:val="22"/>
        </w:rPr>
        <w:t>Readiness Preparation Activities</w:t>
      </w:r>
      <w:r>
        <w:rPr>
          <w:szCs w:val="22"/>
        </w:rPr>
        <w:t xml:space="preserve"> Management Manual” means </w:t>
      </w:r>
      <w:r w:rsidRPr="0011631E">
        <w:rPr>
          <w:szCs w:val="22"/>
        </w:rPr>
        <w:t xml:space="preserve">the </w:t>
      </w:r>
      <w:r>
        <w:rPr>
          <w:szCs w:val="22"/>
        </w:rPr>
        <w:t>Recipient</w:t>
      </w:r>
      <w:r w:rsidR="00FA391E">
        <w:rPr>
          <w:szCs w:val="22"/>
        </w:rPr>
        <w:t xml:space="preserve">’s manual, </w:t>
      </w:r>
      <w:r w:rsidR="00263B36">
        <w:rPr>
          <w:bCs/>
          <w:szCs w:val="22"/>
        </w:rPr>
        <w:t>referred to in Section 2.04 (a) (</w:t>
      </w:r>
      <w:proofErr w:type="spellStart"/>
      <w:r w:rsidR="00263B36">
        <w:rPr>
          <w:bCs/>
          <w:szCs w:val="22"/>
        </w:rPr>
        <w:t>i</w:t>
      </w:r>
      <w:proofErr w:type="spellEnd"/>
      <w:r w:rsidR="00263B36">
        <w:rPr>
          <w:bCs/>
          <w:szCs w:val="22"/>
        </w:rPr>
        <w:t>) (A) of this Annex</w:t>
      </w:r>
      <w:r w:rsidR="00531032">
        <w:rPr>
          <w:bCs/>
          <w:szCs w:val="22"/>
        </w:rPr>
        <w:t>,</w:t>
      </w:r>
      <w:r w:rsidR="00531032" w:rsidRPr="00531032">
        <w:rPr>
          <w:szCs w:val="22"/>
        </w:rPr>
        <w:t xml:space="preserve"> </w:t>
      </w:r>
      <w:r w:rsidRPr="0011631E">
        <w:rPr>
          <w:szCs w:val="22"/>
        </w:rPr>
        <w:t xml:space="preserve">as the same may be modified from time to time with the prior written agreement of the </w:t>
      </w:r>
      <w:r w:rsidR="00760822">
        <w:rPr>
          <w:szCs w:val="22"/>
        </w:rPr>
        <w:t xml:space="preserve">World </w:t>
      </w:r>
      <w:r w:rsidRPr="0011631E">
        <w:rPr>
          <w:szCs w:val="22"/>
        </w:rPr>
        <w:t>Bank, and such term includes any annexes or schedules to such manual</w:t>
      </w:r>
      <w:r>
        <w:rPr>
          <w:szCs w:val="22"/>
        </w:rPr>
        <w:t>;</w:t>
      </w:r>
    </w:p>
    <w:p w:rsidR="00247C8E" w:rsidRPr="009212AC" w:rsidRDefault="00247C8E" w:rsidP="00BF4917">
      <w:pPr>
        <w:pStyle w:val="BodyText"/>
        <w:numPr>
          <w:ilvl w:val="0"/>
          <w:numId w:val="13"/>
        </w:numPr>
        <w:rPr>
          <w:szCs w:val="22"/>
        </w:rPr>
      </w:pPr>
      <w:r w:rsidRPr="009212AC">
        <w:rPr>
          <w:sz w:val="22"/>
          <w:szCs w:val="22"/>
        </w:rPr>
        <w:t>“</w:t>
      </w:r>
      <w:r w:rsidR="006A319E" w:rsidRPr="009212AC">
        <w:rPr>
          <w:sz w:val="22"/>
          <w:szCs w:val="22"/>
        </w:rPr>
        <w:t>Readiness Preparation Activities</w:t>
      </w:r>
      <w:r w:rsidR="006A319E" w:rsidRPr="009212AC">
        <w:rPr>
          <w:bCs/>
          <w:sz w:val="22"/>
          <w:szCs w:val="22"/>
        </w:rPr>
        <w:t xml:space="preserve"> </w:t>
      </w:r>
      <w:r w:rsidR="0090679C">
        <w:rPr>
          <w:bCs/>
          <w:sz w:val="22"/>
          <w:szCs w:val="22"/>
        </w:rPr>
        <w:t>Secretariat</w:t>
      </w:r>
      <w:r w:rsidRPr="009212AC">
        <w:rPr>
          <w:sz w:val="22"/>
          <w:szCs w:val="22"/>
        </w:rPr>
        <w:t>” means the Recipient’s entity</w:t>
      </w:r>
      <w:r w:rsidR="00BD2C09" w:rsidRPr="00BD2C09">
        <w:rPr>
          <w:sz w:val="22"/>
          <w:szCs w:val="22"/>
        </w:rPr>
        <w:t xml:space="preserve">, </w:t>
      </w:r>
      <w:r w:rsidR="00BD2C09" w:rsidRPr="00BD2C09">
        <w:rPr>
          <w:bCs/>
          <w:sz w:val="22"/>
          <w:szCs w:val="22"/>
        </w:rPr>
        <w:t>referr</w:t>
      </w:r>
      <w:r w:rsidR="007303F7">
        <w:rPr>
          <w:bCs/>
          <w:sz w:val="22"/>
          <w:szCs w:val="22"/>
        </w:rPr>
        <w:t>ed to in Section 2.03</w:t>
      </w:r>
      <w:r w:rsidR="00CB72AC">
        <w:rPr>
          <w:bCs/>
          <w:sz w:val="22"/>
          <w:szCs w:val="22"/>
        </w:rPr>
        <w:t xml:space="preserve"> (b</w:t>
      </w:r>
      <w:r w:rsidR="00BD2C09" w:rsidRPr="00BD2C09">
        <w:rPr>
          <w:bCs/>
          <w:sz w:val="22"/>
          <w:szCs w:val="22"/>
        </w:rPr>
        <w:t>) of this Annex</w:t>
      </w:r>
      <w:r w:rsidR="0019577D">
        <w:rPr>
          <w:sz w:val="22"/>
          <w:szCs w:val="22"/>
        </w:rPr>
        <w:t xml:space="preserve">, </w:t>
      </w:r>
      <w:r w:rsidR="00BD2C09">
        <w:rPr>
          <w:sz w:val="22"/>
          <w:szCs w:val="22"/>
        </w:rPr>
        <w:t xml:space="preserve">to be established </w:t>
      </w:r>
      <w:r w:rsidR="0019577D" w:rsidRPr="0019577D">
        <w:rPr>
          <w:bCs/>
          <w:sz w:val="22"/>
          <w:szCs w:val="22"/>
        </w:rPr>
        <w:t xml:space="preserve">under the </w:t>
      </w:r>
      <w:r w:rsidR="00053E46" w:rsidRPr="00053E46">
        <w:rPr>
          <w:bCs/>
          <w:iCs/>
          <w:sz w:val="22"/>
          <w:szCs w:val="22"/>
        </w:rPr>
        <w:t>Center for Climate Change and Policy</w:t>
      </w:r>
      <w:r w:rsidR="0019577D" w:rsidRPr="0019577D">
        <w:rPr>
          <w:bCs/>
          <w:sz w:val="22"/>
          <w:szCs w:val="22"/>
        </w:rPr>
        <w:t>,</w:t>
      </w:r>
      <w:r w:rsidRPr="009212AC">
        <w:rPr>
          <w:sz w:val="22"/>
          <w:szCs w:val="22"/>
        </w:rPr>
        <w:t xml:space="preserve"> or any successor thereto;</w:t>
      </w:r>
      <w:r w:rsidR="006A053E" w:rsidRPr="009212AC">
        <w:rPr>
          <w:sz w:val="22"/>
          <w:szCs w:val="22"/>
        </w:rPr>
        <w:t xml:space="preserve"> and</w:t>
      </w:r>
    </w:p>
    <w:p w:rsidR="00247C8E" w:rsidRPr="00247C8E" w:rsidRDefault="00247C8E" w:rsidP="00247C8E">
      <w:pPr>
        <w:pStyle w:val="BodyText"/>
        <w:rPr>
          <w:szCs w:val="22"/>
        </w:rPr>
      </w:pPr>
    </w:p>
    <w:p w:rsidR="007E4732" w:rsidRPr="00305325" w:rsidRDefault="00203FC8" w:rsidP="006D5D55">
      <w:pPr>
        <w:pStyle w:val="ModelNrmlDouble"/>
        <w:numPr>
          <w:ilvl w:val="0"/>
          <w:numId w:val="13"/>
        </w:numPr>
        <w:spacing w:after="0" w:line="240" w:lineRule="auto"/>
        <w:rPr>
          <w:szCs w:val="22"/>
        </w:rPr>
      </w:pPr>
      <w:r w:rsidRPr="00203FC8">
        <w:rPr>
          <w:szCs w:val="22"/>
        </w:rPr>
        <w:t xml:space="preserve">“Training” means the costs of </w:t>
      </w:r>
      <w:r w:rsidR="004C76D5" w:rsidRPr="004C76D5">
        <w:rPr>
          <w:szCs w:val="22"/>
        </w:rPr>
        <w:t xml:space="preserve">non-consulting services </w:t>
      </w:r>
      <w:r w:rsidR="004C76D5">
        <w:rPr>
          <w:szCs w:val="22"/>
        </w:rPr>
        <w:t xml:space="preserve">for purposes of </w:t>
      </w:r>
      <w:r w:rsidRPr="00203FC8">
        <w:rPr>
          <w:szCs w:val="22"/>
        </w:rPr>
        <w:t xml:space="preserve">training under the Readiness Preparation Activities, attributable to seminars, workshops, and study tours, </w:t>
      </w:r>
      <w:r w:rsidR="00223580">
        <w:rPr>
          <w:szCs w:val="22"/>
        </w:rPr>
        <w:t xml:space="preserve">and </w:t>
      </w:r>
      <w:r w:rsidR="000A7A6D">
        <w:rPr>
          <w:szCs w:val="22"/>
        </w:rPr>
        <w:t>including</w:t>
      </w:r>
      <w:r w:rsidRPr="00203FC8">
        <w:rPr>
          <w:szCs w:val="22"/>
        </w:rPr>
        <w:t xml:space="preserve"> domestic and international travel costs and subsistence allowances for training participants, costs associated with securing the services of trainers and speakers, rental of training facilities, preparation and reproduction of training materials, </w:t>
      </w:r>
      <w:r w:rsidR="00902C38">
        <w:rPr>
          <w:szCs w:val="22"/>
        </w:rPr>
        <w:t xml:space="preserve">refreshments, </w:t>
      </w:r>
      <w:r w:rsidRPr="00203FC8">
        <w:rPr>
          <w:szCs w:val="22"/>
        </w:rPr>
        <w:t>and other costs directly related to training preparation and implementation.</w:t>
      </w:r>
    </w:p>
    <w:p w:rsidR="006D5D55" w:rsidRDefault="006D5D55" w:rsidP="006D5D55">
      <w:pPr>
        <w:jc w:val="center"/>
        <w:rPr>
          <w:b/>
          <w:bCs/>
          <w:sz w:val="22"/>
          <w:szCs w:val="22"/>
        </w:rPr>
      </w:pPr>
    </w:p>
    <w:p w:rsidR="00B52185" w:rsidRDefault="00B52185" w:rsidP="006D5D55">
      <w:pPr>
        <w:jc w:val="center"/>
        <w:rPr>
          <w:b/>
          <w:bCs/>
          <w:sz w:val="22"/>
          <w:szCs w:val="22"/>
        </w:rPr>
      </w:pPr>
    </w:p>
    <w:p w:rsidR="00B52185" w:rsidRDefault="00B52185" w:rsidP="006D5D55">
      <w:pPr>
        <w:jc w:val="center"/>
        <w:rPr>
          <w:b/>
          <w:bCs/>
          <w:sz w:val="22"/>
          <w:szCs w:val="22"/>
        </w:rPr>
      </w:pPr>
    </w:p>
    <w:p w:rsidR="00B52185" w:rsidRDefault="00B52185" w:rsidP="006D5D55">
      <w:pPr>
        <w:jc w:val="center"/>
        <w:rPr>
          <w:b/>
          <w:bCs/>
          <w:sz w:val="22"/>
          <w:szCs w:val="22"/>
        </w:rPr>
      </w:pPr>
    </w:p>
    <w:p w:rsidR="00B52185" w:rsidRDefault="00B52185" w:rsidP="006D5D55">
      <w:pPr>
        <w:jc w:val="center"/>
        <w:rPr>
          <w:b/>
          <w:bCs/>
          <w:sz w:val="22"/>
          <w:szCs w:val="22"/>
        </w:rPr>
      </w:pPr>
    </w:p>
    <w:p w:rsidR="00B52185" w:rsidRDefault="00B52185" w:rsidP="006D5D55">
      <w:pPr>
        <w:jc w:val="center"/>
        <w:rPr>
          <w:b/>
          <w:bCs/>
          <w:sz w:val="22"/>
          <w:szCs w:val="22"/>
        </w:rPr>
      </w:pPr>
    </w:p>
    <w:p w:rsidR="00B52185" w:rsidRDefault="00B52185" w:rsidP="006D5D55">
      <w:pPr>
        <w:jc w:val="center"/>
        <w:rPr>
          <w:b/>
          <w:bCs/>
          <w:sz w:val="22"/>
          <w:szCs w:val="22"/>
        </w:rPr>
      </w:pPr>
    </w:p>
    <w:p w:rsidR="009B2CDE" w:rsidRPr="00305325" w:rsidRDefault="00203FC8" w:rsidP="006D5D55">
      <w:pPr>
        <w:jc w:val="center"/>
        <w:rPr>
          <w:b/>
          <w:bCs/>
          <w:sz w:val="22"/>
          <w:szCs w:val="22"/>
        </w:rPr>
      </w:pPr>
      <w:r>
        <w:rPr>
          <w:b/>
          <w:bCs/>
          <w:sz w:val="22"/>
          <w:szCs w:val="22"/>
        </w:rPr>
        <w:t>Article II</w:t>
      </w:r>
    </w:p>
    <w:p w:rsidR="009B2CDE" w:rsidRPr="00305325" w:rsidRDefault="00203FC8" w:rsidP="006D5D55">
      <w:pPr>
        <w:pStyle w:val="BodyText"/>
        <w:jc w:val="center"/>
        <w:rPr>
          <w:b/>
          <w:bCs/>
          <w:sz w:val="22"/>
          <w:szCs w:val="22"/>
        </w:rPr>
      </w:pPr>
      <w:r>
        <w:rPr>
          <w:b/>
          <w:bCs/>
          <w:sz w:val="22"/>
          <w:szCs w:val="22"/>
        </w:rPr>
        <w:t>Execution of Readiness Preparation Activities</w:t>
      </w:r>
    </w:p>
    <w:p w:rsidR="009B2CDE" w:rsidRPr="00305325" w:rsidRDefault="009B2CDE" w:rsidP="00FD3032">
      <w:pPr>
        <w:ind w:left="720" w:hanging="720"/>
        <w:jc w:val="both"/>
        <w:rPr>
          <w:sz w:val="22"/>
          <w:szCs w:val="22"/>
        </w:rPr>
      </w:pPr>
    </w:p>
    <w:p w:rsidR="004E4C22" w:rsidRPr="00305325" w:rsidRDefault="00203FC8" w:rsidP="00FD3032">
      <w:pPr>
        <w:jc w:val="both"/>
        <w:rPr>
          <w:spacing w:val="-3"/>
          <w:sz w:val="22"/>
          <w:szCs w:val="22"/>
        </w:rPr>
      </w:pPr>
      <w:r>
        <w:rPr>
          <w:sz w:val="22"/>
          <w:szCs w:val="22"/>
        </w:rPr>
        <w:t>2.01.</w:t>
      </w:r>
      <w:r>
        <w:rPr>
          <w:sz w:val="22"/>
          <w:szCs w:val="22"/>
        </w:rPr>
        <w:tab/>
      </w:r>
      <w:r>
        <w:rPr>
          <w:b/>
          <w:i/>
          <w:sz w:val="22"/>
          <w:szCs w:val="22"/>
        </w:rPr>
        <w:t xml:space="preserve">Objective and Description. </w:t>
      </w:r>
      <w:r>
        <w:rPr>
          <w:sz w:val="22"/>
          <w:szCs w:val="22"/>
        </w:rPr>
        <w:t xml:space="preserve"> </w:t>
      </w:r>
      <w:r>
        <w:rPr>
          <w:spacing w:val="-3"/>
          <w:sz w:val="22"/>
          <w:szCs w:val="22"/>
        </w:rPr>
        <w:t>The objective of the Readine</w:t>
      </w:r>
      <w:r w:rsidR="00FE575B">
        <w:rPr>
          <w:spacing w:val="-3"/>
          <w:sz w:val="22"/>
          <w:szCs w:val="22"/>
        </w:rPr>
        <w:t xml:space="preserve">ss Preparation Activities is to </w:t>
      </w:r>
      <w:r w:rsidR="00FE575B" w:rsidRPr="00FE575B">
        <w:rPr>
          <w:spacing w:val="-3"/>
          <w:sz w:val="22"/>
          <w:szCs w:val="22"/>
        </w:rPr>
        <w:t xml:space="preserve">contribute to the development of </w:t>
      </w:r>
      <w:r w:rsidR="00FE575B">
        <w:rPr>
          <w:spacing w:val="-3"/>
          <w:sz w:val="22"/>
          <w:szCs w:val="22"/>
        </w:rPr>
        <w:t>the Recipient</w:t>
      </w:r>
      <w:r w:rsidR="00FE575B" w:rsidRPr="00FE575B">
        <w:rPr>
          <w:spacing w:val="-3"/>
          <w:sz w:val="22"/>
          <w:szCs w:val="22"/>
        </w:rPr>
        <w:t>’s capacity to design a sound national REDD+ strategy, develop national and sub-national reference scenarios</w:t>
      </w:r>
      <w:r w:rsidR="00FE575B">
        <w:rPr>
          <w:spacing w:val="-3"/>
          <w:sz w:val="22"/>
          <w:szCs w:val="22"/>
        </w:rPr>
        <w:t>,</w:t>
      </w:r>
      <w:r w:rsidR="00FE575B" w:rsidRPr="00FE575B">
        <w:rPr>
          <w:spacing w:val="-3"/>
          <w:sz w:val="22"/>
          <w:szCs w:val="22"/>
        </w:rPr>
        <w:t xml:space="preserve"> and </w:t>
      </w:r>
      <w:r w:rsidR="00FE575B" w:rsidRPr="00FE575B">
        <w:rPr>
          <w:bCs/>
          <w:spacing w:val="-3"/>
          <w:sz w:val="22"/>
          <w:szCs w:val="22"/>
        </w:rPr>
        <w:t xml:space="preserve">establish </w:t>
      </w:r>
      <w:r w:rsidR="00FE575B" w:rsidRPr="00FE575B">
        <w:rPr>
          <w:spacing w:val="-3"/>
          <w:sz w:val="22"/>
          <w:szCs w:val="22"/>
        </w:rPr>
        <w:t xml:space="preserve">a </w:t>
      </w:r>
      <w:r w:rsidR="00FE575B" w:rsidRPr="00FE575B">
        <w:rPr>
          <w:iCs/>
          <w:spacing w:val="-3"/>
          <w:sz w:val="22"/>
          <w:szCs w:val="22"/>
        </w:rPr>
        <w:t>forest monitoring and carbon accounting system</w:t>
      </w:r>
      <w:r w:rsidR="00FE575B" w:rsidRPr="00FE575B">
        <w:rPr>
          <w:spacing w:val="-3"/>
          <w:sz w:val="22"/>
          <w:szCs w:val="22"/>
        </w:rPr>
        <w:t xml:space="preserve">, </w:t>
      </w:r>
      <w:r w:rsidR="00176A21">
        <w:rPr>
          <w:spacing w:val="-3"/>
          <w:sz w:val="22"/>
          <w:szCs w:val="22"/>
        </w:rPr>
        <w:t xml:space="preserve">all </w:t>
      </w:r>
      <w:r w:rsidR="00FE575B" w:rsidRPr="00FE575B">
        <w:rPr>
          <w:spacing w:val="-3"/>
          <w:sz w:val="22"/>
          <w:szCs w:val="22"/>
        </w:rPr>
        <w:t>consistent with local, regional</w:t>
      </w:r>
      <w:r w:rsidR="00FE575B">
        <w:rPr>
          <w:spacing w:val="-3"/>
          <w:sz w:val="22"/>
          <w:szCs w:val="22"/>
        </w:rPr>
        <w:t>,</w:t>
      </w:r>
      <w:r w:rsidR="00FE575B" w:rsidRPr="00FE575B">
        <w:rPr>
          <w:spacing w:val="-3"/>
          <w:sz w:val="22"/>
          <w:szCs w:val="22"/>
        </w:rPr>
        <w:t xml:space="preserve"> and national conditions and circumstances</w:t>
      </w:r>
      <w:r>
        <w:rPr>
          <w:spacing w:val="-3"/>
          <w:sz w:val="22"/>
          <w:szCs w:val="22"/>
        </w:rPr>
        <w:t>.</w:t>
      </w:r>
    </w:p>
    <w:p w:rsidR="00FB4AD0" w:rsidRPr="00305325" w:rsidRDefault="00FB4AD0" w:rsidP="00FD3032">
      <w:pPr>
        <w:ind w:firstLine="720"/>
        <w:jc w:val="both"/>
        <w:rPr>
          <w:spacing w:val="-3"/>
          <w:sz w:val="22"/>
          <w:szCs w:val="22"/>
        </w:rPr>
      </w:pPr>
    </w:p>
    <w:p w:rsidR="004E4C22" w:rsidRPr="00305325" w:rsidRDefault="00203FC8" w:rsidP="00FD3032">
      <w:pPr>
        <w:ind w:firstLine="720"/>
        <w:jc w:val="both"/>
        <w:rPr>
          <w:spacing w:val="-3"/>
          <w:sz w:val="22"/>
          <w:szCs w:val="22"/>
        </w:rPr>
      </w:pPr>
      <w:r>
        <w:rPr>
          <w:spacing w:val="-3"/>
          <w:sz w:val="22"/>
          <w:szCs w:val="22"/>
        </w:rPr>
        <w:t>The Readiness Preparation Activities are as follows:</w:t>
      </w:r>
    </w:p>
    <w:p w:rsidR="004E4C22" w:rsidRPr="00305325" w:rsidRDefault="004E4C22" w:rsidP="00FD3032">
      <w:pPr>
        <w:jc w:val="both"/>
        <w:rPr>
          <w:sz w:val="22"/>
          <w:szCs w:val="22"/>
        </w:rPr>
      </w:pPr>
    </w:p>
    <w:p w:rsidR="004E4C22" w:rsidRPr="00305325" w:rsidRDefault="00203FC8" w:rsidP="0026778D">
      <w:pPr>
        <w:ind w:firstLine="720"/>
        <w:jc w:val="both"/>
        <w:rPr>
          <w:sz w:val="22"/>
          <w:szCs w:val="22"/>
        </w:rPr>
      </w:pPr>
      <w:r>
        <w:rPr>
          <w:sz w:val="22"/>
          <w:szCs w:val="22"/>
        </w:rPr>
        <w:t>(a)</w:t>
      </w:r>
      <w:r>
        <w:rPr>
          <w:sz w:val="22"/>
          <w:szCs w:val="22"/>
        </w:rPr>
        <w:tab/>
      </w:r>
      <w:r>
        <w:rPr>
          <w:sz w:val="22"/>
          <w:szCs w:val="22"/>
          <w:u w:val="single"/>
        </w:rPr>
        <w:t>Analytical Activities</w:t>
      </w:r>
      <w:r>
        <w:rPr>
          <w:sz w:val="22"/>
          <w:szCs w:val="22"/>
        </w:rPr>
        <w:t xml:space="preserve"> </w:t>
      </w:r>
    </w:p>
    <w:p w:rsidR="0018601F" w:rsidRPr="00305325" w:rsidRDefault="0018601F" w:rsidP="00FD3032">
      <w:pPr>
        <w:pStyle w:val="Default"/>
        <w:ind w:left="317"/>
        <w:jc w:val="both"/>
        <w:rPr>
          <w:sz w:val="22"/>
          <w:szCs w:val="22"/>
        </w:rPr>
      </w:pPr>
    </w:p>
    <w:p w:rsidR="009E318B" w:rsidRPr="00305325" w:rsidRDefault="00203FC8" w:rsidP="0026778D">
      <w:pPr>
        <w:pStyle w:val="Default"/>
        <w:numPr>
          <w:ilvl w:val="0"/>
          <w:numId w:val="28"/>
        </w:numPr>
        <w:ind w:left="1440" w:firstLine="0"/>
        <w:jc w:val="both"/>
        <w:rPr>
          <w:sz w:val="22"/>
          <w:szCs w:val="22"/>
        </w:rPr>
      </w:pPr>
      <w:r w:rsidRPr="00203FC8">
        <w:rPr>
          <w:sz w:val="22"/>
          <w:szCs w:val="22"/>
        </w:rPr>
        <w:t>Carrying out of an analysis of drivers of deforestation.</w:t>
      </w:r>
    </w:p>
    <w:p w:rsidR="009E318B" w:rsidRPr="00305325" w:rsidRDefault="009E318B" w:rsidP="009E318B">
      <w:pPr>
        <w:pStyle w:val="Default"/>
        <w:jc w:val="both"/>
        <w:rPr>
          <w:sz w:val="22"/>
          <w:szCs w:val="22"/>
        </w:rPr>
      </w:pPr>
    </w:p>
    <w:p w:rsidR="009E318B" w:rsidRPr="00305325" w:rsidRDefault="00203FC8" w:rsidP="005047A2">
      <w:pPr>
        <w:pStyle w:val="Default"/>
        <w:numPr>
          <w:ilvl w:val="0"/>
          <w:numId w:val="28"/>
        </w:numPr>
        <w:ind w:left="2160" w:hanging="720"/>
        <w:jc w:val="both"/>
        <w:rPr>
          <w:sz w:val="22"/>
          <w:szCs w:val="22"/>
        </w:rPr>
      </w:pPr>
      <w:r w:rsidRPr="00203FC8">
        <w:rPr>
          <w:sz w:val="22"/>
          <w:szCs w:val="22"/>
        </w:rPr>
        <w:t>Carrying out of a screening of options for priority investments to reduce deforestation and forest degradation.</w:t>
      </w:r>
    </w:p>
    <w:p w:rsidR="009E318B" w:rsidRPr="00305325" w:rsidRDefault="009E318B" w:rsidP="009E318B">
      <w:pPr>
        <w:pStyle w:val="ListParagraph"/>
        <w:rPr>
          <w:sz w:val="22"/>
          <w:szCs w:val="22"/>
        </w:rPr>
      </w:pPr>
    </w:p>
    <w:p w:rsidR="00C66F03" w:rsidRPr="00305325" w:rsidRDefault="00203FC8" w:rsidP="00CD5E0B">
      <w:pPr>
        <w:pStyle w:val="Default"/>
        <w:numPr>
          <w:ilvl w:val="0"/>
          <w:numId w:val="28"/>
        </w:numPr>
        <w:ind w:left="2160" w:hanging="720"/>
        <w:jc w:val="both"/>
        <w:rPr>
          <w:sz w:val="22"/>
          <w:szCs w:val="22"/>
        </w:rPr>
      </w:pPr>
      <w:r w:rsidRPr="00203FC8">
        <w:rPr>
          <w:sz w:val="22"/>
          <w:szCs w:val="22"/>
        </w:rPr>
        <w:t>Identification of activities resulting in reduction of green house gas (GHG) emissions and increase in removals and stabilization of forest carbon stocks.</w:t>
      </w:r>
    </w:p>
    <w:p w:rsidR="009E318B" w:rsidRPr="00305325" w:rsidRDefault="009E318B" w:rsidP="009E318B">
      <w:pPr>
        <w:pStyle w:val="ListParagraph"/>
        <w:rPr>
          <w:sz w:val="22"/>
          <w:szCs w:val="22"/>
        </w:rPr>
      </w:pPr>
    </w:p>
    <w:p w:rsidR="0018601F" w:rsidRPr="004653B1" w:rsidRDefault="00203FC8" w:rsidP="004653B1">
      <w:pPr>
        <w:pStyle w:val="Default"/>
        <w:numPr>
          <w:ilvl w:val="0"/>
          <w:numId w:val="28"/>
        </w:numPr>
        <w:ind w:left="2160" w:hanging="720"/>
        <w:jc w:val="both"/>
        <w:rPr>
          <w:sz w:val="22"/>
          <w:szCs w:val="22"/>
        </w:rPr>
      </w:pPr>
      <w:r w:rsidRPr="00203FC8">
        <w:rPr>
          <w:sz w:val="22"/>
          <w:szCs w:val="22"/>
        </w:rPr>
        <w:t>Carrying out of a rapid situational analysis of REDD+ policies in Indonesia.</w:t>
      </w:r>
    </w:p>
    <w:p w:rsidR="00124F20" w:rsidRDefault="00124F20" w:rsidP="00FE79DF">
      <w:pPr>
        <w:adjustRightInd w:val="0"/>
        <w:ind w:firstLine="720"/>
        <w:jc w:val="both"/>
        <w:rPr>
          <w:sz w:val="22"/>
          <w:szCs w:val="22"/>
        </w:rPr>
      </w:pPr>
    </w:p>
    <w:p w:rsidR="00C66F03" w:rsidRPr="00305325" w:rsidRDefault="00203FC8" w:rsidP="00FE79DF">
      <w:pPr>
        <w:adjustRightInd w:val="0"/>
        <w:ind w:firstLine="720"/>
        <w:jc w:val="both"/>
        <w:rPr>
          <w:sz w:val="22"/>
          <w:szCs w:val="22"/>
        </w:rPr>
      </w:pPr>
      <w:r>
        <w:rPr>
          <w:sz w:val="22"/>
          <w:szCs w:val="22"/>
        </w:rPr>
        <w:t>(b)</w:t>
      </w:r>
      <w:r>
        <w:rPr>
          <w:sz w:val="22"/>
          <w:szCs w:val="22"/>
        </w:rPr>
        <w:tab/>
      </w:r>
      <w:r>
        <w:rPr>
          <w:sz w:val="22"/>
          <w:szCs w:val="22"/>
          <w:u w:val="single"/>
        </w:rPr>
        <w:t>Support to Readiness Process</w:t>
      </w:r>
      <w:r>
        <w:rPr>
          <w:sz w:val="22"/>
          <w:szCs w:val="22"/>
        </w:rPr>
        <w:t xml:space="preserve"> </w:t>
      </w:r>
    </w:p>
    <w:p w:rsidR="00C66F03" w:rsidRPr="00305325" w:rsidRDefault="00C66F03" w:rsidP="00FD3032">
      <w:pPr>
        <w:autoSpaceDE w:val="0"/>
        <w:autoSpaceDN w:val="0"/>
        <w:adjustRightInd w:val="0"/>
        <w:ind w:left="360"/>
        <w:jc w:val="both"/>
        <w:rPr>
          <w:sz w:val="22"/>
          <w:szCs w:val="22"/>
          <w:u w:val="single"/>
        </w:rPr>
      </w:pPr>
    </w:p>
    <w:p w:rsidR="00C66F03" w:rsidRPr="00305325" w:rsidRDefault="00B97FE7" w:rsidP="005C4BDC">
      <w:pPr>
        <w:pStyle w:val="ListParagraph"/>
        <w:numPr>
          <w:ilvl w:val="0"/>
          <w:numId w:val="12"/>
        </w:numPr>
        <w:adjustRightInd w:val="0"/>
        <w:ind w:left="2160" w:hanging="720"/>
        <w:jc w:val="both"/>
        <w:rPr>
          <w:sz w:val="22"/>
          <w:szCs w:val="22"/>
        </w:rPr>
      </w:pPr>
      <w:r w:rsidRPr="00B97FE7">
        <w:rPr>
          <w:sz w:val="22"/>
          <w:szCs w:val="22"/>
        </w:rPr>
        <w:t xml:space="preserve">Carrying out </w:t>
      </w:r>
      <w:r>
        <w:rPr>
          <w:sz w:val="22"/>
          <w:szCs w:val="22"/>
        </w:rPr>
        <w:t xml:space="preserve">of </w:t>
      </w:r>
      <w:r w:rsidRPr="00B97FE7">
        <w:rPr>
          <w:sz w:val="22"/>
          <w:szCs w:val="22"/>
        </w:rPr>
        <w:t>a rapid assessment</w:t>
      </w:r>
      <w:r w:rsidR="00203FC8">
        <w:rPr>
          <w:sz w:val="22"/>
          <w:szCs w:val="22"/>
        </w:rPr>
        <w:t xml:space="preserve"> of </w:t>
      </w:r>
      <w:r>
        <w:rPr>
          <w:sz w:val="22"/>
          <w:szCs w:val="22"/>
        </w:rPr>
        <w:t xml:space="preserve">the </w:t>
      </w:r>
      <w:r w:rsidR="00203FC8">
        <w:rPr>
          <w:sz w:val="22"/>
          <w:szCs w:val="22"/>
        </w:rPr>
        <w:t>institutional and legal framework for REDD</w:t>
      </w:r>
      <w:r>
        <w:rPr>
          <w:sz w:val="22"/>
          <w:szCs w:val="22"/>
        </w:rPr>
        <w:t>+</w:t>
      </w:r>
      <w:r w:rsidR="00203FC8">
        <w:rPr>
          <w:sz w:val="22"/>
          <w:szCs w:val="22"/>
        </w:rPr>
        <w:t xml:space="preserve"> implementation. </w:t>
      </w:r>
    </w:p>
    <w:p w:rsidR="001B1A25" w:rsidRPr="00305325" w:rsidRDefault="001B1A25" w:rsidP="001B6C48">
      <w:pPr>
        <w:jc w:val="both"/>
        <w:rPr>
          <w:sz w:val="22"/>
          <w:szCs w:val="22"/>
        </w:rPr>
      </w:pPr>
    </w:p>
    <w:p w:rsidR="001B1A25" w:rsidRPr="00305325" w:rsidRDefault="00203FC8" w:rsidP="005C4BDC">
      <w:pPr>
        <w:pStyle w:val="Default"/>
        <w:numPr>
          <w:ilvl w:val="0"/>
          <w:numId w:val="12"/>
        </w:numPr>
        <w:ind w:left="2160" w:hanging="720"/>
        <w:jc w:val="both"/>
        <w:rPr>
          <w:sz w:val="22"/>
          <w:szCs w:val="22"/>
        </w:rPr>
      </w:pPr>
      <w:r w:rsidRPr="00203FC8">
        <w:rPr>
          <w:sz w:val="22"/>
          <w:szCs w:val="22"/>
        </w:rPr>
        <w:t>Capacity building of institutions and stakeholders involved in the implementation of REDD+ activities, including training of trainers in relation to carbon accounting and monitoring at national and sub-national levels.</w:t>
      </w:r>
    </w:p>
    <w:p w:rsidR="001B1A25" w:rsidRPr="00305325" w:rsidRDefault="001B1A25" w:rsidP="00FD3032">
      <w:pPr>
        <w:autoSpaceDE w:val="0"/>
        <w:autoSpaceDN w:val="0"/>
        <w:adjustRightInd w:val="0"/>
        <w:ind w:left="720" w:hanging="720"/>
        <w:jc w:val="both"/>
        <w:rPr>
          <w:color w:val="000000"/>
          <w:sz w:val="22"/>
          <w:szCs w:val="22"/>
        </w:rPr>
      </w:pPr>
    </w:p>
    <w:p w:rsidR="006444CF" w:rsidRPr="00305325" w:rsidRDefault="007A30B4" w:rsidP="00144FA5">
      <w:pPr>
        <w:pStyle w:val="ListParagraph"/>
        <w:numPr>
          <w:ilvl w:val="0"/>
          <w:numId w:val="12"/>
        </w:numPr>
        <w:adjustRightInd w:val="0"/>
        <w:ind w:left="2160" w:hanging="720"/>
        <w:jc w:val="both"/>
        <w:rPr>
          <w:sz w:val="22"/>
          <w:szCs w:val="22"/>
        </w:rPr>
      </w:pPr>
      <w:r w:rsidRPr="007A30B4">
        <w:rPr>
          <w:sz w:val="22"/>
          <w:szCs w:val="22"/>
        </w:rPr>
        <w:t xml:space="preserve">Carrying out </w:t>
      </w:r>
      <w:r>
        <w:rPr>
          <w:sz w:val="22"/>
          <w:szCs w:val="22"/>
        </w:rPr>
        <w:t xml:space="preserve">of </w:t>
      </w:r>
      <w:r w:rsidRPr="007A30B4">
        <w:rPr>
          <w:sz w:val="22"/>
          <w:szCs w:val="22"/>
        </w:rPr>
        <w:t>a rapid assessment</w:t>
      </w:r>
      <w:r w:rsidR="00144FA5">
        <w:rPr>
          <w:sz w:val="22"/>
          <w:szCs w:val="22"/>
        </w:rPr>
        <w:t xml:space="preserve"> of</w:t>
      </w:r>
      <w:r w:rsidR="00203FC8">
        <w:rPr>
          <w:sz w:val="22"/>
          <w:szCs w:val="22"/>
        </w:rPr>
        <w:t xml:space="preserve"> </w:t>
      </w:r>
      <w:r>
        <w:rPr>
          <w:sz w:val="22"/>
          <w:szCs w:val="22"/>
        </w:rPr>
        <w:t xml:space="preserve">the </w:t>
      </w:r>
      <w:r w:rsidR="00203FC8">
        <w:rPr>
          <w:sz w:val="22"/>
          <w:szCs w:val="22"/>
        </w:rPr>
        <w:t>REDD+ revenue-sharing process.</w:t>
      </w:r>
    </w:p>
    <w:p w:rsidR="006444CF" w:rsidRPr="00305325" w:rsidRDefault="006444CF" w:rsidP="006444CF">
      <w:pPr>
        <w:pStyle w:val="ListParagraph"/>
        <w:rPr>
          <w:sz w:val="22"/>
          <w:szCs w:val="22"/>
        </w:rPr>
      </w:pPr>
    </w:p>
    <w:p w:rsidR="006444CF" w:rsidRDefault="00203FC8" w:rsidP="000D7F5D">
      <w:pPr>
        <w:pStyle w:val="ListParagraph"/>
        <w:numPr>
          <w:ilvl w:val="0"/>
          <w:numId w:val="12"/>
        </w:numPr>
        <w:adjustRightInd w:val="0"/>
        <w:ind w:left="1440" w:firstLine="0"/>
        <w:jc w:val="both"/>
        <w:rPr>
          <w:sz w:val="22"/>
          <w:szCs w:val="22"/>
        </w:rPr>
      </w:pPr>
      <w:r>
        <w:rPr>
          <w:sz w:val="22"/>
          <w:szCs w:val="22"/>
        </w:rPr>
        <w:t>Consultation and outreach.</w:t>
      </w:r>
    </w:p>
    <w:p w:rsidR="00BB5232" w:rsidRPr="00BB5232" w:rsidRDefault="00BB5232" w:rsidP="00BB5232">
      <w:pPr>
        <w:adjustRightInd w:val="0"/>
        <w:jc w:val="both"/>
        <w:rPr>
          <w:sz w:val="22"/>
          <w:szCs w:val="22"/>
        </w:rPr>
      </w:pPr>
    </w:p>
    <w:p w:rsidR="00350484" w:rsidRPr="00305325" w:rsidRDefault="00203FC8" w:rsidP="0033553C">
      <w:pPr>
        <w:pStyle w:val="ListParagraph"/>
        <w:numPr>
          <w:ilvl w:val="0"/>
          <w:numId w:val="12"/>
        </w:numPr>
        <w:adjustRightInd w:val="0"/>
        <w:ind w:left="2160" w:hanging="720"/>
        <w:jc w:val="both"/>
        <w:rPr>
          <w:sz w:val="22"/>
          <w:szCs w:val="22"/>
        </w:rPr>
      </w:pPr>
      <w:r>
        <w:rPr>
          <w:sz w:val="22"/>
          <w:szCs w:val="22"/>
        </w:rPr>
        <w:t>Management of data, lessons, and funding partner coordination, including periodic review of REDD+ demonstration or pilot activities.</w:t>
      </w:r>
    </w:p>
    <w:p w:rsidR="00350484" w:rsidRPr="00305325" w:rsidRDefault="00350484" w:rsidP="00350484">
      <w:pPr>
        <w:pStyle w:val="ListParagraph"/>
        <w:rPr>
          <w:sz w:val="22"/>
          <w:szCs w:val="22"/>
        </w:rPr>
      </w:pPr>
    </w:p>
    <w:p w:rsidR="00334527" w:rsidRPr="00305325" w:rsidRDefault="00203FC8" w:rsidP="0033553C">
      <w:pPr>
        <w:pStyle w:val="ListParagraph"/>
        <w:numPr>
          <w:ilvl w:val="0"/>
          <w:numId w:val="12"/>
        </w:numPr>
        <w:adjustRightInd w:val="0"/>
        <w:ind w:left="2160" w:hanging="720"/>
        <w:jc w:val="both"/>
        <w:rPr>
          <w:sz w:val="22"/>
          <w:szCs w:val="22"/>
        </w:rPr>
      </w:pPr>
      <w:r>
        <w:rPr>
          <w:sz w:val="22"/>
          <w:szCs w:val="22"/>
        </w:rPr>
        <w:t xml:space="preserve">Carrying out of an </w:t>
      </w:r>
      <w:r>
        <w:rPr>
          <w:color w:val="000000"/>
          <w:sz w:val="22"/>
          <w:szCs w:val="22"/>
        </w:rPr>
        <w:t>assessment of potential strategic environmental and social impacts that may ensue from future REDD+ activities or projects, including policy reforms (“Strategic Environmental and Social Assessment”), and including development of a framework for managing and mitigating the environmental and social risks related to investments and carbon finance transactions in the context of the future implementation of</w:t>
      </w:r>
      <w:r>
        <w:rPr>
          <w:iCs/>
          <w:color w:val="000000"/>
          <w:sz w:val="22"/>
          <w:szCs w:val="22"/>
        </w:rPr>
        <w:t xml:space="preserve"> REDD+, including (</w:t>
      </w:r>
      <w:r w:rsidR="00305325">
        <w:rPr>
          <w:iCs/>
          <w:color w:val="000000"/>
          <w:sz w:val="22"/>
          <w:szCs w:val="22"/>
        </w:rPr>
        <w:t>A</w:t>
      </w:r>
      <w:r w:rsidR="0061511E" w:rsidRPr="00305325">
        <w:rPr>
          <w:iCs/>
          <w:color w:val="000000"/>
          <w:sz w:val="22"/>
          <w:szCs w:val="22"/>
        </w:rPr>
        <w:t>) </w:t>
      </w:r>
      <w:r w:rsidR="00CE08AE" w:rsidRPr="00305325">
        <w:rPr>
          <w:iCs/>
          <w:color w:val="000000"/>
          <w:sz w:val="22"/>
          <w:szCs w:val="22"/>
        </w:rPr>
        <w:t>guidelines and procedures for the carrying out of consultations with potentially affected indigenous peoples an</w:t>
      </w:r>
      <w:r>
        <w:rPr>
          <w:iCs/>
          <w:color w:val="000000"/>
          <w:sz w:val="22"/>
          <w:szCs w:val="22"/>
        </w:rPr>
        <w:t xml:space="preserve">d forest-dependent communities, the conservation of natural </w:t>
      </w:r>
      <w:r>
        <w:rPr>
          <w:iCs/>
          <w:color w:val="000000"/>
          <w:sz w:val="22"/>
          <w:szCs w:val="22"/>
        </w:rPr>
        <w:lastRenderedPageBreak/>
        <w:t>habitats, and the carrying out of environmental and social assessments, (</w:t>
      </w:r>
      <w:r w:rsidR="00305325">
        <w:rPr>
          <w:iCs/>
          <w:color w:val="000000"/>
          <w:sz w:val="22"/>
          <w:szCs w:val="22"/>
        </w:rPr>
        <w:t>B</w:t>
      </w:r>
      <w:r w:rsidR="0061511E" w:rsidRPr="00305325">
        <w:rPr>
          <w:iCs/>
          <w:color w:val="000000"/>
          <w:sz w:val="22"/>
          <w:szCs w:val="22"/>
        </w:rPr>
        <w:t xml:space="preserve">) </w:t>
      </w:r>
      <w:r w:rsidR="00CE08AE" w:rsidRPr="00305325">
        <w:rPr>
          <w:iCs/>
          <w:color w:val="000000"/>
          <w:sz w:val="22"/>
          <w:szCs w:val="22"/>
        </w:rPr>
        <w:t xml:space="preserve">a resettlement policy framework, </w:t>
      </w:r>
      <w:r w:rsidR="0061511E" w:rsidRPr="00305325">
        <w:rPr>
          <w:iCs/>
          <w:color w:val="000000"/>
          <w:sz w:val="22"/>
          <w:szCs w:val="22"/>
        </w:rPr>
        <w:t>(</w:t>
      </w:r>
      <w:r w:rsidR="00305325">
        <w:rPr>
          <w:iCs/>
          <w:color w:val="000000"/>
          <w:sz w:val="22"/>
          <w:szCs w:val="22"/>
        </w:rPr>
        <w:t>C</w:t>
      </w:r>
      <w:r w:rsidR="0061511E" w:rsidRPr="00305325">
        <w:rPr>
          <w:iCs/>
          <w:color w:val="000000"/>
          <w:sz w:val="22"/>
          <w:szCs w:val="22"/>
        </w:rPr>
        <w:t xml:space="preserve">) </w:t>
      </w:r>
      <w:r w:rsidR="00CE08AE" w:rsidRPr="00305325">
        <w:rPr>
          <w:iCs/>
          <w:color w:val="000000"/>
          <w:sz w:val="22"/>
          <w:szCs w:val="22"/>
        </w:rPr>
        <w:t xml:space="preserve">an indigenous peoples’ planning framework, </w:t>
      </w:r>
      <w:r w:rsidR="0061511E" w:rsidRPr="00305325">
        <w:rPr>
          <w:iCs/>
          <w:color w:val="000000"/>
          <w:sz w:val="22"/>
          <w:szCs w:val="22"/>
        </w:rPr>
        <w:t>(</w:t>
      </w:r>
      <w:r w:rsidR="00305325">
        <w:rPr>
          <w:iCs/>
          <w:color w:val="000000"/>
          <w:sz w:val="22"/>
          <w:szCs w:val="22"/>
        </w:rPr>
        <w:t>D</w:t>
      </w:r>
      <w:r w:rsidR="0061511E" w:rsidRPr="00305325">
        <w:rPr>
          <w:iCs/>
          <w:color w:val="000000"/>
          <w:sz w:val="22"/>
          <w:szCs w:val="22"/>
        </w:rPr>
        <w:t xml:space="preserve">) </w:t>
      </w:r>
      <w:r w:rsidR="006B645D" w:rsidRPr="00305325">
        <w:rPr>
          <w:iCs/>
          <w:color w:val="000000"/>
          <w:sz w:val="22"/>
          <w:szCs w:val="22"/>
        </w:rPr>
        <w:t xml:space="preserve">a pest management framework, </w:t>
      </w:r>
      <w:r w:rsidR="0061511E" w:rsidRPr="00305325">
        <w:rPr>
          <w:iCs/>
          <w:color w:val="000000"/>
          <w:sz w:val="22"/>
          <w:szCs w:val="22"/>
        </w:rPr>
        <w:t>(</w:t>
      </w:r>
      <w:r w:rsidR="00305325">
        <w:rPr>
          <w:iCs/>
          <w:color w:val="000000"/>
          <w:sz w:val="22"/>
          <w:szCs w:val="22"/>
        </w:rPr>
        <w:t>E</w:t>
      </w:r>
      <w:r w:rsidR="0061511E" w:rsidRPr="00305325">
        <w:rPr>
          <w:iCs/>
          <w:color w:val="000000"/>
          <w:sz w:val="22"/>
          <w:szCs w:val="22"/>
        </w:rPr>
        <w:t xml:space="preserve">) </w:t>
      </w:r>
      <w:r w:rsidR="006B645D" w:rsidRPr="00305325">
        <w:rPr>
          <w:iCs/>
          <w:color w:val="000000"/>
          <w:sz w:val="22"/>
          <w:szCs w:val="22"/>
        </w:rPr>
        <w:t>a physical cultural resources management framework</w:t>
      </w:r>
      <w:r w:rsidR="00F2397B" w:rsidRPr="00305325">
        <w:rPr>
          <w:iCs/>
          <w:color w:val="000000"/>
          <w:sz w:val="22"/>
          <w:szCs w:val="22"/>
        </w:rPr>
        <w:t>,</w:t>
      </w:r>
      <w:r w:rsidR="009C3572" w:rsidRPr="00305325">
        <w:rPr>
          <w:color w:val="000000"/>
          <w:sz w:val="22"/>
          <w:szCs w:val="22"/>
        </w:rPr>
        <w:t xml:space="preserve"> </w:t>
      </w:r>
      <w:r w:rsidR="00197160" w:rsidRPr="00305325">
        <w:rPr>
          <w:iCs/>
          <w:color w:val="000000"/>
          <w:sz w:val="22"/>
          <w:szCs w:val="22"/>
        </w:rPr>
        <w:t xml:space="preserve">and </w:t>
      </w:r>
      <w:r w:rsidR="0061511E" w:rsidRPr="00305325">
        <w:rPr>
          <w:iCs/>
          <w:color w:val="000000"/>
          <w:sz w:val="22"/>
          <w:szCs w:val="22"/>
        </w:rPr>
        <w:t>(</w:t>
      </w:r>
      <w:r w:rsidR="00305325">
        <w:rPr>
          <w:iCs/>
          <w:color w:val="000000"/>
          <w:sz w:val="22"/>
          <w:szCs w:val="22"/>
        </w:rPr>
        <w:t>F</w:t>
      </w:r>
      <w:r w:rsidR="0061511E" w:rsidRPr="00305325">
        <w:rPr>
          <w:iCs/>
          <w:color w:val="000000"/>
          <w:sz w:val="22"/>
          <w:szCs w:val="22"/>
        </w:rPr>
        <w:t xml:space="preserve">) </w:t>
      </w:r>
      <w:r w:rsidR="00197160" w:rsidRPr="00305325">
        <w:rPr>
          <w:iCs/>
          <w:color w:val="000000"/>
          <w:sz w:val="22"/>
          <w:szCs w:val="22"/>
        </w:rPr>
        <w:t>guidelines and procedures for the development of</w:t>
      </w:r>
      <w:r w:rsidR="00F2397B" w:rsidRPr="00305325">
        <w:rPr>
          <w:iCs/>
          <w:color w:val="000000"/>
          <w:sz w:val="22"/>
          <w:szCs w:val="22"/>
        </w:rPr>
        <w:t xml:space="preserve"> environmental and social management plans, resettlement action plans, indigenous peoples’ development plans</w:t>
      </w:r>
      <w:r>
        <w:rPr>
          <w:iCs/>
          <w:color w:val="000000"/>
          <w:sz w:val="22"/>
          <w:szCs w:val="22"/>
        </w:rPr>
        <w:t>, pest management plans, and physical cultural resources management plans</w:t>
      </w:r>
      <w:r>
        <w:rPr>
          <w:color w:val="000000"/>
          <w:sz w:val="22"/>
          <w:szCs w:val="22"/>
        </w:rPr>
        <w:t xml:space="preserve"> (“Environment and Social Management </w:t>
      </w:r>
      <w:r>
        <w:rPr>
          <w:sz w:val="22"/>
          <w:szCs w:val="22"/>
        </w:rPr>
        <w:t>Framework”).</w:t>
      </w:r>
    </w:p>
    <w:p w:rsidR="00903832" w:rsidRPr="00305325" w:rsidRDefault="00903832" w:rsidP="00FD3032">
      <w:pPr>
        <w:autoSpaceDE w:val="0"/>
        <w:autoSpaceDN w:val="0"/>
        <w:adjustRightInd w:val="0"/>
        <w:jc w:val="both"/>
        <w:rPr>
          <w:sz w:val="22"/>
          <w:szCs w:val="22"/>
        </w:rPr>
      </w:pPr>
    </w:p>
    <w:p w:rsidR="00334527" w:rsidRPr="00305325" w:rsidRDefault="00203FC8" w:rsidP="00801C12">
      <w:pPr>
        <w:pStyle w:val="Default"/>
        <w:ind w:firstLine="720"/>
        <w:jc w:val="both"/>
        <w:rPr>
          <w:sz w:val="22"/>
          <w:szCs w:val="22"/>
          <w:u w:val="single"/>
        </w:rPr>
      </w:pPr>
      <w:r w:rsidRPr="00203FC8">
        <w:rPr>
          <w:iCs/>
          <w:sz w:val="22"/>
          <w:szCs w:val="22"/>
        </w:rPr>
        <w:t>(c)</w:t>
      </w:r>
      <w:r w:rsidRPr="00203FC8">
        <w:rPr>
          <w:iCs/>
          <w:sz w:val="22"/>
          <w:szCs w:val="22"/>
        </w:rPr>
        <w:tab/>
      </w:r>
      <w:r w:rsidRPr="00203FC8">
        <w:rPr>
          <w:iCs/>
          <w:sz w:val="22"/>
          <w:szCs w:val="22"/>
          <w:u w:val="single"/>
        </w:rPr>
        <w:t xml:space="preserve">Reference Emissions Levels and Measurement, Reporting, and Verification </w:t>
      </w:r>
    </w:p>
    <w:p w:rsidR="00187C47" w:rsidRPr="00305325" w:rsidRDefault="00187C47" w:rsidP="00FD3032">
      <w:pPr>
        <w:pStyle w:val="ListParagraph"/>
        <w:adjustRightInd w:val="0"/>
        <w:jc w:val="both"/>
        <w:rPr>
          <w:sz w:val="22"/>
          <w:szCs w:val="22"/>
        </w:rPr>
      </w:pPr>
    </w:p>
    <w:p w:rsidR="00B0199B" w:rsidRDefault="00203FC8">
      <w:pPr>
        <w:pStyle w:val="ListParagraph"/>
        <w:widowControl/>
        <w:numPr>
          <w:ilvl w:val="0"/>
          <w:numId w:val="18"/>
        </w:numPr>
        <w:adjustRightInd w:val="0"/>
        <w:ind w:left="2160" w:hanging="720"/>
        <w:jc w:val="both"/>
        <w:rPr>
          <w:sz w:val="22"/>
          <w:szCs w:val="22"/>
        </w:rPr>
      </w:pPr>
      <w:r>
        <w:rPr>
          <w:sz w:val="22"/>
          <w:szCs w:val="22"/>
        </w:rPr>
        <w:t>Carrying out of an analysis and possible mapping of the nature and effect of land use on terrestrial carbon cycles.</w:t>
      </w:r>
    </w:p>
    <w:p w:rsidR="00617048" w:rsidRPr="00305325" w:rsidRDefault="00617048" w:rsidP="00617048">
      <w:pPr>
        <w:pStyle w:val="ListParagraph"/>
        <w:widowControl/>
        <w:adjustRightInd w:val="0"/>
        <w:ind w:left="1440"/>
        <w:jc w:val="both"/>
        <w:rPr>
          <w:sz w:val="22"/>
          <w:szCs w:val="22"/>
        </w:rPr>
      </w:pPr>
    </w:p>
    <w:p w:rsidR="00187C47" w:rsidRPr="00305325" w:rsidRDefault="00203FC8" w:rsidP="00801C12">
      <w:pPr>
        <w:pStyle w:val="ListParagraph"/>
        <w:widowControl/>
        <w:numPr>
          <w:ilvl w:val="0"/>
          <w:numId w:val="18"/>
        </w:numPr>
        <w:adjustRightInd w:val="0"/>
        <w:ind w:left="2160" w:hanging="720"/>
        <w:jc w:val="both"/>
        <w:rPr>
          <w:sz w:val="22"/>
          <w:szCs w:val="22"/>
        </w:rPr>
      </w:pPr>
      <w:r>
        <w:rPr>
          <w:sz w:val="22"/>
          <w:szCs w:val="22"/>
        </w:rPr>
        <w:t xml:space="preserve">Development of a time-series analysis of the primary economic, social, and policy aspects of land use change. </w:t>
      </w:r>
    </w:p>
    <w:p w:rsidR="00C66A1D" w:rsidRPr="00305325" w:rsidRDefault="00C66A1D" w:rsidP="00FD3032">
      <w:pPr>
        <w:pStyle w:val="ListParagraph"/>
        <w:widowControl/>
        <w:adjustRightInd w:val="0"/>
        <w:ind w:left="1440"/>
        <w:jc w:val="both"/>
        <w:rPr>
          <w:sz w:val="22"/>
          <w:szCs w:val="22"/>
        </w:rPr>
      </w:pPr>
    </w:p>
    <w:p w:rsidR="00C66A1D" w:rsidRPr="00305325" w:rsidRDefault="00203FC8" w:rsidP="00801C12">
      <w:pPr>
        <w:pStyle w:val="ListParagraph"/>
        <w:widowControl/>
        <w:numPr>
          <w:ilvl w:val="0"/>
          <w:numId w:val="18"/>
        </w:numPr>
        <w:adjustRightInd w:val="0"/>
        <w:ind w:left="2160" w:hanging="720"/>
        <w:jc w:val="both"/>
        <w:rPr>
          <w:sz w:val="22"/>
          <w:szCs w:val="22"/>
          <w:lang w:val="id-ID"/>
        </w:rPr>
      </w:pPr>
      <w:r>
        <w:rPr>
          <w:sz w:val="22"/>
          <w:szCs w:val="22"/>
        </w:rPr>
        <w:t xml:space="preserve">Establishment of permanent sample plots for </w:t>
      </w:r>
      <w:r>
        <w:rPr>
          <w:sz w:val="22"/>
          <w:szCs w:val="22"/>
          <w:lang w:val="id-ID"/>
        </w:rPr>
        <w:t xml:space="preserve">ground-based forest carbon </w:t>
      </w:r>
      <w:r>
        <w:rPr>
          <w:sz w:val="22"/>
          <w:szCs w:val="22"/>
        </w:rPr>
        <w:t>monitoring.</w:t>
      </w:r>
    </w:p>
    <w:p w:rsidR="006F17D3" w:rsidRDefault="006F17D3">
      <w:pPr>
        <w:ind w:firstLine="720"/>
        <w:jc w:val="both"/>
        <w:rPr>
          <w:sz w:val="22"/>
          <w:szCs w:val="22"/>
        </w:rPr>
      </w:pPr>
    </w:p>
    <w:p w:rsidR="00A17628" w:rsidRDefault="00203FC8">
      <w:pPr>
        <w:ind w:firstLine="720"/>
        <w:jc w:val="both"/>
        <w:rPr>
          <w:sz w:val="22"/>
          <w:szCs w:val="22"/>
        </w:rPr>
      </w:pPr>
      <w:r>
        <w:rPr>
          <w:sz w:val="22"/>
          <w:szCs w:val="22"/>
        </w:rPr>
        <w:t>(d)</w:t>
      </w:r>
      <w:r>
        <w:rPr>
          <w:sz w:val="22"/>
          <w:szCs w:val="22"/>
        </w:rPr>
        <w:tab/>
      </w:r>
      <w:r>
        <w:rPr>
          <w:sz w:val="22"/>
          <w:szCs w:val="22"/>
          <w:u w:val="single"/>
        </w:rPr>
        <w:t>Regional Data Collection and Capacity Building</w:t>
      </w:r>
    </w:p>
    <w:p w:rsidR="00C66A1D" w:rsidRPr="00305325" w:rsidRDefault="00C66A1D" w:rsidP="00FD3032">
      <w:pPr>
        <w:jc w:val="both"/>
        <w:rPr>
          <w:sz w:val="22"/>
          <w:szCs w:val="22"/>
        </w:rPr>
      </w:pPr>
    </w:p>
    <w:p w:rsidR="00B0199B" w:rsidRDefault="005B5A8B">
      <w:pPr>
        <w:autoSpaceDE w:val="0"/>
        <w:autoSpaceDN w:val="0"/>
        <w:adjustRightInd w:val="0"/>
        <w:ind w:left="1440"/>
        <w:jc w:val="both"/>
        <w:rPr>
          <w:sz w:val="22"/>
          <w:szCs w:val="22"/>
        </w:rPr>
      </w:pPr>
      <w:r>
        <w:rPr>
          <w:sz w:val="22"/>
          <w:szCs w:val="22"/>
        </w:rPr>
        <w:t>Provision of support to</w:t>
      </w:r>
      <w:r w:rsidR="00203FC8">
        <w:rPr>
          <w:sz w:val="22"/>
          <w:szCs w:val="22"/>
        </w:rPr>
        <w:t xml:space="preserve"> REDD+ readiness preparation at sub-national level, including capacity building in selected areas and development of socioeconomic and biophysical studies to support baseline work.</w:t>
      </w:r>
    </w:p>
    <w:p w:rsidR="00FB6667" w:rsidRPr="00305325" w:rsidRDefault="00FB6667" w:rsidP="00FD3032">
      <w:pPr>
        <w:jc w:val="both"/>
        <w:rPr>
          <w:sz w:val="22"/>
          <w:szCs w:val="22"/>
        </w:rPr>
      </w:pPr>
    </w:p>
    <w:p w:rsidR="009B2CDE" w:rsidRPr="00305325" w:rsidRDefault="00203FC8" w:rsidP="00FD3032">
      <w:pPr>
        <w:jc w:val="both"/>
        <w:rPr>
          <w:sz w:val="22"/>
          <w:szCs w:val="22"/>
        </w:rPr>
      </w:pPr>
      <w:r>
        <w:rPr>
          <w:sz w:val="22"/>
          <w:szCs w:val="22"/>
        </w:rPr>
        <w:t>2.02.</w:t>
      </w:r>
      <w:r>
        <w:rPr>
          <w:sz w:val="22"/>
          <w:szCs w:val="22"/>
        </w:rPr>
        <w:tab/>
      </w:r>
      <w:r>
        <w:rPr>
          <w:b/>
          <w:i/>
          <w:sz w:val="22"/>
          <w:szCs w:val="22"/>
        </w:rPr>
        <w:t>Execution Generally.</w:t>
      </w:r>
      <w:r>
        <w:rPr>
          <w:sz w:val="22"/>
          <w:szCs w:val="22"/>
        </w:rPr>
        <w:t xml:space="preserve">  The Recipient declares its commitment to the objective of the Readiness Preparation Activities.  To this end, the Recipient shall carry out the Readiness Preparation Activities through the Forest Research and Development Agency, </w:t>
      </w:r>
      <w:r w:rsidR="000247F7">
        <w:rPr>
          <w:sz w:val="22"/>
          <w:szCs w:val="22"/>
        </w:rPr>
        <w:t>in particular</w:t>
      </w:r>
      <w:r w:rsidR="007200DD">
        <w:rPr>
          <w:sz w:val="22"/>
          <w:szCs w:val="22"/>
        </w:rPr>
        <w:t xml:space="preserve"> </w:t>
      </w:r>
      <w:r w:rsidR="007200DD" w:rsidRPr="007200DD">
        <w:rPr>
          <w:bCs/>
          <w:sz w:val="22"/>
          <w:szCs w:val="22"/>
        </w:rPr>
        <w:t>the Center for Climate Change and Policy</w:t>
      </w:r>
      <w:r w:rsidR="007200DD">
        <w:rPr>
          <w:bCs/>
          <w:sz w:val="22"/>
          <w:szCs w:val="22"/>
        </w:rPr>
        <w:t>,</w:t>
      </w:r>
      <w:r w:rsidR="007200DD" w:rsidRPr="007200DD">
        <w:rPr>
          <w:sz w:val="22"/>
          <w:szCs w:val="22"/>
        </w:rPr>
        <w:t xml:space="preserve"> </w:t>
      </w:r>
      <w:r w:rsidR="000C0401" w:rsidRPr="000C0401">
        <w:rPr>
          <w:sz w:val="22"/>
          <w:szCs w:val="22"/>
        </w:rPr>
        <w:t>in co</w:t>
      </w:r>
      <w:r w:rsidR="006867F5">
        <w:rPr>
          <w:sz w:val="22"/>
          <w:szCs w:val="22"/>
        </w:rPr>
        <w:t>llabor</w:t>
      </w:r>
      <w:r w:rsidR="000C0401" w:rsidRPr="000C0401">
        <w:rPr>
          <w:sz w:val="22"/>
          <w:szCs w:val="22"/>
        </w:rPr>
        <w:t>ation with the Center for Standardization and Environment</w:t>
      </w:r>
      <w:r w:rsidR="00822FE7">
        <w:rPr>
          <w:sz w:val="22"/>
          <w:szCs w:val="22"/>
        </w:rPr>
        <w:t xml:space="preserve"> </w:t>
      </w:r>
      <w:r w:rsidR="00822FE7" w:rsidRPr="00822FE7">
        <w:rPr>
          <w:sz w:val="22"/>
          <w:szCs w:val="22"/>
        </w:rPr>
        <w:t>and the Center for International Cooperation</w:t>
      </w:r>
      <w:r w:rsidR="000C0401" w:rsidRPr="000C0401">
        <w:rPr>
          <w:sz w:val="22"/>
          <w:szCs w:val="22"/>
        </w:rPr>
        <w:t xml:space="preserve">, and </w:t>
      </w:r>
      <w:r>
        <w:rPr>
          <w:sz w:val="22"/>
          <w:szCs w:val="22"/>
        </w:rPr>
        <w:t xml:space="preserve">acting with the support of the National Forestry </w:t>
      </w:r>
      <w:r w:rsidR="00E054E3">
        <w:rPr>
          <w:sz w:val="22"/>
          <w:szCs w:val="22"/>
        </w:rPr>
        <w:t xml:space="preserve">Council </w:t>
      </w:r>
      <w:r>
        <w:rPr>
          <w:sz w:val="22"/>
          <w:szCs w:val="22"/>
        </w:rPr>
        <w:t>with respect to the activities set forth in Section</w:t>
      </w:r>
      <w:r w:rsidR="001C5374">
        <w:rPr>
          <w:sz w:val="22"/>
          <w:szCs w:val="22"/>
        </w:rPr>
        <w:t>s</w:t>
      </w:r>
      <w:r>
        <w:rPr>
          <w:sz w:val="22"/>
          <w:szCs w:val="22"/>
        </w:rPr>
        <w:t> 2.01 (b) </w:t>
      </w:r>
      <w:r w:rsidR="001C5374">
        <w:rPr>
          <w:sz w:val="22"/>
          <w:szCs w:val="22"/>
        </w:rPr>
        <w:t xml:space="preserve">(iv) and </w:t>
      </w:r>
      <w:r>
        <w:rPr>
          <w:sz w:val="22"/>
          <w:szCs w:val="22"/>
        </w:rPr>
        <w:t>(vi) of this Annex pursuant to the Recipient’s Regulation No. P.39/</w:t>
      </w:r>
      <w:proofErr w:type="spellStart"/>
      <w:r>
        <w:rPr>
          <w:sz w:val="22"/>
          <w:szCs w:val="22"/>
        </w:rPr>
        <w:t>Menhut</w:t>
      </w:r>
      <w:proofErr w:type="spellEnd"/>
      <w:r>
        <w:rPr>
          <w:sz w:val="22"/>
          <w:szCs w:val="22"/>
        </w:rPr>
        <w:t>-II/2007 dated September 13, 2007, all in accorda</w:t>
      </w:r>
      <w:r w:rsidR="00951A0E">
        <w:rPr>
          <w:sz w:val="22"/>
          <w:szCs w:val="22"/>
        </w:rPr>
        <w:t>nce with the provisions of: (a) </w:t>
      </w:r>
      <w:r>
        <w:rPr>
          <w:sz w:val="22"/>
          <w:szCs w:val="22"/>
        </w:rPr>
        <w:t>Article II of the Standard Conditions, (b) the “Guidelines on Preventing and Combating Fraud and Corruption in Projects Financed by IBRD Loans and IDA Credits and Grants”, dated October 15, 2006 and revised in January 2011 (“Anti-Corruption Guidelines”), and (c) this Article II.</w:t>
      </w:r>
    </w:p>
    <w:p w:rsidR="00DE7DBA" w:rsidRPr="00305325" w:rsidRDefault="00DE7DBA" w:rsidP="00FD3032">
      <w:pPr>
        <w:jc w:val="both"/>
        <w:rPr>
          <w:sz w:val="22"/>
          <w:szCs w:val="22"/>
        </w:rPr>
      </w:pPr>
    </w:p>
    <w:p w:rsidR="007F5C43" w:rsidRPr="00D43F7C" w:rsidRDefault="00203FC8" w:rsidP="00885124">
      <w:pPr>
        <w:jc w:val="both"/>
        <w:rPr>
          <w:sz w:val="22"/>
          <w:szCs w:val="22"/>
        </w:rPr>
      </w:pPr>
      <w:r w:rsidRPr="00D43F7C">
        <w:rPr>
          <w:sz w:val="22"/>
          <w:szCs w:val="22"/>
        </w:rPr>
        <w:t>2.03.</w:t>
      </w:r>
      <w:r w:rsidRPr="00D43F7C">
        <w:rPr>
          <w:sz w:val="22"/>
          <w:szCs w:val="22"/>
        </w:rPr>
        <w:tab/>
      </w:r>
      <w:r w:rsidRPr="00D43F7C">
        <w:rPr>
          <w:b/>
          <w:i/>
          <w:sz w:val="22"/>
          <w:szCs w:val="22"/>
        </w:rPr>
        <w:t>Implementation Arrangements</w:t>
      </w:r>
      <w:r w:rsidR="007E7579" w:rsidRPr="00D43F7C">
        <w:rPr>
          <w:sz w:val="22"/>
          <w:szCs w:val="22"/>
        </w:rPr>
        <w:t xml:space="preserve">  </w:t>
      </w:r>
    </w:p>
    <w:p w:rsidR="007F5C43" w:rsidRPr="00D43F7C" w:rsidRDefault="007F5C43" w:rsidP="00885124">
      <w:pPr>
        <w:jc w:val="both"/>
        <w:rPr>
          <w:sz w:val="22"/>
          <w:szCs w:val="22"/>
        </w:rPr>
      </w:pPr>
    </w:p>
    <w:p w:rsidR="007F5C43" w:rsidRPr="00D43F7C" w:rsidRDefault="007E7579" w:rsidP="007F5C43">
      <w:pPr>
        <w:ind w:firstLine="720"/>
        <w:jc w:val="both"/>
        <w:rPr>
          <w:bCs/>
          <w:sz w:val="22"/>
          <w:szCs w:val="22"/>
        </w:rPr>
      </w:pPr>
      <w:r w:rsidRPr="00D43F7C">
        <w:rPr>
          <w:bCs/>
          <w:iCs/>
          <w:sz w:val="22"/>
          <w:szCs w:val="22"/>
        </w:rPr>
        <w:t>T</w:t>
      </w:r>
      <w:r w:rsidRPr="00D43F7C">
        <w:rPr>
          <w:bCs/>
          <w:sz w:val="22"/>
          <w:szCs w:val="22"/>
        </w:rPr>
        <w:t>he Recipient shall</w:t>
      </w:r>
      <w:r w:rsidR="007F5C43" w:rsidRPr="00D43F7C">
        <w:rPr>
          <w:bCs/>
          <w:sz w:val="22"/>
          <w:szCs w:val="22"/>
        </w:rPr>
        <w:t xml:space="preserve"> be responsible</w:t>
      </w:r>
      <w:r w:rsidR="007E7451">
        <w:rPr>
          <w:bCs/>
          <w:sz w:val="22"/>
          <w:szCs w:val="22"/>
        </w:rPr>
        <w:t xml:space="preserve"> for the</w:t>
      </w:r>
      <w:r w:rsidR="007F5C43" w:rsidRPr="00D43F7C">
        <w:rPr>
          <w:bCs/>
          <w:sz w:val="22"/>
          <w:szCs w:val="22"/>
        </w:rPr>
        <w:t xml:space="preserve">: </w:t>
      </w:r>
    </w:p>
    <w:p w:rsidR="007F5C43" w:rsidRPr="00D43F7C" w:rsidRDefault="007F5C43" w:rsidP="007F5C43">
      <w:pPr>
        <w:ind w:firstLine="720"/>
        <w:jc w:val="both"/>
        <w:rPr>
          <w:bCs/>
          <w:sz w:val="22"/>
          <w:szCs w:val="22"/>
        </w:rPr>
      </w:pPr>
    </w:p>
    <w:p w:rsidR="00FC7F99" w:rsidRDefault="007263E9" w:rsidP="007F5C43">
      <w:pPr>
        <w:ind w:firstLine="720"/>
        <w:jc w:val="both"/>
        <w:rPr>
          <w:bCs/>
          <w:sz w:val="22"/>
          <w:szCs w:val="22"/>
        </w:rPr>
      </w:pPr>
      <w:r>
        <w:rPr>
          <w:bCs/>
          <w:sz w:val="22"/>
          <w:szCs w:val="22"/>
        </w:rPr>
        <w:t>(a</w:t>
      </w:r>
      <w:r w:rsidR="007F5C43" w:rsidRPr="00D43F7C">
        <w:rPr>
          <w:bCs/>
          <w:sz w:val="22"/>
          <w:szCs w:val="22"/>
        </w:rPr>
        <w:t>)</w:t>
      </w:r>
      <w:r w:rsidR="007F5C43" w:rsidRPr="00D43F7C">
        <w:rPr>
          <w:bCs/>
          <w:sz w:val="22"/>
          <w:szCs w:val="22"/>
        </w:rPr>
        <w:tab/>
      </w:r>
      <w:r w:rsidR="00EA7F36">
        <w:rPr>
          <w:bCs/>
          <w:sz w:val="22"/>
          <w:szCs w:val="22"/>
        </w:rPr>
        <w:t>policy and strategic orientation</w:t>
      </w:r>
      <w:r w:rsidR="00FC7F99" w:rsidRPr="00FC7F99">
        <w:rPr>
          <w:bCs/>
          <w:sz w:val="22"/>
          <w:szCs w:val="22"/>
        </w:rPr>
        <w:t xml:space="preserve"> of the Readiness Preparation Activiti</w:t>
      </w:r>
      <w:r w:rsidR="00FB44B7">
        <w:rPr>
          <w:bCs/>
          <w:sz w:val="22"/>
          <w:szCs w:val="22"/>
        </w:rPr>
        <w:t>es through a steering committee, and,</w:t>
      </w:r>
      <w:r w:rsidR="00FC7F99" w:rsidRPr="00FC7F99">
        <w:rPr>
          <w:bCs/>
          <w:sz w:val="22"/>
          <w:szCs w:val="22"/>
        </w:rPr>
        <w:t xml:space="preserve"> to this end, shall establish, no later than two (2) months after the date of </w:t>
      </w:r>
      <w:r w:rsidR="00AB4ACE">
        <w:rPr>
          <w:bCs/>
          <w:sz w:val="22"/>
          <w:szCs w:val="22"/>
        </w:rPr>
        <w:t>countersignature</w:t>
      </w:r>
      <w:r w:rsidR="00FC7F99" w:rsidRPr="00FC7F99">
        <w:rPr>
          <w:bCs/>
          <w:sz w:val="22"/>
          <w:szCs w:val="22"/>
        </w:rPr>
        <w:t xml:space="preserve"> of this Agreement</w:t>
      </w:r>
      <w:r w:rsidR="00AB4ACE">
        <w:rPr>
          <w:bCs/>
          <w:sz w:val="22"/>
          <w:szCs w:val="22"/>
        </w:rPr>
        <w:t xml:space="preserve"> </w:t>
      </w:r>
      <w:r w:rsidR="00AB4ACE" w:rsidRPr="00AB4ACE">
        <w:rPr>
          <w:bCs/>
          <w:sz w:val="22"/>
          <w:szCs w:val="22"/>
        </w:rPr>
        <w:t>by the Recipient</w:t>
      </w:r>
      <w:r w:rsidR="00FC7F99" w:rsidRPr="00FC7F99">
        <w:rPr>
          <w:bCs/>
          <w:sz w:val="22"/>
          <w:szCs w:val="22"/>
        </w:rPr>
        <w:t xml:space="preserve">, and thereafter maintain throughout implementation of the Readiness Preparation Activities, </w:t>
      </w:r>
      <w:r w:rsidR="00B808F6">
        <w:rPr>
          <w:bCs/>
          <w:sz w:val="22"/>
          <w:szCs w:val="22"/>
        </w:rPr>
        <w:t xml:space="preserve">such a committee, </w:t>
      </w:r>
      <w:r w:rsidR="00FC7F99" w:rsidRPr="00FC7F99">
        <w:rPr>
          <w:bCs/>
          <w:sz w:val="22"/>
          <w:szCs w:val="22"/>
        </w:rPr>
        <w:t xml:space="preserve">comprising a representative of the Ministry of Forestry as chair and representatives of other ministries and agencies involved in REDD+ </w:t>
      </w:r>
      <w:r w:rsidR="00B04622">
        <w:rPr>
          <w:bCs/>
          <w:sz w:val="22"/>
          <w:szCs w:val="22"/>
        </w:rPr>
        <w:t xml:space="preserve">activities </w:t>
      </w:r>
      <w:r w:rsidR="00FC7F99" w:rsidRPr="00FC7F99">
        <w:rPr>
          <w:bCs/>
          <w:sz w:val="22"/>
          <w:szCs w:val="22"/>
        </w:rPr>
        <w:t>in Indonesia, and with an institutional framework, functions, and resources satisfactory to the Recipient and the World Bank as shall be required for implementation of the Readiness Preparation Activities</w:t>
      </w:r>
      <w:r w:rsidR="00FC7F99">
        <w:rPr>
          <w:bCs/>
          <w:sz w:val="22"/>
          <w:szCs w:val="22"/>
        </w:rPr>
        <w:t>;</w:t>
      </w:r>
      <w:r w:rsidR="00943F00">
        <w:rPr>
          <w:bCs/>
          <w:sz w:val="22"/>
          <w:szCs w:val="22"/>
        </w:rPr>
        <w:t xml:space="preserve"> and</w:t>
      </w:r>
    </w:p>
    <w:p w:rsidR="00FC7F99" w:rsidRDefault="00FC7F99" w:rsidP="007F5C43">
      <w:pPr>
        <w:ind w:firstLine="720"/>
        <w:jc w:val="both"/>
        <w:rPr>
          <w:bCs/>
          <w:sz w:val="22"/>
          <w:szCs w:val="22"/>
        </w:rPr>
      </w:pPr>
    </w:p>
    <w:p w:rsidR="00B52185" w:rsidRDefault="00B52185" w:rsidP="007F5C43">
      <w:pPr>
        <w:ind w:firstLine="720"/>
        <w:jc w:val="both"/>
        <w:rPr>
          <w:bCs/>
          <w:sz w:val="22"/>
          <w:szCs w:val="22"/>
        </w:rPr>
      </w:pPr>
    </w:p>
    <w:p w:rsidR="00BE31AE" w:rsidRDefault="007263E9" w:rsidP="008D24E1">
      <w:pPr>
        <w:ind w:firstLine="720"/>
        <w:jc w:val="both"/>
        <w:rPr>
          <w:bCs/>
          <w:sz w:val="22"/>
          <w:szCs w:val="22"/>
        </w:rPr>
      </w:pPr>
      <w:r>
        <w:rPr>
          <w:bCs/>
          <w:sz w:val="22"/>
          <w:szCs w:val="22"/>
        </w:rPr>
        <w:lastRenderedPageBreak/>
        <w:t>(b</w:t>
      </w:r>
      <w:r w:rsidR="00FC7F99">
        <w:rPr>
          <w:bCs/>
          <w:sz w:val="22"/>
          <w:szCs w:val="22"/>
        </w:rPr>
        <w:t>)</w:t>
      </w:r>
      <w:r w:rsidR="00FC7F99">
        <w:rPr>
          <w:bCs/>
          <w:sz w:val="22"/>
          <w:szCs w:val="22"/>
        </w:rPr>
        <w:tab/>
      </w:r>
      <w:r w:rsidR="00B32A02">
        <w:rPr>
          <w:bCs/>
          <w:sz w:val="22"/>
          <w:szCs w:val="22"/>
        </w:rPr>
        <w:t xml:space="preserve">overall coordination, </w:t>
      </w:r>
      <w:r w:rsidR="007E7579" w:rsidRPr="00D43F7C">
        <w:rPr>
          <w:bCs/>
          <w:sz w:val="22"/>
          <w:szCs w:val="22"/>
        </w:rPr>
        <w:t xml:space="preserve">implementation, including administrative and financial management, disbursement, and procurement, and monitoring and evaluation of the </w:t>
      </w:r>
      <w:r w:rsidR="007F5C43" w:rsidRPr="00D43F7C">
        <w:rPr>
          <w:sz w:val="22"/>
          <w:szCs w:val="22"/>
        </w:rPr>
        <w:t xml:space="preserve">Readiness Preparation Activities </w:t>
      </w:r>
      <w:r w:rsidR="007E7579" w:rsidRPr="00D43F7C">
        <w:rPr>
          <w:bCs/>
          <w:sz w:val="22"/>
          <w:szCs w:val="22"/>
        </w:rPr>
        <w:t xml:space="preserve">through the </w:t>
      </w:r>
      <w:r w:rsidR="006A319E" w:rsidRPr="00D43F7C">
        <w:rPr>
          <w:sz w:val="22"/>
          <w:szCs w:val="22"/>
        </w:rPr>
        <w:t>Readiness Preparation Activities</w:t>
      </w:r>
      <w:r w:rsidR="006A319E" w:rsidRPr="00D43F7C">
        <w:rPr>
          <w:bCs/>
          <w:sz w:val="22"/>
          <w:szCs w:val="22"/>
        </w:rPr>
        <w:t xml:space="preserve"> </w:t>
      </w:r>
      <w:r w:rsidR="0090679C" w:rsidRPr="0090679C">
        <w:rPr>
          <w:bCs/>
          <w:sz w:val="22"/>
          <w:szCs w:val="22"/>
        </w:rPr>
        <w:t>Secretariat</w:t>
      </w:r>
      <w:r w:rsidR="007E7579" w:rsidRPr="00D43F7C">
        <w:rPr>
          <w:bCs/>
          <w:sz w:val="22"/>
          <w:szCs w:val="22"/>
        </w:rPr>
        <w:t>, and</w:t>
      </w:r>
      <w:r w:rsidR="009F463B">
        <w:rPr>
          <w:bCs/>
          <w:sz w:val="22"/>
          <w:szCs w:val="22"/>
        </w:rPr>
        <w:t>, to this end,</w:t>
      </w:r>
      <w:r w:rsidR="007E7579" w:rsidRPr="00D43F7C">
        <w:rPr>
          <w:bCs/>
          <w:sz w:val="22"/>
          <w:szCs w:val="22"/>
        </w:rPr>
        <w:t xml:space="preserve"> </w:t>
      </w:r>
      <w:r w:rsidR="009F463B">
        <w:rPr>
          <w:bCs/>
          <w:sz w:val="22"/>
          <w:szCs w:val="22"/>
        </w:rPr>
        <w:t>shall</w:t>
      </w:r>
      <w:r w:rsidR="00376F35">
        <w:rPr>
          <w:bCs/>
          <w:sz w:val="22"/>
          <w:szCs w:val="22"/>
        </w:rPr>
        <w:t>:</w:t>
      </w:r>
      <w:r w:rsidR="009F463B">
        <w:rPr>
          <w:bCs/>
          <w:sz w:val="22"/>
          <w:szCs w:val="22"/>
        </w:rPr>
        <w:t xml:space="preserve"> </w:t>
      </w:r>
      <w:r w:rsidR="00376F35">
        <w:rPr>
          <w:bCs/>
          <w:sz w:val="22"/>
          <w:szCs w:val="22"/>
        </w:rPr>
        <w:t>(</w:t>
      </w:r>
      <w:proofErr w:type="spellStart"/>
      <w:r w:rsidR="00376F35">
        <w:rPr>
          <w:bCs/>
          <w:sz w:val="22"/>
          <w:szCs w:val="22"/>
        </w:rPr>
        <w:t>i</w:t>
      </w:r>
      <w:proofErr w:type="spellEnd"/>
      <w:r w:rsidR="00376F35">
        <w:rPr>
          <w:bCs/>
          <w:sz w:val="22"/>
          <w:szCs w:val="22"/>
        </w:rPr>
        <w:t xml:space="preserve">) </w:t>
      </w:r>
      <w:r w:rsidR="00BD2C09" w:rsidRPr="00BD2C09">
        <w:rPr>
          <w:bCs/>
          <w:sz w:val="22"/>
          <w:szCs w:val="22"/>
        </w:rPr>
        <w:t xml:space="preserve">establish, no later than </w:t>
      </w:r>
      <w:r w:rsidR="00D0258F">
        <w:rPr>
          <w:bCs/>
          <w:sz w:val="22"/>
          <w:szCs w:val="22"/>
        </w:rPr>
        <w:t>one (1) month</w:t>
      </w:r>
      <w:r w:rsidR="00BD2C09" w:rsidRPr="00BD2C09">
        <w:rPr>
          <w:bCs/>
          <w:sz w:val="22"/>
          <w:szCs w:val="22"/>
        </w:rPr>
        <w:t xml:space="preserve"> after the date of countersignature of this Agreement by the Recipient, and thereafter </w:t>
      </w:r>
      <w:r w:rsidR="007E7579" w:rsidRPr="00D43F7C">
        <w:rPr>
          <w:bCs/>
          <w:sz w:val="22"/>
          <w:szCs w:val="22"/>
        </w:rPr>
        <w:t xml:space="preserve">maintain </w:t>
      </w:r>
      <w:r w:rsidR="006A319E" w:rsidRPr="00D43F7C">
        <w:rPr>
          <w:bCs/>
          <w:sz w:val="22"/>
          <w:szCs w:val="22"/>
        </w:rPr>
        <w:t xml:space="preserve">throughout implementation of the </w:t>
      </w:r>
      <w:r w:rsidR="006A319E" w:rsidRPr="00D43F7C">
        <w:rPr>
          <w:sz w:val="22"/>
          <w:szCs w:val="22"/>
        </w:rPr>
        <w:t>Readiness Preparation Activities</w:t>
      </w:r>
      <w:r w:rsidR="00C07453" w:rsidRPr="00D43F7C">
        <w:rPr>
          <w:sz w:val="22"/>
          <w:szCs w:val="22"/>
        </w:rPr>
        <w:t xml:space="preserve">, </w:t>
      </w:r>
      <w:r w:rsidR="00BA7143">
        <w:rPr>
          <w:sz w:val="22"/>
          <w:szCs w:val="22"/>
        </w:rPr>
        <w:t>said</w:t>
      </w:r>
      <w:r w:rsidR="006A319E" w:rsidRPr="00D43F7C">
        <w:rPr>
          <w:bCs/>
          <w:sz w:val="22"/>
          <w:szCs w:val="22"/>
        </w:rPr>
        <w:t xml:space="preserve"> </w:t>
      </w:r>
      <w:r w:rsidR="0090679C" w:rsidRPr="0090679C">
        <w:rPr>
          <w:bCs/>
          <w:sz w:val="22"/>
          <w:szCs w:val="22"/>
        </w:rPr>
        <w:t>Secretariat</w:t>
      </w:r>
      <w:r w:rsidR="007E7579" w:rsidRPr="00D43F7C">
        <w:rPr>
          <w:bCs/>
          <w:sz w:val="22"/>
          <w:szCs w:val="22"/>
        </w:rPr>
        <w:t>, with an adequate institutional framework, functions, and resources, including competent personnel in adequate numbers, satisfactory to the Recipient and the World Bank as shall be required for pur</w:t>
      </w:r>
      <w:r w:rsidR="007F5C43" w:rsidRPr="00D43F7C">
        <w:rPr>
          <w:bCs/>
          <w:sz w:val="22"/>
          <w:szCs w:val="22"/>
        </w:rPr>
        <w:t>poses of</w:t>
      </w:r>
      <w:r w:rsidR="00C07453" w:rsidRPr="00D43F7C">
        <w:rPr>
          <w:bCs/>
          <w:sz w:val="22"/>
          <w:szCs w:val="22"/>
        </w:rPr>
        <w:t xml:space="preserve"> implementation of the </w:t>
      </w:r>
      <w:r w:rsidR="00C07453" w:rsidRPr="00D43F7C">
        <w:rPr>
          <w:sz w:val="22"/>
          <w:szCs w:val="22"/>
        </w:rPr>
        <w:t>Readiness Preparation Activities</w:t>
      </w:r>
      <w:r w:rsidR="00F11576">
        <w:rPr>
          <w:bCs/>
          <w:sz w:val="22"/>
          <w:szCs w:val="22"/>
        </w:rPr>
        <w:t>; and</w:t>
      </w:r>
      <w:r w:rsidR="008D24E1">
        <w:rPr>
          <w:bCs/>
          <w:sz w:val="22"/>
          <w:szCs w:val="22"/>
        </w:rPr>
        <w:t xml:space="preserve"> (ii) </w:t>
      </w:r>
      <w:r w:rsidR="00D83880" w:rsidRPr="00D83880">
        <w:rPr>
          <w:bCs/>
          <w:sz w:val="22"/>
          <w:szCs w:val="22"/>
        </w:rPr>
        <w:t>communicate to the World Bank</w:t>
      </w:r>
      <w:r w:rsidR="00D83880">
        <w:rPr>
          <w:bCs/>
          <w:sz w:val="22"/>
          <w:szCs w:val="22"/>
        </w:rPr>
        <w:t>,</w:t>
      </w:r>
      <w:r w:rsidR="00D83880" w:rsidRPr="00D83880">
        <w:rPr>
          <w:bCs/>
          <w:sz w:val="22"/>
          <w:szCs w:val="22"/>
        </w:rPr>
        <w:t xml:space="preserve"> </w:t>
      </w:r>
      <w:r w:rsidR="00376F35">
        <w:rPr>
          <w:bCs/>
          <w:sz w:val="22"/>
          <w:szCs w:val="22"/>
        </w:rPr>
        <w:t xml:space="preserve">no later than one (1) </w:t>
      </w:r>
      <w:r w:rsidR="00E13706">
        <w:rPr>
          <w:bCs/>
          <w:sz w:val="22"/>
          <w:szCs w:val="22"/>
        </w:rPr>
        <w:t xml:space="preserve">week </w:t>
      </w:r>
      <w:r w:rsidR="00376F35">
        <w:rPr>
          <w:bCs/>
          <w:sz w:val="22"/>
          <w:szCs w:val="22"/>
        </w:rPr>
        <w:t xml:space="preserve">after </w:t>
      </w:r>
      <w:r w:rsidR="00E13706">
        <w:rPr>
          <w:bCs/>
          <w:sz w:val="22"/>
          <w:szCs w:val="22"/>
        </w:rPr>
        <w:t>such establishment</w:t>
      </w:r>
      <w:r w:rsidR="00376F35" w:rsidRPr="00376F35">
        <w:rPr>
          <w:bCs/>
          <w:sz w:val="22"/>
          <w:szCs w:val="22"/>
        </w:rPr>
        <w:t>,</w:t>
      </w:r>
      <w:r w:rsidR="00376F35">
        <w:rPr>
          <w:bCs/>
          <w:sz w:val="22"/>
          <w:szCs w:val="22"/>
        </w:rPr>
        <w:t xml:space="preserve"> the composition </w:t>
      </w:r>
      <w:r w:rsidR="0070686A">
        <w:rPr>
          <w:bCs/>
          <w:sz w:val="22"/>
          <w:szCs w:val="22"/>
        </w:rPr>
        <w:t xml:space="preserve">and allocation of responsibilities </w:t>
      </w:r>
      <w:r w:rsidR="006C75AC">
        <w:rPr>
          <w:bCs/>
          <w:sz w:val="22"/>
          <w:szCs w:val="22"/>
        </w:rPr>
        <w:t xml:space="preserve">of the personnel </w:t>
      </w:r>
      <w:r w:rsidR="00376F35">
        <w:rPr>
          <w:bCs/>
          <w:sz w:val="22"/>
          <w:szCs w:val="22"/>
        </w:rPr>
        <w:t xml:space="preserve">of </w:t>
      </w:r>
      <w:r w:rsidR="000C13CD">
        <w:rPr>
          <w:bCs/>
          <w:sz w:val="22"/>
          <w:szCs w:val="22"/>
        </w:rPr>
        <w:t>said Secretariat</w:t>
      </w:r>
      <w:r w:rsidR="00F11576">
        <w:rPr>
          <w:bCs/>
          <w:sz w:val="22"/>
          <w:szCs w:val="22"/>
        </w:rPr>
        <w:t>.</w:t>
      </w:r>
    </w:p>
    <w:p w:rsidR="00BE31AE" w:rsidRDefault="00BE31AE" w:rsidP="002138CC">
      <w:pPr>
        <w:ind w:firstLine="720"/>
        <w:jc w:val="both"/>
        <w:rPr>
          <w:bCs/>
          <w:sz w:val="22"/>
          <w:szCs w:val="22"/>
          <w:highlight w:val="yellow"/>
        </w:rPr>
      </w:pPr>
    </w:p>
    <w:p w:rsidR="0025574C" w:rsidRPr="0025574C" w:rsidRDefault="0025574C" w:rsidP="0025574C">
      <w:pPr>
        <w:jc w:val="both"/>
        <w:rPr>
          <w:bCs/>
          <w:sz w:val="22"/>
          <w:szCs w:val="22"/>
        </w:rPr>
      </w:pPr>
      <w:r>
        <w:rPr>
          <w:bCs/>
          <w:sz w:val="22"/>
          <w:szCs w:val="22"/>
        </w:rPr>
        <w:t>2.04.</w:t>
      </w:r>
      <w:r>
        <w:rPr>
          <w:bCs/>
          <w:sz w:val="22"/>
          <w:szCs w:val="22"/>
        </w:rPr>
        <w:tab/>
      </w:r>
      <w:r w:rsidR="00E52538" w:rsidRPr="00E52538">
        <w:rPr>
          <w:b/>
          <w:bCs/>
          <w:i/>
          <w:sz w:val="22"/>
          <w:szCs w:val="22"/>
        </w:rPr>
        <w:t xml:space="preserve">Readiness Preparation Activities </w:t>
      </w:r>
      <w:r w:rsidR="00A54670">
        <w:rPr>
          <w:b/>
          <w:bCs/>
          <w:i/>
          <w:sz w:val="22"/>
          <w:szCs w:val="22"/>
        </w:rPr>
        <w:t xml:space="preserve">Management </w:t>
      </w:r>
      <w:r w:rsidR="00783C82">
        <w:rPr>
          <w:b/>
          <w:bCs/>
          <w:i/>
          <w:sz w:val="22"/>
          <w:szCs w:val="22"/>
        </w:rPr>
        <w:t>M</w:t>
      </w:r>
      <w:r w:rsidRPr="0025574C">
        <w:rPr>
          <w:b/>
          <w:bCs/>
          <w:i/>
          <w:sz w:val="22"/>
          <w:szCs w:val="22"/>
        </w:rPr>
        <w:t>anual</w:t>
      </w:r>
    </w:p>
    <w:p w:rsidR="0025574C" w:rsidRDefault="0025574C" w:rsidP="00BE31AE">
      <w:pPr>
        <w:pStyle w:val="ListParagraph"/>
        <w:ind w:left="1440" w:hanging="720"/>
        <w:jc w:val="both"/>
        <w:rPr>
          <w:bCs/>
          <w:sz w:val="22"/>
          <w:szCs w:val="22"/>
        </w:rPr>
      </w:pPr>
    </w:p>
    <w:p w:rsidR="00BE31AE" w:rsidRDefault="00BE31AE" w:rsidP="00BE31AE">
      <w:pPr>
        <w:pStyle w:val="ListParagraph"/>
        <w:ind w:left="1440" w:hanging="720"/>
        <w:jc w:val="both"/>
        <w:rPr>
          <w:bCs/>
          <w:sz w:val="22"/>
          <w:szCs w:val="22"/>
        </w:rPr>
      </w:pPr>
      <w:r w:rsidRPr="00BE31AE">
        <w:rPr>
          <w:bCs/>
          <w:sz w:val="22"/>
          <w:szCs w:val="22"/>
        </w:rPr>
        <w:t>(</w:t>
      </w:r>
      <w:r w:rsidR="0025574C">
        <w:rPr>
          <w:bCs/>
          <w:sz w:val="22"/>
          <w:szCs w:val="22"/>
        </w:rPr>
        <w:t>a</w:t>
      </w:r>
      <w:r>
        <w:rPr>
          <w:bCs/>
          <w:sz w:val="22"/>
          <w:szCs w:val="22"/>
        </w:rPr>
        <w:t>)</w:t>
      </w:r>
      <w:r>
        <w:rPr>
          <w:bCs/>
          <w:sz w:val="22"/>
          <w:szCs w:val="22"/>
        </w:rPr>
        <w:tab/>
        <w:t>The Recipient shall:</w:t>
      </w:r>
    </w:p>
    <w:p w:rsidR="00BE31AE" w:rsidRDefault="00BE31AE" w:rsidP="00BE31AE">
      <w:pPr>
        <w:pStyle w:val="ListParagraph"/>
        <w:ind w:left="1440" w:hanging="720"/>
        <w:jc w:val="both"/>
        <w:rPr>
          <w:bCs/>
          <w:sz w:val="22"/>
          <w:szCs w:val="22"/>
        </w:rPr>
      </w:pPr>
    </w:p>
    <w:p w:rsidR="00BE31AE" w:rsidRPr="008D76DB" w:rsidRDefault="00C35089" w:rsidP="00BE31AE">
      <w:pPr>
        <w:pStyle w:val="ListParagraph"/>
        <w:numPr>
          <w:ilvl w:val="0"/>
          <w:numId w:val="36"/>
        </w:numPr>
        <w:jc w:val="both"/>
        <w:rPr>
          <w:sz w:val="22"/>
          <w:szCs w:val="22"/>
        </w:rPr>
      </w:pPr>
      <w:r>
        <w:rPr>
          <w:sz w:val="22"/>
          <w:szCs w:val="22"/>
        </w:rPr>
        <w:t xml:space="preserve">(A) </w:t>
      </w:r>
      <w:r w:rsidRPr="00C35089">
        <w:rPr>
          <w:sz w:val="22"/>
          <w:szCs w:val="22"/>
        </w:rPr>
        <w:t>adopt</w:t>
      </w:r>
      <w:r>
        <w:rPr>
          <w:sz w:val="22"/>
          <w:szCs w:val="22"/>
        </w:rPr>
        <w:t xml:space="preserve">, no later than two (2) months </w:t>
      </w:r>
      <w:r w:rsidRPr="00C35089">
        <w:rPr>
          <w:bCs/>
          <w:sz w:val="22"/>
          <w:szCs w:val="22"/>
        </w:rPr>
        <w:t xml:space="preserve">after the countersignature of this Agreement by the Recipient, </w:t>
      </w:r>
      <w:r w:rsidRPr="00C35089">
        <w:rPr>
          <w:sz w:val="22"/>
          <w:szCs w:val="22"/>
        </w:rPr>
        <w:t xml:space="preserve">a </w:t>
      </w:r>
      <w:r w:rsidRPr="00C35089">
        <w:rPr>
          <w:bCs/>
          <w:sz w:val="22"/>
          <w:szCs w:val="22"/>
        </w:rPr>
        <w:t xml:space="preserve">Readiness Preparation Activities Management </w:t>
      </w:r>
      <w:r w:rsidRPr="00C35089">
        <w:rPr>
          <w:sz w:val="22"/>
          <w:szCs w:val="22"/>
        </w:rPr>
        <w:t xml:space="preserve">Manual, agreed with the </w:t>
      </w:r>
      <w:r w:rsidR="00E81D0A">
        <w:rPr>
          <w:sz w:val="22"/>
          <w:szCs w:val="22"/>
        </w:rPr>
        <w:t>World Bank</w:t>
      </w:r>
      <w:r w:rsidRPr="00C35089">
        <w:rPr>
          <w:sz w:val="22"/>
          <w:szCs w:val="22"/>
        </w:rPr>
        <w:t xml:space="preserve"> and setting out implementation, organizational, administrative,</w:t>
      </w:r>
      <w:r w:rsidRPr="00C35089" w:rsidDel="00964492">
        <w:rPr>
          <w:sz w:val="22"/>
          <w:szCs w:val="22"/>
        </w:rPr>
        <w:t xml:space="preserve"> </w:t>
      </w:r>
      <w:r w:rsidRPr="00C35089">
        <w:rPr>
          <w:sz w:val="22"/>
          <w:szCs w:val="22"/>
        </w:rPr>
        <w:t xml:space="preserve">monitoring and evaluation, financial management, disbursement, and procurement arrangements for purposes of implementation of the </w:t>
      </w:r>
      <w:r w:rsidRPr="00C35089">
        <w:rPr>
          <w:bCs/>
          <w:sz w:val="22"/>
          <w:szCs w:val="22"/>
        </w:rPr>
        <w:t>Readiness Preparation Activities</w:t>
      </w:r>
      <w:r>
        <w:rPr>
          <w:bCs/>
          <w:sz w:val="22"/>
          <w:szCs w:val="22"/>
        </w:rPr>
        <w:t xml:space="preserve">; and (B) </w:t>
      </w:r>
      <w:r w:rsidR="00561BD4">
        <w:rPr>
          <w:bCs/>
          <w:sz w:val="22"/>
          <w:szCs w:val="22"/>
        </w:rPr>
        <w:t xml:space="preserve">thereafter </w:t>
      </w:r>
      <w:r w:rsidR="003A5417">
        <w:rPr>
          <w:sz w:val="22"/>
          <w:szCs w:val="22"/>
        </w:rPr>
        <w:t xml:space="preserve">ensure that </w:t>
      </w:r>
      <w:r w:rsidR="003A5417" w:rsidRPr="003A5417">
        <w:rPr>
          <w:sz w:val="22"/>
          <w:szCs w:val="22"/>
        </w:rPr>
        <w:t xml:space="preserve">the </w:t>
      </w:r>
      <w:r w:rsidR="003A5417" w:rsidRPr="003A5417">
        <w:rPr>
          <w:bCs/>
          <w:sz w:val="22"/>
          <w:szCs w:val="22"/>
        </w:rPr>
        <w:t>Readiness Preparation Activities</w:t>
      </w:r>
      <w:r w:rsidR="003A5417">
        <w:rPr>
          <w:bCs/>
          <w:sz w:val="22"/>
          <w:szCs w:val="22"/>
        </w:rPr>
        <w:t xml:space="preserve"> are </w:t>
      </w:r>
      <w:r w:rsidR="00BE31AE">
        <w:rPr>
          <w:sz w:val="22"/>
          <w:szCs w:val="22"/>
        </w:rPr>
        <w:t xml:space="preserve">carried out in accordance with the provisions of </w:t>
      </w:r>
      <w:r w:rsidR="00590B55">
        <w:rPr>
          <w:sz w:val="22"/>
          <w:szCs w:val="22"/>
        </w:rPr>
        <w:t>said</w:t>
      </w:r>
      <w:r w:rsidR="00DF2958" w:rsidRPr="00DF2958">
        <w:rPr>
          <w:sz w:val="22"/>
          <w:szCs w:val="22"/>
        </w:rPr>
        <w:t xml:space="preserve"> Manual</w:t>
      </w:r>
      <w:r w:rsidR="00BE31AE">
        <w:rPr>
          <w:sz w:val="22"/>
          <w:szCs w:val="22"/>
        </w:rPr>
        <w:t>; and</w:t>
      </w:r>
    </w:p>
    <w:p w:rsidR="00BE31AE" w:rsidRDefault="00BE31AE" w:rsidP="00BE31AE">
      <w:pPr>
        <w:pStyle w:val="ListParagraph"/>
        <w:ind w:left="1440" w:hanging="720"/>
        <w:jc w:val="both"/>
        <w:rPr>
          <w:sz w:val="22"/>
          <w:szCs w:val="22"/>
        </w:rPr>
      </w:pPr>
    </w:p>
    <w:p w:rsidR="00BE31AE" w:rsidRDefault="00BE31AE" w:rsidP="00BE31AE">
      <w:pPr>
        <w:pStyle w:val="ListParagraph"/>
        <w:ind w:left="2160" w:hanging="720"/>
        <w:jc w:val="both"/>
        <w:rPr>
          <w:sz w:val="22"/>
          <w:szCs w:val="22"/>
        </w:rPr>
      </w:pPr>
      <w:r>
        <w:rPr>
          <w:sz w:val="22"/>
          <w:szCs w:val="22"/>
        </w:rPr>
        <w:t>(ii</w:t>
      </w:r>
      <w:r w:rsidRPr="005A128A">
        <w:rPr>
          <w:sz w:val="22"/>
          <w:szCs w:val="22"/>
        </w:rPr>
        <w:t>)</w:t>
      </w:r>
      <w:r w:rsidRPr="005A128A">
        <w:rPr>
          <w:sz w:val="22"/>
          <w:szCs w:val="22"/>
        </w:rPr>
        <w:tab/>
      </w:r>
      <w:proofErr w:type="gramStart"/>
      <w:r w:rsidRPr="005A128A">
        <w:rPr>
          <w:sz w:val="22"/>
          <w:szCs w:val="22"/>
        </w:rPr>
        <w:t>not</w:t>
      </w:r>
      <w:proofErr w:type="gramEnd"/>
      <w:r w:rsidRPr="005A128A">
        <w:rPr>
          <w:sz w:val="22"/>
          <w:szCs w:val="22"/>
        </w:rPr>
        <w:t xml:space="preserve"> assign, amend, abrogate, or waive, or permit to be assigned, amended, abrogated, or waived, the aforementioned, or any provision thereof.</w:t>
      </w:r>
    </w:p>
    <w:p w:rsidR="00BE31AE" w:rsidRDefault="00BE31AE" w:rsidP="00BE31AE">
      <w:pPr>
        <w:jc w:val="both"/>
        <w:rPr>
          <w:sz w:val="22"/>
          <w:szCs w:val="22"/>
        </w:rPr>
      </w:pPr>
    </w:p>
    <w:p w:rsidR="007113CA" w:rsidRPr="00BE31AE" w:rsidRDefault="0025574C" w:rsidP="00BE31AE">
      <w:pPr>
        <w:ind w:left="1440" w:hanging="720"/>
        <w:jc w:val="both"/>
        <w:rPr>
          <w:sz w:val="22"/>
          <w:szCs w:val="22"/>
        </w:rPr>
      </w:pPr>
      <w:r>
        <w:rPr>
          <w:sz w:val="22"/>
          <w:szCs w:val="22"/>
        </w:rPr>
        <w:t>(b</w:t>
      </w:r>
      <w:r w:rsidR="00BE31AE">
        <w:rPr>
          <w:sz w:val="22"/>
          <w:szCs w:val="22"/>
        </w:rPr>
        <w:t>)</w:t>
      </w:r>
      <w:r w:rsidR="00BE31AE">
        <w:rPr>
          <w:sz w:val="22"/>
          <w:szCs w:val="22"/>
        </w:rPr>
        <w:tab/>
      </w:r>
      <w:r w:rsidR="00BE31AE" w:rsidRPr="00A64262">
        <w:rPr>
          <w:sz w:val="22"/>
          <w:szCs w:val="22"/>
        </w:rPr>
        <w:t xml:space="preserve">In the event of a conflict between the provisions of </w:t>
      </w:r>
      <w:r w:rsidR="00943627" w:rsidRPr="00943627">
        <w:rPr>
          <w:sz w:val="22"/>
          <w:szCs w:val="22"/>
        </w:rPr>
        <w:t xml:space="preserve">the </w:t>
      </w:r>
      <w:r w:rsidR="00E52538" w:rsidRPr="00E52538">
        <w:rPr>
          <w:sz w:val="22"/>
          <w:szCs w:val="22"/>
        </w:rPr>
        <w:t>Readiness Preparation Activities</w:t>
      </w:r>
      <w:r w:rsidR="00943627" w:rsidRPr="00943627">
        <w:rPr>
          <w:sz w:val="22"/>
          <w:szCs w:val="22"/>
        </w:rPr>
        <w:t xml:space="preserve"> Management Manual</w:t>
      </w:r>
      <w:r w:rsidR="00BE31AE" w:rsidRPr="00A64262" w:rsidDel="00833EF4">
        <w:rPr>
          <w:sz w:val="22"/>
          <w:szCs w:val="22"/>
        </w:rPr>
        <w:t xml:space="preserve"> </w:t>
      </w:r>
      <w:r w:rsidR="00BE31AE" w:rsidRPr="00A64262">
        <w:rPr>
          <w:sz w:val="22"/>
          <w:szCs w:val="22"/>
        </w:rPr>
        <w:t xml:space="preserve">and those of this Agreement, the latter shall </w:t>
      </w:r>
      <w:r w:rsidR="00BE31AE">
        <w:rPr>
          <w:sz w:val="22"/>
          <w:szCs w:val="22"/>
        </w:rPr>
        <w:t>govern</w:t>
      </w:r>
      <w:r w:rsidR="00BE31AE" w:rsidRPr="00A64262">
        <w:rPr>
          <w:sz w:val="22"/>
          <w:szCs w:val="22"/>
        </w:rPr>
        <w:t>.</w:t>
      </w:r>
    </w:p>
    <w:p w:rsidR="007113CA" w:rsidRDefault="007113CA" w:rsidP="00162100">
      <w:pPr>
        <w:jc w:val="both"/>
        <w:rPr>
          <w:bCs/>
          <w:sz w:val="22"/>
          <w:szCs w:val="22"/>
        </w:rPr>
      </w:pPr>
    </w:p>
    <w:p w:rsidR="00E3622A" w:rsidRPr="00305325" w:rsidRDefault="00203FC8" w:rsidP="00B35AB6">
      <w:pPr>
        <w:pStyle w:val="ModelNrmlDouble"/>
        <w:spacing w:after="0" w:line="240" w:lineRule="auto"/>
        <w:ind w:firstLine="0"/>
        <w:rPr>
          <w:szCs w:val="22"/>
        </w:rPr>
      </w:pPr>
      <w:r w:rsidRPr="00203FC8">
        <w:rPr>
          <w:bCs/>
          <w:szCs w:val="22"/>
        </w:rPr>
        <w:t>2.0</w:t>
      </w:r>
      <w:r w:rsidR="0078340D">
        <w:rPr>
          <w:bCs/>
          <w:szCs w:val="22"/>
        </w:rPr>
        <w:t>5</w:t>
      </w:r>
      <w:r w:rsidRPr="00203FC8">
        <w:rPr>
          <w:bCs/>
          <w:szCs w:val="22"/>
        </w:rPr>
        <w:t>.</w:t>
      </w:r>
      <w:r w:rsidRPr="00203FC8">
        <w:rPr>
          <w:b/>
          <w:bCs/>
          <w:szCs w:val="22"/>
        </w:rPr>
        <w:tab/>
      </w:r>
      <w:r w:rsidRPr="00203FC8">
        <w:rPr>
          <w:b/>
          <w:bCs/>
          <w:i/>
          <w:szCs w:val="22"/>
        </w:rPr>
        <w:t>Mid-term Progress Report and</w:t>
      </w:r>
      <w:r w:rsidRPr="00203FC8">
        <w:rPr>
          <w:b/>
          <w:bCs/>
          <w:szCs w:val="22"/>
        </w:rPr>
        <w:t xml:space="preserve"> </w:t>
      </w:r>
      <w:r w:rsidRPr="00203FC8">
        <w:rPr>
          <w:b/>
          <w:bCs/>
          <w:i/>
          <w:szCs w:val="22"/>
        </w:rPr>
        <w:t xml:space="preserve">Completion Report.  </w:t>
      </w:r>
      <w:r w:rsidRPr="00203FC8">
        <w:rPr>
          <w:szCs w:val="22"/>
        </w:rPr>
        <w:t xml:space="preserve">The Recipient shall prepare a mid-term progress report in accordance with Section 6.3 (b) of the Charter and the PC’s Resolution PC/7/2010/3. The Recipient shall also prepare a Completion Report in accordance with the provisions of Section 2.06 (b) (ii) of the Standard Conditions.  The mid-term progress report shall be furnished to the World Bank no later than twenty two (22) months after the </w:t>
      </w:r>
      <w:r w:rsidRPr="00203FC8">
        <w:rPr>
          <w:bCs/>
          <w:szCs w:val="22"/>
        </w:rPr>
        <w:t xml:space="preserve">date of </w:t>
      </w:r>
      <w:r w:rsidR="00AB4ACE">
        <w:rPr>
          <w:bCs/>
          <w:szCs w:val="22"/>
        </w:rPr>
        <w:t>countersignature</w:t>
      </w:r>
      <w:r w:rsidR="00B402FC" w:rsidRPr="00203FC8">
        <w:rPr>
          <w:bCs/>
          <w:szCs w:val="22"/>
        </w:rPr>
        <w:t xml:space="preserve"> </w:t>
      </w:r>
      <w:r w:rsidRPr="00203FC8">
        <w:rPr>
          <w:bCs/>
          <w:szCs w:val="22"/>
        </w:rPr>
        <w:t>of this Agreement</w:t>
      </w:r>
      <w:r w:rsidR="00AB4ACE">
        <w:rPr>
          <w:bCs/>
          <w:szCs w:val="22"/>
        </w:rPr>
        <w:t xml:space="preserve"> </w:t>
      </w:r>
      <w:r w:rsidR="00AB4ACE" w:rsidRPr="00AB4ACE">
        <w:rPr>
          <w:bCs/>
          <w:szCs w:val="22"/>
        </w:rPr>
        <w:t>by the Recipient</w:t>
      </w:r>
      <w:r w:rsidRPr="00203FC8">
        <w:rPr>
          <w:szCs w:val="22"/>
        </w:rPr>
        <w:t>.  The Completion Report shall be furnished to the World Bank not later than six (6) months after the Closing Date.</w:t>
      </w:r>
    </w:p>
    <w:p w:rsidR="00B35AB6" w:rsidRPr="00305325" w:rsidRDefault="00B35AB6" w:rsidP="00B35AB6">
      <w:pPr>
        <w:jc w:val="both"/>
        <w:rPr>
          <w:bCs/>
          <w:sz w:val="22"/>
          <w:szCs w:val="22"/>
        </w:rPr>
      </w:pPr>
    </w:p>
    <w:p w:rsidR="009B2CDE" w:rsidRPr="00305325" w:rsidRDefault="00203FC8" w:rsidP="00B35AB6">
      <w:pPr>
        <w:jc w:val="both"/>
        <w:rPr>
          <w:bCs/>
          <w:sz w:val="22"/>
          <w:szCs w:val="22"/>
        </w:rPr>
      </w:pPr>
      <w:r>
        <w:rPr>
          <w:bCs/>
          <w:sz w:val="22"/>
          <w:szCs w:val="22"/>
        </w:rPr>
        <w:t>2.0</w:t>
      </w:r>
      <w:r w:rsidR="0078340D">
        <w:rPr>
          <w:bCs/>
          <w:sz w:val="22"/>
          <w:szCs w:val="22"/>
        </w:rPr>
        <w:t>6</w:t>
      </w:r>
      <w:r>
        <w:rPr>
          <w:bCs/>
          <w:sz w:val="22"/>
          <w:szCs w:val="22"/>
        </w:rPr>
        <w:t>.</w:t>
      </w:r>
      <w:r>
        <w:rPr>
          <w:bCs/>
          <w:sz w:val="22"/>
          <w:szCs w:val="22"/>
        </w:rPr>
        <w:tab/>
      </w:r>
      <w:r>
        <w:rPr>
          <w:b/>
          <w:bCs/>
          <w:i/>
          <w:sz w:val="22"/>
          <w:szCs w:val="22"/>
        </w:rPr>
        <w:t>Financial Management</w:t>
      </w:r>
      <w:r>
        <w:rPr>
          <w:bCs/>
          <w:sz w:val="22"/>
          <w:szCs w:val="22"/>
        </w:rPr>
        <w:t xml:space="preserve">  </w:t>
      </w:r>
    </w:p>
    <w:p w:rsidR="009B2CDE" w:rsidRPr="00305325" w:rsidRDefault="009B2CDE" w:rsidP="00FD3032">
      <w:pPr>
        <w:jc w:val="both"/>
        <w:rPr>
          <w:bCs/>
          <w:sz w:val="22"/>
          <w:szCs w:val="22"/>
        </w:rPr>
      </w:pPr>
    </w:p>
    <w:p w:rsidR="009B2CDE" w:rsidRDefault="00203FC8" w:rsidP="00FD3032">
      <w:pPr>
        <w:ind w:firstLine="720"/>
        <w:jc w:val="both"/>
        <w:rPr>
          <w:bCs/>
          <w:sz w:val="22"/>
          <w:szCs w:val="22"/>
        </w:rPr>
      </w:pPr>
      <w:r>
        <w:rPr>
          <w:bCs/>
          <w:sz w:val="22"/>
          <w:szCs w:val="22"/>
        </w:rPr>
        <w:t>(a)</w:t>
      </w:r>
      <w:r>
        <w:rPr>
          <w:bCs/>
          <w:sz w:val="22"/>
          <w:szCs w:val="22"/>
        </w:rPr>
        <w:tab/>
        <w:t>The Recipient shall ensure that a financial management system is maintained in accordance with the provisions of Section 2.07 of the Standard Conditions.</w:t>
      </w:r>
    </w:p>
    <w:p w:rsidR="000A65EB" w:rsidRDefault="000A65EB" w:rsidP="00FD3032">
      <w:pPr>
        <w:ind w:firstLine="720"/>
        <w:jc w:val="both"/>
        <w:rPr>
          <w:bCs/>
          <w:sz w:val="22"/>
          <w:szCs w:val="22"/>
        </w:rPr>
      </w:pPr>
    </w:p>
    <w:p w:rsidR="000A65EB" w:rsidRDefault="000A65EB" w:rsidP="008C42AB">
      <w:pPr>
        <w:ind w:firstLine="720"/>
        <w:jc w:val="both"/>
        <w:rPr>
          <w:bCs/>
          <w:sz w:val="22"/>
          <w:szCs w:val="22"/>
        </w:rPr>
      </w:pPr>
      <w:r>
        <w:rPr>
          <w:bCs/>
          <w:sz w:val="22"/>
          <w:szCs w:val="22"/>
        </w:rPr>
        <w:t>(b</w:t>
      </w:r>
      <w:r w:rsidRPr="000A65EB">
        <w:rPr>
          <w:bCs/>
          <w:sz w:val="22"/>
          <w:szCs w:val="22"/>
        </w:rPr>
        <w:t>)</w:t>
      </w:r>
      <w:r w:rsidRPr="000A65EB">
        <w:rPr>
          <w:bCs/>
          <w:sz w:val="22"/>
          <w:szCs w:val="22"/>
        </w:rPr>
        <w:tab/>
        <w:t xml:space="preserve">The Recipient shall appoint to the Readiness Preparation Activities </w:t>
      </w:r>
      <w:r w:rsidR="0090679C" w:rsidRPr="0090679C">
        <w:rPr>
          <w:bCs/>
          <w:sz w:val="22"/>
          <w:szCs w:val="22"/>
        </w:rPr>
        <w:t>Secretariat</w:t>
      </w:r>
      <w:r w:rsidRPr="000A65EB">
        <w:rPr>
          <w:bCs/>
          <w:sz w:val="22"/>
          <w:szCs w:val="22"/>
        </w:rPr>
        <w:t xml:space="preserve">, </w:t>
      </w:r>
      <w:r w:rsidR="00317BDD">
        <w:rPr>
          <w:bCs/>
          <w:sz w:val="22"/>
          <w:szCs w:val="22"/>
        </w:rPr>
        <w:t xml:space="preserve">no later than six (6) months after the </w:t>
      </w:r>
      <w:r w:rsidR="00324F07">
        <w:rPr>
          <w:bCs/>
          <w:sz w:val="22"/>
          <w:szCs w:val="22"/>
        </w:rPr>
        <w:t>countersignature</w:t>
      </w:r>
      <w:r w:rsidR="00317BDD">
        <w:rPr>
          <w:bCs/>
          <w:sz w:val="22"/>
          <w:szCs w:val="22"/>
        </w:rPr>
        <w:t xml:space="preserve"> of this Agreement by </w:t>
      </w:r>
      <w:r w:rsidR="00324F07">
        <w:rPr>
          <w:bCs/>
          <w:sz w:val="22"/>
          <w:szCs w:val="22"/>
        </w:rPr>
        <w:t>the Recipient</w:t>
      </w:r>
      <w:r w:rsidR="00317BDD">
        <w:rPr>
          <w:bCs/>
          <w:sz w:val="22"/>
          <w:szCs w:val="22"/>
        </w:rPr>
        <w:t xml:space="preserve">, </w:t>
      </w:r>
      <w:r w:rsidRPr="000A65EB">
        <w:rPr>
          <w:bCs/>
          <w:sz w:val="22"/>
          <w:szCs w:val="22"/>
        </w:rPr>
        <w:t xml:space="preserve">and maintain throughout implementation of the Readiness Preparation Activities, a financial management </w:t>
      </w:r>
      <w:r w:rsidR="00231746">
        <w:rPr>
          <w:bCs/>
          <w:sz w:val="22"/>
          <w:szCs w:val="22"/>
        </w:rPr>
        <w:t>specialist</w:t>
      </w:r>
      <w:r w:rsidRPr="000A65EB">
        <w:rPr>
          <w:bCs/>
          <w:sz w:val="22"/>
          <w:szCs w:val="22"/>
        </w:rPr>
        <w:t>, with qualifications, experience, and terms of reference satisfactory to the Recipient and the World Bank</w:t>
      </w:r>
      <w:r w:rsidR="00B1338F">
        <w:rPr>
          <w:bCs/>
          <w:sz w:val="22"/>
          <w:szCs w:val="22"/>
        </w:rPr>
        <w:t xml:space="preserve"> as shall be required for purposes of implementation of </w:t>
      </w:r>
      <w:r w:rsidR="00B1338F" w:rsidRPr="00B1338F">
        <w:rPr>
          <w:bCs/>
          <w:sz w:val="22"/>
          <w:szCs w:val="22"/>
        </w:rPr>
        <w:t>the Readiness Preparation Activities</w:t>
      </w:r>
      <w:r w:rsidRPr="000A65EB">
        <w:rPr>
          <w:bCs/>
          <w:sz w:val="22"/>
          <w:szCs w:val="22"/>
        </w:rPr>
        <w:t>.</w:t>
      </w:r>
    </w:p>
    <w:p w:rsidR="008C42AB" w:rsidRDefault="008C42AB" w:rsidP="008C42AB">
      <w:pPr>
        <w:ind w:firstLine="720"/>
        <w:jc w:val="both"/>
        <w:rPr>
          <w:bCs/>
          <w:sz w:val="22"/>
          <w:szCs w:val="22"/>
        </w:rPr>
      </w:pPr>
    </w:p>
    <w:p w:rsidR="008C42AB" w:rsidRPr="00305325" w:rsidRDefault="008C42AB" w:rsidP="008C42AB">
      <w:pPr>
        <w:ind w:firstLine="720"/>
        <w:jc w:val="both"/>
        <w:rPr>
          <w:bCs/>
          <w:sz w:val="22"/>
          <w:szCs w:val="22"/>
        </w:rPr>
      </w:pPr>
      <w:r>
        <w:rPr>
          <w:bCs/>
          <w:sz w:val="22"/>
          <w:szCs w:val="22"/>
        </w:rPr>
        <w:t>(c)</w:t>
      </w:r>
      <w:r>
        <w:rPr>
          <w:bCs/>
          <w:sz w:val="22"/>
          <w:szCs w:val="22"/>
        </w:rPr>
        <w:tab/>
      </w:r>
      <w:r w:rsidRPr="008C42AB">
        <w:rPr>
          <w:bCs/>
          <w:sz w:val="22"/>
          <w:szCs w:val="22"/>
        </w:rPr>
        <w:t>The Recipient shall ensure that its Financial Statements are included in the regular audits of the Inspectorate General, and, to this end, shall</w:t>
      </w:r>
      <w:r w:rsidR="00317BDD" w:rsidRPr="00317BDD">
        <w:rPr>
          <w:bCs/>
          <w:sz w:val="22"/>
          <w:szCs w:val="22"/>
        </w:rPr>
        <w:t xml:space="preserve">, </w:t>
      </w:r>
      <w:r w:rsidR="00317BDD">
        <w:rPr>
          <w:bCs/>
          <w:sz w:val="22"/>
          <w:szCs w:val="22"/>
        </w:rPr>
        <w:t>no later than one (1) month</w:t>
      </w:r>
      <w:r w:rsidR="00317BDD" w:rsidRPr="00317BDD">
        <w:rPr>
          <w:bCs/>
          <w:sz w:val="22"/>
          <w:szCs w:val="22"/>
        </w:rPr>
        <w:t xml:space="preserve"> after the </w:t>
      </w:r>
      <w:r w:rsidR="002E14A8" w:rsidRPr="002E14A8">
        <w:rPr>
          <w:bCs/>
          <w:sz w:val="22"/>
          <w:szCs w:val="22"/>
        </w:rPr>
        <w:t>countersignature of this Agreement by the Recipient</w:t>
      </w:r>
      <w:r w:rsidR="00317BDD" w:rsidRPr="00317BDD">
        <w:rPr>
          <w:bCs/>
          <w:sz w:val="22"/>
          <w:szCs w:val="22"/>
        </w:rPr>
        <w:t>,</w:t>
      </w:r>
      <w:r w:rsidR="00B43119">
        <w:rPr>
          <w:bCs/>
          <w:sz w:val="22"/>
          <w:szCs w:val="22"/>
        </w:rPr>
        <w:t xml:space="preserve"> </w:t>
      </w:r>
      <w:r w:rsidR="00336137">
        <w:rPr>
          <w:bCs/>
          <w:sz w:val="22"/>
          <w:szCs w:val="22"/>
        </w:rPr>
        <w:t>reach agreement</w:t>
      </w:r>
      <w:r w:rsidRPr="008C42AB">
        <w:rPr>
          <w:bCs/>
          <w:sz w:val="22"/>
          <w:szCs w:val="22"/>
        </w:rPr>
        <w:t xml:space="preserve"> with the Inspectorate General </w:t>
      </w:r>
      <w:r w:rsidR="00733B26">
        <w:rPr>
          <w:bCs/>
          <w:sz w:val="22"/>
          <w:szCs w:val="22"/>
        </w:rPr>
        <w:t>on such audits</w:t>
      </w:r>
      <w:r w:rsidRPr="008C42AB">
        <w:rPr>
          <w:bCs/>
          <w:sz w:val="22"/>
          <w:szCs w:val="22"/>
        </w:rPr>
        <w:t>.</w:t>
      </w:r>
    </w:p>
    <w:p w:rsidR="009B2CDE" w:rsidRPr="00305325" w:rsidRDefault="009B2CDE" w:rsidP="00FD3032">
      <w:pPr>
        <w:ind w:firstLine="720"/>
        <w:jc w:val="both"/>
        <w:rPr>
          <w:bCs/>
          <w:sz w:val="22"/>
          <w:szCs w:val="22"/>
        </w:rPr>
      </w:pPr>
    </w:p>
    <w:p w:rsidR="009B2CDE" w:rsidRPr="00305325" w:rsidRDefault="00203FC8" w:rsidP="00FD3032">
      <w:pPr>
        <w:ind w:firstLine="720"/>
        <w:jc w:val="both"/>
        <w:rPr>
          <w:sz w:val="22"/>
          <w:szCs w:val="22"/>
        </w:rPr>
      </w:pPr>
      <w:r>
        <w:rPr>
          <w:sz w:val="22"/>
          <w:szCs w:val="22"/>
        </w:rPr>
        <w:t>(</w:t>
      </w:r>
      <w:r w:rsidR="000A65EB">
        <w:rPr>
          <w:sz w:val="22"/>
          <w:szCs w:val="22"/>
        </w:rPr>
        <w:t>d</w:t>
      </w:r>
      <w:r>
        <w:rPr>
          <w:sz w:val="22"/>
          <w:szCs w:val="22"/>
        </w:rPr>
        <w:t>)</w:t>
      </w:r>
      <w:r>
        <w:rPr>
          <w:sz w:val="22"/>
          <w:szCs w:val="22"/>
        </w:rPr>
        <w:tab/>
        <w:t xml:space="preserve">The Recipient shall ensure that interim unaudited financial reports for the Readiness Preparation Activities are prepared and furnished to the World Bank not later than </w:t>
      </w:r>
      <w:r w:rsidR="00843BAF" w:rsidRPr="00843BAF">
        <w:rPr>
          <w:sz w:val="22"/>
          <w:szCs w:val="22"/>
        </w:rPr>
        <w:t xml:space="preserve">forty five (45) days </w:t>
      </w:r>
      <w:r>
        <w:rPr>
          <w:sz w:val="22"/>
          <w:szCs w:val="22"/>
        </w:rPr>
        <w:t>after the end of each calendar quarter, covering the quarter, in form and substance satisfactory to the World Bank.</w:t>
      </w:r>
    </w:p>
    <w:p w:rsidR="009B2CDE" w:rsidRPr="00305325" w:rsidRDefault="009B2CDE" w:rsidP="00FD3032">
      <w:pPr>
        <w:ind w:left="1440" w:hanging="720"/>
        <w:jc w:val="both"/>
        <w:rPr>
          <w:bCs/>
          <w:sz w:val="22"/>
          <w:szCs w:val="22"/>
        </w:rPr>
      </w:pPr>
    </w:p>
    <w:p w:rsidR="004E336A" w:rsidRPr="00305325" w:rsidRDefault="00203FC8" w:rsidP="00680542">
      <w:pPr>
        <w:ind w:firstLine="720"/>
        <w:jc w:val="both"/>
        <w:rPr>
          <w:bCs/>
          <w:sz w:val="22"/>
          <w:szCs w:val="22"/>
        </w:rPr>
      </w:pPr>
      <w:r>
        <w:rPr>
          <w:sz w:val="22"/>
          <w:szCs w:val="22"/>
        </w:rPr>
        <w:t>(</w:t>
      </w:r>
      <w:r w:rsidR="000A65EB">
        <w:rPr>
          <w:sz w:val="22"/>
          <w:szCs w:val="22"/>
        </w:rPr>
        <w:t>e</w:t>
      </w:r>
      <w:r>
        <w:rPr>
          <w:sz w:val="22"/>
          <w:szCs w:val="22"/>
        </w:rPr>
        <w:t>)</w:t>
      </w:r>
      <w:r>
        <w:rPr>
          <w:sz w:val="22"/>
          <w:szCs w:val="22"/>
        </w:rPr>
        <w:tab/>
      </w:r>
      <w:r>
        <w:rPr>
          <w:bCs/>
          <w:sz w:val="22"/>
          <w:szCs w:val="22"/>
        </w:rPr>
        <w:t>The Recipient shall have its Financial Statements audited in accordance with the provisions of Section 2.07 (b) of the Standard Conditions.  Each such audit of the Financial Statements shall cover the period of one (1) fiscal year of the Recipient.  The audited Financial Statements for each such period shall be furnished to the World Bank not later than six (6) months after the end of such period.</w:t>
      </w:r>
    </w:p>
    <w:p w:rsidR="00680542" w:rsidRDefault="00680542" w:rsidP="000C4D68">
      <w:pPr>
        <w:jc w:val="both"/>
        <w:rPr>
          <w:bCs/>
          <w:sz w:val="22"/>
          <w:szCs w:val="22"/>
        </w:rPr>
      </w:pPr>
    </w:p>
    <w:p w:rsidR="009B2CDE" w:rsidRPr="00305325" w:rsidRDefault="00203FC8" w:rsidP="000C4D68">
      <w:pPr>
        <w:jc w:val="both"/>
        <w:rPr>
          <w:bCs/>
          <w:sz w:val="22"/>
          <w:szCs w:val="22"/>
          <w:u w:val="single"/>
        </w:rPr>
      </w:pPr>
      <w:r>
        <w:rPr>
          <w:bCs/>
          <w:sz w:val="22"/>
          <w:szCs w:val="22"/>
        </w:rPr>
        <w:t>2.0</w:t>
      </w:r>
      <w:r w:rsidR="0078340D">
        <w:rPr>
          <w:bCs/>
          <w:sz w:val="22"/>
          <w:szCs w:val="22"/>
        </w:rPr>
        <w:t>7</w:t>
      </w:r>
      <w:r>
        <w:rPr>
          <w:bCs/>
          <w:sz w:val="22"/>
          <w:szCs w:val="22"/>
        </w:rPr>
        <w:t>.</w:t>
      </w:r>
      <w:r>
        <w:rPr>
          <w:bCs/>
          <w:sz w:val="22"/>
          <w:szCs w:val="22"/>
        </w:rPr>
        <w:tab/>
      </w:r>
      <w:r>
        <w:rPr>
          <w:b/>
          <w:bCs/>
          <w:i/>
          <w:sz w:val="22"/>
          <w:szCs w:val="22"/>
        </w:rPr>
        <w:t xml:space="preserve">Procurement </w:t>
      </w:r>
    </w:p>
    <w:p w:rsidR="009B2CDE" w:rsidRPr="00305325" w:rsidRDefault="009B2CDE" w:rsidP="00FD3032">
      <w:pPr>
        <w:ind w:left="1440" w:hanging="720"/>
        <w:jc w:val="both"/>
        <w:rPr>
          <w:b/>
          <w:bCs/>
          <w:sz w:val="22"/>
          <w:szCs w:val="22"/>
        </w:rPr>
      </w:pPr>
    </w:p>
    <w:p w:rsidR="009B2CDE" w:rsidRPr="00305325" w:rsidRDefault="00203FC8" w:rsidP="00FD3032">
      <w:pPr>
        <w:ind w:firstLine="720"/>
        <w:jc w:val="both"/>
        <w:rPr>
          <w:sz w:val="22"/>
          <w:szCs w:val="22"/>
        </w:rPr>
      </w:pPr>
      <w:r>
        <w:rPr>
          <w:sz w:val="22"/>
          <w:szCs w:val="22"/>
        </w:rPr>
        <w:t>(a)</w:t>
      </w:r>
      <w:r>
        <w:rPr>
          <w:sz w:val="22"/>
          <w:szCs w:val="22"/>
        </w:rPr>
        <w:tab/>
      </w:r>
      <w:r>
        <w:rPr>
          <w:sz w:val="22"/>
          <w:szCs w:val="22"/>
          <w:u w:val="single"/>
        </w:rPr>
        <w:t>General</w:t>
      </w:r>
      <w:r>
        <w:rPr>
          <w:bCs/>
          <w:sz w:val="22"/>
          <w:szCs w:val="22"/>
        </w:rPr>
        <w:t xml:space="preserve">.  </w:t>
      </w:r>
      <w:r>
        <w:rPr>
          <w:sz w:val="22"/>
          <w:szCs w:val="22"/>
        </w:rPr>
        <w:t xml:space="preserve">All goods and services required for the Readiness Preparation Activities and to be financed out of the proceeds of the </w:t>
      </w:r>
      <w:r>
        <w:rPr>
          <w:spacing w:val="-3"/>
          <w:sz w:val="22"/>
          <w:szCs w:val="22"/>
        </w:rPr>
        <w:t xml:space="preserve">Grant </w:t>
      </w:r>
      <w:r>
        <w:rPr>
          <w:sz w:val="22"/>
          <w:szCs w:val="22"/>
        </w:rPr>
        <w:t>shall be procured in accordance with the requirements set forth or referred to in:</w:t>
      </w:r>
    </w:p>
    <w:p w:rsidR="009B2CDE" w:rsidRPr="00305325" w:rsidRDefault="009B2CDE" w:rsidP="00FD3032">
      <w:pPr>
        <w:ind w:left="1440" w:hanging="720"/>
        <w:jc w:val="both"/>
        <w:rPr>
          <w:b/>
          <w:bCs/>
          <w:sz w:val="22"/>
          <w:szCs w:val="22"/>
        </w:rPr>
      </w:pPr>
    </w:p>
    <w:p w:rsidR="00ED12B0" w:rsidRPr="00305325" w:rsidRDefault="00203FC8" w:rsidP="00AD3394">
      <w:pPr>
        <w:ind w:left="2160" w:hanging="72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Section I of the “Guidelines: Procurement of Goods, Works, and Non-Consulting Services under IBRD Loans and IDA Credits and Grants by World Bank Borrowers” published by the World Bank in January 2011 (“Procurement Guidelines”), in the case of goods and non-consulting services;</w:t>
      </w:r>
    </w:p>
    <w:p w:rsidR="009B2CDE" w:rsidRPr="00305325" w:rsidRDefault="009B2CDE" w:rsidP="00FD3032">
      <w:pPr>
        <w:ind w:firstLine="720"/>
        <w:jc w:val="both"/>
        <w:rPr>
          <w:bCs/>
          <w:sz w:val="22"/>
          <w:szCs w:val="22"/>
        </w:rPr>
      </w:pPr>
    </w:p>
    <w:p w:rsidR="009B2CDE" w:rsidRPr="00305325" w:rsidRDefault="00203FC8" w:rsidP="00AD3394">
      <w:pPr>
        <w:tabs>
          <w:tab w:val="left" w:pos="1440"/>
        </w:tabs>
        <w:ind w:left="2160" w:hanging="2160"/>
        <w:jc w:val="both"/>
        <w:rPr>
          <w:sz w:val="22"/>
          <w:szCs w:val="22"/>
        </w:rPr>
      </w:pPr>
      <w:r>
        <w:rPr>
          <w:bCs/>
          <w:sz w:val="22"/>
          <w:szCs w:val="22"/>
        </w:rPr>
        <w:tab/>
        <w:t>(ii)</w:t>
      </w:r>
      <w:r>
        <w:rPr>
          <w:bCs/>
          <w:sz w:val="22"/>
          <w:szCs w:val="22"/>
        </w:rPr>
        <w:tab/>
      </w:r>
      <w:r>
        <w:rPr>
          <w:sz w:val="22"/>
          <w:szCs w:val="22"/>
        </w:rPr>
        <w:t>Sections I and IV of the “Guidelines: Selection and Employment of Consultants under IBRD Loans and IDA Credits and Grants by World Bank Borrowers” published by the World Bank in January 2011 (“Consultant Guidelines”) in the case of consultants’ services; and</w:t>
      </w:r>
    </w:p>
    <w:p w:rsidR="009B2CDE" w:rsidRPr="00305325" w:rsidRDefault="009B2CDE" w:rsidP="00FD3032">
      <w:pPr>
        <w:tabs>
          <w:tab w:val="num" w:pos="0"/>
        </w:tabs>
        <w:jc w:val="both"/>
        <w:rPr>
          <w:sz w:val="22"/>
          <w:szCs w:val="22"/>
        </w:rPr>
      </w:pPr>
    </w:p>
    <w:p w:rsidR="009B2CDE" w:rsidRPr="00305325" w:rsidRDefault="00AD3394" w:rsidP="00AD3394">
      <w:pPr>
        <w:tabs>
          <w:tab w:val="num" w:pos="0"/>
          <w:tab w:val="left" w:pos="1350"/>
        </w:tabs>
        <w:ind w:left="2160" w:hanging="1440"/>
        <w:jc w:val="both"/>
        <w:rPr>
          <w:sz w:val="22"/>
          <w:szCs w:val="22"/>
        </w:rPr>
      </w:pPr>
      <w:r>
        <w:rPr>
          <w:sz w:val="22"/>
          <w:szCs w:val="22"/>
        </w:rPr>
        <w:tab/>
      </w:r>
      <w:r w:rsidR="00203FC8">
        <w:rPr>
          <w:sz w:val="22"/>
          <w:szCs w:val="22"/>
        </w:rPr>
        <w:t>(iii)</w:t>
      </w:r>
      <w:r w:rsidR="00203FC8">
        <w:rPr>
          <w:sz w:val="22"/>
          <w:szCs w:val="22"/>
        </w:rPr>
        <w:tab/>
      </w:r>
      <w:proofErr w:type="gramStart"/>
      <w:r w:rsidR="00203FC8">
        <w:rPr>
          <w:sz w:val="22"/>
          <w:szCs w:val="22"/>
        </w:rPr>
        <w:t>the</w:t>
      </w:r>
      <w:proofErr w:type="gramEnd"/>
      <w:r w:rsidR="00203FC8">
        <w:rPr>
          <w:sz w:val="22"/>
          <w:szCs w:val="22"/>
        </w:rPr>
        <w:t xml:space="preserve"> provisions of this Section, as the same shall be elaborated in the procurement plan prepared and updated from time to time by the Recipient for the Readiness Preparation Activities in accordance with paragraph 1.16 of the Procurement Guidelines and paragraph 1.24 of the Consultant Guidelines (“Procurement Plan”).</w:t>
      </w:r>
    </w:p>
    <w:p w:rsidR="00484F2D" w:rsidRDefault="00203FC8" w:rsidP="003A3E2E">
      <w:pPr>
        <w:tabs>
          <w:tab w:val="left" w:pos="720"/>
        </w:tabs>
        <w:jc w:val="both"/>
        <w:rPr>
          <w:bCs/>
          <w:sz w:val="22"/>
          <w:szCs w:val="22"/>
        </w:rPr>
      </w:pPr>
      <w:r>
        <w:rPr>
          <w:bCs/>
          <w:sz w:val="22"/>
          <w:szCs w:val="22"/>
        </w:rPr>
        <w:tab/>
      </w:r>
    </w:p>
    <w:p w:rsidR="003D0027" w:rsidRPr="00730AF7" w:rsidRDefault="00484F2D" w:rsidP="00730AF7">
      <w:pPr>
        <w:tabs>
          <w:tab w:val="left" w:pos="720"/>
        </w:tabs>
        <w:jc w:val="both"/>
        <w:rPr>
          <w:sz w:val="22"/>
          <w:szCs w:val="22"/>
        </w:rPr>
      </w:pPr>
      <w:r>
        <w:rPr>
          <w:bCs/>
          <w:sz w:val="22"/>
          <w:szCs w:val="22"/>
        </w:rPr>
        <w:tab/>
      </w:r>
      <w:r w:rsidR="00203FC8">
        <w:rPr>
          <w:bCs/>
          <w:sz w:val="22"/>
          <w:szCs w:val="22"/>
        </w:rPr>
        <w:t>(b)</w:t>
      </w:r>
      <w:r w:rsidR="00203FC8">
        <w:rPr>
          <w:bCs/>
          <w:sz w:val="22"/>
          <w:szCs w:val="22"/>
        </w:rPr>
        <w:tab/>
      </w:r>
      <w:r w:rsidR="00203FC8">
        <w:rPr>
          <w:sz w:val="22"/>
          <w:szCs w:val="22"/>
          <w:u w:val="single"/>
        </w:rPr>
        <w:t>Definitions</w:t>
      </w:r>
      <w:r w:rsidR="00203FC8">
        <w:rPr>
          <w:bCs/>
          <w:sz w:val="22"/>
          <w:szCs w:val="22"/>
        </w:rPr>
        <w:t>.</w:t>
      </w:r>
      <w:r w:rsidR="00203FC8">
        <w:rPr>
          <w:sz w:val="22"/>
          <w:szCs w:val="22"/>
        </w:rPr>
        <w:t xml:space="preserve">  The capitalized terms used in the following paragraphs of this Section to describe particular procurement methods or methods of review by the World Bank of particular contracts, refer to the corresponding method described in the Procurement Guidelines, or the Consultant Guidelines, as the case may be.</w:t>
      </w:r>
    </w:p>
    <w:p w:rsidR="003D0027" w:rsidRDefault="003D0027" w:rsidP="00FD3032">
      <w:pPr>
        <w:ind w:firstLine="720"/>
        <w:jc w:val="both"/>
        <w:rPr>
          <w:bCs/>
          <w:sz w:val="22"/>
          <w:szCs w:val="22"/>
        </w:rPr>
      </w:pPr>
    </w:p>
    <w:p w:rsidR="009B2CDE" w:rsidRPr="00305325" w:rsidRDefault="00203FC8" w:rsidP="00FD3032">
      <w:pPr>
        <w:ind w:firstLine="720"/>
        <w:jc w:val="both"/>
        <w:rPr>
          <w:sz w:val="22"/>
          <w:szCs w:val="22"/>
        </w:rPr>
      </w:pPr>
      <w:r>
        <w:rPr>
          <w:bCs/>
          <w:sz w:val="22"/>
          <w:szCs w:val="22"/>
        </w:rPr>
        <w:t>(c)</w:t>
      </w:r>
      <w:r>
        <w:rPr>
          <w:bCs/>
          <w:sz w:val="22"/>
          <w:szCs w:val="22"/>
        </w:rPr>
        <w:tab/>
      </w:r>
      <w:r>
        <w:rPr>
          <w:bCs/>
          <w:sz w:val="22"/>
          <w:szCs w:val="22"/>
          <w:u w:val="single"/>
        </w:rPr>
        <w:t xml:space="preserve">Particular Methods of Procurement of Goods and Non-Consulting Services  </w:t>
      </w:r>
    </w:p>
    <w:p w:rsidR="009B2CDE" w:rsidRPr="00305325" w:rsidRDefault="009B2CDE" w:rsidP="00FD3032">
      <w:pPr>
        <w:jc w:val="both"/>
        <w:rPr>
          <w:b/>
          <w:bCs/>
          <w:sz w:val="22"/>
          <w:szCs w:val="22"/>
        </w:rPr>
      </w:pPr>
    </w:p>
    <w:p w:rsidR="009B2CDE" w:rsidRPr="00305325" w:rsidRDefault="00203FC8" w:rsidP="00AD3394">
      <w:pPr>
        <w:ind w:left="2160" w:hanging="720"/>
        <w:jc w:val="both"/>
        <w:rPr>
          <w:sz w:val="22"/>
          <w:szCs w:val="22"/>
        </w:rPr>
      </w:pPr>
      <w:r>
        <w:rPr>
          <w:bCs/>
          <w:sz w:val="22"/>
          <w:szCs w:val="22"/>
        </w:rPr>
        <w:t>(</w:t>
      </w:r>
      <w:proofErr w:type="spellStart"/>
      <w:r>
        <w:rPr>
          <w:bCs/>
          <w:sz w:val="22"/>
          <w:szCs w:val="22"/>
        </w:rPr>
        <w:t>i</w:t>
      </w:r>
      <w:proofErr w:type="spellEnd"/>
      <w:r>
        <w:rPr>
          <w:bCs/>
          <w:sz w:val="22"/>
          <w:szCs w:val="22"/>
        </w:rPr>
        <w:t>)</w:t>
      </w:r>
      <w:r>
        <w:rPr>
          <w:bCs/>
          <w:sz w:val="22"/>
          <w:szCs w:val="22"/>
        </w:rPr>
        <w:tab/>
      </w:r>
      <w:r>
        <w:rPr>
          <w:sz w:val="22"/>
          <w:szCs w:val="22"/>
        </w:rPr>
        <w:t xml:space="preserve">Except as otherwise provided in sub-paragraph (ii) below, goods and non-consulting services shall be procured under contracts awarded on the basis of International Competitive Bidding. </w:t>
      </w:r>
    </w:p>
    <w:p w:rsidR="009B2CDE" w:rsidRDefault="009B2CDE" w:rsidP="00FD3032">
      <w:pPr>
        <w:jc w:val="both"/>
        <w:rPr>
          <w:bCs/>
          <w:sz w:val="22"/>
          <w:szCs w:val="22"/>
        </w:rPr>
      </w:pPr>
    </w:p>
    <w:p w:rsidR="000C0C54" w:rsidRDefault="000C0C54" w:rsidP="00FD3032">
      <w:pPr>
        <w:jc w:val="both"/>
        <w:rPr>
          <w:bCs/>
          <w:sz w:val="22"/>
          <w:szCs w:val="22"/>
        </w:rPr>
      </w:pPr>
    </w:p>
    <w:p w:rsidR="000C0C54" w:rsidRPr="00305325" w:rsidRDefault="000C0C54" w:rsidP="00FD3032">
      <w:pPr>
        <w:jc w:val="both"/>
        <w:rPr>
          <w:bCs/>
          <w:sz w:val="22"/>
          <w:szCs w:val="22"/>
        </w:rPr>
      </w:pPr>
    </w:p>
    <w:p w:rsidR="00AF7BDC" w:rsidRPr="00AF7BDC" w:rsidRDefault="00203FC8" w:rsidP="00AD3394">
      <w:pPr>
        <w:pStyle w:val="BodyText"/>
        <w:ind w:left="2160" w:hanging="720"/>
        <w:rPr>
          <w:iCs/>
          <w:sz w:val="22"/>
          <w:szCs w:val="22"/>
          <w:highlight w:val="yellow"/>
        </w:rPr>
      </w:pPr>
      <w:r>
        <w:rPr>
          <w:bCs/>
          <w:sz w:val="22"/>
          <w:szCs w:val="22"/>
        </w:rPr>
        <w:lastRenderedPageBreak/>
        <w:t>(ii)</w:t>
      </w:r>
      <w:r>
        <w:rPr>
          <w:bCs/>
          <w:sz w:val="22"/>
          <w:szCs w:val="22"/>
        </w:rPr>
        <w:tab/>
      </w:r>
      <w:r>
        <w:rPr>
          <w:sz w:val="22"/>
          <w:szCs w:val="22"/>
        </w:rPr>
        <w:t>The following methods, other than International Competitive Bidding, may be used for procurement of goods and non-consulting services for those contracts specified in the Procurement Plan: (A) Shopping; (B)</w:t>
      </w:r>
      <w:r w:rsidR="00BC2A6B">
        <w:rPr>
          <w:sz w:val="22"/>
          <w:szCs w:val="22"/>
        </w:rPr>
        <w:t> </w:t>
      </w:r>
      <w:r>
        <w:rPr>
          <w:sz w:val="22"/>
          <w:szCs w:val="22"/>
        </w:rPr>
        <w:t>Direct Contracting</w:t>
      </w:r>
      <w:r w:rsidR="00AF7BDC">
        <w:rPr>
          <w:sz w:val="22"/>
          <w:szCs w:val="22"/>
        </w:rPr>
        <w:t xml:space="preserve">; and </w:t>
      </w:r>
      <w:r w:rsidR="00AF7BDC" w:rsidRPr="00225EC6">
        <w:rPr>
          <w:sz w:val="22"/>
          <w:szCs w:val="22"/>
        </w:rPr>
        <w:t xml:space="preserve">(C) National Competitive Bidding, subject to the </w:t>
      </w:r>
      <w:r w:rsidR="00AF7BDC" w:rsidRPr="00225EC6">
        <w:rPr>
          <w:iCs/>
          <w:sz w:val="22"/>
          <w:szCs w:val="22"/>
        </w:rPr>
        <w:t xml:space="preserve">modifications to the procedures set out in </w:t>
      </w:r>
      <w:r w:rsidR="00800BFB" w:rsidRPr="00225EC6">
        <w:rPr>
          <w:iCs/>
          <w:sz w:val="22"/>
          <w:szCs w:val="22"/>
        </w:rPr>
        <w:t xml:space="preserve">the Attachment to </w:t>
      </w:r>
      <w:r w:rsidR="00AF7BDC" w:rsidRPr="00225EC6">
        <w:rPr>
          <w:iCs/>
          <w:sz w:val="22"/>
          <w:szCs w:val="22"/>
        </w:rPr>
        <w:t xml:space="preserve">this </w:t>
      </w:r>
      <w:r w:rsidR="00800BFB" w:rsidRPr="00225EC6">
        <w:rPr>
          <w:iCs/>
          <w:sz w:val="22"/>
          <w:szCs w:val="22"/>
        </w:rPr>
        <w:t>Annex</w:t>
      </w:r>
      <w:r w:rsidR="00AF7BDC" w:rsidRPr="00225EC6">
        <w:rPr>
          <w:iCs/>
          <w:sz w:val="22"/>
          <w:szCs w:val="22"/>
        </w:rPr>
        <w:t>.</w:t>
      </w:r>
    </w:p>
    <w:p w:rsidR="009B2CDE" w:rsidRPr="00305325" w:rsidRDefault="009B2CDE" w:rsidP="00FD3032">
      <w:pPr>
        <w:ind w:left="2160" w:hanging="720"/>
        <w:jc w:val="both"/>
        <w:rPr>
          <w:b/>
          <w:bCs/>
          <w:sz w:val="22"/>
          <w:szCs w:val="22"/>
        </w:rPr>
      </w:pPr>
    </w:p>
    <w:p w:rsidR="009B2CDE" w:rsidRPr="00305325" w:rsidRDefault="00365D40" w:rsidP="00FD3032">
      <w:pPr>
        <w:ind w:firstLine="720"/>
        <w:jc w:val="both"/>
        <w:rPr>
          <w:bCs/>
          <w:sz w:val="22"/>
          <w:szCs w:val="22"/>
        </w:rPr>
      </w:pPr>
      <w:r>
        <w:rPr>
          <w:bCs/>
          <w:sz w:val="22"/>
          <w:szCs w:val="22"/>
        </w:rPr>
        <w:t>(d)</w:t>
      </w:r>
      <w:r w:rsidR="00203FC8">
        <w:rPr>
          <w:bCs/>
          <w:sz w:val="22"/>
          <w:szCs w:val="22"/>
        </w:rPr>
        <w:tab/>
      </w:r>
      <w:r w:rsidR="00203FC8">
        <w:rPr>
          <w:bCs/>
          <w:sz w:val="22"/>
          <w:szCs w:val="22"/>
          <w:u w:val="single"/>
        </w:rPr>
        <w:t>Particular Methods of Procurement of Consultants’ Services</w:t>
      </w:r>
    </w:p>
    <w:p w:rsidR="009B2CDE" w:rsidRPr="00305325" w:rsidRDefault="009B2CDE" w:rsidP="00FD3032">
      <w:pPr>
        <w:jc w:val="both"/>
        <w:rPr>
          <w:sz w:val="22"/>
          <w:szCs w:val="22"/>
        </w:rPr>
      </w:pPr>
    </w:p>
    <w:p w:rsidR="009B2CDE" w:rsidRPr="00305325" w:rsidRDefault="00203FC8" w:rsidP="00AD3394">
      <w:pPr>
        <w:ind w:left="2160" w:hanging="720"/>
        <w:jc w:val="both"/>
        <w:rPr>
          <w:i/>
          <w:iCs/>
          <w:sz w:val="22"/>
          <w:szCs w:val="22"/>
        </w:rPr>
      </w:pPr>
      <w:r>
        <w:rPr>
          <w:bCs/>
          <w:sz w:val="22"/>
          <w:szCs w:val="22"/>
        </w:rPr>
        <w:t>(</w:t>
      </w:r>
      <w:proofErr w:type="spellStart"/>
      <w:r>
        <w:rPr>
          <w:bCs/>
          <w:sz w:val="22"/>
          <w:szCs w:val="22"/>
        </w:rPr>
        <w:t>i</w:t>
      </w:r>
      <w:proofErr w:type="spellEnd"/>
      <w:r>
        <w:rPr>
          <w:bCs/>
          <w:sz w:val="22"/>
          <w:szCs w:val="22"/>
        </w:rPr>
        <w:t>)</w:t>
      </w:r>
      <w:r>
        <w:rPr>
          <w:bCs/>
          <w:sz w:val="22"/>
          <w:szCs w:val="22"/>
        </w:rPr>
        <w:tab/>
      </w:r>
      <w:r>
        <w:rPr>
          <w:sz w:val="22"/>
          <w:szCs w:val="22"/>
        </w:rPr>
        <w:t>Except as otherwise provided in item (ii) below, consultants’ services shall be procured under contracts awarded on the basis of Quality- and Cost-based Selection.</w:t>
      </w:r>
    </w:p>
    <w:p w:rsidR="009B2CDE" w:rsidRPr="00305325" w:rsidRDefault="009B2CDE" w:rsidP="00FD3032">
      <w:pPr>
        <w:jc w:val="both"/>
        <w:rPr>
          <w:sz w:val="22"/>
          <w:szCs w:val="22"/>
        </w:rPr>
      </w:pPr>
    </w:p>
    <w:p w:rsidR="009B2CDE" w:rsidRPr="00C07453" w:rsidRDefault="00203FC8" w:rsidP="00AD3394">
      <w:pPr>
        <w:ind w:left="2160" w:hanging="720"/>
        <w:jc w:val="both"/>
        <w:rPr>
          <w:sz w:val="22"/>
          <w:szCs w:val="22"/>
        </w:rPr>
      </w:pPr>
      <w:r>
        <w:rPr>
          <w:bCs/>
          <w:sz w:val="22"/>
          <w:szCs w:val="22"/>
        </w:rPr>
        <w:t>(ii)</w:t>
      </w:r>
      <w:r>
        <w:rPr>
          <w:bCs/>
          <w:sz w:val="22"/>
          <w:szCs w:val="22"/>
        </w:rPr>
        <w:tab/>
      </w:r>
      <w:r>
        <w:rPr>
          <w:sz w:val="22"/>
          <w:szCs w:val="22"/>
        </w:rPr>
        <w:t xml:space="preserve">The following methods may be used for the procurement of consultants’ services for those assignments which are specified in the Procurement Plan: (A) Selection based on Consultants’ </w:t>
      </w:r>
      <w:r w:rsidRPr="00C07453">
        <w:rPr>
          <w:sz w:val="22"/>
          <w:szCs w:val="22"/>
        </w:rPr>
        <w:t>Qualifications;</w:t>
      </w:r>
      <w:r w:rsidR="0074595F" w:rsidRPr="00C07453">
        <w:rPr>
          <w:sz w:val="22"/>
          <w:szCs w:val="22"/>
        </w:rPr>
        <w:t xml:space="preserve"> (B) Single-source Selection;</w:t>
      </w:r>
      <w:r w:rsidRPr="00C07453">
        <w:rPr>
          <w:sz w:val="22"/>
          <w:szCs w:val="22"/>
        </w:rPr>
        <w:t xml:space="preserve"> </w:t>
      </w:r>
      <w:r w:rsidR="0074595F" w:rsidRPr="00C07453">
        <w:rPr>
          <w:sz w:val="22"/>
          <w:szCs w:val="22"/>
        </w:rPr>
        <w:t>(C) Selection of Individual Consultants; and (D</w:t>
      </w:r>
      <w:r w:rsidRPr="00C07453">
        <w:rPr>
          <w:sz w:val="22"/>
          <w:szCs w:val="22"/>
        </w:rPr>
        <w:t>) Sole Source Procedures for the Selection of Individual Consultants.</w:t>
      </w:r>
    </w:p>
    <w:p w:rsidR="009B2CDE" w:rsidRPr="00C07453" w:rsidRDefault="009B2CDE" w:rsidP="00FD3032">
      <w:pPr>
        <w:pStyle w:val="ModelDoubleNoIndent"/>
        <w:spacing w:after="0" w:line="240" w:lineRule="auto"/>
        <w:rPr>
          <w:szCs w:val="22"/>
        </w:rPr>
      </w:pPr>
    </w:p>
    <w:p w:rsidR="009B2CDE" w:rsidRPr="00305325" w:rsidRDefault="00203FC8" w:rsidP="00FD3032">
      <w:pPr>
        <w:pStyle w:val="ModelNrmlSingle"/>
        <w:spacing w:after="0"/>
        <w:rPr>
          <w:b/>
          <w:bCs/>
          <w:szCs w:val="22"/>
        </w:rPr>
      </w:pPr>
      <w:r w:rsidRPr="00C07453">
        <w:rPr>
          <w:bCs/>
          <w:szCs w:val="22"/>
        </w:rPr>
        <w:t>(e)</w:t>
      </w:r>
      <w:r w:rsidRPr="00C07453">
        <w:rPr>
          <w:bCs/>
          <w:szCs w:val="22"/>
        </w:rPr>
        <w:tab/>
      </w:r>
      <w:r w:rsidRPr="00C07453">
        <w:rPr>
          <w:bCs/>
          <w:szCs w:val="22"/>
          <w:u w:val="single"/>
        </w:rPr>
        <w:t>Review by the World Bank of Procurement Decisions</w:t>
      </w:r>
      <w:r w:rsidRPr="00C07453">
        <w:rPr>
          <w:bCs/>
          <w:szCs w:val="22"/>
        </w:rPr>
        <w:t xml:space="preserve">.  </w:t>
      </w:r>
      <w:r w:rsidRPr="00C07453">
        <w:rPr>
          <w:szCs w:val="22"/>
        </w:rPr>
        <w:t>The Procurement Plan shall set forth those contracts which shall be subject to the World Bank’s</w:t>
      </w:r>
      <w:r w:rsidRPr="00203FC8">
        <w:rPr>
          <w:szCs w:val="22"/>
        </w:rPr>
        <w:t xml:space="preserve"> Prior Review.  All other contracts shall be subject to Post Review by the World Bank.   </w:t>
      </w:r>
    </w:p>
    <w:p w:rsidR="00B741A6" w:rsidRDefault="00B741A6" w:rsidP="00FD3032">
      <w:pPr>
        <w:pStyle w:val="ModelNrmlSingle"/>
        <w:spacing w:after="0"/>
        <w:ind w:firstLine="0"/>
        <w:rPr>
          <w:b/>
          <w:szCs w:val="22"/>
        </w:rPr>
      </w:pPr>
    </w:p>
    <w:p w:rsidR="000C0C54" w:rsidRPr="00305325" w:rsidRDefault="000C0C54" w:rsidP="00FD3032">
      <w:pPr>
        <w:pStyle w:val="ModelNrmlSingle"/>
        <w:spacing w:after="0"/>
        <w:ind w:firstLine="0"/>
        <w:rPr>
          <w:b/>
          <w:szCs w:val="22"/>
        </w:rPr>
      </w:pPr>
    </w:p>
    <w:p w:rsidR="009B2CDE" w:rsidRPr="00305325" w:rsidRDefault="00203FC8" w:rsidP="00FD3032">
      <w:pPr>
        <w:pStyle w:val="ModelNrmlSingle"/>
        <w:spacing w:after="0"/>
        <w:ind w:firstLine="0"/>
        <w:jc w:val="center"/>
        <w:rPr>
          <w:b/>
          <w:szCs w:val="22"/>
        </w:rPr>
      </w:pPr>
      <w:r w:rsidRPr="00203FC8">
        <w:rPr>
          <w:b/>
          <w:szCs w:val="22"/>
        </w:rPr>
        <w:t>Article III</w:t>
      </w:r>
    </w:p>
    <w:p w:rsidR="009B2CDE" w:rsidRPr="00305325" w:rsidRDefault="00203FC8" w:rsidP="00FD3032">
      <w:pPr>
        <w:pStyle w:val="ModelNrmlSingle"/>
        <w:spacing w:after="0"/>
        <w:ind w:firstLine="0"/>
        <w:jc w:val="center"/>
        <w:rPr>
          <w:b/>
          <w:szCs w:val="22"/>
        </w:rPr>
      </w:pPr>
      <w:r w:rsidRPr="00203FC8">
        <w:rPr>
          <w:b/>
          <w:szCs w:val="22"/>
        </w:rPr>
        <w:t>Withdrawal of Proceeds</w:t>
      </w:r>
    </w:p>
    <w:p w:rsidR="009B2CDE" w:rsidRPr="00305325" w:rsidRDefault="009B2CDE" w:rsidP="00FD3032">
      <w:pPr>
        <w:pStyle w:val="ModelNrmlSingle"/>
        <w:spacing w:after="0"/>
        <w:ind w:firstLine="0"/>
        <w:rPr>
          <w:bCs/>
          <w:szCs w:val="22"/>
        </w:rPr>
      </w:pPr>
    </w:p>
    <w:p w:rsidR="009B2CDE" w:rsidRPr="00305325" w:rsidRDefault="00203FC8" w:rsidP="007E4732">
      <w:pPr>
        <w:pStyle w:val="ModelNrmlSingle"/>
        <w:ind w:firstLine="0"/>
        <w:rPr>
          <w:rFonts w:eastAsia="SimSun"/>
          <w:color w:val="000000"/>
          <w:szCs w:val="22"/>
          <w:lang w:eastAsia="zh-CN"/>
        </w:rPr>
      </w:pPr>
      <w:r w:rsidRPr="00203FC8">
        <w:rPr>
          <w:bCs/>
          <w:szCs w:val="22"/>
        </w:rPr>
        <w:t>3.01.</w:t>
      </w:r>
      <w:r w:rsidRPr="00203FC8">
        <w:rPr>
          <w:bCs/>
          <w:szCs w:val="22"/>
        </w:rPr>
        <w:tab/>
      </w:r>
      <w:r w:rsidRPr="00203FC8">
        <w:rPr>
          <w:b/>
          <w:bCs/>
          <w:i/>
          <w:szCs w:val="22"/>
        </w:rPr>
        <w:t>Eligible Expenditures.</w:t>
      </w:r>
      <w:r w:rsidRPr="00203FC8">
        <w:rPr>
          <w:bCs/>
          <w:szCs w:val="22"/>
        </w:rPr>
        <w:t xml:space="preserve">  </w:t>
      </w:r>
      <w:r w:rsidRPr="00203FC8">
        <w:rPr>
          <w:szCs w:val="22"/>
        </w:rPr>
        <w:t>The Recipient may withdraw the proceeds of the Grant  in accordance with the provisions of (a) Article III of the Standard Conditions, (b) this Section, and (c) such additional instructions as the World Bank may specify by notice to the Recipient (including the “World Bank Disbursement Guidelines for Projects” dated May 2006, as revised from time to time by the World Bank and as made applicable to this Agreement pursuant to such instructions), to finance one hundred percent (100%) of Eligible Expenditures, consisting of goods, consultants’ services (including for audits), Training, and Operating Costs.</w:t>
      </w:r>
    </w:p>
    <w:p w:rsidR="009B2CDE" w:rsidRPr="00305325" w:rsidRDefault="00203FC8" w:rsidP="00FD3032">
      <w:pPr>
        <w:pStyle w:val="ModelNrmlSingle"/>
        <w:ind w:firstLine="0"/>
        <w:rPr>
          <w:bCs/>
          <w:szCs w:val="22"/>
        </w:rPr>
      </w:pPr>
      <w:r w:rsidRPr="00203FC8">
        <w:rPr>
          <w:bCs/>
          <w:szCs w:val="22"/>
        </w:rPr>
        <w:t>3.02.</w:t>
      </w:r>
      <w:r w:rsidRPr="00203FC8">
        <w:rPr>
          <w:bCs/>
          <w:szCs w:val="22"/>
        </w:rPr>
        <w:tab/>
      </w:r>
      <w:r w:rsidRPr="00203FC8">
        <w:rPr>
          <w:b/>
          <w:bCs/>
          <w:i/>
          <w:szCs w:val="22"/>
        </w:rPr>
        <w:t>Withdrawal Conditions.</w:t>
      </w:r>
      <w:r w:rsidRPr="00203FC8">
        <w:rPr>
          <w:bCs/>
          <w:szCs w:val="22"/>
        </w:rPr>
        <w:t xml:space="preserve">  Notwithstanding the provisions of Section 3.01 of this Agreement, no withdrawal shall be made for payments made prior to the date of countersignature of this Agreement by the Recipient. </w:t>
      </w:r>
    </w:p>
    <w:p w:rsidR="009B2CDE" w:rsidRPr="00305325" w:rsidRDefault="00203FC8" w:rsidP="00FD3032">
      <w:pPr>
        <w:pStyle w:val="ModelNrmlSingle"/>
        <w:spacing w:after="0"/>
        <w:ind w:firstLine="0"/>
        <w:rPr>
          <w:bCs/>
          <w:szCs w:val="22"/>
        </w:rPr>
      </w:pPr>
      <w:r w:rsidRPr="00203FC8">
        <w:rPr>
          <w:bCs/>
          <w:szCs w:val="22"/>
        </w:rPr>
        <w:t>3.03.</w:t>
      </w:r>
      <w:r w:rsidRPr="00203FC8">
        <w:rPr>
          <w:bCs/>
          <w:szCs w:val="22"/>
        </w:rPr>
        <w:tab/>
      </w:r>
      <w:r w:rsidRPr="00203FC8">
        <w:rPr>
          <w:b/>
          <w:bCs/>
          <w:i/>
          <w:szCs w:val="22"/>
        </w:rPr>
        <w:t>Withdrawal Period.</w:t>
      </w:r>
      <w:r w:rsidRPr="00203FC8">
        <w:rPr>
          <w:szCs w:val="22"/>
        </w:rPr>
        <w:t xml:space="preserve">  The Closing Date referred to in Section 3.06 (c) of the Standard Conditions is December 31, 2014.</w:t>
      </w:r>
    </w:p>
    <w:p w:rsidR="002E2A99" w:rsidRDefault="002E2A99" w:rsidP="00FD3032">
      <w:pPr>
        <w:pStyle w:val="Heading1"/>
        <w:jc w:val="both"/>
        <w:rPr>
          <w:i w:val="0"/>
          <w:sz w:val="22"/>
          <w:szCs w:val="22"/>
        </w:rPr>
      </w:pPr>
    </w:p>
    <w:p w:rsidR="000C0C54" w:rsidRDefault="000C0C54" w:rsidP="000C0C54"/>
    <w:p w:rsidR="00CA1596" w:rsidRDefault="00CA1596" w:rsidP="000C0C54"/>
    <w:p w:rsidR="00CA1596" w:rsidRDefault="00CA1596" w:rsidP="000C0C54"/>
    <w:p w:rsidR="00CA1596" w:rsidRDefault="00CA1596" w:rsidP="000C0C54"/>
    <w:p w:rsidR="00CA1596" w:rsidRDefault="00CA1596" w:rsidP="000C0C54"/>
    <w:p w:rsidR="00CA1596" w:rsidRDefault="00CA1596" w:rsidP="000C0C54"/>
    <w:p w:rsidR="00CA1596" w:rsidRDefault="00CA1596" w:rsidP="000C0C54"/>
    <w:p w:rsidR="00CA1596" w:rsidRDefault="00CA1596" w:rsidP="000C0C54"/>
    <w:p w:rsidR="00CA1596" w:rsidRDefault="00CA1596" w:rsidP="000C0C54"/>
    <w:p w:rsidR="00CA1596" w:rsidRDefault="00CA1596" w:rsidP="000C0C54"/>
    <w:p w:rsidR="00CA1596" w:rsidRDefault="00CA1596" w:rsidP="000C0C54"/>
    <w:p w:rsidR="000C0C54" w:rsidRPr="000C0C54" w:rsidRDefault="000C0C54" w:rsidP="000C0C54"/>
    <w:p w:rsidR="002E2A99" w:rsidRPr="00E7572F" w:rsidRDefault="002E2A99" w:rsidP="00E7572F">
      <w:pPr>
        <w:jc w:val="center"/>
        <w:rPr>
          <w:b/>
          <w:sz w:val="22"/>
          <w:szCs w:val="22"/>
        </w:rPr>
      </w:pPr>
      <w:r w:rsidRPr="00E7572F">
        <w:rPr>
          <w:b/>
          <w:sz w:val="22"/>
          <w:szCs w:val="22"/>
        </w:rPr>
        <w:lastRenderedPageBreak/>
        <w:t>Article IV</w:t>
      </w:r>
    </w:p>
    <w:p w:rsidR="002E2A99" w:rsidRPr="00305325" w:rsidRDefault="00203FC8" w:rsidP="00FD3032">
      <w:pPr>
        <w:pStyle w:val="ModelNrmlDouble"/>
        <w:spacing w:after="0" w:line="240" w:lineRule="auto"/>
        <w:ind w:firstLine="0"/>
        <w:jc w:val="center"/>
        <w:rPr>
          <w:b/>
          <w:szCs w:val="22"/>
        </w:rPr>
      </w:pPr>
      <w:r w:rsidRPr="00203FC8">
        <w:rPr>
          <w:b/>
          <w:szCs w:val="22"/>
        </w:rPr>
        <w:t>Recipient’s Representative; Addresses</w:t>
      </w:r>
    </w:p>
    <w:p w:rsidR="002E2A99" w:rsidRPr="00305325" w:rsidRDefault="002E2A99" w:rsidP="00FD3032">
      <w:pPr>
        <w:pStyle w:val="ModelNrmlDouble"/>
        <w:spacing w:after="0" w:line="240" w:lineRule="auto"/>
        <w:ind w:firstLine="0"/>
        <w:rPr>
          <w:szCs w:val="22"/>
        </w:rPr>
      </w:pPr>
    </w:p>
    <w:p w:rsidR="002E2A99" w:rsidRPr="00305325" w:rsidRDefault="00203FC8" w:rsidP="00FD3032">
      <w:pPr>
        <w:pStyle w:val="ModelNrmlSingle"/>
        <w:ind w:firstLine="0"/>
        <w:rPr>
          <w:szCs w:val="22"/>
        </w:rPr>
      </w:pPr>
      <w:r w:rsidRPr="00203FC8">
        <w:rPr>
          <w:szCs w:val="22"/>
        </w:rPr>
        <w:t>4.01.</w:t>
      </w:r>
      <w:r w:rsidRPr="00203FC8">
        <w:rPr>
          <w:szCs w:val="22"/>
        </w:rPr>
        <w:tab/>
      </w:r>
      <w:r w:rsidRPr="00203FC8">
        <w:rPr>
          <w:b/>
          <w:i/>
          <w:szCs w:val="22"/>
        </w:rPr>
        <w:t>Recipient’s Representative</w:t>
      </w:r>
      <w:r w:rsidRPr="00203FC8">
        <w:rPr>
          <w:szCs w:val="22"/>
        </w:rPr>
        <w:t xml:space="preserve">.  The Recipient’s Representative referred to in Section 7.02 of the Standard Conditions is the Minister of Finance. </w:t>
      </w:r>
    </w:p>
    <w:p w:rsidR="001C1ACC" w:rsidRPr="00305325" w:rsidRDefault="00203FC8" w:rsidP="00B21B48">
      <w:pPr>
        <w:pStyle w:val="ModelNrmlSingle"/>
        <w:spacing w:after="0"/>
        <w:ind w:firstLine="0"/>
        <w:rPr>
          <w:szCs w:val="22"/>
        </w:rPr>
      </w:pPr>
      <w:r w:rsidRPr="00203FC8">
        <w:rPr>
          <w:szCs w:val="22"/>
        </w:rPr>
        <w:t>4.02.</w:t>
      </w:r>
      <w:r w:rsidRPr="00203FC8">
        <w:rPr>
          <w:szCs w:val="22"/>
        </w:rPr>
        <w:tab/>
      </w:r>
      <w:r w:rsidRPr="00203FC8">
        <w:rPr>
          <w:b/>
          <w:i/>
          <w:szCs w:val="22"/>
        </w:rPr>
        <w:t>Recipient’s Address</w:t>
      </w:r>
      <w:r w:rsidRPr="00203FC8">
        <w:rPr>
          <w:szCs w:val="22"/>
        </w:rPr>
        <w:t>.  The Recipient’s Address referred to in Section 7.01 of the Standard Conditions is:</w:t>
      </w:r>
    </w:p>
    <w:p w:rsidR="000625E9" w:rsidRDefault="000625E9" w:rsidP="008A2C16">
      <w:pPr>
        <w:pStyle w:val="ModelNrmlSingle"/>
        <w:spacing w:after="0"/>
        <w:rPr>
          <w:bCs/>
          <w:szCs w:val="22"/>
        </w:rPr>
      </w:pPr>
    </w:p>
    <w:p w:rsidR="001C1ACC" w:rsidRPr="00305325" w:rsidRDefault="00203FC8" w:rsidP="008A2C16">
      <w:pPr>
        <w:pStyle w:val="ModelNrmlSingle"/>
        <w:spacing w:after="0"/>
        <w:rPr>
          <w:szCs w:val="22"/>
        </w:rPr>
      </w:pPr>
      <w:r w:rsidRPr="00203FC8">
        <w:rPr>
          <w:bCs/>
          <w:szCs w:val="22"/>
        </w:rPr>
        <w:t xml:space="preserve">Directorate General </w:t>
      </w:r>
      <w:r w:rsidRPr="00203FC8">
        <w:rPr>
          <w:szCs w:val="22"/>
        </w:rPr>
        <w:t>of Debt Management</w:t>
      </w:r>
    </w:p>
    <w:p w:rsidR="007D21AA" w:rsidRPr="00305325" w:rsidRDefault="00203FC8" w:rsidP="008A2C16">
      <w:pPr>
        <w:pStyle w:val="ModelNrmlSingle"/>
        <w:spacing w:after="0"/>
        <w:rPr>
          <w:bCs/>
          <w:szCs w:val="22"/>
        </w:rPr>
      </w:pPr>
      <w:r w:rsidRPr="00203FC8">
        <w:rPr>
          <w:bCs/>
          <w:szCs w:val="22"/>
        </w:rPr>
        <w:t>Ministry of Finance</w:t>
      </w:r>
    </w:p>
    <w:p w:rsidR="001C1ACC" w:rsidRPr="00305325" w:rsidRDefault="00203FC8" w:rsidP="008A2C16">
      <w:pPr>
        <w:pStyle w:val="ModelNrmlSingle"/>
        <w:spacing w:after="0"/>
        <w:rPr>
          <w:bCs/>
          <w:szCs w:val="22"/>
          <w:lang w:val="nb-NO"/>
        </w:rPr>
      </w:pPr>
      <w:r w:rsidRPr="00203FC8">
        <w:rPr>
          <w:bCs/>
          <w:szCs w:val="22"/>
          <w:lang w:val="nb-NO"/>
        </w:rPr>
        <w:t>Jalan Lapangan Banteng Timur 2-4</w:t>
      </w:r>
    </w:p>
    <w:p w:rsidR="001C1ACC" w:rsidRPr="00305325" w:rsidRDefault="00203FC8" w:rsidP="008A2C16">
      <w:pPr>
        <w:pStyle w:val="ModelNrmlSingle"/>
        <w:spacing w:after="0"/>
        <w:rPr>
          <w:bCs/>
          <w:szCs w:val="22"/>
          <w:lang w:val="nb-NO"/>
        </w:rPr>
      </w:pPr>
      <w:r w:rsidRPr="00203FC8">
        <w:rPr>
          <w:bCs/>
          <w:szCs w:val="22"/>
          <w:lang w:val="nb-NO"/>
        </w:rPr>
        <w:t>P. O. Box 1139</w:t>
      </w:r>
    </w:p>
    <w:p w:rsidR="001C1ACC" w:rsidRPr="00305325" w:rsidRDefault="00203FC8" w:rsidP="008A2C16">
      <w:pPr>
        <w:pStyle w:val="ModelNrmlSingle"/>
        <w:spacing w:after="0"/>
        <w:rPr>
          <w:bCs/>
          <w:szCs w:val="22"/>
          <w:lang w:val="nb-NO"/>
        </w:rPr>
      </w:pPr>
      <w:r w:rsidRPr="00203FC8">
        <w:rPr>
          <w:bCs/>
          <w:szCs w:val="22"/>
          <w:lang w:val="nb-NO"/>
        </w:rPr>
        <w:t>Jakarta 10710</w:t>
      </w:r>
    </w:p>
    <w:p w:rsidR="001C1ACC" w:rsidRPr="00305325" w:rsidRDefault="00203FC8" w:rsidP="008A2C16">
      <w:pPr>
        <w:pStyle w:val="ModelNrmlSingle"/>
        <w:spacing w:after="0"/>
        <w:rPr>
          <w:bCs/>
          <w:szCs w:val="22"/>
        </w:rPr>
      </w:pPr>
      <w:r w:rsidRPr="00203FC8">
        <w:rPr>
          <w:bCs/>
          <w:szCs w:val="22"/>
        </w:rPr>
        <w:t>Indonesia</w:t>
      </w:r>
    </w:p>
    <w:p w:rsidR="001C1ACC" w:rsidRPr="00305325" w:rsidRDefault="001C1ACC" w:rsidP="00FD3032">
      <w:pPr>
        <w:pStyle w:val="ModelNrmlSingle"/>
        <w:spacing w:after="0"/>
        <w:ind w:left="720" w:firstLine="0"/>
        <w:rPr>
          <w:bCs/>
          <w:szCs w:val="22"/>
        </w:rPr>
      </w:pPr>
    </w:p>
    <w:p w:rsidR="001C1ACC" w:rsidRPr="00305325" w:rsidRDefault="00203FC8" w:rsidP="000C6673">
      <w:pPr>
        <w:pStyle w:val="ModelNrmlSingle"/>
        <w:spacing w:after="0"/>
        <w:rPr>
          <w:bCs/>
          <w:szCs w:val="22"/>
        </w:rPr>
      </w:pPr>
      <w:r w:rsidRPr="00203FC8">
        <w:rPr>
          <w:bCs/>
          <w:szCs w:val="22"/>
        </w:rPr>
        <w:t>Cable address:</w:t>
      </w:r>
      <w:r w:rsidRPr="00203FC8">
        <w:rPr>
          <w:bCs/>
          <w:szCs w:val="22"/>
        </w:rPr>
        <w:tab/>
      </w:r>
      <w:r w:rsidRPr="00203FC8">
        <w:rPr>
          <w:bCs/>
          <w:szCs w:val="22"/>
        </w:rPr>
        <w:tab/>
      </w:r>
      <w:r w:rsidR="00890F46">
        <w:rPr>
          <w:bCs/>
          <w:szCs w:val="22"/>
        </w:rPr>
        <w:tab/>
      </w:r>
      <w:r w:rsidRPr="00203FC8">
        <w:rPr>
          <w:bCs/>
          <w:szCs w:val="22"/>
        </w:rPr>
        <w:t>Telex:</w:t>
      </w:r>
      <w:r w:rsidRPr="00203FC8">
        <w:rPr>
          <w:bCs/>
          <w:szCs w:val="22"/>
        </w:rPr>
        <w:tab/>
      </w:r>
      <w:r w:rsidRPr="00203FC8">
        <w:rPr>
          <w:bCs/>
          <w:szCs w:val="22"/>
        </w:rPr>
        <w:tab/>
      </w:r>
      <w:r w:rsidRPr="00203FC8">
        <w:rPr>
          <w:bCs/>
          <w:szCs w:val="22"/>
        </w:rPr>
        <w:tab/>
      </w:r>
      <w:r w:rsidR="005604CE">
        <w:rPr>
          <w:bCs/>
          <w:szCs w:val="22"/>
        </w:rPr>
        <w:tab/>
        <w:t>Facsimile:</w:t>
      </w:r>
      <w:r w:rsidR="005604CE">
        <w:rPr>
          <w:bCs/>
          <w:szCs w:val="22"/>
        </w:rPr>
        <w:tab/>
      </w:r>
      <w:r w:rsidR="005604CE">
        <w:rPr>
          <w:bCs/>
          <w:szCs w:val="22"/>
        </w:rPr>
        <w:tab/>
      </w:r>
    </w:p>
    <w:p w:rsidR="00EA671B" w:rsidRPr="00305325" w:rsidRDefault="00EA671B" w:rsidP="00FD3032">
      <w:pPr>
        <w:pStyle w:val="ModelNrmlSingle"/>
        <w:spacing w:after="0"/>
        <w:ind w:left="720"/>
        <w:rPr>
          <w:bCs/>
          <w:szCs w:val="22"/>
          <w:lang w:val="nb-NO"/>
        </w:rPr>
      </w:pPr>
    </w:p>
    <w:p w:rsidR="001C1ACC" w:rsidRPr="00305325" w:rsidRDefault="00203FC8" w:rsidP="000C6673">
      <w:pPr>
        <w:pStyle w:val="ModelNrmlSingle"/>
        <w:spacing w:after="0"/>
        <w:rPr>
          <w:bCs/>
          <w:szCs w:val="22"/>
          <w:lang w:val="nb-NO"/>
        </w:rPr>
      </w:pPr>
      <w:r w:rsidRPr="00203FC8">
        <w:rPr>
          <w:bCs/>
          <w:szCs w:val="22"/>
          <w:lang w:val="nb-NO"/>
        </w:rPr>
        <w:t>FINMINISTRY</w:t>
      </w:r>
      <w:r w:rsidRPr="00203FC8">
        <w:rPr>
          <w:bCs/>
          <w:szCs w:val="22"/>
          <w:lang w:val="nb-NO"/>
        </w:rPr>
        <w:tab/>
      </w:r>
      <w:r w:rsidRPr="00203FC8">
        <w:rPr>
          <w:bCs/>
          <w:szCs w:val="22"/>
          <w:lang w:val="nb-NO"/>
        </w:rPr>
        <w:tab/>
      </w:r>
      <w:r w:rsidR="00890F46">
        <w:rPr>
          <w:bCs/>
          <w:szCs w:val="22"/>
          <w:lang w:val="nb-NO"/>
        </w:rPr>
        <w:tab/>
      </w:r>
      <w:r w:rsidRPr="00203FC8">
        <w:rPr>
          <w:bCs/>
          <w:szCs w:val="22"/>
          <w:lang w:val="nb-NO"/>
        </w:rPr>
        <w:t>45799 DJMLN-IA</w:t>
      </w:r>
      <w:r w:rsidRPr="00203FC8">
        <w:rPr>
          <w:bCs/>
          <w:szCs w:val="22"/>
          <w:lang w:val="nb-NO"/>
        </w:rPr>
        <w:tab/>
      </w:r>
      <w:r w:rsidR="005604CE">
        <w:rPr>
          <w:bCs/>
          <w:szCs w:val="22"/>
          <w:lang w:val="nb-NO"/>
        </w:rPr>
        <w:tab/>
      </w:r>
      <w:r w:rsidRPr="00203FC8">
        <w:rPr>
          <w:bCs/>
          <w:szCs w:val="22"/>
          <w:lang w:val="nb-NO"/>
        </w:rPr>
        <w:t>62-21-381-2859</w:t>
      </w:r>
      <w:r w:rsidRPr="00203FC8">
        <w:rPr>
          <w:bCs/>
          <w:szCs w:val="22"/>
          <w:lang w:val="nb-NO"/>
        </w:rPr>
        <w:tab/>
      </w:r>
      <w:r w:rsidRPr="00203FC8">
        <w:rPr>
          <w:bCs/>
          <w:szCs w:val="22"/>
          <w:lang w:val="nb-NO"/>
        </w:rPr>
        <w:tab/>
      </w:r>
    </w:p>
    <w:p w:rsidR="001C1ACC" w:rsidRPr="00305325" w:rsidRDefault="00203FC8" w:rsidP="000C6673">
      <w:pPr>
        <w:pStyle w:val="ModelNrmlSingle"/>
        <w:spacing w:after="0"/>
        <w:rPr>
          <w:bCs/>
          <w:szCs w:val="22"/>
          <w:lang w:val="nb-NO"/>
        </w:rPr>
      </w:pPr>
      <w:r w:rsidRPr="00203FC8">
        <w:rPr>
          <w:bCs/>
          <w:szCs w:val="22"/>
          <w:lang w:val="nb-NO"/>
        </w:rPr>
        <w:t>Jakarta</w:t>
      </w:r>
      <w:r w:rsidRPr="00203FC8">
        <w:rPr>
          <w:bCs/>
          <w:szCs w:val="22"/>
          <w:lang w:val="nb-NO"/>
        </w:rPr>
        <w:tab/>
      </w:r>
      <w:r w:rsidRPr="00203FC8">
        <w:rPr>
          <w:bCs/>
          <w:szCs w:val="22"/>
          <w:lang w:val="nb-NO"/>
        </w:rPr>
        <w:tab/>
      </w:r>
      <w:r w:rsidRPr="00203FC8">
        <w:rPr>
          <w:bCs/>
          <w:szCs w:val="22"/>
          <w:lang w:val="nb-NO"/>
        </w:rPr>
        <w:tab/>
      </w:r>
      <w:r w:rsidR="00890F46">
        <w:rPr>
          <w:bCs/>
          <w:szCs w:val="22"/>
          <w:lang w:val="nb-NO"/>
        </w:rPr>
        <w:tab/>
      </w:r>
      <w:r w:rsidRPr="00203FC8">
        <w:rPr>
          <w:bCs/>
          <w:szCs w:val="22"/>
          <w:lang w:val="nb-NO"/>
        </w:rPr>
        <w:t>44319 DEPKEU-IA</w:t>
      </w:r>
    </w:p>
    <w:p w:rsidR="001C1ACC" w:rsidRPr="00305325" w:rsidRDefault="001C1ACC" w:rsidP="00FD3032">
      <w:pPr>
        <w:pStyle w:val="ModelNrmlSingle"/>
        <w:spacing w:after="0"/>
        <w:ind w:left="720"/>
        <w:rPr>
          <w:bCs/>
          <w:szCs w:val="22"/>
          <w:lang w:val="nb-NO"/>
        </w:rPr>
      </w:pPr>
    </w:p>
    <w:p w:rsidR="002E2A99" w:rsidRPr="00305325" w:rsidRDefault="00203FC8" w:rsidP="00FD3032">
      <w:pPr>
        <w:pStyle w:val="ModelNrmlSingle"/>
        <w:ind w:firstLine="0"/>
        <w:rPr>
          <w:bCs/>
          <w:szCs w:val="22"/>
        </w:rPr>
      </w:pPr>
      <w:r w:rsidRPr="00203FC8">
        <w:rPr>
          <w:bCs/>
          <w:szCs w:val="22"/>
        </w:rPr>
        <w:t>4.03.</w:t>
      </w:r>
      <w:r w:rsidRPr="00203FC8">
        <w:rPr>
          <w:bCs/>
          <w:szCs w:val="22"/>
        </w:rPr>
        <w:tab/>
      </w:r>
      <w:r w:rsidRPr="00203FC8">
        <w:rPr>
          <w:b/>
          <w:bCs/>
          <w:i/>
          <w:szCs w:val="22"/>
        </w:rPr>
        <w:t>World Bank’s Address</w:t>
      </w:r>
      <w:r w:rsidRPr="00203FC8">
        <w:rPr>
          <w:bCs/>
          <w:szCs w:val="22"/>
        </w:rPr>
        <w:t>.  The World Bank’s Address referred to in Section 7.01 of the Standard Conditions is:</w:t>
      </w:r>
    </w:p>
    <w:p w:rsidR="002E2A99" w:rsidRPr="00305325" w:rsidRDefault="00203FC8" w:rsidP="00FD3032">
      <w:pPr>
        <w:pStyle w:val="ModelNrmlSingle"/>
        <w:spacing w:after="0"/>
        <w:ind w:left="720" w:hanging="720"/>
        <w:rPr>
          <w:bCs/>
          <w:szCs w:val="22"/>
        </w:rPr>
      </w:pPr>
      <w:r w:rsidRPr="00203FC8">
        <w:rPr>
          <w:bCs/>
          <w:szCs w:val="22"/>
        </w:rPr>
        <w:tab/>
        <w:t>International Bank for Reconstruction and Development</w:t>
      </w:r>
    </w:p>
    <w:p w:rsidR="002E2A99" w:rsidRPr="00305325" w:rsidRDefault="00203FC8" w:rsidP="00FD3032">
      <w:pPr>
        <w:pStyle w:val="ModelNrmlSingle"/>
        <w:spacing w:after="0"/>
        <w:ind w:left="720" w:hanging="720"/>
        <w:rPr>
          <w:bCs/>
          <w:szCs w:val="22"/>
        </w:rPr>
      </w:pPr>
      <w:r w:rsidRPr="00203FC8">
        <w:rPr>
          <w:bCs/>
          <w:szCs w:val="22"/>
        </w:rPr>
        <w:tab/>
        <w:t>1818 H Street, N.W.</w:t>
      </w:r>
    </w:p>
    <w:p w:rsidR="002E2A99" w:rsidRPr="00305325" w:rsidRDefault="00203FC8" w:rsidP="00FD3032">
      <w:pPr>
        <w:pStyle w:val="ModelNrmlSingle"/>
        <w:spacing w:after="0"/>
        <w:rPr>
          <w:bCs/>
          <w:szCs w:val="22"/>
        </w:rPr>
      </w:pPr>
      <w:r w:rsidRPr="00203FC8">
        <w:rPr>
          <w:bCs/>
          <w:szCs w:val="22"/>
        </w:rPr>
        <w:t>Washington, D.C. 20433</w:t>
      </w:r>
    </w:p>
    <w:p w:rsidR="002E2A99" w:rsidRPr="00305325" w:rsidRDefault="00203FC8" w:rsidP="00FD3032">
      <w:pPr>
        <w:pStyle w:val="ModelNrmlSingle"/>
        <w:spacing w:after="0"/>
        <w:ind w:left="720" w:hanging="720"/>
        <w:rPr>
          <w:bCs/>
          <w:szCs w:val="22"/>
        </w:rPr>
      </w:pPr>
      <w:r w:rsidRPr="00203FC8">
        <w:rPr>
          <w:bCs/>
          <w:szCs w:val="22"/>
        </w:rPr>
        <w:tab/>
        <w:t>United States of America</w:t>
      </w:r>
    </w:p>
    <w:p w:rsidR="002E2A99" w:rsidRPr="00305325" w:rsidRDefault="002E2A99" w:rsidP="00FD3032">
      <w:pPr>
        <w:pStyle w:val="ModelNrmlSingle"/>
        <w:spacing w:after="0"/>
        <w:ind w:left="720" w:hanging="720"/>
        <w:rPr>
          <w:bCs/>
          <w:szCs w:val="22"/>
        </w:rPr>
      </w:pPr>
    </w:p>
    <w:p w:rsidR="002E2A99" w:rsidRPr="00305325" w:rsidRDefault="00203FC8" w:rsidP="00FD3032">
      <w:pPr>
        <w:pStyle w:val="ModelNrmlSingle"/>
        <w:spacing w:after="0"/>
        <w:rPr>
          <w:bCs/>
          <w:szCs w:val="22"/>
        </w:rPr>
      </w:pPr>
      <w:r w:rsidRPr="00203FC8">
        <w:rPr>
          <w:bCs/>
          <w:szCs w:val="22"/>
        </w:rPr>
        <w:t>Cable:</w:t>
      </w:r>
      <w:r w:rsidRPr="00203FC8">
        <w:rPr>
          <w:bCs/>
          <w:szCs w:val="22"/>
        </w:rPr>
        <w:tab/>
      </w:r>
      <w:r w:rsidRPr="00203FC8">
        <w:rPr>
          <w:bCs/>
          <w:szCs w:val="22"/>
        </w:rPr>
        <w:tab/>
      </w:r>
      <w:r w:rsidRPr="00203FC8">
        <w:rPr>
          <w:bCs/>
          <w:szCs w:val="22"/>
        </w:rPr>
        <w:tab/>
      </w:r>
      <w:r w:rsidR="00890F46">
        <w:rPr>
          <w:bCs/>
          <w:szCs w:val="22"/>
        </w:rPr>
        <w:tab/>
      </w:r>
      <w:r w:rsidRPr="00203FC8">
        <w:rPr>
          <w:bCs/>
          <w:szCs w:val="22"/>
        </w:rPr>
        <w:t>Telex:</w:t>
      </w:r>
      <w:r w:rsidRPr="00203FC8">
        <w:rPr>
          <w:bCs/>
          <w:szCs w:val="22"/>
        </w:rPr>
        <w:tab/>
      </w:r>
      <w:r w:rsidRPr="00203FC8">
        <w:rPr>
          <w:bCs/>
          <w:szCs w:val="22"/>
        </w:rPr>
        <w:tab/>
      </w:r>
      <w:r w:rsidRPr="00203FC8">
        <w:rPr>
          <w:bCs/>
          <w:szCs w:val="22"/>
        </w:rPr>
        <w:tab/>
      </w:r>
      <w:r w:rsidR="005604CE">
        <w:rPr>
          <w:bCs/>
          <w:szCs w:val="22"/>
        </w:rPr>
        <w:tab/>
      </w:r>
      <w:r w:rsidRPr="00203FC8">
        <w:rPr>
          <w:bCs/>
          <w:szCs w:val="22"/>
        </w:rPr>
        <w:t>Facsimile:</w:t>
      </w:r>
    </w:p>
    <w:p w:rsidR="00EA671B" w:rsidRPr="00305325" w:rsidRDefault="00EA671B" w:rsidP="00FD3032">
      <w:pPr>
        <w:pStyle w:val="ModelNrmlSingle"/>
        <w:spacing w:after="0"/>
        <w:rPr>
          <w:bCs/>
          <w:szCs w:val="22"/>
        </w:rPr>
      </w:pPr>
    </w:p>
    <w:p w:rsidR="002E2A99" w:rsidRPr="00305325" w:rsidRDefault="00203FC8" w:rsidP="00FD3032">
      <w:pPr>
        <w:pStyle w:val="ModelNrmlSingle"/>
        <w:spacing w:after="0"/>
        <w:rPr>
          <w:bCs/>
          <w:szCs w:val="22"/>
        </w:rPr>
      </w:pPr>
      <w:r w:rsidRPr="00203FC8">
        <w:rPr>
          <w:bCs/>
          <w:szCs w:val="22"/>
        </w:rPr>
        <w:t>INTBAFRAD</w:t>
      </w:r>
      <w:r w:rsidRPr="00203FC8">
        <w:rPr>
          <w:rStyle w:val="EndnoteReference"/>
          <w:bCs/>
          <w:szCs w:val="22"/>
        </w:rPr>
        <w:tab/>
      </w:r>
      <w:r w:rsidRPr="00203FC8">
        <w:rPr>
          <w:bCs/>
          <w:szCs w:val="22"/>
        </w:rPr>
        <w:tab/>
      </w:r>
      <w:r w:rsidR="00890F46">
        <w:rPr>
          <w:bCs/>
          <w:szCs w:val="22"/>
        </w:rPr>
        <w:tab/>
      </w:r>
      <w:r w:rsidRPr="00203FC8">
        <w:rPr>
          <w:bCs/>
          <w:szCs w:val="22"/>
        </w:rPr>
        <w:t>248423 (MCI) or</w:t>
      </w:r>
      <w:r w:rsidRPr="00203FC8">
        <w:rPr>
          <w:bCs/>
          <w:szCs w:val="22"/>
        </w:rPr>
        <w:tab/>
      </w:r>
      <w:r w:rsidR="005604CE">
        <w:rPr>
          <w:bCs/>
          <w:szCs w:val="22"/>
        </w:rPr>
        <w:tab/>
      </w:r>
      <w:r w:rsidRPr="00203FC8">
        <w:rPr>
          <w:bCs/>
          <w:szCs w:val="22"/>
        </w:rPr>
        <w:t>1-202-477-6391</w:t>
      </w:r>
    </w:p>
    <w:p w:rsidR="00AF7BDC" w:rsidRDefault="00203FC8">
      <w:pPr>
        <w:rPr>
          <w:sz w:val="22"/>
          <w:szCs w:val="22"/>
        </w:rPr>
      </w:pPr>
      <w:r w:rsidRPr="00203FC8">
        <w:rPr>
          <w:szCs w:val="22"/>
        </w:rPr>
        <w:tab/>
        <w:t>Washington, D.C.</w:t>
      </w:r>
      <w:r w:rsidRPr="00203FC8">
        <w:rPr>
          <w:szCs w:val="22"/>
        </w:rPr>
        <w:tab/>
      </w:r>
      <w:r w:rsidR="00890F46">
        <w:rPr>
          <w:szCs w:val="22"/>
        </w:rPr>
        <w:tab/>
      </w:r>
      <w:r w:rsidRPr="00203FC8">
        <w:rPr>
          <w:szCs w:val="22"/>
        </w:rPr>
        <w:t>64145 (MCI)</w:t>
      </w:r>
      <w:r w:rsidR="00AF7BDC">
        <w:rPr>
          <w:szCs w:val="22"/>
        </w:rPr>
        <w:br w:type="page"/>
      </w:r>
    </w:p>
    <w:p w:rsidR="00E150F3" w:rsidRDefault="00E150F3" w:rsidP="00AF7BDC">
      <w:pPr>
        <w:jc w:val="right"/>
        <w:rPr>
          <w:b/>
          <w:bCs/>
          <w:sz w:val="22"/>
          <w:szCs w:val="22"/>
        </w:rPr>
      </w:pPr>
    </w:p>
    <w:p w:rsidR="00E150F3" w:rsidRDefault="00E150F3" w:rsidP="00AF7BDC">
      <w:pPr>
        <w:jc w:val="right"/>
        <w:rPr>
          <w:b/>
          <w:bCs/>
          <w:sz w:val="22"/>
          <w:szCs w:val="22"/>
        </w:rPr>
      </w:pPr>
    </w:p>
    <w:p w:rsidR="00AF7BDC" w:rsidRDefault="00800BFB" w:rsidP="00AF7BDC">
      <w:pPr>
        <w:jc w:val="right"/>
        <w:rPr>
          <w:b/>
          <w:bCs/>
          <w:sz w:val="22"/>
          <w:szCs w:val="22"/>
        </w:rPr>
      </w:pPr>
      <w:r w:rsidRPr="00C07453">
        <w:rPr>
          <w:b/>
          <w:bCs/>
          <w:sz w:val="22"/>
          <w:szCs w:val="22"/>
        </w:rPr>
        <w:t>ATTACHMENT</w:t>
      </w:r>
      <w:r w:rsidR="00851BF3">
        <w:rPr>
          <w:b/>
          <w:bCs/>
          <w:sz w:val="22"/>
          <w:szCs w:val="22"/>
        </w:rPr>
        <w:t xml:space="preserve"> TO ANNEX</w:t>
      </w:r>
    </w:p>
    <w:p w:rsidR="00AF7BDC" w:rsidRDefault="00AF7BDC" w:rsidP="00AF7BDC">
      <w:pPr>
        <w:jc w:val="right"/>
        <w:rPr>
          <w:b/>
          <w:bCs/>
          <w:sz w:val="22"/>
          <w:szCs w:val="22"/>
        </w:rPr>
      </w:pPr>
    </w:p>
    <w:p w:rsidR="00AF7BDC" w:rsidRPr="003B5668" w:rsidRDefault="00AF7BDC" w:rsidP="00AF7BDC">
      <w:pPr>
        <w:jc w:val="center"/>
        <w:rPr>
          <w:b/>
          <w:bCs/>
          <w:sz w:val="22"/>
          <w:szCs w:val="22"/>
        </w:rPr>
      </w:pPr>
      <w:r w:rsidRPr="003B5668">
        <w:rPr>
          <w:b/>
          <w:bCs/>
          <w:sz w:val="22"/>
          <w:szCs w:val="22"/>
        </w:rPr>
        <w:t xml:space="preserve">National Competitive Bidding: </w:t>
      </w:r>
      <w:r>
        <w:rPr>
          <w:b/>
          <w:bCs/>
          <w:sz w:val="22"/>
          <w:szCs w:val="22"/>
        </w:rPr>
        <w:t xml:space="preserve">Modifications to the </w:t>
      </w:r>
      <w:r w:rsidRPr="003B5668">
        <w:rPr>
          <w:b/>
          <w:bCs/>
          <w:sz w:val="22"/>
          <w:szCs w:val="22"/>
        </w:rPr>
        <w:t>Procedures</w:t>
      </w:r>
    </w:p>
    <w:p w:rsidR="00AF7BDC" w:rsidRPr="003B5668" w:rsidRDefault="00AF7BDC" w:rsidP="00AF7BDC">
      <w:pPr>
        <w:jc w:val="both"/>
        <w:rPr>
          <w:bCs/>
          <w:sz w:val="22"/>
          <w:szCs w:val="22"/>
        </w:rPr>
      </w:pPr>
    </w:p>
    <w:p w:rsidR="00AF7BDC" w:rsidRPr="003B5668" w:rsidRDefault="00AF7BDC" w:rsidP="00AF7BDC">
      <w:pPr>
        <w:ind w:firstLine="720"/>
        <w:jc w:val="both"/>
        <w:rPr>
          <w:sz w:val="22"/>
          <w:szCs w:val="22"/>
        </w:rPr>
      </w:pPr>
      <w:r w:rsidRPr="003B5668">
        <w:rPr>
          <w:sz w:val="22"/>
          <w:szCs w:val="22"/>
        </w:rPr>
        <w:t>The procedures applicable to the procurement of goo</w:t>
      </w:r>
      <w:r>
        <w:rPr>
          <w:sz w:val="22"/>
          <w:szCs w:val="22"/>
        </w:rPr>
        <w:t>ds,</w:t>
      </w:r>
      <w:r w:rsidRPr="003B5668">
        <w:rPr>
          <w:sz w:val="22"/>
          <w:szCs w:val="22"/>
        </w:rPr>
        <w:t xml:space="preserve"> works</w:t>
      </w:r>
      <w:r>
        <w:rPr>
          <w:sz w:val="22"/>
          <w:szCs w:val="22"/>
        </w:rPr>
        <w:t>, and non-consulting services</w:t>
      </w:r>
      <w:r w:rsidRPr="003B5668">
        <w:rPr>
          <w:sz w:val="22"/>
          <w:szCs w:val="22"/>
        </w:rPr>
        <w:t xml:space="preserve"> under contracts awarded on the basis of National Competitive Bidding shall be those of the </w:t>
      </w:r>
      <w:proofErr w:type="spellStart"/>
      <w:r w:rsidRPr="003B5668">
        <w:rPr>
          <w:i/>
          <w:sz w:val="22"/>
          <w:szCs w:val="22"/>
        </w:rPr>
        <w:t>Pelelangan</w:t>
      </w:r>
      <w:proofErr w:type="spellEnd"/>
      <w:r w:rsidRPr="003B5668">
        <w:rPr>
          <w:i/>
          <w:sz w:val="22"/>
          <w:szCs w:val="22"/>
        </w:rPr>
        <w:t xml:space="preserve"> </w:t>
      </w:r>
      <w:proofErr w:type="spellStart"/>
      <w:r w:rsidRPr="003B5668">
        <w:rPr>
          <w:i/>
          <w:sz w:val="22"/>
          <w:szCs w:val="22"/>
        </w:rPr>
        <w:t>Umum</w:t>
      </w:r>
      <w:proofErr w:type="spellEnd"/>
      <w:r w:rsidRPr="003B5668">
        <w:rPr>
          <w:sz w:val="22"/>
          <w:szCs w:val="22"/>
        </w:rPr>
        <w:t xml:space="preserve"> (Public Tendering) </w:t>
      </w:r>
      <w:r>
        <w:rPr>
          <w:sz w:val="22"/>
          <w:szCs w:val="22"/>
        </w:rPr>
        <w:t>and</w:t>
      </w:r>
      <w:r w:rsidRPr="003B5668">
        <w:rPr>
          <w:sz w:val="22"/>
          <w:szCs w:val="22"/>
        </w:rPr>
        <w:t xml:space="preserve"> </w:t>
      </w:r>
      <w:proofErr w:type="spellStart"/>
      <w:r w:rsidRPr="003B5668">
        <w:rPr>
          <w:i/>
          <w:sz w:val="22"/>
          <w:szCs w:val="22"/>
        </w:rPr>
        <w:t>Pemilihan</w:t>
      </w:r>
      <w:proofErr w:type="spellEnd"/>
      <w:r w:rsidRPr="003B5668">
        <w:rPr>
          <w:i/>
          <w:sz w:val="22"/>
          <w:szCs w:val="22"/>
        </w:rPr>
        <w:t xml:space="preserve"> </w:t>
      </w:r>
      <w:proofErr w:type="spellStart"/>
      <w:r w:rsidRPr="003B5668">
        <w:rPr>
          <w:i/>
          <w:sz w:val="22"/>
          <w:szCs w:val="22"/>
        </w:rPr>
        <w:t>Langsung</w:t>
      </w:r>
      <w:proofErr w:type="spellEnd"/>
      <w:r w:rsidRPr="003B5668">
        <w:rPr>
          <w:i/>
          <w:sz w:val="22"/>
          <w:szCs w:val="22"/>
        </w:rPr>
        <w:t xml:space="preserve"> / </w:t>
      </w:r>
      <w:proofErr w:type="spellStart"/>
      <w:r w:rsidRPr="003B5668">
        <w:rPr>
          <w:i/>
          <w:sz w:val="22"/>
          <w:szCs w:val="22"/>
        </w:rPr>
        <w:t>Pelelangan</w:t>
      </w:r>
      <w:proofErr w:type="spellEnd"/>
      <w:r w:rsidRPr="003B5668">
        <w:rPr>
          <w:i/>
          <w:sz w:val="22"/>
          <w:szCs w:val="22"/>
        </w:rPr>
        <w:t xml:space="preserve"> </w:t>
      </w:r>
      <w:proofErr w:type="spellStart"/>
      <w:r w:rsidRPr="003B5668">
        <w:rPr>
          <w:i/>
          <w:sz w:val="22"/>
          <w:szCs w:val="22"/>
        </w:rPr>
        <w:t>Sederhana</w:t>
      </w:r>
      <w:proofErr w:type="spellEnd"/>
      <w:r w:rsidRPr="003B5668">
        <w:rPr>
          <w:sz w:val="22"/>
          <w:szCs w:val="22"/>
        </w:rPr>
        <w:t xml:space="preserve"> (Simplified Tendering) methods as set forth in the </w:t>
      </w:r>
      <w:r>
        <w:rPr>
          <w:sz w:val="22"/>
          <w:szCs w:val="22"/>
        </w:rPr>
        <w:t>Recipient</w:t>
      </w:r>
      <w:r w:rsidRPr="003B5668">
        <w:rPr>
          <w:sz w:val="22"/>
          <w:szCs w:val="22"/>
        </w:rPr>
        <w:t xml:space="preserve">’s Presidential Regulation No. 54/2010, with the </w:t>
      </w:r>
      <w:r>
        <w:rPr>
          <w:bCs/>
          <w:sz w:val="22"/>
          <w:szCs w:val="22"/>
        </w:rPr>
        <w:t>modifications</w:t>
      </w:r>
      <w:r w:rsidRPr="003B5668">
        <w:rPr>
          <w:bCs/>
          <w:sz w:val="22"/>
          <w:szCs w:val="22"/>
        </w:rPr>
        <w:t xml:space="preserve"> set out below in order to ensure economy, efficiency, transparency, and broad consistency with the provisions of Section I of the Procurement Guidelines, pursuant to paragraph 3.3 of said Guidelines</w:t>
      </w:r>
      <w:r w:rsidRPr="003B5668">
        <w:rPr>
          <w:sz w:val="22"/>
          <w:szCs w:val="22"/>
        </w:rPr>
        <w:t xml:space="preserve">.  The </w:t>
      </w:r>
      <w:proofErr w:type="spellStart"/>
      <w:r w:rsidRPr="003B5668">
        <w:rPr>
          <w:i/>
          <w:sz w:val="22"/>
          <w:szCs w:val="22"/>
        </w:rPr>
        <w:t>Pemilihan</w:t>
      </w:r>
      <w:proofErr w:type="spellEnd"/>
      <w:r w:rsidRPr="003B5668">
        <w:rPr>
          <w:i/>
          <w:sz w:val="22"/>
          <w:szCs w:val="22"/>
        </w:rPr>
        <w:t xml:space="preserve"> </w:t>
      </w:r>
      <w:proofErr w:type="spellStart"/>
      <w:r w:rsidRPr="003B5668">
        <w:rPr>
          <w:i/>
          <w:sz w:val="22"/>
          <w:szCs w:val="22"/>
        </w:rPr>
        <w:t>Langsung</w:t>
      </w:r>
      <w:proofErr w:type="spellEnd"/>
      <w:r w:rsidRPr="003B5668">
        <w:rPr>
          <w:i/>
          <w:sz w:val="22"/>
          <w:szCs w:val="22"/>
        </w:rPr>
        <w:t xml:space="preserve"> / </w:t>
      </w:r>
      <w:proofErr w:type="spellStart"/>
      <w:r w:rsidRPr="003B5668">
        <w:rPr>
          <w:i/>
          <w:sz w:val="22"/>
          <w:szCs w:val="22"/>
        </w:rPr>
        <w:t>Pelelangan</w:t>
      </w:r>
      <w:proofErr w:type="spellEnd"/>
      <w:r w:rsidRPr="003B5668">
        <w:rPr>
          <w:i/>
          <w:sz w:val="22"/>
          <w:szCs w:val="22"/>
        </w:rPr>
        <w:t xml:space="preserve"> </w:t>
      </w:r>
      <w:proofErr w:type="spellStart"/>
      <w:r w:rsidRPr="003B5668">
        <w:rPr>
          <w:i/>
          <w:sz w:val="22"/>
          <w:szCs w:val="22"/>
        </w:rPr>
        <w:t>Sederhana</w:t>
      </w:r>
      <w:proofErr w:type="spellEnd"/>
      <w:r w:rsidRPr="003B5668">
        <w:rPr>
          <w:sz w:val="22"/>
          <w:szCs w:val="22"/>
        </w:rPr>
        <w:t xml:space="preserve"> method shall apply to such procurement up to the financial thresholds specified in said Regulation.  </w:t>
      </w:r>
      <w:r w:rsidRPr="003B5668">
        <w:rPr>
          <w:bCs/>
          <w:sz w:val="22"/>
          <w:szCs w:val="22"/>
        </w:rPr>
        <w:t xml:space="preserve">In the event of a conflict between the </w:t>
      </w:r>
      <w:r>
        <w:rPr>
          <w:sz w:val="22"/>
          <w:szCs w:val="22"/>
        </w:rPr>
        <w:t>Recipient</w:t>
      </w:r>
      <w:r w:rsidRPr="003B5668">
        <w:rPr>
          <w:bCs/>
          <w:sz w:val="22"/>
          <w:szCs w:val="22"/>
        </w:rPr>
        <w:t xml:space="preserve">’s procedures and these </w:t>
      </w:r>
      <w:r>
        <w:rPr>
          <w:bCs/>
          <w:sz w:val="22"/>
          <w:szCs w:val="22"/>
        </w:rPr>
        <w:t>modifications</w:t>
      </w:r>
      <w:r w:rsidRPr="003B5668">
        <w:rPr>
          <w:bCs/>
          <w:sz w:val="22"/>
          <w:szCs w:val="22"/>
        </w:rPr>
        <w:t>, the latter shall govern.</w:t>
      </w:r>
    </w:p>
    <w:p w:rsidR="00AF7BDC" w:rsidRPr="003B5668" w:rsidRDefault="00AF7BDC" w:rsidP="00AF7BDC">
      <w:pPr>
        <w:jc w:val="both"/>
        <w:rPr>
          <w:sz w:val="22"/>
          <w:szCs w:val="22"/>
        </w:rPr>
      </w:pPr>
    </w:p>
    <w:p w:rsidR="00AF7BDC" w:rsidRPr="003B5668" w:rsidRDefault="00AF7BDC" w:rsidP="00AF7BDC">
      <w:pPr>
        <w:numPr>
          <w:ilvl w:val="0"/>
          <w:numId w:val="31"/>
        </w:numPr>
        <w:jc w:val="both"/>
        <w:rPr>
          <w:sz w:val="22"/>
          <w:szCs w:val="22"/>
        </w:rPr>
      </w:pPr>
      <w:r w:rsidRPr="003B5668">
        <w:rPr>
          <w:sz w:val="22"/>
          <w:szCs w:val="22"/>
        </w:rPr>
        <w:t xml:space="preserve">Procuring entities shall use the appropriate standard bidding documents acceptable to </w:t>
      </w:r>
      <w:r>
        <w:rPr>
          <w:sz w:val="22"/>
          <w:szCs w:val="22"/>
        </w:rPr>
        <w:t xml:space="preserve">the Recipient and </w:t>
      </w:r>
      <w:r w:rsidRPr="003B5668">
        <w:rPr>
          <w:sz w:val="22"/>
          <w:szCs w:val="22"/>
        </w:rPr>
        <w:t>the Bank.  The provisions of Section 1.14 (Fraud and Corrup</w:t>
      </w:r>
      <w:r>
        <w:rPr>
          <w:sz w:val="22"/>
          <w:szCs w:val="22"/>
        </w:rPr>
        <w:t>tion</w:t>
      </w:r>
      <w:r w:rsidRPr="003B5668">
        <w:rPr>
          <w:sz w:val="22"/>
          <w:szCs w:val="22"/>
        </w:rPr>
        <w:t>) of the Procurement Guidelines shall apply, and each bidding document and contract financed out of the proceeds of the Loan shall include provisions on matters pertaining to fraud and corruption as defined in paragraph</w:t>
      </w:r>
      <w:r>
        <w:rPr>
          <w:sz w:val="22"/>
          <w:szCs w:val="22"/>
        </w:rPr>
        <w:t> </w:t>
      </w:r>
      <w:r w:rsidRPr="003B5668">
        <w:rPr>
          <w:sz w:val="22"/>
          <w:szCs w:val="22"/>
        </w:rPr>
        <w:t>1.14 (a) of said Guidelines and the contract provisions set out in paragraph 1.14</w:t>
      </w:r>
      <w:r>
        <w:rPr>
          <w:sz w:val="22"/>
          <w:szCs w:val="22"/>
        </w:rPr>
        <w:t> </w:t>
      </w:r>
      <w:r w:rsidRPr="003B5668">
        <w:rPr>
          <w:sz w:val="22"/>
          <w:szCs w:val="22"/>
        </w:rPr>
        <w:t>(e) of said Guidelines.</w:t>
      </w:r>
    </w:p>
    <w:p w:rsidR="00AF7BDC" w:rsidRPr="003B5668" w:rsidRDefault="00AF7BDC" w:rsidP="00AF7BDC">
      <w:pPr>
        <w:jc w:val="both"/>
        <w:rPr>
          <w:sz w:val="22"/>
          <w:szCs w:val="22"/>
        </w:rPr>
      </w:pPr>
    </w:p>
    <w:p w:rsidR="00AF7BDC" w:rsidRPr="003B5668" w:rsidRDefault="00AF7BDC" w:rsidP="00AF7BDC">
      <w:pPr>
        <w:numPr>
          <w:ilvl w:val="0"/>
          <w:numId w:val="31"/>
        </w:numPr>
        <w:jc w:val="both"/>
        <w:rPr>
          <w:sz w:val="22"/>
          <w:szCs w:val="22"/>
        </w:rPr>
      </w:pPr>
      <w:r w:rsidRPr="003B5668">
        <w:rPr>
          <w:sz w:val="22"/>
          <w:szCs w:val="22"/>
        </w:rPr>
        <w:t>Foreign bidders shall not be precluded from bidding.  If a registration process is required, a foreign firm determined to be the lowest evaluated bidder shall be given reasonable time for registration.  Foreign bidders shall not be required to form a joint venture or sub-contract part of the supply of goods, non-consulting services, and works as a condition for submitting bids or the award of the contract.  Bidding documents shall be made available, by mail or in person, to all international bidders who are willing to pay the required fee.</w:t>
      </w:r>
    </w:p>
    <w:p w:rsidR="00AF7BDC" w:rsidRPr="003B5668" w:rsidRDefault="00AF7BDC" w:rsidP="00AF7BDC">
      <w:pPr>
        <w:jc w:val="both"/>
        <w:rPr>
          <w:sz w:val="22"/>
          <w:szCs w:val="22"/>
        </w:rPr>
      </w:pPr>
    </w:p>
    <w:p w:rsidR="00AF7BDC" w:rsidRPr="003B5668" w:rsidRDefault="00AF7BDC" w:rsidP="00AF7BDC">
      <w:pPr>
        <w:numPr>
          <w:ilvl w:val="0"/>
          <w:numId w:val="31"/>
        </w:numPr>
        <w:jc w:val="both"/>
        <w:rPr>
          <w:sz w:val="22"/>
          <w:szCs w:val="22"/>
        </w:rPr>
      </w:pPr>
      <w:r w:rsidRPr="003B5668">
        <w:rPr>
          <w:sz w:val="22"/>
          <w:szCs w:val="22"/>
        </w:rPr>
        <w:t xml:space="preserve">No preference of any kind shall be given to </w:t>
      </w:r>
      <w:r>
        <w:rPr>
          <w:sz w:val="22"/>
          <w:szCs w:val="22"/>
        </w:rPr>
        <w:t xml:space="preserve">any </w:t>
      </w:r>
      <w:r w:rsidRPr="003B5668">
        <w:rPr>
          <w:sz w:val="22"/>
          <w:szCs w:val="22"/>
        </w:rPr>
        <w:t>bidders.</w:t>
      </w:r>
    </w:p>
    <w:p w:rsidR="00AF7BDC" w:rsidRPr="003B5668" w:rsidRDefault="00AF7BDC" w:rsidP="00AF7BDC">
      <w:pPr>
        <w:jc w:val="both"/>
        <w:rPr>
          <w:sz w:val="22"/>
          <w:szCs w:val="22"/>
        </w:rPr>
      </w:pPr>
    </w:p>
    <w:p w:rsidR="00AF7BDC" w:rsidRPr="003B5668" w:rsidRDefault="00AF7BDC" w:rsidP="00AF7BDC">
      <w:pPr>
        <w:numPr>
          <w:ilvl w:val="0"/>
          <w:numId w:val="31"/>
        </w:numPr>
        <w:jc w:val="both"/>
        <w:rPr>
          <w:sz w:val="22"/>
          <w:szCs w:val="22"/>
        </w:rPr>
      </w:pPr>
      <w:r w:rsidRPr="003B5668">
        <w:rPr>
          <w:sz w:val="22"/>
          <w:szCs w:val="22"/>
        </w:rPr>
        <w:t xml:space="preserve">Under the </w:t>
      </w:r>
      <w:proofErr w:type="spellStart"/>
      <w:r w:rsidRPr="003B5668">
        <w:rPr>
          <w:i/>
          <w:sz w:val="22"/>
          <w:szCs w:val="22"/>
        </w:rPr>
        <w:t>Pelelangan</w:t>
      </w:r>
      <w:proofErr w:type="spellEnd"/>
      <w:r w:rsidRPr="003B5668">
        <w:rPr>
          <w:i/>
          <w:sz w:val="22"/>
          <w:szCs w:val="22"/>
        </w:rPr>
        <w:t xml:space="preserve"> </w:t>
      </w:r>
      <w:proofErr w:type="spellStart"/>
      <w:r w:rsidRPr="003B5668">
        <w:rPr>
          <w:i/>
          <w:sz w:val="22"/>
          <w:szCs w:val="22"/>
        </w:rPr>
        <w:t>Umum</w:t>
      </w:r>
      <w:proofErr w:type="spellEnd"/>
      <w:r w:rsidRPr="003B5668">
        <w:rPr>
          <w:sz w:val="22"/>
          <w:szCs w:val="22"/>
        </w:rPr>
        <w:t xml:space="preserve"> method, bidders shall be allowed at least twenty-one (21) days from the date of the invitation to bid or the date of availability of bidding documents, whichever is later, to prepare and submit bids; this period shall be ten (10) days under the </w:t>
      </w:r>
      <w:proofErr w:type="spellStart"/>
      <w:r w:rsidRPr="003B5668">
        <w:rPr>
          <w:i/>
          <w:sz w:val="22"/>
          <w:szCs w:val="22"/>
        </w:rPr>
        <w:t>Pemilihan</w:t>
      </w:r>
      <w:proofErr w:type="spellEnd"/>
      <w:r w:rsidRPr="003B5668">
        <w:rPr>
          <w:i/>
          <w:sz w:val="22"/>
          <w:szCs w:val="22"/>
        </w:rPr>
        <w:t xml:space="preserve"> </w:t>
      </w:r>
      <w:proofErr w:type="spellStart"/>
      <w:r w:rsidRPr="003B5668">
        <w:rPr>
          <w:i/>
          <w:sz w:val="22"/>
          <w:szCs w:val="22"/>
        </w:rPr>
        <w:t>Langsung</w:t>
      </w:r>
      <w:proofErr w:type="spellEnd"/>
      <w:r w:rsidRPr="003B5668">
        <w:rPr>
          <w:i/>
          <w:sz w:val="22"/>
          <w:szCs w:val="22"/>
        </w:rPr>
        <w:t xml:space="preserve"> / </w:t>
      </w:r>
      <w:proofErr w:type="spellStart"/>
      <w:r w:rsidRPr="003B5668">
        <w:rPr>
          <w:i/>
          <w:sz w:val="22"/>
          <w:szCs w:val="22"/>
        </w:rPr>
        <w:t>Pelelangan</w:t>
      </w:r>
      <w:proofErr w:type="spellEnd"/>
      <w:r w:rsidRPr="003B5668">
        <w:rPr>
          <w:i/>
          <w:sz w:val="22"/>
          <w:szCs w:val="22"/>
        </w:rPr>
        <w:t xml:space="preserve"> </w:t>
      </w:r>
      <w:proofErr w:type="spellStart"/>
      <w:r w:rsidRPr="003B5668">
        <w:rPr>
          <w:i/>
          <w:sz w:val="22"/>
          <w:szCs w:val="22"/>
        </w:rPr>
        <w:t>Sederhana</w:t>
      </w:r>
      <w:proofErr w:type="spellEnd"/>
      <w:r w:rsidRPr="003B5668">
        <w:rPr>
          <w:sz w:val="22"/>
          <w:szCs w:val="22"/>
        </w:rPr>
        <w:t xml:space="preserve"> method.</w:t>
      </w:r>
    </w:p>
    <w:p w:rsidR="00AF7BDC" w:rsidRPr="003B5668" w:rsidRDefault="00AF7BDC" w:rsidP="00AF7BDC">
      <w:pPr>
        <w:jc w:val="both"/>
        <w:rPr>
          <w:sz w:val="22"/>
          <w:szCs w:val="22"/>
        </w:rPr>
      </w:pPr>
    </w:p>
    <w:p w:rsidR="00AF7BDC" w:rsidRPr="003B5668" w:rsidRDefault="00AF7BDC" w:rsidP="00AF7BDC">
      <w:pPr>
        <w:numPr>
          <w:ilvl w:val="0"/>
          <w:numId w:val="31"/>
        </w:numPr>
        <w:jc w:val="both"/>
        <w:rPr>
          <w:sz w:val="22"/>
          <w:szCs w:val="22"/>
        </w:rPr>
      </w:pPr>
      <w:r w:rsidRPr="003B5668">
        <w:rPr>
          <w:sz w:val="22"/>
          <w:szCs w:val="22"/>
        </w:rPr>
        <w:t xml:space="preserve">Bids invited under the </w:t>
      </w:r>
      <w:proofErr w:type="spellStart"/>
      <w:r w:rsidRPr="003B5668">
        <w:rPr>
          <w:i/>
          <w:sz w:val="22"/>
          <w:szCs w:val="22"/>
        </w:rPr>
        <w:t>Pelelangan</w:t>
      </w:r>
      <w:proofErr w:type="spellEnd"/>
      <w:r w:rsidRPr="003B5668">
        <w:rPr>
          <w:i/>
          <w:sz w:val="22"/>
          <w:szCs w:val="22"/>
        </w:rPr>
        <w:t xml:space="preserve"> </w:t>
      </w:r>
      <w:proofErr w:type="spellStart"/>
      <w:r w:rsidRPr="003B5668">
        <w:rPr>
          <w:i/>
          <w:sz w:val="22"/>
          <w:szCs w:val="22"/>
        </w:rPr>
        <w:t>Umum</w:t>
      </w:r>
      <w:proofErr w:type="spellEnd"/>
      <w:r w:rsidRPr="003B5668">
        <w:rPr>
          <w:sz w:val="22"/>
          <w:szCs w:val="22"/>
        </w:rPr>
        <w:t xml:space="preserve"> method shall be submitted in one (1) envelope and evaluated using post-qualification.</w:t>
      </w:r>
    </w:p>
    <w:p w:rsidR="00AF7BDC" w:rsidRPr="003B5668" w:rsidRDefault="00AF7BDC" w:rsidP="00AF7BDC">
      <w:pPr>
        <w:jc w:val="both"/>
        <w:rPr>
          <w:sz w:val="22"/>
          <w:szCs w:val="22"/>
        </w:rPr>
      </w:pPr>
    </w:p>
    <w:p w:rsidR="00AF7BDC" w:rsidRPr="003B5668" w:rsidRDefault="00AF7BDC" w:rsidP="00AF7BDC">
      <w:pPr>
        <w:numPr>
          <w:ilvl w:val="0"/>
          <w:numId w:val="31"/>
        </w:numPr>
        <w:jc w:val="both"/>
        <w:rPr>
          <w:sz w:val="22"/>
          <w:szCs w:val="22"/>
        </w:rPr>
      </w:pPr>
      <w:r w:rsidRPr="003B5668">
        <w:rPr>
          <w:sz w:val="22"/>
          <w:szCs w:val="22"/>
        </w:rPr>
        <w:t>No bidder shall be rejected merely on the basis of a comparison with the owner’s estimate and budget ceiling without the Bank’s prior written concurrence.</w:t>
      </w:r>
    </w:p>
    <w:p w:rsidR="00AF7BDC" w:rsidRPr="003B5668" w:rsidRDefault="00AF7BDC" w:rsidP="00AF7BDC">
      <w:pPr>
        <w:jc w:val="both"/>
        <w:rPr>
          <w:sz w:val="22"/>
          <w:szCs w:val="22"/>
        </w:rPr>
      </w:pPr>
    </w:p>
    <w:p w:rsidR="00AF7BDC" w:rsidRPr="003B5668" w:rsidRDefault="00AF7BDC" w:rsidP="00AF7BDC">
      <w:pPr>
        <w:numPr>
          <w:ilvl w:val="0"/>
          <w:numId w:val="31"/>
        </w:numPr>
        <w:jc w:val="both"/>
        <w:rPr>
          <w:sz w:val="22"/>
          <w:szCs w:val="22"/>
        </w:rPr>
      </w:pPr>
      <w:r w:rsidRPr="003B5668">
        <w:rPr>
          <w:sz w:val="22"/>
          <w:szCs w:val="22"/>
        </w:rPr>
        <w:t>Bid security, at the bidder’s option, shall be in the form of a letter of credit or guarantee from a reputable bank</w:t>
      </w:r>
      <w:r>
        <w:rPr>
          <w:sz w:val="22"/>
          <w:szCs w:val="22"/>
        </w:rPr>
        <w:t xml:space="preserve"> </w:t>
      </w:r>
      <w:r w:rsidRPr="00F421B8">
        <w:rPr>
          <w:sz w:val="22"/>
          <w:szCs w:val="22"/>
        </w:rPr>
        <w:t>or other reputable financial institution and shall without exception follow the form provided for this purpose in the bidding documents</w:t>
      </w:r>
      <w:r>
        <w:rPr>
          <w:sz w:val="22"/>
          <w:szCs w:val="22"/>
        </w:rPr>
        <w:t>.</w:t>
      </w:r>
    </w:p>
    <w:p w:rsidR="00AF7BDC" w:rsidRPr="003B5668" w:rsidRDefault="00AF7BDC" w:rsidP="00AF7BDC">
      <w:pPr>
        <w:jc w:val="both"/>
        <w:rPr>
          <w:sz w:val="22"/>
          <w:szCs w:val="22"/>
        </w:rPr>
      </w:pPr>
    </w:p>
    <w:p w:rsidR="00AF7BDC" w:rsidRDefault="00AF7BDC" w:rsidP="00AF7BDC">
      <w:pPr>
        <w:numPr>
          <w:ilvl w:val="0"/>
          <w:numId w:val="31"/>
        </w:numPr>
        <w:jc w:val="both"/>
        <w:rPr>
          <w:sz w:val="22"/>
          <w:szCs w:val="22"/>
        </w:rPr>
      </w:pPr>
      <w:r w:rsidRPr="003B5668">
        <w:rPr>
          <w:sz w:val="22"/>
          <w:szCs w:val="22"/>
        </w:rPr>
        <w:lastRenderedPageBreak/>
        <w:t>All bids shall not be rejected and new bids solicited without the Bank’s prior written concurrence.</w:t>
      </w:r>
    </w:p>
    <w:p w:rsidR="00AF7BDC" w:rsidRPr="003B5668" w:rsidRDefault="00AF7BDC" w:rsidP="00AF7BDC">
      <w:pPr>
        <w:jc w:val="both"/>
        <w:rPr>
          <w:sz w:val="22"/>
          <w:szCs w:val="22"/>
        </w:rPr>
      </w:pPr>
    </w:p>
    <w:p w:rsidR="00BC75AC" w:rsidRDefault="00AF7BDC" w:rsidP="00AF7BDC">
      <w:pPr>
        <w:numPr>
          <w:ilvl w:val="0"/>
          <w:numId w:val="31"/>
        </w:numPr>
        <w:jc w:val="both"/>
        <w:rPr>
          <w:sz w:val="22"/>
          <w:szCs w:val="22"/>
        </w:rPr>
      </w:pPr>
      <w:r w:rsidRPr="003B5668">
        <w:rPr>
          <w:sz w:val="22"/>
          <w:szCs w:val="22"/>
        </w:rPr>
        <w:t>Government-owned enterprises</w:t>
      </w:r>
      <w:r w:rsidRPr="003B5668" w:rsidDel="00B90DC5">
        <w:rPr>
          <w:sz w:val="22"/>
          <w:szCs w:val="22"/>
        </w:rPr>
        <w:t xml:space="preserve"> </w:t>
      </w:r>
      <w:r w:rsidRPr="003B5668">
        <w:rPr>
          <w:sz w:val="22"/>
          <w:szCs w:val="22"/>
        </w:rPr>
        <w:t>in Indonesia</w:t>
      </w:r>
      <w:r w:rsidRPr="003B5668" w:rsidDel="00B90DC5">
        <w:rPr>
          <w:sz w:val="22"/>
          <w:szCs w:val="22"/>
        </w:rPr>
        <w:t xml:space="preserve"> </w:t>
      </w:r>
      <w:r w:rsidRPr="003B5668">
        <w:rPr>
          <w:sz w:val="22"/>
          <w:szCs w:val="22"/>
        </w:rPr>
        <w:t xml:space="preserve">shall be eligible to participate in bidding only if they can establish that they are legally and financially autonomous, operate under commercial law, and are not dependent agencies of the </w:t>
      </w:r>
      <w:r>
        <w:rPr>
          <w:sz w:val="22"/>
          <w:szCs w:val="22"/>
        </w:rPr>
        <w:t>Recipient</w:t>
      </w:r>
      <w:r w:rsidRPr="003B5668">
        <w:rPr>
          <w:sz w:val="22"/>
          <w:szCs w:val="22"/>
        </w:rPr>
        <w:t xml:space="preserve"> or sub-borrower.</w:t>
      </w:r>
    </w:p>
    <w:p w:rsidR="00BC75AC" w:rsidRDefault="00BC75AC">
      <w:pPr>
        <w:rPr>
          <w:sz w:val="22"/>
          <w:szCs w:val="22"/>
        </w:rPr>
      </w:pPr>
      <w:r>
        <w:rPr>
          <w:sz w:val="22"/>
          <w:szCs w:val="22"/>
        </w:rPr>
        <w:br w:type="page"/>
      </w:r>
    </w:p>
    <w:p w:rsidR="00BC75AC" w:rsidRPr="00BC75AC" w:rsidRDefault="00BC75AC" w:rsidP="00BC75AC">
      <w:pPr>
        <w:jc w:val="both"/>
        <w:rPr>
          <w:sz w:val="22"/>
          <w:szCs w:val="22"/>
          <w:u w:val="single"/>
        </w:rPr>
      </w:pPr>
      <w:r w:rsidRPr="00BC75AC">
        <w:rPr>
          <w:sz w:val="22"/>
          <w:szCs w:val="22"/>
          <w:u w:val="single"/>
        </w:rPr>
        <w:lastRenderedPageBreak/>
        <w:t>FOR INTERNAL USE ONLY</w:t>
      </w:r>
    </w:p>
    <w:p w:rsidR="00BC75AC" w:rsidRDefault="00BC75AC" w:rsidP="00BC75AC">
      <w:pPr>
        <w:jc w:val="both"/>
        <w:rPr>
          <w:sz w:val="22"/>
          <w:szCs w:val="22"/>
        </w:rPr>
      </w:pPr>
    </w:p>
    <w:p w:rsidR="00487260" w:rsidRDefault="00BC75AC" w:rsidP="00487260">
      <w:pPr>
        <w:jc w:val="both"/>
        <w:rPr>
          <w:sz w:val="22"/>
          <w:szCs w:val="22"/>
        </w:rPr>
      </w:pPr>
      <w:r>
        <w:rPr>
          <w:sz w:val="22"/>
          <w:szCs w:val="22"/>
        </w:rPr>
        <w:t>Cleared by and bcc:</w:t>
      </w:r>
      <w:r>
        <w:rPr>
          <w:sz w:val="22"/>
          <w:szCs w:val="22"/>
        </w:rPr>
        <w:tab/>
      </w:r>
      <w:proofErr w:type="spellStart"/>
      <w:r>
        <w:rPr>
          <w:sz w:val="22"/>
          <w:szCs w:val="22"/>
        </w:rPr>
        <w:t>Kornexl</w:t>
      </w:r>
      <w:proofErr w:type="spellEnd"/>
      <w:r>
        <w:rPr>
          <w:sz w:val="22"/>
          <w:szCs w:val="22"/>
        </w:rPr>
        <w:t xml:space="preserve"> (ENVCF); </w:t>
      </w:r>
      <w:proofErr w:type="spellStart"/>
      <w:r w:rsidR="00B9230B" w:rsidRPr="00B9230B">
        <w:rPr>
          <w:sz w:val="22"/>
          <w:szCs w:val="22"/>
        </w:rPr>
        <w:t>Khoury</w:t>
      </w:r>
      <w:proofErr w:type="spellEnd"/>
      <w:r w:rsidR="00B9230B" w:rsidRPr="00B9230B">
        <w:rPr>
          <w:sz w:val="22"/>
          <w:szCs w:val="22"/>
        </w:rPr>
        <w:t xml:space="preserve"> (CTRFC)</w:t>
      </w:r>
      <w:r w:rsidR="00B9230B">
        <w:rPr>
          <w:sz w:val="22"/>
          <w:szCs w:val="22"/>
        </w:rPr>
        <w:t xml:space="preserve">; </w:t>
      </w:r>
      <w:proofErr w:type="spellStart"/>
      <w:r w:rsidR="00305D4C" w:rsidRPr="00BA4D60">
        <w:rPr>
          <w:sz w:val="22"/>
          <w:szCs w:val="22"/>
        </w:rPr>
        <w:t>Chandran</w:t>
      </w:r>
      <w:proofErr w:type="spellEnd"/>
      <w:r w:rsidR="00305D4C">
        <w:rPr>
          <w:sz w:val="22"/>
          <w:szCs w:val="22"/>
        </w:rPr>
        <w:t xml:space="preserve"> </w:t>
      </w:r>
      <w:r w:rsidR="00902772">
        <w:rPr>
          <w:sz w:val="22"/>
          <w:szCs w:val="22"/>
        </w:rPr>
        <w:t>(</w:t>
      </w:r>
      <w:r w:rsidR="00D60E8B">
        <w:rPr>
          <w:sz w:val="22"/>
          <w:szCs w:val="22"/>
        </w:rPr>
        <w:t xml:space="preserve">TACT / </w:t>
      </w:r>
      <w:r w:rsidR="00902772">
        <w:rPr>
          <w:sz w:val="22"/>
          <w:szCs w:val="22"/>
        </w:rPr>
        <w:t xml:space="preserve">CTRTN); </w:t>
      </w:r>
    </w:p>
    <w:p w:rsidR="00BC75AC" w:rsidRDefault="00902772" w:rsidP="00487260">
      <w:pPr>
        <w:ind w:left="1440" w:firstLine="720"/>
        <w:jc w:val="both"/>
        <w:rPr>
          <w:sz w:val="22"/>
          <w:szCs w:val="22"/>
        </w:rPr>
      </w:pPr>
      <w:proofErr w:type="spellStart"/>
      <w:r>
        <w:rPr>
          <w:sz w:val="22"/>
          <w:szCs w:val="22"/>
        </w:rPr>
        <w:t>Suprayitno</w:t>
      </w:r>
      <w:proofErr w:type="spellEnd"/>
      <w:r>
        <w:rPr>
          <w:sz w:val="22"/>
          <w:szCs w:val="22"/>
        </w:rPr>
        <w:t> </w:t>
      </w:r>
      <w:r w:rsidR="00BC75AC">
        <w:rPr>
          <w:sz w:val="22"/>
          <w:szCs w:val="22"/>
        </w:rPr>
        <w:t xml:space="preserve">(EAPFM); </w:t>
      </w:r>
      <w:proofErr w:type="spellStart"/>
      <w:r w:rsidR="00BC75AC">
        <w:rPr>
          <w:sz w:val="22"/>
          <w:szCs w:val="22"/>
        </w:rPr>
        <w:t>Saleh</w:t>
      </w:r>
      <w:proofErr w:type="spellEnd"/>
      <w:r w:rsidR="00BC75AC">
        <w:rPr>
          <w:sz w:val="22"/>
          <w:szCs w:val="22"/>
        </w:rPr>
        <w:t xml:space="preserve"> (EAPPR)</w:t>
      </w:r>
    </w:p>
    <w:p w:rsidR="00B9230B" w:rsidRDefault="00B9230B" w:rsidP="00BC75AC">
      <w:pPr>
        <w:jc w:val="both"/>
        <w:rPr>
          <w:sz w:val="22"/>
          <w:szCs w:val="22"/>
        </w:rPr>
      </w:pPr>
    </w:p>
    <w:p w:rsidR="00BC75AC" w:rsidRDefault="00BC75AC" w:rsidP="00BC75AC">
      <w:pPr>
        <w:jc w:val="both"/>
        <w:rPr>
          <w:sz w:val="22"/>
          <w:szCs w:val="22"/>
        </w:rPr>
      </w:pPr>
      <w:r>
        <w:rPr>
          <w:sz w:val="22"/>
          <w:szCs w:val="22"/>
        </w:rPr>
        <w:t>Bcc:</w:t>
      </w:r>
      <w:r>
        <w:rPr>
          <w:sz w:val="22"/>
          <w:szCs w:val="22"/>
        </w:rPr>
        <w:tab/>
      </w:r>
      <w:r>
        <w:rPr>
          <w:sz w:val="22"/>
          <w:szCs w:val="22"/>
        </w:rPr>
        <w:tab/>
      </w:r>
      <w:r>
        <w:rPr>
          <w:sz w:val="22"/>
          <w:szCs w:val="22"/>
        </w:rPr>
        <w:tab/>
        <w:t xml:space="preserve">O’Leary (CTRFC); </w:t>
      </w:r>
      <w:proofErr w:type="spellStart"/>
      <w:r>
        <w:rPr>
          <w:sz w:val="22"/>
          <w:szCs w:val="22"/>
        </w:rPr>
        <w:t>Thamrin</w:t>
      </w:r>
      <w:proofErr w:type="spellEnd"/>
      <w:r>
        <w:rPr>
          <w:sz w:val="22"/>
          <w:szCs w:val="22"/>
        </w:rPr>
        <w:t xml:space="preserve"> (CTRDM); </w:t>
      </w:r>
      <w:proofErr w:type="spellStart"/>
      <w:r w:rsidR="00E013DF">
        <w:rPr>
          <w:sz w:val="22"/>
          <w:szCs w:val="22"/>
        </w:rPr>
        <w:t>WBDocs</w:t>
      </w:r>
      <w:proofErr w:type="spellEnd"/>
    </w:p>
    <w:p w:rsidR="00BC75AC" w:rsidRDefault="00BC75AC" w:rsidP="00BC75AC">
      <w:pPr>
        <w:jc w:val="both"/>
        <w:rPr>
          <w:sz w:val="22"/>
          <w:szCs w:val="22"/>
        </w:rPr>
      </w:pPr>
    </w:p>
    <w:p w:rsidR="002E2A99" w:rsidRPr="00305325" w:rsidRDefault="00BC75AC" w:rsidP="00373170">
      <w:pPr>
        <w:pStyle w:val="ModelNrmlSingle"/>
        <w:spacing w:after="0"/>
        <w:ind w:firstLine="0"/>
        <w:rPr>
          <w:szCs w:val="22"/>
        </w:rPr>
      </w:pPr>
      <w:r>
        <w:rPr>
          <w:szCs w:val="22"/>
        </w:rPr>
        <w:t>Prepared by:</w:t>
      </w:r>
      <w:r>
        <w:rPr>
          <w:szCs w:val="22"/>
        </w:rPr>
        <w:tab/>
      </w:r>
      <w:r>
        <w:rPr>
          <w:szCs w:val="22"/>
        </w:rPr>
        <w:tab/>
      </w:r>
      <w:proofErr w:type="spellStart"/>
      <w:r>
        <w:rPr>
          <w:szCs w:val="22"/>
        </w:rPr>
        <w:t>Berhanu</w:t>
      </w:r>
      <w:proofErr w:type="spellEnd"/>
      <w:r>
        <w:rPr>
          <w:szCs w:val="22"/>
        </w:rPr>
        <w:t xml:space="preserve"> </w:t>
      </w:r>
      <w:r w:rsidR="009A4E0D">
        <w:rPr>
          <w:szCs w:val="22"/>
        </w:rPr>
        <w:t xml:space="preserve">/ Dost </w:t>
      </w:r>
      <w:r>
        <w:rPr>
          <w:szCs w:val="22"/>
        </w:rPr>
        <w:t>(LEGES)</w:t>
      </w:r>
    </w:p>
    <w:sectPr w:rsidR="002E2A99" w:rsidRPr="00305325" w:rsidSect="00B52185">
      <w:headerReference w:type="even" r:id="rId14"/>
      <w:headerReference w:type="default" r:id="rId15"/>
      <w:footerReference w:type="even" r:id="rId16"/>
      <w:footerReference w:type="default" r:id="rId17"/>
      <w:headerReference w:type="first" r:id="rId18"/>
      <w:footerReference w:type="first" r:id="rId19"/>
      <w:pgSz w:w="12240" w:h="15840" w:code="1"/>
      <w:pgMar w:top="720" w:right="1800" w:bottom="1440" w:left="1800" w:header="720" w:footer="39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1D" w:rsidRDefault="0047081D">
      <w:r>
        <w:separator/>
      </w:r>
    </w:p>
  </w:endnote>
  <w:endnote w:type="continuationSeparator" w:id="0">
    <w:p w:rsidR="0047081D" w:rsidRDefault="004708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85" w:rsidRDefault="00B52185" w:rsidP="00B52185">
    <w:pPr>
      <w:pStyle w:val="Footer"/>
      <w:jc w:val="center"/>
      <w:rPr>
        <w:rFonts w:ascii="Arial" w:hAnsi="Arial" w:cs="Arial"/>
        <w:sz w:val="14"/>
      </w:rPr>
    </w:pPr>
    <w:r>
      <w:rPr>
        <w:rFonts w:ascii="Arial" w:hAnsi="Arial"/>
        <w:sz w:val="14"/>
      </w:rPr>
      <w:t xml:space="preserve">ISEB Tower 2, Jl. </w:t>
    </w:r>
    <w:proofErr w:type="spellStart"/>
    <w:r>
      <w:rPr>
        <w:rFonts w:ascii="Arial" w:hAnsi="Arial"/>
        <w:sz w:val="14"/>
      </w:rPr>
      <w:t>Jend</w:t>
    </w:r>
    <w:proofErr w:type="spellEnd"/>
    <w:r>
      <w:rPr>
        <w:rFonts w:ascii="Arial" w:hAnsi="Arial"/>
        <w:sz w:val="14"/>
      </w:rPr>
      <w:t xml:space="preserve">. </w:t>
    </w:r>
    <w:proofErr w:type="spellStart"/>
    <w:r>
      <w:rPr>
        <w:rFonts w:ascii="Arial" w:hAnsi="Arial"/>
        <w:sz w:val="14"/>
      </w:rPr>
      <w:t>Sudirman</w:t>
    </w:r>
    <w:proofErr w:type="spellEnd"/>
    <w:r>
      <w:rPr>
        <w:rFonts w:ascii="Arial" w:hAnsi="Arial"/>
        <w:sz w:val="14"/>
      </w:rPr>
      <w:t xml:space="preserve"> </w:t>
    </w:r>
    <w:proofErr w:type="spellStart"/>
    <w:r>
      <w:rPr>
        <w:rFonts w:ascii="Arial" w:hAnsi="Arial"/>
        <w:sz w:val="14"/>
      </w:rPr>
      <w:t>Kav</w:t>
    </w:r>
    <w:proofErr w:type="spellEnd"/>
    <w:r>
      <w:rPr>
        <w:rFonts w:ascii="Arial" w:hAnsi="Arial"/>
        <w:sz w:val="14"/>
      </w:rPr>
      <w:t xml:space="preserve">. 52-53, Jakarta 12190 </w:t>
    </w:r>
    <w:r>
      <w:rPr>
        <w:rFonts w:ascii="Arial" w:hAnsi="Arial" w:cs="Arial"/>
        <w:sz w:val="14"/>
      </w:rPr>
      <w:t>•</w:t>
    </w:r>
    <w:r>
      <w:rPr>
        <w:rFonts w:ascii="Arial" w:hAnsi="Arial"/>
        <w:sz w:val="14"/>
      </w:rPr>
      <w:t xml:space="preserve"> Telephone (62-21) 5299 3000 </w:t>
    </w:r>
    <w:r>
      <w:rPr>
        <w:rFonts w:ascii="Arial" w:hAnsi="Arial" w:cs="Arial"/>
        <w:sz w:val="14"/>
      </w:rPr>
      <w:t>• Facsimile: (62-21) 5299 3110</w:t>
    </w:r>
  </w:p>
  <w:p w:rsidR="00B52185" w:rsidRDefault="00B52185" w:rsidP="00B52185">
    <w:pPr>
      <w:pStyle w:val="Footer"/>
      <w:jc w:val="center"/>
    </w:pPr>
    <w:r>
      <w:rPr>
        <w:rFonts w:ascii="Arial" w:hAnsi="Arial" w:cs="Arial"/>
        <w:sz w:val="14"/>
      </w:rPr>
      <w:t>P.O. Box 1324/JKT, Jakarta 10013 • Telex: IBRDIA 60086 • Headquarters: The World Bank, Washington DC, USA</w:t>
    </w:r>
  </w:p>
  <w:p w:rsidR="00B52185" w:rsidRDefault="00B521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85" w:rsidRDefault="00B52185" w:rsidP="00B52185">
    <w:pPr>
      <w:pStyle w:val="Footer"/>
      <w:jc w:val="center"/>
      <w:rPr>
        <w:rFonts w:ascii="Arial" w:hAnsi="Arial" w:cs="Arial"/>
        <w:sz w:val="14"/>
      </w:rPr>
    </w:pPr>
    <w:r>
      <w:rPr>
        <w:rFonts w:ascii="Arial" w:hAnsi="Arial"/>
        <w:sz w:val="14"/>
      </w:rPr>
      <w:t xml:space="preserve">ISEB Tower 2, Jl. </w:t>
    </w:r>
    <w:proofErr w:type="spellStart"/>
    <w:r>
      <w:rPr>
        <w:rFonts w:ascii="Arial" w:hAnsi="Arial"/>
        <w:sz w:val="14"/>
      </w:rPr>
      <w:t>Jend</w:t>
    </w:r>
    <w:proofErr w:type="spellEnd"/>
    <w:r>
      <w:rPr>
        <w:rFonts w:ascii="Arial" w:hAnsi="Arial"/>
        <w:sz w:val="14"/>
      </w:rPr>
      <w:t xml:space="preserve">. </w:t>
    </w:r>
    <w:proofErr w:type="spellStart"/>
    <w:r>
      <w:rPr>
        <w:rFonts w:ascii="Arial" w:hAnsi="Arial"/>
        <w:sz w:val="14"/>
      </w:rPr>
      <w:t>Sudirman</w:t>
    </w:r>
    <w:proofErr w:type="spellEnd"/>
    <w:r>
      <w:rPr>
        <w:rFonts w:ascii="Arial" w:hAnsi="Arial"/>
        <w:sz w:val="14"/>
      </w:rPr>
      <w:t xml:space="preserve"> </w:t>
    </w:r>
    <w:proofErr w:type="spellStart"/>
    <w:r>
      <w:rPr>
        <w:rFonts w:ascii="Arial" w:hAnsi="Arial"/>
        <w:sz w:val="14"/>
      </w:rPr>
      <w:t>Kav</w:t>
    </w:r>
    <w:proofErr w:type="spellEnd"/>
    <w:r>
      <w:rPr>
        <w:rFonts w:ascii="Arial" w:hAnsi="Arial"/>
        <w:sz w:val="14"/>
      </w:rPr>
      <w:t xml:space="preserve">. 52-53, Jakarta 12190 </w:t>
    </w:r>
    <w:r>
      <w:rPr>
        <w:rFonts w:ascii="Arial" w:hAnsi="Arial" w:cs="Arial"/>
        <w:sz w:val="14"/>
      </w:rPr>
      <w:t>•</w:t>
    </w:r>
    <w:r>
      <w:rPr>
        <w:rFonts w:ascii="Arial" w:hAnsi="Arial"/>
        <w:sz w:val="14"/>
      </w:rPr>
      <w:t xml:space="preserve"> Telephone (62-21) 5299 3000 </w:t>
    </w:r>
    <w:r>
      <w:rPr>
        <w:rFonts w:ascii="Arial" w:hAnsi="Arial" w:cs="Arial"/>
        <w:sz w:val="14"/>
      </w:rPr>
      <w:t>• Facsimile: (62-21) 5299 3110</w:t>
    </w:r>
  </w:p>
  <w:p w:rsidR="00B52185" w:rsidRDefault="00B52185" w:rsidP="00B52185">
    <w:pPr>
      <w:pStyle w:val="Footer"/>
      <w:jc w:val="center"/>
    </w:pPr>
    <w:r>
      <w:rPr>
        <w:rFonts w:ascii="Arial" w:hAnsi="Arial" w:cs="Arial"/>
        <w:sz w:val="14"/>
      </w:rPr>
      <w:t>P.O. Box 1324/JKT, Jakarta 10013 • Telex: IBRDIA 60086 • Headquarters: The World Bank, Washington DC, USA</w:t>
    </w:r>
  </w:p>
  <w:p w:rsidR="0047081D" w:rsidRDefault="0047081D">
    <w:pPr>
      <w:pStyle w:val="Footer"/>
      <w:jc w:val="cen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85" w:rsidRDefault="00B52185" w:rsidP="00B52185">
    <w:pPr>
      <w:pStyle w:val="Footer"/>
      <w:jc w:val="center"/>
      <w:rPr>
        <w:rFonts w:ascii="Arial" w:hAnsi="Arial" w:cs="Arial"/>
        <w:sz w:val="14"/>
      </w:rPr>
    </w:pPr>
    <w:r>
      <w:rPr>
        <w:rFonts w:ascii="Arial" w:hAnsi="Arial"/>
        <w:sz w:val="14"/>
      </w:rPr>
      <w:t xml:space="preserve">ISEB Tower 2, Jl. </w:t>
    </w:r>
    <w:proofErr w:type="spellStart"/>
    <w:r>
      <w:rPr>
        <w:rFonts w:ascii="Arial" w:hAnsi="Arial"/>
        <w:sz w:val="14"/>
      </w:rPr>
      <w:t>Jend</w:t>
    </w:r>
    <w:proofErr w:type="spellEnd"/>
    <w:r>
      <w:rPr>
        <w:rFonts w:ascii="Arial" w:hAnsi="Arial"/>
        <w:sz w:val="14"/>
      </w:rPr>
      <w:t xml:space="preserve">. </w:t>
    </w:r>
    <w:proofErr w:type="spellStart"/>
    <w:r>
      <w:rPr>
        <w:rFonts w:ascii="Arial" w:hAnsi="Arial"/>
        <w:sz w:val="14"/>
      </w:rPr>
      <w:t>Sudirman</w:t>
    </w:r>
    <w:proofErr w:type="spellEnd"/>
    <w:r>
      <w:rPr>
        <w:rFonts w:ascii="Arial" w:hAnsi="Arial"/>
        <w:sz w:val="14"/>
      </w:rPr>
      <w:t xml:space="preserve"> </w:t>
    </w:r>
    <w:proofErr w:type="spellStart"/>
    <w:r>
      <w:rPr>
        <w:rFonts w:ascii="Arial" w:hAnsi="Arial"/>
        <w:sz w:val="14"/>
      </w:rPr>
      <w:t>Kav</w:t>
    </w:r>
    <w:proofErr w:type="spellEnd"/>
    <w:r>
      <w:rPr>
        <w:rFonts w:ascii="Arial" w:hAnsi="Arial"/>
        <w:sz w:val="14"/>
      </w:rPr>
      <w:t xml:space="preserve">. 52-53, Jakarta 12190 </w:t>
    </w:r>
    <w:r>
      <w:rPr>
        <w:rFonts w:ascii="Arial" w:hAnsi="Arial" w:cs="Arial"/>
        <w:sz w:val="14"/>
      </w:rPr>
      <w:t>•</w:t>
    </w:r>
    <w:r>
      <w:rPr>
        <w:rFonts w:ascii="Arial" w:hAnsi="Arial"/>
        <w:sz w:val="14"/>
      </w:rPr>
      <w:t xml:space="preserve"> Telephone (62-21) 5299 3000 </w:t>
    </w:r>
    <w:r>
      <w:rPr>
        <w:rFonts w:ascii="Arial" w:hAnsi="Arial" w:cs="Arial"/>
        <w:sz w:val="14"/>
      </w:rPr>
      <w:t>• Facsimile: (62-21) 5299 3110</w:t>
    </w:r>
  </w:p>
  <w:p w:rsidR="00B52185" w:rsidRDefault="00B52185" w:rsidP="00B52185">
    <w:pPr>
      <w:pStyle w:val="Footer"/>
      <w:jc w:val="center"/>
    </w:pPr>
    <w:r>
      <w:rPr>
        <w:rFonts w:ascii="Arial" w:hAnsi="Arial" w:cs="Arial"/>
        <w:sz w:val="14"/>
      </w:rPr>
      <w:t>P.O. Box 1324/JKT, Jakarta 10013 • Telex: IBRDIA 60086 • Headquarters: The World Bank, Washington DC, USA</w:t>
    </w:r>
  </w:p>
  <w:p w:rsidR="0047081D" w:rsidRDefault="0047081D">
    <w:pPr>
      <w:pStyle w:val="Footer"/>
      <w:rPr>
        <w:lang w:val="fr-FR"/>
      </w:rPr>
    </w:pPr>
    <w:r>
      <w:rPr>
        <w:rFonts w:ascii="Arial" w:hAnsi="Arial"/>
        <w:sz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85" w:rsidRDefault="00B5218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85" w:rsidRDefault="00B52185">
    <w:pPr>
      <w:pStyle w:val="Footer"/>
      <w:jc w:val="center"/>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85" w:rsidRDefault="00B52185">
    <w:pPr>
      <w:pStyle w:val="Footer"/>
      <w:rPr>
        <w:lang w:val="fr-FR"/>
      </w:rPr>
    </w:pPr>
    <w:r>
      <w:rPr>
        <w:rFonts w:ascii="Arial" w:hAnsi="Arial"/>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1D" w:rsidRDefault="0047081D">
      <w:r>
        <w:separator/>
      </w:r>
    </w:p>
  </w:footnote>
  <w:footnote w:type="continuationSeparator" w:id="0">
    <w:p w:rsidR="0047081D" w:rsidRDefault="0047081D">
      <w:r>
        <w:continuationSeparator/>
      </w:r>
    </w:p>
  </w:footnote>
  <w:footnote w:id="1">
    <w:p w:rsidR="00EB4CBB" w:rsidRDefault="00540174">
      <w:pPr>
        <w:pStyle w:val="FootnoteText"/>
        <w:jc w:val="both"/>
      </w:pPr>
      <w:r w:rsidRPr="00540174">
        <w:rPr>
          <w:rStyle w:val="FootnoteReference"/>
        </w:rPr>
        <w:footnoteRef/>
      </w:r>
      <w:r w:rsidRPr="00540174">
        <w:t xml:space="preserve"> </w:t>
      </w:r>
      <w:r w:rsidR="002D5DE4">
        <w:t>Pursuant to a request dated November 4, 2010 from the Recipient, t</w:t>
      </w:r>
      <w:r w:rsidR="007A4297" w:rsidRPr="007A4297">
        <w:t>he balance</w:t>
      </w:r>
      <w:r w:rsidRPr="00540174">
        <w:t xml:space="preserve"> of </w:t>
      </w:r>
      <w:r w:rsidR="00C766B3" w:rsidRPr="00C766B3">
        <w:t>four hundred three thousand five hundred seventy two United States Dollars (</w:t>
      </w:r>
      <w:r w:rsidRPr="00540174">
        <w:t>US$</w:t>
      </w:r>
      <w:r w:rsidR="00F2073F" w:rsidRPr="00F2073F">
        <w:t>403,5</w:t>
      </w:r>
      <w:r w:rsidR="00C766B3">
        <w:t>72)</w:t>
      </w:r>
      <w:r>
        <w:t xml:space="preserve"> is being made </w:t>
      </w:r>
      <w:r w:rsidR="007A4297">
        <w:t xml:space="preserve">available </w:t>
      </w:r>
      <w:r w:rsidR="007A4297" w:rsidRPr="007A4297">
        <w:t>as a</w:t>
      </w:r>
      <w:r w:rsidR="005C6777">
        <w:t xml:space="preserve"> g</w:t>
      </w:r>
      <w:r w:rsidR="007A4297" w:rsidRPr="007A4297">
        <w:t xml:space="preserve">rant </w:t>
      </w:r>
      <w:r w:rsidR="005C6777">
        <w:t xml:space="preserve">from the </w:t>
      </w:r>
      <w:r w:rsidR="005C6777" w:rsidRPr="005C6777">
        <w:t xml:space="preserve">Readiness Fund </w:t>
      </w:r>
      <w:r w:rsidR="005C6777">
        <w:t xml:space="preserve">for the FCPF </w:t>
      </w:r>
      <w:r>
        <w:t>to the World Bank</w:t>
      </w:r>
      <w:r w:rsidR="00D45D38">
        <w:t>, acting in its own capacity and not as Trustee,</w:t>
      </w:r>
      <w:r>
        <w:t xml:space="preserve"> </w:t>
      </w:r>
      <w:r w:rsidR="00A3491E">
        <w:t>for purposes of World Bank execution</w:t>
      </w:r>
      <w:r w:rsidR="006A4733">
        <w:t>,</w:t>
      </w:r>
      <w:r w:rsidR="00A3491E">
        <w:t xml:space="preserve"> </w:t>
      </w:r>
      <w:r w:rsidR="006A4733">
        <w:t xml:space="preserve">on behalf of the Recipient, </w:t>
      </w:r>
      <w:r w:rsidR="00A3491E">
        <w:t>of certain activities relating to the carrying out of the R-PP.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F3" w:rsidRPr="00E150F3" w:rsidRDefault="00E150F3" w:rsidP="00E150F3">
    <w:pPr>
      <w:pStyle w:val="Header"/>
      <w:tabs>
        <w:tab w:val="clear" w:pos="7200"/>
        <w:tab w:val="right" w:pos="8640"/>
      </w:tabs>
      <w:rPr>
        <w:sz w:val="21"/>
        <w:szCs w:val="21"/>
      </w:rPr>
    </w:pPr>
    <w:r w:rsidRPr="00E150F3">
      <w:rPr>
        <w:sz w:val="21"/>
        <w:szCs w:val="21"/>
      </w:rPr>
      <w:t xml:space="preserve">Mr. </w:t>
    </w:r>
    <w:proofErr w:type="spellStart"/>
    <w:r w:rsidRPr="00E150F3">
      <w:rPr>
        <w:sz w:val="21"/>
        <w:szCs w:val="21"/>
      </w:rPr>
      <w:t>Rahmat</w:t>
    </w:r>
    <w:proofErr w:type="spellEnd"/>
    <w:r w:rsidRPr="00E150F3">
      <w:rPr>
        <w:sz w:val="21"/>
        <w:szCs w:val="21"/>
      </w:rPr>
      <w:t xml:space="preserve"> </w:t>
    </w:r>
    <w:proofErr w:type="spellStart"/>
    <w:r w:rsidRPr="00E150F3">
      <w:rPr>
        <w:sz w:val="21"/>
        <w:szCs w:val="21"/>
      </w:rPr>
      <w:t>Waluyanto</w:t>
    </w:r>
    <w:proofErr w:type="spellEnd"/>
    <w:r w:rsidRPr="00E150F3">
      <w:rPr>
        <w:sz w:val="21"/>
        <w:szCs w:val="21"/>
      </w:rPr>
      <w:tab/>
      <w:t>-</w:t>
    </w:r>
    <w:r w:rsidR="00B22F3A" w:rsidRPr="00E150F3">
      <w:rPr>
        <w:sz w:val="21"/>
        <w:szCs w:val="21"/>
      </w:rPr>
      <w:fldChar w:fldCharType="begin"/>
    </w:r>
    <w:r w:rsidRPr="00E150F3">
      <w:rPr>
        <w:sz w:val="21"/>
        <w:szCs w:val="21"/>
      </w:rPr>
      <w:instrText>PAGE</w:instrText>
    </w:r>
    <w:r w:rsidR="00B22F3A" w:rsidRPr="00E150F3">
      <w:rPr>
        <w:sz w:val="21"/>
        <w:szCs w:val="21"/>
      </w:rPr>
      <w:fldChar w:fldCharType="separate"/>
    </w:r>
    <w:r w:rsidR="003A631A">
      <w:rPr>
        <w:noProof/>
        <w:sz w:val="21"/>
        <w:szCs w:val="21"/>
      </w:rPr>
      <w:t>2</w:t>
    </w:r>
    <w:r w:rsidR="00B22F3A" w:rsidRPr="00E150F3">
      <w:rPr>
        <w:sz w:val="21"/>
        <w:szCs w:val="21"/>
      </w:rPr>
      <w:fldChar w:fldCharType="end"/>
    </w:r>
    <w:r w:rsidRPr="00E150F3">
      <w:rPr>
        <w:sz w:val="21"/>
        <w:szCs w:val="21"/>
      </w:rPr>
      <w:t>-</w:t>
    </w:r>
    <w:r w:rsidRPr="00E150F3">
      <w:rPr>
        <w:sz w:val="21"/>
        <w:szCs w:val="21"/>
      </w:rPr>
      <w:tab/>
      <w:t>27 May 2011</w:t>
    </w:r>
  </w:p>
  <w:p w:rsidR="00E150F3" w:rsidRDefault="00E150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1D" w:rsidRPr="00E150F3" w:rsidRDefault="00FE1BB3">
    <w:pPr>
      <w:pStyle w:val="Header"/>
      <w:tabs>
        <w:tab w:val="clear" w:pos="7200"/>
        <w:tab w:val="right" w:pos="8640"/>
      </w:tabs>
      <w:rPr>
        <w:sz w:val="21"/>
        <w:szCs w:val="21"/>
      </w:rPr>
    </w:pPr>
    <w:r w:rsidRPr="00E150F3">
      <w:rPr>
        <w:sz w:val="21"/>
        <w:szCs w:val="21"/>
      </w:rPr>
      <w:t>M</w:t>
    </w:r>
    <w:r w:rsidR="0047081D" w:rsidRPr="00E150F3">
      <w:rPr>
        <w:sz w:val="21"/>
        <w:szCs w:val="21"/>
      </w:rPr>
      <w:t xml:space="preserve">r. </w:t>
    </w:r>
    <w:proofErr w:type="spellStart"/>
    <w:r w:rsidR="0047081D" w:rsidRPr="00E150F3">
      <w:rPr>
        <w:sz w:val="21"/>
        <w:szCs w:val="21"/>
      </w:rPr>
      <w:t>Rahmat</w:t>
    </w:r>
    <w:proofErr w:type="spellEnd"/>
    <w:r w:rsidR="0047081D" w:rsidRPr="00E150F3">
      <w:rPr>
        <w:sz w:val="21"/>
        <w:szCs w:val="21"/>
      </w:rPr>
      <w:t xml:space="preserve"> </w:t>
    </w:r>
    <w:proofErr w:type="spellStart"/>
    <w:r w:rsidR="0047081D" w:rsidRPr="00E150F3">
      <w:rPr>
        <w:sz w:val="21"/>
        <w:szCs w:val="21"/>
      </w:rPr>
      <w:t>Waluyanto</w:t>
    </w:r>
    <w:proofErr w:type="spellEnd"/>
    <w:r w:rsidR="0047081D" w:rsidRPr="00E150F3">
      <w:rPr>
        <w:sz w:val="21"/>
        <w:szCs w:val="21"/>
      </w:rPr>
      <w:tab/>
      <w:t>-</w:t>
    </w:r>
    <w:r w:rsidR="00B22F3A" w:rsidRPr="00E150F3">
      <w:rPr>
        <w:sz w:val="21"/>
        <w:szCs w:val="21"/>
      </w:rPr>
      <w:fldChar w:fldCharType="begin"/>
    </w:r>
    <w:r w:rsidR="00D643BB" w:rsidRPr="00E150F3">
      <w:rPr>
        <w:sz w:val="21"/>
        <w:szCs w:val="21"/>
      </w:rPr>
      <w:instrText>PAGE</w:instrText>
    </w:r>
    <w:r w:rsidR="00B22F3A" w:rsidRPr="00E150F3">
      <w:rPr>
        <w:sz w:val="21"/>
        <w:szCs w:val="21"/>
      </w:rPr>
      <w:fldChar w:fldCharType="separate"/>
    </w:r>
    <w:r w:rsidR="003A631A">
      <w:rPr>
        <w:noProof/>
        <w:sz w:val="21"/>
        <w:szCs w:val="21"/>
      </w:rPr>
      <w:t>3</w:t>
    </w:r>
    <w:r w:rsidR="00B22F3A" w:rsidRPr="00E150F3">
      <w:rPr>
        <w:sz w:val="21"/>
        <w:szCs w:val="21"/>
      </w:rPr>
      <w:fldChar w:fldCharType="end"/>
    </w:r>
    <w:r w:rsidR="0047081D" w:rsidRPr="00E150F3">
      <w:rPr>
        <w:sz w:val="21"/>
        <w:szCs w:val="21"/>
      </w:rPr>
      <w:t>-</w:t>
    </w:r>
    <w:r w:rsidR="0047081D" w:rsidRPr="00E150F3">
      <w:rPr>
        <w:sz w:val="21"/>
        <w:szCs w:val="21"/>
      </w:rPr>
      <w:tab/>
    </w:r>
    <w:r w:rsidR="00E150F3" w:rsidRPr="00E150F3">
      <w:rPr>
        <w:sz w:val="21"/>
        <w:szCs w:val="21"/>
      </w:rPr>
      <w:t>27 May 2011</w:t>
    </w:r>
  </w:p>
  <w:p w:rsidR="0047081D" w:rsidRDefault="004708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85" w:rsidRDefault="00C5544E">
    <w:pPr>
      <w:pStyle w:val="Header"/>
    </w:pPr>
    <w:r>
      <w:rPr>
        <w:noProof/>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-285750</wp:posOffset>
          </wp:positionV>
          <wp:extent cx="2628900" cy="428625"/>
          <wp:effectExtent l="19050" t="0" r="0" b="0"/>
          <wp:wrapSquare wrapText="bothSides"/>
          <wp:docPr id="1" name="Picture 1" descr="WBOJ_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OJ_logo (NEW)"/>
                  <pic:cNvPicPr>
                    <a:picLocks noChangeAspect="1" noChangeArrowheads="1"/>
                  </pic:cNvPicPr>
                </pic:nvPicPr>
                <pic:blipFill>
                  <a:blip r:embed="rId1"/>
                  <a:srcRect/>
                  <a:stretch>
                    <a:fillRect/>
                  </a:stretch>
                </pic:blipFill>
                <pic:spPr bwMode="auto">
                  <a:xfrm>
                    <a:off x="0" y="0"/>
                    <a:ext cx="2628900" cy="42862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85" w:rsidRDefault="00B5218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85" w:rsidRDefault="00B5218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85" w:rsidRDefault="00B521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123"/>
    <w:multiLevelType w:val="hybridMultilevel"/>
    <w:tmpl w:val="1E1C7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B2B1668"/>
    <w:multiLevelType w:val="hybridMultilevel"/>
    <w:tmpl w:val="3AE4C2F0"/>
    <w:lvl w:ilvl="0" w:tplc="84C639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75ED"/>
    <w:multiLevelType w:val="hybridMultilevel"/>
    <w:tmpl w:val="E7564A04"/>
    <w:lvl w:ilvl="0" w:tplc="6E923BBC">
      <w:start w:val="1"/>
      <w:numFmt w:val="lowerLetter"/>
      <w:lvlText w:val="(%1)"/>
      <w:lvlJc w:val="left"/>
      <w:pPr>
        <w:ind w:left="1440" w:hanging="720"/>
      </w:pPr>
      <w:rPr>
        <w:rFonts w:ascii="Times New Roman" w:hAnsi="Times New Roman" w:cs="Times New Roman"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8742D"/>
    <w:multiLevelType w:val="hybridMultilevel"/>
    <w:tmpl w:val="CC88204C"/>
    <w:lvl w:ilvl="0" w:tplc="BAE200AA">
      <w:start w:val="1"/>
      <w:numFmt w:val="lowerLetter"/>
      <w:lvlText w:val="(%1)"/>
      <w:lvlJc w:val="left"/>
      <w:pPr>
        <w:ind w:left="1815" w:hanging="1095"/>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E33882"/>
    <w:multiLevelType w:val="hybridMultilevel"/>
    <w:tmpl w:val="74988FD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12976C3A"/>
    <w:multiLevelType w:val="hybridMultilevel"/>
    <w:tmpl w:val="68CEFFA6"/>
    <w:lvl w:ilvl="0" w:tplc="65D89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C071AC"/>
    <w:multiLevelType w:val="hybridMultilevel"/>
    <w:tmpl w:val="5662623A"/>
    <w:lvl w:ilvl="0" w:tplc="7D92F27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A1283D"/>
    <w:multiLevelType w:val="hybridMultilevel"/>
    <w:tmpl w:val="16C252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C3DDE"/>
    <w:multiLevelType w:val="hybridMultilevel"/>
    <w:tmpl w:val="ACA6F2D2"/>
    <w:lvl w:ilvl="0" w:tplc="04210001">
      <w:start w:val="1"/>
      <w:numFmt w:val="bullet"/>
      <w:lvlText w:val=""/>
      <w:lvlJc w:val="left"/>
      <w:pPr>
        <w:ind w:left="1037" w:hanging="360"/>
      </w:pPr>
      <w:rPr>
        <w:rFonts w:ascii="Symbol" w:hAnsi="Symbol" w:hint="default"/>
      </w:rPr>
    </w:lvl>
    <w:lvl w:ilvl="1" w:tplc="013A5692">
      <w:numFmt w:val="bullet"/>
      <w:lvlText w:val="-"/>
      <w:lvlJc w:val="left"/>
      <w:pPr>
        <w:ind w:left="1757" w:hanging="360"/>
      </w:pPr>
      <w:rPr>
        <w:rFonts w:ascii="Arial" w:eastAsia="Times New Roman" w:hAnsi="Arial" w:hint="default"/>
      </w:rPr>
    </w:lvl>
    <w:lvl w:ilvl="2" w:tplc="04210005">
      <w:start w:val="1"/>
      <w:numFmt w:val="bullet"/>
      <w:lvlText w:val=""/>
      <w:lvlJc w:val="left"/>
      <w:pPr>
        <w:ind w:left="2477" w:hanging="360"/>
      </w:pPr>
      <w:rPr>
        <w:rFonts w:ascii="Wingdings" w:hAnsi="Wingdings" w:hint="default"/>
      </w:rPr>
    </w:lvl>
    <w:lvl w:ilvl="3" w:tplc="04210001">
      <w:start w:val="1"/>
      <w:numFmt w:val="bullet"/>
      <w:lvlText w:val=""/>
      <w:lvlJc w:val="left"/>
      <w:pPr>
        <w:ind w:left="3197" w:hanging="360"/>
      </w:pPr>
      <w:rPr>
        <w:rFonts w:ascii="Symbol" w:hAnsi="Symbol" w:hint="default"/>
      </w:rPr>
    </w:lvl>
    <w:lvl w:ilvl="4" w:tplc="04210003">
      <w:start w:val="1"/>
      <w:numFmt w:val="bullet"/>
      <w:lvlText w:val="o"/>
      <w:lvlJc w:val="left"/>
      <w:pPr>
        <w:ind w:left="3917" w:hanging="360"/>
      </w:pPr>
      <w:rPr>
        <w:rFonts w:ascii="Courier New" w:hAnsi="Courier New" w:hint="default"/>
      </w:rPr>
    </w:lvl>
    <w:lvl w:ilvl="5" w:tplc="04210005">
      <w:start w:val="1"/>
      <w:numFmt w:val="bullet"/>
      <w:lvlText w:val=""/>
      <w:lvlJc w:val="left"/>
      <w:pPr>
        <w:ind w:left="4637" w:hanging="360"/>
      </w:pPr>
      <w:rPr>
        <w:rFonts w:ascii="Wingdings" w:hAnsi="Wingdings" w:hint="default"/>
      </w:rPr>
    </w:lvl>
    <w:lvl w:ilvl="6" w:tplc="04210001">
      <w:start w:val="1"/>
      <w:numFmt w:val="bullet"/>
      <w:lvlText w:val=""/>
      <w:lvlJc w:val="left"/>
      <w:pPr>
        <w:ind w:left="5357" w:hanging="360"/>
      </w:pPr>
      <w:rPr>
        <w:rFonts w:ascii="Symbol" w:hAnsi="Symbol" w:hint="default"/>
      </w:rPr>
    </w:lvl>
    <w:lvl w:ilvl="7" w:tplc="04210003">
      <w:start w:val="1"/>
      <w:numFmt w:val="bullet"/>
      <w:lvlText w:val="o"/>
      <w:lvlJc w:val="left"/>
      <w:pPr>
        <w:ind w:left="6077" w:hanging="360"/>
      </w:pPr>
      <w:rPr>
        <w:rFonts w:ascii="Courier New" w:hAnsi="Courier New" w:hint="default"/>
      </w:rPr>
    </w:lvl>
    <w:lvl w:ilvl="8" w:tplc="04210005">
      <w:start w:val="1"/>
      <w:numFmt w:val="bullet"/>
      <w:lvlText w:val=""/>
      <w:lvlJc w:val="left"/>
      <w:pPr>
        <w:ind w:left="6797" w:hanging="360"/>
      </w:pPr>
      <w:rPr>
        <w:rFonts w:ascii="Wingdings" w:hAnsi="Wingdings" w:hint="default"/>
      </w:rPr>
    </w:lvl>
  </w:abstractNum>
  <w:abstractNum w:abstractNumId="9">
    <w:nsid w:val="28CD0206"/>
    <w:multiLevelType w:val="hybridMultilevel"/>
    <w:tmpl w:val="58AE62E4"/>
    <w:lvl w:ilvl="0" w:tplc="995859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AD1D42"/>
    <w:multiLevelType w:val="hybridMultilevel"/>
    <w:tmpl w:val="D152F14C"/>
    <w:lvl w:ilvl="0" w:tplc="EF04128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E31F15"/>
    <w:multiLevelType w:val="hybridMultilevel"/>
    <w:tmpl w:val="E7564A04"/>
    <w:lvl w:ilvl="0" w:tplc="6E923BBC">
      <w:start w:val="1"/>
      <w:numFmt w:val="lowerLetter"/>
      <w:lvlText w:val="(%1)"/>
      <w:lvlJc w:val="left"/>
      <w:pPr>
        <w:ind w:left="1440" w:hanging="720"/>
      </w:pPr>
      <w:rPr>
        <w:rFonts w:ascii="Times New Roman" w:hAnsi="Times New Roman" w:cs="Times New Roman"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F96913"/>
    <w:multiLevelType w:val="hybridMultilevel"/>
    <w:tmpl w:val="6C9E6934"/>
    <w:lvl w:ilvl="0" w:tplc="7D92F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BD6B71"/>
    <w:multiLevelType w:val="hybridMultilevel"/>
    <w:tmpl w:val="696CBC9E"/>
    <w:lvl w:ilvl="0" w:tplc="7D92F27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C36B67"/>
    <w:multiLevelType w:val="hybridMultilevel"/>
    <w:tmpl w:val="E7564A04"/>
    <w:lvl w:ilvl="0" w:tplc="6E923BBC">
      <w:start w:val="1"/>
      <w:numFmt w:val="lowerLetter"/>
      <w:lvlText w:val="(%1)"/>
      <w:lvlJc w:val="left"/>
      <w:pPr>
        <w:ind w:left="1440" w:hanging="720"/>
      </w:pPr>
      <w:rPr>
        <w:rFonts w:ascii="Times New Roman" w:hAnsi="Times New Roman" w:cs="Times New Roman"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A0013CE"/>
    <w:multiLevelType w:val="hybridMultilevel"/>
    <w:tmpl w:val="59EC329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E9152F"/>
    <w:multiLevelType w:val="hybridMultilevel"/>
    <w:tmpl w:val="81CC0418"/>
    <w:lvl w:ilvl="0" w:tplc="3BC6A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FF297B"/>
    <w:multiLevelType w:val="hybridMultilevel"/>
    <w:tmpl w:val="E7564A04"/>
    <w:lvl w:ilvl="0" w:tplc="6E923BBC">
      <w:start w:val="1"/>
      <w:numFmt w:val="lowerLetter"/>
      <w:lvlText w:val="(%1)"/>
      <w:lvlJc w:val="left"/>
      <w:pPr>
        <w:ind w:left="1440" w:hanging="720"/>
      </w:pPr>
      <w:rPr>
        <w:rFonts w:ascii="Times New Roman" w:hAnsi="Times New Roman" w:cs="Times New Roman"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3269EB"/>
    <w:multiLevelType w:val="hybridMultilevel"/>
    <w:tmpl w:val="9EEA0E36"/>
    <w:lvl w:ilvl="0" w:tplc="23C80C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293CEF"/>
    <w:multiLevelType w:val="hybridMultilevel"/>
    <w:tmpl w:val="6C9E6934"/>
    <w:lvl w:ilvl="0" w:tplc="7D92F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E7667"/>
    <w:multiLevelType w:val="hybridMultilevel"/>
    <w:tmpl w:val="E7564A04"/>
    <w:lvl w:ilvl="0" w:tplc="6E923BBC">
      <w:start w:val="1"/>
      <w:numFmt w:val="lowerLetter"/>
      <w:lvlText w:val="(%1)"/>
      <w:lvlJc w:val="left"/>
      <w:pPr>
        <w:ind w:left="1440" w:hanging="720"/>
      </w:pPr>
      <w:rPr>
        <w:rFonts w:ascii="Times New Roman" w:hAnsi="Times New Roman" w:cs="Times New Roman"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9C2B1E"/>
    <w:multiLevelType w:val="hybridMultilevel"/>
    <w:tmpl w:val="C92A078E"/>
    <w:lvl w:ilvl="0" w:tplc="596E4B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7213555"/>
    <w:multiLevelType w:val="hybridMultilevel"/>
    <w:tmpl w:val="1092FB6A"/>
    <w:lvl w:ilvl="0" w:tplc="4A368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2B3E72"/>
    <w:multiLevelType w:val="hybridMultilevel"/>
    <w:tmpl w:val="8B363D1A"/>
    <w:lvl w:ilvl="0" w:tplc="449C95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711A26"/>
    <w:multiLevelType w:val="hybridMultilevel"/>
    <w:tmpl w:val="08FCE8E0"/>
    <w:lvl w:ilvl="0" w:tplc="7D92F27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E0A3F"/>
    <w:multiLevelType w:val="hybridMultilevel"/>
    <w:tmpl w:val="14184E9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9">
    <w:nsid w:val="71C25E05"/>
    <w:multiLevelType w:val="hybridMultilevel"/>
    <w:tmpl w:val="B6EAB48C"/>
    <w:lvl w:ilvl="0" w:tplc="0421000F">
      <w:start w:val="1"/>
      <w:numFmt w:val="decimal"/>
      <w:lvlText w:val="%1."/>
      <w:lvlJc w:val="left"/>
      <w:pPr>
        <w:ind w:left="540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0">
    <w:nsid w:val="72BC6712"/>
    <w:multiLevelType w:val="hybridMultilevel"/>
    <w:tmpl w:val="6C9E6934"/>
    <w:lvl w:ilvl="0" w:tplc="7D92F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818BA"/>
    <w:multiLevelType w:val="hybridMultilevel"/>
    <w:tmpl w:val="DFD8F764"/>
    <w:lvl w:ilvl="0" w:tplc="05201C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9311C6"/>
    <w:multiLevelType w:val="hybridMultilevel"/>
    <w:tmpl w:val="CCF43E6E"/>
    <w:lvl w:ilvl="0" w:tplc="CDBAEAE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35587"/>
    <w:multiLevelType w:val="hybridMultilevel"/>
    <w:tmpl w:val="04E2BF0C"/>
    <w:lvl w:ilvl="0" w:tplc="28BC2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5C3FB8"/>
    <w:multiLevelType w:val="hybridMultilevel"/>
    <w:tmpl w:val="11BA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145F65"/>
    <w:multiLevelType w:val="hybridMultilevel"/>
    <w:tmpl w:val="AB52EFA8"/>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32"/>
  </w:num>
  <w:num w:numId="4">
    <w:abstractNumId w:val="3"/>
  </w:num>
  <w:num w:numId="5">
    <w:abstractNumId w:val="17"/>
  </w:num>
  <w:num w:numId="6">
    <w:abstractNumId w:val="25"/>
  </w:num>
  <w:num w:numId="7">
    <w:abstractNumId w:val="12"/>
  </w:num>
  <w:num w:numId="8">
    <w:abstractNumId w:val="28"/>
  </w:num>
  <w:num w:numId="9">
    <w:abstractNumId w:val="8"/>
  </w:num>
  <w:num w:numId="10">
    <w:abstractNumId w:val="4"/>
  </w:num>
  <w:num w:numId="11">
    <w:abstractNumId w:val="22"/>
  </w:num>
  <w:num w:numId="12">
    <w:abstractNumId w:val="27"/>
  </w:num>
  <w:num w:numId="13">
    <w:abstractNumId w:val="11"/>
  </w:num>
  <w:num w:numId="14">
    <w:abstractNumId w:val="7"/>
  </w:num>
  <w:num w:numId="15">
    <w:abstractNumId w:val="5"/>
  </w:num>
  <w:num w:numId="16">
    <w:abstractNumId w:val="29"/>
  </w:num>
  <w:num w:numId="17">
    <w:abstractNumId w:val="0"/>
  </w:num>
  <w:num w:numId="18">
    <w:abstractNumId w:val="6"/>
  </w:num>
  <w:num w:numId="19">
    <w:abstractNumId w:val="30"/>
  </w:num>
  <w:num w:numId="20">
    <w:abstractNumId w:val="1"/>
  </w:num>
  <w:num w:numId="21">
    <w:abstractNumId w:val="18"/>
  </w:num>
  <w:num w:numId="22">
    <w:abstractNumId w:val="15"/>
  </w:num>
  <w:num w:numId="23">
    <w:abstractNumId w:val="2"/>
  </w:num>
  <w:num w:numId="24">
    <w:abstractNumId w:val="23"/>
  </w:num>
  <w:num w:numId="25">
    <w:abstractNumId w:val="10"/>
  </w:num>
  <w:num w:numId="26">
    <w:abstractNumId w:val="33"/>
  </w:num>
  <w:num w:numId="27">
    <w:abstractNumId w:val="20"/>
  </w:num>
  <w:num w:numId="28">
    <w:abstractNumId w:val="14"/>
  </w:num>
  <w:num w:numId="29">
    <w:abstractNumId w:val="21"/>
  </w:num>
  <w:num w:numId="30">
    <w:abstractNumId w:val="19"/>
  </w:num>
  <w:num w:numId="31">
    <w:abstractNumId w:val="35"/>
  </w:num>
  <w:num w:numId="32">
    <w:abstractNumId w:val="13"/>
  </w:num>
  <w:num w:numId="33">
    <w:abstractNumId w:val="34"/>
  </w:num>
  <w:num w:numId="34">
    <w:abstractNumId w:val="31"/>
  </w:num>
  <w:num w:numId="35">
    <w:abstractNumId w:val="26"/>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250421"/>
    <w:rsid w:val="0000001D"/>
    <w:rsid w:val="0000075F"/>
    <w:rsid w:val="00003AD5"/>
    <w:rsid w:val="00003E5B"/>
    <w:rsid w:val="00010F78"/>
    <w:rsid w:val="00011FC2"/>
    <w:rsid w:val="00012616"/>
    <w:rsid w:val="000136D1"/>
    <w:rsid w:val="00013854"/>
    <w:rsid w:val="00016293"/>
    <w:rsid w:val="000164BC"/>
    <w:rsid w:val="000170E8"/>
    <w:rsid w:val="000173A0"/>
    <w:rsid w:val="00022E58"/>
    <w:rsid w:val="000242F0"/>
    <w:rsid w:val="000247F7"/>
    <w:rsid w:val="0003073E"/>
    <w:rsid w:val="000321B7"/>
    <w:rsid w:val="000341B6"/>
    <w:rsid w:val="00034444"/>
    <w:rsid w:val="00052DE8"/>
    <w:rsid w:val="00053E46"/>
    <w:rsid w:val="00054342"/>
    <w:rsid w:val="00056245"/>
    <w:rsid w:val="00060A4E"/>
    <w:rsid w:val="000625E9"/>
    <w:rsid w:val="0006574E"/>
    <w:rsid w:val="00067459"/>
    <w:rsid w:val="00067A44"/>
    <w:rsid w:val="00072400"/>
    <w:rsid w:val="0008551B"/>
    <w:rsid w:val="000864BC"/>
    <w:rsid w:val="00086553"/>
    <w:rsid w:val="000908A8"/>
    <w:rsid w:val="000909F3"/>
    <w:rsid w:val="00091ABA"/>
    <w:rsid w:val="00093915"/>
    <w:rsid w:val="00097E14"/>
    <w:rsid w:val="000A0E6C"/>
    <w:rsid w:val="000A15A9"/>
    <w:rsid w:val="000A1E24"/>
    <w:rsid w:val="000A2F27"/>
    <w:rsid w:val="000A65EB"/>
    <w:rsid w:val="000A7178"/>
    <w:rsid w:val="000A7A6D"/>
    <w:rsid w:val="000A7FB4"/>
    <w:rsid w:val="000B06E2"/>
    <w:rsid w:val="000B0D07"/>
    <w:rsid w:val="000B14FB"/>
    <w:rsid w:val="000B409A"/>
    <w:rsid w:val="000B61CD"/>
    <w:rsid w:val="000B7330"/>
    <w:rsid w:val="000B7DCB"/>
    <w:rsid w:val="000C0401"/>
    <w:rsid w:val="000C0C54"/>
    <w:rsid w:val="000C13CD"/>
    <w:rsid w:val="000C4D68"/>
    <w:rsid w:val="000C5F0F"/>
    <w:rsid w:val="000C6673"/>
    <w:rsid w:val="000D02DF"/>
    <w:rsid w:val="000D1483"/>
    <w:rsid w:val="000D23B1"/>
    <w:rsid w:val="000D71C1"/>
    <w:rsid w:val="000D7F5D"/>
    <w:rsid w:val="000E0AE0"/>
    <w:rsid w:val="000E3659"/>
    <w:rsid w:val="000E36FE"/>
    <w:rsid w:val="000E5C46"/>
    <w:rsid w:val="000F1132"/>
    <w:rsid w:val="000F23A3"/>
    <w:rsid w:val="000F28CD"/>
    <w:rsid w:val="000F4086"/>
    <w:rsid w:val="000F52B2"/>
    <w:rsid w:val="000F60AA"/>
    <w:rsid w:val="00102226"/>
    <w:rsid w:val="001045A6"/>
    <w:rsid w:val="0010588D"/>
    <w:rsid w:val="00106D06"/>
    <w:rsid w:val="0010778D"/>
    <w:rsid w:val="001151FC"/>
    <w:rsid w:val="0011631E"/>
    <w:rsid w:val="00116FC8"/>
    <w:rsid w:val="00120405"/>
    <w:rsid w:val="00122E2C"/>
    <w:rsid w:val="00123146"/>
    <w:rsid w:val="001236DC"/>
    <w:rsid w:val="00124F20"/>
    <w:rsid w:val="00127599"/>
    <w:rsid w:val="0013096E"/>
    <w:rsid w:val="00132F43"/>
    <w:rsid w:val="001340C1"/>
    <w:rsid w:val="001348DF"/>
    <w:rsid w:val="00135220"/>
    <w:rsid w:val="00136EBD"/>
    <w:rsid w:val="001400BA"/>
    <w:rsid w:val="00144FA5"/>
    <w:rsid w:val="0014624C"/>
    <w:rsid w:val="00147C2F"/>
    <w:rsid w:val="001574B8"/>
    <w:rsid w:val="00160522"/>
    <w:rsid w:val="00162100"/>
    <w:rsid w:val="00165C5D"/>
    <w:rsid w:val="001702CC"/>
    <w:rsid w:val="001707F8"/>
    <w:rsid w:val="001720D6"/>
    <w:rsid w:val="001732B8"/>
    <w:rsid w:val="00176A21"/>
    <w:rsid w:val="0018139E"/>
    <w:rsid w:val="0018601F"/>
    <w:rsid w:val="00187C47"/>
    <w:rsid w:val="001921E8"/>
    <w:rsid w:val="00193FDB"/>
    <w:rsid w:val="00194F80"/>
    <w:rsid w:val="0019577D"/>
    <w:rsid w:val="00197160"/>
    <w:rsid w:val="001A3D98"/>
    <w:rsid w:val="001A6C05"/>
    <w:rsid w:val="001B1A25"/>
    <w:rsid w:val="001B5A3E"/>
    <w:rsid w:val="001B6C1C"/>
    <w:rsid w:val="001B6C48"/>
    <w:rsid w:val="001B6EB6"/>
    <w:rsid w:val="001B7270"/>
    <w:rsid w:val="001B7B47"/>
    <w:rsid w:val="001C1ACC"/>
    <w:rsid w:val="001C2B91"/>
    <w:rsid w:val="001C5374"/>
    <w:rsid w:val="001C55D6"/>
    <w:rsid w:val="001C5B8C"/>
    <w:rsid w:val="001D0889"/>
    <w:rsid w:val="001D29D5"/>
    <w:rsid w:val="001D43C8"/>
    <w:rsid w:val="001D7251"/>
    <w:rsid w:val="001D7D42"/>
    <w:rsid w:val="001E211E"/>
    <w:rsid w:val="001E309A"/>
    <w:rsid w:val="001E4DB8"/>
    <w:rsid w:val="001E611D"/>
    <w:rsid w:val="001E7C63"/>
    <w:rsid w:val="001F2B02"/>
    <w:rsid w:val="001F52E8"/>
    <w:rsid w:val="001F6F6E"/>
    <w:rsid w:val="001F7528"/>
    <w:rsid w:val="00201747"/>
    <w:rsid w:val="00201FB1"/>
    <w:rsid w:val="00203FC8"/>
    <w:rsid w:val="00204163"/>
    <w:rsid w:val="00206D40"/>
    <w:rsid w:val="002078D7"/>
    <w:rsid w:val="0021267F"/>
    <w:rsid w:val="002138CC"/>
    <w:rsid w:val="00214625"/>
    <w:rsid w:val="00214B70"/>
    <w:rsid w:val="00217A61"/>
    <w:rsid w:val="00220CF1"/>
    <w:rsid w:val="002210CA"/>
    <w:rsid w:val="00222521"/>
    <w:rsid w:val="00223580"/>
    <w:rsid w:val="0022533F"/>
    <w:rsid w:val="00225EC6"/>
    <w:rsid w:val="00227440"/>
    <w:rsid w:val="00231746"/>
    <w:rsid w:val="0023405B"/>
    <w:rsid w:val="002358E0"/>
    <w:rsid w:val="00236174"/>
    <w:rsid w:val="0023716A"/>
    <w:rsid w:val="0023741D"/>
    <w:rsid w:val="002374A0"/>
    <w:rsid w:val="00240CE4"/>
    <w:rsid w:val="00243F86"/>
    <w:rsid w:val="00245565"/>
    <w:rsid w:val="00245A2C"/>
    <w:rsid w:val="00247C8E"/>
    <w:rsid w:val="00250421"/>
    <w:rsid w:val="00250F58"/>
    <w:rsid w:val="002518C5"/>
    <w:rsid w:val="00252720"/>
    <w:rsid w:val="00252EA2"/>
    <w:rsid w:val="00254AE2"/>
    <w:rsid w:val="0025574C"/>
    <w:rsid w:val="00261C92"/>
    <w:rsid w:val="002628B8"/>
    <w:rsid w:val="00263B36"/>
    <w:rsid w:val="0026778D"/>
    <w:rsid w:val="0027070D"/>
    <w:rsid w:val="00275333"/>
    <w:rsid w:val="00282294"/>
    <w:rsid w:val="00283F52"/>
    <w:rsid w:val="0028482A"/>
    <w:rsid w:val="002850C3"/>
    <w:rsid w:val="00291E8B"/>
    <w:rsid w:val="0029452F"/>
    <w:rsid w:val="0029620F"/>
    <w:rsid w:val="002970A8"/>
    <w:rsid w:val="002A1281"/>
    <w:rsid w:val="002A387C"/>
    <w:rsid w:val="002B39BA"/>
    <w:rsid w:val="002B6749"/>
    <w:rsid w:val="002B6AC2"/>
    <w:rsid w:val="002B7977"/>
    <w:rsid w:val="002B7D74"/>
    <w:rsid w:val="002B7D77"/>
    <w:rsid w:val="002C1DCA"/>
    <w:rsid w:val="002C3142"/>
    <w:rsid w:val="002C6E57"/>
    <w:rsid w:val="002C7DBD"/>
    <w:rsid w:val="002D13F7"/>
    <w:rsid w:val="002D5DE4"/>
    <w:rsid w:val="002D6252"/>
    <w:rsid w:val="002D665C"/>
    <w:rsid w:val="002E14A8"/>
    <w:rsid w:val="002E2A99"/>
    <w:rsid w:val="002E3507"/>
    <w:rsid w:val="002E3A40"/>
    <w:rsid w:val="002E3C9C"/>
    <w:rsid w:val="002E47B7"/>
    <w:rsid w:val="002E4D95"/>
    <w:rsid w:val="002F2A33"/>
    <w:rsid w:val="002F549D"/>
    <w:rsid w:val="002F6341"/>
    <w:rsid w:val="002F78F8"/>
    <w:rsid w:val="00300FEB"/>
    <w:rsid w:val="00301582"/>
    <w:rsid w:val="003022D9"/>
    <w:rsid w:val="0030511D"/>
    <w:rsid w:val="00305325"/>
    <w:rsid w:val="00305D4C"/>
    <w:rsid w:val="003063B7"/>
    <w:rsid w:val="00306D43"/>
    <w:rsid w:val="00311DB9"/>
    <w:rsid w:val="003126AC"/>
    <w:rsid w:val="0031278D"/>
    <w:rsid w:val="003127C7"/>
    <w:rsid w:val="00314259"/>
    <w:rsid w:val="00317BDD"/>
    <w:rsid w:val="00321B0E"/>
    <w:rsid w:val="003220F3"/>
    <w:rsid w:val="00322B6A"/>
    <w:rsid w:val="00324F07"/>
    <w:rsid w:val="00325EC1"/>
    <w:rsid w:val="003330B2"/>
    <w:rsid w:val="00334527"/>
    <w:rsid w:val="0033553C"/>
    <w:rsid w:val="00336137"/>
    <w:rsid w:val="003365C2"/>
    <w:rsid w:val="00337AC7"/>
    <w:rsid w:val="00344589"/>
    <w:rsid w:val="003451CC"/>
    <w:rsid w:val="0034695E"/>
    <w:rsid w:val="00347417"/>
    <w:rsid w:val="00350484"/>
    <w:rsid w:val="00357858"/>
    <w:rsid w:val="003619A1"/>
    <w:rsid w:val="00361AA1"/>
    <w:rsid w:val="00363BD4"/>
    <w:rsid w:val="0036428B"/>
    <w:rsid w:val="00365D40"/>
    <w:rsid w:val="00372B24"/>
    <w:rsid w:val="00373170"/>
    <w:rsid w:val="003761F4"/>
    <w:rsid w:val="003762D1"/>
    <w:rsid w:val="0037643E"/>
    <w:rsid w:val="00376F35"/>
    <w:rsid w:val="003771C8"/>
    <w:rsid w:val="00381B0D"/>
    <w:rsid w:val="00381EC8"/>
    <w:rsid w:val="0038756A"/>
    <w:rsid w:val="003914F4"/>
    <w:rsid w:val="00394784"/>
    <w:rsid w:val="00395524"/>
    <w:rsid w:val="003973E5"/>
    <w:rsid w:val="00397501"/>
    <w:rsid w:val="003A3E2E"/>
    <w:rsid w:val="003A4F26"/>
    <w:rsid w:val="003A5417"/>
    <w:rsid w:val="003A631A"/>
    <w:rsid w:val="003A6D75"/>
    <w:rsid w:val="003B210A"/>
    <w:rsid w:val="003B382E"/>
    <w:rsid w:val="003B5836"/>
    <w:rsid w:val="003C4FEA"/>
    <w:rsid w:val="003C5DB2"/>
    <w:rsid w:val="003C7F24"/>
    <w:rsid w:val="003D0027"/>
    <w:rsid w:val="003D292E"/>
    <w:rsid w:val="003D2A94"/>
    <w:rsid w:val="003E0405"/>
    <w:rsid w:val="003E0B8F"/>
    <w:rsid w:val="003E6350"/>
    <w:rsid w:val="003E685C"/>
    <w:rsid w:val="00403BE8"/>
    <w:rsid w:val="0040402C"/>
    <w:rsid w:val="00411DD6"/>
    <w:rsid w:val="00413C07"/>
    <w:rsid w:val="00413EB6"/>
    <w:rsid w:val="00417CC4"/>
    <w:rsid w:val="00420A15"/>
    <w:rsid w:val="00424CBB"/>
    <w:rsid w:val="00426007"/>
    <w:rsid w:val="004261B6"/>
    <w:rsid w:val="004267BC"/>
    <w:rsid w:val="00426AC9"/>
    <w:rsid w:val="004336C2"/>
    <w:rsid w:val="00433B70"/>
    <w:rsid w:val="00437CB6"/>
    <w:rsid w:val="004410AB"/>
    <w:rsid w:val="0044184F"/>
    <w:rsid w:val="00442AFF"/>
    <w:rsid w:val="00443697"/>
    <w:rsid w:val="00444A63"/>
    <w:rsid w:val="00445A4A"/>
    <w:rsid w:val="00446025"/>
    <w:rsid w:val="00451DF1"/>
    <w:rsid w:val="00454E3C"/>
    <w:rsid w:val="00455851"/>
    <w:rsid w:val="00456443"/>
    <w:rsid w:val="00457C4B"/>
    <w:rsid w:val="00461CFB"/>
    <w:rsid w:val="00464598"/>
    <w:rsid w:val="0046478D"/>
    <w:rsid w:val="004653B1"/>
    <w:rsid w:val="004657E4"/>
    <w:rsid w:val="0047081D"/>
    <w:rsid w:val="00471090"/>
    <w:rsid w:val="00471118"/>
    <w:rsid w:val="00471A49"/>
    <w:rsid w:val="00471E1C"/>
    <w:rsid w:val="00477E43"/>
    <w:rsid w:val="0048291A"/>
    <w:rsid w:val="00483635"/>
    <w:rsid w:val="00484F2D"/>
    <w:rsid w:val="00485706"/>
    <w:rsid w:val="00487260"/>
    <w:rsid w:val="004954D8"/>
    <w:rsid w:val="00495AF3"/>
    <w:rsid w:val="00495CF3"/>
    <w:rsid w:val="004A0A46"/>
    <w:rsid w:val="004A0F1C"/>
    <w:rsid w:val="004A59BB"/>
    <w:rsid w:val="004A6521"/>
    <w:rsid w:val="004A6CA4"/>
    <w:rsid w:val="004A7D31"/>
    <w:rsid w:val="004B02AA"/>
    <w:rsid w:val="004B040B"/>
    <w:rsid w:val="004B32FE"/>
    <w:rsid w:val="004B6302"/>
    <w:rsid w:val="004B6ACE"/>
    <w:rsid w:val="004B7675"/>
    <w:rsid w:val="004C08DB"/>
    <w:rsid w:val="004C1CB6"/>
    <w:rsid w:val="004C7016"/>
    <w:rsid w:val="004C76D5"/>
    <w:rsid w:val="004C7CE0"/>
    <w:rsid w:val="004D0C41"/>
    <w:rsid w:val="004D4F47"/>
    <w:rsid w:val="004D6F66"/>
    <w:rsid w:val="004D7FD8"/>
    <w:rsid w:val="004E327D"/>
    <w:rsid w:val="004E336A"/>
    <w:rsid w:val="004E3748"/>
    <w:rsid w:val="004E3B29"/>
    <w:rsid w:val="004E4C22"/>
    <w:rsid w:val="004E56EB"/>
    <w:rsid w:val="004E781D"/>
    <w:rsid w:val="004E7DD4"/>
    <w:rsid w:val="004F1E6C"/>
    <w:rsid w:val="004F5059"/>
    <w:rsid w:val="0050329C"/>
    <w:rsid w:val="00503EB7"/>
    <w:rsid w:val="005047A2"/>
    <w:rsid w:val="00505A59"/>
    <w:rsid w:val="0050685D"/>
    <w:rsid w:val="0051478C"/>
    <w:rsid w:val="00514B8E"/>
    <w:rsid w:val="0052076B"/>
    <w:rsid w:val="005228EF"/>
    <w:rsid w:val="00523E66"/>
    <w:rsid w:val="00525CED"/>
    <w:rsid w:val="005265AB"/>
    <w:rsid w:val="00526A33"/>
    <w:rsid w:val="00530A31"/>
    <w:rsid w:val="00531032"/>
    <w:rsid w:val="0053274A"/>
    <w:rsid w:val="00534BBA"/>
    <w:rsid w:val="00534CFA"/>
    <w:rsid w:val="00536EF5"/>
    <w:rsid w:val="005374D6"/>
    <w:rsid w:val="00537F3F"/>
    <w:rsid w:val="00540174"/>
    <w:rsid w:val="005441EC"/>
    <w:rsid w:val="00544AA8"/>
    <w:rsid w:val="00550365"/>
    <w:rsid w:val="0055361C"/>
    <w:rsid w:val="005545AA"/>
    <w:rsid w:val="00554611"/>
    <w:rsid w:val="005567D8"/>
    <w:rsid w:val="00560384"/>
    <w:rsid w:val="005604CE"/>
    <w:rsid w:val="00560733"/>
    <w:rsid w:val="0056161F"/>
    <w:rsid w:val="00561BD4"/>
    <w:rsid w:val="005624C6"/>
    <w:rsid w:val="00562A6E"/>
    <w:rsid w:val="00564CBB"/>
    <w:rsid w:val="00577419"/>
    <w:rsid w:val="00577B59"/>
    <w:rsid w:val="0058089B"/>
    <w:rsid w:val="0058546D"/>
    <w:rsid w:val="00585D16"/>
    <w:rsid w:val="00590B55"/>
    <w:rsid w:val="00591F80"/>
    <w:rsid w:val="00593927"/>
    <w:rsid w:val="005B5A8B"/>
    <w:rsid w:val="005B66B5"/>
    <w:rsid w:val="005C11A8"/>
    <w:rsid w:val="005C4773"/>
    <w:rsid w:val="005C4BDC"/>
    <w:rsid w:val="005C6777"/>
    <w:rsid w:val="005C79C8"/>
    <w:rsid w:val="005D01F2"/>
    <w:rsid w:val="005D1043"/>
    <w:rsid w:val="005D38EA"/>
    <w:rsid w:val="005E213A"/>
    <w:rsid w:val="005E5060"/>
    <w:rsid w:val="005E5557"/>
    <w:rsid w:val="005E6A50"/>
    <w:rsid w:val="005F0489"/>
    <w:rsid w:val="005F2DB2"/>
    <w:rsid w:val="005F596C"/>
    <w:rsid w:val="005F64C2"/>
    <w:rsid w:val="005F7A44"/>
    <w:rsid w:val="00600692"/>
    <w:rsid w:val="00601350"/>
    <w:rsid w:val="00601521"/>
    <w:rsid w:val="00601A74"/>
    <w:rsid w:val="00601F3A"/>
    <w:rsid w:val="00603FC7"/>
    <w:rsid w:val="00604190"/>
    <w:rsid w:val="00604281"/>
    <w:rsid w:val="006055C6"/>
    <w:rsid w:val="00605848"/>
    <w:rsid w:val="006073E2"/>
    <w:rsid w:val="00612264"/>
    <w:rsid w:val="00612DB9"/>
    <w:rsid w:val="006143DD"/>
    <w:rsid w:val="00614747"/>
    <w:rsid w:val="0061511E"/>
    <w:rsid w:val="00617048"/>
    <w:rsid w:val="00622C78"/>
    <w:rsid w:val="00624693"/>
    <w:rsid w:val="00624E93"/>
    <w:rsid w:val="00625E9D"/>
    <w:rsid w:val="00627FA0"/>
    <w:rsid w:val="0063216D"/>
    <w:rsid w:val="00634AFA"/>
    <w:rsid w:val="00635221"/>
    <w:rsid w:val="00635EBD"/>
    <w:rsid w:val="00636E95"/>
    <w:rsid w:val="00637A6B"/>
    <w:rsid w:val="00641970"/>
    <w:rsid w:val="00641F51"/>
    <w:rsid w:val="00641FC7"/>
    <w:rsid w:val="006444CF"/>
    <w:rsid w:val="00644C89"/>
    <w:rsid w:val="006467F4"/>
    <w:rsid w:val="006506A1"/>
    <w:rsid w:val="0065074C"/>
    <w:rsid w:val="00650DED"/>
    <w:rsid w:val="00655AC6"/>
    <w:rsid w:val="006571BA"/>
    <w:rsid w:val="00661A04"/>
    <w:rsid w:val="006623A4"/>
    <w:rsid w:val="00665AC2"/>
    <w:rsid w:val="00666120"/>
    <w:rsid w:val="00667837"/>
    <w:rsid w:val="00667D3A"/>
    <w:rsid w:val="00670738"/>
    <w:rsid w:val="00671299"/>
    <w:rsid w:val="00671DF6"/>
    <w:rsid w:val="00676111"/>
    <w:rsid w:val="00680542"/>
    <w:rsid w:val="006847E4"/>
    <w:rsid w:val="006867F5"/>
    <w:rsid w:val="00686FD8"/>
    <w:rsid w:val="0069124A"/>
    <w:rsid w:val="00692010"/>
    <w:rsid w:val="00692379"/>
    <w:rsid w:val="006927CC"/>
    <w:rsid w:val="0069301F"/>
    <w:rsid w:val="006935D8"/>
    <w:rsid w:val="00693B29"/>
    <w:rsid w:val="00694796"/>
    <w:rsid w:val="006947BD"/>
    <w:rsid w:val="006954EA"/>
    <w:rsid w:val="006A053E"/>
    <w:rsid w:val="006A16AF"/>
    <w:rsid w:val="006A319E"/>
    <w:rsid w:val="006A4733"/>
    <w:rsid w:val="006A5032"/>
    <w:rsid w:val="006A505C"/>
    <w:rsid w:val="006A5C8E"/>
    <w:rsid w:val="006B0A7C"/>
    <w:rsid w:val="006B645D"/>
    <w:rsid w:val="006B69B7"/>
    <w:rsid w:val="006B778B"/>
    <w:rsid w:val="006B7D71"/>
    <w:rsid w:val="006B7EBF"/>
    <w:rsid w:val="006C2638"/>
    <w:rsid w:val="006C2CF9"/>
    <w:rsid w:val="006C75AC"/>
    <w:rsid w:val="006D3947"/>
    <w:rsid w:val="006D47B3"/>
    <w:rsid w:val="006D5767"/>
    <w:rsid w:val="006D5D55"/>
    <w:rsid w:val="006E0872"/>
    <w:rsid w:val="006E25E9"/>
    <w:rsid w:val="006E3A7A"/>
    <w:rsid w:val="006E47D3"/>
    <w:rsid w:val="006E72AB"/>
    <w:rsid w:val="006E7735"/>
    <w:rsid w:val="006F0711"/>
    <w:rsid w:val="006F17D3"/>
    <w:rsid w:val="006F4F19"/>
    <w:rsid w:val="006F59FD"/>
    <w:rsid w:val="006F7E2D"/>
    <w:rsid w:val="00702DCE"/>
    <w:rsid w:val="0070314F"/>
    <w:rsid w:val="00705801"/>
    <w:rsid w:val="0070686A"/>
    <w:rsid w:val="007113CA"/>
    <w:rsid w:val="00713B2E"/>
    <w:rsid w:val="00715BE7"/>
    <w:rsid w:val="00715D45"/>
    <w:rsid w:val="0071755F"/>
    <w:rsid w:val="00717B67"/>
    <w:rsid w:val="007200DD"/>
    <w:rsid w:val="00722802"/>
    <w:rsid w:val="007233E7"/>
    <w:rsid w:val="00723C4C"/>
    <w:rsid w:val="00723FA0"/>
    <w:rsid w:val="007263E9"/>
    <w:rsid w:val="007303F7"/>
    <w:rsid w:val="007307F2"/>
    <w:rsid w:val="007309B5"/>
    <w:rsid w:val="00730AF7"/>
    <w:rsid w:val="00730C09"/>
    <w:rsid w:val="007315E5"/>
    <w:rsid w:val="00733B26"/>
    <w:rsid w:val="00736076"/>
    <w:rsid w:val="00736B45"/>
    <w:rsid w:val="007406DF"/>
    <w:rsid w:val="00740E22"/>
    <w:rsid w:val="0074595F"/>
    <w:rsid w:val="007479F9"/>
    <w:rsid w:val="00747E90"/>
    <w:rsid w:val="0075216E"/>
    <w:rsid w:val="00753319"/>
    <w:rsid w:val="00754091"/>
    <w:rsid w:val="007546BB"/>
    <w:rsid w:val="00757A5A"/>
    <w:rsid w:val="00757C85"/>
    <w:rsid w:val="00760822"/>
    <w:rsid w:val="00760B48"/>
    <w:rsid w:val="00765C15"/>
    <w:rsid w:val="00767073"/>
    <w:rsid w:val="00770D5B"/>
    <w:rsid w:val="007712E4"/>
    <w:rsid w:val="00771664"/>
    <w:rsid w:val="00775773"/>
    <w:rsid w:val="0077584A"/>
    <w:rsid w:val="00775A79"/>
    <w:rsid w:val="007830BD"/>
    <w:rsid w:val="00783225"/>
    <w:rsid w:val="0078340D"/>
    <w:rsid w:val="00783C82"/>
    <w:rsid w:val="00785220"/>
    <w:rsid w:val="00785540"/>
    <w:rsid w:val="00790531"/>
    <w:rsid w:val="007925D5"/>
    <w:rsid w:val="00792752"/>
    <w:rsid w:val="00792DBC"/>
    <w:rsid w:val="0079372E"/>
    <w:rsid w:val="007956D6"/>
    <w:rsid w:val="0079718E"/>
    <w:rsid w:val="007A1D2D"/>
    <w:rsid w:val="007A30B4"/>
    <w:rsid w:val="007A4297"/>
    <w:rsid w:val="007A4440"/>
    <w:rsid w:val="007A55C3"/>
    <w:rsid w:val="007A5C26"/>
    <w:rsid w:val="007B0F98"/>
    <w:rsid w:val="007B233F"/>
    <w:rsid w:val="007B3127"/>
    <w:rsid w:val="007B4623"/>
    <w:rsid w:val="007B53E4"/>
    <w:rsid w:val="007C26E5"/>
    <w:rsid w:val="007C362D"/>
    <w:rsid w:val="007D21AA"/>
    <w:rsid w:val="007D4B00"/>
    <w:rsid w:val="007D7B64"/>
    <w:rsid w:val="007E22FD"/>
    <w:rsid w:val="007E2AA6"/>
    <w:rsid w:val="007E2C67"/>
    <w:rsid w:val="007E4732"/>
    <w:rsid w:val="007E5818"/>
    <w:rsid w:val="007E6896"/>
    <w:rsid w:val="007E6AAA"/>
    <w:rsid w:val="007E7451"/>
    <w:rsid w:val="007E7579"/>
    <w:rsid w:val="007F3A69"/>
    <w:rsid w:val="007F595C"/>
    <w:rsid w:val="007F5C43"/>
    <w:rsid w:val="008005DB"/>
    <w:rsid w:val="00800BFB"/>
    <w:rsid w:val="00801C12"/>
    <w:rsid w:val="00804875"/>
    <w:rsid w:val="008126DD"/>
    <w:rsid w:val="00814B43"/>
    <w:rsid w:val="0081779D"/>
    <w:rsid w:val="00822FE7"/>
    <w:rsid w:val="0082314F"/>
    <w:rsid w:val="00823F6E"/>
    <w:rsid w:val="00825F66"/>
    <w:rsid w:val="00827520"/>
    <w:rsid w:val="008275E8"/>
    <w:rsid w:val="00840BFE"/>
    <w:rsid w:val="008421A7"/>
    <w:rsid w:val="00843BAF"/>
    <w:rsid w:val="00843D60"/>
    <w:rsid w:val="0084513E"/>
    <w:rsid w:val="00851BF3"/>
    <w:rsid w:val="0085364A"/>
    <w:rsid w:val="00856B1E"/>
    <w:rsid w:val="0086244A"/>
    <w:rsid w:val="00865815"/>
    <w:rsid w:val="00865F32"/>
    <w:rsid w:val="00873899"/>
    <w:rsid w:val="00882BD2"/>
    <w:rsid w:val="008842A1"/>
    <w:rsid w:val="00885124"/>
    <w:rsid w:val="008865EA"/>
    <w:rsid w:val="00886646"/>
    <w:rsid w:val="00886941"/>
    <w:rsid w:val="008900A8"/>
    <w:rsid w:val="00890F46"/>
    <w:rsid w:val="008A1144"/>
    <w:rsid w:val="008A1314"/>
    <w:rsid w:val="008A1CAA"/>
    <w:rsid w:val="008A2C16"/>
    <w:rsid w:val="008A3CBF"/>
    <w:rsid w:val="008A6477"/>
    <w:rsid w:val="008A7412"/>
    <w:rsid w:val="008B2F74"/>
    <w:rsid w:val="008B3D51"/>
    <w:rsid w:val="008B640D"/>
    <w:rsid w:val="008C0508"/>
    <w:rsid w:val="008C42AB"/>
    <w:rsid w:val="008C46D6"/>
    <w:rsid w:val="008C5248"/>
    <w:rsid w:val="008C60AA"/>
    <w:rsid w:val="008C6DD7"/>
    <w:rsid w:val="008C6E1B"/>
    <w:rsid w:val="008D24E1"/>
    <w:rsid w:val="008D4107"/>
    <w:rsid w:val="008D5BC5"/>
    <w:rsid w:val="008D6A22"/>
    <w:rsid w:val="008E0142"/>
    <w:rsid w:val="008E31DE"/>
    <w:rsid w:val="008E4420"/>
    <w:rsid w:val="008E4BD1"/>
    <w:rsid w:val="008E6FE7"/>
    <w:rsid w:val="008F038D"/>
    <w:rsid w:val="008F7A6F"/>
    <w:rsid w:val="00902772"/>
    <w:rsid w:val="00902C38"/>
    <w:rsid w:val="00903832"/>
    <w:rsid w:val="0090513B"/>
    <w:rsid w:val="0090679C"/>
    <w:rsid w:val="009102DA"/>
    <w:rsid w:val="00910F02"/>
    <w:rsid w:val="009139E7"/>
    <w:rsid w:val="00914BE7"/>
    <w:rsid w:val="009212AC"/>
    <w:rsid w:val="009245CF"/>
    <w:rsid w:val="00932D58"/>
    <w:rsid w:val="009372B7"/>
    <w:rsid w:val="00940638"/>
    <w:rsid w:val="00942E59"/>
    <w:rsid w:val="00943627"/>
    <w:rsid w:val="00943639"/>
    <w:rsid w:val="00943F00"/>
    <w:rsid w:val="009443C2"/>
    <w:rsid w:val="009449BF"/>
    <w:rsid w:val="00945ABA"/>
    <w:rsid w:val="00945BEA"/>
    <w:rsid w:val="009465AC"/>
    <w:rsid w:val="00951A0E"/>
    <w:rsid w:val="00951A4F"/>
    <w:rsid w:val="009533D5"/>
    <w:rsid w:val="00954671"/>
    <w:rsid w:val="009556A4"/>
    <w:rsid w:val="00961B0E"/>
    <w:rsid w:val="00967230"/>
    <w:rsid w:val="00967F44"/>
    <w:rsid w:val="0097046F"/>
    <w:rsid w:val="009712BA"/>
    <w:rsid w:val="009719BF"/>
    <w:rsid w:val="00980FE2"/>
    <w:rsid w:val="009831CF"/>
    <w:rsid w:val="009832F8"/>
    <w:rsid w:val="00983ABC"/>
    <w:rsid w:val="00984576"/>
    <w:rsid w:val="00985B3C"/>
    <w:rsid w:val="00985CD9"/>
    <w:rsid w:val="00990142"/>
    <w:rsid w:val="00991E47"/>
    <w:rsid w:val="00992E1C"/>
    <w:rsid w:val="00994187"/>
    <w:rsid w:val="009948C2"/>
    <w:rsid w:val="009973B7"/>
    <w:rsid w:val="00997D27"/>
    <w:rsid w:val="009A0BB2"/>
    <w:rsid w:val="009A33D2"/>
    <w:rsid w:val="009A3F93"/>
    <w:rsid w:val="009A4E0D"/>
    <w:rsid w:val="009A4FC9"/>
    <w:rsid w:val="009A5CFC"/>
    <w:rsid w:val="009A7B12"/>
    <w:rsid w:val="009A7E36"/>
    <w:rsid w:val="009B2CDE"/>
    <w:rsid w:val="009B395A"/>
    <w:rsid w:val="009B3FE9"/>
    <w:rsid w:val="009B4921"/>
    <w:rsid w:val="009B735A"/>
    <w:rsid w:val="009C015E"/>
    <w:rsid w:val="009C2E1B"/>
    <w:rsid w:val="009C3572"/>
    <w:rsid w:val="009C37DB"/>
    <w:rsid w:val="009C3B4C"/>
    <w:rsid w:val="009C5614"/>
    <w:rsid w:val="009C5FA6"/>
    <w:rsid w:val="009D3FBD"/>
    <w:rsid w:val="009D72C9"/>
    <w:rsid w:val="009E17A7"/>
    <w:rsid w:val="009E318B"/>
    <w:rsid w:val="009E3202"/>
    <w:rsid w:val="009E6CD2"/>
    <w:rsid w:val="009F11A7"/>
    <w:rsid w:val="009F2AFB"/>
    <w:rsid w:val="009F32D3"/>
    <w:rsid w:val="009F463B"/>
    <w:rsid w:val="009F5825"/>
    <w:rsid w:val="009F7151"/>
    <w:rsid w:val="009F772A"/>
    <w:rsid w:val="009F7CF2"/>
    <w:rsid w:val="00A0020A"/>
    <w:rsid w:val="00A01641"/>
    <w:rsid w:val="00A0207F"/>
    <w:rsid w:val="00A02612"/>
    <w:rsid w:val="00A037E4"/>
    <w:rsid w:val="00A043F7"/>
    <w:rsid w:val="00A067FC"/>
    <w:rsid w:val="00A10D51"/>
    <w:rsid w:val="00A12DFA"/>
    <w:rsid w:val="00A17628"/>
    <w:rsid w:val="00A1789A"/>
    <w:rsid w:val="00A20463"/>
    <w:rsid w:val="00A21558"/>
    <w:rsid w:val="00A22BF7"/>
    <w:rsid w:val="00A25B5F"/>
    <w:rsid w:val="00A27D0A"/>
    <w:rsid w:val="00A319D9"/>
    <w:rsid w:val="00A32160"/>
    <w:rsid w:val="00A3491E"/>
    <w:rsid w:val="00A37DE7"/>
    <w:rsid w:val="00A420C8"/>
    <w:rsid w:val="00A42B52"/>
    <w:rsid w:val="00A42B95"/>
    <w:rsid w:val="00A468B9"/>
    <w:rsid w:val="00A50D6E"/>
    <w:rsid w:val="00A52392"/>
    <w:rsid w:val="00A54670"/>
    <w:rsid w:val="00A54E73"/>
    <w:rsid w:val="00A5567C"/>
    <w:rsid w:val="00A55690"/>
    <w:rsid w:val="00A57E03"/>
    <w:rsid w:val="00A60158"/>
    <w:rsid w:val="00A658AD"/>
    <w:rsid w:val="00A67A93"/>
    <w:rsid w:val="00A7083A"/>
    <w:rsid w:val="00A721EC"/>
    <w:rsid w:val="00A74888"/>
    <w:rsid w:val="00A77978"/>
    <w:rsid w:val="00A844B2"/>
    <w:rsid w:val="00A85FE5"/>
    <w:rsid w:val="00A86600"/>
    <w:rsid w:val="00A87A50"/>
    <w:rsid w:val="00A9456F"/>
    <w:rsid w:val="00A94F0C"/>
    <w:rsid w:val="00A95EA4"/>
    <w:rsid w:val="00A962AC"/>
    <w:rsid w:val="00A9666C"/>
    <w:rsid w:val="00AA1668"/>
    <w:rsid w:val="00AA4931"/>
    <w:rsid w:val="00AA5891"/>
    <w:rsid w:val="00AA6156"/>
    <w:rsid w:val="00AA6F21"/>
    <w:rsid w:val="00AA79D9"/>
    <w:rsid w:val="00AB28AC"/>
    <w:rsid w:val="00AB4079"/>
    <w:rsid w:val="00AB4ACE"/>
    <w:rsid w:val="00AB52D5"/>
    <w:rsid w:val="00AB5FA8"/>
    <w:rsid w:val="00AC2E48"/>
    <w:rsid w:val="00AC4136"/>
    <w:rsid w:val="00AC4BA0"/>
    <w:rsid w:val="00AC5E81"/>
    <w:rsid w:val="00AC6FFB"/>
    <w:rsid w:val="00AD0616"/>
    <w:rsid w:val="00AD2487"/>
    <w:rsid w:val="00AD3394"/>
    <w:rsid w:val="00AD3A5E"/>
    <w:rsid w:val="00AD3B69"/>
    <w:rsid w:val="00AD4A72"/>
    <w:rsid w:val="00AD5F17"/>
    <w:rsid w:val="00AD6250"/>
    <w:rsid w:val="00AD63E6"/>
    <w:rsid w:val="00AE1A5C"/>
    <w:rsid w:val="00AE402C"/>
    <w:rsid w:val="00AE46A2"/>
    <w:rsid w:val="00AF0D15"/>
    <w:rsid w:val="00AF15F1"/>
    <w:rsid w:val="00AF21CD"/>
    <w:rsid w:val="00AF7110"/>
    <w:rsid w:val="00AF76A6"/>
    <w:rsid w:val="00AF7BDC"/>
    <w:rsid w:val="00B007B1"/>
    <w:rsid w:val="00B0199B"/>
    <w:rsid w:val="00B01B63"/>
    <w:rsid w:val="00B034C0"/>
    <w:rsid w:val="00B04622"/>
    <w:rsid w:val="00B05BDA"/>
    <w:rsid w:val="00B07A93"/>
    <w:rsid w:val="00B11986"/>
    <w:rsid w:val="00B128F8"/>
    <w:rsid w:val="00B1338F"/>
    <w:rsid w:val="00B20415"/>
    <w:rsid w:val="00B21B48"/>
    <w:rsid w:val="00B22F3A"/>
    <w:rsid w:val="00B261CF"/>
    <w:rsid w:val="00B269B3"/>
    <w:rsid w:val="00B270B0"/>
    <w:rsid w:val="00B312C0"/>
    <w:rsid w:val="00B314B2"/>
    <w:rsid w:val="00B31A78"/>
    <w:rsid w:val="00B32A02"/>
    <w:rsid w:val="00B352D0"/>
    <w:rsid w:val="00B35AB6"/>
    <w:rsid w:val="00B36A4A"/>
    <w:rsid w:val="00B379BA"/>
    <w:rsid w:val="00B401E5"/>
    <w:rsid w:val="00B402FC"/>
    <w:rsid w:val="00B42528"/>
    <w:rsid w:val="00B43119"/>
    <w:rsid w:val="00B4517B"/>
    <w:rsid w:val="00B52185"/>
    <w:rsid w:val="00B533DB"/>
    <w:rsid w:val="00B55038"/>
    <w:rsid w:val="00B566B3"/>
    <w:rsid w:val="00B576C0"/>
    <w:rsid w:val="00B60796"/>
    <w:rsid w:val="00B60C0B"/>
    <w:rsid w:val="00B615D8"/>
    <w:rsid w:val="00B616CE"/>
    <w:rsid w:val="00B62D5E"/>
    <w:rsid w:val="00B6415C"/>
    <w:rsid w:val="00B65127"/>
    <w:rsid w:val="00B654D2"/>
    <w:rsid w:val="00B662A7"/>
    <w:rsid w:val="00B67131"/>
    <w:rsid w:val="00B719E7"/>
    <w:rsid w:val="00B72A05"/>
    <w:rsid w:val="00B72D14"/>
    <w:rsid w:val="00B741A6"/>
    <w:rsid w:val="00B75CCB"/>
    <w:rsid w:val="00B77221"/>
    <w:rsid w:val="00B77E87"/>
    <w:rsid w:val="00B808F6"/>
    <w:rsid w:val="00B82974"/>
    <w:rsid w:val="00B8425A"/>
    <w:rsid w:val="00B855CD"/>
    <w:rsid w:val="00B8760A"/>
    <w:rsid w:val="00B87F7D"/>
    <w:rsid w:val="00B90EB5"/>
    <w:rsid w:val="00B91714"/>
    <w:rsid w:val="00B9230B"/>
    <w:rsid w:val="00B92A90"/>
    <w:rsid w:val="00B92CBB"/>
    <w:rsid w:val="00B9668B"/>
    <w:rsid w:val="00B969F3"/>
    <w:rsid w:val="00B96FE5"/>
    <w:rsid w:val="00B97102"/>
    <w:rsid w:val="00B97985"/>
    <w:rsid w:val="00B97FE7"/>
    <w:rsid w:val="00BA2486"/>
    <w:rsid w:val="00BA3C3F"/>
    <w:rsid w:val="00BA4D60"/>
    <w:rsid w:val="00BA5592"/>
    <w:rsid w:val="00BA7143"/>
    <w:rsid w:val="00BB4AAE"/>
    <w:rsid w:val="00BB5232"/>
    <w:rsid w:val="00BB56E9"/>
    <w:rsid w:val="00BC1998"/>
    <w:rsid w:val="00BC251F"/>
    <w:rsid w:val="00BC2A6B"/>
    <w:rsid w:val="00BC75AC"/>
    <w:rsid w:val="00BC7716"/>
    <w:rsid w:val="00BD03C9"/>
    <w:rsid w:val="00BD1DE4"/>
    <w:rsid w:val="00BD2C09"/>
    <w:rsid w:val="00BD42AF"/>
    <w:rsid w:val="00BD4408"/>
    <w:rsid w:val="00BD448A"/>
    <w:rsid w:val="00BD7F18"/>
    <w:rsid w:val="00BE13F6"/>
    <w:rsid w:val="00BE18F8"/>
    <w:rsid w:val="00BE1E16"/>
    <w:rsid w:val="00BE204F"/>
    <w:rsid w:val="00BE2DDD"/>
    <w:rsid w:val="00BE31AE"/>
    <w:rsid w:val="00BE4387"/>
    <w:rsid w:val="00BE48C3"/>
    <w:rsid w:val="00BE6A20"/>
    <w:rsid w:val="00BE7709"/>
    <w:rsid w:val="00BF4917"/>
    <w:rsid w:val="00BF5502"/>
    <w:rsid w:val="00BF6EAC"/>
    <w:rsid w:val="00BF7DEB"/>
    <w:rsid w:val="00C007DC"/>
    <w:rsid w:val="00C00D53"/>
    <w:rsid w:val="00C0349E"/>
    <w:rsid w:val="00C057AF"/>
    <w:rsid w:val="00C067E6"/>
    <w:rsid w:val="00C07453"/>
    <w:rsid w:val="00C10524"/>
    <w:rsid w:val="00C1065A"/>
    <w:rsid w:val="00C13BE1"/>
    <w:rsid w:val="00C140A3"/>
    <w:rsid w:val="00C23D4D"/>
    <w:rsid w:val="00C31BED"/>
    <w:rsid w:val="00C324E7"/>
    <w:rsid w:val="00C32681"/>
    <w:rsid w:val="00C32E55"/>
    <w:rsid w:val="00C32FD1"/>
    <w:rsid w:val="00C35089"/>
    <w:rsid w:val="00C3703A"/>
    <w:rsid w:val="00C43440"/>
    <w:rsid w:val="00C44209"/>
    <w:rsid w:val="00C45975"/>
    <w:rsid w:val="00C50C0D"/>
    <w:rsid w:val="00C51CAA"/>
    <w:rsid w:val="00C54346"/>
    <w:rsid w:val="00C5544E"/>
    <w:rsid w:val="00C55EB5"/>
    <w:rsid w:val="00C607E6"/>
    <w:rsid w:val="00C61454"/>
    <w:rsid w:val="00C658B7"/>
    <w:rsid w:val="00C6672C"/>
    <w:rsid w:val="00C66A1D"/>
    <w:rsid w:val="00C66F03"/>
    <w:rsid w:val="00C67388"/>
    <w:rsid w:val="00C70609"/>
    <w:rsid w:val="00C754A6"/>
    <w:rsid w:val="00C766B3"/>
    <w:rsid w:val="00C77A6A"/>
    <w:rsid w:val="00C809D8"/>
    <w:rsid w:val="00C817BF"/>
    <w:rsid w:val="00C81F4B"/>
    <w:rsid w:val="00C8277B"/>
    <w:rsid w:val="00C82C3E"/>
    <w:rsid w:val="00C86096"/>
    <w:rsid w:val="00C90E76"/>
    <w:rsid w:val="00C924DB"/>
    <w:rsid w:val="00C9427F"/>
    <w:rsid w:val="00C96AEB"/>
    <w:rsid w:val="00C97395"/>
    <w:rsid w:val="00CA1596"/>
    <w:rsid w:val="00CA631E"/>
    <w:rsid w:val="00CB01B7"/>
    <w:rsid w:val="00CB22E2"/>
    <w:rsid w:val="00CB3177"/>
    <w:rsid w:val="00CB3B69"/>
    <w:rsid w:val="00CB4D14"/>
    <w:rsid w:val="00CB524A"/>
    <w:rsid w:val="00CB5F3A"/>
    <w:rsid w:val="00CB72AC"/>
    <w:rsid w:val="00CC0AEF"/>
    <w:rsid w:val="00CC331F"/>
    <w:rsid w:val="00CC39CB"/>
    <w:rsid w:val="00CC6759"/>
    <w:rsid w:val="00CD0DB9"/>
    <w:rsid w:val="00CD0E63"/>
    <w:rsid w:val="00CD4E4E"/>
    <w:rsid w:val="00CD5343"/>
    <w:rsid w:val="00CD5E0B"/>
    <w:rsid w:val="00CD69F2"/>
    <w:rsid w:val="00CD7080"/>
    <w:rsid w:val="00CD7E53"/>
    <w:rsid w:val="00CE08AE"/>
    <w:rsid w:val="00CE2A8D"/>
    <w:rsid w:val="00CE43CB"/>
    <w:rsid w:val="00CE5C8A"/>
    <w:rsid w:val="00CF0407"/>
    <w:rsid w:val="00CF0D09"/>
    <w:rsid w:val="00CF5DAA"/>
    <w:rsid w:val="00CF65D6"/>
    <w:rsid w:val="00D007D6"/>
    <w:rsid w:val="00D01D08"/>
    <w:rsid w:val="00D02047"/>
    <w:rsid w:val="00D024F7"/>
    <w:rsid w:val="00D0258F"/>
    <w:rsid w:val="00D05DA5"/>
    <w:rsid w:val="00D07100"/>
    <w:rsid w:val="00D07A37"/>
    <w:rsid w:val="00D10D3D"/>
    <w:rsid w:val="00D120D2"/>
    <w:rsid w:val="00D148CF"/>
    <w:rsid w:val="00D15BDE"/>
    <w:rsid w:val="00D16276"/>
    <w:rsid w:val="00D17C0F"/>
    <w:rsid w:val="00D17CE2"/>
    <w:rsid w:val="00D17F8D"/>
    <w:rsid w:val="00D2155E"/>
    <w:rsid w:val="00D27FBA"/>
    <w:rsid w:val="00D31A98"/>
    <w:rsid w:val="00D37B30"/>
    <w:rsid w:val="00D4150A"/>
    <w:rsid w:val="00D43F7C"/>
    <w:rsid w:val="00D45BAE"/>
    <w:rsid w:val="00D45D38"/>
    <w:rsid w:val="00D46FBE"/>
    <w:rsid w:val="00D505D5"/>
    <w:rsid w:val="00D50A84"/>
    <w:rsid w:val="00D51E6D"/>
    <w:rsid w:val="00D523C4"/>
    <w:rsid w:val="00D55A5D"/>
    <w:rsid w:val="00D55AF2"/>
    <w:rsid w:val="00D576DA"/>
    <w:rsid w:val="00D601C4"/>
    <w:rsid w:val="00D60E8B"/>
    <w:rsid w:val="00D61D2F"/>
    <w:rsid w:val="00D63F1D"/>
    <w:rsid w:val="00D643BB"/>
    <w:rsid w:val="00D72A8C"/>
    <w:rsid w:val="00D75DF4"/>
    <w:rsid w:val="00D77AF2"/>
    <w:rsid w:val="00D8166C"/>
    <w:rsid w:val="00D830CF"/>
    <w:rsid w:val="00D83880"/>
    <w:rsid w:val="00D83A85"/>
    <w:rsid w:val="00D83E6C"/>
    <w:rsid w:val="00D85ADC"/>
    <w:rsid w:val="00D8668F"/>
    <w:rsid w:val="00D86A4A"/>
    <w:rsid w:val="00D86ADB"/>
    <w:rsid w:val="00D90CFA"/>
    <w:rsid w:val="00D933AA"/>
    <w:rsid w:val="00D94977"/>
    <w:rsid w:val="00D957FA"/>
    <w:rsid w:val="00D97ADF"/>
    <w:rsid w:val="00DA15EC"/>
    <w:rsid w:val="00DA1AA6"/>
    <w:rsid w:val="00DA396D"/>
    <w:rsid w:val="00DA3D6E"/>
    <w:rsid w:val="00DA5342"/>
    <w:rsid w:val="00DA6C63"/>
    <w:rsid w:val="00DA74D8"/>
    <w:rsid w:val="00DA7507"/>
    <w:rsid w:val="00DB2FEA"/>
    <w:rsid w:val="00DB369D"/>
    <w:rsid w:val="00DB5B29"/>
    <w:rsid w:val="00DB6DEE"/>
    <w:rsid w:val="00DB7ABA"/>
    <w:rsid w:val="00DB7B3B"/>
    <w:rsid w:val="00DC3B1D"/>
    <w:rsid w:val="00DC420C"/>
    <w:rsid w:val="00DC46D4"/>
    <w:rsid w:val="00DC5185"/>
    <w:rsid w:val="00DC5726"/>
    <w:rsid w:val="00DC5E78"/>
    <w:rsid w:val="00DD01C3"/>
    <w:rsid w:val="00DD09DC"/>
    <w:rsid w:val="00DD0E11"/>
    <w:rsid w:val="00DD2239"/>
    <w:rsid w:val="00DD3F30"/>
    <w:rsid w:val="00DD60EC"/>
    <w:rsid w:val="00DD782E"/>
    <w:rsid w:val="00DE171E"/>
    <w:rsid w:val="00DE18A8"/>
    <w:rsid w:val="00DE1E3F"/>
    <w:rsid w:val="00DE49D4"/>
    <w:rsid w:val="00DE6538"/>
    <w:rsid w:val="00DE75AA"/>
    <w:rsid w:val="00DE7DBA"/>
    <w:rsid w:val="00DF0FF1"/>
    <w:rsid w:val="00DF1145"/>
    <w:rsid w:val="00DF2958"/>
    <w:rsid w:val="00DF588E"/>
    <w:rsid w:val="00E00DC4"/>
    <w:rsid w:val="00E013DF"/>
    <w:rsid w:val="00E03CF2"/>
    <w:rsid w:val="00E0485D"/>
    <w:rsid w:val="00E054E3"/>
    <w:rsid w:val="00E10123"/>
    <w:rsid w:val="00E10A7A"/>
    <w:rsid w:val="00E10CFD"/>
    <w:rsid w:val="00E10E38"/>
    <w:rsid w:val="00E10E7F"/>
    <w:rsid w:val="00E11BDF"/>
    <w:rsid w:val="00E13706"/>
    <w:rsid w:val="00E150F3"/>
    <w:rsid w:val="00E15C2D"/>
    <w:rsid w:val="00E17D28"/>
    <w:rsid w:val="00E22235"/>
    <w:rsid w:val="00E267A2"/>
    <w:rsid w:val="00E26B7D"/>
    <w:rsid w:val="00E32AD2"/>
    <w:rsid w:val="00E339C4"/>
    <w:rsid w:val="00E3608F"/>
    <w:rsid w:val="00E3622A"/>
    <w:rsid w:val="00E36B6F"/>
    <w:rsid w:val="00E373B8"/>
    <w:rsid w:val="00E37E1D"/>
    <w:rsid w:val="00E4106A"/>
    <w:rsid w:val="00E42038"/>
    <w:rsid w:val="00E45FD1"/>
    <w:rsid w:val="00E479EB"/>
    <w:rsid w:val="00E50373"/>
    <w:rsid w:val="00E5135F"/>
    <w:rsid w:val="00E52538"/>
    <w:rsid w:val="00E5288D"/>
    <w:rsid w:val="00E6153E"/>
    <w:rsid w:val="00E6382F"/>
    <w:rsid w:val="00E66C2F"/>
    <w:rsid w:val="00E67155"/>
    <w:rsid w:val="00E72234"/>
    <w:rsid w:val="00E73B42"/>
    <w:rsid w:val="00E7429C"/>
    <w:rsid w:val="00E7572F"/>
    <w:rsid w:val="00E7701C"/>
    <w:rsid w:val="00E77981"/>
    <w:rsid w:val="00E80ED5"/>
    <w:rsid w:val="00E81D0A"/>
    <w:rsid w:val="00E8476D"/>
    <w:rsid w:val="00E848CA"/>
    <w:rsid w:val="00E84E29"/>
    <w:rsid w:val="00E84E67"/>
    <w:rsid w:val="00E858D7"/>
    <w:rsid w:val="00E95D6C"/>
    <w:rsid w:val="00E95FAE"/>
    <w:rsid w:val="00E97F78"/>
    <w:rsid w:val="00EA091E"/>
    <w:rsid w:val="00EA2305"/>
    <w:rsid w:val="00EA2D61"/>
    <w:rsid w:val="00EA47C0"/>
    <w:rsid w:val="00EA671B"/>
    <w:rsid w:val="00EA7F36"/>
    <w:rsid w:val="00EB1891"/>
    <w:rsid w:val="00EB2377"/>
    <w:rsid w:val="00EB26E3"/>
    <w:rsid w:val="00EB4CBB"/>
    <w:rsid w:val="00EB5880"/>
    <w:rsid w:val="00EB6766"/>
    <w:rsid w:val="00EB71F4"/>
    <w:rsid w:val="00EC0BE9"/>
    <w:rsid w:val="00EC1A41"/>
    <w:rsid w:val="00EC310D"/>
    <w:rsid w:val="00EC337F"/>
    <w:rsid w:val="00EC3D6C"/>
    <w:rsid w:val="00ED12B0"/>
    <w:rsid w:val="00ED3F55"/>
    <w:rsid w:val="00ED4FE7"/>
    <w:rsid w:val="00ED6405"/>
    <w:rsid w:val="00ED7773"/>
    <w:rsid w:val="00EE0871"/>
    <w:rsid w:val="00EE08B6"/>
    <w:rsid w:val="00EE1E58"/>
    <w:rsid w:val="00EE562C"/>
    <w:rsid w:val="00EE68A1"/>
    <w:rsid w:val="00EE6934"/>
    <w:rsid w:val="00EF0AE7"/>
    <w:rsid w:val="00EF0BFF"/>
    <w:rsid w:val="00EF0C8E"/>
    <w:rsid w:val="00EF1914"/>
    <w:rsid w:val="00EF3ED0"/>
    <w:rsid w:val="00F029B5"/>
    <w:rsid w:val="00F02C75"/>
    <w:rsid w:val="00F0657D"/>
    <w:rsid w:val="00F06724"/>
    <w:rsid w:val="00F07598"/>
    <w:rsid w:val="00F077C7"/>
    <w:rsid w:val="00F11576"/>
    <w:rsid w:val="00F12384"/>
    <w:rsid w:val="00F1449F"/>
    <w:rsid w:val="00F1514A"/>
    <w:rsid w:val="00F1598D"/>
    <w:rsid w:val="00F17372"/>
    <w:rsid w:val="00F17AEF"/>
    <w:rsid w:val="00F2046E"/>
    <w:rsid w:val="00F2073F"/>
    <w:rsid w:val="00F209EB"/>
    <w:rsid w:val="00F22B29"/>
    <w:rsid w:val="00F2397B"/>
    <w:rsid w:val="00F244EF"/>
    <w:rsid w:val="00F24E81"/>
    <w:rsid w:val="00F2797A"/>
    <w:rsid w:val="00F30754"/>
    <w:rsid w:val="00F31C5B"/>
    <w:rsid w:val="00F3288A"/>
    <w:rsid w:val="00F32959"/>
    <w:rsid w:val="00F3422F"/>
    <w:rsid w:val="00F4666B"/>
    <w:rsid w:val="00F46B8E"/>
    <w:rsid w:val="00F478D8"/>
    <w:rsid w:val="00F52157"/>
    <w:rsid w:val="00F528CA"/>
    <w:rsid w:val="00F530C1"/>
    <w:rsid w:val="00F56AED"/>
    <w:rsid w:val="00F60A23"/>
    <w:rsid w:val="00F65779"/>
    <w:rsid w:val="00F659EF"/>
    <w:rsid w:val="00F66AEC"/>
    <w:rsid w:val="00F66E07"/>
    <w:rsid w:val="00F71336"/>
    <w:rsid w:val="00F71F86"/>
    <w:rsid w:val="00F72E79"/>
    <w:rsid w:val="00F7605D"/>
    <w:rsid w:val="00F85DE3"/>
    <w:rsid w:val="00F87A25"/>
    <w:rsid w:val="00F934E1"/>
    <w:rsid w:val="00F93CDB"/>
    <w:rsid w:val="00F95A01"/>
    <w:rsid w:val="00F9652C"/>
    <w:rsid w:val="00FA0C5E"/>
    <w:rsid w:val="00FA1A22"/>
    <w:rsid w:val="00FA391E"/>
    <w:rsid w:val="00FA3BF0"/>
    <w:rsid w:val="00FA63A3"/>
    <w:rsid w:val="00FA7B2C"/>
    <w:rsid w:val="00FB44B7"/>
    <w:rsid w:val="00FB4AD0"/>
    <w:rsid w:val="00FB53EC"/>
    <w:rsid w:val="00FB6667"/>
    <w:rsid w:val="00FB67D9"/>
    <w:rsid w:val="00FC055B"/>
    <w:rsid w:val="00FC05A5"/>
    <w:rsid w:val="00FC0664"/>
    <w:rsid w:val="00FC23DA"/>
    <w:rsid w:val="00FC253C"/>
    <w:rsid w:val="00FC279E"/>
    <w:rsid w:val="00FC2F60"/>
    <w:rsid w:val="00FC65C4"/>
    <w:rsid w:val="00FC7F99"/>
    <w:rsid w:val="00FD0A62"/>
    <w:rsid w:val="00FD26B4"/>
    <w:rsid w:val="00FD3032"/>
    <w:rsid w:val="00FD4ECE"/>
    <w:rsid w:val="00FD4F4B"/>
    <w:rsid w:val="00FE09E1"/>
    <w:rsid w:val="00FE1307"/>
    <w:rsid w:val="00FE1BB3"/>
    <w:rsid w:val="00FE24A1"/>
    <w:rsid w:val="00FE34E3"/>
    <w:rsid w:val="00FE35BB"/>
    <w:rsid w:val="00FE575B"/>
    <w:rsid w:val="00FE79DF"/>
    <w:rsid w:val="00FF157B"/>
    <w:rsid w:val="00FF1C4B"/>
    <w:rsid w:val="00FF4134"/>
    <w:rsid w:val="00FF4CED"/>
    <w:rsid w:val="00FF627D"/>
    <w:rsid w:val="00FF6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ED"/>
    <w:rPr>
      <w:lang w:eastAsia="en-US"/>
    </w:rPr>
  </w:style>
  <w:style w:type="paragraph" w:styleId="Heading1">
    <w:name w:val="heading 1"/>
    <w:basedOn w:val="Normal"/>
    <w:next w:val="Normal"/>
    <w:link w:val="Heading1Char"/>
    <w:qFormat/>
    <w:rsid w:val="00525CED"/>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525CED"/>
    <w:pPr>
      <w:spacing w:after="240"/>
    </w:pPr>
    <w:rPr>
      <w:sz w:val="24"/>
    </w:rPr>
  </w:style>
  <w:style w:type="paragraph" w:styleId="Footer">
    <w:name w:val="footer"/>
    <w:basedOn w:val="Normal"/>
    <w:rsid w:val="00525CED"/>
    <w:pPr>
      <w:tabs>
        <w:tab w:val="center" w:pos="4320"/>
        <w:tab w:val="right" w:pos="8640"/>
      </w:tabs>
    </w:pPr>
    <w:rPr>
      <w:sz w:val="24"/>
    </w:rPr>
  </w:style>
  <w:style w:type="paragraph" w:styleId="Header">
    <w:name w:val="header"/>
    <w:basedOn w:val="Normal"/>
    <w:semiHidden/>
    <w:rsid w:val="00525CED"/>
    <w:pPr>
      <w:tabs>
        <w:tab w:val="center" w:pos="4320"/>
        <w:tab w:val="left" w:pos="7200"/>
      </w:tabs>
    </w:pPr>
    <w:rPr>
      <w:sz w:val="22"/>
    </w:rPr>
  </w:style>
  <w:style w:type="paragraph" w:customStyle="1" w:styleId="Formletterhead">
    <w:name w:val="Form: letterhead"/>
    <w:basedOn w:val="Referencestyle"/>
    <w:rsid w:val="00525CED"/>
    <w:pPr>
      <w:tabs>
        <w:tab w:val="left" w:pos="5130"/>
        <w:tab w:val="left" w:pos="7290"/>
      </w:tabs>
      <w:ind w:left="180"/>
    </w:pPr>
    <w:rPr>
      <w:rFonts w:ascii="Arial" w:hAnsi="Arial"/>
      <w:sz w:val="28"/>
    </w:rPr>
  </w:style>
  <w:style w:type="paragraph" w:customStyle="1" w:styleId="Referencestyle">
    <w:name w:val="Reference style"/>
    <w:basedOn w:val="Normal"/>
    <w:rsid w:val="00525CED"/>
    <w:rPr>
      <w:sz w:val="24"/>
    </w:rPr>
  </w:style>
  <w:style w:type="paragraph" w:customStyle="1" w:styleId="Letdate">
    <w:name w:val="Let: date"/>
    <w:basedOn w:val="Referencestyle"/>
    <w:rsid w:val="00525CED"/>
    <w:pPr>
      <w:tabs>
        <w:tab w:val="left" w:pos="5400"/>
        <w:tab w:val="left" w:pos="7200"/>
      </w:tabs>
    </w:pPr>
  </w:style>
  <w:style w:type="paragraph" w:customStyle="1" w:styleId="Letaddressee">
    <w:name w:val="Let: addressee"/>
    <w:basedOn w:val="Referencestyle"/>
    <w:rsid w:val="00525CED"/>
    <w:pPr>
      <w:tabs>
        <w:tab w:val="left" w:pos="5400"/>
        <w:tab w:val="left" w:pos="7200"/>
      </w:tabs>
    </w:pPr>
  </w:style>
  <w:style w:type="paragraph" w:customStyle="1" w:styleId="Letdear">
    <w:name w:val="Let: dear"/>
    <w:basedOn w:val="Referencestyle"/>
    <w:rsid w:val="00525CED"/>
    <w:pPr>
      <w:tabs>
        <w:tab w:val="left" w:pos="5400"/>
        <w:tab w:val="left" w:pos="7200"/>
      </w:tabs>
    </w:pPr>
  </w:style>
  <w:style w:type="paragraph" w:customStyle="1" w:styleId="Letsincerely">
    <w:name w:val="Let: sincerely"/>
    <w:basedOn w:val="Referencestyle"/>
    <w:rsid w:val="00525CED"/>
    <w:pPr>
      <w:tabs>
        <w:tab w:val="left" w:pos="5400"/>
        <w:tab w:val="left" w:pos="7200"/>
      </w:tabs>
    </w:pPr>
  </w:style>
  <w:style w:type="paragraph" w:customStyle="1" w:styleId="Letsender">
    <w:name w:val="Let: sender"/>
    <w:basedOn w:val="Referencestyle"/>
    <w:rsid w:val="00525CED"/>
    <w:pPr>
      <w:tabs>
        <w:tab w:val="left" w:pos="5400"/>
        <w:tab w:val="left" w:pos="7200"/>
      </w:tabs>
    </w:pPr>
  </w:style>
  <w:style w:type="paragraph" w:customStyle="1" w:styleId="Style9">
    <w:name w:val="Style 9"/>
    <w:basedOn w:val="Normal"/>
    <w:rsid w:val="00B42528"/>
    <w:pPr>
      <w:widowControl w:val="0"/>
      <w:autoSpaceDE w:val="0"/>
      <w:autoSpaceDN w:val="0"/>
      <w:spacing w:line="480" w:lineRule="auto"/>
      <w:jc w:val="center"/>
    </w:pPr>
    <w:rPr>
      <w:sz w:val="24"/>
      <w:szCs w:val="24"/>
    </w:rPr>
  </w:style>
  <w:style w:type="character" w:customStyle="1" w:styleId="Heading1Char">
    <w:name w:val="Heading 1 Char"/>
    <w:basedOn w:val="DefaultParagraphFont"/>
    <w:link w:val="Heading1"/>
    <w:rsid w:val="00B42528"/>
    <w:rPr>
      <w:i/>
      <w:sz w:val="24"/>
      <w:lang w:eastAsia="en-US"/>
    </w:rPr>
  </w:style>
  <w:style w:type="paragraph" w:styleId="BodyText">
    <w:name w:val="Body Text"/>
    <w:basedOn w:val="Normal"/>
    <w:link w:val="BodyTextChar"/>
    <w:rsid w:val="00B42528"/>
    <w:pPr>
      <w:jc w:val="both"/>
    </w:pPr>
    <w:rPr>
      <w:sz w:val="24"/>
    </w:rPr>
  </w:style>
  <w:style w:type="character" w:customStyle="1" w:styleId="BodyTextChar">
    <w:name w:val="Body Text Char"/>
    <w:basedOn w:val="DefaultParagraphFont"/>
    <w:link w:val="BodyText"/>
    <w:rsid w:val="00B42528"/>
    <w:rPr>
      <w:sz w:val="24"/>
      <w:lang w:eastAsia="en-US"/>
    </w:rPr>
  </w:style>
  <w:style w:type="character" w:styleId="EndnoteReference">
    <w:name w:val="endnote reference"/>
    <w:basedOn w:val="DefaultParagraphFont"/>
    <w:rsid w:val="00B42528"/>
    <w:rPr>
      <w:vertAlign w:val="superscript"/>
    </w:rPr>
  </w:style>
  <w:style w:type="paragraph" w:customStyle="1" w:styleId="ModelNrmlDouble">
    <w:name w:val="ModelNrmlDouble"/>
    <w:basedOn w:val="Normal"/>
    <w:link w:val="ModelNrmlDoubleChar"/>
    <w:rsid w:val="00B42528"/>
    <w:pPr>
      <w:spacing w:after="360" w:line="480" w:lineRule="auto"/>
      <w:ind w:firstLine="720"/>
      <w:jc w:val="both"/>
    </w:pPr>
    <w:rPr>
      <w:sz w:val="22"/>
    </w:rPr>
  </w:style>
  <w:style w:type="paragraph" w:customStyle="1" w:styleId="ModelDoubleNoIndent">
    <w:name w:val="ModelDoubleNoIndent"/>
    <w:basedOn w:val="ModelNrmlDouble"/>
    <w:rsid w:val="00B42528"/>
    <w:pPr>
      <w:ind w:firstLine="0"/>
    </w:pPr>
    <w:rPr>
      <w:u w:val="single"/>
    </w:rPr>
  </w:style>
  <w:style w:type="paragraph" w:customStyle="1" w:styleId="ModelNrmlSingle">
    <w:name w:val="ModelNrmlSingle"/>
    <w:basedOn w:val="Normal"/>
    <w:rsid w:val="00B42528"/>
    <w:pPr>
      <w:spacing w:after="240"/>
      <w:ind w:firstLine="720"/>
      <w:jc w:val="both"/>
    </w:pPr>
    <w:rPr>
      <w:sz w:val="22"/>
    </w:rPr>
  </w:style>
  <w:style w:type="character" w:styleId="Strong">
    <w:name w:val="Strong"/>
    <w:basedOn w:val="DefaultParagraphFont"/>
    <w:qFormat/>
    <w:rsid w:val="00B42528"/>
    <w:rPr>
      <w:b/>
      <w:bCs/>
    </w:rPr>
  </w:style>
  <w:style w:type="paragraph" w:customStyle="1" w:styleId="Default">
    <w:name w:val="Default"/>
    <w:rsid w:val="00D07100"/>
    <w:pPr>
      <w:autoSpaceDE w:val="0"/>
      <w:autoSpaceDN w:val="0"/>
      <w:adjustRightInd w:val="0"/>
    </w:pPr>
    <w:rPr>
      <w:color w:val="000000"/>
      <w:sz w:val="24"/>
      <w:szCs w:val="24"/>
    </w:rPr>
  </w:style>
  <w:style w:type="paragraph" w:styleId="FootnoteText">
    <w:name w:val="footnote text"/>
    <w:aliases w:val="single space,footnote text,fn,FOOTNOTES,Footnote Text Char Char Char Char,Footnote Text Char Char,FN,Geneva 9,Font: Geneva 9,Boston 10,f,Footnote Text Char Char Char Char Char Char,ft,(NECG) Footnote Text Char Char Char,Footnote Text Char1"/>
    <w:basedOn w:val="Normal"/>
    <w:link w:val="FootnoteTextChar"/>
    <w:rsid w:val="002B7D74"/>
    <w:pPr>
      <w:widowControl w:val="0"/>
      <w:autoSpaceDE w:val="0"/>
      <w:autoSpaceDN w:val="0"/>
    </w:pPr>
  </w:style>
  <w:style w:type="character" w:customStyle="1" w:styleId="FootnoteTextChar">
    <w:name w:val="Footnote Text Char"/>
    <w:aliases w:val="single space Char,footnote text Char,fn Char,FOOTNOTES Char,Footnote Text Char Char Char Char Char,Footnote Text Char Char Char,FN Char,Geneva 9 Char,Font: Geneva 9 Char,Boston 10 Char,f Char,ft Char,Footnote Text Char1 Char"/>
    <w:basedOn w:val="DefaultParagraphFont"/>
    <w:link w:val="FootnoteText"/>
    <w:uiPriority w:val="99"/>
    <w:rsid w:val="002B7D74"/>
    <w:rPr>
      <w:lang w:eastAsia="en-US"/>
    </w:rPr>
  </w:style>
  <w:style w:type="character" w:styleId="FootnoteReference">
    <w:name w:val="footnote reference"/>
    <w:aliases w:val="16 Point,Superscript 6 Point"/>
    <w:basedOn w:val="DefaultParagraphFont"/>
    <w:semiHidden/>
    <w:rsid w:val="002B7D74"/>
    <w:rPr>
      <w:vertAlign w:val="superscript"/>
    </w:rPr>
  </w:style>
  <w:style w:type="paragraph" w:styleId="ListParagraph">
    <w:name w:val="List Paragraph"/>
    <w:basedOn w:val="Normal"/>
    <w:uiPriority w:val="34"/>
    <w:qFormat/>
    <w:rsid w:val="00471A49"/>
    <w:pPr>
      <w:widowControl w:val="0"/>
      <w:autoSpaceDE w:val="0"/>
      <w:autoSpaceDN w:val="0"/>
      <w:ind w:left="720"/>
    </w:pPr>
    <w:rPr>
      <w:sz w:val="24"/>
      <w:szCs w:val="24"/>
    </w:rPr>
  </w:style>
  <w:style w:type="character" w:styleId="CommentReference">
    <w:name w:val="annotation reference"/>
    <w:basedOn w:val="DefaultParagraphFont"/>
    <w:uiPriority w:val="99"/>
    <w:semiHidden/>
    <w:unhideWhenUsed/>
    <w:rsid w:val="0084513E"/>
    <w:rPr>
      <w:sz w:val="16"/>
      <w:szCs w:val="16"/>
    </w:rPr>
  </w:style>
  <w:style w:type="paragraph" w:styleId="CommentText">
    <w:name w:val="annotation text"/>
    <w:basedOn w:val="Normal"/>
    <w:link w:val="CommentTextChar"/>
    <w:uiPriority w:val="99"/>
    <w:semiHidden/>
    <w:unhideWhenUsed/>
    <w:rsid w:val="0084513E"/>
  </w:style>
  <w:style w:type="character" w:customStyle="1" w:styleId="CommentTextChar">
    <w:name w:val="Comment Text Char"/>
    <w:basedOn w:val="DefaultParagraphFont"/>
    <w:link w:val="CommentText"/>
    <w:uiPriority w:val="99"/>
    <w:semiHidden/>
    <w:rsid w:val="0084513E"/>
    <w:rPr>
      <w:lang w:eastAsia="en-US"/>
    </w:rPr>
  </w:style>
  <w:style w:type="paragraph" w:styleId="CommentSubject">
    <w:name w:val="annotation subject"/>
    <w:basedOn w:val="CommentText"/>
    <w:next w:val="CommentText"/>
    <w:link w:val="CommentSubjectChar"/>
    <w:uiPriority w:val="99"/>
    <w:semiHidden/>
    <w:unhideWhenUsed/>
    <w:rsid w:val="0084513E"/>
    <w:rPr>
      <w:b/>
      <w:bCs/>
    </w:rPr>
  </w:style>
  <w:style w:type="character" w:customStyle="1" w:styleId="CommentSubjectChar">
    <w:name w:val="Comment Subject Char"/>
    <w:basedOn w:val="CommentTextChar"/>
    <w:link w:val="CommentSubject"/>
    <w:uiPriority w:val="99"/>
    <w:semiHidden/>
    <w:rsid w:val="0084513E"/>
    <w:rPr>
      <w:b/>
      <w:bCs/>
    </w:rPr>
  </w:style>
  <w:style w:type="paragraph" w:styleId="BalloonText">
    <w:name w:val="Balloon Text"/>
    <w:basedOn w:val="Normal"/>
    <w:link w:val="BalloonTextChar"/>
    <w:uiPriority w:val="99"/>
    <w:semiHidden/>
    <w:unhideWhenUsed/>
    <w:rsid w:val="0084513E"/>
    <w:rPr>
      <w:rFonts w:ascii="Tahoma" w:hAnsi="Tahoma" w:cs="Tahoma"/>
      <w:sz w:val="16"/>
      <w:szCs w:val="16"/>
    </w:rPr>
  </w:style>
  <w:style w:type="character" w:customStyle="1" w:styleId="BalloonTextChar">
    <w:name w:val="Balloon Text Char"/>
    <w:basedOn w:val="DefaultParagraphFont"/>
    <w:link w:val="BalloonText"/>
    <w:uiPriority w:val="99"/>
    <w:semiHidden/>
    <w:rsid w:val="0084513E"/>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1C1ACC"/>
    <w:pPr>
      <w:spacing w:after="120"/>
      <w:ind w:left="360"/>
    </w:pPr>
  </w:style>
  <w:style w:type="character" w:customStyle="1" w:styleId="BodyTextIndentChar">
    <w:name w:val="Body Text Indent Char"/>
    <w:basedOn w:val="DefaultParagraphFont"/>
    <w:link w:val="BodyTextIndent"/>
    <w:uiPriority w:val="99"/>
    <w:semiHidden/>
    <w:rsid w:val="001C1ACC"/>
    <w:rPr>
      <w:lang w:eastAsia="en-US"/>
    </w:rPr>
  </w:style>
  <w:style w:type="paragraph" w:styleId="Revision">
    <w:name w:val="Revision"/>
    <w:hidden/>
    <w:uiPriority w:val="99"/>
    <w:semiHidden/>
    <w:rsid w:val="00967F44"/>
    <w:rPr>
      <w:lang w:eastAsia="en-US"/>
    </w:rPr>
  </w:style>
  <w:style w:type="character" w:customStyle="1" w:styleId="ModelNrmlDoubleChar">
    <w:name w:val="ModelNrmlDouble Char"/>
    <w:basedOn w:val="DefaultParagraphFont"/>
    <w:link w:val="ModelNrmlDouble"/>
    <w:locked/>
    <w:rsid w:val="009A0BB2"/>
    <w:rPr>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289303\AppData\Roaming\Microsoft\Templates\Forms\WB_Standard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5C0C-CF85-47A6-8FE0-C99B1FEF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WB_StandardLtr.dot</Template>
  <TotalTime>0</TotalTime>
  <Pages>14</Pages>
  <Words>3864</Words>
  <Characters>22613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The World Bank</vt:lpstr>
    </vt:vector>
  </TitlesOfParts>
  <Company>World Bank</Company>
  <LinksUpToDate>false</LinksUpToDate>
  <CharactersWithSpaces>26425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Bank</dc:title>
  <dc:creator>wb289303</dc:creator>
  <cp:lastModifiedBy>WB362596</cp:lastModifiedBy>
  <cp:revision>2</cp:revision>
  <cp:lastPrinted>2011-05-27T10:28:00Z</cp:lastPrinted>
  <dcterms:created xsi:type="dcterms:W3CDTF">2011-07-08T15:23:00Z</dcterms:created>
  <dcterms:modified xsi:type="dcterms:W3CDTF">2011-07-08T15:23:00Z</dcterms:modified>
</cp:coreProperties>
</file>