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C1" w:rsidRPr="0095658B" w:rsidRDefault="00253DC1">
      <w:pPr>
        <w:jc w:val="center"/>
        <w:rPr>
          <w:b/>
          <w:bCs/>
          <w:sz w:val="22"/>
          <w:szCs w:val="22"/>
          <w:lang w:val="fr-FR"/>
        </w:rPr>
      </w:pPr>
      <w:r w:rsidRPr="0095658B">
        <w:rPr>
          <w:b/>
          <w:bCs/>
          <w:sz w:val="22"/>
          <w:szCs w:val="22"/>
          <w:lang w:val="fr-FR"/>
        </w:rPr>
        <w:t>PROGRAM INFORMATION DOCUMENT (PID)</w:t>
      </w:r>
    </w:p>
    <w:p w:rsidR="00253DC1" w:rsidRDefault="00D81B7E">
      <w:pPr>
        <w:jc w:val="center"/>
        <w:rPr>
          <w:b/>
          <w:bCs/>
          <w:sz w:val="22"/>
          <w:szCs w:val="22"/>
        </w:rPr>
      </w:pPr>
      <w:r>
        <w:rPr>
          <w:b/>
          <w:bCs/>
          <w:sz w:val="22"/>
          <w:szCs w:val="22"/>
        </w:rPr>
        <w:t>CONCEPT</w:t>
      </w:r>
      <w:r w:rsidR="00253DC1" w:rsidRPr="0095658B">
        <w:rPr>
          <w:b/>
          <w:bCs/>
          <w:sz w:val="22"/>
          <w:szCs w:val="22"/>
        </w:rPr>
        <w:t xml:space="preserve"> STAGE</w:t>
      </w:r>
    </w:p>
    <w:p w:rsidR="004B2BD2" w:rsidRPr="0095658B" w:rsidRDefault="004B2BD2">
      <w:pPr>
        <w:jc w:val="center"/>
        <w:rPr>
          <w:b/>
          <w:bCs/>
          <w:sz w:val="22"/>
          <w:szCs w:val="22"/>
        </w:rPr>
      </w:pPr>
    </w:p>
    <w:p w:rsidR="00253DC1" w:rsidRPr="0095658B" w:rsidRDefault="00253DC1">
      <w:pPr>
        <w:ind w:right="720"/>
        <w:jc w:val="right"/>
        <w:rPr>
          <w:sz w:val="22"/>
          <w:szCs w:val="22"/>
        </w:rPr>
      </w:pPr>
      <w:r w:rsidRPr="0095658B">
        <w:rPr>
          <w:sz w:val="22"/>
          <w:szCs w:val="22"/>
        </w:rPr>
        <w:t xml:space="preserve">Report No.:  </w:t>
      </w:r>
      <w:bookmarkStart w:id="0" w:name="ReportNo"/>
      <w:r w:rsidRPr="0095658B">
        <w:rPr>
          <w:sz w:val="22"/>
          <w:szCs w:val="22"/>
        </w:rPr>
        <w:t>AB</w:t>
      </w:r>
      <w:bookmarkEnd w:id="0"/>
      <w:r w:rsidR="00B11D98">
        <w:rPr>
          <w:sz w:val="22"/>
          <w:szCs w:val="22"/>
        </w:rPr>
        <w:t>7368</w:t>
      </w:r>
      <w:bookmarkStart w:id="1" w:name="_GoBack"/>
      <w:bookmarkEnd w:id="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660"/>
      </w:tblGrid>
      <w:tr w:rsidR="00253DC1" w:rsidRPr="0095658B">
        <w:tc>
          <w:tcPr>
            <w:tcW w:w="2880" w:type="dxa"/>
          </w:tcPr>
          <w:p w:rsidR="00253DC1" w:rsidRPr="0095658B" w:rsidRDefault="00253DC1">
            <w:pPr>
              <w:rPr>
                <w:b/>
                <w:bCs/>
                <w:sz w:val="22"/>
                <w:szCs w:val="22"/>
              </w:rPr>
            </w:pPr>
            <w:r w:rsidRPr="0095658B">
              <w:rPr>
                <w:b/>
                <w:bCs/>
                <w:sz w:val="22"/>
                <w:szCs w:val="22"/>
              </w:rPr>
              <w:t>Operation Name</w:t>
            </w:r>
          </w:p>
        </w:tc>
        <w:tc>
          <w:tcPr>
            <w:tcW w:w="6660" w:type="dxa"/>
          </w:tcPr>
          <w:p w:rsidR="00253DC1" w:rsidRPr="0095658B" w:rsidRDefault="00C12441" w:rsidP="00C12441">
            <w:pPr>
              <w:rPr>
                <w:sz w:val="22"/>
                <w:szCs w:val="22"/>
              </w:rPr>
            </w:pPr>
            <w:r>
              <w:rPr>
                <w:sz w:val="22"/>
                <w:szCs w:val="22"/>
              </w:rPr>
              <w:t xml:space="preserve">Second </w:t>
            </w:r>
            <w:r w:rsidR="00641838">
              <w:rPr>
                <w:sz w:val="22"/>
                <w:szCs w:val="22"/>
              </w:rPr>
              <w:t xml:space="preserve">Financial </w:t>
            </w:r>
            <w:r w:rsidR="00641838" w:rsidRPr="00641838">
              <w:rPr>
                <w:sz w:val="22"/>
                <w:szCs w:val="22"/>
              </w:rPr>
              <w:t xml:space="preserve">Sector </w:t>
            </w:r>
            <w:r w:rsidR="00A43299">
              <w:rPr>
                <w:sz w:val="22"/>
                <w:szCs w:val="22"/>
              </w:rPr>
              <w:t>and Investment Climate Reform and Modernization</w:t>
            </w:r>
            <w:r w:rsidR="00641838" w:rsidRPr="003457D0">
              <w:rPr>
                <w:caps/>
              </w:rPr>
              <w:t xml:space="preserve"> </w:t>
            </w:r>
            <w:r w:rsidR="00C2271A" w:rsidRPr="0095658B">
              <w:rPr>
                <w:sz w:val="22"/>
                <w:szCs w:val="22"/>
              </w:rPr>
              <w:t>Development Policy Loan</w:t>
            </w:r>
            <w:r w:rsidR="00641838">
              <w:rPr>
                <w:sz w:val="22"/>
                <w:szCs w:val="22"/>
              </w:rPr>
              <w:t xml:space="preserve"> (</w:t>
            </w:r>
            <w:r w:rsidR="00A43299">
              <w:rPr>
                <w:sz w:val="22"/>
                <w:szCs w:val="22"/>
              </w:rPr>
              <w:t>INDONESIA FIRM</w:t>
            </w:r>
            <w:r w:rsidR="007742F0">
              <w:rPr>
                <w:sz w:val="22"/>
                <w:szCs w:val="22"/>
              </w:rPr>
              <w:t xml:space="preserve"> </w:t>
            </w:r>
            <w:r w:rsidR="00A43299">
              <w:rPr>
                <w:sz w:val="22"/>
                <w:szCs w:val="22"/>
              </w:rPr>
              <w:t>DPL</w:t>
            </w:r>
            <w:r w:rsidR="00427722">
              <w:rPr>
                <w:sz w:val="22"/>
                <w:szCs w:val="22"/>
              </w:rPr>
              <w:t xml:space="preserve"> </w:t>
            </w:r>
            <w:r w:rsidR="007742F0">
              <w:rPr>
                <w:sz w:val="22"/>
                <w:szCs w:val="22"/>
              </w:rPr>
              <w:t>2</w:t>
            </w:r>
            <w:r w:rsidR="00641838">
              <w:rPr>
                <w:sz w:val="22"/>
                <w:szCs w:val="22"/>
              </w:rPr>
              <w:t>)</w:t>
            </w:r>
          </w:p>
        </w:tc>
      </w:tr>
      <w:tr w:rsidR="00253DC1" w:rsidRPr="0095658B">
        <w:tc>
          <w:tcPr>
            <w:tcW w:w="2880" w:type="dxa"/>
          </w:tcPr>
          <w:p w:rsidR="00253DC1" w:rsidRPr="0095658B" w:rsidRDefault="00253DC1">
            <w:pPr>
              <w:rPr>
                <w:b/>
                <w:bCs/>
                <w:sz w:val="22"/>
                <w:szCs w:val="22"/>
              </w:rPr>
            </w:pPr>
            <w:r w:rsidRPr="0095658B">
              <w:rPr>
                <w:b/>
                <w:bCs/>
                <w:sz w:val="22"/>
                <w:szCs w:val="22"/>
              </w:rPr>
              <w:t>Region</w:t>
            </w:r>
          </w:p>
        </w:tc>
        <w:tc>
          <w:tcPr>
            <w:tcW w:w="6660" w:type="dxa"/>
          </w:tcPr>
          <w:p w:rsidR="00253DC1" w:rsidRPr="00FD0944" w:rsidRDefault="00253DC1">
            <w:pPr>
              <w:rPr>
                <w:sz w:val="22"/>
                <w:szCs w:val="22"/>
              </w:rPr>
            </w:pPr>
            <w:bookmarkStart w:id="2" w:name="REGION"/>
            <w:r w:rsidRPr="00FD0944">
              <w:rPr>
                <w:sz w:val="22"/>
                <w:szCs w:val="22"/>
              </w:rPr>
              <w:t>EAST ASIA AND PACIFIC</w:t>
            </w:r>
            <w:bookmarkEnd w:id="2"/>
          </w:p>
        </w:tc>
      </w:tr>
      <w:tr w:rsidR="00253DC1" w:rsidRPr="0095658B" w:rsidTr="004119A8">
        <w:tc>
          <w:tcPr>
            <w:tcW w:w="2880" w:type="dxa"/>
          </w:tcPr>
          <w:p w:rsidR="00253DC1" w:rsidRPr="0095658B" w:rsidRDefault="00253DC1">
            <w:pPr>
              <w:rPr>
                <w:b/>
                <w:bCs/>
                <w:sz w:val="22"/>
                <w:szCs w:val="22"/>
              </w:rPr>
            </w:pPr>
            <w:r w:rsidRPr="0095658B">
              <w:rPr>
                <w:b/>
                <w:bCs/>
                <w:sz w:val="22"/>
                <w:szCs w:val="22"/>
              </w:rPr>
              <w:t>Sector</w:t>
            </w:r>
          </w:p>
        </w:tc>
        <w:tc>
          <w:tcPr>
            <w:tcW w:w="6660" w:type="dxa"/>
            <w:shd w:val="clear" w:color="auto" w:fill="auto"/>
          </w:tcPr>
          <w:p w:rsidR="00253DC1" w:rsidRPr="00FD0944" w:rsidRDefault="008471E3">
            <w:pPr>
              <w:rPr>
                <w:sz w:val="22"/>
                <w:szCs w:val="22"/>
              </w:rPr>
            </w:pPr>
            <w:r w:rsidRPr="00FD0944">
              <w:rPr>
                <w:sz w:val="22"/>
                <w:szCs w:val="22"/>
              </w:rPr>
              <w:t xml:space="preserve">Financial </w:t>
            </w:r>
            <w:r w:rsidR="007742F0" w:rsidRPr="00FD0944">
              <w:rPr>
                <w:sz w:val="22"/>
                <w:szCs w:val="22"/>
              </w:rPr>
              <w:t xml:space="preserve">and Private </w:t>
            </w:r>
            <w:r w:rsidRPr="00FD0944">
              <w:rPr>
                <w:sz w:val="22"/>
                <w:szCs w:val="22"/>
              </w:rPr>
              <w:t>Sector, Poverty Reduction</w:t>
            </w:r>
          </w:p>
        </w:tc>
      </w:tr>
      <w:tr w:rsidR="00253DC1" w:rsidRPr="0095658B">
        <w:tc>
          <w:tcPr>
            <w:tcW w:w="2880" w:type="dxa"/>
          </w:tcPr>
          <w:p w:rsidR="00253DC1" w:rsidRPr="0095658B" w:rsidRDefault="00253DC1">
            <w:pPr>
              <w:rPr>
                <w:b/>
                <w:bCs/>
                <w:sz w:val="22"/>
                <w:szCs w:val="22"/>
              </w:rPr>
            </w:pPr>
            <w:r w:rsidRPr="0095658B">
              <w:rPr>
                <w:b/>
                <w:bCs/>
                <w:sz w:val="22"/>
                <w:szCs w:val="22"/>
              </w:rPr>
              <w:t>Project ID</w:t>
            </w:r>
          </w:p>
        </w:tc>
        <w:tc>
          <w:tcPr>
            <w:tcW w:w="6660" w:type="dxa"/>
          </w:tcPr>
          <w:p w:rsidR="00253DC1" w:rsidRPr="00FD0944" w:rsidRDefault="00701112" w:rsidP="00A911D8">
            <w:pPr>
              <w:rPr>
                <w:sz w:val="22"/>
                <w:szCs w:val="22"/>
                <w:lang w:val="id-ID"/>
              </w:rPr>
            </w:pPr>
            <w:r w:rsidRPr="00FD0944">
              <w:rPr>
                <w:sz w:val="22"/>
                <w:szCs w:val="22"/>
              </w:rPr>
              <w:t>P145550</w:t>
            </w:r>
          </w:p>
        </w:tc>
      </w:tr>
      <w:tr w:rsidR="00253DC1" w:rsidRPr="0095658B">
        <w:tc>
          <w:tcPr>
            <w:tcW w:w="2880" w:type="dxa"/>
            <w:tcBorders>
              <w:bottom w:val="single" w:sz="4" w:space="0" w:color="auto"/>
            </w:tcBorders>
          </w:tcPr>
          <w:p w:rsidR="00253DC1" w:rsidRPr="0095658B" w:rsidRDefault="00253DC1">
            <w:pPr>
              <w:rPr>
                <w:b/>
                <w:bCs/>
                <w:sz w:val="22"/>
                <w:szCs w:val="22"/>
              </w:rPr>
            </w:pPr>
            <w:r w:rsidRPr="0095658B">
              <w:rPr>
                <w:b/>
                <w:bCs/>
                <w:sz w:val="22"/>
                <w:szCs w:val="22"/>
              </w:rPr>
              <w:t>Borrower(s)</w:t>
            </w:r>
          </w:p>
        </w:tc>
        <w:tc>
          <w:tcPr>
            <w:tcW w:w="6660" w:type="dxa"/>
            <w:tcBorders>
              <w:bottom w:val="single" w:sz="4" w:space="0" w:color="auto"/>
            </w:tcBorders>
          </w:tcPr>
          <w:p w:rsidR="00253DC1" w:rsidRPr="00FD0944" w:rsidRDefault="00253DC1">
            <w:pPr>
              <w:rPr>
                <w:sz w:val="22"/>
                <w:szCs w:val="22"/>
              </w:rPr>
            </w:pPr>
            <w:bookmarkStart w:id="3" w:name="BORROWERNAME"/>
            <w:r w:rsidRPr="00FD0944">
              <w:rPr>
                <w:sz w:val="22"/>
                <w:szCs w:val="22"/>
              </w:rPr>
              <w:t>REPUBLIC OF INDONESIA</w:t>
            </w:r>
            <w:bookmarkEnd w:id="3"/>
          </w:p>
        </w:tc>
      </w:tr>
      <w:tr w:rsidR="00253DC1" w:rsidRPr="0095658B">
        <w:trPr>
          <w:cantSplit/>
          <w:trHeight w:val="140"/>
        </w:trPr>
        <w:tc>
          <w:tcPr>
            <w:tcW w:w="2880" w:type="dxa"/>
            <w:tcBorders>
              <w:bottom w:val="nil"/>
              <w:right w:val="single" w:sz="4" w:space="0" w:color="auto"/>
            </w:tcBorders>
          </w:tcPr>
          <w:p w:rsidR="00253DC1" w:rsidRPr="0095658B" w:rsidRDefault="00253DC1">
            <w:pPr>
              <w:rPr>
                <w:b/>
                <w:bCs/>
                <w:sz w:val="22"/>
                <w:szCs w:val="22"/>
              </w:rPr>
            </w:pPr>
            <w:r w:rsidRPr="0095658B">
              <w:rPr>
                <w:b/>
                <w:bCs/>
                <w:sz w:val="22"/>
                <w:szCs w:val="22"/>
              </w:rPr>
              <w:t>Implementing Agency</w:t>
            </w:r>
          </w:p>
        </w:tc>
        <w:tc>
          <w:tcPr>
            <w:tcW w:w="6660" w:type="dxa"/>
            <w:tcBorders>
              <w:top w:val="single" w:sz="4" w:space="0" w:color="auto"/>
              <w:left w:val="single" w:sz="4" w:space="0" w:color="auto"/>
              <w:bottom w:val="nil"/>
              <w:right w:val="single" w:sz="4" w:space="0" w:color="auto"/>
            </w:tcBorders>
          </w:tcPr>
          <w:p w:rsidR="00253DC1" w:rsidRPr="00FD0944" w:rsidRDefault="00253DC1">
            <w:pPr>
              <w:rPr>
                <w:sz w:val="22"/>
                <w:szCs w:val="22"/>
              </w:rPr>
            </w:pPr>
            <w:bookmarkStart w:id="4" w:name="ImplementingAgency"/>
            <w:r w:rsidRPr="00FD0944">
              <w:rPr>
                <w:sz w:val="22"/>
                <w:szCs w:val="22"/>
              </w:rPr>
              <w:t>MINISTRY OF FINANCE</w:t>
            </w:r>
            <w:bookmarkEnd w:id="4"/>
            <w:r w:rsidR="00FE602B" w:rsidRPr="00FD0944">
              <w:rPr>
                <w:sz w:val="22"/>
                <w:szCs w:val="22"/>
              </w:rPr>
              <w:t xml:space="preserve"> AND CMEA</w:t>
            </w:r>
          </w:p>
        </w:tc>
      </w:tr>
      <w:tr w:rsidR="00253DC1" w:rsidRPr="0095658B">
        <w:tc>
          <w:tcPr>
            <w:tcW w:w="2880" w:type="dxa"/>
          </w:tcPr>
          <w:p w:rsidR="00253DC1" w:rsidRPr="0095658B" w:rsidRDefault="00253DC1">
            <w:pPr>
              <w:rPr>
                <w:b/>
                <w:bCs/>
                <w:sz w:val="22"/>
                <w:szCs w:val="22"/>
              </w:rPr>
            </w:pPr>
            <w:r w:rsidRPr="0095658B">
              <w:rPr>
                <w:b/>
                <w:bCs/>
                <w:sz w:val="22"/>
                <w:szCs w:val="22"/>
              </w:rPr>
              <w:t>Date PID Prepared</w:t>
            </w:r>
          </w:p>
        </w:tc>
        <w:tc>
          <w:tcPr>
            <w:tcW w:w="6660" w:type="dxa"/>
          </w:tcPr>
          <w:p w:rsidR="00253DC1" w:rsidRPr="00FD0944" w:rsidRDefault="00C12441">
            <w:pPr>
              <w:rPr>
                <w:sz w:val="22"/>
                <w:szCs w:val="22"/>
              </w:rPr>
            </w:pPr>
            <w:r w:rsidRPr="00FD0944">
              <w:rPr>
                <w:sz w:val="22"/>
                <w:szCs w:val="22"/>
              </w:rPr>
              <w:t xml:space="preserve">April </w:t>
            </w:r>
            <w:r w:rsidR="00FD0944">
              <w:rPr>
                <w:sz w:val="22"/>
                <w:szCs w:val="22"/>
              </w:rPr>
              <w:t>14</w:t>
            </w:r>
            <w:r w:rsidRPr="00FD0944">
              <w:rPr>
                <w:sz w:val="22"/>
                <w:szCs w:val="22"/>
              </w:rPr>
              <w:t xml:space="preserve">, </w:t>
            </w:r>
            <w:r w:rsidR="00A911D8" w:rsidRPr="00FD0944">
              <w:rPr>
                <w:sz w:val="22"/>
                <w:szCs w:val="22"/>
              </w:rPr>
              <w:t>201</w:t>
            </w:r>
            <w:r w:rsidR="007742F0" w:rsidRPr="00FD0944">
              <w:rPr>
                <w:sz w:val="22"/>
                <w:szCs w:val="22"/>
              </w:rPr>
              <w:t>3</w:t>
            </w:r>
          </w:p>
        </w:tc>
      </w:tr>
      <w:tr w:rsidR="00253DC1" w:rsidRPr="0095658B">
        <w:tc>
          <w:tcPr>
            <w:tcW w:w="2880" w:type="dxa"/>
          </w:tcPr>
          <w:p w:rsidR="00253DC1" w:rsidRPr="0095658B" w:rsidRDefault="00253DC1">
            <w:pPr>
              <w:rPr>
                <w:b/>
                <w:bCs/>
                <w:sz w:val="22"/>
                <w:szCs w:val="22"/>
              </w:rPr>
            </w:pPr>
            <w:r w:rsidRPr="0095658B">
              <w:rPr>
                <w:b/>
                <w:bCs/>
                <w:sz w:val="22"/>
                <w:szCs w:val="22"/>
              </w:rPr>
              <w:t>Estimated Date of Appraisal Authorization</w:t>
            </w:r>
          </w:p>
        </w:tc>
        <w:tc>
          <w:tcPr>
            <w:tcW w:w="6660" w:type="dxa"/>
          </w:tcPr>
          <w:p w:rsidR="00253DC1" w:rsidRPr="00FD0944" w:rsidRDefault="00023152">
            <w:pPr>
              <w:pStyle w:val="BankNormal"/>
              <w:spacing w:after="0"/>
              <w:rPr>
                <w:sz w:val="22"/>
                <w:szCs w:val="22"/>
              </w:rPr>
            </w:pPr>
            <w:r>
              <w:rPr>
                <w:sz w:val="22"/>
                <w:szCs w:val="22"/>
              </w:rPr>
              <w:t>April 1</w:t>
            </w:r>
            <w:r w:rsidR="004E6806" w:rsidRPr="00FD0944">
              <w:rPr>
                <w:sz w:val="22"/>
                <w:szCs w:val="22"/>
              </w:rPr>
              <w:t>, 201</w:t>
            </w:r>
            <w:r w:rsidR="00FD0944">
              <w:rPr>
                <w:sz w:val="22"/>
                <w:szCs w:val="22"/>
              </w:rPr>
              <w:t>4</w:t>
            </w:r>
          </w:p>
        </w:tc>
      </w:tr>
      <w:tr w:rsidR="00253DC1" w:rsidRPr="0095658B">
        <w:tc>
          <w:tcPr>
            <w:tcW w:w="2880" w:type="dxa"/>
          </w:tcPr>
          <w:p w:rsidR="00253DC1" w:rsidRPr="0095658B" w:rsidRDefault="00253DC1">
            <w:pPr>
              <w:rPr>
                <w:b/>
                <w:bCs/>
                <w:sz w:val="22"/>
                <w:szCs w:val="22"/>
              </w:rPr>
            </w:pPr>
            <w:r w:rsidRPr="0095658B">
              <w:rPr>
                <w:b/>
                <w:bCs/>
                <w:sz w:val="22"/>
                <w:szCs w:val="22"/>
              </w:rPr>
              <w:t>Estimated Date of Board Approval</w:t>
            </w:r>
          </w:p>
        </w:tc>
        <w:tc>
          <w:tcPr>
            <w:tcW w:w="6660" w:type="dxa"/>
          </w:tcPr>
          <w:p w:rsidR="00253DC1" w:rsidRPr="0095658B" w:rsidRDefault="007742F0" w:rsidP="007742F0">
            <w:pPr>
              <w:rPr>
                <w:sz w:val="22"/>
                <w:szCs w:val="22"/>
              </w:rPr>
            </w:pPr>
            <w:r>
              <w:rPr>
                <w:sz w:val="22"/>
                <w:szCs w:val="22"/>
              </w:rPr>
              <w:t>July</w:t>
            </w:r>
            <w:r w:rsidR="00023152">
              <w:rPr>
                <w:sz w:val="22"/>
                <w:szCs w:val="22"/>
              </w:rPr>
              <w:t xml:space="preserve"> 30</w:t>
            </w:r>
            <w:r w:rsidR="00C2271A" w:rsidRPr="0095658B">
              <w:rPr>
                <w:sz w:val="22"/>
                <w:szCs w:val="22"/>
              </w:rPr>
              <w:t>, 201</w:t>
            </w:r>
            <w:r>
              <w:rPr>
                <w:sz w:val="22"/>
                <w:szCs w:val="22"/>
              </w:rPr>
              <w:t>4</w:t>
            </w:r>
          </w:p>
        </w:tc>
      </w:tr>
    </w:tbl>
    <w:p w:rsidR="004119A8" w:rsidRDefault="004119A8">
      <w:pPr>
        <w:rPr>
          <w:sz w:val="22"/>
          <w:szCs w:val="22"/>
        </w:rPr>
      </w:pPr>
    </w:p>
    <w:p w:rsidR="00023152" w:rsidRPr="0095658B" w:rsidRDefault="00023152">
      <w:pPr>
        <w:rPr>
          <w:sz w:val="22"/>
          <w:szCs w:val="22"/>
        </w:rPr>
      </w:pPr>
    </w:p>
    <w:p w:rsidR="008471E3" w:rsidRPr="0095658B" w:rsidRDefault="008471E3" w:rsidP="008471E3">
      <w:pPr>
        <w:rPr>
          <w:sz w:val="22"/>
          <w:szCs w:val="22"/>
        </w:rPr>
      </w:pPr>
      <w:r w:rsidRPr="0095658B">
        <w:rPr>
          <w:sz w:val="22"/>
          <w:szCs w:val="22"/>
        </w:rPr>
        <w:t xml:space="preserve"> </w:t>
      </w:r>
      <w:r w:rsidRPr="0095658B">
        <w:rPr>
          <w:b/>
          <w:sz w:val="22"/>
          <w:szCs w:val="22"/>
        </w:rPr>
        <w:t>I</w:t>
      </w:r>
      <w:r w:rsidRPr="0095658B">
        <w:rPr>
          <w:sz w:val="22"/>
          <w:szCs w:val="22"/>
        </w:rPr>
        <w:t xml:space="preserve">. </w:t>
      </w:r>
      <w:r w:rsidRPr="0095658B">
        <w:rPr>
          <w:b/>
          <w:bCs/>
          <w:sz w:val="22"/>
          <w:szCs w:val="22"/>
        </w:rPr>
        <w:t xml:space="preserve">Key development issues and rationale for Bank involvement </w:t>
      </w:r>
    </w:p>
    <w:p w:rsidR="008471E3" w:rsidRPr="0095658B" w:rsidRDefault="008471E3" w:rsidP="008471E3">
      <w:pPr>
        <w:rPr>
          <w:sz w:val="22"/>
          <w:szCs w:val="22"/>
        </w:rPr>
      </w:pPr>
    </w:p>
    <w:p w:rsidR="00FE602B" w:rsidRDefault="00F64799" w:rsidP="00FE602B">
      <w:pPr>
        <w:spacing w:after="240"/>
        <w:jc w:val="both"/>
        <w:rPr>
          <w:b/>
          <w:sz w:val="22"/>
          <w:szCs w:val="22"/>
        </w:rPr>
      </w:pPr>
      <w:r>
        <w:rPr>
          <w:b/>
          <w:sz w:val="22"/>
          <w:szCs w:val="22"/>
        </w:rPr>
        <w:t xml:space="preserve">The proposed </w:t>
      </w:r>
      <w:r w:rsidR="00427722">
        <w:rPr>
          <w:b/>
          <w:sz w:val="22"/>
          <w:szCs w:val="22"/>
        </w:rPr>
        <w:t xml:space="preserve">Second </w:t>
      </w:r>
      <w:r>
        <w:rPr>
          <w:b/>
          <w:sz w:val="22"/>
          <w:szCs w:val="22"/>
        </w:rPr>
        <w:t xml:space="preserve">Indonesia </w:t>
      </w:r>
      <w:r w:rsidR="00A43299" w:rsidRPr="00A43299">
        <w:rPr>
          <w:b/>
          <w:sz w:val="22"/>
          <w:szCs w:val="22"/>
        </w:rPr>
        <w:t>Financial Sector and Investment Climate Reform and Modernization</w:t>
      </w:r>
      <w:r w:rsidR="00A43299">
        <w:rPr>
          <w:b/>
          <w:sz w:val="22"/>
          <w:szCs w:val="22"/>
        </w:rPr>
        <w:t xml:space="preserve"> Program </w:t>
      </w:r>
      <w:r w:rsidR="00427722">
        <w:rPr>
          <w:b/>
          <w:sz w:val="22"/>
          <w:szCs w:val="22"/>
        </w:rPr>
        <w:t xml:space="preserve">Development Policy Loan </w:t>
      </w:r>
      <w:r w:rsidR="00A43299">
        <w:rPr>
          <w:b/>
          <w:sz w:val="22"/>
          <w:szCs w:val="22"/>
        </w:rPr>
        <w:t>(FIRM</w:t>
      </w:r>
      <w:r w:rsidR="00427722">
        <w:rPr>
          <w:b/>
          <w:sz w:val="22"/>
          <w:szCs w:val="22"/>
        </w:rPr>
        <w:t xml:space="preserve"> DPL 2</w:t>
      </w:r>
      <w:r>
        <w:rPr>
          <w:b/>
          <w:sz w:val="22"/>
          <w:szCs w:val="22"/>
        </w:rPr>
        <w:t>)</w:t>
      </w:r>
      <w:r w:rsidR="008471E3" w:rsidRPr="0095658B">
        <w:rPr>
          <w:b/>
          <w:sz w:val="22"/>
          <w:szCs w:val="22"/>
        </w:rPr>
        <w:t xml:space="preserve">, in the form of a USD </w:t>
      </w:r>
      <w:r>
        <w:rPr>
          <w:b/>
          <w:sz w:val="22"/>
          <w:szCs w:val="22"/>
        </w:rPr>
        <w:t>100 million single tranche IBRD variable spread loan</w:t>
      </w:r>
      <w:r w:rsidR="008471E3" w:rsidRPr="0095658B">
        <w:rPr>
          <w:b/>
          <w:sz w:val="22"/>
          <w:szCs w:val="22"/>
        </w:rPr>
        <w:t xml:space="preserve">, is designed to support the Government of Indonesia in its ongoing efforts to </w:t>
      </w:r>
      <w:r w:rsidR="00CB762F">
        <w:rPr>
          <w:b/>
          <w:sz w:val="22"/>
          <w:szCs w:val="22"/>
        </w:rPr>
        <w:t xml:space="preserve">promote the development of its </w:t>
      </w:r>
      <w:r w:rsidRPr="00F64799">
        <w:rPr>
          <w:b/>
          <w:sz w:val="22"/>
          <w:szCs w:val="22"/>
        </w:rPr>
        <w:t xml:space="preserve">financial sector </w:t>
      </w:r>
      <w:r w:rsidR="0030001B">
        <w:rPr>
          <w:b/>
          <w:sz w:val="22"/>
          <w:szCs w:val="22"/>
        </w:rPr>
        <w:t xml:space="preserve">development </w:t>
      </w:r>
      <w:r w:rsidRPr="00F64799">
        <w:rPr>
          <w:b/>
          <w:sz w:val="22"/>
          <w:szCs w:val="22"/>
        </w:rPr>
        <w:t xml:space="preserve">and </w:t>
      </w:r>
      <w:r w:rsidR="0030001B">
        <w:rPr>
          <w:b/>
          <w:sz w:val="22"/>
          <w:szCs w:val="22"/>
        </w:rPr>
        <w:t>improve the investment climate</w:t>
      </w:r>
      <w:r w:rsidR="008471E3" w:rsidRPr="0095658B">
        <w:rPr>
          <w:b/>
          <w:sz w:val="22"/>
          <w:szCs w:val="22"/>
        </w:rPr>
        <w:t xml:space="preserve">. </w:t>
      </w:r>
      <w:r w:rsidR="00D917F8" w:rsidRPr="00D917F8">
        <w:rPr>
          <w:sz w:val="22"/>
          <w:szCs w:val="22"/>
        </w:rPr>
        <w:t xml:space="preserve">Indonesia has </w:t>
      </w:r>
      <w:r w:rsidR="0030001B">
        <w:rPr>
          <w:sz w:val="22"/>
          <w:szCs w:val="22"/>
        </w:rPr>
        <w:t>made remarkable progress over the last decade in order to reduce poverty and meet its economic development objectives. In an effort to continue this progress</w:t>
      </w:r>
      <w:r w:rsidR="00B33887" w:rsidRPr="00CB762F">
        <w:rPr>
          <w:sz w:val="22"/>
          <w:szCs w:val="22"/>
        </w:rPr>
        <w:t>, t</w:t>
      </w:r>
      <w:r w:rsidRPr="00CB762F">
        <w:rPr>
          <w:sz w:val="22"/>
          <w:szCs w:val="22"/>
        </w:rPr>
        <w:t xml:space="preserve">he Government of Indonesia </w:t>
      </w:r>
      <w:r w:rsidR="0030001B">
        <w:rPr>
          <w:sz w:val="22"/>
          <w:szCs w:val="22"/>
        </w:rPr>
        <w:t>has recently articulated its commitment</w:t>
      </w:r>
      <w:r w:rsidRPr="00CB762F">
        <w:rPr>
          <w:sz w:val="22"/>
          <w:szCs w:val="22"/>
        </w:rPr>
        <w:t xml:space="preserve"> to turn Indonesia’s economy into one of the world’s top ten largest by 2025</w:t>
      </w:r>
      <w:r w:rsidR="00B33887" w:rsidRPr="00CB762F">
        <w:rPr>
          <w:sz w:val="22"/>
          <w:szCs w:val="22"/>
        </w:rPr>
        <w:t>. A strong financial system that accelerates and supports private sector growth is</w:t>
      </w:r>
      <w:r w:rsidR="007F3BFB">
        <w:rPr>
          <w:sz w:val="22"/>
          <w:szCs w:val="22"/>
        </w:rPr>
        <w:t xml:space="preserve"> thus</w:t>
      </w:r>
      <w:r w:rsidR="00B33887" w:rsidRPr="00CB762F">
        <w:rPr>
          <w:sz w:val="22"/>
          <w:szCs w:val="22"/>
        </w:rPr>
        <w:t xml:space="preserve"> vital to Indonesia’s continued competitiveness and the Bank and other development partners support these efforts. </w:t>
      </w:r>
    </w:p>
    <w:p w:rsidR="008471E3" w:rsidRPr="00CB762F" w:rsidRDefault="008471E3" w:rsidP="00FE602B">
      <w:pPr>
        <w:pStyle w:val="ListParagraph"/>
        <w:snapToGrid w:val="0"/>
        <w:spacing w:after="240"/>
        <w:ind w:left="0"/>
        <w:contextualSpacing w:val="0"/>
        <w:jc w:val="both"/>
        <w:rPr>
          <w:iCs/>
        </w:rPr>
      </w:pPr>
      <w:r w:rsidRPr="00FE602B">
        <w:rPr>
          <w:b/>
          <w:sz w:val="22"/>
          <w:szCs w:val="22"/>
        </w:rPr>
        <w:t>Indonesian authorities</w:t>
      </w:r>
      <w:r w:rsidR="00CB762F" w:rsidRPr="00FE602B">
        <w:rPr>
          <w:b/>
          <w:sz w:val="22"/>
          <w:szCs w:val="22"/>
        </w:rPr>
        <w:t xml:space="preserve"> have already</w:t>
      </w:r>
      <w:r w:rsidR="00B33887" w:rsidRPr="00FE602B">
        <w:rPr>
          <w:b/>
          <w:sz w:val="22"/>
          <w:szCs w:val="22"/>
        </w:rPr>
        <w:t xml:space="preserve"> taken several positive </w:t>
      </w:r>
      <w:r w:rsidR="007F3BFB" w:rsidRPr="00FE602B">
        <w:rPr>
          <w:b/>
          <w:sz w:val="22"/>
          <w:szCs w:val="22"/>
        </w:rPr>
        <w:t>steps in</w:t>
      </w:r>
      <w:r w:rsidR="00CB762F" w:rsidRPr="00FE602B">
        <w:rPr>
          <w:b/>
          <w:sz w:val="22"/>
          <w:szCs w:val="22"/>
        </w:rPr>
        <w:t xml:space="preserve"> order to enable the financial sector to provide the kinds of products and services that can cater to the demands of the vast majority of Indonesia’s population and its real sector at competitive prices, as well as accelerating investment for growth</w:t>
      </w:r>
      <w:r w:rsidR="00B33887" w:rsidRPr="00FE602B">
        <w:rPr>
          <w:b/>
          <w:sz w:val="22"/>
          <w:szCs w:val="22"/>
        </w:rPr>
        <w:t>.</w:t>
      </w:r>
      <w:r w:rsidRPr="00CB762F">
        <w:rPr>
          <w:sz w:val="22"/>
          <w:szCs w:val="22"/>
        </w:rPr>
        <w:t xml:space="preserve"> </w:t>
      </w:r>
      <w:r w:rsidR="007F3BFB">
        <w:rPr>
          <w:sz w:val="22"/>
          <w:szCs w:val="22"/>
        </w:rPr>
        <w:t xml:space="preserve">These reforms have been taken in financial system stability, financial sector diversification, financial inclusion and investment climate regulatory reform. </w:t>
      </w:r>
      <w:r w:rsidR="007F3BFB" w:rsidRPr="00AE1070">
        <w:rPr>
          <w:sz w:val="22"/>
          <w:szCs w:val="22"/>
        </w:rPr>
        <w:t>Specifically, t</w:t>
      </w:r>
      <w:r w:rsidR="00CB762F" w:rsidRPr="00AE1070">
        <w:rPr>
          <w:sz w:val="22"/>
          <w:szCs w:val="22"/>
        </w:rPr>
        <w:t>he government has been working to create a robust financial sector safety net to improve both crisis prevention and management.</w:t>
      </w:r>
      <w:r w:rsidR="00CB762F" w:rsidRPr="00CB762F">
        <w:rPr>
          <w:sz w:val="22"/>
          <w:szCs w:val="22"/>
        </w:rPr>
        <w:t xml:space="preserve"> Further, i</w:t>
      </w:r>
      <w:r w:rsidR="00B33887" w:rsidRPr="00CB762F">
        <w:rPr>
          <w:sz w:val="22"/>
          <w:szCs w:val="22"/>
        </w:rPr>
        <w:t>n an effort to gradually reduce the dominance of the banking sector, the MOF issued a Capital Markets and Non</w:t>
      </w:r>
      <w:r w:rsidR="00947EED">
        <w:rPr>
          <w:sz w:val="22"/>
          <w:szCs w:val="22"/>
        </w:rPr>
        <w:t>-</w:t>
      </w:r>
      <w:r w:rsidR="00B33887" w:rsidRPr="00CB762F">
        <w:rPr>
          <w:sz w:val="22"/>
          <w:szCs w:val="22"/>
        </w:rPr>
        <w:t>Banking Financial Sector Master Plan 2010-2014</w:t>
      </w:r>
      <w:r w:rsidR="00CB762F" w:rsidRPr="00CB762F">
        <w:rPr>
          <w:sz w:val="22"/>
          <w:szCs w:val="22"/>
        </w:rPr>
        <w:t>, which provides a working guideline for financial sector diversification</w:t>
      </w:r>
      <w:r w:rsidR="00B33887" w:rsidRPr="00CB762F">
        <w:rPr>
          <w:sz w:val="22"/>
          <w:szCs w:val="22"/>
        </w:rPr>
        <w:t xml:space="preserve">. </w:t>
      </w:r>
      <w:r w:rsidR="00CB762F" w:rsidRPr="00CB762F">
        <w:rPr>
          <w:sz w:val="22"/>
          <w:szCs w:val="22"/>
        </w:rPr>
        <w:t xml:space="preserve">Additionally, </w:t>
      </w:r>
      <w:r w:rsidR="00B33887" w:rsidRPr="00CB762F">
        <w:rPr>
          <w:sz w:val="22"/>
          <w:szCs w:val="22"/>
        </w:rPr>
        <w:t xml:space="preserve">the GOI has recently launched a number of efforts to increase access to a broad array of financial services to the poor and underserved, including </w:t>
      </w:r>
      <w:r w:rsidR="001C7CAA">
        <w:rPr>
          <w:sz w:val="22"/>
          <w:szCs w:val="22"/>
        </w:rPr>
        <w:t>the launching</w:t>
      </w:r>
      <w:r w:rsidR="001C7CAA" w:rsidRPr="00CB762F">
        <w:rPr>
          <w:sz w:val="22"/>
          <w:szCs w:val="22"/>
        </w:rPr>
        <w:t xml:space="preserve"> </w:t>
      </w:r>
      <w:r w:rsidR="00CB762F" w:rsidRPr="00CB762F">
        <w:rPr>
          <w:sz w:val="22"/>
          <w:szCs w:val="22"/>
        </w:rPr>
        <w:t xml:space="preserve">of </w:t>
      </w:r>
      <w:r w:rsidR="00B33887" w:rsidRPr="00CB762F">
        <w:rPr>
          <w:sz w:val="22"/>
          <w:szCs w:val="22"/>
        </w:rPr>
        <w:t xml:space="preserve">a National Strategy for </w:t>
      </w:r>
      <w:r w:rsidR="001C7CAA">
        <w:rPr>
          <w:sz w:val="22"/>
          <w:szCs w:val="22"/>
        </w:rPr>
        <w:t>F</w:t>
      </w:r>
      <w:r w:rsidR="00B33887" w:rsidRPr="00CB762F">
        <w:rPr>
          <w:sz w:val="22"/>
          <w:szCs w:val="22"/>
        </w:rPr>
        <w:t xml:space="preserve">inancial Inclusion </w:t>
      </w:r>
      <w:r w:rsidR="00CB762F" w:rsidRPr="00CB762F">
        <w:rPr>
          <w:sz w:val="22"/>
          <w:szCs w:val="22"/>
        </w:rPr>
        <w:t>and</w:t>
      </w:r>
      <w:r w:rsidR="00B33887" w:rsidRPr="00CB762F">
        <w:rPr>
          <w:bCs/>
          <w:sz w:val="22"/>
          <w:szCs w:val="22"/>
        </w:rPr>
        <w:t xml:space="preserve"> scaling up its flagship People’s Business Credit program as a way to expand access to credit</w:t>
      </w:r>
      <w:r w:rsidR="00CB762F" w:rsidRPr="00CB762F">
        <w:rPr>
          <w:bCs/>
          <w:sz w:val="22"/>
          <w:szCs w:val="22"/>
        </w:rPr>
        <w:t>.</w:t>
      </w:r>
    </w:p>
    <w:p w:rsidR="00ED42A3" w:rsidRPr="00ED42A3" w:rsidRDefault="008471E3" w:rsidP="00FE602B">
      <w:pPr>
        <w:spacing w:after="240"/>
        <w:jc w:val="both"/>
        <w:rPr>
          <w:sz w:val="22"/>
          <w:szCs w:val="22"/>
        </w:rPr>
      </w:pPr>
      <w:r w:rsidRPr="0095658B">
        <w:rPr>
          <w:b/>
          <w:sz w:val="22"/>
          <w:szCs w:val="22"/>
        </w:rPr>
        <w:t xml:space="preserve">The </w:t>
      </w:r>
      <w:r w:rsidR="00A43299">
        <w:rPr>
          <w:b/>
          <w:sz w:val="22"/>
          <w:szCs w:val="22"/>
        </w:rPr>
        <w:t>FIRM Program is</w:t>
      </w:r>
      <w:r w:rsidRPr="0095658B">
        <w:rPr>
          <w:b/>
          <w:sz w:val="22"/>
          <w:szCs w:val="22"/>
        </w:rPr>
        <w:t xml:space="preserve"> intended to complement the ongoing Indonesia DPL series, which supports a core reform program in the economic ministries</w:t>
      </w:r>
      <w:r w:rsidRPr="00645288">
        <w:rPr>
          <w:sz w:val="22"/>
          <w:szCs w:val="22"/>
        </w:rPr>
        <w:t xml:space="preserve">. </w:t>
      </w:r>
      <w:r w:rsidR="00AE1070" w:rsidRPr="00AE1070">
        <w:rPr>
          <w:sz w:val="22"/>
          <w:szCs w:val="22"/>
        </w:rPr>
        <w:t>The operation is fully aligned</w:t>
      </w:r>
      <w:r w:rsidR="002E0BA6">
        <w:rPr>
          <w:sz w:val="22"/>
          <w:szCs w:val="22"/>
        </w:rPr>
        <w:t xml:space="preserve"> with the World Bank Group</w:t>
      </w:r>
      <w:r w:rsidR="00AE1070" w:rsidRPr="00AE1070">
        <w:rPr>
          <w:sz w:val="22"/>
          <w:szCs w:val="22"/>
        </w:rPr>
        <w:t xml:space="preserve"> Indonesia Country Partnership Strategy </w:t>
      </w:r>
      <w:r w:rsidR="00AE1070">
        <w:rPr>
          <w:sz w:val="22"/>
          <w:szCs w:val="22"/>
        </w:rPr>
        <w:t>(CPS) for the period of FY2013-2015</w:t>
      </w:r>
      <w:r w:rsidR="00AE1070" w:rsidRPr="00AE1070">
        <w:rPr>
          <w:sz w:val="22"/>
          <w:szCs w:val="22"/>
        </w:rPr>
        <w:t xml:space="preserve">, in its pro-growth, pro-jobs, pro-poor and pro-green engagement areas. In particular, the </w:t>
      </w:r>
      <w:r w:rsidR="002E0BA6">
        <w:rPr>
          <w:sz w:val="22"/>
          <w:szCs w:val="22"/>
        </w:rPr>
        <w:t>Program</w:t>
      </w:r>
      <w:r w:rsidR="00AE1070" w:rsidRPr="00AE1070">
        <w:rPr>
          <w:sz w:val="22"/>
          <w:szCs w:val="22"/>
        </w:rPr>
        <w:t xml:space="preserve"> supports the emphasis on enabling local capacity to implement and deliver and strengthening economic competitiveness of the private sector.</w:t>
      </w:r>
      <w:r w:rsidR="00645288" w:rsidRPr="00645288">
        <w:rPr>
          <w:sz w:val="22"/>
          <w:szCs w:val="22"/>
        </w:rPr>
        <w:t xml:space="preserve"> </w:t>
      </w:r>
      <w:r w:rsidRPr="0095658B">
        <w:rPr>
          <w:sz w:val="22"/>
          <w:szCs w:val="22"/>
        </w:rPr>
        <w:t xml:space="preserve">The </w:t>
      </w:r>
      <w:r w:rsidR="00A43299" w:rsidRPr="00A43299">
        <w:rPr>
          <w:sz w:val="22"/>
          <w:szCs w:val="22"/>
        </w:rPr>
        <w:t>FIRM</w:t>
      </w:r>
      <w:r w:rsidRPr="0095658B">
        <w:rPr>
          <w:sz w:val="22"/>
          <w:szCs w:val="22"/>
        </w:rPr>
        <w:t xml:space="preserve"> </w:t>
      </w:r>
      <w:r w:rsidR="0030001B">
        <w:rPr>
          <w:sz w:val="22"/>
          <w:szCs w:val="22"/>
        </w:rPr>
        <w:t>p</w:t>
      </w:r>
      <w:r w:rsidR="00A43299">
        <w:rPr>
          <w:sz w:val="22"/>
          <w:szCs w:val="22"/>
        </w:rPr>
        <w:t xml:space="preserve">rogram </w:t>
      </w:r>
      <w:r w:rsidRPr="0095658B">
        <w:rPr>
          <w:sz w:val="22"/>
          <w:szCs w:val="22"/>
        </w:rPr>
        <w:t>focuses on enhancing institutional and structural reforms</w:t>
      </w:r>
      <w:r w:rsidR="00B33887">
        <w:rPr>
          <w:sz w:val="22"/>
          <w:szCs w:val="22"/>
        </w:rPr>
        <w:t xml:space="preserve"> specific to the financial and private sector</w:t>
      </w:r>
      <w:r w:rsidR="00645288">
        <w:rPr>
          <w:sz w:val="22"/>
          <w:szCs w:val="22"/>
        </w:rPr>
        <w:t>, aiming</w:t>
      </w:r>
      <w:r w:rsidR="00ED42A3" w:rsidRPr="00ED42A3">
        <w:rPr>
          <w:sz w:val="22"/>
          <w:szCs w:val="22"/>
        </w:rPr>
        <w:t xml:space="preserve"> to build capacity of several key institutions in their ongoing efforts to bolster financial system stability and deepen the financial sector: the Ministry of Finance,</w:t>
      </w:r>
      <w:r w:rsidR="0030001B">
        <w:rPr>
          <w:sz w:val="22"/>
          <w:szCs w:val="22"/>
        </w:rPr>
        <w:t xml:space="preserve"> the Indonesia Financial Services Authority, </w:t>
      </w:r>
      <w:r w:rsidR="00ED42A3" w:rsidRPr="00ED42A3">
        <w:rPr>
          <w:sz w:val="22"/>
          <w:szCs w:val="22"/>
        </w:rPr>
        <w:t xml:space="preserve">Bank Indonesia, </w:t>
      </w:r>
      <w:r w:rsidR="0030001B">
        <w:rPr>
          <w:sz w:val="22"/>
          <w:szCs w:val="22"/>
        </w:rPr>
        <w:t xml:space="preserve">and </w:t>
      </w:r>
      <w:r w:rsidR="00ED42A3" w:rsidRPr="00ED42A3">
        <w:rPr>
          <w:sz w:val="22"/>
          <w:szCs w:val="22"/>
        </w:rPr>
        <w:t xml:space="preserve">other agencies. </w:t>
      </w:r>
    </w:p>
    <w:p w:rsidR="008471E3" w:rsidRPr="0095658B" w:rsidRDefault="008471E3" w:rsidP="00FE602B">
      <w:pPr>
        <w:spacing w:after="240"/>
        <w:rPr>
          <w:sz w:val="22"/>
          <w:szCs w:val="22"/>
        </w:rPr>
      </w:pPr>
      <w:r w:rsidRPr="0095658B">
        <w:rPr>
          <w:b/>
          <w:sz w:val="22"/>
          <w:szCs w:val="22"/>
        </w:rPr>
        <w:lastRenderedPageBreak/>
        <w:t>II.</w:t>
      </w:r>
      <w:r w:rsidRPr="0095658B">
        <w:rPr>
          <w:sz w:val="22"/>
          <w:szCs w:val="22"/>
        </w:rPr>
        <w:t xml:space="preserve"> </w:t>
      </w:r>
      <w:r w:rsidRPr="0095658B">
        <w:rPr>
          <w:b/>
          <w:bCs/>
          <w:sz w:val="22"/>
          <w:szCs w:val="22"/>
        </w:rPr>
        <w:t xml:space="preserve">Proposed Objective(s) </w:t>
      </w:r>
    </w:p>
    <w:p w:rsidR="00BD48EE" w:rsidRDefault="008471E3" w:rsidP="00FE602B">
      <w:pPr>
        <w:spacing w:after="240"/>
        <w:jc w:val="both"/>
        <w:rPr>
          <w:sz w:val="22"/>
          <w:szCs w:val="22"/>
        </w:rPr>
      </w:pPr>
      <w:r w:rsidRPr="0095658B">
        <w:rPr>
          <w:b/>
          <w:sz w:val="22"/>
          <w:szCs w:val="22"/>
        </w:rPr>
        <w:t xml:space="preserve">The main objective of the proposed loan is to </w:t>
      </w:r>
      <w:r w:rsidR="00AD7D60" w:rsidRPr="00AD7D60">
        <w:rPr>
          <w:b/>
          <w:sz w:val="22"/>
          <w:szCs w:val="22"/>
        </w:rPr>
        <w:t>promote the development of a sound, efficient and inclusive financial sector and support improvements in the investment climate in Indonesia to help the Government of Indonesia (GOI) achieve its medium-term economic development</w:t>
      </w:r>
      <w:r w:rsidR="00AE0E4F" w:rsidRPr="00AE0E4F">
        <w:rPr>
          <w:b/>
          <w:bCs/>
          <w:iCs/>
          <w:sz w:val="22"/>
          <w:szCs w:val="22"/>
        </w:rPr>
        <w:t xml:space="preserve"> and poverty reduction goals. </w:t>
      </w:r>
      <w:r w:rsidR="00BD48EE" w:rsidRPr="00BD48EE">
        <w:rPr>
          <w:sz w:val="22"/>
          <w:szCs w:val="22"/>
        </w:rPr>
        <w:t xml:space="preserve">To date the government’s focus on maintaining and strengthening the stability of the financial system of the last decade has had demonstrable success. Indonesia’s financial sector has only suffered relatively minor affects from the ongoing Eurozone crisis and financial market volatility. </w:t>
      </w:r>
    </w:p>
    <w:p w:rsidR="00BD48EE" w:rsidRPr="00BD48EE" w:rsidRDefault="00BD48EE" w:rsidP="00FE602B">
      <w:pPr>
        <w:spacing w:after="240"/>
        <w:jc w:val="both"/>
        <w:rPr>
          <w:sz w:val="22"/>
          <w:szCs w:val="22"/>
        </w:rPr>
      </w:pPr>
      <w:r w:rsidRPr="00BD48EE">
        <w:rPr>
          <w:b/>
          <w:sz w:val="22"/>
          <w:szCs w:val="22"/>
        </w:rPr>
        <w:t>Despite this stability, however, Indonesia’s financial sector requires continued deepening, widening, and efficiency, in order to remain supportive of competitiveness and growth goals.</w:t>
      </w:r>
      <w:r w:rsidRPr="00BD48EE">
        <w:rPr>
          <w:sz w:val="22"/>
          <w:szCs w:val="22"/>
        </w:rPr>
        <w:t xml:space="preserve"> Indonesia’s financial sector remains bank-dominated, and as such, </w:t>
      </w:r>
      <w:r w:rsidR="00643613">
        <w:rPr>
          <w:sz w:val="22"/>
          <w:szCs w:val="22"/>
        </w:rPr>
        <w:t xml:space="preserve">financial services are </w:t>
      </w:r>
      <w:r w:rsidRPr="00BD48EE">
        <w:rPr>
          <w:sz w:val="22"/>
          <w:szCs w:val="22"/>
        </w:rPr>
        <w:t>dominated by short-maturity financial instruments, typically time deposits. The amount of long-term financing needed by corporations, infrastructure and SMEs remains limited</w:t>
      </w:r>
      <w:r w:rsidR="00643613">
        <w:rPr>
          <w:sz w:val="22"/>
          <w:szCs w:val="22"/>
        </w:rPr>
        <w:t>,</w:t>
      </w:r>
      <w:r w:rsidRPr="00BD48EE">
        <w:rPr>
          <w:sz w:val="22"/>
          <w:szCs w:val="22"/>
        </w:rPr>
        <w:t xml:space="preserve"> acting as a drag on growth. In addition, much of the population does not have access to appropriate financial products and services</w:t>
      </w:r>
      <w:r w:rsidRPr="009952D3">
        <w:rPr>
          <w:sz w:val="22"/>
          <w:szCs w:val="22"/>
          <w:vertAlign w:val="superscript"/>
        </w:rPr>
        <w:footnoteReference w:id="1"/>
      </w:r>
      <w:r w:rsidRPr="00BD48EE">
        <w:rPr>
          <w:sz w:val="22"/>
          <w:szCs w:val="22"/>
        </w:rPr>
        <w:t xml:space="preserve">. MSMEs are important for Indonesia, as they contributed to 60 percent of GDP and provided 97 percent of total employment in 2010, and to grow further they need adequate access to finance. </w:t>
      </w:r>
    </w:p>
    <w:p w:rsidR="00D33165" w:rsidRPr="00D33165" w:rsidRDefault="00D33165" w:rsidP="00FE602B">
      <w:pPr>
        <w:spacing w:after="240"/>
        <w:jc w:val="both"/>
        <w:rPr>
          <w:sz w:val="22"/>
          <w:szCs w:val="22"/>
        </w:rPr>
      </w:pPr>
      <w:r>
        <w:rPr>
          <w:b/>
          <w:sz w:val="22"/>
          <w:szCs w:val="22"/>
        </w:rPr>
        <w:t xml:space="preserve">The policy </w:t>
      </w:r>
      <w:r w:rsidRPr="00D33165">
        <w:rPr>
          <w:b/>
          <w:sz w:val="22"/>
          <w:szCs w:val="22"/>
        </w:rPr>
        <w:t xml:space="preserve">package </w:t>
      </w:r>
      <w:r>
        <w:rPr>
          <w:b/>
          <w:sz w:val="22"/>
          <w:szCs w:val="22"/>
        </w:rPr>
        <w:t xml:space="preserve">is </w:t>
      </w:r>
      <w:r w:rsidR="00FD47AE">
        <w:rPr>
          <w:b/>
          <w:sz w:val="22"/>
          <w:szCs w:val="22"/>
        </w:rPr>
        <w:t xml:space="preserve">thus </w:t>
      </w:r>
      <w:r>
        <w:rPr>
          <w:b/>
          <w:sz w:val="22"/>
          <w:szCs w:val="22"/>
        </w:rPr>
        <w:t xml:space="preserve">expected </w:t>
      </w:r>
      <w:r w:rsidR="00FD47AE">
        <w:rPr>
          <w:b/>
          <w:sz w:val="22"/>
          <w:szCs w:val="22"/>
        </w:rPr>
        <w:t xml:space="preserve">to </w:t>
      </w:r>
      <w:r w:rsidRPr="00D33165">
        <w:rPr>
          <w:b/>
          <w:sz w:val="22"/>
          <w:szCs w:val="22"/>
        </w:rPr>
        <w:t>cover the following priority areas:</w:t>
      </w:r>
      <w:r w:rsidRPr="00D33165">
        <w:rPr>
          <w:sz w:val="22"/>
          <w:szCs w:val="22"/>
        </w:rPr>
        <w:t xml:space="preserve"> </w:t>
      </w:r>
    </w:p>
    <w:p w:rsidR="00AE0E4F" w:rsidRPr="00AE0E4F" w:rsidRDefault="00AE0E4F" w:rsidP="00FE602B">
      <w:pPr>
        <w:pStyle w:val="ListParagraph"/>
        <w:numPr>
          <w:ilvl w:val="0"/>
          <w:numId w:val="15"/>
        </w:numPr>
        <w:spacing w:after="240"/>
        <w:contextualSpacing w:val="0"/>
        <w:jc w:val="both"/>
        <w:rPr>
          <w:sz w:val="22"/>
          <w:szCs w:val="22"/>
        </w:rPr>
      </w:pPr>
      <w:r w:rsidRPr="00AE0E4F">
        <w:rPr>
          <w:sz w:val="22"/>
          <w:szCs w:val="22"/>
        </w:rPr>
        <w:t xml:space="preserve">reinforcing financial sector stability, </w:t>
      </w:r>
    </w:p>
    <w:p w:rsidR="00AE0E4F" w:rsidRDefault="000839FB" w:rsidP="00FE602B">
      <w:pPr>
        <w:pStyle w:val="ListParagraph"/>
        <w:numPr>
          <w:ilvl w:val="0"/>
          <w:numId w:val="15"/>
        </w:numPr>
        <w:spacing w:after="240"/>
        <w:contextualSpacing w:val="0"/>
        <w:jc w:val="both"/>
        <w:rPr>
          <w:sz w:val="22"/>
          <w:szCs w:val="22"/>
        </w:rPr>
      </w:pPr>
      <w:r>
        <w:rPr>
          <w:sz w:val="22"/>
          <w:szCs w:val="22"/>
        </w:rPr>
        <w:t>promoting</w:t>
      </w:r>
      <w:r w:rsidR="00AE0E4F" w:rsidRPr="00AE0E4F">
        <w:rPr>
          <w:sz w:val="22"/>
          <w:szCs w:val="22"/>
        </w:rPr>
        <w:t xml:space="preserve"> financial sector</w:t>
      </w:r>
      <w:r>
        <w:rPr>
          <w:sz w:val="22"/>
          <w:szCs w:val="22"/>
        </w:rPr>
        <w:t xml:space="preserve"> diversification</w:t>
      </w:r>
      <w:r w:rsidR="00AE0E4F" w:rsidRPr="00AE0E4F">
        <w:rPr>
          <w:sz w:val="22"/>
          <w:szCs w:val="22"/>
        </w:rPr>
        <w:t xml:space="preserve">, </w:t>
      </w:r>
    </w:p>
    <w:p w:rsidR="00AE0E4F" w:rsidRDefault="000839FB" w:rsidP="00FE602B">
      <w:pPr>
        <w:pStyle w:val="ListParagraph"/>
        <w:numPr>
          <w:ilvl w:val="0"/>
          <w:numId w:val="15"/>
        </w:numPr>
        <w:spacing w:after="240"/>
        <w:contextualSpacing w:val="0"/>
        <w:jc w:val="both"/>
        <w:rPr>
          <w:sz w:val="22"/>
          <w:szCs w:val="22"/>
        </w:rPr>
      </w:pPr>
      <w:r>
        <w:rPr>
          <w:sz w:val="22"/>
          <w:szCs w:val="22"/>
        </w:rPr>
        <w:t>enhancing financial inclusion for underserved groups and the poor</w:t>
      </w:r>
      <w:r w:rsidR="00AE0E4F" w:rsidRPr="00AE0E4F">
        <w:rPr>
          <w:sz w:val="22"/>
          <w:szCs w:val="22"/>
        </w:rPr>
        <w:t xml:space="preserve">, </w:t>
      </w:r>
      <w:r w:rsidR="00AE0E4F">
        <w:rPr>
          <w:sz w:val="22"/>
          <w:szCs w:val="22"/>
        </w:rPr>
        <w:t>and</w:t>
      </w:r>
    </w:p>
    <w:p w:rsidR="00D33165" w:rsidRPr="00AE0E4F" w:rsidRDefault="000839FB" w:rsidP="00FE602B">
      <w:pPr>
        <w:pStyle w:val="ListParagraph"/>
        <w:numPr>
          <w:ilvl w:val="0"/>
          <w:numId w:val="15"/>
        </w:numPr>
        <w:spacing w:after="240"/>
        <w:contextualSpacing w:val="0"/>
        <w:jc w:val="both"/>
        <w:rPr>
          <w:sz w:val="22"/>
          <w:szCs w:val="22"/>
        </w:rPr>
      </w:pPr>
      <w:proofErr w:type="gramStart"/>
      <w:r>
        <w:rPr>
          <w:sz w:val="22"/>
          <w:szCs w:val="22"/>
        </w:rPr>
        <w:t>supporting</w:t>
      </w:r>
      <w:proofErr w:type="gramEnd"/>
      <w:r w:rsidR="00AE0E4F" w:rsidRPr="00AE0E4F">
        <w:rPr>
          <w:sz w:val="22"/>
          <w:szCs w:val="22"/>
        </w:rPr>
        <w:t xml:space="preserve"> investment climate regulatory reform</w:t>
      </w:r>
      <w:r w:rsidR="0030001B">
        <w:rPr>
          <w:sz w:val="22"/>
          <w:szCs w:val="22"/>
        </w:rPr>
        <w:t>.</w:t>
      </w:r>
    </w:p>
    <w:p w:rsidR="008471E3" w:rsidRPr="0095658B" w:rsidRDefault="008471E3" w:rsidP="00FE602B">
      <w:pPr>
        <w:spacing w:after="240"/>
        <w:rPr>
          <w:sz w:val="22"/>
          <w:szCs w:val="22"/>
        </w:rPr>
      </w:pPr>
      <w:r w:rsidRPr="0095658B">
        <w:rPr>
          <w:b/>
          <w:sz w:val="22"/>
          <w:szCs w:val="22"/>
        </w:rPr>
        <w:t>III.</w:t>
      </w:r>
      <w:r w:rsidRPr="0095658B">
        <w:rPr>
          <w:sz w:val="22"/>
          <w:szCs w:val="22"/>
        </w:rPr>
        <w:t xml:space="preserve"> </w:t>
      </w:r>
      <w:r w:rsidRPr="0095658B">
        <w:rPr>
          <w:b/>
          <w:bCs/>
          <w:sz w:val="22"/>
          <w:szCs w:val="22"/>
        </w:rPr>
        <w:t xml:space="preserve">Preliminary Description </w:t>
      </w:r>
    </w:p>
    <w:p w:rsidR="002B1246" w:rsidRDefault="002B1246" w:rsidP="00FE602B">
      <w:pPr>
        <w:pStyle w:val="BankNormal"/>
        <w:jc w:val="both"/>
        <w:rPr>
          <w:bCs/>
          <w:sz w:val="22"/>
          <w:szCs w:val="22"/>
        </w:rPr>
      </w:pPr>
      <w:r w:rsidRPr="00A835B9">
        <w:rPr>
          <w:b/>
          <w:sz w:val="22"/>
          <w:szCs w:val="22"/>
        </w:rPr>
        <w:t>In financial sector stability</w:t>
      </w:r>
      <w:r w:rsidRPr="00A835B9">
        <w:rPr>
          <w:sz w:val="22"/>
          <w:szCs w:val="22"/>
        </w:rPr>
        <w:t xml:space="preserve">, </w:t>
      </w:r>
      <w:r w:rsidR="00FE602B">
        <w:rPr>
          <w:sz w:val="22"/>
          <w:szCs w:val="22"/>
        </w:rPr>
        <w:t xml:space="preserve">the </w:t>
      </w:r>
      <w:r w:rsidR="0030001B">
        <w:rPr>
          <w:sz w:val="22"/>
          <w:szCs w:val="22"/>
        </w:rPr>
        <w:t xml:space="preserve">operation </w:t>
      </w:r>
      <w:r w:rsidR="00FE602B">
        <w:rPr>
          <w:sz w:val="22"/>
          <w:szCs w:val="22"/>
        </w:rPr>
        <w:t>will focus on supporting the establishment of an effective financial sector regula</w:t>
      </w:r>
      <w:r w:rsidR="0030001B">
        <w:rPr>
          <w:sz w:val="22"/>
          <w:szCs w:val="22"/>
        </w:rPr>
        <w:t xml:space="preserve">tory and supervisory framework and </w:t>
      </w:r>
      <w:r w:rsidR="00FE602B">
        <w:rPr>
          <w:sz w:val="22"/>
          <w:szCs w:val="22"/>
        </w:rPr>
        <w:t xml:space="preserve">enhancing crisis preparedness. </w:t>
      </w:r>
    </w:p>
    <w:p w:rsidR="00D14D35" w:rsidRDefault="00886A8B" w:rsidP="00FE602B">
      <w:pPr>
        <w:pStyle w:val="BankNormal"/>
        <w:jc w:val="both"/>
        <w:rPr>
          <w:bCs/>
          <w:iCs/>
          <w:sz w:val="22"/>
          <w:szCs w:val="22"/>
        </w:rPr>
      </w:pPr>
      <w:r w:rsidRPr="00D14D35">
        <w:rPr>
          <w:b/>
          <w:bCs/>
          <w:sz w:val="22"/>
          <w:szCs w:val="22"/>
        </w:rPr>
        <w:t>In financial sector diversification,</w:t>
      </w:r>
      <w:r>
        <w:rPr>
          <w:bCs/>
          <w:sz w:val="22"/>
          <w:szCs w:val="22"/>
        </w:rPr>
        <w:t xml:space="preserve"> </w:t>
      </w:r>
      <w:r w:rsidR="00D14D35">
        <w:rPr>
          <w:bCs/>
          <w:iCs/>
          <w:sz w:val="22"/>
          <w:szCs w:val="22"/>
        </w:rPr>
        <w:t xml:space="preserve">the </w:t>
      </w:r>
      <w:r w:rsidR="0030001B">
        <w:rPr>
          <w:bCs/>
          <w:iCs/>
          <w:sz w:val="22"/>
          <w:szCs w:val="22"/>
        </w:rPr>
        <w:t xml:space="preserve">operation will </w:t>
      </w:r>
      <w:r w:rsidR="00A43299">
        <w:rPr>
          <w:bCs/>
          <w:iCs/>
          <w:sz w:val="22"/>
          <w:szCs w:val="22"/>
        </w:rPr>
        <w:t>f</w:t>
      </w:r>
      <w:r w:rsidR="0030001B">
        <w:rPr>
          <w:bCs/>
          <w:iCs/>
          <w:sz w:val="22"/>
          <w:szCs w:val="22"/>
        </w:rPr>
        <w:t>ocus</w:t>
      </w:r>
      <w:r w:rsidR="00D14D35" w:rsidRPr="00D14D35">
        <w:rPr>
          <w:bCs/>
          <w:iCs/>
          <w:sz w:val="22"/>
          <w:szCs w:val="22"/>
        </w:rPr>
        <w:t xml:space="preserve"> on a set of priority action</w:t>
      </w:r>
      <w:r w:rsidR="00D14D35">
        <w:rPr>
          <w:bCs/>
          <w:iCs/>
          <w:sz w:val="22"/>
          <w:szCs w:val="22"/>
        </w:rPr>
        <w:t>s</w:t>
      </w:r>
      <w:r w:rsidR="00D14D35" w:rsidRPr="00D14D35">
        <w:rPr>
          <w:bCs/>
          <w:iCs/>
          <w:sz w:val="22"/>
          <w:szCs w:val="22"/>
        </w:rPr>
        <w:t xml:space="preserve"> </w:t>
      </w:r>
      <w:r w:rsidR="00D14D35">
        <w:rPr>
          <w:bCs/>
          <w:iCs/>
          <w:sz w:val="22"/>
          <w:szCs w:val="22"/>
        </w:rPr>
        <w:t xml:space="preserve">to </w:t>
      </w:r>
      <w:r w:rsidR="00D14D35" w:rsidRPr="00D14D35">
        <w:rPr>
          <w:bCs/>
          <w:iCs/>
          <w:sz w:val="22"/>
          <w:szCs w:val="22"/>
        </w:rPr>
        <w:t xml:space="preserve">address </w:t>
      </w:r>
      <w:r w:rsidR="0030001B">
        <w:rPr>
          <w:bCs/>
          <w:iCs/>
          <w:sz w:val="22"/>
          <w:szCs w:val="22"/>
        </w:rPr>
        <w:t xml:space="preserve">promote </w:t>
      </w:r>
      <w:r w:rsidR="00906B44">
        <w:rPr>
          <w:bCs/>
          <w:iCs/>
          <w:sz w:val="22"/>
          <w:szCs w:val="22"/>
        </w:rPr>
        <w:t xml:space="preserve">microfinance </w:t>
      </w:r>
      <w:r w:rsidR="00D14D35">
        <w:rPr>
          <w:bCs/>
          <w:iCs/>
          <w:sz w:val="22"/>
          <w:szCs w:val="22"/>
        </w:rPr>
        <w:t xml:space="preserve">and </w:t>
      </w:r>
      <w:r w:rsidR="0030001B">
        <w:rPr>
          <w:bCs/>
          <w:iCs/>
          <w:sz w:val="22"/>
          <w:szCs w:val="22"/>
        </w:rPr>
        <w:t>micro-</w:t>
      </w:r>
      <w:r w:rsidR="00D14D35">
        <w:rPr>
          <w:bCs/>
          <w:iCs/>
          <w:sz w:val="22"/>
          <w:szCs w:val="22"/>
        </w:rPr>
        <w:t>insurance industry development</w:t>
      </w:r>
      <w:r w:rsidR="00D14D35" w:rsidRPr="00D14D35">
        <w:rPr>
          <w:bCs/>
          <w:iCs/>
          <w:sz w:val="22"/>
          <w:szCs w:val="22"/>
        </w:rPr>
        <w:t xml:space="preserve">. </w:t>
      </w:r>
    </w:p>
    <w:p w:rsidR="00D14D35" w:rsidRDefault="00D14D35" w:rsidP="00FE602B">
      <w:pPr>
        <w:pStyle w:val="BankNormal"/>
        <w:jc w:val="both"/>
        <w:rPr>
          <w:bCs/>
          <w:iCs/>
          <w:sz w:val="22"/>
          <w:szCs w:val="22"/>
        </w:rPr>
      </w:pPr>
      <w:r w:rsidRPr="00D14D35">
        <w:rPr>
          <w:b/>
          <w:bCs/>
          <w:iCs/>
          <w:sz w:val="22"/>
          <w:szCs w:val="22"/>
        </w:rPr>
        <w:t>In financial inclusion,</w:t>
      </w:r>
      <w:r>
        <w:rPr>
          <w:bCs/>
          <w:iCs/>
          <w:sz w:val="22"/>
          <w:szCs w:val="22"/>
        </w:rPr>
        <w:t xml:space="preserve"> </w:t>
      </w:r>
      <w:r w:rsidR="0030001B">
        <w:rPr>
          <w:bCs/>
          <w:iCs/>
          <w:sz w:val="22"/>
          <w:szCs w:val="22"/>
        </w:rPr>
        <w:t xml:space="preserve">the operation will focus on </w:t>
      </w:r>
      <w:r>
        <w:rPr>
          <w:bCs/>
          <w:iCs/>
          <w:sz w:val="22"/>
          <w:szCs w:val="22"/>
        </w:rPr>
        <w:t>promoting policy coordination</w:t>
      </w:r>
      <w:r w:rsidR="0030001B">
        <w:rPr>
          <w:bCs/>
          <w:iCs/>
          <w:sz w:val="22"/>
          <w:szCs w:val="22"/>
        </w:rPr>
        <w:t xml:space="preserve"> for expanding financial services to the poor</w:t>
      </w:r>
      <w:r w:rsidR="00906B44">
        <w:rPr>
          <w:bCs/>
          <w:iCs/>
          <w:sz w:val="22"/>
          <w:szCs w:val="22"/>
        </w:rPr>
        <w:t xml:space="preserve">, </w:t>
      </w:r>
      <w:r w:rsidRPr="00D14D35">
        <w:rPr>
          <w:bCs/>
          <w:iCs/>
          <w:sz w:val="22"/>
          <w:szCs w:val="22"/>
        </w:rPr>
        <w:t>developing innovative financial products</w:t>
      </w:r>
      <w:r w:rsidR="0030001B">
        <w:rPr>
          <w:bCs/>
          <w:iCs/>
          <w:sz w:val="22"/>
          <w:szCs w:val="22"/>
        </w:rPr>
        <w:t xml:space="preserve">, and increasing the efficiency of the </w:t>
      </w:r>
      <w:r w:rsidR="00906B44">
        <w:rPr>
          <w:bCs/>
          <w:iCs/>
          <w:sz w:val="22"/>
          <w:szCs w:val="22"/>
        </w:rPr>
        <w:t>payments systems</w:t>
      </w:r>
      <w:r w:rsidRPr="00D14D35">
        <w:rPr>
          <w:bCs/>
          <w:iCs/>
          <w:sz w:val="22"/>
          <w:szCs w:val="22"/>
        </w:rPr>
        <w:t>.</w:t>
      </w:r>
      <w:r>
        <w:rPr>
          <w:bCs/>
          <w:iCs/>
          <w:sz w:val="22"/>
          <w:szCs w:val="22"/>
        </w:rPr>
        <w:t xml:space="preserve"> </w:t>
      </w:r>
      <w:r w:rsidRPr="00D14D35">
        <w:rPr>
          <w:bCs/>
          <w:iCs/>
          <w:sz w:val="22"/>
          <w:szCs w:val="22"/>
        </w:rPr>
        <w:t xml:space="preserve">The Government has launched major initiatives on a number of fronts to promote financial inclusion, including the </w:t>
      </w:r>
      <w:r w:rsidR="00906B44">
        <w:rPr>
          <w:bCs/>
          <w:iCs/>
          <w:sz w:val="22"/>
          <w:szCs w:val="22"/>
        </w:rPr>
        <w:t>launching</w:t>
      </w:r>
      <w:r w:rsidR="00906B44" w:rsidRPr="00D14D35">
        <w:rPr>
          <w:bCs/>
          <w:iCs/>
          <w:sz w:val="22"/>
          <w:szCs w:val="22"/>
        </w:rPr>
        <w:t xml:space="preserve"> </w:t>
      </w:r>
      <w:r w:rsidRPr="00D14D35">
        <w:rPr>
          <w:bCs/>
          <w:iCs/>
          <w:sz w:val="22"/>
          <w:szCs w:val="22"/>
        </w:rPr>
        <w:t>of the first National S</w:t>
      </w:r>
      <w:r w:rsidR="00FE602B">
        <w:rPr>
          <w:bCs/>
          <w:iCs/>
          <w:sz w:val="22"/>
          <w:szCs w:val="22"/>
        </w:rPr>
        <w:t>trategy fo</w:t>
      </w:r>
      <w:r w:rsidR="00A43299">
        <w:rPr>
          <w:bCs/>
          <w:iCs/>
          <w:sz w:val="22"/>
          <w:szCs w:val="22"/>
        </w:rPr>
        <w:t>r Financial Inclusion and the F</w:t>
      </w:r>
      <w:r w:rsidR="00FE602B">
        <w:rPr>
          <w:bCs/>
          <w:iCs/>
          <w:sz w:val="22"/>
          <w:szCs w:val="22"/>
        </w:rPr>
        <w:t>I</w:t>
      </w:r>
      <w:r w:rsidR="00A43299">
        <w:rPr>
          <w:bCs/>
          <w:iCs/>
          <w:sz w:val="22"/>
          <w:szCs w:val="22"/>
        </w:rPr>
        <w:t>RM</w:t>
      </w:r>
      <w:r w:rsidR="00FE602B">
        <w:rPr>
          <w:bCs/>
          <w:iCs/>
          <w:sz w:val="22"/>
          <w:szCs w:val="22"/>
        </w:rPr>
        <w:t xml:space="preserve"> will support this effort</w:t>
      </w:r>
      <w:r w:rsidRPr="00D14D35">
        <w:rPr>
          <w:bCs/>
          <w:iCs/>
          <w:sz w:val="22"/>
          <w:szCs w:val="22"/>
        </w:rPr>
        <w:t xml:space="preserve">. </w:t>
      </w:r>
    </w:p>
    <w:p w:rsidR="00886A8B" w:rsidRPr="00574DA5" w:rsidRDefault="0029256D" w:rsidP="00886A8B">
      <w:pPr>
        <w:pStyle w:val="BankNormal"/>
        <w:jc w:val="both"/>
        <w:rPr>
          <w:bCs/>
          <w:i/>
          <w:iCs/>
          <w:sz w:val="22"/>
          <w:szCs w:val="22"/>
        </w:rPr>
      </w:pPr>
      <w:r w:rsidRPr="00574DA5">
        <w:rPr>
          <w:b/>
          <w:bCs/>
          <w:iCs/>
          <w:sz w:val="22"/>
          <w:szCs w:val="22"/>
        </w:rPr>
        <w:t>Regards promoting investment climate regulatory reform</w:t>
      </w:r>
      <w:r w:rsidRPr="00574DA5">
        <w:rPr>
          <w:bCs/>
          <w:iCs/>
          <w:sz w:val="22"/>
          <w:szCs w:val="22"/>
        </w:rPr>
        <w:t xml:space="preserve">, the </w:t>
      </w:r>
      <w:r w:rsidR="0030001B">
        <w:rPr>
          <w:bCs/>
          <w:iCs/>
          <w:sz w:val="22"/>
          <w:szCs w:val="22"/>
        </w:rPr>
        <w:t xml:space="preserve">operation </w:t>
      </w:r>
      <w:r w:rsidRPr="00574DA5">
        <w:rPr>
          <w:bCs/>
          <w:iCs/>
          <w:sz w:val="22"/>
          <w:szCs w:val="22"/>
        </w:rPr>
        <w:t>w</w:t>
      </w:r>
      <w:r w:rsidR="0030001B">
        <w:rPr>
          <w:bCs/>
          <w:iCs/>
          <w:sz w:val="22"/>
          <w:szCs w:val="22"/>
        </w:rPr>
        <w:t>ill concentrate on supporting GO</w:t>
      </w:r>
      <w:r w:rsidRPr="00574DA5">
        <w:rPr>
          <w:bCs/>
          <w:iCs/>
          <w:sz w:val="22"/>
          <w:szCs w:val="22"/>
        </w:rPr>
        <w:t xml:space="preserve">I programs </w:t>
      </w:r>
      <w:r w:rsidR="00574DA5" w:rsidRPr="00574DA5">
        <w:rPr>
          <w:bCs/>
          <w:iCs/>
          <w:sz w:val="22"/>
          <w:szCs w:val="22"/>
        </w:rPr>
        <w:t xml:space="preserve">at the strategic level, </w:t>
      </w:r>
      <w:r w:rsidRPr="00574DA5">
        <w:rPr>
          <w:bCs/>
          <w:iCs/>
          <w:sz w:val="22"/>
          <w:szCs w:val="22"/>
        </w:rPr>
        <w:t xml:space="preserve">such as </w:t>
      </w:r>
      <w:r w:rsidR="00574DA5" w:rsidRPr="00574DA5">
        <w:rPr>
          <w:bCs/>
          <w:iCs/>
          <w:sz w:val="22"/>
          <w:szCs w:val="22"/>
        </w:rPr>
        <w:t xml:space="preserve">through </w:t>
      </w:r>
      <w:r w:rsidR="002D00ED">
        <w:rPr>
          <w:bCs/>
          <w:iCs/>
          <w:sz w:val="22"/>
          <w:szCs w:val="22"/>
        </w:rPr>
        <w:t xml:space="preserve">supporting </w:t>
      </w:r>
      <w:r w:rsidR="00574DA5" w:rsidRPr="00574DA5">
        <w:rPr>
          <w:bCs/>
          <w:iCs/>
          <w:sz w:val="22"/>
          <w:szCs w:val="22"/>
        </w:rPr>
        <w:t xml:space="preserve">the </w:t>
      </w:r>
      <w:r w:rsidR="00906B44">
        <w:rPr>
          <w:bCs/>
          <w:iCs/>
          <w:sz w:val="22"/>
          <w:szCs w:val="22"/>
        </w:rPr>
        <w:t>Indonesia Investment Coordinating Board (BKPM)</w:t>
      </w:r>
      <w:r w:rsidR="002D00ED">
        <w:rPr>
          <w:bCs/>
          <w:iCs/>
          <w:sz w:val="22"/>
          <w:szCs w:val="22"/>
        </w:rPr>
        <w:t xml:space="preserve">, and the recently instituted online fiduciary registration regulations.  </w:t>
      </w:r>
    </w:p>
    <w:p w:rsidR="00D33165" w:rsidRPr="0095658B" w:rsidRDefault="00D33165" w:rsidP="00D33165">
      <w:pPr>
        <w:pStyle w:val="BankNormal"/>
        <w:spacing w:after="0"/>
        <w:jc w:val="both"/>
        <w:rPr>
          <w:sz w:val="22"/>
          <w:szCs w:val="22"/>
        </w:rPr>
      </w:pPr>
    </w:p>
    <w:p w:rsidR="008471E3" w:rsidRPr="0095658B" w:rsidRDefault="008471E3" w:rsidP="008471E3">
      <w:pPr>
        <w:rPr>
          <w:b/>
          <w:bCs/>
          <w:sz w:val="22"/>
          <w:szCs w:val="22"/>
        </w:rPr>
      </w:pPr>
      <w:r w:rsidRPr="0095658B">
        <w:rPr>
          <w:b/>
          <w:sz w:val="22"/>
          <w:szCs w:val="22"/>
        </w:rPr>
        <w:t>IV.</w:t>
      </w:r>
      <w:r w:rsidRPr="0095658B">
        <w:rPr>
          <w:sz w:val="22"/>
          <w:szCs w:val="22"/>
        </w:rPr>
        <w:t xml:space="preserve"> </w:t>
      </w:r>
      <w:r w:rsidRPr="0095658B">
        <w:rPr>
          <w:b/>
          <w:bCs/>
          <w:sz w:val="22"/>
          <w:szCs w:val="22"/>
        </w:rPr>
        <w:t xml:space="preserve">Poverty and Social Impacts and Environment Aspects </w:t>
      </w:r>
    </w:p>
    <w:p w:rsidR="008471E3" w:rsidRPr="0095658B" w:rsidRDefault="008471E3">
      <w:pPr>
        <w:rPr>
          <w:sz w:val="22"/>
          <w:szCs w:val="22"/>
        </w:rPr>
      </w:pPr>
    </w:p>
    <w:p w:rsidR="00686672" w:rsidRPr="00686672" w:rsidRDefault="00686672" w:rsidP="00686672">
      <w:pPr>
        <w:overflowPunct w:val="0"/>
        <w:autoSpaceDE w:val="0"/>
        <w:autoSpaceDN w:val="0"/>
        <w:adjustRightInd w:val="0"/>
        <w:snapToGrid w:val="0"/>
        <w:jc w:val="both"/>
        <w:textAlignment w:val="baseline"/>
        <w:rPr>
          <w:bCs/>
          <w:sz w:val="22"/>
          <w:szCs w:val="22"/>
        </w:rPr>
      </w:pPr>
      <w:r w:rsidRPr="00686672">
        <w:rPr>
          <w:b/>
          <w:bCs/>
          <w:sz w:val="22"/>
          <w:szCs w:val="22"/>
        </w:rPr>
        <w:t xml:space="preserve">The proposed policy actions under this operation are expected to have positive poverty and social impacts and to have no significant negative environmental effects. </w:t>
      </w:r>
      <w:r w:rsidRPr="00686672">
        <w:rPr>
          <w:bCs/>
          <w:sz w:val="22"/>
          <w:szCs w:val="22"/>
        </w:rPr>
        <w:t xml:space="preserve">Specifically, the operation promotes overall financial sector stability by improving the authorities’ ability to prevent and handle financial crisis. Indonesia’s experience during the Asian Financial crisis in 1997/1998 took a huge toll on </w:t>
      </w:r>
      <w:r w:rsidRPr="00686672">
        <w:rPr>
          <w:bCs/>
          <w:sz w:val="22"/>
          <w:szCs w:val="22"/>
        </w:rPr>
        <w:lastRenderedPageBreak/>
        <w:t>the poor and vulnerable, massively increasing the poverty rate and reducing jobs. The GOI has made important strides since that time in establishing financial sector stability, and the F</w:t>
      </w:r>
      <w:r w:rsidR="00A43299">
        <w:rPr>
          <w:bCs/>
          <w:sz w:val="22"/>
          <w:szCs w:val="22"/>
        </w:rPr>
        <w:t xml:space="preserve">IRM </w:t>
      </w:r>
      <w:r w:rsidR="006954A1">
        <w:rPr>
          <w:bCs/>
          <w:sz w:val="22"/>
          <w:szCs w:val="22"/>
        </w:rPr>
        <w:t xml:space="preserve">DPL 2 </w:t>
      </w:r>
      <w:r w:rsidRPr="00686672">
        <w:rPr>
          <w:bCs/>
          <w:sz w:val="22"/>
          <w:szCs w:val="22"/>
        </w:rPr>
        <w:t xml:space="preserve">aims to bolster these efforts. The focus of the operation on </w:t>
      </w:r>
      <w:r w:rsidR="00643613">
        <w:rPr>
          <w:bCs/>
          <w:sz w:val="22"/>
          <w:szCs w:val="22"/>
        </w:rPr>
        <w:t xml:space="preserve">also </w:t>
      </w:r>
      <w:r w:rsidRPr="00686672">
        <w:rPr>
          <w:bCs/>
          <w:sz w:val="22"/>
          <w:szCs w:val="22"/>
        </w:rPr>
        <w:t xml:space="preserve">promoting financial inclusion and diversification is expected to have positive poverty and social impacts, increasing employment opportunities, income and enhancing social protection through savings and other </w:t>
      </w:r>
      <w:r w:rsidR="00643613">
        <w:rPr>
          <w:bCs/>
          <w:sz w:val="22"/>
          <w:szCs w:val="22"/>
        </w:rPr>
        <w:t xml:space="preserve">financial </w:t>
      </w:r>
      <w:r w:rsidRPr="00686672">
        <w:rPr>
          <w:bCs/>
          <w:sz w:val="22"/>
          <w:szCs w:val="22"/>
        </w:rPr>
        <w:t xml:space="preserve">products targeting the poor. Without inclusive financial systems, poor individuals and small enterprises need to rely on their personal wealth or </w:t>
      </w:r>
      <w:r w:rsidR="00643613">
        <w:rPr>
          <w:bCs/>
          <w:sz w:val="22"/>
          <w:szCs w:val="22"/>
        </w:rPr>
        <w:t>informal services</w:t>
      </w:r>
      <w:r w:rsidRPr="00686672">
        <w:rPr>
          <w:bCs/>
          <w:sz w:val="22"/>
          <w:szCs w:val="22"/>
        </w:rPr>
        <w:t xml:space="preserve"> to invest in their education, become entrepreneurs or take advantage of promising growing opportunities. The investment climate reforms are also expected to help create equal opportunities for businesses and improve the overall ease of doing business, thereby promoting job creation and inclusive growth. </w:t>
      </w:r>
    </w:p>
    <w:p w:rsidR="001C578B" w:rsidRPr="00686672" w:rsidRDefault="001C578B" w:rsidP="0012474E">
      <w:pPr>
        <w:overflowPunct w:val="0"/>
        <w:autoSpaceDE w:val="0"/>
        <w:autoSpaceDN w:val="0"/>
        <w:adjustRightInd w:val="0"/>
        <w:snapToGrid w:val="0"/>
        <w:jc w:val="both"/>
        <w:textAlignment w:val="baseline"/>
        <w:rPr>
          <w:sz w:val="22"/>
          <w:szCs w:val="22"/>
        </w:rPr>
      </w:pPr>
    </w:p>
    <w:p w:rsidR="00253DC1" w:rsidRPr="0095658B" w:rsidRDefault="0012474E" w:rsidP="0012474E">
      <w:pPr>
        <w:jc w:val="both"/>
        <w:rPr>
          <w:b/>
          <w:bCs/>
          <w:sz w:val="22"/>
          <w:szCs w:val="22"/>
        </w:rPr>
      </w:pPr>
      <w:r w:rsidRPr="0095658B">
        <w:rPr>
          <w:b/>
          <w:bCs/>
          <w:sz w:val="22"/>
          <w:szCs w:val="22"/>
        </w:rPr>
        <w:t xml:space="preserve">V. </w:t>
      </w:r>
      <w:r w:rsidR="00253DC1" w:rsidRPr="0095658B">
        <w:rPr>
          <w:b/>
          <w:bCs/>
          <w:sz w:val="22"/>
          <w:szCs w:val="22"/>
        </w:rPr>
        <w:t>Tentative financing</w:t>
      </w:r>
    </w:p>
    <w:tbl>
      <w:tblPr>
        <w:tblW w:w="0" w:type="auto"/>
        <w:tblLook w:val="0000" w:firstRow="0" w:lastRow="0" w:firstColumn="0" w:lastColumn="0" w:noHBand="0" w:noVBand="0"/>
      </w:tblPr>
      <w:tblGrid>
        <w:gridCol w:w="7488"/>
        <w:gridCol w:w="1368"/>
      </w:tblGrid>
      <w:tr w:rsidR="00253DC1" w:rsidRPr="0095658B">
        <w:tc>
          <w:tcPr>
            <w:tcW w:w="7488" w:type="dxa"/>
          </w:tcPr>
          <w:p w:rsidR="00253DC1" w:rsidRPr="0095658B" w:rsidRDefault="00253DC1" w:rsidP="0012474E">
            <w:pPr>
              <w:jc w:val="both"/>
              <w:rPr>
                <w:sz w:val="22"/>
                <w:szCs w:val="22"/>
              </w:rPr>
            </w:pPr>
            <w:r w:rsidRPr="0095658B">
              <w:rPr>
                <w:sz w:val="22"/>
                <w:szCs w:val="22"/>
              </w:rPr>
              <w:t>Source:</w:t>
            </w:r>
            <w:bookmarkStart w:id="5" w:name="FINANCINGTAB_PID"/>
            <w:bookmarkEnd w:id="5"/>
          </w:p>
        </w:tc>
        <w:tc>
          <w:tcPr>
            <w:tcW w:w="1368" w:type="dxa"/>
          </w:tcPr>
          <w:p w:rsidR="00253DC1" w:rsidRPr="0095658B" w:rsidRDefault="00253DC1" w:rsidP="0012474E">
            <w:pPr>
              <w:jc w:val="both"/>
              <w:rPr>
                <w:sz w:val="22"/>
                <w:szCs w:val="22"/>
              </w:rPr>
            </w:pPr>
            <w:r w:rsidRPr="0095658B">
              <w:rPr>
                <w:sz w:val="22"/>
                <w:szCs w:val="22"/>
              </w:rPr>
              <w:t>($m.)</w:t>
            </w:r>
          </w:p>
        </w:tc>
      </w:tr>
      <w:tr w:rsidR="00253DC1" w:rsidRPr="0095658B">
        <w:tc>
          <w:tcPr>
            <w:tcW w:w="7488" w:type="dxa"/>
          </w:tcPr>
          <w:p w:rsidR="00253DC1" w:rsidRPr="0095658B" w:rsidRDefault="00253DC1" w:rsidP="0012474E">
            <w:pPr>
              <w:jc w:val="both"/>
              <w:rPr>
                <w:sz w:val="22"/>
                <w:szCs w:val="22"/>
              </w:rPr>
            </w:pPr>
            <w:r w:rsidRPr="0095658B">
              <w:rPr>
                <w:sz w:val="22"/>
                <w:szCs w:val="22"/>
              </w:rPr>
              <w:t>Borrower</w:t>
            </w:r>
          </w:p>
        </w:tc>
        <w:tc>
          <w:tcPr>
            <w:tcW w:w="1368" w:type="dxa"/>
          </w:tcPr>
          <w:p w:rsidR="00253DC1" w:rsidRPr="0095658B" w:rsidRDefault="00253DC1" w:rsidP="0012474E">
            <w:pPr>
              <w:jc w:val="both"/>
              <w:rPr>
                <w:sz w:val="22"/>
                <w:szCs w:val="22"/>
              </w:rPr>
            </w:pPr>
            <w:r w:rsidRPr="0095658B">
              <w:rPr>
                <w:sz w:val="22"/>
                <w:szCs w:val="22"/>
              </w:rPr>
              <w:t>0</w:t>
            </w:r>
          </w:p>
        </w:tc>
      </w:tr>
      <w:tr w:rsidR="00253DC1" w:rsidRPr="0095658B">
        <w:tc>
          <w:tcPr>
            <w:tcW w:w="7488" w:type="dxa"/>
          </w:tcPr>
          <w:p w:rsidR="00253DC1" w:rsidRPr="0095658B" w:rsidRDefault="00253DC1" w:rsidP="0012474E">
            <w:pPr>
              <w:jc w:val="both"/>
              <w:rPr>
                <w:sz w:val="22"/>
                <w:szCs w:val="22"/>
              </w:rPr>
            </w:pPr>
            <w:r w:rsidRPr="0095658B">
              <w:rPr>
                <w:sz w:val="22"/>
                <w:szCs w:val="22"/>
              </w:rPr>
              <w:t>International Bank for Reconstruction and Development</w:t>
            </w:r>
          </w:p>
        </w:tc>
        <w:tc>
          <w:tcPr>
            <w:tcW w:w="1368" w:type="dxa"/>
          </w:tcPr>
          <w:p w:rsidR="00253DC1" w:rsidRPr="0095658B" w:rsidRDefault="00234699" w:rsidP="00234699">
            <w:pPr>
              <w:jc w:val="both"/>
              <w:rPr>
                <w:sz w:val="22"/>
                <w:szCs w:val="22"/>
              </w:rPr>
            </w:pPr>
            <w:r>
              <w:rPr>
                <w:sz w:val="22"/>
                <w:szCs w:val="22"/>
              </w:rPr>
              <w:t>1</w:t>
            </w:r>
            <w:r w:rsidR="00C2271A" w:rsidRPr="0095658B">
              <w:rPr>
                <w:sz w:val="22"/>
                <w:szCs w:val="22"/>
              </w:rPr>
              <w:t>00</w:t>
            </w:r>
          </w:p>
        </w:tc>
      </w:tr>
      <w:tr w:rsidR="00253DC1" w:rsidRPr="0095658B">
        <w:tc>
          <w:tcPr>
            <w:tcW w:w="7488" w:type="dxa"/>
          </w:tcPr>
          <w:p w:rsidR="00253DC1" w:rsidRPr="0095658B" w:rsidRDefault="00253DC1" w:rsidP="0012474E">
            <w:pPr>
              <w:jc w:val="both"/>
              <w:rPr>
                <w:sz w:val="22"/>
                <w:szCs w:val="22"/>
              </w:rPr>
            </w:pPr>
            <w:r w:rsidRPr="0095658B">
              <w:rPr>
                <w:sz w:val="22"/>
                <w:szCs w:val="22"/>
              </w:rPr>
              <w:tab/>
              <w:t>Total</w:t>
            </w:r>
          </w:p>
        </w:tc>
        <w:tc>
          <w:tcPr>
            <w:tcW w:w="1368" w:type="dxa"/>
          </w:tcPr>
          <w:p w:rsidR="00253DC1" w:rsidRPr="0095658B" w:rsidRDefault="00234699" w:rsidP="0012474E">
            <w:pPr>
              <w:jc w:val="both"/>
              <w:rPr>
                <w:sz w:val="22"/>
                <w:szCs w:val="22"/>
              </w:rPr>
            </w:pPr>
            <w:r>
              <w:rPr>
                <w:sz w:val="22"/>
                <w:szCs w:val="22"/>
              </w:rPr>
              <w:t>100</w:t>
            </w:r>
          </w:p>
        </w:tc>
      </w:tr>
    </w:tbl>
    <w:p w:rsidR="00253DC1" w:rsidRPr="0095658B" w:rsidRDefault="00253DC1" w:rsidP="0012474E">
      <w:pPr>
        <w:jc w:val="both"/>
        <w:rPr>
          <w:sz w:val="22"/>
          <w:szCs w:val="22"/>
        </w:rPr>
      </w:pPr>
    </w:p>
    <w:p w:rsidR="00253DC1" w:rsidRPr="0095658B" w:rsidRDefault="00253DC1" w:rsidP="0012474E">
      <w:pPr>
        <w:pStyle w:val="ListParagraph"/>
        <w:numPr>
          <w:ilvl w:val="0"/>
          <w:numId w:val="13"/>
        </w:numPr>
        <w:ind w:left="0" w:firstLine="0"/>
        <w:jc w:val="both"/>
        <w:rPr>
          <w:b/>
          <w:sz w:val="22"/>
          <w:szCs w:val="22"/>
        </w:rPr>
      </w:pPr>
      <w:r w:rsidRPr="0095658B">
        <w:rPr>
          <w:b/>
          <w:sz w:val="22"/>
          <w:szCs w:val="22"/>
        </w:rPr>
        <w:t>Contact point</w:t>
      </w:r>
    </w:p>
    <w:p w:rsidR="00253DC1" w:rsidRPr="00234699" w:rsidRDefault="00253DC1" w:rsidP="0012474E">
      <w:pPr>
        <w:jc w:val="both"/>
        <w:rPr>
          <w:sz w:val="22"/>
          <w:szCs w:val="22"/>
        </w:rPr>
      </w:pPr>
      <w:bookmarkStart w:id="6" w:name="ContactInfo"/>
      <w:r w:rsidRPr="0095658B">
        <w:rPr>
          <w:sz w:val="22"/>
          <w:szCs w:val="22"/>
        </w:rPr>
        <w:t xml:space="preserve">Contact: </w:t>
      </w:r>
      <w:r w:rsidR="00234699">
        <w:rPr>
          <w:sz w:val="22"/>
          <w:szCs w:val="22"/>
        </w:rPr>
        <w:t xml:space="preserve">Alexandra </w:t>
      </w:r>
      <w:proofErr w:type="spellStart"/>
      <w:r w:rsidR="00234699">
        <w:rPr>
          <w:sz w:val="22"/>
          <w:szCs w:val="22"/>
        </w:rPr>
        <w:t>Drees</w:t>
      </w:r>
      <w:proofErr w:type="spellEnd"/>
      <w:r w:rsidR="00234699">
        <w:rPr>
          <w:sz w:val="22"/>
          <w:szCs w:val="22"/>
        </w:rPr>
        <w:t>-Gross</w:t>
      </w:r>
    </w:p>
    <w:p w:rsidR="00253DC1" w:rsidRPr="0095658B" w:rsidRDefault="00253DC1" w:rsidP="0012474E">
      <w:pPr>
        <w:jc w:val="both"/>
        <w:rPr>
          <w:sz w:val="22"/>
          <w:szCs w:val="22"/>
        </w:rPr>
      </w:pPr>
      <w:r w:rsidRPr="0095658B">
        <w:rPr>
          <w:sz w:val="22"/>
          <w:szCs w:val="22"/>
        </w:rPr>
        <w:t xml:space="preserve">Title: Senior </w:t>
      </w:r>
      <w:r w:rsidR="00234699">
        <w:rPr>
          <w:sz w:val="22"/>
          <w:szCs w:val="22"/>
        </w:rPr>
        <w:t>Financial Sector Specialist</w:t>
      </w:r>
    </w:p>
    <w:p w:rsidR="00253DC1" w:rsidRPr="0095658B" w:rsidRDefault="00253DC1" w:rsidP="0012474E">
      <w:pPr>
        <w:jc w:val="both"/>
        <w:rPr>
          <w:sz w:val="22"/>
          <w:szCs w:val="22"/>
        </w:rPr>
      </w:pPr>
      <w:r w:rsidRPr="0095658B">
        <w:rPr>
          <w:sz w:val="22"/>
          <w:szCs w:val="22"/>
        </w:rPr>
        <w:t xml:space="preserve">Tel: </w:t>
      </w:r>
      <w:r w:rsidR="00C2271A" w:rsidRPr="0095658B">
        <w:rPr>
          <w:sz w:val="22"/>
          <w:szCs w:val="22"/>
        </w:rPr>
        <w:t>62-21-5299 3</w:t>
      </w:r>
      <w:r w:rsidR="00234699">
        <w:rPr>
          <w:sz w:val="22"/>
          <w:szCs w:val="22"/>
        </w:rPr>
        <w:t>129</w:t>
      </w:r>
      <w:r w:rsidR="00C2271A" w:rsidRPr="0095658B">
        <w:rPr>
          <w:sz w:val="22"/>
          <w:szCs w:val="22"/>
        </w:rPr>
        <w:t xml:space="preserve"> </w:t>
      </w:r>
    </w:p>
    <w:p w:rsidR="00253DC1" w:rsidRPr="00FE602B" w:rsidRDefault="00253DC1" w:rsidP="0012474E">
      <w:pPr>
        <w:jc w:val="both"/>
        <w:rPr>
          <w:sz w:val="22"/>
          <w:szCs w:val="22"/>
        </w:rPr>
      </w:pPr>
      <w:r w:rsidRPr="00FE602B">
        <w:rPr>
          <w:sz w:val="22"/>
          <w:szCs w:val="22"/>
        </w:rPr>
        <w:t xml:space="preserve">Fax: </w:t>
      </w:r>
      <w:r w:rsidR="00A14C25">
        <w:rPr>
          <w:sz w:val="22"/>
          <w:szCs w:val="22"/>
        </w:rPr>
        <w:t>62-21-5299-3111</w:t>
      </w:r>
    </w:p>
    <w:p w:rsidR="00253DC1" w:rsidRPr="0095658B" w:rsidRDefault="00253DC1" w:rsidP="0012474E">
      <w:pPr>
        <w:jc w:val="both"/>
        <w:rPr>
          <w:sz w:val="22"/>
          <w:szCs w:val="22"/>
        </w:rPr>
      </w:pPr>
      <w:r w:rsidRPr="00FE602B">
        <w:rPr>
          <w:sz w:val="22"/>
          <w:szCs w:val="22"/>
        </w:rPr>
        <w:t xml:space="preserve">Email: </w:t>
      </w:r>
      <w:r w:rsidR="00234699" w:rsidRPr="00FE602B">
        <w:rPr>
          <w:sz w:val="22"/>
          <w:szCs w:val="22"/>
        </w:rPr>
        <w:t>agross</w:t>
      </w:r>
      <w:r w:rsidRPr="00FE602B">
        <w:rPr>
          <w:sz w:val="22"/>
          <w:szCs w:val="22"/>
        </w:rPr>
        <w:t>@worldbank.</w:t>
      </w:r>
      <w:r w:rsidRPr="0095658B">
        <w:rPr>
          <w:sz w:val="22"/>
          <w:szCs w:val="22"/>
        </w:rPr>
        <w:t>org</w:t>
      </w:r>
    </w:p>
    <w:p w:rsidR="00253DC1" w:rsidRPr="0095658B" w:rsidRDefault="00253DC1" w:rsidP="0012474E">
      <w:pPr>
        <w:jc w:val="both"/>
        <w:rPr>
          <w:sz w:val="22"/>
          <w:szCs w:val="22"/>
        </w:rPr>
      </w:pPr>
      <w:r w:rsidRPr="0095658B">
        <w:rPr>
          <w:sz w:val="22"/>
          <w:szCs w:val="22"/>
        </w:rPr>
        <w:t xml:space="preserve">Location: </w:t>
      </w:r>
      <w:r w:rsidR="00C2271A" w:rsidRPr="0095658B">
        <w:rPr>
          <w:sz w:val="22"/>
          <w:szCs w:val="22"/>
        </w:rPr>
        <w:t>Jakarta, Indonesia</w:t>
      </w:r>
      <w:r w:rsidR="00FE602B">
        <w:rPr>
          <w:sz w:val="22"/>
          <w:szCs w:val="22"/>
        </w:rPr>
        <w:t xml:space="preserve"> </w:t>
      </w:r>
      <w:r w:rsidRPr="0095658B">
        <w:rPr>
          <w:sz w:val="22"/>
          <w:szCs w:val="22"/>
        </w:rPr>
        <w:t>(IBRD)</w:t>
      </w:r>
      <w:bookmarkEnd w:id="6"/>
    </w:p>
    <w:p w:rsidR="0012474E" w:rsidRPr="0095658B" w:rsidRDefault="0012474E" w:rsidP="0012474E">
      <w:pPr>
        <w:jc w:val="both"/>
        <w:rPr>
          <w:sz w:val="22"/>
          <w:szCs w:val="22"/>
        </w:rPr>
      </w:pPr>
    </w:p>
    <w:p w:rsidR="0012474E" w:rsidRPr="0095658B" w:rsidRDefault="0012474E" w:rsidP="0012474E">
      <w:pPr>
        <w:jc w:val="both"/>
        <w:rPr>
          <w:sz w:val="22"/>
          <w:szCs w:val="22"/>
        </w:rPr>
      </w:pPr>
      <w:r w:rsidRPr="0095658B">
        <w:rPr>
          <w:b/>
          <w:sz w:val="22"/>
          <w:szCs w:val="22"/>
        </w:rPr>
        <w:t>VII.</w:t>
      </w:r>
      <w:r w:rsidRPr="0095658B">
        <w:rPr>
          <w:sz w:val="22"/>
          <w:szCs w:val="22"/>
        </w:rPr>
        <w:t xml:space="preserve"> </w:t>
      </w:r>
      <w:r w:rsidRPr="0095658B">
        <w:rPr>
          <w:b/>
          <w:bCs/>
          <w:sz w:val="22"/>
          <w:szCs w:val="22"/>
        </w:rPr>
        <w:t xml:space="preserve">For more information contact: </w:t>
      </w:r>
    </w:p>
    <w:p w:rsidR="0012474E" w:rsidRPr="0095658B" w:rsidRDefault="0012474E" w:rsidP="0012474E">
      <w:pPr>
        <w:jc w:val="both"/>
        <w:rPr>
          <w:sz w:val="22"/>
          <w:szCs w:val="22"/>
        </w:rPr>
      </w:pPr>
      <w:r w:rsidRPr="0095658B">
        <w:rPr>
          <w:sz w:val="22"/>
          <w:szCs w:val="22"/>
        </w:rPr>
        <w:t xml:space="preserve">The </w:t>
      </w:r>
      <w:proofErr w:type="spellStart"/>
      <w:r w:rsidRPr="0095658B">
        <w:rPr>
          <w:sz w:val="22"/>
          <w:szCs w:val="22"/>
        </w:rPr>
        <w:t>InfoShop</w:t>
      </w:r>
      <w:proofErr w:type="spellEnd"/>
      <w:r w:rsidRPr="0095658B">
        <w:rPr>
          <w:sz w:val="22"/>
          <w:szCs w:val="22"/>
        </w:rPr>
        <w:t xml:space="preserve"> </w:t>
      </w:r>
    </w:p>
    <w:p w:rsidR="0012474E" w:rsidRPr="0095658B" w:rsidRDefault="0012474E" w:rsidP="0012474E">
      <w:pPr>
        <w:jc w:val="both"/>
        <w:rPr>
          <w:sz w:val="22"/>
          <w:szCs w:val="22"/>
        </w:rPr>
      </w:pPr>
      <w:r w:rsidRPr="0095658B">
        <w:rPr>
          <w:sz w:val="22"/>
          <w:szCs w:val="22"/>
        </w:rPr>
        <w:t xml:space="preserve">The World Bank </w:t>
      </w:r>
    </w:p>
    <w:p w:rsidR="0012474E" w:rsidRPr="0095658B" w:rsidRDefault="0012474E" w:rsidP="0012474E">
      <w:pPr>
        <w:jc w:val="both"/>
        <w:rPr>
          <w:sz w:val="22"/>
          <w:szCs w:val="22"/>
        </w:rPr>
      </w:pPr>
      <w:r w:rsidRPr="0095658B">
        <w:rPr>
          <w:sz w:val="22"/>
          <w:szCs w:val="22"/>
        </w:rPr>
        <w:t xml:space="preserve">1818 H Street, NW </w:t>
      </w:r>
    </w:p>
    <w:p w:rsidR="0012474E" w:rsidRPr="0095658B" w:rsidRDefault="0012474E" w:rsidP="0012474E">
      <w:pPr>
        <w:jc w:val="both"/>
        <w:rPr>
          <w:sz w:val="22"/>
          <w:szCs w:val="22"/>
        </w:rPr>
      </w:pPr>
      <w:r w:rsidRPr="0095658B">
        <w:rPr>
          <w:sz w:val="22"/>
          <w:szCs w:val="22"/>
        </w:rPr>
        <w:t xml:space="preserve">Washington, D.C. 20433 </w:t>
      </w:r>
    </w:p>
    <w:p w:rsidR="0012474E" w:rsidRPr="0095658B" w:rsidRDefault="0012474E" w:rsidP="0012474E">
      <w:pPr>
        <w:jc w:val="both"/>
        <w:rPr>
          <w:sz w:val="22"/>
          <w:szCs w:val="22"/>
        </w:rPr>
      </w:pPr>
      <w:r w:rsidRPr="0095658B">
        <w:rPr>
          <w:sz w:val="22"/>
          <w:szCs w:val="22"/>
        </w:rPr>
        <w:t xml:space="preserve">Telephone: (202) 458-4500 </w:t>
      </w:r>
    </w:p>
    <w:p w:rsidR="0012474E" w:rsidRPr="0095658B" w:rsidRDefault="0012474E" w:rsidP="0012474E">
      <w:pPr>
        <w:jc w:val="both"/>
        <w:rPr>
          <w:sz w:val="22"/>
          <w:szCs w:val="22"/>
        </w:rPr>
      </w:pPr>
      <w:r w:rsidRPr="0095658B">
        <w:rPr>
          <w:sz w:val="22"/>
          <w:szCs w:val="22"/>
        </w:rPr>
        <w:t xml:space="preserve">Fax: (202) 522-1500 </w:t>
      </w:r>
    </w:p>
    <w:p w:rsidR="0012474E" w:rsidRPr="0095658B" w:rsidRDefault="0012474E" w:rsidP="0012474E">
      <w:pPr>
        <w:jc w:val="both"/>
        <w:rPr>
          <w:sz w:val="22"/>
          <w:szCs w:val="22"/>
        </w:rPr>
      </w:pPr>
      <w:r w:rsidRPr="0095658B">
        <w:rPr>
          <w:sz w:val="22"/>
          <w:szCs w:val="22"/>
        </w:rPr>
        <w:t>Web: http://www.worldbank.org/infoshop</w:t>
      </w:r>
    </w:p>
    <w:sectPr w:rsidR="0012474E" w:rsidRPr="0095658B" w:rsidSect="0039529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94" w:rsidRDefault="00D22694" w:rsidP="00D866BD">
      <w:r>
        <w:separator/>
      </w:r>
    </w:p>
  </w:endnote>
  <w:endnote w:type="continuationSeparator" w:id="0">
    <w:p w:rsidR="00D22694" w:rsidRDefault="00D22694" w:rsidP="00D8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76047"/>
      <w:docPartObj>
        <w:docPartGallery w:val="Page Numbers (Bottom of Page)"/>
        <w:docPartUnique/>
      </w:docPartObj>
    </w:sdtPr>
    <w:sdtEndPr/>
    <w:sdtContent>
      <w:p w:rsidR="0029256D" w:rsidRDefault="00C57DB4">
        <w:pPr>
          <w:pStyle w:val="Footer"/>
          <w:jc w:val="right"/>
        </w:pPr>
        <w:r>
          <w:fldChar w:fldCharType="begin"/>
        </w:r>
        <w:r>
          <w:instrText xml:space="preserve"> PAGE   \* MERGEFORMAT </w:instrText>
        </w:r>
        <w:r>
          <w:fldChar w:fldCharType="separate"/>
        </w:r>
        <w:r w:rsidR="00B11D98">
          <w:rPr>
            <w:noProof/>
          </w:rPr>
          <w:t>1</w:t>
        </w:r>
        <w:r>
          <w:rPr>
            <w:noProof/>
          </w:rPr>
          <w:fldChar w:fldCharType="end"/>
        </w:r>
      </w:p>
    </w:sdtContent>
  </w:sdt>
  <w:p w:rsidR="0029256D" w:rsidRDefault="0029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94" w:rsidRDefault="00D22694" w:rsidP="00D866BD">
      <w:r>
        <w:separator/>
      </w:r>
    </w:p>
  </w:footnote>
  <w:footnote w:type="continuationSeparator" w:id="0">
    <w:p w:rsidR="00D22694" w:rsidRDefault="00D22694" w:rsidP="00D866BD">
      <w:r>
        <w:continuationSeparator/>
      </w:r>
    </w:p>
  </w:footnote>
  <w:footnote w:id="1">
    <w:p w:rsidR="0029256D" w:rsidRDefault="0029256D" w:rsidP="00BD48EE">
      <w:pPr>
        <w:pStyle w:val="FootnoteText"/>
      </w:pPr>
      <w:r>
        <w:rPr>
          <w:rStyle w:val="FootnoteReference"/>
        </w:rPr>
        <w:footnoteRef/>
      </w:r>
      <w:r>
        <w:t xml:space="preserve"> </w:t>
      </w:r>
      <w:r>
        <w:rPr>
          <w:bCs/>
          <w:iCs/>
        </w:rPr>
        <w:t>L</w:t>
      </w:r>
      <w:r w:rsidRPr="00867215">
        <w:rPr>
          <w:bCs/>
          <w:iCs/>
        </w:rPr>
        <w:t>ess than 50% population has access to formal financial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E623F"/>
    <w:multiLevelType w:val="hybridMultilevel"/>
    <w:tmpl w:val="8724D8D6"/>
    <w:lvl w:ilvl="0" w:tplc="69FC5CE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233EC"/>
    <w:multiLevelType w:val="hybridMultilevel"/>
    <w:tmpl w:val="D50A6F3A"/>
    <w:lvl w:ilvl="0" w:tplc="2B7479EC">
      <w:start w:val="6"/>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25643"/>
    <w:multiLevelType w:val="hybridMultilevel"/>
    <w:tmpl w:val="710C524C"/>
    <w:lvl w:ilvl="0" w:tplc="033A3706">
      <w:start w:val="1"/>
      <w:numFmt w:val="bullet"/>
      <w:lvlText w:val=""/>
      <w:lvlJc w:val="left"/>
      <w:pPr>
        <w:tabs>
          <w:tab w:val="num" w:pos="1080"/>
        </w:tabs>
        <w:ind w:left="1080" w:hanging="360"/>
      </w:pPr>
      <w:rPr>
        <w:rFonts w:ascii="Symbol" w:hAnsi="Symbol" w:hint="default"/>
      </w:rPr>
    </w:lvl>
    <w:lvl w:ilvl="1" w:tplc="3DB25CC2">
      <w:start w:val="135"/>
      <w:numFmt w:val="decimal"/>
      <w:lvlText w:val="%2."/>
      <w:lvlJc w:val="left"/>
      <w:pPr>
        <w:tabs>
          <w:tab w:val="num" w:pos="720"/>
        </w:tabs>
        <w:ind w:left="0" w:firstLine="0"/>
      </w:pPr>
      <w:rPr>
        <w:rFonts w:hint="default"/>
        <w:color w:val="auto"/>
      </w:rPr>
    </w:lvl>
    <w:lvl w:ilvl="2" w:tplc="E3E4521A" w:tentative="1">
      <w:start w:val="1"/>
      <w:numFmt w:val="lowerRoman"/>
      <w:lvlText w:val="%3."/>
      <w:lvlJc w:val="right"/>
      <w:pPr>
        <w:tabs>
          <w:tab w:val="num" w:pos="2880"/>
        </w:tabs>
        <w:ind w:left="2880" w:hanging="180"/>
      </w:pPr>
    </w:lvl>
    <w:lvl w:ilvl="3" w:tplc="0FB267FE" w:tentative="1">
      <w:start w:val="1"/>
      <w:numFmt w:val="decimal"/>
      <w:lvlText w:val="%4."/>
      <w:lvlJc w:val="left"/>
      <w:pPr>
        <w:tabs>
          <w:tab w:val="num" w:pos="3600"/>
        </w:tabs>
        <w:ind w:left="3600" w:hanging="360"/>
      </w:pPr>
    </w:lvl>
    <w:lvl w:ilvl="4" w:tplc="D48237C6" w:tentative="1">
      <w:start w:val="1"/>
      <w:numFmt w:val="lowerLetter"/>
      <w:lvlText w:val="%5."/>
      <w:lvlJc w:val="left"/>
      <w:pPr>
        <w:tabs>
          <w:tab w:val="num" w:pos="4320"/>
        </w:tabs>
        <w:ind w:left="4320" w:hanging="360"/>
      </w:pPr>
    </w:lvl>
    <w:lvl w:ilvl="5" w:tplc="0D2A841A" w:tentative="1">
      <w:start w:val="1"/>
      <w:numFmt w:val="lowerRoman"/>
      <w:lvlText w:val="%6."/>
      <w:lvlJc w:val="right"/>
      <w:pPr>
        <w:tabs>
          <w:tab w:val="num" w:pos="5040"/>
        </w:tabs>
        <w:ind w:left="5040" w:hanging="180"/>
      </w:pPr>
    </w:lvl>
    <w:lvl w:ilvl="6" w:tplc="3D544542" w:tentative="1">
      <w:start w:val="1"/>
      <w:numFmt w:val="decimal"/>
      <w:lvlText w:val="%7."/>
      <w:lvlJc w:val="left"/>
      <w:pPr>
        <w:tabs>
          <w:tab w:val="num" w:pos="5760"/>
        </w:tabs>
        <w:ind w:left="5760" w:hanging="360"/>
      </w:pPr>
    </w:lvl>
    <w:lvl w:ilvl="7" w:tplc="63C012D2" w:tentative="1">
      <w:start w:val="1"/>
      <w:numFmt w:val="lowerLetter"/>
      <w:lvlText w:val="%8."/>
      <w:lvlJc w:val="left"/>
      <w:pPr>
        <w:tabs>
          <w:tab w:val="num" w:pos="6480"/>
        </w:tabs>
        <w:ind w:left="6480" w:hanging="360"/>
      </w:pPr>
    </w:lvl>
    <w:lvl w:ilvl="8" w:tplc="6090D578" w:tentative="1">
      <w:start w:val="1"/>
      <w:numFmt w:val="lowerRoman"/>
      <w:lvlText w:val="%9."/>
      <w:lvlJc w:val="right"/>
      <w:pPr>
        <w:tabs>
          <w:tab w:val="num" w:pos="7200"/>
        </w:tabs>
        <w:ind w:left="7200" w:hanging="180"/>
      </w:pPr>
    </w:lvl>
  </w:abstractNum>
  <w:abstractNum w:abstractNumId="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3215B7"/>
    <w:multiLevelType w:val="hybridMultilevel"/>
    <w:tmpl w:val="B3E4E376"/>
    <w:lvl w:ilvl="0" w:tplc="69FC5CE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CC638C"/>
    <w:multiLevelType w:val="hybridMultilevel"/>
    <w:tmpl w:val="D75A28D0"/>
    <w:lvl w:ilvl="0" w:tplc="08ECC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5A0038"/>
    <w:multiLevelType w:val="hybridMultilevel"/>
    <w:tmpl w:val="4BEE5F98"/>
    <w:lvl w:ilvl="0" w:tplc="D8863F22">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8D3D11"/>
    <w:multiLevelType w:val="hybridMultilevel"/>
    <w:tmpl w:val="DA42A3FC"/>
    <w:lvl w:ilvl="0" w:tplc="04090001">
      <w:start w:val="1"/>
      <w:numFmt w:val="decimal"/>
      <w:lvlText w:val="%1."/>
      <w:lvlJc w:val="left"/>
      <w:pPr>
        <w:tabs>
          <w:tab w:val="num" w:pos="720"/>
        </w:tabs>
        <w:ind w:left="0" w:firstLine="0"/>
      </w:pPr>
      <w:rPr>
        <w:rFonts w:hint="default"/>
        <w:b w:val="0"/>
        <w:i w:val="0"/>
        <w:sz w:val="24"/>
        <w:szCs w:val="24"/>
        <w:effect w:val="none"/>
      </w:rPr>
    </w:lvl>
    <w:lvl w:ilvl="1" w:tplc="04090003">
      <w:start w:val="1"/>
      <w:numFmt w:val="decimal"/>
      <w:lvlText w:val="%2."/>
      <w:lvlJc w:val="left"/>
      <w:pPr>
        <w:tabs>
          <w:tab w:val="num" w:pos="720"/>
        </w:tabs>
        <w:ind w:left="0" w:firstLine="0"/>
      </w:pPr>
      <w:rPr>
        <w:rFonts w:hint="default"/>
        <w:b w:val="0"/>
        <w:i w:val="0"/>
        <w:sz w:val="24"/>
        <w:szCs w:val="24"/>
        <w:effect w:val="none"/>
      </w:rPr>
    </w:lvl>
    <w:lvl w:ilvl="2" w:tplc="04090005">
      <w:start w:val="1"/>
      <w:numFmt w:val="lowerRoman"/>
      <w:lvlText w:val="%3."/>
      <w:lvlJc w:val="right"/>
      <w:pPr>
        <w:tabs>
          <w:tab w:val="num" w:pos="2160"/>
        </w:tabs>
        <w:ind w:left="2160" w:hanging="180"/>
      </w:pPr>
      <w:rPr>
        <w:b w:val="0"/>
      </w:rPr>
    </w:lvl>
    <w:lvl w:ilvl="3" w:tplc="04090001">
      <w:numFmt w:val="bullet"/>
      <w:lvlText w:val="-"/>
      <w:lvlJc w:val="left"/>
      <w:pPr>
        <w:tabs>
          <w:tab w:val="num" w:pos="3390"/>
        </w:tabs>
        <w:ind w:left="3390" w:hanging="870"/>
      </w:pPr>
      <w:rPr>
        <w:rFonts w:ascii="Times New Roman" w:eastAsia="Times New Roman" w:hAnsi="Times New Roman"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6128177F"/>
    <w:multiLevelType w:val="hybridMultilevel"/>
    <w:tmpl w:val="BBD6A270"/>
    <w:lvl w:ilvl="0" w:tplc="7D964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AE09D6"/>
    <w:multiLevelType w:val="hybridMultilevel"/>
    <w:tmpl w:val="01A44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4"/>
  </w:num>
  <w:num w:numId="4">
    <w:abstractNumId w:val="3"/>
  </w:num>
  <w:num w:numId="5">
    <w:abstractNumId w:val="7"/>
  </w:num>
  <w:num w:numId="6">
    <w:abstractNumId w:val="0"/>
  </w:num>
  <w:num w:numId="7">
    <w:abstractNumId w:val="13"/>
  </w:num>
  <w:num w:numId="8">
    <w:abstractNumId w:val="1"/>
  </w:num>
  <w:num w:numId="9">
    <w:abstractNumId w:val="10"/>
  </w:num>
  <w:num w:numId="10">
    <w:abstractNumId w:val="8"/>
  </w:num>
  <w:num w:numId="11">
    <w:abstractNumId w:val="11"/>
  </w:num>
  <w:num w:numId="12">
    <w:abstractNumId w:val="5"/>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C1"/>
    <w:rsid w:val="00023152"/>
    <w:rsid w:val="000546D5"/>
    <w:rsid w:val="00065893"/>
    <w:rsid w:val="000707BD"/>
    <w:rsid w:val="0008316B"/>
    <w:rsid w:val="000839FB"/>
    <w:rsid w:val="000B35B0"/>
    <w:rsid w:val="001208EC"/>
    <w:rsid w:val="0012474E"/>
    <w:rsid w:val="001752A1"/>
    <w:rsid w:val="001A05ED"/>
    <w:rsid w:val="001C2163"/>
    <w:rsid w:val="001C23D2"/>
    <w:rsid w:val="001C578B"/>
    <w:rsid w:val="001C7CAA"/>
    <w:rsid w:val="00210C65"/>
    <w:rsid w:val="00213EFF"/>
    <w:rsid w:val="00220DBE"/>
    <w:rsid w:val="00232A01"/>
    <w:rsid w:val="00234699"/>
    <w:rsid w:val="00253DC1"/>
    <w:rsid w:val="0029256D"/>
    <w:rsid w:val="002B1246"/>
    <w:rsid w:val="002D00ED"/>
    <w:rsid w:val="002D1C16"/>
    <w:rsid w:val="002E0BA6"/>
    <w:rsid w:val="002F6CB4"/>
    <w:rsid w:val="0030001B"/>
    <w:rsid w:val="00333F43"/>
    <w:rsid w:val="00356480"/>
    <w:rsid w:val="00387FEC"/>
    <w:rsid w:val="00395294"/>
    <w:rsid w:val="003A49D0"/>
    <w:rsid w:val="004119A8"/>
    <w:rsid w:val="00414163"/>
    <w:rsid w:val="004256CE"/>
    <w:rsid w:val="00427722"/>
    <w:rsid w:val="004305DE"/>
    <w:rsid w:val="0044200E"/>
    <w:rsid w:val="004A3B3B"/>
    <w:rsid w:val="004B2BD2"/>
    <w:rsid w:val="004E6806"/>
    <w:rsid w:val="0050042B"/>
    <w:rsid w:val="00520C0D"/>
    <w:rsid w:val="005229AD"/>
    <w:rsid w:val="0053104C"/>
    <w:rsid w:val="00574DA5"/>
    <w:rsid w:val="00574E53"/>
    <w:rsid w:val="005A2C56"/>
    <w:rsid w:val="005F191F"/>
    <w:rsid w:val="00637122"/>
    <w:rsid w:val="00641838"/>
    <w:rsid w:val="00643613"/>
    <w:rsid w:val="00645288"/>
    <w:rsid w:val="006519FA"/>
    <w:rsid w:val="006541EA"/>
    <w:rsid w:val="00686007"/>
    <w:rsid w:val="00686672"/>
    <w:rsid w:val="006954A1"/>
    <w:rsid w:val="006C00E9"/>
    <w:rsid w:val="00701112"/>
    <w:rsid w:val="00701263"/>
    <w:rsid w:val="00704611"/>
    <w:rsid w:val="0073680F"/>
    <w:rsid w:val="00740E4C"/>
    <w:rsid w:val="0076174E"/>
    <w:rsid w:val="007711D5"/>
    <w:rsid w:val="007742F0"/>
    <w:rsid w:val="00776C6E"/>
    <w:rsid w:val="00781614"/>
    <w:rsid w:val="00785D3F"/>
    <w:rsid w:val="00797F78"/>
    <w:rsid w:val="007D2E40"/>
    <w:rsid w:val="007F3BFB"/>
    <w:rsid w:val="007F747E"/>
    <w:rsid w:val="00802A39"/>
    <w:rsid w:val="00811BE4"/>
    <w:rsid w:val="00816DB6"/>
    <w:rsid w:val="0084495E"/>
    <w:rsid w:val="008471E3"/>
    <w:rsid w:val="00850E48"/>
    <w:rsid w:val="00886A8B"/>
    <w:rsid w:val="008A2A26"/>
    <w:rsid w:val="008B5BFB"/>
    <w:rsid w:val="008C31AC"/>
    <w:rsid w:val="008E139B"/>
    <w:rsid w:val="008F0598"/>
    <w:rsid w:val="00906B44"/>
    <w:rsid w:val="00947EED"/>
    <w:rsid w:val="00950084"/>
    <w:rsid w:val="00952BAD"/>
    <w:rsid w:val="0095658B"/>
    <w:rsid w:val="009952D3"/>
    <w:rsid w:val="009A6D0C"/>
    <w:rsid w:val="009B4831"/>
    <w:rsid w:val="009D0303"/>
    <w:rsid w:val="009D0328"/>
    <w:rsid w:val="00A14C25"/>
    <w:rsid w:val="00A43299"/>
    <w:rsid w:val="00A835B9"/>
    <w:rsid w:val="00A911D8"/>
    <w:rsid w:val="00A94672"/>
    <w:rsid w:val="00AA2320"/>
    <w:rsid w:val="00AD7D60"/>
    <w:rsid w:val="00AE0E4F"/>
    <w:rsid w:val="00AE1070"/>
    <w:rsid w:val="00B11D98"/>
    <w:rsid w:val="00B33887"/>
    <w:rsid w:val="00B428EE"/>
    <w:rsid w:val="00B610B4"/>
    <w:rsid w:val="00B8407D"/>
    <w:rsid w:val="00B97F40"/>
    <w:rsid w:val="00BA1514"/>
    <w:rsid w:val="00BB01FA"/>
    <w:rsid w:val="00BC358E"/>
    <w:rsid w:val="00BC445E"/>
    <w:rsid w:val="00BD48EE"/>
    <w:rsid w:val="00BF2880"/>
    <w:rsid w:val="00BF6F9A"/>
    <w:rsid w:val="00C12441"/>
    <w:rsid w:val="00C224FC"/>
    <w:rsid w:val="00C2271A"/>
    <w:rsid w:val="00C57DB4"/>
    <w:rsid w:val="00CB1CF6"/>
    <w:rsid w:val="00CB762F"/>
    <w:rsid w:val="00CC5959"/>
    <w:rsid w:val="00CF3809"/>
    <w:rsid w:val="00D14D35"/>
    <w:rsid w:val="00D22694"/>
    <w:rsid w:val="00D27557"/>
    <w:rsid w:val="00D33165"/>
    <w:rsid w:val="00D50E9B"/>
    <w:rsid w:val="00D81B7E"/>
    <w:rsid w:val="00D85CF1"/>
    <w:rsid w:val="00D866BD"/>
    <w:rsid w:val="00D917F8"/>
    <w:rsid w:val="00D93E6E"/>
    <w:rsid w:val="00DB64F1"/>
    <w:rsid w:val="00DE38F3"/>
    <w:rsid w:val="00DE7588"/>
    <w:rsid w:val="00E12D37"/>
    <w:rsid w:val="00E143E2"/>
    <w:rsid w:val="00E75913"/>
    <w:rsid w:val="00E97CA2"/>
    <w:rsid w:val="00EA127E"/>
    <w:rsid w:val="00ED42A3"/>
    <w:rsid w:val="00F0644E"/>
    <w:rsid w:val="00F16EA8"/>
    <w:rsid w:val="00F431DC"/>
    <w:rsid w:val="00F64799"/>
    <w:rsid w:val="00FB7E00"/>
    <w:rsid w:val="00FD0944"/>
    <w:rsid w:val="00FD47AE"/>
    <w:rsid w:val="00FE3213"/>
    <w:rsid w:val="00FE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37"/>
    <w:rPr>
      <w:sz w:val="24"/>
      <w:szCs w:val="24"/>
      <w:lang w:val="en-US" w:eastAsia="en-US"/>
    </w:rPr>
  </w:style>
  <w:style w:type="paragraph" w:styleId="Heading1">
    <w:name w:val="heading 1"/>
    <w:basedOn w:val="Normal"/>
    <w:next w:val="Normal"/>
    <w:qFormat/>
    <w:rsid w:val="00E12D37"/>
    <w:pPr>
      <w:keepNext/>
      <w:outlineLvl w:val="0"/>
    </w:pPr>
    <w:rPr>
      <w:b/>
      <w:bCs/>
    </w:rPr>
  </w:style>
  <w:style w:type="paragraph" w:styleId="Heading2">
    <w:name w:val="heading 2"/>
    <w:basedOn w:val="Normal"/>
    <w:next w:val="Normal"/>
    <w:qFormat/>
    <w:rsid w:val="00E12D37"/>
    <w:pPr>
      <w:keepNext/>
      <w:jc w:val="center"/>
      <w:outlineLvl w:val="1"/>
    </w:pPr>
    <w:rPr>
      <w:b/>
      <w:bCs/>
    </w:rPr>
  </w:style>
  <w:style w:type="paragraph" w:styleId="Heading3">
    <w:name w:val="heading 3"/>
    <w:basedOn w:val="Normal"/>
    <w:next w:val="Normal"/>
    <w:qFormat/>
    <w:rsid w:val="00E12D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2D37"/>
    <w:pPr>
      <w:ind w:left="-108"/>
      <w:jc w:val="both"/>
    </w:pPr>
  </w:style>
  <w:style w:type="character" w:styleId="CommentReference">
    <w:name w:val="annotation reference"/>
    <w:basedOn w:val="DefaultParagraphFont"/>
    <w:semiHidden/>
    <w:rsid w:val="00E12D37"/>
    <w:rPr>
      <w:sz w:val="16"/>
      <w:szCs w:val="16"/>
    </w:rPr>
  </w:style>
  <w:style w:type="paragraph" w:styleId="CommentText">
    <w:name w:val="annotation text"/>
    <w:basedOn w:val="Normal"/>
    <w:semiHidden/>
    <w:rsid w:val="00E12D37"/>
    <w:rPr>
      <w:sz w:val="20"/>
      <w:szCs w:val="20"/>
    </w:rPr>
  </w:style>
  <w:style w:type="paragraph" w:styleId="BodyText">
    <w:name w:val="Body Text"/>
    <w:basedOn w:val="Normal"/>
    <w:rsid w:val="00E12D37"/>
    <w:rPr>
      <w:i/>
      <w:iCs/>
      <w:strike/>
    </w:rPr>
  </w:style>
  <w:style w:type="paragraph" w:styleId="HTMLPreformatted">
    <w:name w:val="HTML Preformatted"/>
    <w:basedOn w:val="Normal"/>
    <w:rsid w:val="00E1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link w:val="BankNormalChar"/>
    <w:rsid w:val="00E12D37"/>
    <w:pPr>
      <w:spacing w:after="240"/>
    </w:pPr>
    <w:rPr>
      <w:szCs w:val="20"/>
    </w:rPr>
  </w:style>
  <w:style w:type="character" w:styleId="Hyperlink">
    <w:name w:val="Hyperlink"/>
    <w:basedOn w:val="DefaultParagraphFont"/>
    <w:rsid w:val="00E12D37"/>
    <w:rPr>
      <w:color w:val="0000FF"/>
      <w:u w:val="single"/>
    </w:rPr>
  </w:style>
  <w:style w:type="paragraph" w:styleId="BalloonText">
    <w:name w:val="Balloon Text"/>
    <w:basedOn w:val="Normal"/>
    <w:semiHidden/>
    <w:rsid w:val="00253DC1"/>
    <w:rPr>
      <w:rFonts w:ascii="Tahoma" w:hAnsi="Tahoma" w:cs="Tahoma"/>
      <w:sz w:val="16"/>
      <w:szCs w:val="16"/>
    </w:rPr>
  </w:style>
  <w:style w:type="character" w:customStyle="1" w:styleId="BankNormalChar">
    <w:name w:val="BankNormal Char"/>
    <w:basedOn w:val="DefaultParagraphFont"/>
    <w:link w:val="BankNormal"/>
    <w:rsid w:val="00253DC1"/>
    <w:rPr>
      <w:sz w:val="24"/>
      <w:lang w:val="en-US" w:eastAsia="en-US" w:bidi="ar-SA"/>
    </w:rPr>
  </w:style>
  <w:style w:type="paragraph" w:styleId="ListParagraph">
    <w:name w:val="List Paragraph"/>
    <w:basedOn w:val="Normal"/>
    <w:link w:val="ListParagraphChar"/>
    <w:uiPriority w:val="34"/>
    <w:qFormat/>
    <w:rsid w:val="001C578B"/>
    <w:pPr>
      <w:ind w:left="720"/>
      <w:contextualSpacing/>
    </w:pPr>
  </w:style>
  <w:style w:type="paragraph" w:styleId="Header">
    <w:name w:val="header"/>
    <w:basedOn w:val="Normal"/>
    <w:link w:val="HeaderChar"/>
    <w:rsid w:val="00D866BD"/>
    <w:pPr>
      <w:tabs>
        <w:tab w:val="center" w:pos="4680"/>
        <w:tab w:val="right" w:pos="9360"/>
      </w:tabs>
    </w:pPr>
  </w:style>
  <w:style w:type="character" w:customStyle="1" w:styleId="HeaderChar">
    <w:name w:val="Header Char"/>
    <w:basedOn w:val="DefaultParagraphFont"/>
    <w:link w:val="Header"/>
    <w:rsid w:val="00D866BD"/>
    <w:rPr>
      <w:sz w:val="24"/>
      <w:szCs w:val="24"/>
      <w:lang w:val="en-US" w:eastAsia="en-US"/>
    </w:rPr>
  </w:style>
  <w:style w:type="paragraph" w:styleId="Footer">
    <w:name w:val="footer"/>
    <w:basedOn w:val="Normal"/>
    <w:link w:val="FooterChar"/>
    <w:uiPriority w:val="99"/>
    <w:rsid w:val="00D866BD"/>
    <w:pPr>
      <w:tabs>
        <w:tab w:val="center" w:pos="4680"/>
        <w:tab w:val="right" w:pos="9360"/>
      </w:tabs>
    </w:pPr>
  </w:style>
  <w:style w:type="character" w:customStyle="1" w:styleId="FooterChar">
    <w:name w:val="Footer Char"/>
    <w:basedOn w:val="DefaultParagraphFont"/>
    <w:link w:val="Footer"/>
    <w:uiPriority w:val="99"/>
    <w:rsid w:val="00D866BD"/>
    <w:rPr>
      <w:sz w:val="24"/>
      <w:szCs w:val="24"/>
      <w:lang w:val="en-US" w:eastAsia="en-US"/>
    </w:rPr>
  </w:style>
  <w:style w:type="paragraph" w:styleId="Caption">
    <w:name w:val="caption"/>
    <w:aliases w:val="chart title,quarterly chart caption,quarterly chart caption Char Char"/>
    <w:basedOn w:val="Normal"/>
    <w:next w:val="Normal"/>
    <w:link w:val="CaptionChar"/>
    <w:qFormat/>
    <w:rsid w:val="008471E3"/>
    <w:rPr>
      <w:rFonts w:eastAsia="MS Mincho"/>
      <w:b/>
      <w:bCs/>
      <w:sz w:val="20"/>
      <w:szCs w:val="20"/>
      <w:lang w:eastAsia="ja-JP"/>
    </w:rPr>
  </w:style>
  <w:style w:type="character" w:customStyle="1" w:styleId="CaptionChar">
    <w:name w:val="Caption Char"/>
    <w:aliases w:val="chart title Char,quarterly chart caption Char,quarterly chart caption Char Char Char"/>
    <w:basedOn w:val="DefaultParagraphFont"/>
    <w:link w:val="Caption"/>
    <w:rsid w:val="008471E3"/>
    <w:rPr>
      <w:rFonts w:eastAsia="MS Mincho"/>
      <w:b/>
      <w:bCs/>
      <w:lang w:val="en-US" w:eastAsia="ja-JP"/>
    </w:rPr>
  </w:style>
  <w:style w:type="character" w:customStyle="1" w:styleId="ListParagraphChar">
    <w:name w:val="List Paragraph Char"/>
    <w:basedOn w:val="DefaultParagraphFont"/>
    <w:link w:val="ListParagraph"/>
    <w:uiPriority w:val="34"/>
    <w:locked/>
    <w:rsid w:val="00CB762F"/>
    <w:rPr>
      <w:sz w:val="24"/>
      <w:szCs w:val="24"/>
      <w:lang w:val="en-US" w:eastAsia="en-US"/>
    </w:rPr>
  </w:style>
  <w:style w:type="paragraph" w:styleId="FootnoteText">
    <w:name w:val="footnote text"/>
    <w:aliases w:val="ft,fn,single space,footnote text,Texto nota pie Car,ft Car,ft Car Car,Texto nota pie2,ft1,ft Car Car Car1,Texto nota pie Car2,ft Car Car2,ft Car Car Car,FOOTNOTES,ALTS FOOTNOTE,ADB,Footnote Text Char1,f,Geneva 9, Char,FN"/>
    <w:basedOn w:val="Normal"/>
    <w:link w:val="FootnoteTextChar2"/>
    <w:uiPriority w:val="99"/>
    <w:rsid w:val="00BD48EE"/>
    <w:rPr>
      <w:sz w:val="20"/>
      <w:szCs w:val="20"/>
    </w:rPr>
  </w:style>
  <w:style w:type="character" w:customStyle="1" w:styleId="FootnoteTextChar">
    <w:name w:val="Footnote Text Char"/>
    <w:basedOn w:val="DefaultParagraphFont"/>
    <w:rsid w:val="00BD48EE"/>
    <w:rPr>
      <w:lang w:val="en-US" w:eastAsia="en-US"/>
    </w:rPr>
  </w:style>
  <w:style w:type="character" w:styleId="FootnoteReference">
    <w:name w:val="footnote reference"/>
    <w:aliases w:val="ftref,footnote ref, BVI fnr,BVI fnr,Char Char Char Char Car Char,referencia nota al pie,16 Point,Superscript 6 Point,fr,(NECG) Footnote Reference,Footnote text,Footnote Reference Number,Footnote Reference_LVL6,Footnote Reference_LVL61"/>
    <w:basedOn w:val="DefaultParagraphFont"/>
    <w:uiPriority w:val="99"/>
    <w:rsid w:val="00BD48EE"/>
    <w:rPr>
      <w:vertAlign w:val="superscript"/>
    </w:rPr>
  </w:style>
  <w:style w:type="character" w:customStyle="1" w:styleId="FootnoteTextChar2">
    <w:name w:val="Footnote Text Char2"/>
    <w:aliases w:val="ft Char,fn Char,single space Char,footnote text Char,Texto nota pie Car Char,ft Car Char,ft Car Car Char,Texto nota pie2 Char,ft1 Char,ft Car Car Car1 Char,Texto nota pie Car2 Char,ft Car Car2 Char,ft Car Car Car Char,FOOTNOTES Char"/>
    <w:basedOn w:val="DefaultParagraphFont"/>
    <w:link w:val="FootnoteText"/>
    <w:uiPriority w:val="99"/>
    <w:rsid w:val="00BD48E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37"/>
    <w:rPr>
      <w:sz w:val="24"/>
      <w:szCs w:val="24"/>
      <w:lang w:val="en-US" w:eastAsia="en-US"/>
    </w:rPr>
  </w:style>
  <w:style w:type="paragraph" w:styleId="Heading1">
    <w:name w:val="heading 1"/>
    <w:basedOn w:val="Normal"/>
    <w:next w:val="Normal"/>
    <w:qFormat/>
    <w:rsid w:val="00E12D37"/>
    <w:pPr>
      <w:keepNext/>
      <w:outlineLvl w:val="0"/>
    </w:pPr>
    <w:rPr>
      <w:b/>
      <w:bCs/>
    </w:rPr>
  </w:style>
  <w:style w:type="paragraph" w:styleId="Heading2">
    <w:name w:val="heading 2"/>
    <w:basedOn w:val="Normal"/>
    <w:next w:val="Normal"/>
    <w:qFormat/>
    <w:rsid w:val="00E12D37"/>
    <w:pPr>
      <w:keepNext/>
      <w:jc w:val="center"/>
      <w:outlineLvl w:val="1"/>
    </w:pPr>
    <w:rPr>
      <w:b/>
      <w:bCs/>
    </w:rPr>
  </w:style>
  <w:style w:type="paragraph" w:styleId="Heading3">
    <w:name w:val="heading 3"/>
    <w:basedOn w:val="Normal"/>
    <w:next w:val="Normal"/>
    <w:qFormat/>
    <w:rsid w:val="00E12D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2D37"/>
    <w:pPr>
      <w:ind w:left="-108"/>
      <w:jc w:val="both"/>
    </w:pPr>
  </w:style>
  <w:style w:type="character" w:styleId="CommentReference">
    <w:name w:val="annotation reference"/>
    <w:basedOn w:val="DefaultParagraphFont"/>
    <w:semiHidden/>
    <w:rsid w:val="00E12D37"/>
    <w:rPr>
      <w:sz w:val="16"/>
      <w:szCs w:val="16"/>
    </w:rPr>
  </w:style>
  <w:style w:type="paragraph" w:styleId="CommentText">
    <w:name w:val="annotation text"/>
    <w:basedOn w:val="Normal"/>
    <w:semiHidden/>
    <w:rsid w:val="00E12D37"/>
    <w:rPr>
      <w:sz w:val="20"/>
      <w:szCs w:val="20"/>
    </w:rPr>
  </w:style>
  <w:style w:type="paragraph" w:styleId="BodyText">
    <w:name w:val="Body Text"/>
    <w:basedOn w:val="Normal"/>
    <w:rsid w:val="00E12D37"/>
    <w:rPr>
      <w:i/>
      <w:iCs/>
      <w:strike/>
    </w:rPr>
  </w:style>
  <w:style w:type="paragraph" w:styleId="HTMLPreformatted">
    <w:name w:val="HTML Preformatted"/>
    <w:basedOn w:val="Normal"/>
    <w:rsid w:val="00E1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link w:val="BankNormalChar"/>
    <w:rsid w:val="00E12D37"/>
    <w:pPr>
      <w:spacing w:after="240"/>
    </w:pPr>
    <w:rPr>
      <w:szCs w:val="20"/>
    </w:rPr>
  </w:style>
  <w:style w:type="character" w:styleId="Hyperlink">
    <w:name w:val="Hyperlink"/>
    <w:basedOn w:val="DefaultParagraphFont"/>
    <w:rsid w:val="00E12D37"/>
    <w:rPr>
      <w:color w:val="0000FF"/>
      <w:u w:val="single"/>
    </w:rPr>
  </w:style>
  <w:style w:type="paragraph" w:styleId="BalloonText">
    <w:name w:val="Balloon Text"/>
    <w:basedOn w:val="Normal"/>
    <w:semiHidden/>
    <w:rsid w:val="00253DC1"/>
    <w:rPr>
      <w:rFonts w:ascii="Tahoma" w:hAnsi="Tahoma" w:cs="Tahoma"/>
      <w:sz w:val="16"/>
      <w:szCs w:val="16"/>
    </w:rPr>
  </w:style>
  <w:style w:type="character" w:customStyle="1" w:styleId="BankNormalChar">
    <w:name w:val="BankNormal Char"/>
    <w:basedOn w:val="DefaultParagraphFont"/>
    <w:link w:val="BankNormal"/>
    <w:rsid w:val="00253DC1"/>
    <w:rPr>
      <w:sz w:val="24"/>
      <w:lang w:val="en-US" w:eastAsia="en-US" w:bidi="ar-SA"/>
    </w:rPr>
  </w:style>
  <w:style w:type="paragraph" w:styleId="ListParagraph">
    <w:name w:val="List Paragraph"/>
    <w:basedOn w:val="Normal"/>
    <w:link w:val="ListParagraphChar"/>
    <w:uiPriority w:val="34"/>
    <w:qFormat/>
    <w:rsid w:val="001C578B"/>
    <w:pPr>
      <w:ind w:left="720"/>
      <w:contextualSpacing/>
    </w:pPr>
  </w:style>
  <w:style w:type="paragraph" w:styleId="Header">
    <w:name w:val="header"/>
    <w:basedOn w:val="Normal"/>
    <w:link w:val="HeaderChar"/>
    <w:rsid w:val="00D866BD"/>
    <w:pPr>
      <w:tabs>
        <w:tab w:val="center" w:pos="4680"/>
        <w:tab w:val="right" w:pos="9360"/>
      </w:tabs>
    </w:pPr>
  </w:style>
  <w:style w:type="character" w:customStyle="1" w:styleId="HeaderChar">
    <w:name w:val="Header Char"/>
    <w:basedOn w:val="DefaultParagraphFont"/>
    <w:link w:val="Header"/>
    <w:rsid w:val="00D866BD"/>
    <w:rPr>
      <w:sz w:val="24"/>
      <w:szCs w:val="24"/>
      <w:lang w:val="en-US" w:eastAsia="en-US"/>
    </w:rPr>
  </w:style>
  <w:style w:type="paragraph" w:styleId="Footer">
    <w:name w:val="footer"/>
    <w:basedOn w:val="Normal"/>
    <w:link w:val="FooterChar"/>
    <w:uiPriority w:val="99"/>
    <w:rsid w:val="00D866BD"/>
    <w:pPr>
      <w:tabs>
        <w:tab w:val="center" w:pos="4680"/>
        <w:tab w:val="right" w:pos="9360"/>
      </w:tabs>
    </w:pPr>
  </w:style>
  <w:style w:type="character" w:customStyle="1" w:styleId="FooterChar">
    <w:name w:val="Footer Char"/>
    <w:basedOn w:val="DefaultParagraphFont"/>
    <w:link w:val="Footer"/>
    <w:uiPriority w:val="99"/>
    <w:rsid w:val="00D866BD"/>
    <w:rPr>
      <w:sz w:val="24"/>
      <w:szCs w:val="24"/>
      <w:lang w:val="en-US" w:eastAsia="en-US"/>
    </w:rPr>
  </w:style>
  <w:style w:type="paragraph" w:styleId="Caption">
    <w:name w:val="caption"/>
    <w:aliases w:val="chart title,quarterly chart caption,quarterly chart caption Char Char"/>
    <w:basedOn w:val="Normal"/>
    <w:next w:val="Normal"/>
    <w:link w:val="CaptionChar"/>
    <w:qFormat/>
    <w:rsid w:val="008471E3"/>
    <w:rPr>
      <w:rFonts w:eastAsia="MS Mincho"/>
      <w:b/>
      <w:bCs/>
      <w:sz w:val="20"/>
      <w:szCs w:val="20"/>
      <w:lang w:eastAsia="ja-JP"/>
    </w:rPr>
  </w:style>
  <w:style w:type="character" w:customStyle="1" w:styleId="CaptionChar">
    <w:name w:val="Caption Char"/>
    <w:aliases w:val="chart title Char,quarterly chart caption Char,quarterly chart caption Char Char Char"/>
    <w:basedOn w:val="DefaultParagraphFont"/>
    <w:link w:val="Caption"/>
    <w:rsid w:val="008471E3"/>
    <w:rPr>
      <w:rFonts w:eastAsia="MS Mincho"/>
      <w:b/>
      <w:bCs/>
      <w:lang w:val="en-US" w:eastAsia="ja-JP"/>
    </w:rPr>
  </w:style>
  <w:style w:type="character" w:customStyle="1" w:styleId="ListParagraphChar">
    <w:name w:val="List Paragraph Char"/>
    <w:basedOn w:val="DefaultParagraphFont"/>
    <w:link w:val="ListParagraph"/>
    <w:uiPriority w:val="34"/>
    <w:locked/>
    <w:rsid w:val="00CB762F"/>
    <w:rPr>
      <w:sz w:val="24"/>
      <w:szCs w:val="24"/>
      <w:lang w:val="en-US" w:eastAsia="en-US"/>
    </w:rPr>
  </w:style>
  <w:style w:type="paragraph" w:styleId="FootnoteText">
    <w:name w:val="footnote text"/>
    <w:aliases w:val="ft,fn,single space,footnote text,Texto nota pie Car,ft Car,ft Car Car,Texto nota pie2,ft1,ft Car Car Car1,Texto nota pie Car2,ft Car Car2,ft Car Car Car,FOOTNOTES,ALTS FOOTNOTE,ADB,Footnote Text Char1,f,Geneva 9, Char,FN"/>
    <w:basedOn w:val="Normal"/>
    <w:link w:val="FootnoteTextChar2"/>
    <w:uiPriority w:val="99"/>
    <w:rsid w:val="00BD48EE"/>
    <w:rPr>
      <w:sz w:val="20"/>
      <w:szCs w:val="20"/>
    </w:rPr>
  </w:style>
  <w:style w:type="character" w:customStyle="1" w:styleId="FootnoteTextChar">
    <w:name w:val="Footnote Text Char"/>
    <w:basedOn w:val="DefaultParagraphFont"/>
    <w:rsid w:val="00BD48EE"/>
    <w:rPr>
      <w:lang w:val="en-US" w:eastAsia="en-US"/>
    </w:rPr>
  </w:style>
  <w:style w:type="character" w:styleId="FootnoteReference">
    <w:name w:val="footnote reference"/>
    <w:aliases w:val="ftref,footnote ref, BVI fnr,BVI fnr,Char Char Char Char Car Char,referencia nota al pie,16 Point,Superscript 6 Point,fr,(NECG) Footnote Reference,Footnote text,Footnote Reference Number,Footnote Reference_LVL6,Footnote Reference_LVL61"/>
    <w:basedOn w:val="DefaultParagraphFont"/>
    <w:uiPriority w:val="99"/>
    <w:rsid w:val="00BD48EE"/>
    <w:rPr>
      <w:vertAlign w:val="superscript"/>
    </w:rPr>
  </w:style>
  <w:style w:type="character" w:customStyle="1" w:styleId="FootnoteTextChar2">
    <w:name w:val="Footnote Text Char2"/>
    <w:aliases w:val="ft Char,fn Char,single space Char,footnote text Char,Texto nota pie Car Char,ft Car Char,ft Car Car Char,Texto nota pie2 Char,ft1 Char,ft Car Car Car1 Char,Texto nota pie Car2 Char,ft Car Car2 Char,ft Car Car Car Char,FOOTNOTES Char"/>
    <w:basedOn w:val="DefaultParagraphFont"/>
    <w:link w:val="FootnoteText"/>
    <w:uiPriority w:val="99"/>
    <w:rsid w:val="00BD48E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Erly Carina Tatontos</cp:lastModifiedBy>
  <cp:revision>3</cp:revision>
  <cp:lastPrinted>2012-01-03T10:34:00Z</cp:lastPrinted>
  <dcterms:created xsi:type="dcterms:W3CDTF">2014-04-16T09:09:00Z</dcterms:created>
  <dcterms:modified xsi:type="dcterms:W3CDTF">2014-04-16T09:10:00Z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AB4115</vt:lpwstr>
  </property>
  <property fmtid="{D5CDD505-2E9C-101B-9397-08002B2CF9AE}" pid="3" name="TEAMLEADER">
    <vt:lpwstr>Shubham Chaudhuri</vt:lpwstr>
  </property>
</Properties>
</file>