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FAEE70" w14:textId="77777777" w:rsidR="00D37D93" w:rsidRDefault="00D37D93" w:rsidP="00D37D93">
      <w:pPr>
        <w:rPr>
          <w:rFonts w:ascii="Times New Roman" w:hAnsi="Times New Roman" w:cs="Times New Roman"/>
        </w:rPr>
      </w:pPr>
    </w:p>
    <w:tbl>
      <w:tblPr>
        <w:tblW w:w="11042" w:type="dxa"/>
        <w:tblInd w:w="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0" w:type="dxa"/>
          <w:right w:w="50" w:type="dxa"/>
        </w:tblCellMar>
        <w:tblLook w:val="0000" w:firstRow="0" w:lastRow="0" w:firstColumn="0" w:lastColumn="0" w:noHBand="0" w:noVBand="0"/>
      </w:tblPr>
      <w:tblGrid>
        <w:gridCol w:w="221"/>
        <w:gridCol w:w="110"/>
        <w:gridCol w:w="10711"/>
      </w:tblGrid>
      <w:tr w:rsidR="00D37D93" w14:paraId="074FB0A1" w14:textId="77777777" w:rsidTr="00D37D93">
        <w:tc>
          <w:tcPr>
            <w:tcW w:w="221" w:type="dxa"/>
            <w:tcBorders>
              <w:top w:val="nil"/>
              <w:left w:val="nil"/>
              <w:bottom w:val="nil"/>
              <w:right w:val="nil"/>
            </w:tcBorders>
            <w:shd w:val="clear" w:color="auto" w:fill="FFFFFF"/>
            <w:tcMar>
              <w:top w:w="50" w:type="dxa"/>
              <w:left w:w="50" w:type="dxa"/>
              <w:bottom w:w="50" w:type="dxa"/>
              <w:right w:w="50" w:type="dxa"/>
            </w:tcMar>
            <w:vAlign w:val="center"/>
          </w:tcPr>
          <w:p w14:paraId="579A04D2" w14:textId="77777777" w:rsidR="00D37D93" w:rsidRDefault="00D37D93" w:rsidP="00A67311">
            <w:pPr>
              <w:rPr>
                <w:rFonts w:ascii="Times New Roman" w:hAnsi="Times New Roman" w:cs="Times New Roman"/>
              </w:rPr>
            </w:pPr>
          </w:p>
        </w:tc>
        <w:tc>
          <w:tcPr>
            <w:tcW w:w="10821" w:type="dxa"/>
            <w:gridSpan w:val="2"/>
            <w:tcBorders>
              <w:top w:val="nil"/>
              <w:left w:val="nil"/>
              <w:bottom w:val="nil"/>
              <w:right w:val="nil"/>
            </w:tcBorders>
            <w:shd w:val="clear" w:color="auto" w:fill="FFFFFF"/>
            <w:tcMar>
              <w:top w:w="50" w:type="dxa"/>
              <w:left w:w="50" w:type="dxa"/>
              <w:bottom w:w="50" w:type="dxa"/>
              <w:right w:w="50" w:type="dxa"/>
            </w:tcMar>
            <w:vAlign w:val="center"/>
          </w:tcPr>
          <w:p w14:paraId="4AB7C6BA" w14:textId="77777777" w:rsidR="00D37D93" w:rsidRDefault="00D37D93" w:rsidP="00A67311">
            <w:pPr>
              <w:rPr>
                <w:sz w:val="20"/>
                <w:szCs w:val="20"/>
              </w:rPr>
            </w:pPr>
            <w:r>
              <w:rPr>
                <w:sz w:val="20"/>
                <w:szCs w:val="20"/>
              </w:rPr>
              <w:t>Report No: ACS16557</w:t>
            </w:r>
          </w:p>
        </w:tc>
      </w:tr>
      <w:tr w:rsidR="00D37D93" w14:paraId="522363DE" w14:textId="77777777" w:rsidTr="00D37D93">
        <w:tc>
          <w:tcPr>
            <w:tcW w:w="11042" w:type="dxa"/>
            <w:gridSpan w:val="3"/>
            <w:tcBorders>
              <w:top w:val="nil"/>
              <w:left w:val="nil"/>
              <w:bottom w:val="nil"/>
              <w:right w:val="nil"/>
            </w:tcBorders>
            <w:shd w:val="clear" w:color="auto" w:fill="FFFFFF"/>
            <w:tcMar>
              <w:top w:w="50" w:type="dxa"/>
              <w:left w:w="50" w:type="dxa"/>
              <w:bottom w:w="50" w:type="dxa"/>
              <w:right w:w="50" w:type="dxa"/>
            </w:tcMar>
            <w:vAlign w:val="center"/>
          </w:tcPr>
          <w:p w14:paraId="1737C8E9" w14:textId="77777777" w:rsidR="00D37D93" w:rsidRDefault="00D37D93" w:rsidP="00A67311">
            <w:pPr>
              <w:rPr>
                <w:rFonts w:ascii="Times" w:hAnsi="Times" w:cs="Times"/>
                <w:color w:val="FFFFFF"/>
                <w:sz w:val="10"/>
                <w:szCs w:val="10"/>
              </w:rPr>
            </w:pPr>
            <w:r>
              <w:rPr>
                <w:rFonts w:ascii="Times" w:hAnsi="Times" w:cs="Times"/>
                <w:color w:val="FFFFFF"/>
                <w:sz w:val="10"/>
                <w:szCs w:val="10"/>
              </w:rPr>
              <w:t>.</w:t>
            </w:r>
          </w:p>
        </w:tc>
      </w:tr>
      <w:tr w:rsidR="00D37D93" w14:paraId="5C8B32B4" w14:textId="77777777" w:rsidTr="00D37D93">
        <w:tc>
          <w:tcPr>
            <w:tcW w:w="221" w:type="dxa"/>
            <w:tcBorders>
              <w:top w:val="nil"/>
              <w:left w:val="nil"/>
              <w:bottom w:val="nil"/>
              <w:right w:val="nil"/>
            </w:tcBorders>
            <w:shd w:val="clear" w:color="auto" w:fill="FFFFFF"/>
            <w:tcMar>
              <w:top w:w="50" w:type="dxa"/>
              <w:left w:w="50" w:type="dxa"/>
              <w:bottom w:w="50" w:type="dxa"/>
              <w:right w:w="50" w:type="dxa"/>
            </w:tcMar>
            <w:vAlign w:val="center"/>
          </w:tcPr>
          <w:p w14:paraId="32BB1198" w14:textId="77777777" w:rsidR="00D37D93" w:rsidRDefault="00D37D93" w:rsidP="00A67311">
            <w:pPr>
              <w:rPr>
                <w:rFonts w:ascii="Times New Roman" w:hAnsi="Times New Roman" w:cs="Times New Roman"/>
              </w:rPr>
            </w:pPr>
          </w:p>
        </w:tc>
        <w:tc>
          <w:tcPr>
            <w:tcW w:w="10821" w:type="dxa"/>
            <w:gridSpan w:val="2"/>
            <w:tcBorders>
              <w:top w:val="nil"/>
              <w:left w:val="nil"/>
              <w:bottom w:val="nil"/>
              <w:right w:val="nil"/>
            </w:tcBorders>
            <w:shd w:val="clear" w:color="auto" w:fill="FFFFFF"/>
            <w:tcMar>
              <w:top w:w="50" w:type="dxa"/>
              <w:left w:w="50" w:type="dxa"/>
              <w:bottom w:w="50" w:type="dxa"/>
              <w:right w:w="50" w:type="dxa"/>
            </w:tcMar>
            <w:vAlign w:val="center"/>
          </w:tcPr>
          <w:p w14:paraId="4D9EB4CE" w14:textId="77777777" w:rsidR="00D37D93" w:rsidRDefault="00D37D93" w:rsidP="00A67311">
            <w:pPr>
              <w:rPr>
                <w:sz w:val="48"/>
                <w:szCs w:val="48"/>
              </w:rPr>
            </w:pPr>
            <w:r>
              <w:rPr>
                <w:sz w:val="48"/>
                <w:szCs w:val="48"/>
              </w:rPr>
              <w:t>Georgia</w:t>
            </w:r>
          </w:p>
        </w:tc>
      </w:tr>
      <w:tr w:rsidR="00D37D93" w14:paraId="5B870E97" w14:textId="77777777" w:rsidTr="00D37D93">
        <w:tc>
          <w:tcPr>
            <w:tcW w:w="221" w:type="dxa"/>
            <w:tcBorders>
              <w:top w:val="nil"/>
              <w:left w:val="nil"/>
              <w:bottom w:val="nil"/>
              <w:right w:val="nil"/>
            </w:tcBorders>
            <w:shd w:val="clear" w:color="auto" w:fill="FFFFFF"/>
            <w:tcMar>
              <w:top w:w="50" w:type="dxa"/>
              <w:left w:w="50" w:type="dxa"/>
              <w:bottom w:w="50" w:type="dxa"/>
              <w:right w:w="50" w:type="dxa"/>
            </w:tcMar>
            <w:vAlign w:val="center"/>
          </w:tcPr>
          <w:p w14:paraId="6325047F" w14:textId="77777777" w:rsidR="00D37D93" w:rsidRDefault="00D37D93" w:rsidP="00A67311">
            <w:pPr>
              <w:rPr>
                <w:rFonts w:ascii="Times New Roman" w:hAnsi="Times New Roman" w:cs="Times New Roman"/>
              </w:rPr>
            </w:pPr>
          </w:p>
        </w:tc>
        <w:tc>
          <w:tcPr>
            <w:tcW w:w="10821" w:type="dxa"/>
            <w:gridSpan w:val="2"/>
            <w:tcBorders>
              <w:top w:val="nil"/>
              <w:left w:val="nil"/>
              <w:bottom w:val="nil"/>
              <w:right w:val="nil"/>
            </w:tcBorders>
            <w:shd w:val="clear" w:color="auto" w:fill="FFFFFF"/>
            <w:tcMar>
              <w:top w:w="50" w:type="dxa"/>
              <w:left w:w="50" w:type="dxa"/>
              <w:bottom w:w="50" w:type="dxa"/>
              <w:right w:w="50" w:type="dxa"/>
            </w:tcMar>
            <w:vAlign w:val="center"/>
          </w:tcPr>
          <w:p w14:paraId="0418A26C" w14:textId="77777777" w:rsidR="00FC55B7" w:rsidRDefault="00D37D93" w:rsidP="00A67311">
            <w:pPr>
              <w:rPr>
                <w:sz w:val="48"/>
                <w:szCs w:val="48"/>
              </w:rPr>
            </w:pPr>
            <w:r>
              <w:rPr>
                <w:sz w:val="48"/>
                <w:szCs w:val="48"/>
              </w:rPr>
              <w:t>Transitioning from Status to Needs Based Assistance</w:t>
            </w:r>
          </w:p>
          <w:p w14:paraId="1E2A6590" w14:textId="0465554F" w:rsidR="00D37D93" w:rsidRDefault="00D37D93" w:rsidP="00A67311">
            <w:pPr>
              <w:rPr>
                <w:sz w:val="48"/>
                <w:szCs w:val="48"/>
              </w:rPr>
            </w:pPr>
            <w:r>
              <w:rPr>
                <w:sz w:val="48"/>
                <w:szCs w:val="48"/>
              </w:rPr>
              <w:t>for IDPs</w:t>
            </w:r>
          </w:p>
        </w:tc>
      </w:tr>
      <w:tr w:rsidR="00D37D93" w14:paraId="586B128D" w14:textId="77777777" w:rsidTr="00D37D93">
        <w:tc>
          <w:tcPr>
            <w:tcW w:w="221" w:type="dxa"/>
            <w:tcBorders>
              <w:top w:val="nil"/>
              <w:left w:val="nil"/>
              <w:bottom w:val="nil"/>
              <w:right w:val="nil"/>
            </w:tcBorders>
            <w:shd w:val="clear" w:color="auto" w:fill="FFFFFF"/>
            <w:tcMar>
              <w:top w:w="50" w:type="dxa"/>
              <w:left w:w="50" w:type="dxa"/>
              <w:bottom w:w="50" w:type="dxa"/>
              <w:right w:w="50" w:type="dxa"/>
            </w:tcMar>
            <w:vAlign w:val="center"/>
          </w:tcPr>
          <w:p w14:paraId="6747A96B" w14:textId="77777777" w:rsidR="00D37D93" w:rsidRDefault="00D37D93" w:rsidP="00A67311">
            <w:pPr>
              <w:rPr>
                <w:rFonts w:ascii="Times New Roman" w:hAnsi="Times New Roman" w:cs="Times New Roman"/>
              </w:rPr>
            </w:pPr>
          </w:p>
        </w:tc>
        <w:tc>
          <w:tcPr>
            <w:tcW w:w="10821" w:type="dxa"/>
            <w:gridSpan w:val="2"/>
            <w:tcBorders>
              <w:top w:val="nil"/>
              <w:left w:val="nil"/>
              <w:bottom w:val="nil"/>
              <w:right w:val="nil"/>
            </w:tcBorders>
            <w:shd w:val="clear" w:color="auto" w:fill="FFFFFF"/>
            <w:tcMar>
              <w:top w:w="50" w:type="dxa"/>
              <w:left w:w="50" w:type="dxa"/>
              <w:bottom w:w="50" w:type="dxa"/>
              <w:right w:w="50" w:type="dxa"/>
            </w:tcMar>
            <w:vAlign w:val="center"/>
          </w:tcPr>
          <w:p w14:paraId="433B63A9" w14:textId="77777777" w:rsidR="00D37D93" w:rsidRDefault="00D37D93" w:rsidP="00A67311">
            <w:pPr>
              <w:rPr>
                <w:sz w:val="34"/>
                <w:szCs w:val="34"/>
              </w:rPr>
            </w:pPr>
            <w:r>
              <w:rPr>
                <w:sz w:val="34"/>
                <w:szCs w:val="34"/>
              </w:rPr>
              <w:t>A Poverty and Social Impact Analysis</w:t>
            </w:r>
          </w:p>
        </w:tc>
      </w:tr>
      <w:tr w:rsidR="00D37D93" w14:paraId="678EADC9" w14:textId="77777777" w:rsidTr="00D37D93">
        <w:tc>
          <w:tcPr>
            <w:tcW w:w="11042" w:type="dxa"/>
            <w:gridSpan w:val="3"/>
            <w:tcBorders>
              <w:top w:val="nil"/>
              <w:left w:val="nil"/>
              <w:bottom w:val="nil"/>
              <w:right w:val="nil"/>
            </w:tcBorders>
            <w:shd w:val="clear" w:color="auto" w:fill="FFFFFF"/>
            <w:tcMar>
              <w:top w:w="50" w:type="dxa"/>
              <w:left w:w="50" w:type="dxa"/>
              <w:bottom w:w="50" w:type="dxa"/>
              <w:right w:w="50" w:type="dxa"/>
            </w:tcMar>
            <w:vAlign w:val="center"/>
          </w:tcPr>
          <w:p w14:paraId="1EB381FE" w14:textId="77777777" w:rsidR="00D37D93" w:rsidRDefault="00D37D93" w:rsidP="00A67311">
            <w:pPr>
              <w:rPr>
                <w:rFonts w:ascii="Times" w:hAnsi="Times" w:cs="Times"/>
                <w:color w:val="FFFFFF"/>
                <w:sz w:val="60"/>
                <w:szCs w:val="60"/>
              </w:rPr>
            </w:pPr>
            <w:r>
              <w:rPr>
                <w:rFonts w:ascii="Times" w:hAnsi="Times" w:cs="Times"/>
                <w:color w:val="FFFFFF"/>
                <w:sz w:val="60"/>
                <w:szCs w:val="60"/>
              </w:rPr>
              <w:t>.</w:t>
            </w:r>
          </w:p>
        </w:tc>
      </w:tr>
      <w:tr w:rsidR="00D37D93" w14:paraId="05AAE2A3" w14:textId="77777777" w:rsidTr="00D37D93">
        <w:tc>
          <w:tcPr>
            <w:tcW w:w="221" w:type="dxa"/>
            <w:tcBorders>
              <w:top w:val="nil"/>
              <w:left w:val="nil"/>
              <w:bottom w:val="nil"/>
              <w:right w:val="nil"/>
            </w:tcBorders>
            <w:shd w:val="clear" w:color="auto" w:fill="FFFFFF"/>
            <w:tcMar>
              <w:top w:w="50" w:type="dxa"/>
              <w:left w:w="50" w:type="dxa"/>
              <w:bottom w:w="50" w:type="dxa"/>
              <w:right w:w="50" w:type="dxa"/>
            </w:tcMar>
            <w:vAlign w:val="center"/>
          </w:tcPr>
          <w:p w14:paraId="67ADE0EB" w14:textId="77777777" w:rsidR="00D37D93" w:rsidRDefault="00D37D93" w:rsidP="00A67311">
            <w:pPr>
              <w:rPr>
                <w:rFonts w:ascii="Times New Roman" w:hAnsi="Times New Roman" w:cs="Times New Roman"/>
              </w:rPr>
            </w:pPr>
          </w:p>
        </w:tc>
        <w:tc>
          <w:tcPr>
            <w:tcW w:w="10821" w:type="dxa"/>
            <w:gridSpan w:val="2"/>
            <w:tcBorders>
              <w:top w:val="nil"/>
              <w:left w:val="nil"/>
              <w:bottom w:val="nil"/>
              <w:right w:val="nil"/>
            </w:tcBorders>
            <w:shd w:val="clear" w:color="auto" w:fill="FFFFFF"/>
            <w:tcMar>
              <w:top w:w="50" w:type="dxa"/>
              <w:left w:w="50" w:type="dxa"/>
              <w:bottom w:w="50" w:type="dxa"/>
              <w:right w:w="50" w:type="dxa"/>
            </w:tcMar>
            <w:vAlign w:val="center"/>
          </w:tcPr>
          <w:p w14:paraId="149A7C9A" w14:textId="10B3CF8C" w:rsidR="00D37D93" w:rsidRDefault="00E81D20" w:rsidP="00A67311">
            <w:pPr>
              <w:rPr>
                <w:sz w:val="20"/>
                <w:szCs w:val="20"/>
              </w:rPr>
            </w:pPr>
            <w:r>
              <w:rPr>
                <w:sz w:val="20"/>
                <w:szCs w:val="20"/>
              </w:rPr>
              <w:t>Febr</w:t>
            </w:r>
            <w:r w:rsidR="00D37D93">
              <w:rPr>
                <w:sz w:val="20"/>
                <w:szCs w:val="20"/>
              </w:rPr>
              <w:t>uary 2016</w:t>
            </w:r>
          </w:p>
        </w:tc>
      </w:tr>
      <w:tr w:rsidR="00D37D93" w14:paraId="3275407A" w14:textId="77777777" w:rsidTr="00D37D93">
        <w:tc>
          <w:tcPr>
            <w:tcW w:w="11042" w:type="dxa"/>
            <w:gridSpan w:val="3"/>
            <w:tcBorders>
              <w:top w:val="nil"/>
              <w:left w:val="nil"/>
              <w:bottom w:val="nil"/>
              <w:right w:val="nil"/>
            </w:tcBorders>
            <w:shd w:val="clear" w:color="auto" w:fill="FFFFFF"/>
            <w:tcMar>
              <w:top w:w="50" w:type="dxa"/>
              <w:left w:w="50" w:type="dxa"/>
              <w:bottom w:w="50" w:type="dxa"/>
              <w:right w:w="50" w:type="dxa"/>
            </w:tcMar>
            <w:vAlign w:val="center"/>
          </w:tcPr>
          <w:p w14:paraId="07C52DA8" w14:textId="77777777" w:rsidR="00D37D93" w:rsidRDefault="00D37D93" w:rsidP="00A67311">
            <w:pPr>
              <w:rPr>
                <w:rFonts w:ascii="Times" w:hAnsi="Times" w:cs="Times"/>
                <w:color w:val="FFFFFF"/>
                <w:sz w:val="60"/>
                <w:szCs w:val="60"/>
              </w:rPr>
            </w:pPr>
            <w:r>
              <w:rPr>
                <w:rFonts w:ascii="Times" w:hAnsi="Times" w:cs="Times"/>
                <w:color w:val="FFFFFF"/>
                <w:sz w:val="60"/>
                <w:szCs w:val="60"/>
              </w:rPr>
              <w:t>.</w:t>
            </w:r>
          </w:p>
        </w:tc>
      </w:tr>
      <w:tr w:rsidR="00D37D93" w14:paraId="18440E00" w14:textId="77777777" w:rsidTr="00D37D93">
        <w:tc>
          <w:tcPr>
            <w:tcW w:w="221" w:type="dxa"/>
            <w:tcBorders>
              <w:top w:val="nil"/>
              <w:left w:val="nil"/>
              <w:bottom w:val="nil"/>
              <w:right w:val="nil"/>
            </w:tcBorders>
            <w:shd w:val="clear" w:color="auto" w:fill="FFFFFF"/>
            <w:tcMar>
              <w:top w:w="50" w:type="dxa"/>
              <w:left w:w="50" w:type="dxa"/>
              <w:bottom w:w="50" w:type="dxa"/>
              <w:right w:w="50" w:type="dxa"/>
            </w:tcMar>
            <w:vAlign w:val="center"/>
          </w:tcPr>
          <w:p w14:paraId="573755DF" w14:textId="77777777" w:rsidR="00D37D93" w:rsidRDefault="00D37D93" w:rsidP="00A67311">
            <w:pPr>
              <w:rPr>
                <w:rFonts w:ascii="Times New Roman" w:hAnsi="Times New Roman" w:cs="Times New Roman"/>
              </w:rPr>
            </w:pPr>
          </w:p>
        </w:tc>
        <w:tc>
          <w:tcPr>
            <w:tcW w:w="10821" w:type="dxa"/>
            <w:gridSpan w:val="2"/>
            <w:tcBorders>
              <w:top w:val="nil"/>
              <w:left w:val="nil"/>
              <w:bottom w:val="nil"/>
              <w:right w:val="nil"/>
            </w:tcBorders>
            <w:shd w:val="clear" w:color="auto" w:fill="FFFFFF"/>
            <w:tcMar>
              <w:top w:w="50" w:type="dxa"/>
              <w:left w:w="50" w:type="dxa"/>
              <w:bottom w:w="50" w:type="dxa"/>
              <w:right w:w="50" w:type="dxa"/>
            </w:tcMar>
            <w:vAlign w:val="center"/>
          </w:tcPr>
          <w:p w14:paraId="00E625C8" w14:textId="77777777" w:rsidR="00D37D93" w:rsidRDefault="00D37D93" w:rsidP="00A67311">
            <w:pPr>
              <w:rPr>
                <w:sz w:val="20"/>
                <w:szCs w:val="20"/>
              </w:rPr>
            </w:pPr>
            <w:r>
              <w:rPr>
                <w:sz w:val="20"/>
                <w:szCs w:val="20"/>
              </w:rPr>
              <w:t>GSU03</w:t>
            </w:r>
          </w:p>
        </w:tc>
      </w:tr>
      <w:tr w:rsidR="00D37D93" w14:paraId="08CC5075" w14:textId="77777777" w:rsidTr="00D37D93">
        <w:tc>
          <w:tcPr>
            <w:tcW w:w="221" w:type="dxa"/>
            <w:tcBorders>
              <w:top w:val="nil"/>
              <w:left w:val="nil"/>
              <w:bottom w:val="nil"/>
              <w:right w:val="nil"/>
            </w:tcBorders>
            <w:shd w:val="clear" w:color="auto" w:fill="FFFFFF"/>
            <w:tcMar>
              <w:top w:w="50" w:type="dxa"/>
              <w:left w:w="50" w:type="dxa"/>
              <w:bottom w:w="50" w:type="dxa"/>
              <w:right w:w="50" w:type="dxa"/>
            </w:tcMar>
            <w:vAlign w:val="center"/>
          </w:tcPr>
          <w:p w14:paraId="05D9CD27" w14:textId="77777777" w:rsidR="00D37D93" w:rsidRDefault="00D37D93" w:rsidP="00A67311">
            <w:pPr>
              <w:rPr>
                <w:rFonts w:ascii="Times New Roman" w:hAnsi="Times New Roman" w:cs="Times New Roman"/>
              </w:rPr>
            </w:pPr>
          </w:p>
        </w:tc>
        <w:tc>
          <w:tcPr>
            <w:tcW w:w="10821" w:type="dxa"/>
            <w:gridSpan w:val="2"/>
            <w:tcBorders>
              <w:top w:val="nil"/>
              <w:left w:val="nil"/>
              <w:bottom w:val="nil"/>
              <w:right w:val="nil"/>
            </w:tcBorders>
            <w:shd w:val="clear" w:color="auto" w:fill="FFFFFF"/>
            <w:tcMar>
              <w:top w:w="50" w:type="dxa"/>
              <w:left w:w="50" w:type="dxa"/>
              <w:bottom w:w="50" w:type="dxa"/>
              <w:right w:w="50" w:type="dxa"/>
            </w:tcMar>
            <w:vAlign w:val="center"/>
          </w:tcPr>
          <w:p w14:paraId="0FA00429" w14:textId="77777777" w:rsidR="00D37D93" w:rsidRDefault="00D37D93" w:rsidP="00A67311">
            <w:pPr>
              <w:rPr>
                <w:sz w:val="20"/>
                <w:szCs w:val="20"/>
              </w:rPr>
            </w:pPr>
            <w:r>
              <w:rPr>
                <w:sz w:val="20"/>
                <w:szCs w:val="20"/>
              </w:rPr>
              <w:t>EUROPE AND CENTRAL ASIA</w:t>
            </w:r>
          </w:p>
        </w:tc>
      </w:tr>
      <w:tr w:rsidR="00D37D93" w14:paraId="627D3181" w14:textId="77777777" w:rsidTr="00D37D93">
        <w:tc>
          <w:tcPr>
            <w:tcW w:w="11042" w:type="dxa"/>
            <w:gridSpan w:val="3"/>
            <w:tcBorders>
              <w:top w:val="nil"/>
              <w:left w:val="nil"/>
              <w:bottom w:val="nil"/>
              <w:right w:val="nil"/>
            </w:tcBorders>
            <w:shd w:val="clear" w:color="auto" w:fill="FFFFFF"/>
            <w:tcMar>
              <w:top w:w="50" w:type="dxa"/>
              <w:left w:w="50" w:type="dxa"/>
              <w:bottom w:w="50" w:type="dxa"/>
              <w:right w:w="50" w:type="dxa"/>
            </w:tcMar>
            <w:vAlign w:val="center"/>
          </w:tcPr>
          <w:p w14:paraId="21375323" w14:textId="77777777" w:rsidR="00D37D93" w:rsidRDefault="00D37D93" w:rsidP="00A67311">
            <w:pPr>
              <w:rPr>
                <w:rFonts w:ascii="Times" w:hAnsi="Times" w:cs="Times"/>
                <w:color w:val="FFFFFF"/>
                <w:sz w:val="20"/>
                <w:szCs w:val="20"/>
              </w:rPr>
            </w:pPr>
            <w:r>
              <w:rPr>
                <w:rFonts w:ascii="Times" w:hAnsi="Times" w:cs="Times"/>
                <w:color w:val="FFFFFF"/>
                <w:sz w:val="20"/>
                <w:szCs w:val="20"/>
              </w:rPr>
              <w:t>.</w:t>
            </w:r>
          </w:p>
        </w:tc>
      </w:tr>
      <w:tr w:rsidR="00D37D93" w14:paraId="7BED1B70" w14:textId="77777777" w:rsidTr="00D37D93">
        <w:tc>
          <w:tcPr>
            <w:tcW w:w="221" w:type="dxa"/>
            <w:tcBorders>
              <w:top w:val="nil"/>
              <w:left w:val="nil"/>
              <w:bottom w:val="nil"/>
              <w:right w:val="nil"/>
            </w:tcBorders>
            <w:shd w:val="clear" w:color="auto" w:fill="FFFFFF"/>
            <w:tcMar>
              <w:top w:w="50" w:type="dxa"/>
              <w:left w:w="50" w:type="dxa"/>
              <w:bottom w:w="50" w:type="dxa"/>
              <w:right w:w="50" w:type="dxa"/>
            </w:tcMar>
            <w:vAlign w:val="center"/>
          </w:tcPr>
          <w:p w14:paraId="77E10481" w14:textId="77777777" w:rsidR="00D37D93" w:rsidRDefault="00D37D93" w:rsidP="00A67311">
            <w:pPr>
              <w:rPr>
                <w:rFonts w:ascii="Times New Roman" w:hAnsi="Times New Roman" w:cs="Times New Roman"/>
              </w:rPr>
            </w:pPr>
          </w:p>
        </w:tc>
        <w:tc>
          <w:tcPr>
            <w:tcW w:w="10821" w:type="dxa"/>
            <w:gridSpan w:val="2"/>
            <w:tcBorders>
              <w:top w:val="nil"/>
              <w:left w:val="nil"/>
              <w:bottom w:val="nil"/>
              <w:right w:val="nil"/>
            </w:tcBorders>
            <w:shd w:val="clear" w:color="auto" w:fill="FFFFFF"/>
            <w:tcMar>
              <w:top w:w="50" w:type="dxa"/>
              <w:left w:w="50" w:type="dxa"/>
              <w:bottom w:w="50" w:type="dxa"/>
              <w:right w:w="50" w:type="dxa"/>
            </w:tcMar>
            <w:vAlign w:val="center"/>
          </w:tcPr>
          <w:p w14:paraId="0E76BAE8" w14:textId="28307B96" w:rsidR="00D37D93" w:rsidRDefault="00D37D93" w:rsidP="00A67311">
            <w:pPr>
              <w:spacing w:line="320" w:lineRule="atLeast"/>
              <w:rPr>
                <w:rFonts w:ascii="Times New Roman" w:hAnsi="Times New Roman" w:cs="Times New Roman"/>
              </w:rPr>
            </w:pPr>
            <w:r>
              <w:rPr>
                <w:rFonts w:ascii="Times New Roman" w:hAnsi="Times New Roman" w:cs="Times New Roman"/>
                <w:noProof/>
              </w:rPr>
              <w:drawing>
                <wp:inline distT="0" distB="0" distL="0" distR="0" wp14:anchorId="34DFDBAB" wp14:editId="1065B07E">
                  <wp:extent cx="638175" cy="6286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8175" cy="628650"/>
                          </a:xfrm>
                          <a:prstGeom prst="rect">
                            <a:avLst/>
                          </a:prstGeom>
                          <a:noFill/>
                          <a:ln>
                            <a:noFill/>
                          </a:ln>
                        </pic:spPr>
                      </pic:pic>
                    </a:graphicData>
                  </a:graphic>
                </wp:inline>
              </w:drawing>
            </w:r>
          </w:p>
        </w:tc>
      </w:tr>
      <w:tr w:rsidR="00D37D93" w14:paraId="5DCD0E8A" w14:textId="77777777" w:rsidTr="00D37D93">
        <w:tc>
          <w:tcPr>
            <w:tcW w:w="11042" w:type="dxa"/>
            <w:gridSpan w:val="3"/>
            <w:tcBorders>
              <w:top w:val="nil"/>
              <w:left w:val="nil"/>
              <w:bottom w:val="nil"/>
              <w:right w:val="nil"/>
            </w:tcBorders>
            <w:shd w:val="clear" w:color="auto" w:fill="FFFFFF"/>
            <w:tcMar>
              <w:top w:w="50" w:type="dxa"/>
              <w:left w:w="50" w:type="dxa"/>
              <w:bottom w:w="50" w:type="dxa"/>
              <w:right w:w="50" w:type="dxa"/>
            </w:tcMar>
            <w:vAlign w:val="center"/>
          </w:tcPr>
          <w:p w14:paraId="52428AA0" w14:textId="31856BB2" w:rsidR="00D37D93" w:rsidRDefault="00D37D93" w:rsidP="00A67311">
            <w:pPr>
              <w:rPr>
                <w:rFonts w:ascii="Times" w:hAnsi="Times" w:cs="Times"/>
                <w:color w:val="FFFFFF"/>
                <w:sz w:val="650"/>
                <w:szCs w:val="650"/>
              </w:rPr>
            </w:pPr>
          </w:p>
        </w:tc>
      </w:tr>
      <w:tr w:rsidR="00D37D93" w14:paraId="6DD9B2F1" w14:textId="77777777" w:rsidTr="00D37D93">
        <w:trPr>
          <w:trHeight w:val="30"/>
        </w:trPr>
        <w:tc>
          <w:tcPr>
            <w:tcW w:w="11042" w:type="dxa"/>
            <w:gridSpan w:val="3"/>
            <w:tcBorders>
              <w:top w:val="nil"/>
              <w:left w:val="nil"/>
              <w:bottom w:val="nil"/>
              <w:right w:val="nil"/>
            </w:tcBorders>
            <w:shd w:val="clear" w:color="auto" w:fill="FFFFFF"/>
            <w:tcMar>
              <w:top w:w="50" w:type="dxa"/>
              <w:left w:w="50" w:type="dxa"/>
              <w:bottom w:w="50" w:type="dxa"/>
              <w:right w:w="50" w:type="dxa"/>
            </w:tcMar>
            <w:vAlign w:val="center"/>
          </w:tcPr>
          <w:p w14:paraId="1EB3ABFC" w14:textId="77777777" w:rsidR="00D37D93" w:rsidRPr="00D37D93" w:rsidRDefault="00D37D93" w:rsidP="00A67311">
            <w:pPr>
              <w:rPr>
                <w:rFonts w:ascii="Times" w:hAnsi="Times" w:cs="Times"/>
                <w:sz w:val="20"/>
                <w:szCs w:val="20"/>
              </w:rPr>
            </w:pPr>
            <w:r w:rsidRPr="00D37D93">
              <w:rPr>
                <w:rFonts w:ascii="Times" w:hAnsi="Times" w:cs="Times"/>
                <w:sz w:val="20"/>
                <w:szCs w:val="20"/>
              </w:rPr>
              <w:t>.</w:t>
            </w:r>
          </w:p>
        </w:tc>
      </w:tr>
      <w:tr w:rsidR="00D37D93" w14:paraId="32B309DE" w14:textId="77777777" w:rsidTr="00D37D93">
        <w:tc>
          <w:tcPr>
            <w:tcW w:w="11042" w:type="dxa"/>
            <w:gridSpan w:val="3"/>
            <w:tcBorders>
              <w:top w:val="nil"/>
              <w:left w:val="nil"/>
              <w:bottom w:val="nil"/>
              <w:right w:val="nil"/>
            </w:tcBorders>
            <w:shd w:val="clear" w:color="auto" w:fill="FFFFFF"/>
            <w:tcMar>
              <w:top w:w="50" w:type="dxa"/>
              <w:left w:w="50" w:type="dxa"/>
              <w:bottom w:w="50" w:type="dxa"/>
              <w:right w:w="50" w:type="dxa"/>
            </w:tcMar>
            <w:vAlign w:val="center"/>
          </w:tcPr>
          <w:p w14:paraId="22ABC50B" w14:textId="1F067A16" w:rsidR="00D37D93" w:rsidRPr="00D37D93" w:rsidRDefault="00D37D93" w:rsidP="00A67311">
            <w:pPr>
              <w:rPr>
                <w:rFonts w:ascii="Times" w:hAnsi="Times" w:cs="Times"/>
                <w:sz w:val="20"/>
                <w:szCs w:val="20"/>
              </w:rPr>
            </w:pPr>
            <w:r>
              <w:rPr>
                <w:rFonts w:ascii="Times" w:hAnsi="Times" w:cs="Times"/>
                <w:sz w:val="20"/>
                <w:szCs w:val="20"/>
              </w:rPr>
              <w:t xml:space="preserve">       </w:t>
            </w:r>
            <w:r w:rsidRPr="00D37D93">
              <w:rPr>
                <w:rFonts w:ascii="Times" w:hAnsi="Times" w:cs="Times"/>
                <w:color w:val="548DD4" w:themeColor="text2" w:themeTint="99"/>
                <w:sz w:val="20"/>
                <w:szCs w:val="20"/>
              </w:rPr>
              <w:t>Standard Disclaimer</w:t>
            </w:r>
          </w:p>
        </w:tc>
      </w:tr>
      <w:tr w:rsidR="00D37D93" w14:paraId="60A4C7FC" w14:textId="77777777" w:rsidTr="00D37D93">
        <w:trPr>
          <w:trHeight w:val="1435"/>
        </w:trPr>
        <w:tc>
          <w:tcPr>
            <w:tcW w:w="331" w:type="dxa"/>
            <w:gridSpan w:val="2"/>
            <w:tcBorders>
              <w:top w:val="nil"/>
              <w:left w:val="nil"/>
              <w:bottom w:val="nil"/>
              <w:right w:val="nil"/>
            </w:tcBorders>
            <w:shd w:val="clear" w:color="auto" w:fill="FFFFFF"/>
            <w:tcMar>
              <w:top w:w="50" w:type="dxa"/>
              <w:left w:w="50" w:type="dxa"/>
              <w:bottom w:w="50" w:type="dxa"/>
              <w:right w:w="50" w:type="dxa"/>
            </w:tcMar>
            <w:vAlign w:val="center"/>
          </w:tcPr>
          <w:p w14:paraId="53B2C3EE" w14:textId="77777777" w:rsidR="00D37D93" w:rsidRDefault="00D37D93" w:rsidP="00A67311">
            <w:pPr>
              <w:rPr>
                <w:rFonts w:ascii="Times New Roman" w:hAnsi="Times New Roman" w:cs="Times New Roman"/>
              </w:rPr>
            </w:pPr>
          </w:p>
        </w:tc>
        <w:tc>
          <w:tcPr>
            <w:tcW w:w="10711" w:type="dxa"/>
            <w:tcBorders>
              <w:top w:val="nil"/>
              <w:left w:val="nil"/>
              <w:bottom w:val="nil"/>
              <w:right w:val="nil"/>
            </w:tcBorders>
            <w:shd w:val="clear" w:color="auto" w:fill="FFFFFF"/>
            <w:tcMar>
              <w:top w:w="50" w:type="dxa"/>
              <w:left w:w="50" w:type="dxa"/>
              <w:bottom w:w="50" w:type="dxa"/>
              <w:right w:w="50" w:type="dxa"/>
            </w:tcMar>
            <w:vAlign w:val="center"/>
          </w:tcPr>
          <w:p w14:paraId="0C136F62" w14:textId="257610C3" w:rsidR="00D37D93" w:rsidRDefault="00D37D93" w:rsidP="00A67311">
            <w:pPr>
              <w:rPr>
                <w:color w:val="245086"/>
                <w:sz w:val="18"/>
                <w:szCs w:val="18"/>
              </w:rPr>
            </w:pPr>
            <w:r>
              <w:rPr>
                <w:sz w:val="18"/>
                <w:szCs w:val="18"/>
              </w:rPr>
              <w:t>This volume is a product of the staff of the International Bank for Reconstruction and Development/ The World Bank. The findings, interpretations, and conclusions expressed in this paper do not necessarily reflect the views of the Executive Directors of The World Bank or the governments they represent. The World Bank does not guarantee the accuracy of the data included in this work. The boundaries, colors, denominations, and other information shown on any map in this work do not imply any judgment on the part of The World Bank concerning the legal status of any territory or the endorsement or acceptance of such boundaries.</w:t>
            </w:r>
          </w:p>
        </w:tc>
      </w:tr>
      <w:tr w:rsidR="00D37D93" w14:paraId="023D2273" w14:textId="77777777" w:rsidTr="00D37D93">
        <w:tc>
          <w:tcPr>
            <w:tcW w:w="11042" w:type="dxa"/>
            <w:gridSpan w:val="3"/>
            <w:tcBorders>
              <w:top w:val="nil"/>
              <w:left w:val="nil"/>
              <w:bottom w:val="nil"/>
              <w:right w:val="nil"/>
            </w:tcBorders>
            <w:shd w:val="clear" w:color="auto" w:fill="FFFFFF"/>
            <w:tcMar>
              <w:top w:w="50" w:type="dxa"/>
              <w:left w:w="50" w:type="dxa"/>
              <w:bottom w:w="50" w:type="dxa"/>
              <w:right w:w="50" w:type="dxa"/>
            </w:tcMar>
            <w:vAlign w:val="center"/>
          </w:tcPr>
          <w:p w14:paraId="2C98F008" w14:textId="089062BC" w:rsidR="00D37D93" w:rsidRDefault="00D37D93" w:rsidP="00A67311">
            <w:pPr>
              <w:rPr>
                <w:rFonts w:ascii="Times" w:hAnsi="Times" w:cs="Times"/>
                <w:color w:val="FFFFFF"/>
                <w:sz w:val="20"/>
                <w:szCs w:val="20"/>
              </w:rPr>
            </w:pPr>
            <w:r>
              <w:rPr>
                <w:rFonts w:ascii="Times" w:hAnsi="Times" w:cs="Times"/>
                <w:color w:val="FFFFFF"/>
                <w:sz w:val="20"/>
                <w:szCs w:val="20"/>
              </w:rPr>
              <w:t>.</w:t>
            </w:r>
            <w:r>
              <w:rPr>
                <w:rFonts w:ascii="Times" w:hAnsi="Times" w:cs="Times"/>
                <w:color w:val="548DD4" w:themeColor="text2" w:themeTint="99"/>
                <w:sz w:val="20"/>
                <w:szCs w:val="20"/>
              </w:rPr>
              <w:t xml:space="preserve">    </w:t>
            </w:r>
            <w:r w:rsidRPr="00D37D93">
              <w:rPr>
                <w:rFonts w:ascii="Times" w:hAnsi="Times" w:cs="Times"/>
                <w:color w:val="548DD4" w:themeColor="text2" w:themeTint="99"/>
                <w:sz w:val="20"/>
                <w:szCs w:val="20"/>
              </w:rPr>
              <w:t>Copyright Statement</w:t>
            </w:r>
          </w:p>
        </w:tc>
      </w:tr>
      <w:tr w:rsidR="00D37D93" w14:paraId="389FC33D" w14:textId="77777777" w:rsidTr="00D37D93">
        <w:tc>
          <w:tcPr>
            <w:tcW w:w="331" w:type="dxa"/>
            <w:gridSpan w:val="2"/>
            <w:tcBorders>
              <w:top w:val="nil"/>
              <w:left w:val="nil"/>
              <w:bottom w:val="nil"/>
              <w:right w:val="nil"/>
            </w:tcBorders>
            <w:shd w:val="clear" w:color="auto" w:fill="FFFFFF"/>
            <w:tcMar>
              <w:top w:w="50" w:type="dxa"/>
              <w:left w:w="50" w:type="dxa"/>
              <w:bottom w:w="50" w:type="dxa"/>
              <w:right w:w="50" w:type="dxa"/>
            </w:tcMar>
            <w:vAlign w:val="center"/>
          </w:tcPr>
          <w:p w14:paraId="7E5F4A73" w14:textId="77777777" w:rsidR="00D37D93" w:rsidRDefault="00D37D93" w:rsidP="00A67311">
            <w:pPr>
              <w:rPr>
                <w:rFonts w:ascii="Times New Roman" w:hAnsi="Times New Roman" w:cs="Times New Roman"/>
              </w:rPr>
            </w:pPr>
          </w:p>
        </w:tc>
        <w:tc>
          <w:tcPr>
            <w:tcW w:w="10711" w:type="dxa"/>
            <w:tcBorders>
              <w:top w:val="nil"/>
              <w:left w:val="nil"/>
              <w:bottom w:val="nil"/>
              <w:right w:val="nil"/>
            </w:tcBorders>
            <w:shd w:val="clear" w:color="auto" w:fill="FFFFFF"/>
            <w:tcMar>
              <w:top w:w="50" w:type="dxa"/>
              <w:left w:w="50" w:type="dxa"/>
              <w:bottom w:w="50" w:type="dxa"/>
              <w:right w:w="50" w:type="dxa"/>
            </w:tcMar>
            <w:vAlign w:val="center"/>
          </w:tcPr>
          <w:p w14:paraId="4F13971D" w14:textId="77777777" w:rsidR="00D37D93" w:rsidRDefault="00D37D93" w:rsidP="00A67311">
            <w:pPr>
              <w:spacing w:line="240" w:lineRule="atLeast"/>
              <w:rPr>
                <w:rFonts w:ascii="Times New Roman" w:hAnsi="Times New Roman" w:cs="Times New Roman"/>
                <w:sz w:val="18"/>
                <w:szCs w:val="18"/>
              </w:rPr>
            </w:pPr>
            <w:r>
              <w:rPr>
                <w:sz w:val="18"/>
                <w:szCs w:val="18"/>
              </w:rPr>
              <w:t>The material in this publication is copyrighted. Copying and/or transmitting portions or all of this work without permission may be a violation of applicable law. The International Bank for Reconstruction and Development/ The World Bank encourages dissemination of its work and will normally grant permission to reproduce portions of the work promptly.</w:t>
            </w:r>
          </w:p>
          <w:p w14:paraId="32B45848" w14:textId="34840672" w:rsidR="00D37D93" w:rsidRDefault="00D37D93" w:rsidP="00A67311">
            <w:pPr>
              <w:spacing w:line="240" w:lineRule="atLeast"/>
              <w:rPr>
                <w:rFonts w:ascii="Times New Roman" w:hAnsi="Times New Roman" w:cs="Times New Roman"/>
                <w:sz w:val="18"/>
                <w:szCs w:val="18"/>
              </w:rPr>
            </w:pPr>
            <w:r>
              <w:rPr>
                <w:sz w:val="18"/>
                <w:szCs w:val="18"/>
              </w:rPr>
              <w:t xml:space="preserve">For permission to photocopy or reprint any part of this work, please send a request with complete information to the Copyright Clearance Center, Inc., 222 Rosewood Drive, Danvers, MA 01923, USA, telephone 978-750-8400, fax 978-750-4470, </w:t>
            </w:r>
            <w:hyperlink r:id="rId9" w:history="1">
              <w:r>
                <w:rPr>
                  <w:color w:val="000099"/>
                  <w:sz w:val="18"/>
                  <w:szCs w:val="18"/>
                  <w:u w:val="single"/>
                </w:rPr>
                <w:t>http://www.copyright.com/.</w:t>
              </w:r>
            </w:hyperlink>
          </w:p>
          <w:p w14:paraId="4BAB9853" w14:textId="77777777" w:rsidR="00D37D93" w:rsidRDefault="00D37D93" w:rsidP="00A67311">
            <w:pPr>
              <w:spacing w:line="240" w:lineRule="atLeast"/>
              <w:rPr>
                <w:rFonts w:ascii="Times New Roman" w:hAnsi="Times New Roman" w:cs="Times New Roman"/>
                <w:sz w:val="18"/>
                <w:szCs w:val="18"/>
              </w:rPr>
            </w:pPr>
            <w:r>
              <w:rPr>
                <w:sz w:val="18"/>
                <w:szCs w:val="18"/>
              </w:rPr>
              <w:t xml:space="preserve">All other queries on rights and licenses, including subsidiary rights, should be addressed to the Office of the Publisher, The World Bank, 1818 H Street NW, Washington, DC 20433, USA, fax 202-522-2422, e-mail </w:t>
            </w:r>
            <w:hyperlink r:id="rId10" w:history="1">
              <w:r>
                <w:rPr>
                  <w:color w:val="000099"/>
                  <w:sz w:val="18"/>
                  <w:szCs w:val="18"/>
                  <w:u w:val="single"/>
                </w:rPr>
                <w:t>pubrights@worldbank.org.</w:t>
              </w:r>
            </w:hyperlink>
          </w:p>
          <w:p w14:paraId="28B81238" w14:textId="3AA10A44" w:rsidR="00D37D93" w:rsidRDefault="00D37D93" w:rsidP="00A67311">
            <w:pPr>
              <w:rPr>
                <w:sz w:val="18"/>
                <w:szCs w:val="18"/>
              </w:rPr>
            </w:pPr>
          </w:p>
        </w:tc>
      </w:tr>
      <w:tr w:rsidR="00D37D93" w14:paraId="1EBEFE8C" w14:textId="77777777" w:rsidTr="00A67311">
        <w:tc>
          <w:tcPr>
            <w:tcW w:w="331" w:type="dxa"/>
            <w:gridSpan w:val="2"/>
            <w:tcBorders>
              <w:top w:val="nil"/>
              <w:left w:val="nil"/>
              <w:bottom w:val="nil"/>
              <w:right w:val="nil"/>
            </w:tcBorders>
            <w:shd w:val="clear" w:color="auto" w:fill="FFFFFF"/>
            <w:tcMar>
              <w:top w:w="50" w:type="dxa"/>
              <w:left w:w="50" w:type="dxa"/>
              <w:bottom w:w="50" w:type="dxa"/>
              <w:right w:w="50" w:type="dxa"/>
            </w:tcMar>
            <w:vAlign w:val="center"/>
          </w:tcPr>
          <w:p w14:paraId="5CD5F332" w14:textId="77777777" w:rsidR="00D37D93" w:rsidRDefault="00D37D93" w:rsidP="00A67311">
            <w:pPr>
              <w:rPr>
                <w:rFonts w:ascii="Times New Roman" w:hAnsi="Times New Roman" w:cs="Times New Roman"/>
              </w:rPr>
            </w:pPr>
          </w:p>
        </w:tc>
        <w:tc>
          <w:tcPr>
            <w:tcW w:w="10711" w:type="dxa"/>
            <w:tcBorders>
              <w:top w:val="nil"/>
              <w:left w:val="nil"/>
              <w:bottom w:val="nil"/>
              <w:right w:val="nil"/>
            </w:tcBorders>
            <w:shd w:val="clear" w:color="auto" w:fill="FFFFFF"/>
            <w:tcMar>
              <w:top w:w="50" w:type="dxa"/>
              <w:left w:w="50" w:type="dxa"/>
              <w:bottom w:w="50" w:type="dxa"/>
              <w:right w:w="50" w:type="dxa"/>
            </w:tcMar>
            <w:vAlign w:val="center"/>
          </w:tcPr>
          <w:p w14:paraId="3785B008" w14:textId="77777777" w:rsidR="00D37D93" w:rsidRDefault="00D37D93" w:rsidP="00A67311">
            <w:pPr>
              <w:spacing w:line="240" w:lineRule="atLeast"/>
              <w:rPr>
                <w:rFonts w:ascii="Times New Roman" w:hAnsi="Times New Roman" w:cs="Times New Roman"/>
                <w:sz w:val="18"/>
                <w:szCs w:val="18"/>
              </w:rPr>
            </w:pPr>
          </w:p>
        </w:tc>
      </w:tr>
    </w:tbl>
    <w:p w14:paraId="1C71A00E" w14:textId="4F07947F" w:rsidR="00BC63CF" w:rsidRDefault="00BC63CF" w:rsidP="00D37D93">
      <w:pPr>
        <w:rPr>
          <w:sz w:val="40"/>
          <w:szCs w:val="40"/>
        </w:rPr>
      </w:pPr>
      <w:r w:rsidRPr="00FA4F8D">
        <w:rPr>
          <w:sz w:val="40"/>
          <w:szCs w:val="40"/>
        </w:rPr>
        <w:t>Transitioning from Status to Needs Based Assistance for Georgia IDPs</w:t>
      </w:r>
      <w:r w:rsidR="00AB3865">
        <w:rPr>
          <w:sz w:val="40"/>
          <w:szCs w:val="40"/>
        </w:rPr>
        <w:t>: A Poverty and Social Impact Analysis</w:t>
      </w:r>
    </w:p>
    <w:p w14:paraId="350E8718" w14:textId="464C9958" w:rsidR="00BC63CF" w:rsidRPr="00FA4F8D" w:rsidRDefault="00E81D20" w:rsidP="00FA4F8D">
      <w:pPr>
        <w:jc w:val="center"/>
        <w:rPr>
          <w:sz w:val="28"/>
          <w:szCs w:val="28"/>
        </w:rPr>
      </w:pPr>
      <w:r>
        <w:rPr>
          <w:sz w:val="28"/>
          <w:szCs w:val="28"/>
        </w:rPr>
        <w:t>Febr</w:t>
      </w:r>
      <w:r w:rsidR="00B624E5">
        <w:rPr>
          <w:sz w:val="28"/>
          <w:szCs w:val="28"/>
        </w:rPr>
        <w:t>uary</w:t>
      </w:r>
      <w:r w:rsidR="00BC63CF" w:rsidRPr="00FA4F8D">
        <w:rPr>
          <w:sz w:val="28"/>
          <w:szCs w:val="28"/>
        </w:rPr>
        <w:t xml:space="preserve"> 2015</w:t>
      </w:r>
    </w:p>
    <w:p w14:paraId="4641F7ED" w14:textId="77777777" w:rsidR="00BC63CF" w:rsidRDefault="00BC63CF" w:rsidP="00FA4F8D">
      <w:pPr>
        <w:rPr>
          <w:sz w:val="40"/>
          <w:szCs w:val="40"/>
        </w:rPr>
      </w:pPr>
    </w:p>
    <w:sdt>
      <w:sdtPr>
        <w:rPr>
          <w:rFonts w:asciiTheme="minorHAnsi" w:eastAsiaTheme="minorHAnsi" w:hAnsiTheme="minorHAnsi" w:cstheme="minorBidi"/>
          <w:color w:val="auto"/>
          <w:sz w:val="22"/>
          <w:szCs w:val="22"/>
        </w:rPr>
        <w:id w:val="1608391300"/>
        <w:docPartObj>
          <w:docPartGallery w:val="Table of Contents"/>
          <w:docPartUnique/>
        </w:docPartObj>
      </w:sdtPr>
      <w:sdtEndPr>
        <w:rPr>
          <w:b/>
          <w:bCs/>
          <w:noProof/>
        </w:rPr>
      </w:sdtEndPr>
      <w:sdtContent>
        <w:p w14:paraId="52C7E78F" w14:textId="5B4C5528" w:rsidR="00BC63CF" w:rsidRDefault="00BC63CF">
          <w:pPr>
            <w:pStyle w:val="TOCHeading"/>
          </w:pPr>
          <w:r>
            <w:t>Contents</w:t>
          </w:r>
        </w:p>
        <w:p w14:paraId="19D29EA8" w14:textId="77777777" w:rsidR="00525358" w:rsidRDefault="00BC63CF">
          <w:pPr>
            <w:pStyle w:val="TOC1"/>
            <w:tabs>
              <w:tab w:val="right" w:leader="dot" w:pos="9350"/>
            </w:tabs>
            <w:rPr>
              <w:rFonts w:eastAsiaTheme="minorEastAsia"/>
              <w:noProof/>
            </w:rPr>
          </w:pPr>
          <w:r>
            <w:fldChar w:fldCharType="begin"/>
          </w:r>
          <w:r>
            <w:instrText xml:space="preserve"> TOC \o "1-3" \h \z \u </w:instrText>
          </w:r>
          <w:r>
            <w:fldChar w:fldCharType="separate"/>
          </w:r>
          <w:bookmarkStart w:id="0" w:name="_GoBack"/>
          <w:bookmarkEnd w:id="0"/>
          <w:r w:rsidR="00525358" w:rsidRPr="00CA6835">
            <w:rPr>
              <w:rStyle w:val="Hyperlink"/>
              <w:noProof/>
            </w:rPr>
            <w:fldChar w:fldCharType="begin"/>
          </w:r>
          <w:r w:rsidR="00525358" w:rsidRPr="00CA6835">
            <w:rPr>
              <w:rStyle w:val="Hyperlink"/>
              <w:noProof/>
            </w:rPr>
            <w:instrText xml:space="preserve"> </w:instrText>
          </w:r>
          <w:r w:rsidR="00525358">
            <w:rPr>
              <w:noProof/>
            </w:rPr>
            <w:instrText>HYPERLINK \l "_Toc443046826"</w:instrText>
          </w:r>
          <w:r w:rsidR="00525358" w:rsidRPr="00CA6835">
            <w:rPr>
              <w:rStyle w:val="Hyperlink"/>
              <w:noProof/>
            </w:rPr>
            <w:instrText xml:space="preserve"> </w:instrText>
          </w:r>
          <w:r w:rsidR="00525358" w:rsidRPr="00CA6835">
            <w:rPr>
              <w:rStyle w:val="Hyperlink"/>
              <w:noProof/>
            </w:rPr>
          </w:r>
          <w:r w:rsidR="00525358" w:rsidRPr="00CA6835">
            <w:rPr>
              <w:rStyle w:val="Hyperlink"/>
              <w:noProof/>
            </w:rPr>
            <w:fldChar w:fldCharType="separate"/>
          </w:r>
          <w:r w:rsidR="00525358" w:rsidRPr="00CA6835">
            <w:rPr>
              <w:rStyle w:val="Hyperlink"/>
              <w:noProof/>
            </w:rPr>
            <w:t>Acronyms and Abbreviations</w:t>
          </w:r>
          <w:r w:rsidR="00525358">
            <w:rPr>
              <w:noProof/>
              <w:webHidden/>
            </w:rPr>
            <w:tab/>
          </w:r>
          <w:r w:rsidR="00525358">
            <w:rPr>
              <w:noProof/>
              <w:webHidden/>
            </w:rPr>
            <w:fldChar w:fldCharType="begin"/>
          </w:r>
          <w:r w:rsidR="00525358">
            <w:rPr>
              <w:noProof/>
              <w:webHidden/>
            </w:rPr>
            <w:instrText xml:space="preserve"> PAGEREF _Toc443046826 \h </w:instrText>
          </w:r>
          <w:r w:rsidR="00525358">
            <w:rPr>
              <w:noProof/>
              <w:webHidden/>
            </w:rPr>
          </w:r>
          <w:r w:rsidR="00525358">
            <w:rPr>
              <w:noProof/>
              <w:webHidden/>
            </w:rPr>
            <w:fldChar w:fldCharType="separate"/>
          </w:r>
          <w:r w:rsidR="00525358">
            <w:rPr>
              <w:noProof/>
              <w:webHidden/>
            </w:rPr>
            <w:t>4</w:t>
          </w:r>
          <w:r w:rsidR="00525358">
            <w:rPr>
              <w:noProof/>
              <w:webHidden/>
            </w:rPr>
            <w:fldChar w:fldCharType="end"/>
          </w:r>
          <w:r w:rsidR="00525358" w:rsidRPr="00CA6835">
            <w:rPr>
              <w:rStyle w:val="Hyperlink"/>
              <w:noProof/>
            </w:rPr>
            <w:fldChar w:fldCharType="end"/>
          </w:r>
        </w:p>
        <w:p w14:paraId="401D62E8" w14:textId="77777777" w:rsidR="00525358" w:rsidRDefault="00525358">
          <w:pPr>
            <w:pStyle w:val="TOC1"/>
            <w:tabs>
              <w:tab w:val="right" w:leader="dot" w:pos="9350"/>
            </w:tabs>
            <w:rPr>
              <w:rFonts w:eastAsiaTheme="minorEastAsia"/>
              <w:noProof/>
            </w:rPr>
          </w:pPr>
          <w:hyperlink w:anchor="_Toc443046827" w:history="1">
            <w:r w:rsidRPr="00CA6835">
              <w:rPr>
                <w:rStyle w:val="Hyperlink"/>
                <w:noProof/>
              </w:rPr>
              <w:t>Context</w:t>
            </w:r>
            <w:r>
              <w:rPr>
                <w:noProof/>
                <w:webHidden/>
              </w:rPr>
              <w:tab/>
            </w:r>
            <w:r>
              <w:rPr>
                <w:noProof/>
                <w:webHidden/>
              </w:rPr>
              <w:fldChar w:fldCharType="begin"/>
            </w:r>
            <w:r>
              <w:rPr>
                <w:noProof/>
                <w:webHidden/>
              </w:rPr>
              <w:instrText xml:space="preserve"> PAGEREF _Toc443046827 \h </w:instrText>
            </w:r>
            <w:r>
              <w:rPr>
                <w:noProof/>
                <w:webHidden/>
              </w:rPr>
            </w:r>
            <w:r>
              <w:rPr>
                <w:noProof/>
                <w:webHidden/>
              </w:rPr>
              <w:fldChar w:fldCharType="separate"/>
            </w:r>
            <w:r>
              <w:rPr>
                <w:noProof/>
                <w:webHidden/>
              </w:rPr>
              <w:t>8</w:t>
            </w:r>
            <w:r>
              <w:rPr>
                <w:noProof/>
                <w:webHidden/>
              </w:rPr>
              <w:fldChar w:fldCharType="end"/>
            </w:r>
          </w:hyperlink>
        </w:p>
        <w:p w14:paraId="42683563" w14:textId="77777777" w:rsidR="00525358" w:rsidRDefault="00525358">
          <w:pPr>
            <w:pStyle w:val="TOC1"/>
            <w:tabs>
              <w:tab w:val="right" w:leader="dot" w:pos="9350"/>
            </w:tabs>
            <w:rPr>
              <w:rFonts w:eastAsiaTheme="minorEastAsia"/>
              <w:noProof/>
            </w:rPr>
          </w:pPr>
          <w:hyperlink w:anchor="_Toc443046828" w:history="1">
            <w:r w:rsidRPr="00CA6835">
              <w:rPr>
                <w:rStyle w:val="Hyperlink"/>
                <w:noProof/>
              </w:rPr>
              <w:t>Methodology</w:t>
            </w:r>
            <w:r>
              <w:rPr>
                <w:noProof/>
                <w:webHidden/>
              </w:rPr>
              <w:tab/>
            </w:r>
            <w:r>
              <w:rPr>
                <w:noProof/>
                <w:webHidden/>
              </w:rPr>
              <w:fldChar w:fldCharType="begin"/>
            </w:r>
            <w:r>
              <w:rPr>
                <w:noProof/>
                <w:webHidden/>
              </w:rPr>
              <w:instrText xml:space="preserve"> PAGEREF _Toc443046828 \h </w:instrText>
            </w:r>
            <w:r>
              <w:rPr>
                <w:noProof/>
                <w:webHidden/>
              </w:rPr>
            </w:r>
            <w:r>
              <w:rPr>
                <w:noProof/>
                <w:webHidden/>
              </w:rPr>
              <w:fldChar w:fldCharType="separate"/>
            </w:r>
            <w:r>
              <w:rPr>
                <w:noProof/>
                <w:webHidden/>
              </w:rPr>
              <w:t>12</w:t>
            </w:r>
            <w:r>
              <w:rPr>
                <w:noProof/>
                <w:webHidden/>
              </w:rPr>
              <w:fldChar w:fldCharType="end"/>
            </w:r>
          </w:hyperlink>
        </w:p>
        <w:p w14:paraId="32D4E3B1" w14:textId="77777777" w:rsidR="00525358" w:rsidRDefault="00525358">
          <w:pPr>
            <w:pStyle w:val="TOC1"/>
            <w:tabs>
              <w:tab w:val="right" w:leader="dot" w:pos="9350"/>
            </w:tabs>
            <w:rPr>
              <w:rFonts w:eastAsiaTheme="minorEastAsia"/>
              <w:noProof/>
            </w:rPr>
          </w:pPr>
          <w:hyperlink w:anchor="_Toc443046829" w:history="1">
            <w:r w:rsidRPr="00CA6835">
              <w:rPr>
                <w:rStyle w:val="Hyperlink"/>
                <w:noProof/>
              </w:rPr>
              <w:t>Key Findings</w:t>
            </w:r>
            <w:r>
              <w:rPr>
                <w:noProof/>
                <w:webHidden/>
              </w:rPr>
              <w:tab/>
            </w:r>
            <w:r>
              <w:rPr>
                <w:noProof/>
                <w:webHidden/>
              </w:rPr>
              <w:fldChar w:fldCharType="begin"/>
            </w:r>
            <w:r>
              <w:rPr>
                <w:noProof/>
                <w:webHidden/>
              </w:rPr>
              <w:instrText xml:space="preserve"> PAGEREF _Toc443046829 \h </w:instrText>
            </w:r>
            <w:r>
              <w:rPr>
                <w:noProof/>
                <w:webHidden/>
              </w:rPr>
            </w:r>
            <w:r>
              <w:rPr>
                <w:noProof/>
                <w:webHidden/>
              </w:rPr>
              <w:fldChar w:fldCharType="separate"/>
            </w:r>
            <w:r>
              <w:rPr>
                <w:noProof/>
                <w:webHidden/>
              </w:rPr>
              <w:t>14</w:t>
            </w:r>
            <w:r>
              <w:rPr>
                <w:noProof/>
                <w:webHidden/>
              </w:rPr>
              <w:fldChar w:fldCharType="end"/>
            </w:r>
          </w:hyperlink>
        </w:p>
        <w:p w14:paraId="2C2FD724" w14:textId="77777777" w:rsidR="00525358" w:rsidRDefault="00525358">
          <w:pPr>
            <w:pStyle w:val="TOC2"/>
            <w:tabs>
              <w:tab w:val="right" w:leader="dot" w:pos="9350"/>
            </w:tabs>
            <w:rPr>
              <w:rFonts w:eastAsiaTheme="minorEastAsia"/>
              <w:noProof/>
            </w:rPr>
          </w:pPr>
          <w:hyperlink w:anchor="_Toc443046830" w:history="1">
            <w:r w:rsidRPr="00CA6835">
              <w:rPr>
                <w:rStyle w:val="Hyperlink"/>
                <w:noProof/>
              </w:rPr>
              <w:t>Key Finding 1</w:t>
            </w:r>
            <w:r w:rsidRPr="00CA6835">
              <w:rPr>
                <w:rStyle w:val="Hyperlink"/>
                <w:i/>
                <w:noProof/>
              </w:rPr>
              <w:t>:</w:t>
            </w:r>
            <w:r w:rsidRPr="00CA6835">
              <w:rPr>
                <w:rStyle w:val="Hyperlink"/>
                <w:noProof/>
              </w:rPr>
              <w:t xml:space="preserve"> Georgia has put in place a comprehensive policy framework to address IDP issues but challenges in policy implementation and institutional coordination persist in delivering services to IDPs.</w:t>
            </w:r>
            <w:r>
              <w:rPr>
                <w:noProof/>
                <w:webHidden/>
              </w:rPr>
              <w:tab/>
            </w:r>
            <w:r>
              <w:rPr>
                <w:noProof/>
                <w:webHidden/>
              </w:rPr>
              <w:fldChar w:fldCharType="begin"/>
            </w:r>
            <w:r>
              <w:rPr>
                <w:noProof/>
                <w:webHidden/>
              </w:rPr>
              <w:instrText xml:space="preserve"> PAGEREF _Toc443046830 \h </w:instrText>
            </w:r>
            <w:r>
              <w:rPr>
                <w:noProof/>
                <w:webHidden/>
              </w:rPr>
            </w:r>
            <w:r>
              <w:rPr>
                <w:noProof/>
                <w:webHidden/>
              </w:rPr>
              <w:fldChar w:fldCharType="separate"/>
            </w:r>
            <w:r>
              <w:rPr>
                <w:noProof/>
                <w:webHidden/>
              </w:rPr>
              <w:t>14</w:t>
            </w:r>
            <w:r>
              <w:rPr>
                <w:noProof/>
                <w:webHidden/>
              </w:rPr>
              <w:fldChar w:fldCharType="end"/>
            </w:r>
          </w:hyperlink>
        </w:p>
        <w:p w14:paraId="425D51C0" w14:textId="77777777" w:rsidR="00525358" w:rsidRDefault="00525358">
          <w:pPr>
            <w:pStyle w:val="TOC2"/>
            <w:tabs>
              <w:tab w:val="right" w:leader="dot" w:pos="9350"/>
            </w:tabs>
            <w:rPr>
              <w:rFonts w:eastAsiaTheme="minorEastAsia"/>
              <w:noProof/>
            </w:rPr>
          </w:pPr>
          <w:hyperlink w:anchor="_Toc443046831" w:history="1">
            <w:r w:rsidRPr="00CA6835">
              <w:rPr>
                <w:rStyle w:val="Hyperlink"/>
                <w:noProof/>
              </w:rPr>
              <w:t>Key Finding 2: There are no significant differences in poverty levels of IDPs and non-IDPs; however, differences persist in unemployment and income security for IDPs.</w:t>
            </w:r>
            <w:r>
              <w:rPr>
                <w:noProof/>
                <w:webHidden/>
              </w:rPr>
              <w:tab/>
            </w:r>
            <w:r>
              <w:rPr>
                <w:noProof/>
                <w:webHidden/>
              </w:rPr>
              <w:fldChar w:fldCharType="begin"/>
            </w:r>
            <w:r>
              <w:rPr>
                <w:noProof/>
                <w:webHidden/>
              </w:rPr>
              <w:instrText xml:space="preserve"> PAGEREF _Toc443046831 \h </w:instrText>
            </w:r>
            <w:r>
              <w:rPr>
                <w:noProof/>
                <w:webHidden/>
              </w:rPr>
            </w:r>
            <w:r>
              <w:rPr>
                <w:noProof/>
                <w:webHidden/>
              </w:rPr>
              <w:fldChar w:fldCharType="separate"/>
            </w:r>
            <w:r>
              <w:rPr>
                <w:noProof/>
                <w:webHidden/>
              </w:rPr>
              <w:t>20</w:t>
            </w:r>
            <w:r>
              <w:rPr>
                <w:noProof/>
                <w:webHidden/>
              </w:rPr>
              <w:fldChar w:fldCharType="end"/>
            </w:r>
          </w:hyperlink>
        </w:p>
        <w:p w14:paraId="11160C25" w14:textId="77777777" w:rsidR="00525358" w:rsidRDefault="00525358">
          <w:pPr>
            <w:pStyle w:val="TOC2"/>
            <w:tabs>
              <w:tab w:val="right" w:leader="dot" w:pos="9350"/>
            </w:tabs>
            <w:rPr>
              <w:rFonts w:eastAsiaTheme="minorEastAsia"/>
              <w:noProof/>
            </w:rPr>
          </w:pPr>
          <w:hyperlink w:anchor="_Toc443046832" w:history="1">
            <w:r w:rsidRPr="00CA6835">
              <w:rPr>
                <w:rStyle w:val="Hyperlink"/>
                <w:noProof/>
              </w:rPr>
              <w:t>Key Finding 3: Some sub-groups of IDPs face distinct vulnerabilities that need to be addressed as part of any reform program to IDP assistance.</w:t>
            </w:r>
            <w:r>
              <w:rPr>
                <w:noProof/>
                <w:webHidden/>
              </w:rPr>
              <w:tab/>
            </w:r>
            <w:r>
              <w:rPr>
                <w:noProof/>
                <w:webHidden/>
              </w:rPr>
              <w:fldChar w:fldCharType="begin"/>
            </w:r>
            <w:r>
              <w:rPr>
                <w:noProof/>
                <w:webHidden/>
              </w:rPr>
              <w:instrText xml:space="preserve"> PAGEREF _Toc443046832 \h </w:instrText>
            </w:r>
            <w:r>
              <w:rPr>
                <w:noProof/>
                <w:webHidden/>
              </w:rPr>
            </w:r>
            <w:r>
              <w:rPr>
                <w:noProof/>
                <w:webHidden/>
              </w:rPr>
              <w:fldChar w:fldCharType="separate"/>
            </w:r>
            <w:r>
              <w:rPr>
                <w:noProof/>
                <w:webHidden/>
              </w:rPr>
              <w:t>27</w:t>
            </w:r>
            <w:r>
              <w:rPr>
                <w:noProof/>
                <w:webHidden/>
              </w:rPr>
              <w:fldChar w:fldCharType="end"/>
            </w:r>
          </w:hyperlink>
        </w:p>
        <w:p w14:paraId="15DC8F4E" w14:textId="77777777" w:rsidR="00525358" w:rsidRDefault="00525358">
          <w:pPr>
            <w:pStyle w:val="TOC2"/>
            <w:tabs>
              <w:tab w:val="right" w:leader="dot" w:pos="9350"/>
            </w:tabs>
            <w:rPr>
              <w:rFonts w:eastAsiaTheme="minorEastAsia"/>
              <w:noProof/>
            </w:rPr>
          </w:pPr>
          <w:hyperlink w:anchor="_Toc443046833" w:history="1">
            <w:r w:rsidRPr="00CA6835">
              <w:rPr>
                <w:rStyle w:val="Hyperlink"/>
                <w:noProof/>
              </w:rPr>
              <w:t>Key Finding 4: The IDP benefit offers income security that may be lost with alternative forms of social assistance</w:t>
            </w:r>
            <w:r>
              <w:rPr>
                <w:noProof/>
                <w:webHidden/>
              </w:rPr>
              <w:tab/>
            </w:r>
            <w:r>
              <w:rPr>
                <w:noProof/>
                <w:webHidden/>
              </w:rPr>
              <w:fldChar w:fldCharType="begin"/>
            </w:r>
            <w:r>
              <w:rPr>
                <w:noProof/>
                <w:webHidden/>
              </w:rPr>
              <w:instrText xml:space="preserve"> PAGEREF _Toc443046833 \h </w:instrText>
            </w:r>
            <w:r>
              <w:rPr>
                <w:noProof/>
                <w:webHidden/>
              </w:rPr>
            </w:r>
            <w:r>
              <w:rPr>
                <w:noProof/>
                <w:webHidden/>
              </w:rPr>
              <w:fldChar w:fldCharType="separate"/>
            </w:r>
            <w:r>
              <w:rPr>
                <w:noProof/>
                <w:webHidden/>
              </w:rPr>
              <w:t>31</w:t>
            </w:r>
            <w:r>
              <w:rPr>
                <w:noProof/>
                <w:webHidden/>
              </w:rPr>
              <w:fldChar w:fldCharType="end"/>
            </w:r>
          </w:hyperlink>
        </w:p>
        <w:p w14:paraId="49726F17" w14:textId="77777777" w:rsidR="00525358" w:rsidRDefault="00525358">
          <w:pPr>
            <w:pStyle w:val="TOC2"/>
            <w:tabs>
              <w:tab w:val="right" w:leader="dot" w:pos="9350"/>
            </w:tabs>
            <w:rPr>
              <w:rFonts w:eastAsiaTheme="minorEastAsia"/>
              <w:noProof/>
            </w:rPr>
          </w:pPr>
          <w:hyperlink w:anchor="_Toc443046834" w:history="1">
            <w:r w:rsidRPr="00CA6835">
              <w:rPr>
                <w:rStyle w:val="Hyperlink"/>
                <w:noProof/>
              </w:rPr>
              <w:t>Key Finding 5: The IDP benefit carries a strong political and symbolic value as recognition of IDP status and the Government’s commitment to territorial reintegration.</w:t>
            </w:r>
            <w:r>
              <w:rPr>
                <w:noProof/>
                <w:webHidden/>
              </w:rPr>
              <w:tab/>
            </w:r>
            <w:r>
              <w:rPr>
                <w:noProof/>
                <w:webHidden/>
              </w:rPr>
              <w:fldChar w:fldCharType="begin"/>
            </w:r>
            <w:r>
              <w:rPr>
                <w:noProof/>
                <w:webHidden/>
              </w:rPr>
              <w:instrText xml:space="preserve"> PAGEREF _Toc443046834 \h </w:instrText>
            </w:r>
            <w:r>
              <w:rPr>
                <w:noProof/>
                <w:webHidden/>
              </w:rPr>
            </w:r>
            <w:r>
              <w:rPr>
                <w:noProof/>
                <w:webHidden/>
              </w:rPr>
              <w:fldChar w:fldCharType="separate"/>
            </w:r>
            <w:r>
              <w:rPr>
                <w:noProof/>
                <w:webHidden/>
              </w:rPr>
              <w:t>32</w:t>
            </w:r>
            <w:r>
              <w:rPr>
                <w:noProof/>
                <w:webHidden/>
              </w:rPr>
              <w:fldChar w:fldCharType="end"/>
            </w:r>
          </w:hyperlink>
        </w:p>
        <w:p w14:paraId="461C9155" w14:textId="77777777" w:rsidR="00525358" w:rsidRDefault="00525358">
          <w:pPr>
            <w:pStyle w:val="TOC1"/>
            <w:tabs>
              <w:tab w:val="right" w:leader="dot" w:pos="9350"/>
            </w:tabs>
            <w:rPr>
              <w:rFonts w:eastAsiaTheme="minorEastAsia"/>
              <w:noProof/>
            </w:rPr>
          </w:pPr>
          <w:hyperlink w:anchor="_Toc443046835" w:history="1">
            <w:r w:rsidRPr="00CA6835">
              <w:rPr>
                <w:rStyle w:val="Hyperlink"/>
                <w:noProof/>
              </w:rPr>
              <w:t>Conclusions and Recommendations</w:t>
            </w:r>
            <w:r>
              <w:rPr>
                <w:noProof/>
                <w:webHidden/>
              </w:rPr>
              <w:tab/>
            </w:r>
            <w:r>
              <w:rPr>
                <w:noProof/>
                <w:webHidden/>
              </w:rPr>
              <w:fldChar w:fldCharType="begin"/>
            </w:r>
            <w:r>
              <w:rPr>
                <w:noProof/>
                <w:webHidden/>
              </w:rPr>
              <w:instrText xml:space="preserve"> PAGEREF _Toc443046835 \h </w:instrText>
            </w:r>
            <w:r>
              <w:rPr>
                <w:noProof/>
                <w:webHidden/>
              </w:rPr>
            </w:r>
            <w:r>
              <w:rPr>
                <w:noProof/>
                <w:webHidden/>
              </w:rPr>
              <w:fldChar w:fldCharType="separate"/>
            </w:r>
            <w:r>
              <w:rPr>
                <w:noProof/>
                <w:webHidden/>
              </w:rPr>
              <w:t>36</w:t>
            </w:r>
            <w:r>
              <w:rPr>
                <w:noProof/>
                <w:webHidden/>
              </w:rPr>
              <w:fldChar w:fldCharType="end"/>
            </w:r>
          </w:hyperlink>
        </w:p>
        <w:p w14:paraId="51004AC3" w14:textId="77777777" w:rsidR="00525358" w:rsidRDefault="00525358">
          <w:pPr>
            <w:pStyle w:val="TOC1"/>
            <w:tabs>
              <w:tab w:val="right" w:leader="dot" w:pos="9350"/>
            </w:tabs>
            <w:rPr>
              <w:rFonts w:eastAsiaTheme="minorEastAsia"/>
              <w:noProof/>
            </w:rPr>
          </w:pPr>
          <w:hyperlink w:anchor="_Toc443046836" w:history="1">
            <w:r w:rsidRPr="00CA6835">
              <w:rPr>
                <w:rStyle w:val="Hyperlink"/>
                <w:noProof/>
              </w:rPr>
              <w:t>References</w:t>
            </w:r>
            <w:r>
              <w:rPr>
                <w:noProof/>
                <w:webHidden/>
              </w:rPr>
              <w:tab/>
            </w:r>
            <w:r>
              <w:rPr>
                <w:noProof/>
                <w:webHidden/>
              </w:rPr>
              <w:fldChar w:fldCharType="begin"/>
            </w:r>
            <w:r>
              <w:rPr>
                <w:noProof/>
                <w:webHidden/>
              </w:rPr>
              <w:instrText xml:space="preserve"> PAGEREF _Toc443046836 \h </w:instrText>
            </w:r>
            <w:r>
              <w:rPr>
                <w:noProof/>
                <w:webHidden/>
              </w:rPr>
            </w:r>
            <w:r>
              <w:rPr>
                <w:noProof/>
                <w:webHidden/>
              </w:rPr>
              <w:fldChar w:fldCharType="separate"/>
            </w:r>
            <w:r>
              <w:rPr>
                <w:noProof/>
                <w:webHidden/>
              </w:rPr>
              <w:t>40</w:t>
            </w:r>
            <w:r>
              <w:rPr>
                <w:noProof/>
                <w:webHidden/>
              </w:rPr>
              <w:fldChar w:fldCharType="end"/>
            </w:r>
          </w:hyperlink>
        </w:p>
        <w:p w14:paraId="1340EF5D" w14:textId="77777777" w:rsidR="00525358" w:rsidRDefault="00525358">
          <w:pPr>
            <w:pStyle w:val="TOC1"/>
            <w:tabs>
              <w:tab w:val="right" w:leader="dot" w:pos="9350"/>
            </w:tabs>
            <w:rPr>
              <w:rFonts w:eastAsiaTheme="minorEastAsia"/>
              <w:noProof/>
            </w:rPr>
          </w:pPr>
          <w:hyperlink w:anchor="_Toc443046837" w:history="1">
            <w:r w:rsidRPr="00CA6835">
              <w:rPr>
                <w:rStyle w:val="Hyperlink"/>
                <w:noProof/>
              </w:rPr>
              <w:t>Annex I: Policy and Institutional Review</w:t>
            </w:r>
            <w:r>
              <w:rPr>
                <w:noProof/>
                <w:webHidden/>
              </w:rPr>
              <w:tab/>
            </w:r>
            <w:r>
              <w:rPr>
                <w:noProof/>
                <w:webHidden/>
              </w:rPr>
              <w:fldChar w:fldCharType="begin"/>
            </w:r>
            <w:r>
              <w:rPr>
                <w:noProof/>
                <w:webHidden/>
              </w:rPr>
              <w:instrText xml:space="preserve"> PAGEREF _Toc443046837 \h </w:instrText>
            </w:r>
            <w:r>
              <w:rPr>
                <w:noProof/>
                <w:webHidden/>
              </w:rPr>
            </w:r>
            <w:r>
              <w:rPr>
                <w:noProof/>
                <w:webHidden/>
              </w:rPr>
              <w:fldChar w:fldCharType="separate"/>
            </w:r>
            <w:r>
              <w:rPr>
                <w:noProof/>
                <w:webHidden/>
              </w:rPr>
              <w:t>42</w:t>
            </w:r>
            <w:r>
              <w:rPr>
                <w:noProof/>
                <w:webHidden/>
              </w:rPr>
              <w:fldChar w:fldCharType="end"/>
            </w:r>
          </w:hyperlink>
        </w:p>
        <w:p w14:paraId="3D2B7211" w14:textId="77777777" w:rsidR="00525358" w:rsidRDefault="00525358">
          <w:pPr>
            <w:pStyle w:val="TOC1"/>
            <w:tabs>
              <w:tab w:val="right" w:leader="dot" w:pos="9350"/>
            </w:tabs>
            <w:rPr>
              <w:rFonts w:eastAsiaTheme="minorEastAsia"/>
              <w:noProof/>
            </w:rPr>
          </w:pPr>
          <w:hyperlink w:anchor="_Toc443046838" w:history="1">
            <w:r w:rsidRPr="00CA6835">
              <w:rPr>
                <w:rStyle w:val="Hyperlink"/>
                <w:noProof/>
              </w:rPr>
              <w:t>Annex II: Quantitative Analysis</w:t>
            </w:r>
            <w:r>
              <w:rPr>
                <w:noProof/>
                <w:webHidden/>
              </w:rPr>
              <w:tab/>
            </w:r>
            <w:r>
              <w:rPr>
                <w:noProof/>
                <w:webHidden/>
              </w:rPr>
              <w:fldChar w:fldCharType="begin"/>
            </w:r>
            <w:r>
              <w:rPr>
                <w:noProof/>
                <w:webHidden/>
              </w:rPr>
              <w:instrText xml:space="preserve"> PAGEREF _Toc443046838 \h </w:instrText>
            </w:r>
            <w:r>
              <w:rPr>
                <w:noProof/>
                <w:webHidden/>
              </w:rPr>
            </w:r>
            <w:r>
              <w:rPr>
                <w:noProof/>
                <w:webHidden/>
              </w:rPr>
              <w:fldChar w:fldCharType="separate"/>
            </w:r>
            <w:r>
              <w:rPr>
                <w:noProof/>
                <w:webHidden/>
              </w:rPr>
              <w:t>55</w:t>
            </w:r>
            <w:r>
              <w:rPr>
                <w:noProof/>
                <w:webHidden/>
              </w:rPr>
              <w:fldChar w:fldCharType="end"/>
            </w:r>
          </w:hyperlink>
        </w:p>
        <w:p w14:paraId="46C3C141" w14:textId="77777777" w:rsidR="00525358" w:rsidRDefault="00525358">
          <w:pPr>
            <w:pStyle w:val="TOC1"/>
            <w:tabs>
              <w:tab w:val="right" w:leader="dot" w:pos="9350"/>
            </w:tabs>
            <w:rPr>
              <w:rFonts w:eastAsiaTheme="minorEastAsia"/>
              <w:noProof/>
            </w:rPr>
          </w:pPr>
          <w:hyperlink w:anchor="_Toc443046839" w:history="1">
            <w:r w:rsidRPr="00CA6835">
              <w:rPr>
                <w:rStyle w:val="Hyperlink"/>
                <w:noProof/>
              </w:rPr>
              <w:t>Annex III: Qualitative Research Sample and Key Findings</w:t>
            </w:r>
            <w:r>
              <w:rPr>
                <w:noProof/>
                <w:webHidden/>
              </w:rPr>
              <w:tab/>
            </w:r>
            <w:r>
              <w:rPr>
                <w:noProof/>
                <w:webHidden/>
              </w:rPr>
              <w:fldChar w:fldCharType="begin"/>
            </w:r>
            <w:r>
              <w:rPr>
                <w:noProof/>
                <w:webHidden/>
              </w:rPr>
              <w:instrText xml:space="preserve"> PAGEREF _Toc443046839 \h </w:instrText>
            </w:r>
            <w:r>
              <w:rPr>
                <w:noProof/>
                <w:webHidden/>
              </w:rPr>
            </w:r>
            <w:r>
              <w:rPr>
                <w:noProof/>
                <w:webHidden/>
              </w:rPr>
              <w:fldChar w:fldCharType="separate"/>
            </w:r>
            <w:r>
              <w:rPr>
                <w:noProof/>
                <w:webHidden/>
              </w:rPr>
              <w:t>73</w:t>
            </w:r>
            <w:r>
              <w:rPr>
                <w:noProof/>
                <w:webHidden/>
              </w:rPr>
              <w:fldChar w:fldCharType="end"/>
            </w:r>
          </w:hyperlink>
        </w:p>
        <w:p w14:paraId="5A0B4B83" w14:textId="461629BF" w:rsidR="00BC63CF" w:rsidRDefault="00BC63CF">
          <w:r>
            <w:rPr>
              <w:b/>
              <w:bCs/>
              <w:noProof/>
            </w:rPr>
            <w:fldChar w:fldCharType="end"/>
          </w:r>
        </w:p>
      </w:sdtContent>
    </w:sdt>
    <w:p w14:paraId="6BD1108B" w14:textId="77777777" w:rsidR="00BC63CF" w:rsidRPr="00FA4F8D" w:rsidRDefault="00BC63CF" w:rsidP="00FA4F8D">
      <w:pPr>
        <w:rPr>
          <w:sz w:val="40"/>
          <w:szCs w:val="40"/>
        </w:rPr>
      </w:pPr>
    </w:p>
    <w:p w14:paraId="32A62BC6" w14:textId="1FBF5B6A" w:rsidR="00F9761F" w:rsidRPr="00F9761F" w:rsidRDefault="00F9761F" w:rsidP="00F9761F">
      <w:pPr>
        <w:spacing w:after="200" w:line="276" w:lineRule="auto"/>
        <w:jc w:val="left"/>
        <w:rPr>
          <w:rFonts w:eastAsiaTheme="majorEastAsia" w:cstheme="majorBidi"/>
          <w:b/>
          <w:bCs/>
          <w:color w:val="17365D" w:themeColor="text2" w:themeShade="BF"/>
          <w:sz w:val="40"/>
          <w:szCs w:val="40"/>
        </w:rPr>
      </w:pPr>
      <w:r>
        <w:rPr>
          <w:color w:val="17365D" w:themeColor="text2" w:themeShade="BF"/>
          <w:sz w:val="40"/>
          <w:szCs w:val="40"/>
        </w:rPr>
        <w:br w:type="page"/>
      </w:r>
    </w:p>
    <w:p w14:paraId="41C17A53" w14:textId="672358BA" w:rsidR="00F9761F" w:rsidRDefault="00D74970" w:rsidP="00E6543B">
      <w:pPr>
        <w:pStyle w:val="Heading1"/>
        <w:pBdr>
          <w:bottom w:val="single" w:sz="18" w:space="1" w:color="17365D" w:themeColor="text2" w:themeShade="BF"/>
        </w:pBdr>
        <w:spacing w:before="0" w:after="0" w:line="276" w:lineRule="auto"/>
        <w:rPr>
          <w:rFonts w:asciiTheme="minorHAnsi" w:hAnsiTheme="minorHAnsi"/>
          <w:color w:val="17365D" w:themeColor="text2" w:themeShade="BF"/>
          <w:sz w:val="40"/>
          <w:szCs w:val="40"/>
        </w:rPr>
      </w:pPr>
      <w:bookmarkStart w:id="1" w:name="_Toc443046826"/>
      <w:r>
        <w:rPr>
          <w:rFonts w:asciiTheme="minorHAnsi" w:hAnsiTheme="minorHAnsi"/>
          <w:color w:val="17365D" w:themeColor="text2" w:themeShade="BF"/>
          <w:sz w:val="40"/>
          <w:szCs w:val="40"/>
        </w:rPr>
        <w:lastRenderedPageBreak/>
        <w:t>Acronyms</w:t>
      </w:r>
      <w:r w:rsidR="00364537">
        <w:rPr>
          <w:rFonts w:asciiTheme="minorHAnsi" w:hAnsiTheme="minorHAnsi"/>
          <w:color w:val="17365D" w:themeColor="text2" w:themeShade="BF"/>
          <w:sz w:val="40"/>
          <w:szCs w:val="40"/>
        </w:rPr>
        <w:t xml:space="preserve"> and Abbreviations</w:t>
      </w:r>
      <w:bookmarkEnd w:id="1"/>
    </w:p>
    <w:p w14:paraId="15D25069" w14:textId="77777777" w:rsidR="00D74970" w:rsidRDefault="00D74970" w:rsidP="004D4F1A"/>
    <w:p w14:paraId="6670EFF3" w14:textId="553E706E" w:rsidR="0074742E" w:rsidRDefault="0074742E" w:rsidP="004D4F1A">
      <w:r>
        <w:t>AAR</w:t>
      </w:r>
      <w:r>
        <w:tab/>
      </w:r>
      <w:r>
        <w:tab/>
        <w:t>Abkhazian Autonomous Republic</w:t>
      </w:r>
    </w:p>
    <w:p w14:paraId="15B21B51" w14:textId="4E83034E" w:rsidR="0074742E" w:rsidRDefault="0074742E" w:rsidP="004D4F1A">
      <w:r>
        <w:t>AR</w:t>
      </w:r>
      <w:r>
        <w:tab/>
      </w:r>
      <w:r>
        <w:tab/>
        <w:t>Autonomous Republic</w:t>
      </w:r>
    </w:p>
    <w:p w14:paraId="40637BE0" w14:textId="562CB49D" w:rsidR="00D74970" w:rsidRDefault="00364537" w:rsidP="004D4F1A">
      <w:r>
        <w:t>EVIDPs</w:t>
      </w:r>
      <w:r>
        <w:tab/>
      </w:r>
      <w:r>
        <w:tab/>
        <w:t>Extremely vulnerable internally-displaced persons</w:t>
      </w:r>
    </w:p>
    <w:p w14:paraId="6123F4D1" w14:textId="3A8ADA8E" w:rsidR="00364537" w:rsidRDefault="00364537" w:rsidP="004D4F1A">
      <w:r>
        <w:t>FGD</w:t>
      </w:r>
      <w:r>
        <w:tab/>
      </w:r>
      <w:r>
        <w:tab/>
        <w:t>Focus group discussion</w:t>
      </w:r>
      <w:r>
        <w:tab/>
      </w:r>
    </w:p>
    <w:p w14:paraId="52F84791" w14:textId="69DEBB8B" w:rsidR="00D74970" w:rsidRDefault="00D74970" w:rsidP="004D4F1A">
      <w:r>
        <w:t>GEL</w:t>
      </w:r>
      <w:r w:rsidR="00364537">
        <w:tab/>
      </w:r>
      <w:r w:rsidR="00364537">
        <w:tab/>
        <w:t>Georgian Lari (national currency of Georgia, 1 GEL = 0.42 USD)</w:t>
      </w:r>
    </w:p>
    <w:p w14:paraId="520FD334" w14:textId="0710EEBA" w:rsidR="00364537" w:rsidRDefault="00364537" w:rsidP="004D4F1A">
      <w:r>
        <w:t>Geostat</w:t>
      </w:r>
      <w:r>
        <w:tab/>
      </w:r>
      <w:r>
        <w:tab/>
        <w:t>Georgian National Statistics Institute</w:t>
      </w:r>
    </w:p>
    <w:p w14:paraId="1CA7819C" w14:textId="049FD015" w:rsidR="00364537" w:rsidRDefault="00364537" w:rsidP="00364537">
      <w:r>
        <w:t>GoG</w:t>
      </w:r>
      <w:r>
        <w:tab/>
      </w:r>
      <w:r>
        <w:tab/>
        <w:t>Government of Georgia</w:t>
      </w:r>
    </w:p>
    <w:p w14:paraId="3D39B574" w14:textId="0E7564F2" w:rsidR="00364537" w:rsidRDefault="00364537" w:rsidP="004D4F1A">
      <w:r>
        <w:t>HH</w:t>
      </w:r>
      <w:r>
        <w:tab/>
      </w:r>
      <w:r>
        <w:tab/>
        <w:t>Household</w:t>
      </w:r>
    </w:p>
    <w:p w14:paraId="3EFD7613" w14:textId="29579D72" w:rsidR="00364537" w:rsidRDefault="00364537" w:rsidP="004D4F1A">
      <w:r>
        <w:t>IDI</w:t>
      </w:r>
      <w:r>
        <w:tab/>
      </w:r>
      <w:r>
        <w:tab/>
        <w:t>In-depth interview</w:t>
      </w:r>
    </w:p>
    <w:p w14:paraId="7DEEA008" w14:textId="30AF3F61" w:rsidR="00D74970" w:rsidRDefault="00D74970" w:rsidP="004D4F1A">
      <w:r>
        <w:t>IDP</w:t>
      </w:r>
      <w:r w:rsidR="00364537">
        <w:tab/>
      </w:r>
      <w:r w:rsidR="00364537">
        <w:tab/>
        <w:t>Internally displaced person</w:t>
      </w:r>
    </w:p>
    <w:p w14:paraId="713BB1CD" w14:textId="512178B5" w:rsidR="00364537" w:rsidRDefault="00364537" w:rsidP="004D4F1A">
      <w:r>
        <w:t>I</w:t>
      </w:r>
      <w:r w:rsidR="00714E02">
        <w:t>H</w:t>
      </w:r>
      <w:r>
        <w:t>S</w:t>
      </w:r>
      <w:r>
        <w:tab/>
      </w:r>
      <w:r>
        <w:tab/>
        <w:t>Integrated Household Survey (conducted by Geostat)</w:t>
      </w:r>
    </w:p>
    <w:p w14:paraId="1A20EB9A" w14:textId="4C8F332E" w:rsidR="00364537" w:rsidRDefault="00364537" w:rsidP="004D4F1A">
      <w:r>
        <w:t>MDF</w:t>
      </w:r>
      <w:r>
        <w:tab/>
      </w:r>
      <w:r>
        <w:tab/>
        <w:t>Municipal Development Fund</w:t>
      </w:r>
    </w:p>
    <w:p w14:paraId="04920F5A" w14:textId="4A5F4A4B" w:rsidR="00364537" w:rsidRDefault="00364537" w:rsidP="004D4F1A">
      <w:r>
        <w:t>MoA</w:t>
      </w:r>
      <w:r>
        <w:tab/>
      </w:r>
      <w:r>
        <w:tab/>
        <w:t>Ministry of Agriculture</w:t>
      </w:r>
    </w:p>
    <w:p w14:paraId="7083B9A9" w14:textId="3408D4F9" w:rsidR="00364537" w:rsidRDefault="00364537" w:rsidP="004D4F1A">
      <w:r>
        <w:t>MoES</w:t>
      </w:r>
      <w:r>
        <w:tab/>
      </w:r>
      <w:r>
        <w:tab/>
        <w:t>Ministry of Education and Science</w:t>
      </w:r>
    </w:p>
    <w:p w14:paraId="44244132" w14:textId="42493BD0" w:rsidR="00364537" w:rsidRDefault="00364537" w:rsidP="004D4F1A">
      <w:r>
        <w:t>MoLHSA</w:t>
      </w:r>
      <w:r>
        <w:tab/>
        <w:t>Ministry of Labor, Health and Social Affairs</w:t>
      </w:r>
    </w:p>
    <w:p w14:paraId="499A3D97" w14:textId="282163C5" w:rsidR="00364537" w:rsidRDefault="00364537" w:rsidP="004D4F1A">
      <w:r>
        <w:t>MoRDI</w:t>
      </w:r>
      <w:r>
        <w:tab/>
      </w:r>
      <w:r>
        <w:tab/>
        <w:t>Ministry of Regional Development and Infrastructure</w:t>
      </w:r>
    </w:p>
    <w:p w14:paraId="00DA4264" w14:textId="08A2EE6C" w:rsidR="00D74970" w:rsidRDefault="00D74970" w:rsidP="0036006E">
      <w:pPr>
        <w:ind w:left="1440" w:hanging="1440"/>
      </w:pPr>
      <w:r>
        <w:t>MRA</w:t>
      </w:r>
      <w:r w:rsidR="00364537">
        <w:tab/>
        <w:t xml:space="preserve">Ministry of </w:t>
      </w:r>
      <w:r w:rsidR="00901294">
        <w:t xml:space="preserve">Internally Displaced Persons from the Occupied Territories, Accommodation, and </w:t>
      </w:r>
      <w:r w:rsidR="00364537">
        <w:t>Refugees</w:t>
      </w:r>
    </w:p>
    <w:p w14:paraId="26B22E05" w14:textId="1A4B5C4D" w:rsidR="00364537" w:rsidRDefault="00364537" w:rsidP="004D4F1A">
      <w:r>
        <w:t>NCL IDPs</w:t>
      </w:r>
      <w:r>
        <w:tab/>
        <w:t>New case load IDPs</w:t>
      </w:r>
    </w:p>
    <w:p w14:paraId="0A84EA02" w14:textId="32E0395B" w:rsidR="00364537" w:rsidRDefault="00364537" w:rsidP="004D4F1A">
      <w:r>
        <w:t>NGO</w:t>
      </w:r>
      <w:r>
        <w:tab/>
      </w:r>
      <w:r>
        <w:tab/>
        <w:t>Non-governmental organization</w:t>
      </w:r>
    </w:p>
    <w:p w14:paraId="2812061A" w14:textId="41C7207A" w:rsidR="00364537" w:rsidRDefault="00364537" w:rsidP="004D4F1A">
      <w:r>
        <w:t>OCL IDPs</w:t>
      </w:r>
      <w:r>
        <w:tab/>
        <w:t>Old case local IDPs</w:t>
      </w:r>
    </w:p>
    <w:p w14:paraId="762DAA1B" w14:textId="50E3CD90" w:rsidR="001A1BB7" w:rsidRDefault="001A1BB7" w:rsidP="004D4F1A">
      <w:r>
        <w:t>PSIA</w:t>
      </w:r>
      <w:r>
        <w:tab/>
      </w:r>
      <w:r>
        <w:tab/>
        <w:t>Poverty and Social Impact Analysis</w:t>
      </w:r>
    </w:p>
    <w:p w14:paraId="6AD222BC" w14:textId="33BC54A1" w:rsidR="00D74970" w:rsidRDefault="00D74970" w:rsidP="004D4F1A">
      <w:r>
        <w:t>TSA</w:t>
      </w:r>
      <w:r w:rsidR="00364537">
        <w:tab/>
      </w:r>
      <w:r w:rsidR="00364537">
        <w:tab/>
        <w:t>Targeted Social Assistance</w:t>
      </w:r>
    </w:p>
    <w:p w14:paraId="6F66F378" w14:textId="7FD45EDC" w:rsidR="00364537" w:rsidRDefault="00364537" w:rsidP="004D4F1A">
      <w:r>
        <w:t>UNDP</w:t>
      </w:r>
      <w:r>
        <w:tab/>
      </w:r>
      <w:r>
        <w:tab/>
        <w:t>United Nations Development Programme</w:t>
      </w:r>
    </w:p>
    <w:p w14:paraId="5B97299E" w14:textId="5E4C020F" w:rsidR="00364537" w:rsidRDefault="00364537" w:rsidP="004D4F1A">
      <w:r>
        <w:t>UNHCR</w:t>
      </w:r>
      <w:r>
        <w:tab/>
      </w:r>
      <w:r>
        <w:tab/>
        <w:t>United Nations High Commissioner for Refugees</w:t>
      </w:r>
    </w:p>
    <w:p w14:paraId="44C9270D" w14:textId="77777777" w:rsidR="00D74970" w:rsidRDefault="00D74970" w:rsidP="004D4F1A"/>
    <w:p w14:paraId="73EBF04A" w14:textId="77777777" w:rsidR="00D74970" w:rsidRDefault="00D74970" w:rsidP="004D4F1A"/>
    <w:p w14:paraId="3D6E4D88" w14:textId="77777777" w:rsidR="00D74970" w:rsidRDefault="00D74970" w:rsidP="004D4F1A"/>
    <w:p w14:paraId="4BA11D9E" w14:textId="77777777" w:rsidR="00D74970" w:rsidRDefault="00D74970" w:rsidP="004D4F1A"/>
    <w:p w14:paraId="7EFA0D9D" w14:textId="77777777" w:rsidR="00D74970" w:rsidRDefault="00D74970" w:rsidP="004D4F1A"/>
    <w:p w14:paraId="59E92A5B" w14:textId="77777777" w:rsidR="00D74970" w:rsidRDefault="00D74970" w:rsidP="004D4F1A"/>
    <w:p w14:paraId="124D24FE" w14:textId="0A94E1E3" w:rsidR="00D8174A" w:rsidRPr="002A4CAC" w:rsidRDefault="00D74970" w:rsidP="002A4CAC">
      <w:pPr>
        <w:spacing w:after="200" w:line="276" w:lineRule="auto"/>
        <w:jc w:val="left"/>
      </w:pPr>
      <w:r>
        <w:br w:type="page"/>
      </w:r>
      <w:r w:rsidR="00D8174A" w:rsidRPr="00CF52CF">
        <w:rPr>
          <w:color w:val="17365D" w:themeColor="text2" w:themeShade="BF"/>
          <w:sz w:val="40"/>
          <w:szCs w:val="40"/>
        </w:rPr>
        <w:lastRenderedPageBreak/>
        <w:t>Introduction</w:t>
      </w:r>
    </w:p>
    <w:p w14:paraId="6A855593" w14:textId="13AB6A25" w:rsidR="00CD379E" w:rsidRDefault="00D8174A" w:rsidP="00E6543B">
      <w:pPr>
        <w:pStyle w:val="ListParagraph"/>
        <w:numPr>
          <w:ilvl w:val="0"/>
          <w:numId w:val="1"/>
        </w:numPr>
        <w:spacing w:after="0" w:line="276" w:lineRule="auto"/>
      </w:pPr>
      <w:r w:rsidRPr="00BB103B">
        <w:rPr>
          <w:b/>
        </w:rPr>
        <w:t xml:space="preserve">This report presents to the </w:t>
      </w:r>
      <w:r w:rsidR="001D4AC4">
        <w:rPr>
          <w:b/>
        </w:rPr>
        <w:t>Government</w:t>
      </w:r>
      <w:r w:rsidRPr="00BB103B">
        <w:rPr>
          <w:b/>
        </w:rPr>
        <w:t xml:space="preserve"> of Georgia (GoG) an analysis of the implications of potential policy changes to IDP assistance.</w:t>
      </w:r>
      <w:r w:rsidRPr="00BB103B">
        <w:t xml:space="preserve">  It was prepared in response to a request from the </w:t>
      </w:r>
      <w:r w:rsidR="009303CB">
        <w:t>Ministry of Internally Displaced Persons from the Occupied Territories, Accommodation and Refugees of Georgia</w:t>
      </w:r>
      <w:r w:rsidR="006367EF">
        <w:t xml:space="preserve"> (MRA)</w:t>
      </w:r>
      <w:r w:rsidR="009956DE">
        <w:t>. Specifically the MRA has</w:t>
      </w:r>
      <w:r w:rsidR="00791E79">
        <w:t xml:space="preserve"> </w:t>
      </w:r>
      <w:r w:rsidR="009956DE">
        <w:t>requested</w:t>
      </w:r>
      <w:r w:rsidR="00FA4F8D">
        <w:t xml:space="preserve"> </w:t>
      </w:r>
      <w:r w:rsidR="00791E79">
        <w:t>the World Bank</w:t>
      </w:r>
      <w:r w:rsidR="00FA4F8D">
        <w:t xml:space="preserve">’s help in analyzing </w:t>
      </w:r>
      <w:r w:rsidR="00791E79">
        <w:t>the social and economic significance of the IDP benefit</w:t>
      </w:r>
      <w:r w:rsidR="00B624E5">
        <w:rPr>
          <w:rStyle w:val="FootnoteReference"/>
        </w:rPr>
        <w:footnoteReference w:id="1"/>
      </w:r>
      <w:r w:rsidR="00791E79">
        <w:t xml:space="preserve"> and </w:t>
      </w:r>
      <w:r w:rsidR="009956DE">
        <w:t xml:space="preserve">the </w:t>
      </w:r>
      <w:r w:rsidR="00791E79">
        <w:t>potential impacts of its removal.</w:t>
      </w:r>
      <w:r w:rsidR="009956DE">
        <w:t xml:space="preserve"> </w:t>
      </w:r>
    </w:p>
    <w:p w14:paraId="23C07D5E" w14:textId="77777777" w:rsidR="00CD379E" w:rsidRDefault="00CD379E" w:rsidP="00C1253B">
      <w:pPr>
        <w:pStyle w:val="ListParagraph"/>
        <w:spacing w:after="0" w:line="276" w:lineRule="auto"/>
        <w:ind w:left="360"/>
      </w:pPr>
    </w:p>
    <w:p w14:paraId="0E47C6FF" w14:textId="727CC8F3" w:rsidR="00B15386" w:rsidRDefault="00CD379E" w:rsidP="00E6543B">
      <w:pPr>
        <w:pStyle w:val="ListParagraph"/>
        <w:numPr>
          <w:ilvl w:val="0"/>
          <w:numId w:val="1"/>
        </w:numPr>
        <w:spacing w:after="0" w:line="276" w:lineRule="auto"/>
      </w:pPr>
      <w:r w:rsidRPr="00C1253B">
        <w:rPr>
          <w:b/>
        </w:rPr>
        <w:t>The scope of the current PSIA has evolved in its initial stage of research.</w:t>
      </w:r>
      <w:r w:rsidR="00FA4F8D">
        <w:t xml:space="preserve"> </w:t>
      </w:r>
      <w:r>
        <w:t xml:space="preserve">In 2014, the World Bank initiated a policy review with the broad objective to support the GoG in determining how current policies and programs can be strengthened to support the two major goals of </w:t>
      </w:r>
      <w:r w:rsidR="00781B1B">
        <w:t xml:space="preserve">the State Strategy on IDPs: </w:t>
      </w:r>
      <w:r>
        <w:t>to create conditions for the dignified a</w:t>
      </w:r>
      <w:r w:rsidR="00781B1B">
        <w:t>nd safe return of IDPs, and</w:t>
      </w:r>
      <w:r>
        <w:t xml:space="preserve"> to support decent living conditions for the displaced population and their participation in society.</w:t>
      </w:r>
      <w:r w:rsidR="00781B1B">
        <w:t xml:space="preserve"> This work was envisioned as a broad policy review including: (i) a legal, policy, and institution review in possible improvements in the enabling environment and coordination to deliver better outcomes for IDPs; (ii) assess current situation and optimal development outcomes for IDPs in areas such as housing, employment, livelihoods, participation; and psycho-social support; (iii) assess options on what can be done to better tailor support to IDPs in these areas; and (iv) how can attention to IDP needs be better mainstreamed in sector policies. A pressing question for policy makers in Georgia is the sustainability of status-based IDP assistance and what efforts can be made to tailor this assistance to favor the poor and vulnerable. </w:t>
      </w:r>
      <w:r w:rsidR="004A6C77">
        <w:t>In consultation</w:t>
      </w:r>
      <w:r w:rsidR="00781B1B">
        <w:t xml:space="preserve"> with MRA </w:t>
      </w:r>
      <w:r w:rsidR="004A6C77">
        <w:t>the scope of th</w:t>
      </w:r>
      <w:r w:rsidR="002069F6">
        <w:t>is analysis</w:t>
      </w:r>
      <w:r w:rsidR="004A6C77">
        <w:t xml:space="preserve"> was narrowed down to focus specifically on potential adjustments to the IDP status benefit, and in particular, on the poverty and social implications of such reforms. </w:t>
      </w:r>
      <w:r w:rsidR="00781B1B">
        <w:t xml:space="preserve">  </w:t>
      </w:r>
    </w:p>
    <w:p w14:paraId="79BD77BA" w14:textId="77777777" w:rsidR="00B15386" w:rsidRDefault="00B15386" w:rsidP="00FA4F8D">
      <w:pPr>
        <w:pStyle w:val="ListParagraph"/>
        <w:spacing w:after="0" w:line="276" w:lineRule="auto"/>
        <w:ind w:left="360"/>
      </w:pPr>
    </w:p>
    <w:p w14:paraId="4DC20AAA" w14:textId="14B5BE52" w:rsidR="00846881" w:rsidRDefault="00D8174A" w:rsidP="00715207">
      <w:pPr>
        <w:pStyle w:val="ListParagraph"/>
        <w:numPr>
          <w:ilvl w:val="0"/>
          <w:numId w:val="1"/>
        </w:numPr>
        <w:spacing w:after="0" w:line="276" w:lineRule="auto"/>
      </w:pPr>
      <w:r w:rsidRPr="00FA4F8D">
        <w:rPr>
          <w:b/>
        </w:rPr>
        <w:t xml:space="preserve">The primary audience </w:t>
      </w:r>
      <w:r w:rsidR="00CF01E6" w:rsidRPr="00FA4F8D">
        <w:rPr>
          <w:b/>
        </w:rPr>
        <w:t xml:space="preserve">for this research </w:t>
      </w:r>
      <w:r w:rsidR="002F6A8B">
        <w:rPr>
          <w:b/>
        </w:rPr>
        <w:t>is the Georgian Ministry of Internally Displaced Persons (MRA)</w:t>
      </w:r>
      <w:r w:rsidR="00715207">
        <w:t xml:space="preserve">. </w:t>
      </w:r>
      <w:r w:rsidR="00715207" w:rsidRPr="00F65285">
        <w:t>H</w:t>
      </w:r>
      <w:r w:rsidR="007C5C50" w:rsidRPr="00F65285">
        <w:t>owever</w:t>
      </w:r>
      <w:r w:rsidR="002F6A8B">
        <w:t>,</w:t>
      </w:r>
      <w:r w:rsidR="007C5C50" w:rsidRPr="00F65285">
        <w:t xml:space="preserve"> this research is of relevance to other Government and non-governmental</w:t>
      </w:r>
      <w:r w:rsidR="00715207" w:rsidRPr="00FA4F8D">
        <w:t xml:space="preserve"> stakeholders as well as</w:t>
      </w:r>
      <w:r w:rsidR="007C5C50" w:rsidRPr="00F65285">
        <w:t xml:space="preserve"> </w:t>
      </w:r>
      <w:r w:rsidR="002069F6">
        <w:t>development partners</w:t>
      </w:r>
      <w:r w:rsidR="00715207" w:rsidRPr="00FA4F8D">
        <w:t>.</w:t>
      </w:r>
      <w:r w:rsidR="00715207" w:rsidRPr="00715207">
        <w:rPr>
          <w:b/>
        </w:rPr>
        <w:t xml:space="preserve"> </w:t>
      </w:r>
      <w:r w:rsidR="007C5C50">
        <w:t xml:space="preserve"> </w:t>
      </w:r>
      <w:r w:rsidR="00CD379E">
        <w:t>For example, adjustments to</w:t>
      </w:r>
      <w:r w:rsidR="004254FF">
        <w:t xml:space="preserve"> the IDP benefit </w:t>
      </w:r>
      <w:r w:rsidR="00CD379E">
        <w:t>are likely to affect</w:t>
      </w:r>
      <w:r w:rsidR="00791E79">
        <w:t xml:space="preserve"> </w:t>
      </w:r>
      <w:r w:rsidR="004254FF">
        <w:t>directly</w:t>
      </w:r>
      <w:r w:rsidR="00791E79">
        <w:t xml:space="preserve"> the workload of the M</w:t>
      </w:r>
      <w:r w:rsidR="00715207">
        <w:t xml:space="preserve">inistry of </w:t>
      </w:r>
      <w:r w:rsidR="00791E79">
        <w:t>H</w:t>
      </w:r>
      <w:r w:rsidR="00715207">
        <w:t xml:space="preserve">ealth </w:t>
      </w:r>
      <w:r w:rsidR="00791E79">
        <w:t>L</w:t>
      </w:r>
      <w:r w:rsidR="00715207">
        <w:t xml:space="preserve">abor and </w:t>
      </w:r>
      <w:r w:rsidR="00791E79">
        <w:t>S</w:t>
      </w:r>
      <w:r w:rsidR="00715207">
        <w:t xml:space="preserve">ocial </w:t>
      </w:r>
      <w:r w:rsidR="00791E79">
        <w:t>A</w:t>
      </w:r>
      <w:r w:rsidR="00715207">
        <w:t>ssistance</w:t>
      </w:r>
      <w:r w:rsidR="00791E79">
        <w:t xml:space="preserve"> by increasing the number of potential applicants to the Targeted Social Assistance program</w:t>
      </w:r>
      <w:r w:rsidR="00791E79">
        <w:rPr>
          <w:rStyle w:val="FootnoteReference"/>
        </w:rPr>
        <w:footnoteReference w:id="2"/>
      </w:r>
      <w:r w:rsidR="00791E79">
        <w:t>.</w:t>
      </w:r>
      <w:r w:rsidR="00715207">
        <w:t xml:space="preserve"> I</w:t>
      </w:r>
      <w:r w:rsidR="00EC28F8">
        <w:t>f the IDP benefit</w:t>
      </w:r>
      <w:r w:rsidR="00901294">
        <w:t xml:space="preserve"> is one of the main sources of income of an IDP household, i</w:t>
      </w:r>
      <w:r w:rsidR="00715207">
        <w:t xml:space="preserve">t may </w:t>
      </w:r>
      <w:r w:rsidR="00901294">
        <w:t xml:space="preserve">also </w:t>
      </w:r>
      <w:r w:rsidR="009C3708">
        <w:t>affect</w:t>
      </w:r>
      <w:r w:rsidR="00715207">
        <w:t xml:space="preserve"> </w:t>
      </w:r>
      <w:r w:rsidR="00901294">
        <w:t xml:space="preserve">their ability to </w:t>
      </w:r>
      <w:r w:rsidR="009C3708">
        <w:t xml:space="preserve">access </w:t>
      </w:r>
      <w:r w:rsidR="006A5285">
        <w:t xml:space="preserve">other </w:t>
      </w:r>
      <w:r w:rsidR="00901294">
        <w:t xml:space="preserve">basic </w:t>
      </w:r>
      <w:r w:rsidR="009C3708">
        <w:t>services such as education</w:t>
      </w:r>
      <w:r w:rsidR="00715207">
        <w:t xml:space="preserve"> and health</w:t>
      </w:r>
      <w:r w:rsidR="004254FF">
        <w:t>. Changes to</w:t>
      </w:r>
      <w:r w:rsidR="00715207">
        <w:t xml:space="preserve"> the IDP benefit</w:t>
      </w:r>
      <w:r w:rsidR="009C3708">
        <w:t xml:space="preserve"> </w:t>
      </w:r>
      <w:r w:rsidR="00715207">
        <w:t xml:space="preserve">need to be coordinated with other </w:t>
      </w:r>
      <w:r w:rsidR="004254FF">
        <w:t>policies and</w:t>
      </w:r>
      <w:r w:rsidR="00715207">
        <w:t xml:space="preserve"> programs, for example those that address </w:t>
      </w:r>
      <w:r w:rsidR="004254FF">
        <w:t xml:space="preserve">the </w:t>
      </w:r>
      <w:r w:rsidR="009C3708">
        <w:t>housing</w:t>
      </w:r>
      <w:r w:rsidR="00715207">
        <w:t xml:space="preserve"> needs of IDPs. </w:t>
      </w:r>
      <w:r w:rsidR="00586A0F">
        <w:t xml:space="preserve"> </w:t>
      </w:r>
    </w:p>
    <w:p w14:paraId="5E4ED8EC" w14:textId="21FAFF50" w:rsidR="00DA0420" w:rsidRDefault="00DA0420" w:rsidP="00FA4F8D">
      <w:pPr>
        <w:pStyle w:val="ListParagraph"/>
        <w:spacing w:after="0" w:line="276" w:lineRule="auto"/>
        <w:ind w:left="360"/>
      </w:pPr>
    </w:p>
    <w:p w14:paraId="294C6C4B" w14:textId="39B79475" w:rsidR="00715207" w:rsidRPr="00FA4F8D" w:rsidRDefault="004E4384" w:rsidP="00715207">
      <w:pPr>
        <w:pStyle w:val="ListParagraph"/>
        <w:numPr>
          <w:ilvl w:val="0"/>
          <w:numId w:val="1"/>
        </w:numPr>
        <w:spacing w:after="0" w:line="276" w:lineRule="auto"/>
      </w:pPr>
      <w:r>
        <w:rPr>
          <w:b/>
        </w:rPr>
        <w:lastRenderedPageBreak/>
        <w:t>E</w:t>
      </w:r>
      <w:r w:rsidR="009956DE">
        <w:rPr>
          <w:b/>
        </w:rPr>
        <w:t>liminati</w:t>
      </w:r>
      <w:r>
        <w:rPr>
          <w:b/>
        </w:rPr>
        <w:t>on of</w:t>
      </w:r>
      <w:r w:rsidR="009956DE">
        <w:rPr>
          <w:b/>
        </w:rPr>
        <w:t xml:space="preserve"> the IDP benefit </w:t>
      </w:r>
      <w:r w:rsidR="00715207" w:rsidRPr="00FA4F8D">
        <w:rPr>
          <w:b/>
        </w:rPr>
        <w:t xml:space="preserve">has been </w:t>
      </w:r>
      <w:r w:rsidR="00FC583E">
        <w:rPr>
          <w:b/>
        </w:rPr>
        <w:t xml:space="preserve">subject to debate among policymakers. </w:t>
      </w:r>
      <w:r w:rsidR="00A418D5">
        <w:t xml:space="preserve">Several reasons have been brought forth in support of such decision. </w:t>
      </w:r>
      <w:r w:rsidR="00715207" w:rsidRPr="00BB103B">
        <w:t xml:space="preserve">First, there is an understanding that continuing to provide </w:t>
      </w:r>
      <w:r w:rsidR="004254FF">
        <w:t>a fixed benefit to the country’s</w:t>
      </w:r>
      <w:r w:rsidR="00715207" w:rsidRPr="00BB103B">
        <w:t xml:space="preserve"> large </w:t>
      </w:r>
      <w:r w:rsidR="004254FF">
        <w:t>IDP population poses a significant fiscal burden</w:t>
      </w:r>
      <w:r w:rsidR="004254FF">
        <w:rPr>
          <w:rStyle w:val="FootnoteReference"/>
        </w:rPr>
        <w:footnoteReference w:id="3"/>
      </w:r>
      <w:r w:rsidR="004254FF">
        <w:t>.</w:t>
      </w:r>
      <w:r w:rsidR="00A418D5">
        <w:t xml:space="preserve"> </w:t>
      </w:r>
      <w:r w:rsidR="00715207" w:rsidRPr="00BB103B">
        <w:t xml:space="preserve">Second, there is an emerging consensus </w:t>
      </w:r>
      <w:r w:rsidR="00D328E5">
        <w:t>among policymakers in Georgia</w:t>
      </w:r>
      <w:r w:rsidR="00A418D5">
        <w:t xml:space="preserve"> on</w:t>
      </w:r>
      <w:r w:rsidR="00715207" w:rsidRPr="00BB103B">
        <w:t xml:space="preserve"> the need to use existing resources for those who most need it</w:t>
      </w:r>
      <w:r w:rsidR="00A418D5">
        <w:t xml:space="preserve"> rather than supporting status-based programs</w:t>
      </w:r>
      <w:r w:rsidR="00715207" w:rsidRPr="00BB103B">
        <w:t>. And third, given the protracted nature of displacement in Georgia</w:t>
      </w:r>
      <w:r w:rsidR="00A418D5">
        <w:t xml:space="preserve"> starting from the 1990s</w:t>
      </w:r>
      <w:r w:rsidR="00715207" w:rsidRPr="00BB103B">
        <w:t>, it is likely that the vulnerabilities and welfare needs of IDPs have changed over time and IDP assistance policies should reflect these changes.</w:t>
      </w:r>
      <w:r w:rsidR="00715207" w:rsidRPr="00715207">
        <w:rPr>
          <w:rFonts w:eastAsiaTheme="minorEastAsia" w:cs="Times New Roman"/>
          <w:b/>
        </w:rPr>
        <w:t xml:space="preserve"> </w:t>
      </w:r>
      <w:r w:rsidR="00715207" w:rsidRPr="00715207">
        <w:rPr>
          <w:rFonts w:eastAsiaTheme="minorEastAsia" w:cs="Times New Roman"/>
        </w:rPr>
        <w:t xml:space="preserve"> </w:t>
      </w:r>
    </w:p>
    <w:p w14:paraId="13CBBBB0" w14:textId="77777777" w:rsidR="00261C86" w:rsidRPr="00FA4F8D" w:rsidRDefault="00261C86" w:rsidP="00FA4F8D">
      <w:pPr>
        <w:spacing w:after="0" w:line="276" w:lineRule="auto"/>
      </w:pPr>
    </w:p>
    <w:p w14:paraId="28BD8E86" w14:textId="7391510C" w:rsidR="009512D0" w:rsidRPr="00FA4F8D" w:rsidRDefault="00DA0420" w:rsidP="00FA4F8D">
      <w:pPr>
        <w:pStyle w:val="ListParagraph"/>
        <w:numPr>
          <w:ilvl w:val="0"/>
          <w:numId w:val="1"/>
        </w:numPr>
        <w:spacing w:after="0" w:line="276" w:lineRule="auto"/>
      </w:pPr>
      <w:r w:rsidRPr="00FA4F8D">
        <w:rPr>
          <w:b/>
        </w:rPr>
        <w:t xml:space="preserve">The World Bank has </w:t>
      </w:r>
      <w:r w:rsidR="00C66E03">
        <w:rPr>
          <w:b/>
        </w:rPr>
        <w:t>worked with the Government to support</w:t>
      </w:r>
      <w:r w:rsidR="00E00B64" w:rsidRPr="00FA4F8D">
        <w:rPr>
          <w:b/>
        </w:rPr>
        <w:t xml:space="preserve"> improv</w:t>
      </w:r>
      <w:r w:rsidR="00C66E03">
        <w:rPr>
          <w:b/>
        </w:rPr>
        <w:t>ements to</w:t>
      </w:r>
      <w:r w:rsidR="00E00B64" w:rsidRPr="00FA4F8D">
        <w:rPr>
          <w:b/>
        </w:rPr>
        <w:t xml:space="preserve"> the socio-economic situation of IDPs </w:t>
      </w:r>
      <w:r w:rsidR="00A418D5">
        <w:rPr>
          <w:b/>
        </w:rPr>
        <w:t xml:space="preserve">in Georgia </w:t>
      </w:r>
      <w:r w:rsidR="00E00B64" w:rsidRPr="00FA4F8D">
        <w:rPr>
          <w:b/>
        </w:rPr>
        <w:t>since 2008.</w:t>
      </w:r>
      <w:r w:rsidR="00FA4F8D">
        <w:rPr>
          <w:b/>
        </w:rPr>
        <w:t xml:space="preserve"> </w:t>
      </w:r>
      <w:r w:rsidR="00F64EB9" w:rsidRPr="00FA4F8D">
        <w:t xml:space="preserve">The IDP Community Development Project, implemented between 2009-2012 improved service delivery, infrastructure, and livelihoods in </w:t>
      </w:r>
      <w:r w:rsidR="00D0453C">
        <w:t xml:space="preserve">over </w:t>
      </w:r>
      <w:r w:rsidR="00F64EB9" w:rsidRPr="00FA4F8D">
        <w:t>40 IDP communities</w:t>
      </w:r>
      <w:r w:rsidR="00D0453C">
        <w:rPr>
          <w:rStyle w:val="FootnoteReference"/>
        </w:rPr>
        <w:footnoteReference w:id="4"/>
      </w:r>
      <w:r w:rsidR="00F64EB9" w:rsidRPr="00FA4F8D">
        <w:t xml:space="preserve">. </w:t>
      </w:r>
      <w:r w:rsidR="00911E02" w:rsidRPr="00FA4F8D">
        <w:t xml:space="preserve">A </w:t>
      </w:r>
      <w:r w:rsidR="00F65285" w:rsidRPr="00FA4F8D">
        <w:t xml:space="preserve">2013 </w:t>
      </w:r>
      <w:r w:rsidR="00F64EB9" w:rsidRPr="00FA4F8D">
        <w:t xml:space="preserve">analytic report </w:t>
      </w:r>
      <w:r w:rsidR="00C66E03">
        <w:t xml:space="preserve">by the World Bank </w:t>
      </w:r>
      <w:r w:rsidR="004C0AD2" w:rsidRPr="00FA4F8D">
        <w:t>identified key constraints for IDPs to secure sustainable livelihoods</w:t>
      </w:r>
      <w:r w:rsidR="00911E02" w:rsidRPr="00FA4F8D">
        <w:t xml:space="preserve">: (i) lack of access to land; (ii) lack of access to financial services; </w:t>
      </w:r>
      <w:r w:rsidR="00C53B11">
        <w:t xml:space="preserve">(iii) weak social capital; (iv) </w:t>
      </w:r>
      <w:r w:rsidR="00911E02" w:rsidRPr="00FA4F8D">
        <w:t>lack of skills and education; (v) psycho-social issues; and (vi) extreme vulnerability.</w:t>
      </w:r>
      <w:r w:rsidR="00C45B00" w:rsidRPr="00FA4F8D">
        <w:rPr>
          <w:rStyle w:val="FootnoteReference"/>
        </w:rPr>
        <w:footnoteReference w:id="5"/>
      </w:r>
      <w:r w:rsidR="00911E02" w:rsidRPr="00FA4F8D">
        <w:t xml:space="preserve"> It</w:t>
      </w:r>
      <w:r w:rsidR="004C0AD2" w:rsidRPr="00FA4F8D">
        <w:t xml:space="preserve"> analyzed </w:t>
      </w:r>
      <w:r w:rsidR="00F64EB9" w:rsidRPr="00FA4F8D">
        <w:t>replicable</w:t>
      </w:r>
      <w:r w:rsidR="004C0AD2" w:rsidRPr="00FA4F8D">
        <w:t xml:space="preserve"> good practices </w:t>
      </w:r>
      <w:r w:rsidR="00F64EB9" w:rsidRPr="00FA4F8D">
        <w:t xml:space="preserve">from existing projects </w:t>
      </w:r>
      <w:r w:rsidR="004C0AD2" w:rsidRPr="00FA4F8D">
        <w:t>for strengthening livelihood support to IDPs</w:t>
      </w:r>
      <w:r w:rsidR="00C53B11">
        <w:t>.</w:t>
      </w:r>
      <w:r w:rsidR="00C53B11">
        <w:rPr>
          <w:rStyle w:val="FootnoteReference"/>
        </w:rPr>
        <w:footnoteReference w:id="6"/>
      </w:r>
    </w:p>
    <w:p w14:paraId="4CC71A2E" w14:textId="77777777" w:rsidR="009512D0" w:rsidRPr="00FA4F8D" w:rsidRDefault="009512D0" w:rsidP="00FA4F8D">
      <w:pPr>
        <w:pStyle w:val="ListParagraph"/>
        <w:spacing w:after="0" w:line="276" w:lineRule="auto"/>
        <w:ind w:left="360"/>
      </w:pPr>
    </w:p>
    <w:p w14:paraId="0F4B08D9" w14:textId="52C07635" w:rsidR="00A418D5" w:rsidRPr="00FA4F8D" w:rsidRDefault="00E57B74" w:rsidP="009512D0">
      <w:pPr>
        <w:pStyle w:val="ListParagraph"/>
        <w:numPr>
          <w:ilvl w:val="0"/>
          <w:numId w:val="1"/>
        </w:numPr>
        <w:spacing w:after="0" w:line="276" w:lineRule="auto"/>
      </w:pPr>
      <w:r w:rsidRPr="00546767">
        <w:rPr>
          <w:b/>
        </w:rPr>
        <w:t xml:space="preserve">Evidence on the socio-economic needs of IDPs has been collected by both Government and donors; yet no </w:t>
      </w:r>
      <w:r w:rsidR="00BF4D19" w:rsidRPr="00546767">
        <w:rPr>
          <w:b/>
        </w:rPr>
        <w:t xml:space="preserve">comprehensive research </w:t>
      </w:r>
      <w:r w:rsidR="004E4384">
        <w:rPr>
          <w:b/>
        </w:rPr>
        <w:t>ha</w:t>
      </w:r>
      <w:r w:rsidR="00BF4D19" w:rsidRPr="00546767">
        <w:rPr>
          <w:b/>
        </w:rPr>
        <w:t xml:space="preserve">s </w:t>
      </w:r>
      <w:r w:rsidR="004E4384">
        <w:rPr>
          <w:b/>
        </w:rPr>
        <w:t xml:space="preserve">been </w:t>
      </w:r>
      <w:r w:rsidR="00BF4D19" w:rsidRPr="00546767">
        <w:rPr>
          <w:b/>
        </w:rPr>
        <w:t xml:space="preserve">conducted to </w:t>
      </w:r>
      <w:r w:rsidR="00546767" w:rsidRPr="00546767">
        <w:rPr>
          <w:b/>
        </w:rPr>
        <w:t xml:space="preserve">critically </w:t>
      </w:r>
      <w:r w:rsidR="00BF4D19" w:rsidRPr="00546767">
        <w:rPr>
          <w:b/>
        </w:rPr>
        <w:t xml:space="preserve">compare </w:t>
      </w:r>
      <w:r w:rsidR="00546767" w:rsidRPr="00546767">
        <w:rPr>
          <w:b/>
        </w:rPr>
        <w:t>their situation t</w:t>
      </w:r>
      <w:r w:rsidR="004E4384">
        <w:rPr>
          <w:b/>
        </w:rPr>
        <w:t>o</w:t>
      </w:r>
      <w:r w:rsidR="00546767" w:rsidRPr="00546767">
        <w:rPr>
          <w:b/>
        </w:rPr>
        <w:t xml:space="preserve"> that of the overall population.</w:t>
      </w:r>
      <w:r w:rsidR="00546767">
        <w:t xml:space="preserve"> In order to understand the potential poverty</w:t>
      </w:r>
      <w:r w:rsidR="00A62150">
        <w:t xml:space="preserve">, </w:t>
      </w:r>
      <w:r w:rsidR="00546767">
        <w:t>economic</w:t>
      </w:r>
      <w:r w:rsidR="00A62150">
        <w:t xml:space="preserve"> and</w:t>
      </w:r>
      <w:r w:rsidR="00546767">
        <w:t xml:space="preserve"> welfare</w:t>
      </w:r>
      <w:r w:rsidR="00A62150">
        <w:t xml:space="preserve"> </w:t>
      </w:r>
      <w:r w:rsidR="00546767">
        <w:t>impacts of removing the status-based benefit</w:t>
      </w:r>
      <w:r w:rsidR="00E65EB0">
        <w:t>,</w:t>
      </w:r>
      <w:r w:rsidR="00546767">
        <w:t xml:space="preserve"> and analyze whether such decision may be justified</w:t>
      </w:r>
      <w:r w:rsidR="00E65EB0">
        <w:t>,</w:t>
      </w:r>
      <w:r w:rsidR="00546767">
        <w:t xml:space="preserve"> </w:t>
      </w:r>
      <w:r w:rsidR="003B7499">
        <w:t xml:space="preserve">more research </w:t>
      </w:r>
      <w:r w:rsidR="00A62150">
        <w:t xml:space="preserve">was </w:t>
      </w:r>
      <w:r w:rsidR="003B7499">
        <w:t xml:space="preserve">needed. Specifically, </w:t>
      </w:r>
      <w:r w:rsidR="00546767">
        <w:t xml:space="preserve">it is necessary to review </w:t>
      </w:r>
      <w:r w:rsidR="00E65EB0">
        <w:t>the exten</w:t>
      </w:r>
      <w:r w:rsidR="00A62150">
        <w:t>t</w:t>
      </w:r>
      <w:r w:rsidR="00E65EB0">
        <w:t xml:space="preserve"> to which IDPs</w:t>
      </w:r>
      <w:r w:rsidR="004E4384">
        <w:t>’</w:t>
      </w:r>
      <w:r w:rsidR="00E65EB0">
        <w:t xml:space="preserve"> needs are similar to those of the rest of the population, </w:t>
      </w:r>
      <w:r w:rsidR="003B7499">
        <w:t>identify distinct</w:t>
      </w:r>
      <w:r w:rsidR="00E65EB0">
        <w:t xml:space="preserve"> vulnerabilities they face that should be considered when adjusting IDP assistance, </w:t>
      </w:r>
      <w:r w:rsidR="004E4384">
        <w:t xml:space="preserve">and </w:t>
      </w:r>
      <w:r w:rsidR="003B7499">
        <w:t xml:space="preserve">examine other – political, social, institutional – factors that </w:t>
      </w:r>
      <w:r w:rsidR="00AA15A0">
        <w:t xml:space="preserve"> may support or obstruct changes in IDP assistance policy.</w:t>
      </w:r>
    </w:p>
    <w:p w14:paraId="1E327BD6" w14:textId="446544D7" w:rsidR="00190251" w:rsidRPr="00FA4F8D" w:rsidRDefault="00190251" w:rsidP="00FA4F8D">
      <w:pPr>
        <w:pStyle w:val="ListParagraph"/>
        <w:spacing w:after="0" w:line="276" w:lineRule="auto"/>
        <w:ind w:left="360"/>
      </w:pPr>
    </w:p>
    <w:p w14:paraId="6A7A8195" w14:textId="7D8F1FE0" w:rsidR="009512D0" w:rsidRDefault="00190251" w:rsidP="00FA4F8D">
      <w:pPr>
        <w:pStyle w:val="ListParagraph"/>
        <w:numPr>
          <w:ilvl w:val="0"/>
          <w:numId w:val="1"/>
        </w:numPr>
        <w:spacing w:after="0" w:line="276" w:lineRule="auto"/>
      </w:pPr>
      <w:r w:rsidRPr="00FA4F8D">
        <w:rPr>
          <w:b/>
        </w:rPr>
        <w:t xml:space="preserve">The objective of this </w:t>
      </w:r>
      <w:r w:rsidR="009512D0" w:rsidRPr="00FA4F8D">
        <w:rPr>
          <w:b/>
        </w:rPr>
        <w:t xml:space="preserve">research is </w:t>
      </w:r>
      <w:r w:rsidR="00EC3147">
        <w:rPr>
          <w:b/>
        </w:rPr>
        <w:t xml:space="preserve">to </w:t>
      </w:r>
      <w:r w:rsidR="00B94BCB">
        <w:rPr>
          <w:b/>
        </w:rPr>
        <w:t>generate more evidence</w:t>
      </w:r>
      <w:r w:rsidR="009512D0" w:rsidRPr="00FA4F8D">
        <w:rPr>
          <w:b/>
        </w:rPr>
        <w:t xml:space="preserve"> on the significance of the IDP benefit, </w:t>
      </w:r>
      <w:r w:rsidR="00E57B74">
        <w:rPr>
          <w:b/>
        </w:rPr>
        <w:t xml:space="preserve">and </w:t>
      </w:r>
      <w:r w:rsidR="009512D0" w:rsidRPr="00FA4F8D">
        <w:rPr>
          <w:b/>
        </w:rPr>
        <w:t xml:space="preserve">consequences that may be expected if this benefit is removed, in order to inform future </w:t>
      </w:r>
      <w:r w:rsidR="00A418D5">
        <w:rPr>
          <w:b/>
        </w:rPr>
        <w:t xml:space="preserve">policy </w:t>
      </w:r>
      <w:r w:rsidR="009512D0" w:rsidRPr="00FA4F8D">
        <w:rPr>
          <w:b/>
        </w:rPr>
        <w:t>decisions of the GoG in this regard.</w:t>
      </w:r>
      <w:r w:rsidR="009512D0">
        <w:t xml:space="preserve"> </w:t>
      </w:r>
      <w:r w:rsidR="00FA4F8D">
        <w:t>The report examines</w:t>
      </w:r>
      <w:r>
        <w:t xml:space="preserve">: (i) </w:t>
      </w:r>
      <w:r w:rsidR="004E4384">
        <w:t xml:space="preserve">the </w:t>
      </w:r>
      <w:r>
        <w:t>policy and institutional framework and considerations that may support or obstruct a shift in IDP assistance; (ii) quantitative evidence on the socio-economic situation of IDPs as compared to non-IDPs in Georgia; and (iii) qualitative evidence on the significance of the IDP benefit</w:t>
      </w:r>
      <w:r w:rsidR="00E57B74">
        <w:t xml:space="preserve">, attitudes towards the benefit program, </w:t>
      </w:r>
      <w:r>
        <w:t>and vulnerabilities that may</w:t>
      </w:r>
      <w:r w:rsidR="00E57B74">
        <w:t xml:space="preserve"> arise from its potential elimination</w:t>
      </w:r>
      <w:r>
        <w:t xml:space="preserve">. The paper concludes with policy recommendations for </w:t>
      </w:r>
      <w:r>
        <w:lastRenderedPageBreak/>
        <w:t xml:space="preserve">mitigating negative poverty and social impacts, should the Government pursue a decision to </w:t>
      </w:r>
      <w:r w:rsidR="00E57B74">
        <w:t>remove</w:t>
      </w:r>
      <w:r>
        <w:t xml:space="preserve"> the IDP benefit program.</w:t>
      </w:r>
    </w:p>
    <w:p w14:paraId="4A158E5B" w14:textId="78CA1B13" w:rsidR="00190251" w:rsidRDefault="00190251" w:rsidP="009512D0">
      <w:pPr>
        <w:spacing w:after="0" w:line="276" w:lineRule="auto"/>
      </w:pPr>
      <w:r>
        <w:t xml:space="preserve"> </w:t>
      </w:r>
    </w:p>
    <w:p w14:paraId="0D8EB9FB" w14:textId="738EAAB0" w:rsidR="00D838F1" w:rsidRPr="00CF52CF" w:rsidRDefault="00D838F1" w:rsidP="00576616">
      <w:pPr>
        <w:pStyle w:val="ListParagraph"/>
        <w:numPr>
          <w:ilvl w:val="0"/>
          <w:numId w:val="1"/>
        </w:numPr>
        <w:spacing w:line="276" w:lineRule="auto"/>
      </w:pPr>
      <w:r w:rsidRPr="00FA4F8D">
        <w:rPr>
          <w:b/>
        </w:rPr>
        <w:t>This report</w:t>
      </w:r>
      <w:r w:rsidR="00EC3147" w:rsidRPr="00FA4F8D">
        <w:rPr>
          <w:b/>
        </w:rPr>
        <w:t xml:space="preserve"> focuses on</w:t>
      </w:r>
      <w:r w:rsidR="002D1A89">
        <w:rPr>
          <w:b/>
        </w:rPr>
        <w:t xml:space="preserve"> potential</w:t>
      </w:r>
      <w:r w:rsidR="00EC3147" w:rsidRPr="00FA4F8D">
        <w:rPr>
          <w:b/>
        </w:rPr>
        <w:t xml:space="preserve"> poverty and social impacts of eliminating the IDP benefit</w:t>
      </w:r>
      <w:r w:rsidR="00EC3147">
        <w:t>. It</w:t>
      </w:r>
      <w:r w:rsidRPr="00CF52CF">
        <w:t xml:space="preserve"> does not cover </w:t>
      </w:r>
      <w:r w:rsidR="00EC3147">
        <w:t xml:space="preserve">analysis of the </w:t>
      </w:r>
      <w:r w:rsidRPr="00CF52CF">
        <w:t xml:space="preserve">fiscal </w:t>
      </w:r>
      <w:r w:rsidR="00EC3147">
        <w:t>burden</w:t>
      </w:r>
      <w:r w:rsidR="002D1A89">
        <w:t xml:space="preserve"> of the benefit</w:t>
      </w:r>
      <w:r w:rsidR="00301AE7">
        <w:t>,</w:t>
      </w:r>
      <w:r w:rsidR="00EC3147">
        <w:t xml:space="preserve"> or specific legal and regulatory steps for making this transition</w:t>
      </w:r>
      <w:r w:rsidR="002D1A89">
        <w:t xml:space="preserve"> to </w:t>
      </w:r>
      <w:r w:rsidR="00301AE7">
        <w:t>alternative assistance for IDPs</w:t>
      </w:r>
      <w:r w:rsidR="00EC3147">
        <w:t xml:space="preserve">. These are important </w:t>
      </w:r>
      <w:r w:rsidR="002D1A89">
        <w:t>aspects of the Government’s decision on the program that would require additional investigation.</w:t>
      </w:r>
    </w:p>
    <w:p w14:paraId="3627FD92" w14:textId="77777777" w:rsidR="00FA4F8D" w:rsidRDefault="00FA4F8D" w:rsidP="00FA4F8D">
      <w:pPr>
        <w:pStyle w:val="ListParagraph"/>
        <w:spacing w:after="0" w:line="276" w:lineRule="auto"/>
        <w:ind w:left="360"/>
      </w:pPr>
    </w:p>
    <w:p w14:paraId="1AA6E857" w14:textId="77777777" w:rsidR="00D8174A" w:rsidRDefault="00D8174A" w:rsidP="00FA4F8D">
      <w:pPr>
        <w:rPr>
          <w:rFonts w:eastAsiaTheme="minorEastAsia" w:cs="Times New Roman"/>
          <w:b/>
          <w:sz w:val="24"/>
          <w:szCs w:val="24"/>
        </w:rPr>
      </w:pPr>
    </w:p>
    <w:p w14:paraId="630DBB26" w14:textId="77777777" w:rsidR="00AA15A0" w:rsidRDefault="00AA15A0" w:rsidP="00FA4F8D">
      <w:pPr>
        <w:rPr>
          <w:rFonts w:eastAsiaTheme="minorEastAsia" w:cs="Times New Roman"/>
          <w:b/>
          <w:sz w:val="24"/>
          <w:szCs w:val="24"/>
        </w:rPr>
      </w:pPr>
    </w:p>
    <w:p w14:paraId="20D18F07" w14:textId="64217369" w:rsidR="00D74970" w:rsidRDefault="00D74970">
      <w:pPr>
        <w:spacing w:after="200" w:line="276" w:lineRule="auto"/>
        <w:jc w:val="left"/>
        <w:rPr>
          <w:rFonts w:eastAsiaTheme="minorEastAsia" w:cs="Times New Roman"/>
          <w:b/>
          <w:sz w:val="24"/>
          <w:szCs w:val="24"/>
        </w:rPr>
      </w:pPr>
      <w:r>
        <w:rPr>
          <w:rFonts w:eastAsiaTheme="minorEastAsia" w:cs="Times New Roman"/>
          <w:b/>
          <w:sz w:val="24"/>
          <w:szCs w:val="24"/>
        </w:rPr>
        <w:br w:type="page"/>
      </w:r>
    </w:p>
    <w:p w14:paraId="26C52BB0" w14:textId="77777777" w:rsidR="00AA15A0" w:rsidRPr="00CF52CF" w:rsidRDefault="00AA15A0" w:rsidP="00FA4F8D">
      <w:pPr>
        <w:rPr>
          <w:rFonts w:eastAsiaTheme="minorEastAsia" w:cs="Times New Roman"/>
          <w:b/>
          <w:sz w:val="24"/>
          <w:szCs w:val="24"/>
        </w:rPr>
      </w:pPr>
    </w:p>
    <w:p w14:paraId="102C0263" w14:textId="77777777" w:rsidR="00D8174A" w:rsidRPr="00CF52CF" w:rsidRDefault="00D8174A" w:rsidP="00E6543B">
      <w:pPr>
        <w:pStyle w:val="Heading1"/>
        <w:pBdr>
          <w:bottom w:val="single" w:sz="18" w:space="1" w:color="17365D" w:themeColor="text2" w:themeShade="BF"/>
        </w:pBdr>
        <w:spacing w:before="0" w:after="0" w:line="276" w:lineRule="auto"/>
        <w:rPr>
          <w:rFonts w:asciiTheme="minorHAnsi" w:hAnsiTheme="minorHAnsi"/>
          <w:color w:val="17365D" w:themeColor="text2" w:themeShade="BF"/>
          <w:sz w:val="40"/>
          <w:szCs w:val="40"/>
        </w:rPr>
      </w:pPr>
      <w:bookmarkStart w:id="2" w:name="_Toc443046827"/>
      <w:r w:rsidRPr="00CF52CF">
        <w:rPr>
          <w:rFonts w:asciiTheme="minorHAnsi" w:hAnsiTheme="minorHAnsi"/>
          <w:color w:val="17365D" w:themeColor="text2" w:themeShade="BF"/>
          <w:sz w:val="40"/>
          <w:szCs w:val="40"/>
        </w:rPr>
        <w:t>Context</w:t>
      </w:r>
      <w:bookmarkEnd w:id="2"/>
    </w:p>
    <w:p w14:paraId="03644CF6" w14:textId="3213CF61" w:rsidR="004A334D" w:rsidRPr="00C43C1E" w:rsidRDefault="000B3AA8" w:rsidP="00C43C1E">
      <w:pPr>
        <w:pStyle w:val="ListParagraph"/>
        <w:numPr>
          <w:ilvl w:val="0"/>
          <w:numId w:val="1"/>
        </w:numPr>
        <w:autoSpaceDE w:val="0"/>
        <w:autoSpaceDN w:val="0"/>
        <w:adjustRightInd w:val="0"/>
        <w:spacing w:after="0" w:line="276" w:lineRule="auto"/>
        <w:rPr>
          <w:rFonts w:cs="Times New Roman"/>
          <w:b/>
          <w:bCs/>
        </w:rPr>
      </w:pPr>
      <w:r w:rsidRPr="00C43C1E">
        <w:rPr>
          <w:rFonts w:cs="Times New Roman"/>
          <w:b/>
        </w:rPr>
        <w:t>Georgia is a small country in the South Caucasu</w:t>
      </w:r>
      <w:r w:rsidR="00D328E5">
        <w:rPr>
          <w:rFonts w:cs="Times New Roman"/>
          <w:b/>
        </w:rPr>
        <w:t>s with a population of about 3.7</w:t>
      </w:r>
      <w:r w:rsidRPr="00C43C1E">
        <w:rPr>
          <w:rFonts w:cs="Times New Roman"/>
          <w:b/>
        </w:rPr>
        <w:t xml:space="preserve"> million people. </w:t>
      </w:r>
      <w:r w:rsidRPr="00C43C1E">
        <w:rPr>
          <w:rFonts w:cs="Times New Roman"/>
        </w:rPr>
        <w:t>The Georgian economy has grown substantially in the last decade, averaging 6% per annum between 2004 and 2013.</w:t>
      </w:r>
      <w:r w:rsidR="000A7EB5" w:rsidRPr="00C43C1E">
        <w:rPr>
          <w:rStyle w:val="FootnoteReference"/>
          <w:rFonts w:cs="Times New Roman"/>
        </w:rPr>
        <w:footnoteReference w:id="7"/>
      </w:r>
      <w:r w:rsidRPr="00C43C1E">
        <w:rPr>
          <w:rFonts w:cs="Times New Roman"/>
        </w:rPr>
        <w:t xml:space="preserve"> Structural reforms and liberalization policies </w:t>
      </w:r>
      <w:r w:rsidR="002E41F5" w:rsidRPr="00C43C1E">
        <w:rPr>
          <w:rFonts w:cs="Times New Roman"/>
        </w:rPr>
        <w:t xml:space="preserve">starting </w:t>
      </w:r>
      <w:r w:rsidRPr="00C43C1E">
        <w:rPr>
          <w:rFonts w:cs="Times New Roman"/>
        </w:rPr>
        <w:t>in 2004 have strengthened Georgia’s competitiveness and supported new areas of growth. However, poverty levels have remained high and present a serious public pol</w:t>
      </w:r>
      <w:r w:rsidR="00BE74FE">
        <w:rPr>
          <w:rFonts w:cs="Times New Roman"/>
        </w:rPr>
        <w:t>icy challenge. As of 2012, 14.8 and 3.7 percent</w:t>
      </w:r>
      <w:r w:rsidRPr="00C43C1E">
        <w:rPr>
          <w:rFonts w:cs="Times New Roman"/>
        </w:rPr>
        <w:t xml:space="preserve"> of the population lived in poverty and extreme poverty respectively.</w:t>
      </w:r>
      <w:r w:rsidR="0047768D" w:rsidRPr="00C43C1E">
        <w:rPr>
          <w:rStyle w:val="FootnoteReference"/>
          <w:rFonts w:cs="Times New Roman"/>
        </w:rPr>
        <w:footnoteReference w:id="8"/>
      </w:r>
      <w:r w:rsidR="006575C6" w:rsidRPr="00C43C1E">
        <w:rPr>
          <w:rFonts w:cs="Times New Roman"/>
        </w:rPr>
        <w:t xml:space="preserve"> High levels of unemployment partially </w:t>
      </w:r>
      <w:r w:rsidR="004E4384">
        <w:rPr>
          <w:rFonts w:cs="Times New Roman"/>
        </w:rPr>
        <w:t>explain</w:t>
      </w:r>
      <w:r w:rsidR="004E4384" w:rsidRPr="00C43C1E">
        <w:rPr>
          <w:rFonts w:cs="Times New Roman"/>
        </w:rPr>
        <w:t xml:space="preserve"> </w:t>
      </w:r>
      <w:r w:rsidR="006575C6" w:rsidRPr="00C43C1E">
        <w:rPr>
          <w:rFonts w:cs="Times New Roman"/>
        </w:rPr>
        <w:t xml:space="preserve">the weak link between growth and poverty reduction. </w:t>
      </w:r>
      <w:r w:rsidR="002E41F5" w:rsidRPr="00C43C1E">
        <w:rPr>
          <w:rFonts w:cs="Times New Roman"/>
        </w:rPr>
        <w:t>Strong economic growth in 2006-2008 was accompanied b</w:t>
      </w:r>
      <w:r w:rsidR="009B081B" w:rsidRPr="00C43C1E">
        <w:rPr>
          <w:rFonts w:cs="Times New Roman"/>
        </w:rPr>
        <w:t xml:space="preserve">y </w:t>
      </w:r>
      <w:r w:rsidR="00BE74FE">
        <w:rPr>
          <w:rFonts w:cs="Times New Roman"/>
        </w:rPr>
        <w:t>high unemployment in the 12 to 13 percent</w:t>
      </w:r>
      <w:r w:rsidR="002E41F5" w:rsidRPr="00C43C1E">
        <w:rPr>
          <w:rFonts w:cs="Times New Roman"/>
        </w:rPr>
        <w:t xml:space="preserve"> range and limited wage growth</w:t>
      </w:r>
      <w:r w:rsidR="0047768D" w:rsidRPr="00C43C1E">
        <w:rPr>
          <w:rFonts w:cs="Times New Roman"/>
        </w:rPr>
        <w:t>.</w:t>
      </w:r>
      <w:r w:rsidR="0047768D" w:rsidRPr="00C43C1E">
        <w:rPr>
          <w:rStyle w:val="FootnoteReference"/>
          <w:rFonts w:cs="Times New Roman"/>
        </w:rPr>
        <w:footnoteReference w:id="9"/>
      </w:r>
      <w:r w:rsidR="0047768D" w:rsidRPr="00C43C1E">
        <w:rPr>
          <w:rFonts w:cs="Times New Roman"/>
        </w:rPr>
        <w:t xml:space="preserve"> </w:t>
      </w:r>
      <w:r w:rsidR="00BE74FE">
        <w:rPr>
          <w:rFonts w:cs="Times New Roman"/>
        </w:rPr>
        <w:t>Unemployment peaked to 17 percent</w:t>
      </w:r>
      <w:r w:rsidR="002E41F5" w:rsidRPr="00C43C1E">
        <w:rPr>
          <w:rFonts w:cs="Times New Roman"/>
        </w:rPr>
        <w:t xml:space="preserve"> </w:t>
      </w:r>
      <w:r w:rsidR="00BE74FE">
        <w:rPr>
          <w:rFonts w:cs="Times New Roman"/>
        </w:rPr>
        <w:t>in 2010 and then fell to 14.3 percent</w:t>
      </w:r>
      <w:r w:rsidR="002E41F5" w:rsidRPr="00C43C1E">
        <w:rPr>
          <w:rFonts w:cs="Times New Roman"/>
        </w:rPr>
        <w:t xml:space="preserve"> in 2013</w:t>
      </w:r>
      <w:r w:rsidR="0047768D" w:rsidRPr="00C43C1E">
        <w:rPr>
          <w:rFonts w:cs="Times New Roman"/>
        </w:rPr>
        <w:t>.</w:t>
      </w:r>
      <w:r w:rsidR="0047768D" w:rsidRPr="00C43C1E">
        <w:rPr>
          <w:rStyle w:val="FootnoteReference"/>
          <w:rFonts w:cs="Times New Roman"/>
        </w:rPr>
        <w:footnoteReference w:id="10"/>
      </w:r>
      <w:r w:rsidR="002E41F5" w:rsidRPr="00C43C1E">
        <w:rPr>
          <w:rFonts w:cs="Times New Roman"/>
        </w:rPr>
        <w:t xml:space="preserve"> In recent years, social protection initiatives have played an important part in addressing poverty, especially among the poorest and most vulnerable groups. </w:t>
      </w:r>
      <w:r w:rsidR="0047768D" w:rsidRPr="00C43C1E">
        <w:rPr>
          <w:rFonts w:cs="Times New Roman"/>
        </w:rPr>
        <w:t xml:space="preserve"> </w:t>
      </w:r>
    </w:p>
    <w:p w14:paraId="39E9274D" w14:textId="77777777" w:rsidR="002E41F5" w:rsidRPr="00C43C1E" w:rsidRDefault="002E41F5" w:rsidP="00C43C1E">
      <w:pPr>
        <w:pStyle w:val="ListParagraph"/>
        <w:autoSpaceDE w:val="0"/>
        <w:autoSpaceDN w:val="0"/>
        <w:adjustRightInd w:val="0"/>
        <w:spacing w:after="0" w:line="276" w:lineRule="auto"/>
        <w:ind w:left="360"/>
        <w:jc w:val="left"/>
        <w:rPr>
          <w:rFonts w:cs="Times New Roman"/>
          <w:b/>
          <w:bCs/>
        </w:rPr>
      </w:pPr>
    </w:p>
    <w:p w14:paraId="409575B6" w14:textId="181D449C" w:rsidR="00C072A6" w:rsidRPr="00C43C1E" w:rsidRDefault="00D8174A" w:rsidP="00C43C1E">
      <w:pPr>
        <w:pStyle w:val="ListParagraph"/>
        <w:numPr>
          <w:ilvl w:val="0"/>
          <w:numId w:val="1"/>
        </w:numPr>
        <w:tabs>
          <w:tab w:val="left" w:pos="360"/>
        </w:tabs>
        <w:spacing w:after="0" w:line="276" w:lineRule="auto"/>
      </w:pPr>
      <w:r w:rsidRPr="00C43C1E">
        <w:rPr>
          <w:b/>
        </w:rPr>
        <w:t>Georgia has grappled with internal displacement for more than two decades</w:t>
      </w:r>
      <w:r w:rsidRPr="00C43C1E">
        <w:t>.</w:t>
      </w:r>
      <w:r w:rsidRPr="00C43C1E">
        <w:rPr>
          <w:rFonts w:eastAsiaTheme="minorEastAsia" w:cs="Times New Roman"/>
        </w:rPr>
        <w:t xml:space="preserve"> </w:t>
      </w:r>
      <w:r w:rsidRPr="00C43C1E">
        <w:t xml:space="preserve">Following secessionist conflicts in the early nineties in </w:t>
      </w:r>
      <w:r w:rsidR="00302331">
        <w:t>the Tskhinvali Region-</w:t>
      </w:r>
      <w:r w:rsidRPr="00C43C1E">
        <w:t xml:space="preserve">South Ossetia and </w:t>
      </w:r>
      <w:r w:rsidR="00302331">
        <w:t xml:space="preserve">the </w:t>
      </w:r>
      <w:r w:rsidRPr="00C43C1E">
        <w:t>Abkhazia</w:t>
      </w:r>
      <w:r w:rsidR="00302331">
        <w:t>n Autonomous Republic</w:t>
      </w:r>
      <w:r w:rsidRPr="00C43C1E">
        <w:t xml:space="preserve">, and again in August 2008, </w:t>
      </w:r>
      <w:r w:rsidR="00C7452A">
        <w:t xml:space="preserve">and given that IDP status is transferred from either parent to their children, in 2014 </w:t>
      </w:r>
      <w:r w:rsidRPr="00C43C1E">
        <w:t>a total of 2</w:t>
      </w:r>
      <w:r w:rsidR="00A9066C">
        <w:t>46</w:t>
      </w:r>
      <w:r w:rsidRPr="00C43C1E">
        <w:t>,</w:t>
      </w:r>
      <w:r w:rsidR="00A9066C">
        <w:t>974</w:t>
      </w:r>
      <w:r w:rsidR="008E7B03" w:rsidRPr="00C43C1E">
        <w:rPr>
          <w:rStyle w:val="FootnoteReference"/>
        </w:rPr>
        <w:footnoteReference w:id="11"/>
      </w:r>
      <w:r w:rsidRPr="00C43C1E">
        <w:t xml:space="preserve"> men, women, and children </w:t>
      </w:r>
      <w:r w:rsidR="00A9066C">
        <w:t>we</w:t>
      </w:r>
      <w:r w:rsidRPr="00C43C1E">
        <w:t>re registered as internally displaced persons (IDPs).</w:t>
      </w:r>
      <w:r w:rsidR="00A91AA0" w:rsidRPr="00C43C1E">
        <w:rPr>
          <w:rStyle w:val="FootnoteReference"/>
        </w:rPr>
        <w:footnoteReference w:id="12"/>
      </w:r>
      <w:r w:rsidRPr="00C43C1E">
        <w:rPr>
          <w:rFonts w:eastAsiaTheme="minorEastAsia" w:cs="Times New Roman"/>
        </w:rPr>
        <w:t xml:space="preserve"> </w:t>
      </w:r>
      <w:r w:rsidR="00A62150">
        <w:rPr>
          <w:rFonts w:eastAsiaTheme="minorEastAsia" w:cs="Times New Roman"/>
        </w:rPr>
        <w:t xml:space="preserve">IDPs </w:t>
      </w:r>
      <w:r w:rsidR="00A62150">
        <w:t>r</w:t>
      </w:r>
      <w:r w:rsidR="008248F3" w:rsidRPr="00537E36">
        <w:t xml:space="preserve">epresent about 6% of </w:t>
      </w:r>
      <w:r w:rsidR="00A62150">
        <w:t>Georgia’s</w:t>
      </w:r>
      <w:r w:rsidR="00A62150" w:rsidRPr="00537E36">
        <w:t xml:space="preserve"> </w:t>
      </w:r>
      <w:r w:rsidR="008248F3" w:rsidRPr="00537E36">
        <w:t xml:space="preserve">population, </w:t>
      </w:r>
      <w:r w:rsidR="00A62150">
        <w:t>giving it</w:t>
      </w:r>
      <w:r w:rsidR="008248F3" w:rsidRPr="00537E36">
        <w:t xml:space="preserve"> one of the world’s highest incidences of internal displacement relative to its overall population.</w:t>
      </w:r>
      <w:r w:rsidR="008248F3" w:rsidRPr="00C43C1E">
        <w:t xml:space="preserve"> </w:t>
      </w:r>
      <w:r w:rsidRPr="00C43C1E">
        <w:t>Demographic figures i</w:t>
      </w:r>
      <w:r w:rsidR="0086297D" w:rsidRPr="00C43C1E">
        <w:t xml:space="preserve">ndicate that </w:t>
      </w:r>
      <w:r w:rsidR="00BE74FE">
        <w:t>55</w:t>
      </w:r>
      <w:r w:rsidR="00C72AD4">
        <w:t xml:space="preserve"> </w:t>
      </w:r>
      <w:r w:rsidR="00BE74FE">
        <w:t xml:space="preserve">percent </w:t>
      </w:r>
      <w:r w:rsidRPr="00C43C1E">
        <w:t xml:space="preserve">of IDPs are women, </w:t>
      </w:r>
      <w:r w:rsidR="00BE74FE">
        <w:t>9</w:t>
      </w:r>
      <w:r w:rsidR="00C72AD4">
        <w:t xml:space="preserve"> </w:t>
      </w:r>
      <w:r w:rsidR="00BE74FE">
        <w:t>percent</w:t>
      </w:r>
      <w:r w:rsidR="00C72AD4" w:rsidRPr="00C43C1E">
        <w:t xml:space="preserve"> </w:t>
      </w:r>
      <w:r w:rsidR="00BE74FE">
        <w:t>are children under age of 18</w:t>
      </w:r>
      <w:r w:rsidRPr="00C43C1E">
        <w:t xml:space="preserve">, and </w:t>
      </w:r>
      <w:r w:rsidR="00BE74FE">
        <w:t>13 percent</w:t>
      </w:r>
      <w:r w:rsidR="00C72AD4" w:rsidRPr="00C43C1E">
        <w:t xml:space="preserve"> </w:t>
      </w:r>
      <w:r w:rsidRPr="00C43C1E">
        <w:t>are persons over 65 years</w:t>
      </w:r>
      <w:r w:rsidR="00BE74FE">
        <w:t xml:space="preserve"> old.</w:t>
      </w:r>
      <w:r w:rsidR="00C72AD4">
        <w:rPr>
          <w:rStyle w:val="FootnoteReference"/>
        </w:rPr>
        <w:footnoteReference w:id="13"/>
      </w:r>
    </w:p>
    <w:p w14:paraId="40D19E8F" w14:textId="77777777" w:rsidR="00C072A6" w:rsidRPr="00C43C1E" w:rsidRDefault="00C072A6" w:rsidP="00C43C1E">
      <w:pPr>
        <w:tabs>
          <w:tab w:val="left" w:pos="360"/>
        </w:tabs>
        <w:spacing w:after="0" w:line="276" w:lineRule="auto"/>
      </w:pPr>
    </w:p>
    <w:p w14:paraId="44BCACD0" w14:textId="481DE37F" w:rsidR="00D8174A" w:rsidRDefault="00D8174A" w:rsidP="00C43C1E">
      <w:pPr>
        <w:pStyle w:val="ListParagraph"/>
        <w:numPr>
          <w:ilvl w:val="0"/>
          <w:numId w:val="1"/>
        </w:numPr>
        <w:tabs>
          <w:tab w:val="left" w:pos="360"/>
        </w:tabs>
        <w:spacing w:after="0" w:line="276" w:lineRule="auto"/>
      </w:pPr>
      <w:r w:rsidRPr="00C43C1E">
        <w:rPr>
          <w:b/>
        </w:rPr>
        <w:lastRenderedPageBreak/>
        <w:t xml:space="preserve">IDPs in Georgia are often described </w:t>
      </w:r>
      <w:r w:rsidR="00CF6D8D">
        <w:rPr>
          <w:b/>
        </w:rPr>
        <w:t>as being part of two different “</w:t>
      </w:r>
      <w:r w:rsidRPr="00C43C1E">
        <w:rPr>
          <w:b/>
        </w:rPr>
        <w:t>case loads</w:t>
      </w:r>
      <w:r w:rsidR="00CF6D8D">
        <w:rPr>
          <w:b/>
        </w:rPr>
        <w:t>”</w:t>
      </w:r>
      <w:r w:rsidR="00BE74FE">
        <w:rPr>
          <w:b/>
        </w:rPr>
        <w:t xml:space="preserve">. </w:t>
      </w:r>
      <w:r w:rsidR="00A62150" w:rsidRPr="004D4F1A">
        <w:t>IDPs from the</w:t>
      </w:r>
      <w:r w:rsidRPr="00C43C1E">
        <w:t xml:space="preserve"> first wave </w:t>
      </w:r>
      <w:r w:rsidR="00A62150">
        <w:t>in</w:t>
      </w:r>
      <w:r w:rsidRPr="00C43C1E">
        <w:t xml:space="preserve"> the early 1990s are commonly referred to as the “old case load” IDPs (OCL IDPs).</w:t>
      </w:r>
      <w:r w:rsidRPr="00C43C1E">
        <w:rPr>
          <w:vertAlign w:val="superscript"/>
        </w:rPr>
        <w:footnoteReference w:id="14"/>
      </w:r>
      <w:r w:rsidR="00750289">
        <w:t xml:space="preserve"> </w:t>
      </w:r>
      <w:r w:rsidRPr="00C43C1E">
        <w:t>These IDPs, originat</w:t>
      </w:r>
      <w:r w:rsidR="00D466C7">
        <w:t>ing both</w:t>
      </w:r>
      <w:r w:rsidRPr="00C43C1E">
        <w:t xml:space="preserve"> from the Abkhazia</w:t>
      </w:r>
      <w:r w:rsidR="00AE393B">
        <w:t>n</w:t>
      </w:r>
      <w:r w:rsidRPr="00C43C1E">
        <w:t xml:space="preserve"> </w:t>
      </w:r>
      <w:r w:rsidR="0001654B">
        <w:t xml:space="preserve">Autonomous Republic </w:t>
      </w:r>
      <w:r w:rsidR="00D466C7">
        <w:t xml:space="preserve">and the </w:t>
      </w:r>
      <w:r w:rsidR="0001654B">
        <w:t>Tskhinvali Region-South Ossetia</w:t>
      </w:r>
      <w:r w:rsidRPr="00C43C1E">
        <w:t>, have been displaced for up to twenty years.</w:t>
      </w:r>
      <w:r w:rsidR="00750289">
        <w:t xml:space="preserve"> </w:t>
      </w:r>
      <w:r w:rsidRPr="00C43C1E">
        <w:t xml:space="preserve">Included among the OCL IDPs are those who have </w:t>
      </w:r>
      <w:r w:rsidR="00604106">
        <w:t>returned</w:t>
      </w:r>
      <w:r w:rsidRPr="00C43C1E">
        <w:t xml:space="preserve"> to the Lower and Upper Gali districts of </w:t>
      </w:r>
      <w:r w:rsidR="00214511">
        <w:t xml:space="preserve">the </w:t>
      </w:r>
      <w:r w:rsidRPr="00C43C1E">
        <w:t>Abkhazia</w:t>
      </w:r>
      <w:r w:rsidR="00214511">
        <w:t>n AR</w:t>
      </w:r>
      <w:r w:rsidRPr="00C43C1E">
        <w:t>, where</w:t>
      </w:r>
      <w:r w:rsidR="00AE393B">
        <w:t xml:space="preserve"> the</w:t>
      </w:r>
      <w:r w:rsidRPr="00C43C1E">
        <w:t xml:space="preserve"> </w:t>
      </w:r>
      <w:r w:rsidRPr="00066BDB">
        <w:rPr>
          <w:i/>
        </w:rPr>
        <w:t>de facto</w:t>
      </w:r>
      <w:r w:rsidRPr="00C43C1E">
        <w:t xml:space="preserve"> Abkhaz authorities have allowed Georgians to return. The rate of return is however constrained due to demographic concerns among Abkhaz </w:t>
      </w:r>
      <w:r w:rsidRPr="00066BDB">
        <w:rPr>
          <w:i/>
        </w:rPr>
        <w:t>de facto</w:t>
      </w:r>
      <w:r w:rsidRPr="00C43C1E">
        <w:t xml:space="preserve"> authorities, who worry that further concessions for return would cause instability.</w:t>
      </w:r>
      <w:r w:rsidRPr="00C43C1E">
        <w:rPr>
          <w:vertAlign w:val="superscript"/>
        </w:rPr>
        <w:footnoteReference w:id="15"/>
      </w:r>
      <w:r w:rsidRPr="00C43C1E">
        <w:t xml:space="preserve"> Those who have returned to Gali retain their IDP status but are subject to precarious situations such as intimidation and threats resulting from ethnic tensions in the region.</w:t>
      </w:r>
      <w:r w:rsidRPr="00C43C1E">
        <w:rPr>
          <w:vertAlign w:val="superscript"/>
        </w:rPr>
        <w:footnoteReference w:id="16"/>
      </w:r>
      <w:r w:rsidR="005D24D1">
        <w:t xml:space="preserve"> OCL IDPs were pl</w:t>
      </w:r>
      <w:r w:rsidR="00E257BE">
        <w:t xml:space="preserve">aced in collective centers, such as </w:t>
      </w:r>
      <w:r w:rsidR="005D24D1">
        <w:t>state-owned hotels</w:t>
      </w:r>
      <w:r w:rsidR="00E257BE">
        <w:t>, unused public buildings, etc.</w:t>
      </w:r>
      <w:r w:rsidR="005D24D1">
        <w:t>, where many of them remain to this date.</w:t>
      </w:r>
    </w:p>
    <w:p w14:paraId="153E91BD" w14:textId="77777777" w:rsidR="00D8174A" w:rsidRPr="00C43C1E" w:rsidRDefault="00D8174A" w:rsidP="00C43C1E">
      <w:pPr>
        <w:pStyle w:val="ListParagraph"/>
        <w:spacing w:after="0" w:line="276" w:lineRule="auto"/>
      </w:pPr>
    </w:p>
    <w:p w14:paraId="20405DE9" w14:textId="0D7B2136" w:rsidR="00066BDB" w:rsidRDefault="00D8174A" w:rsidP="006F5780">
      <w:pPr>
        <w:pStyle w:val="ListParagraph"/>
        <w:numPr>
          <w:ilvl w:val="0"/>
          <w:numId w:val="1"/>
        </w:numPr>
        <w:tabs>
          <w:tab w:val="left" w:pos="360"/>
        </w:tabs>
        <w:spacing w:after="0" w:line="276" w:lineRule="auto"/>
      </w:pPr>
      <w:r w:rsidRPr="00D328E5">
        <w:rPr>
          <w:b/>
        </w:rPr>
        <w:t xml:space="preserve">A second wave of displacement occurred in August 2008 when </w:t>
      </w:r>
      <w:r w:rsidR="00720B71">
        <w:rPr>
          <w:b/>
        </w:rPr>
        <w:t xml:space="preserve">a </w:t>
      </w:r>
      <w:r w:rsidRPr="00D328E5">
        <w:rPr>
          <w:b/>
        </w:rPr>
        <w:t>separatist conflict broke out in</w:t>
      </w:r>
      <w:r w:rsidR="005C4728">
        <w:rPr>
          <w:b/>
        </w:rPr>
        <w:t xml:space="preserve"> the Tskhinvali Region -</w:t>
      </w:r>
      <w:r w:rsidRPr="00D328E5">
        <w:rPr>
          <w:b/>
        </w:rPr>
        <w:t xml:space="preserve"> South Ossetia.</w:t>
      </w:r>
      <w:r w:rsidRPr="00C43C1E">
        <w:t xml:space="preserve"> </w:t>
      </w:r>
      <w:r w:rsidR="00A62150" w:rsidRPr="00C43C1E">
        <w:t>An estimated 192,000 people were forced to flee in the wake of ethnic violence and armed conflict between Georgia and Russia</w:t>
      </w:r>
      <w:r w:rsidR="00A62150" w:rsidRPr="00C43C1E">
        <w:rPr>
          <w:vertAlign w:val="superscript"/>
        </w:rPr>
        <w:footnoteReference w:id="17"/>
      </w:r>
      <w:r w:rsidR="00A62150" w:rsidRPr="00C43C1E">
        <w:t xml:space="preserve">. </w:t>
      </w:r>
      <w:r w:rsidR="00A62150">
        <w:t>IDPs from t</w:t>
      </w:r>
      <w:r w:rsidRPr="00C43C1E">
        <w:t>his second wave are referred to as “new case load” IDPs (NCL IDPs). Most of the NCL IDPs were able to return home in the weeks following a ceasefire agreed upon on August 12, 2008</w:t>
      </w:r>
      <w:r w:rsidR="00A62150">
        <w:t>, but</w:t>
      </w:r>
      <w:r w:rsidR="00A62150" w:rsidRPr="00C43C1E">
        <w:t xml:space="preserve"> 20,272 people remained displaced</w:t>
      </w:r>
      <w:r w:rsidR="000A38A3">
        <w:t>.</w:t>
      </w:r>
    </w:p>
    <w:p w14:paraId="5B0921DE" w14:textId="77777777" w:rsidR="00D328E5" w:rsidRDefault="00D328E5" w:rsidP="00D328E5">
      <w:pPr>
        <w:tabs>
          <w:tab w:val="left" w:pos="360"/>
        </w:tabs>
        <w:spacing w:after="0" w:line="276" w:lineRule="auto"/>
      </w:pPr>
    </w:p>
    <w:p w14:paraId="605F86D0" w14:textId="3DAD64BD" w:rsidR="00D8174A" w:rsidRPr="00B470B6" w:rsidRDefault="00D8174A" w:rsidP="00C43C1E">
      <w:pPr>
        <w:pStyle w:val="ListParagraph"/>
        <w:numPr>
          <w:ilvl w:val="0"/>
          <w:numId w:val="1"/>
        </w:numPr>
        <w:tabs>
          <w:tab w:val="left" w:pos="360"/>
        </w:tabs>
        <w:spacing w:after="0" w:line="276" w:lineRule="auto"/>
      </w:pPr>
      <w:r w:rsidRPr="00066BDB">
        <w:rPr>
          <w:b/>
        </w:rPr>
        <w:t xml:space="preserve">IDPs are largely clustered in areas adjacent </w:t>
      </w:r>
      <w:r w:rsidR="00E257BE">
        <w:rPr>
          <w:b/>
        </w:rPr>
        <w:t>to the conflict zones, and in or</w:t>
      </w:r>
      <w:r w:rsidRPr="00066BDB">
        <w:rPr>
          <w:b/>
        </w:rPr>
        <w:t xml:space="preserve"> around major cities.</w:t>
      </w:r>
      <w:r w:rsidRPr="00C43C1E">
        <w:t xml:space="preserve"> </w:t>
      </w:r>
      <w:r w:rsidR="008248F3">
        <w:t>IDPs displaced from</w:t>
      </w:r>
      <w:r w:rsidR="00AE393B">
        <w:t xml:space="preserve"> the</w:t>
      </w:r>
      <w:r w:rsidR="008248F3">
        <w:t xml:space="preserve"> Abkhazia</w:t>
      </w:r>
      <w:r w:rsidR="00AE393B">
        <w:t>n Autonomous Repub</w:t>
      </w:r>
      <w:r w:rsidR="00214511">
        <w:t>l</w:t>
      </w:r>
      <w:r w:rsidR="00AE393B">
        <w:t>ic</w:t>
      </w:r>
      <w:r w:rsidR="008248F3">
        <w:t xml:space="preserve"> have mainly settled in the adjacent regions of Samegrelo and Imereti, and in major urban </w:t>
      </w:r>
      <w:r w:rsidR="00C65866">
        <w:t>areas</w:t>
      </w:r>
      <w:r w:rsidR="008248F3">
        <w:t xml:space="preserve"> </w:t>
      </w:r>
      <w:r w:rsidR="00E257BE">
        <w:t xml:space="preserve">such as </w:t>
      </w:r>
      <w:r w:rsidR="008248F3">
        <w:t xml:space="preserve">Tbilisi and Batumi. IDPs from </w:t>
      </w:r>
      <w:r w:rsidR="00C87511">
        <w:t xml:space="preserve">the Tskhinvali Region - </w:t>
      </w:r>
      <w:r w:rsidR="008248F3">
        <w:t xml:space="preserve">South Ossetia are largely located in the adjacent region of Shida Kartli. </w:t>
      </w:r>
      <w:r w:rsidRPr="00C43C1E">
        <w:t>According to off</w:t>
      </w:r>
      <w:r w:rsidR="00E257BE">
        <w:t>icial statistics, as many as 44 percent</w:t>
      </w:r>
      <w:r w:rsidRPr="00C43C1E">
        <w:t xml:space="preserve"> of IDPs are living in </w:t>
      </w:r>
      <w:r w:rsidR="00E257BE">
        <w:t>Tbilisi, and approximately 26.4 percent</w:t>
      </w:r>
      <w:r w:rsidRPr="00C43C1E">
        <w:t xml:space="preserve"> are living in Samegrelo-Zemo Svaneti, </w:t>
      </w:r>
      <w:r w:rsidR="00C65866">
        <w:t>the</w:t>
      </w:r>
      <w:r w:rsidRPr="00C43C1E">
        <w:t xml:space="preserve"> region bordering </w:t>
      </w:r>
      <w:r w:rsidR="00004098">
        <w:t xml:space="preserve">the </w:t>
      </w:r>
      <w:r w:rsidRPr="00C43C1E">
        <w:t>Abkhazia</w:t>
      </w:r>
      <w:r w:rsidR="00004098">
        <w:t>n Autonomous Republic</w:t>
      </w:r>
      <w:r w:rsidRPr="00C43C1E">
        <w:t>.</w:t>
      </w:r>
      <w:r w:rsidRPr="00C43C1E">
        <w:rPr>
          <w:vertAlign w:val="superscript"/>
        </w:rPr>
        <w:footnoteReference w:id="18"/>
      </w:r>
      <w:r w:rsidRPr="00C43C1E">
        <w:t xml:space="preserve"> </w:t>
      </w:r>
      <w:r w:rsidR="005D24D1">
        <w:t>A</w:t>
      </w:r>
      <w:r w:rsidR="00E257BE">
        <w:t>s many as 75 percent</w:t>
      </w:r>
      <w:r w:rsidRPr="00C43C1E">
        <w:t xml:space="preserve"> of IDPs live in urban areas, compared to 49</w:t>
      </w:r>
      <w:r w:rsidR="00E257BE">
        <w:t xml:space="preserve"> percent</w:t>
      </w:r>
      <w:r w:rsidRPr="00C43C1E">
        <w:t xml:space="preserve"> of the overall population.</w:t>
      </w:r>
      <w:r w:rsidRPr="00C43C1E">
        <w:rPr>
          <w:vertAlign w:val="superscript"/>
        </w:rPr>
        <w:footnoteReference w:id="19"/>
      </w:r>
      <w:r w:rsidRPr="00C43C1E">
        <w:rPr>
          <w:vertAlign w:val="superscript"/>
        </w:rPr>
        <w:t xml:space="preserve"> </w:t>
      </w:r>
      <w:r w:rsidR="008248F3">
        <w:rPr>
          <w:vertAlign w:val="superscript"/>
        </w:rPr>
        <w:t xml:space="preserve"> </w:t>
      </w:r>
    </w:p>
    <w:p w14:paraId="0CB462D9" w14:textId="77777777" w:rsidR="00B470B6" w:rsidRDefault="00B470B6" w:rsidP="00B470B6"/>
    <w:p w14:paraId="7F40D467" w14:textId="77777777" w:rsidR="00B470B6" w:rsidRDefault="00B470B6" w:rsidP="00B470B6"/>
    <w:p w14:paraId="28DF233C" w14:textId="77777777" w:rsidR="00C53B11" w:rsidRDefault="00C53B11" w:rsidP="00B470B6"/>
    <w:p w14:paraId="72ADAB70" w14:textId="77777777" w:rsidR="00140C45" w:rsidRDefault="00140C45" w:rsidP="00B470B6"/>
    <w:p w14:paraId="75216EBF" w14:textId="279107D2" w:rsidR="00B470B6" w:rsidRPr="0015722C" w:rsidRDefault="00B470B6" w:rsidP="00B470B6">
      <w:pPr>
        <w:rPr>
          <w:b/>
        </w:rPr>
      </w:pPr>
      <w:r w:rsidRPr="0015722C">
        <w:rPr>
          <w:b/>
        </w:rPr>
        <w:lastRenderedPageBreak/>
        <w:t>Map 1. Distribution of IDP population, 2011</w:t>
      </w:r>
      <w:r w:rsidRPr="0015722C">
        <w:rPr>
          <w:rStyle w:val="FootnoteReference"/>
          <w:b/>
        </w:rPr>
        <w:footnoteReference w:id="20"/>
      </w:r>
    </w:p>
    <w:p w14:paraId="48984BC8" w14:textId="4C21033F" w:rsidR="00B470B6" w:rsidRPr="00C65866" w:rsidRDefault="00B470B6" w:rsidP="00B470B6">
      <w:pPr>
        <w:pStyle w:val="ListParagraph"/>
        <w:tabs>
          <w:tab w:val="left" w:pos="360"/>
        </w:tabs>
        <w:spacing w:after="0" w:line="276" w:lineRule="auto"/>
        <w:ind w:left="0"/>
        <w:jc w:val="center"/>
      </w:pPr>
      <w:r w:rsidRPr="00B470B6">
        <w:rPr>
          <w:noProof/>
        </w:rPr>
        <w:drawing>
          <wp:inline distT="0" distB="0" distL="0" distR="0" wp14:anchorId="29865DFB" wp14:editId="19112518">
            <wp:extent cx="6525039" cy="3848100"/>
            <wp:effectExtent l="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526548" cy="3848990"/>
                    </a:xfrm>
                    <a:prstGeom prst="rect">
                      <a:avLst/>
                    </a:prstGeom>
                  </pic:spPr>
                </pic:pic>
              </a:graphicData>
            </a:graphic>
          </wp:inline>
        </w:drawing>
      </w:r>
    </w:p>
    <w:p w14:paraId="4BC3CB3A" w14:textId="77777777" w:rsidR="00C65866" w:rsidRPr="00C43C1E" w:rsidRDefault="00C65866" w:rsidP="00C65866">
      <w:pPr>
        <w:tabs>
          <w:tab w:val="left" w:pos="360"/>
        </w:tabs>
        <w:spacing w:after="0" w:line="276" w:lineRule="auto"/>
      </w:pPr>
    </w:p>
    <w:p w14:paraId="31585EF7" w14:textId="0C984347" w:rsidR="00E23852" w:rsidRPr="00D328E5" w:rsidRDefault="008176E4" w:rsidP="00C43C1E">
      <w:pPr>
        <w:pStyle w:val="Caption"/>
        <w:numPr>
          <w:ilvl w:val="0"/>
          <w:numId w:val="1"/>
        </w:numPr>
        <w:tabs>
          <w:tab w:val="left" w:pos="360"/>
        </w:tabs>
        <w:spacing w:after="0" w:line="276" w:lineRule="auto"/>
        <w:jc w:val="both"/>
        <w:rPr>
          <w:b w:val="0"/>
          <w:bCs w:val="0"/>
          <w:szCs w:val="22"/>
        </w:rPr>
      </w:pPr>
      <w:r>
        <w:rPr>
          <w:bCs w:val="0"/>
          <w:szCs w:val="22"/>
        </w:rPr>
        <w:t>The Government</w:t>
      </w:r>
      <w:r w:rsidR="00427DB8" w:rsidRPr="00D328E5">
        <w:rPr>
          <w:bCs w:val="0"/>
          <w:szCs w:val="22"/>
        </w:rPr>
        <w:t xml:space="preserve"> of Georgia </w:t>
      </w:r>
      <w:r w:rsidR="00D8174A" w:rsidRPr="00D328E5">
        <w:rPr>
          <w:bCs w:val="0"/>
          <w:szCs w:val="22"/>
        </w:rPr>
        <w:t>has taken demonstrable steps toward</w:t>
      </w:r>
      <w:r w:rsidR="00427DB8" w:rsidRPr="00D328E5">
        <w:rPr>
          <w:bCs w:val="0"/>
          <w:szCs w:val="22"/>
        </w:rPr>
        <w:t>s</w:t>
      </w:r>
      <w:r w:rsidR="00D8174A" w:rsidRPr="00D328E5">
        <w:rPr>
          <w:bCs w:val="0"/>
          <w:szCs w:val="22"/>
        </w:rPr>
        <w:t xml:space="preserve"> improving the socioeconomic conditions of IDPs.</w:t>
      </w:r>
      <w:r w:rsidR="00D8174A" w:rsidRPr="00D328E5">
        <w:rPr>
          <w:rFonts w:eastAsiaTheme="minorEastAsia" w:cs="Times New Roman"/>
          <w:szCs w:val="22"/>
        </w:rPr>
        <w:t xml:space="preserve"> </w:t>
      </w:r>
      <w:r w:rsidR="00D8174A" w:rsidRPr="00D328E5">
        <w:rPr>
          <w:b w:val="0"/>
          <w:bCs w:val="0"/>
          <w:szCs w:val="22"/>
        </w:rPr>
        <w:t>One such step has been the provision of universal status-based welfare assistance that includes, among other benefits, the provision of a monthly cash allowance to IDPs.</w:t>
      </w:r>
      <w:r w:rsidR="00D8174A" w:rsidRPr="00D328E5">
        <w:rPr>
          <w:rStyle w:val="FootnoteReference"/>
          <w:rFonts w:eastAsiaTheme="minorEastAsia" w:cs="Times New Roman"/>
          <w:b w:val="0"/>
          <w:bCs w:val="0"/>
          <w:szCs w:val="22"/>
        </w:rPr>
        <w:footnoteReference w:id="21"/>
      </w:r>
      <w:r w:rsidR="00EB3382">
        <w:rPr>
          <w:b w:val="0"/>
          <w:bCs w:val="0"/>
          <w:szCs w:val="22"/>
        </w:rPr>
        <w:t xml:space="preserve"> </w:t>
      </w:r>
      <w:r w:rsidR="00E257BE" w:rsidRPr="00D328E5">
        <w:rPr>
          <w:b w:val="0"/>
          <w:bCs w:val="0"/>
          <w:szCs w:val="22"/>
        </w:rPr>
        <w:t>This is in addition to a</w:t>
      </w:r>
      <w:r w:rsidR="00D328E5" w:rsidRPr="00D328E5">
        <w:rPr>
          <w:b w:val="0"/>
          <w:bCs w:val="0"/>
          <w:szCs w:val="22"/>
        </w:rPr>
        <w:t xml:space="preserve"> </w:t>
      </w:r>
      <w:r w:rsidR="00D8174A" w:rsidRPr="00D328E5">
        <w:rPr>
          <w:b w:val="0"/>
          <w:bCs w:val="0"/>
          <w:szCs w:val="22"/>
        </w:rPr>
        <w:t>one-off cash assistance for newly displaced persons. As of 2013, IDP families</w:t>
      </w:r>
      <w:r w:rsidR="00712312" w:rsidRPr="00D328E5">
        <w:rPr>
          <w:b w:val="0"/>
          <w:bCs w:val="0"/>
          <w:szCs w:val="22"/>
        </w:rPr>
        <w:t xml:space="preserve"> living in extreme poverty</w:t>
      </w:r>
      <w:r w:rsidR="00D8174A" w:rsidRPr="00D328E5">
        <w:rPr>
          <w:b w:val="0"/>
          <w:bCs w:val="0"/>
          <w:szCs w:val="22"/>
        </w:rPr>
        <w:t xml:space="preserve"> are </w:t>
      </w:r>
      <w:r w:rsidR="006712A0">
        <w:rPr>
          <w:b w:val="0"/>
          <w:bCs w:val="0"/>
          <w:szCs w:val="22"/>
        </w:rPr>
        <w:t xml:space="preserve">also </w:t>
      </w:r>
      <w:r w:rsidR="00D8174A" w:rsidRPr="00D328E5">
        <w:rPr>
          <w:b w:val="0"/>
          <w:bCs w:val="0"/>
          <w:szCs w:val="22"/>
        </w:rPr>
        <w:t xml:space="preserve">eligible for </w:t>
      </w:r>
      <w:r w:rsidR="00712312" w:rsidRPr="00D328E5">
        <w:rPr>
          <w:b w:val="0"/>
          <w:bCs w:val="0"/>
          <w:szCs w:val="22"/>
        </w:rPr>
        <w:t xml:space="preserve">a </w:t>
      </w:r>
      <w:r w:rsidR="00D8174A" w:rsidRPr="00D328E5">
        <w:rPr>
          <w:b w:val="0"/>
          <w:bCs w:val="0"/>
          <w:szCs w:val="22"/>
        </w:rPr>
        <w:t>one-</w:t>
      </w:r>
      <w:r w:rsidR="009876AC">
        <w:rPr>
          <w:b w:val="0"/>
          <w:bCs w:val="0"/>
          <w:szCs w:val="22"/>
        </w:rPr>
        <w:t>time cash allowance</w:t>
      </w:r>
      <w:r w:rsidR="009876AC">
        <w:rPr>
          <w:rStyle w:val="FootnoteReference"/>
          <w:b w:val="0"/>
          <w:bCs w:val="0"/>
          <w:szCs w:val="22"/>
        </w:rPr>
        <w:footnoteReference w:id="22"/>
      </w:r>
      <w:r w:rsidR="00D8174A" w:rsidRPr="00D328E5">
        <w:rPr>
          <w:b w:val="0"/>
          <w:bCs w:val="0"/>
          <w:szCs w:val="22"/>
        </w:rPr>
        <w:t>.</w:t>
      </w:r>
      <w:r w:rsidR="002C3E23">
        <w:rPr>
          <w:b w:val="0"/>
          <w:bCs w:val="0"/>
          <w:szCs w:val="22"/>
        </w:rPr>
        <w:t xml:space="preserve">  </w:t>
      </w:r>
      <w:r w:rsidR="009876AC">
        <w:rPr>
          <w:b w:val="0"/>
          <w:bCs w:val="0"/>
          <w:szCs w:val="22"/>
        </w:rPr>
        <w:t>To reduce the risk of eviction for vulnerable IDP households, they are also eligible for a one-time rental assistance.</w:t>
      </w:r>
    </w:p>
    <w:p w14:paraId="263FFCFA" w14:textId="77777777" w:rsidR="005E4953" w:rsidRPr="00C43C1E" w:rsidRDefault="005E4953" w:rsidP="00C43C1E">
      <w:pPr>
        <w:spacing w:after="0" w:line="276" w:lineRule="auto"/>
      </w:pPr>
    </w:p>
    <w:p w14:paraId="3C73BE21" w14:textId="41485D00" w:rsidR="00803EC5" w:rsidRDefault="00E23852" w:rsidP="00576616">
      <w:pPr>
        <w:pStyle w:val="ListParagraph"/>
        <w:numPr>
          <w:ilvl w:val="0"/>
          <w:numId w:val="1"/>
        </w:numPr>
        <w:spacing w:after="0" w:line="276" w:lineRule="auto"/>
      </w:pPr>
      <w:r w:rsidRPr="00BE02B5">
        <w:rPr>
          <w:b/>
        </w:rPr>
        <w:t>IDP families living below the poverty line are eligible to apply for</w:t>
      </w:r>
      <w:r w:rsidR="00944D5C" w:rsidRPr="00BE02B5">
        <w:rPr>
          <w:b/>
        </w:rPr>
        <w:t xml:space="preserve"> the</w:t>
      </w:r>
      <w:r w:rsidRPr="00BE02B5">
        <w:rPr>
          <w:b/>
        </w:rPr>
        <w:t xml:space="preserve"> Targeted </w:t>
      </w:r>
      <w:r w:rsidR="0087461E" w:rsidRPr="00BE02B5">
        <w:rPr>
          <w:b/>
        </w:rPr>
        <w:t>Social</w:t>
      </w:r>
      <w:r w:rsidR="00803EC5" w:rsidRPr="00BE02B5">
        <w:rPr>
          <w:b/>
        </w:rPr>
        <w:t xml:space="preserve"> Assistance</w:t>
      </w:r>
      <w:r w:rsidR="00CF2B51" w:rsidRPr="00BE02B5">
        <w:rPr>
          <w:b/>
        </w:rPr>
        <w:t xml:space="preserve"> (TSA)</w:t>
      </w:r>
      <w:r w:rsidR="00944D5C" w:rsidRPr="00BE02B5">
        <w:rPr>
          <w:b/>
        </w:rPr>
        <w:t xml:space="preserve"> program</w:t>
      </w:r>
      <w:r w:rsidR="00803EC5" w:rsidRPr="00BE02B5">
        <w:rPr>
          <w:b/>
        </w:rPr>
        <w:t xml:space="preserve">, launched by the Government in 2006 to alleviate poverty among extremely vulnerable segments of the population. </w:t>
      </w:r>
      <w:r w:rsidR="00803EC5" w:rsidRPr="00C43C1E">
        <w:t xml:space="preserve">IDPs who claim TSA are required to give up their IDP allowance. Thus, the current system of social assistance to IDPs is a mix of status-based and targeted social assistance, in which IDPs can choose either type of assistance but not both. </w:t>
      </w:r>
    </w:p>
    <w:p w14:paraId="102490B6" w14:textId="77777777" w:rsidR="00BE02B5" w:rsidRPr="00C43C1E" w:rsidRDefault="00BE02B5" w:rsidP="00576616">
      <w:pPr>
        <w:spacing w:after="0" w:line="276" w:lineRule="auto"/>
      </w:pPr>
    </w:p>
    <w:p w14:paraId="3F51CBAF" w14:textId="73109E90" w:rsidR="00D8174A" w:rsidRPr="00C43C1E" w:rsidRDefault="005D24D1" w:rsidP="00C43C1E">
      <w:pPr>
        <w:pStyle w:val="ListParagraph"/>
        <w:numPr>
          <w:ilvl w:val="0"/>
          <w:numId w:val="1"/>
        </w:numPr>
        <w:spacing w:after="0" w:line="276" w:lineRule="auto"/>
      </w:pPr>
      <w:r>
        <w:rPr>
          <w:b/>
        </w:rPr>
        <w:lastRenderedPageBreak/>
        <w:t xml:space="preserve">Since 2007, the Government’s policy on IDPs has focused on their long-term integration rather than temporary solutions. </w:t>
      </w:r>
      <w:r w:rsidR="00344826" w:rsidRPr="00FA4F8D">
        <w:t xml:space="preserve">This was most clearly expressed in </w:t>
      </w:r>
      <w:r w:rsidR="005E4953" w:rsidRPr="00FA4F8D">
        <w:t>the Government</w:t>
      </w:r>
      <w:r w:rsidR="00344826" w:rsidRPr="00FA4F8D">
        <w:t>’s commitment</w:t>
      </w:r>
      <w:r w:rsidR="005E4953" w:rsidRPr="00FA4F8D">
        <w:t xml:space="preserve"> </w:t>
      </w:r>
      <w:r w:rsidR="00344826" w:rsidRPr="00FA4F8D">
        <w:t>to</w:t>
      </w:r>
      <w:r w:rsidR="001A5E07" w:rsidRPr="00FA4F8D">
        <w:t xml:space="preserve"> </w:t>
      </w:r>
      <w:r w:rsidR="00344826">
        <w:t>seek</w:t>
      </w:r>
      <w:r w:rsidR="001A5E07" w:rsidRPr="00FA4F8D">
        <w:t xml:space="preserve"> durable housing solutions. </w:t>
      </w:r>
      <w:r w:rsidR="003A06C5">
        <w:t>T</w:t>
      </w:r>
      <w:r w:rsidR="001A5E07" w:rsidRPr="00344826">
        <w:t>he State Strategy for Internally</w:t>
      </w:r>
      <w:r w:rsidR="001A5E07" w:rsidRPr="00C43C1E">
        <w:t xml:space="preserve"> Displaced Persons</w:t>
      </w:r>
      <w:r w:rsidR="002C3E23">
        <w:t xml:space="preserve"> </w:t>
      </w:r>
      <w:r w:rsidR="001A5E07" w:rsidRPr="00C43C1E">
        <w:t>in 2007, and subsequent action plans in 2009</w:t>
      </w:r>
      <w:r w:rsidR="001A5E07" w:rsidRPr="00C43C1E">
        <w:rPr>
          <w:rStyle w:val="FootnoteReference"/>
        </w:rPr>
        <w:footnoteReference w:id="23"/>
      </w:r>
      <w:r w:rsidR="001A5E07" w:rsidRPr="00C43C1E">
        <w:t xml:space="preserve"> and 2012</w:t>
      </w:r>
      <w:r w:rsidR="001A5E07" w:rsidRPr="00C43C1E">
        <w:rPr>
          <w:rStyle w:val="FootnoteReference"/>
        </w:rPr>
        <w:footnoteReference w:id="24"/>
      </w:r>
      <w:r w:rsidR="00A35BC0">
        <w:t>,</w:t>
      </w:r>
      <w:r w:rsidR="003A06C5">
        <w:t xml:space="preserve"> marked a</w:t>
      </w:r>
      <w:r w:rsidR="001A5E07" w:rsidRPr="00C43C1E">
        <w:t xml:space="preserve"> focus on </w:t>
      </w:r>
      <w:r w:rsidR="003A06C5">
        <w:t>integrating</w:t>
      </w:r>
      <w:r w:rsidR="001A5E07" w:rsidRPr="00C43C1E">
        <w:t xml:space="preserve"> IDPs </w:t>
      </w:r>
      <w:r w:rsidR="00465C81" w:rsidRPr="00C43C1E">
        <w:t>in host communities by providing</w:t>
      </w:r>
      <w:r w:rsidR="001A5E07" w:rsidRPr="00C43C1E">
        <w:t xml:space="preserve"> </w:t>
      </w:r>
      <w:r w:rsidR="001446DE">
        <w:t xml:space="preserve">options for home ownership. </w:t>
      </w:r>
      <w:r w:rsidR="00176D13">
        <w:t>P</w:t>
      </w:r>
      <w:r w:rsidR="001A5E07" w:rsidRPr="00C43C1E">
        <w:t xml:space="preserve">revious government policies </w:t>
      </w:r>
      <w:r w:rsidR="00176D13">
        <w:t>had</w:t>
      </w:r>
      <w:r w:rsidR="00176D13" w:rsidRPr="00C43C1E">
        <w:t xml:space="preserve"> </w:t>
      </w:r>
      <w:r w:rsidR="005E4953" w:rsidRPr="00C43C1E">
        <w:t>focused on</w:t>
      </w:r>
      <w:r w:rsidR="001A5E07" w:rsidRPr="00C43C1E">
        <w:t xml:space="preserve"> </w:t>
      </w:r>
      <w:r w:rsidR="00176D13">
        <w:t>temporary accommodation</w:t>
      </w:r>
      <w:r w:rsidR="00465C81" w:rsidRPr="00C43C1E">
        <w:t xml:space="preserve"> in collective centers. With the onset of the 2007 </w:t>
      </w:r>
      <w:r w:rsidR="00176D13">
        <w:t>S</w:t>
      </w:r>
      <w:r w:rsidR="00465C81" w:rsidRPr="00C43C1E">
        <w:t xml:space="preserve">trategy, new housing </w:t>
      </w:r>
      <w:r w:rsidR="00176D13">
        <w:t>was</w:t>
      </w:r>
      <w:r w:rsidR="00465C81" w:rsidRPr="00C43C1E">
        <w:t xml:space="preserve"> constructed and </w:t>
      </w:r>
      <w:r w:rsidR="00176D13">
        <w:t xml:space="preserve">some </w:t>
      </w:r>
      <w:r w:rsidR="00465C81" w:rsidRPr="00C43C1E">
        <w:t xml:space="preserve">collective centers </w:t>
      </w:r>
      <w:r w:rsidR="00176D13">
        <w:t>were</w:t>
      </w:r>
      <w:r w:rsidR="00465C81" w:rsidRPr="00C43C1E">
        <w:t xml:space="preserve"> rehabilitated for durable accommodation. Privatization of collective centers </w:t>
      </w:r>
      <w:r w:rsidR="00176D13">
        <w:t>was also</w:t>
      </w:r>
      <w:r w:rsidR="00465C81" w:rsidRPr="00C43C1E">
        <w:t xml:space="preserve"> initiated with </w:t>
      </w:r>
      <w:r w:rsidR="00176D13">
        <w:t xml:space="preserve">some </w:t>
      </w:r>
      <w:r w:rsidR="00465C81" w:rsidRPr="00C43C1E">
        <w:t>residents receiving formal ownership of their living units.</w:t>
      </w:r>
      <w:r w:rsidR="00465C81" w:rsidRPr="00C43C1E">
        <w:rPr>
          <w:rStyle w:val="FootnoteReference"/>
        </w:rPr>
        <w:footnoteReference w:id="25"/>
      </w:r>
    </w:p>
    <w:p w14:paraId="3FFFCE4B" w14:textId="77777777" w:rsidR="002B59CE" w:rsidRPr="00C43C1E" w:rsidRDefault="002B59CE" w:rsidP="00C43C1E">
      <w:pPr>
        <w:pStyle w:val="ListParagraph"/>
        <w:spacing w:after="0" w:line="276" w:lineRule="auto"/>
      </w:pPr>
    </w:p>
    <w:p w14:paraId="5399E54B" w14:textId="1DA0D087" w:rsidR="002B59CE" w:rsidRPr="00C43C1E" w:rsidRDefault="002B59CE" w:rsidP="00C43C1E">
      <w:pPr>
        <w:pStyle w:val="ListParagraph"/>
        <w:numPr>
          <w:ilvl w:val="0"/>
          <w:numId w:val="1"/>
        </w:numPr>
        <w:spacing w:after="0" w:line="276" w:lineRule="auto"/>
        <w:rPr>
          <w:b/>
        </w:rPr>
      </w:pPr>
      <w:r w:rsidRPr="00C43C1E">
        <w:rPr>
          <w:b/>
        </w:rPr>
        <w:t>Other efforts</w:t>
      </w:r>
      <w:r w:rsidRPr="00C43C1E">
        <w:t xml:space="preserve"> </w:t>
      </w:r>
      <w:r w:rsidRPr="00C43C1E">
        <w:rPr>
          <w:b/>
        </w:rPr>
        <w:t xml:space="preserve">to improve the socioeconomic conditions of IDPs have </w:t>
      </w:r>
      <w:r w:rsidR="000C382D">
        <w:rPr>
          <w:b/>
        </w:rPr>
        <w:t xml:space="preserve">also been promoted by international development partners and </w:t>
      </w:r>
      <w:r w:rsidR="00465C06">
        <w:rPr>
          <w:b/>
        </w:rPr>
        <w:t xml:space="preserve"> small</w:t>
      </w:r>
      <w:r w:rsidR="003A06C5">
        <w:rPr>
          <w:b/>
        </w:rPr>
        <w:t>-</w:t>
      </w:r>
      <w:r w:rsidR="00465C06">
        <w:rPr>
          <w:b/>
        </w:rPr>
        <w:t>scale NGO</w:t>
      </w:r>
      <w:r w:rsidRPr="00C43C1E">
        <w:rPr>
          <w:b/>
        </w:rPr>
        <w:t xml:space="preserve"> programs. </w:t>
      </w:r>
      <w:r w:rsidRPr="00C43C1E">
        <w:t>Such programs include</w:t>
      </w:r>
      <w:r w:rsidRPr="00C43C1E">
        <w:rPr>
          <w:rStyle w:val="FootnoteReference"/>
        </w:rPr>
        <w:footnoteReference w:id="26"/>
      </w:r>
      <w:r w:rsidRPr="00C43C1E">
        <w:t>: (i) The provision of land, agricultural inputs, and livestock for IDPs to pursue agricultural production; (ii) Vocational training to improve skills; (iii) Provision of grants and loans to increase access to financial assets; and (iv) Community mobilization for community-driven solutions to livelihood needs.</w:t>
      </w:r>
    </w:p>
    <w:p w14:paraId="51FE441D" w14:textId="77777777" w:rsidR="001A5E07" w:rsidRDefault="001A5E07" w:rsidP="00E6543B">
      <w:pPr>
        <w:pStyle w:val="ListParagraph"/>
        <w:spacing w:after="0" w:line="276" w:lineRule="auto"/>
      </w:pPr>
    </w:p>
    <w:p w14:paraId="4288AA87" w14:textId="79F6BF17" w:rsidR="00C170FA" w:rsidRDefault="00C170FA">
      <w:pPr>
        <w:spacing w:after="200" w:line="276" w:lineRule="auto"/>
        <w:jc w:val="left"/>
      </w:pPr>
      <w:r>
        <w:br w:type="page"/>
      </w:r>
    </w:p>
    <w:p w14:paraId="59C09957" w14:textId="77777777" w:rsidR="00255414" w:rsidRPr="00CF52CF" w:rsidRDefault="00255414" w:rsidP="00C170FA">
      <w:pPr>
        <w:spacing w:after="0" w:line="276" w:lineRule="auto"/>
      </w:pPr>
    </w:p>
    <w:p w14:paraId="2BCB78F8" w14:textId="77777777" w:rsidR="00FA4F8D" w:rsidRPr="00CF52CF" w:rsidRDefault="00FA4F8D" w:rsidP="00FA4F8D">
      <w:pPr>
        <w:pStyle w:val="Heading1"/>
        <w:pBdr>
          <w:bottom w:val="single" w:sz="18" w:space="1" w:color="17365D" w:themeColor="text2" w:themeShade="BF"/>
        </w:pBdr>
        <w:spacing w:before="0" w:after="0" w:line="276" w:lineRule="auto"/>
        <w:rPr>
          <w:rFonts w:asciiTheme="minorHAnsi" w:hAnsiTheme="minorHAnsi"/>
          <w:color w:val="17365D" w:themeColor="text2" w:themeShade="BF"/>
          <w:sz w:val="40"/>
          <w:szCs w:val="40"/>
        </w:rPr>
      </w:pPr>
      <w:bookmarkStart w:id="3" w:name="_Toc424902005"/>
      <w:bookmarkStart w:id="4" w:name="_Toc443046828"/>
      <w:r w:rsidRPr="00CF52CF">
        <w:rPr>
          <w:rFonts w:asciiTheme="minorHAnsi" w:hAnsiTheme="minorHAnsi"/>
          <w:color w:val="17365D" w:themeColor="text2" w:themeShade="BF"/>
          <w:sz w:val="40"/>
          <w:szCs w:val="40"/>
        </w:rPr>
        <w:t>Methodology</w:t>
      </w:r>
      <w:bookmarkEnd w:id="4"/>
    </w:p>
    <w:p w14:paraId="37EC9F15" w14:textId="77777777" w:rsidR="00FA4F8D" w:rsidRDefault="00FA4F8D" w:rsidP="00FA4F8D">
      <w:pPr>
        <w:pStyle w:val="ListParagraph"/>
        <w:numPr>
          <w:ilvl w:val="0"/>
          <w:numId w:val="1"/>
        </w:numPr>
        <w:spacing w:after="0" w:line="276" w:lineRule="auto"/>
        <w:rPr>
          <w:b/>
          <w:bCs/>
        </w:rPr>
      </w:pPr>
      <w:r w:rsidRPr="00003FDF">
        <w:rPr>
          <w:b/>
          <w:bCs/>
        </w:rPr>
        <w:t>This analysis aims to inform policy decisions on potential changes to IDP assistance.</w:t>
      </w:r>
      <w:r w:rsidRPr="00C43C1E">
        <w:rPr>
          <w:bCs/>
        </w:rPr>
        <w:t xml:space="preserve"> </w:t>
      </w:r>
      <w:r w:rsidRPr="00003FDF">
        <w:rPr>
          <w:bCs/>
        </w:rPr>
        <w:t xml:space="preserve">To this end, the report takes stock of existing vulnerabilities and protection needs of IDPs, compares IDP needs and vulnerabilities to the overall population, and highlights specific risks and possible mitigation measures </w:t>
      </w:r>
      <w:r>
        <w:rPr>
          <w:bCs/>
        </w:rPr>
        <w:t xml:space="preserve">to be considered, </w:t>
      </w:r>
      <w:r w:rsidRPr="00003FDF">
        <w:rPr>
          <w:bCs/>
        </w:rPr>
        <w:t xml:space="preserve">should the Government decide to pursue a transition from status to needs-based </w:t>
      </w:r>
      <w:r>
        <w:rPr>
          <w:bCs/>
        </w:rPr>
        <w:t>IDP assistance</w:t>
      </w:r>
      <w:r w:rsidRPr="00003FDF">
        <w:rPr>
          <w:bCs/>
        </w:rPr>
        <w:t>.</w:t>
      </w:r>
      <w:r w:rsidRPr="00C43C1E">
        <w:rPr>
          <w:b/>
          <w:bCs/>
        </w:rPr>
        <w:t xml:space="preserve"> </w:t>
      </w:r>
    </w:p>
    <w:p w14:paraId="0B9FAC11" w14:textId="77777777" w:rsidR="00FA4F8D" w:rsidRDefault="00FA4F8D" w:rsidP="00FA4F8D">
      <w:pPr>
        <w:pStyle w:val="ListParagraph"/>
        <w:spacing w:after="0" w:line="276" w:lineRule="auto"/>
        <w:ind w:left="360"/>
        <w:rPr>
          <w:b/>
          <w:bCs/>
        </w:rPr>
      </w:pPr>
    </w:p>
    <w:p w14:paraId="0798CDF0" w14:textId="1CE9DC5B" w:rsidR="00FA4F8D" w:rsidRPr="00F73203" w:rsidRDefault="00FA4F8D" w:rsidP="00FA4F8D">
      <w:pPr>
        <w:pStyle w:val="ListParagraph"/>
        <w:numPr>
          <w:ilvl w:val="0"/>
          <w:numId w:val="1"/>
        </w:numPr>
        <w:spacing w:after="0" w:line="276" w:lineRule="auto"/>
        <w:rPr>
          <w:b/>
          <w:bCs/>
        </w:rPr>
      </w:pPr>
      <w:r w:rsidRPr="00973B48">
        <w:rPr>
          <w:b/>
          <w:bCs/>
        </w:rPr>
        <w:t xml:space="preserve">The research was informed by: </w:t>
      </w:r>
      <w:r w:rsidRPr="00973B48">
        <w:rPr>
          <w:b/>
          <w:bCs/>
          <w:i/>
        </w:rPr>
        <w:t>(i) desk review</w:t>
      </w:r>
      <w:r>
        <w:rPr>
          <w:bCs/>
        </w:rPr>
        <w:t xml:space="preserve">: an assessment of Georgia’s laws, policies, and institutions for IDP assistance compared to international good practice; </w:t>
      </w:r>
      <w:r w:rsidRPr="00973B48">
        <w:rPr>
          <w:b/>
          <w:bCs/>
          <w:i/>
        </w:rPr>
        <w:t>(ii) quantitative data analysis</w:t>
      </w:r>
      <w:r>
        <w:rPr>
          <w:bCs/>
        </w:rPr>
        <w:t xml:space="preserve">: to compare the situation of IDPs and non-IDPs in Georgia by key socio-economic indicators; and </w:t>
      </w:r>
      <w:r w:rsidRPr="004429E9">
        <w:rPr>
          <w:b/>
          <w:bCs/>
          <w:i/>
        </w:rPr>
        <w:t>(iii) qualitative research</w:t>
      </w:r>
      <w:r>
        <w:rPr>
          <w:b/>
          <w:bCs/>
          <w:i/>
        </w:rPr>
        <w:t xml:space="preserve"> and analysis</w:t>
      </w:r>
      <w:r>
        <w:rPr>
          <w:bCs/>
        </w:rPr>
        <w:t xml:space="preserve">: to assess additional </w:t>
      </w:r>
      <w:r w:rsidR="00255414">
        <w:rPr>
          <w:bCs/>
        </w:rPr>
        <w:t xml:space="preserve">and distinct </w:t>
      </w:r>
      <w:r>
        <w:rPr>
          <w:bCs/>
        </w:rPr>
        <w:t xml:space="preserve">vulnerabilities </w:t>
      </w:r>
      <w:r w:rsidR="00255414">
        <w:rPr>
          <w:bCs/>
        </w:rPr>
        <w:t>faced by IDPs and/or IDP sub-groups that may increase if this benefit is removed</w:t>
      </w:r>
      <w:r>
        <w:rPr>
          <w:bCs/>
        </w:rPr>
        <w:t>, as well as t</w:t>
      </w:r>
      <w:r w:rsidR="00255414">
        <w:rPr>
          <w:bCs/>
        </w:rPr>
        <w:t>o examine attitudes of both IDP and non-IDP population to the status</w:t>
      </w:r>
      <w:r>
        <w:rPr>
          <w:bCs/>
        </w:rPr>
        <w:t xml:space="preserve"> benefit and its potential removal.</w:t>
      </w:r>
    </w:p>
    <w:p w14:paraId="0C2127CA" w14:textId="77777777" w:rsidR="00FA4F8D" w:rsidRPr="00F73203" w:rsidRDefault="00FA4F8D" w:rsidP="00FA4F8D">
      <w:pPr>
        <w:spacing w:after="0" w:line="276" w:lineRule="auto"/>
        <w:rPr>
          <w:b/>
          <w:bCs/>
        </w:rPr>
      </w:pPr>
    </w:p>
    <w:p w14:paraId="6F001B50" w14:textId="77777777" w:rsidR="00FA4F8D" w:rsidRDefault="00FA4F8D" w:rsidP="00FA4F8D">
      <w:pPr>
        <w:pStyle w:val="ListParagraph"/>
        <w:numPr>
          <w:ilvl w:val="0"/>
          <w:numId w:val="1"/>
        </w:numPr>
        <w:spacing w:after="0" w:line="276" w:lineRule="auto"/>
        <w:rPr>
          <w:b/>
          <w:bCs/>
        </w:rPr>
      </w:pPr>
      <w:r w:rsidRPr="00F73203">
        <w:rPr>
          <w:b/>
          <w:bCs/>
        </w:rPr>
        <w:t xml:space="preserve">These three sources of data are described in more detail below: </w:t>
      </w:r>
    </w:p>
    <w:p w14:paraId="7224CF56" w14:textId="77777777" w:rsidR="00FA4F8D" w:rsidRPr="00F73203" w:rsidRDefault="00FA4F8D" w:rsidP="00FA4F8D">
      <w:pPr>
        <w:spacing w:after="0" w:line="276" w:lineRule="auto"/>
        <w:rPr>
          <w:b/>
          <w:bCs/>
        </w:rPr>
      </w:pPr>
    </w:p>
    <w:p w14:paraId="0932F914" w14:textId="77777777" w:rsidR="00FA4F8D" w:rsidRPr="009A4AEA" w:rsidRDefault="00FA4F8D" w:rsidP="00FA4F8D">
      <w:pPr>
        <w:pStyle w:val="ListParagraph"/>
        <w:spacing w:after="0" w:line="276" w:lineRule="auto"/>
        <w:ind w:left="708"/>
        <w:rPr>
          <w:b/>
          <w:bCs/>
        </w:rPr>
      </w:pPr>
      <w:r w:rsidRPr="009A4AEA">
        <w:rPr>
          <w:b/>
          <w:bCs/>
        </w:rPr>
        <w:t>(i) Desk Review:</w:t>
      </w:r>
    </w:p>
    <w:p w14:paraId="038A17DC" w14:textId="77777777" w:rsidR="00FA4F8D" w:rsidRDefault="00FA4F8D" w:rsidP="00FA4F8D">
      <w:pPr>
        <w:pStyle w:val="ListParagraph"/>
        <w:spacing w:after="0" w:line="276" w:lineRule="auto"/>
        <w:ind w:left="708"/>
        <w:rPr>
          <w:b/>
          <w:bCs/>
        </w:rPr>
      </w:pPr>
    </w:p>
    <w:p w14:paraId="63C2111C" w14:textId="32931C3E" w:rsidR="00FA4F8D" w:rsidRDefault="006F5780" w:rsidP="00FA4F8D">
      <w:pPr>
        <w:pStyle w:val="ListParagraph"/>
        <w:spacing w:after="0" w:line="276" w:lineRule="auto"/>
        <w:ind w:left="708"/>
      </w:pPr>
      <w:r>
        <w:t>This component included a review of prior research conducted on IDP needs and livelihoods, as well as a comprehensive review of Georgian</w:t>
      </w:r>
      <w:r w:rsidR="00FA4F8D" w:rsidRPr="00C43C1E">
        <w:t xml:space="preserve"> l</w:t>
      </w:r>
      <w:r>
        <w:t xml:space="preserve">egislation and policy documents </w:t>
      </w:r>
      <w:r w:rsidR="00E03FA7">
        <w:t>concerning the</w:t>
      </w:r>
      <w:r w:rsidR="00FA4F8D" w:rsidRPr="00C43C1E">
        <w:t xml:space="preserve"> </w:t>
      </w:r>
      <w:r w:rsidR="00E03FA7">
        <w:t>protection and</w:t>
      </w:r>
      <w:r>
        <w:t xml:space="preserve"> integration of </w:t>
      </w:r>
      <w:r w:rsidR="00FA4F8D" w:rsidRPr="00C43C1E">
        <w:t>IDPs</w:t>
      </w:r>
      <w:r>
        <w:t xml:space="preserve">. The desk review also included an assessment of institutional capacity and </w:t>
      </w:r>
      <w:r w:rsidR="00672E6F">
        <w:t>gaps in policy coordination.</w:t>
      </w:r>
    </w:p>
    <w:p w14:paraId="7B610E10" w14:textId="77777777" w:rsidR="00753051" w:rsidRDefault="00753051" w:rsidP="00FA4F8D">
      <w:pPr>
        <w:pStyle w:val="ListParagraph"/>
        <w:spacing w:after="0" w:line="276" w:lineRule="auto"/>
        <w:ind w:left="708"/>
      </w:pPr>
    </w:p>
    <w:p w14:paraId="55656922" w14:textId="641DB68A" w:rsidR="00753051" w:rsidRDefault="00753051" w:rsidP="00FA4F8D">
      <w:pPr>
        <w:pStyle w:val="ListParagraph"/>
        <w:spacing w:after="0" w:line="276" w:lineRule="auto"/>
        <w:ind w:left="708"/>
        <w:rPr>
          <w:b/>
          <w:bCs/>
        </w:rPr>
      </w:pPr>
      <w:r>
        <w:t xml:space="preserve">The purpose of the desk review was to </w:t>
      </w:r>
      <w:r w:rsidR="00F33395">
        <w:t xml:space="preserve">assess the extent to which there is an enabling environment </w:t>
      </w:r>
      <w:r w:rsidR="002C3E23">
        <w:t xml:space="preserve">for IDPs </w:t>
      </w:r>
      <w:r w:rsidR="00F33395">
        <w:t>to be fully integrated in their communities, including accessing services and markets, and having equal economic opportunities as the rest of the population. Also</w:t>
      </w:r>
      <w:r w:rsidR="002C3E23">
        <w:t>, the review aimed</w:t>
      </w:r>
      <w:r w:rsidR="00F33395">
        <w:t xml:space="preserve"> to point </w:t>
      </w:r>
      <w:r w:rsidR="002C3E23">
        <w:t xml:space="preserve">out </w:t>
      </w:r>
      <w:r w:rsidR="00F33395">
        <w:t xml:space="preserve">any gaps either in legislation, institutional cooperation, or specific sector policies that may </w:t>
      </w:r>
      <w:r w:rsidR="008B4DC7">
        <w:t>create or perpetuate barriers for IDP integration. A strong policy framework for IDP integration is an important prerequisite to ensure that distinct needs of IDPs will continue to be addressed if the Government pursues alignment of IDP assistance with that of the rest of the population.</w:t>
      </w:r>
    </w:p>
    <w:p w14:paraId="2717563C" w14:textId="77777777" w:rsidR="00FA4F8D" w:rsidRDefault="00FA4F8D" w:rsidP="00FA4F8D">
      <w:pPr>
        <w:pStyle w:val="ListParagraph"/>
        <w:spacing w:after="0" w:line="276" w:lineRule="auto"/>
        <w:ind w:left="708"/>
        <w:rPr>
          <w:b/>
          <w:bCs/>
        </w:rPr>
      </w:pPr>
    </w:p>
    <w:p w14:paraId="45540753" w14:textId="77777777" w:rsidR="00FA4F8D" w:rsidRDefault="00FA4F8D" w:rsidP="00FA4F8D">
      <w:pPr>
        <w:pStyle w:val="ListParagraph"/>
        <w:spacing w:after="0" w:line="276" w:lineRule="auto"/>
        <w:ind w:left="708"/>
        <w:rPr>
          <w:b/>
          <w:bCs/>
        </w:rPr>
      </w:pPr>
      <w:r>
        <w:rPr>
          <w:b/>
          <w:bCs/>
        </w:rPr>
        <w:t>(ii) Quantitative data analysis:</w:t>
      </w:r>
    </w:p>
    <w:p w14:paraId="43A9D897" w14:textId="77777777" w:rsidR="00FA4F8D" w:rsidRDefault="00FA4F8D" w:rsidP="00FA4F8D">
      <w:pPr>
        <w:pStyle w:val="ListParagraph"/>
        <w:spacing w:after="0" w:line="276" w:lineRule="auto"/>
        <w:ind w:left="708"/>
        <w:rPr>
          <w:b/>
          <w:bCs/>
        </w:rPr>
      </w:pPr>
    </w:p>
    <w:p w14:paraId="6522290E" w14:textId="0DF55B12" w:rsidR="00FA4F8D" w:rsidRDefault="00DC57B7" w:rsidP="00FA4F8D">
      <w:pPr>
        <w:pStyle w:val="ListParagraph"/>
        <w:spacing w:after="0" w:line="276" w:lineRule="auto"/>
        <w:ind w:left="708"/>
        <w:rPr>
          <w:b/>
          <w:bCs/>
        </w:rPr>
      </w:pPr>
      <w:r>
        <w:t>The quantitative analysis wa</w:t>
      </w:r>
      <w:r w:rsidR="006C46D2">
        <w:t>s based on</w:t>
      </w:r>
      <w:r>
        <w:t xml:space="preserve"> household survey data from</w:t>
      </w:r>
      <w:r w:rsidR="006C46D2">
        <w:t xml:space="preserve"> </w:t>
      </w:r>
      <w:r>
        <w:t xml:space="preserve">three sources: </w:t>
      </w:r>
    </w:p>
    <w:p w14:paraId="4D02BFF1" w14:textId="3982B645" w:rsidR="008D2EC7" w:rsidRDefault="008D2EC7" w:rsidP="008D2EC7">
      <w:pPr>
        <w:pStyle w:val="ListParagraph"/>
        <w:numPr>
          <w:ilvl w:val="0"/>
          <w:numId w:val="20"/>
        </w:numPr>
        <w:spacing w:after="0" w:line="276" w:lineRule="auto"/>
      </w:pPr>
      <w:r>
        <w:t xml:space="preserve">Integrated Household Survey (2011-2013). National Statistics Office of Georgia, GEOSTAT. </w:t>
      </w:r>
    </w:p>
    <w:p w14:paraId="2B8FAACE" w14:textId="6DCF5793" w:rsidR="008D2EC7" w:rsidRDefault="008D2EC7" w:rsidP="008D2EC7">
      <w:pPr>
        <w:pStyle w:val="ListParagraph"/>
        <w:numPr>
          <w:ilvl w:val="0"/>
          <w:numId w:val="20"/>
        </w:numPr>
        <w:spacing w:after="0" w:line="276" w:lineRule="auto"/>
      </w:pPr>
      <w:r>
        <w:t>Intentions Survey on Durable Solutions among IDPs in Georgia</w:t>
      </w:r>
      <w:r w:rsidRPr="00FA4F8D">
        <w:t>: Voices Of Internally Displaced Persons In Georgia</w:t>
      </w:r>
      <w:r>
        <w:t xml:space="preserve"> (2014). </w:t>
      </w:r>
      <w:hyperlink r:id="rId12" w:history="1">
        <w:r w:rsidRPr="00FA4F8D">
          <w:t>UN High Commissioner for Refugees (UNHCR)</w:t>
        </w:r>
      </w:hyperlink>
      <w:r>
        <w:t>.</w:t>
      </w:r>
    </w:p>
    <w:p w14:paraId="41986206" w14:textId="77777777" w:rsidR="008D2EC7" w:rsidRPr="008D2EC7" w:rsidRDefault="008D2EC7" w:rsidP="008D2EC7">
      <w:pPr>
        <w:pStyle w:val="ListParagraph"/>
        <w:numPr>
          <w:ilvl w:val="0"/>
          <w:numId w:val="20"/>
        </w:numPr>
        <w:rPr>
          <w:b/>
        </w:rPr>
      </w:pPr>
      <w:r w:rsidRPr="006C12B5">
        <w:lastRenderedPageBreak/>
        <w:t>Economic and Social Vulnerability in Georgia</w:t>
      </w:r>
      <w:r>
        <w:t xml:space="preserve"> Household Survey (2011).</w:t>
      </w:r>
      <w:r w:rsidRPr="006C12B5">
        <w:t xml:space="preserve"> United Nations Development Program</w:t>
      </w:r>
      <w:r>
        <w:t xml:space="preserve"> (UNDP) and </w:t>
      </w:r>
      <w:r w:rsidRPr="00FA4F8D">
        <w:t>National Statistics Off</w:t>
      </w:r>
      <w:r w:rsidRPr="00CC14E5">
        <w:t>ice of Georgia</w:t>
      </w:r>
      <w:r>
        <w:t>.</w:t>
      </w:r>
    </w:p>
    <w:p w14:paraId="33273683" w14:textId="77777777" w:rsidR="006A45BA" w:rsidRDefault="006A45BA" w:rsidP="00FA4F8D">
      <w:pPr>
        <w:pStyle w:val="ListParagraph"/>
        <w:spacing w:after="0" w:line="276" w:lineRule="auto"/>
        <w:ind w:left="708"/>
        <w:rPr>
          <w:b/>
          <w:bCs/>
        </w:rPr>
      </w:pPr>
    </w:p>
    <w:p w14:paraId="2C8EBCC2" w14:textId="509701F3" w:rsidR="006A45BA" w:rsidRPr="006A45BA" w:rsidRDefault="006A45BA" w:rsidP="00FA4F8D">
      <w:pPr>
        <w:pStyle w:val="ListParagraph"/>
        <w:spacing w:after="0" w:line="276" w:lineRule="auto"/>
        <w:ind w:left="708"/>
        <w:rPr>
          <w:bCs/>
        </w:rPr>
      </w:pPr>
      <w:r w:rsidRPr="006A45BA">
        <w:rPr>
          <w:bCs/>
        </w:rPr>
        <w:t xml:space="preserve">The </w:t>
      </w:r>
      <w:r>
        <w:rPr>
          <w:bCs/>
        </w:rPr>
        <w:t xml:space="preserve">purpose of the quantitative analysis was to </w:t>
      </w:r>
      <w:r w:rsidR="00800BBC">
        <w:rPr>
          <w:bCs/>
        </w:rPr>
        <w:t xml:space="preserve">compare socio-economic data on IDPs versus non-IDPs and assess the extent to which IDPs have been able to integrate, </w:t>
      </w:r>
      <w:r w:rsidR="00E7401C">
        <w:rPr>
          <w:bCs/>
        </w:rPr>
        <w:t xml:space="preserve">access services, local markets, income and livelihood opportunities, </w:t>
      </w:r>
      <w:r w:rsidR="002C3E23">
        <w:rPr>
          <w:bCs/>
        </w:rPr>
        <w:t xml:space="preserve">and </w:t>
      </w:r>
      <w:r w:rsidR="00E7401C">
        <w:rPr>
          <w:bCs/>
        </w:rPr>
        <w:t>overall</w:t>
      </w:r>
      <w:r w:rsidR="00800BBC">
        <w:rPr>
          <w:bCs/>
        </w:rPr>
        <w:t xml:space="preserve"> partake in </w:t>
      </w:r>
      <w:r w:rsidR="00E7401C">
        <w:rPr>
          <w:bCs/>
        </w:rPr>
        <w:t>local</w:t>
      </w:r>
      <w:r w:rsidR="00800BBC">
        <w:rPr>
          <w:bCs/>
        </w:rPr>
        <w:t xml:space="preserve"> development. Importantly, this data was also used to identify </w:t>
      </w:r>
      <w:r w:rsidR="00E7401C">
        <w:rPr>
          <w:bCs/>
        </w:rPr>
        <w:t xml:space="preserve">any </w:t>
      </w:r>
      <w:r w:rsidR="00800BBC">
        <w:rPr>
          <w:bCs/>
        </w:rPr>
        <w:t>areas of persisting vulnerabilities among IDPs</w:t>
      </w:r>
      <w:r w:rsidR="00E7401C">
        <w:rPr>
          <w:bCs/>
        </w:rPr>
        <w:t>, or</w:t>
      </w:r>
      <w:r w:rsidR="00800BBC">
        <w:rPr>
          <w:bCs/>
        </w:rPr>
        <w:t xml:space="preserve"> </w:t>
      </w:r>
      <w:r w:rsidR="00E7401C">
        <w:rPr>
          <w:bCs/>
        </w:rPr>
        <w:t xml:space="preserve">within </w:t>
      </w:r>
      <w:r w:rsidR="00800BBC">
        <w:rPr>
          <w:bCs/>
        </w:rPr>
        <w:t>particular groups of IDPs</w:t>
      </w:r>
      <w:r w:rsidR="00E7401C">
        <w:rPr>
          <w:bCs/>
        </w:rPr>
        <w:t>, which need</w:t>
      </w:r>
      <w:r w:rsidR="00800BBC">
        <w:rPr>
          <w:bCs/>
        </w:rPr>
        <w:t xml:space="preserve"> to be addressed and prioritized if the Government pursues any changes to IDP assistance.    </w:t>
      </w:r>
    </w:p>
    <w:p w14:paraId="7AEC2C53" w14:textId="77777777" w:rsidR="006A45BA" w:rsidRDefault="006A45BA" w:rsidP="00FA4F8D">
      <w:pPr>
        <w:pStyle w:val="ListParagraph"/>
        <w:spacing w:after="0" w:line="276" w:lineRule="auto"/>
        <w:ind w:left="708"/>
        <w:rPr>
          <w:b/>
          <w:bCs/>
        </w:rPr>
      </w:pPr>
    </w:p>
    <w:p w14:paraId="6A8DDE4B" w14:textId="77777777" w:rsidR="00FA4F8D" w:rsidRDefault="00FA4F8D" w:rsidP="00FA4F8D">
      <w:pPr>
        <w:pStyle w:val="ListParagraph"/>
        <w:spacing w:after="0" w:line="276" w:lineRule="auto"/>
        <w:ind w:left="708"/>
        <w:rPr>
          <w:b/>
          <w:bCs/>
        </w:rPr>
      </w:pPr>
    </w:p>
    <w:p w14:paraId="5F95C5C6" w14:textId="77777777" w:rsidR="00FA4F8D" w:rsidRDefault="00FA4F8D" w:rsidP="00FA4F8D">
      <w:pPr>
        <w:pStyle w:val="ListParagraph"/>
        <w:spacing w:after="0" w:line="276" w:lineRule="auto"/>
        <w:ind w:left="708"/>
        <w:rPr>
          <w:b/>
          <w:bCs/>
        </w:rPr>
      </w:pPr>
      <w:r>
        <w:rPr>
          <w:b/>
          <w:bCs/>
        </w:rPr>
        <w:t xml:space="preserve">(iii) Qualitative research and analysis: </w:t>
      </w:r>
    </w:p>
    <w:p w14:paraId="0FD137AA" w14:textId="77777777" w:rsidR="00FA4F8D" w:rsidRDefault="00FA4F8D" w:rsidP="00FA4F8D">
      <w:pPr>
        <w:pStyle w:val="ListParagraph"/>
        <w:spacing w:after="0" w:line="276" w:lineRule="auto"/>
        <w:ind w:left="708"/>
        <w:rPr>
          <w:b/>
          <w:bCs/>
        </w:rPr>
      </w:pPr>
    </w:p>
    <w:p w14:paraId="68513C76" w14:textId="66A5C9A4" w:rsidR="00FA4F8D" w:rsidRDefault="00800BBC" w:rsidP="008D2EC7">
      <w:pPr>
        <w:pStyle w:val="ListParagraph"/>
        <w:spacing w:after="0" w:line="276" w:lineRule="auto"/>
        <w:ind w:left="708"/>
      </w:pPr>
      <w:r>
        <w:t xml:space="preserve">The qualitative research included primary data collection </w:t>
      </w:r>
      <w:r w:rsidR="008D2EC7">
        <w:t xml:space="preserve">in May and June 2015. </w:t>
      </w:r>
      <w:r w:rsidR="002C3E23">
        <w:t xml:space="preserve">Twenty-four </w:t>
      </w:r>
      <w:r w:rsidR="008D2EC7">
        <w:t xml:space="preserve">focus group discussions, 10 </w:t>
      </w:r>
      <w:r>
        <w:t>key informant interviews</w:t>
      </w:r>
      <w:r w:rsidR="008D2EC7">
        <w:t>, and 5 ethnographic case studies</w:t>
      </w:r>
      <w:r>
        <w:t xml:space="preserve"> were conducted</w:t>
      </w:r>
      <w:r w:rsidR="009876AC">
        <w:rPr>
          <w:rStyle w:val="FootnoteReference"/>
        </w:rPr>
        <w:footnoteReference w:id="27"/>
      </w:r>
      <w:r>
        <w:t>. Focus group discussions were held with</w:t>
      </w:r>
      <w:r w:rsidR="008D2EC7">
        <w:t xml:space="preserve"> IDPs and non-IDPs in urban and rural areas in Tbilisi and three regions</w:t>
      </w:r>
      <w:r>
        <w:t>:</w:t>
      </w:r>
      <w:r w:rsidR="008D2EC7">
        <w:t xml:space="preserve"> Kakheti, Samegrelo, and Shida Kartli. </w:t>
      </w:r>
      <w:r w:rsidR="00FA4F8D" w:rsidRPr="00C43C1E">
        <w:t xml:space="preserve"> </w:t>
      </w:r>
      <w:r>
        <w:t>Key informant interviews were held with</w:t>
      </w:r>
      <w:r w:rsidR="008D2EC7">
        <w:t xml:space="preserve"> </w:t>
      </w:r>
      <w:r w:rsidR="00FA4F8D" w:rsidRPr="00C43C1E">
        <w:t>policy makers, public institution representatives</w:t>
      </w:r>
      <w:r w:rsidR="008D2EC7">
        <w:t xml:space="preserve"> at national and local levels, non-governmental organizations</w:t>
      </w:r>
      <w:r w:rsidR="00FA4F8D" w:rsidRPr="00C43C1E">
        <w:t>, IDP leader</w:t>
      </w:r>
      <w:r>
        <w:t>s</w:t>
      </w:r>
      <w:r w:rsidR="00FA4F8D" w:rsidRPr="00C43C1E">
        <w:t>, and international development partners</w:t>
      </w:r>
      <w:r w:rsidR="008D2EC7">
        <w:t xml:space="preserve">. A more detailed description of the qualitative sample is included in Annex III. </w:t>
      </w:r>
    </w:p>
    <w:p w14:paraId="45D53CBB" w14:textId="77777777" w:rsidR="00800BBC" w:rsidRDefault="00800BBC" w:rsidP="00FA4F8D">
      <w:pPr>
        <w:pStyle w:val="ListParagraph"/>
        <w:spacing w:after="0" w:line="276" w:lineRule="auto"/>
        <w:ind w:left="708"/>
      </w:pPr>
    </w:p>
    <w:p w14:paraId="2087B5F7" w14:textId="3D6C8A35" w:rsidR="00800BBC" w:rsidRDefault="00800BBC" w:rsidP="00FA4F8D">
      <w:pPr>
        <w:pStyle w:val="ListParagraph"/>
        <w:spacing w:after="0" w:line="276" w:lineRule="auto"/>
        <w:ind w:left="708"/>
        <w:rPr>
          <w:b/>
          <w:bCs/>
        </w:rPr>
      </w:pPr>
      <w:r>
        <w:t xml:space="preserve">The purpose of the </w:t>
      </w:r>
      <w:r w:rsidR="00E7401C">
        <w:t xml:space="preserve">qualitative assessment was to validate and complement quantitative data on IDPs’ socio-economic integration. Specifically, qualitative data has </w:t>
      </w:r>
      <w:r w:rsidR="000C382D">
        <w:t xml:space="preserve">been used </w:t>
      </w:r>
      <w:r w:rsidR="00E7401C">
        <w:t xml:space="preserve">to explore in more detail barriers to employment, education, and income generating activities.  </w:t>
      </w:r>
      <w:r w:rsidR="00443F78">
        <w:t xml:space="preserve">It has </w:t>
      </w:r>
      <w:r w:rsidR="000C382D">
        <w:t xml:space="preserve">also </w:t>
      </w:r>
      <w:r w:rsidR="00443F78">
        <w:t xml:space="preserve">allowed </w:t>
      </w:r>
      <w:r w:rsidR="000C382D">
        <w:t xml:space="preserve">the study </w:t>
      </w:r>
      <w:r w:rsidR="00443F78">
        <w:t xml:space="preserve">to examine </w:t>
      </w:r>
      <w:r w:rsidR="002C3E23">
        <w:t xml:space="preserve">IDPs’ </w:t>
      </w:r>
      <w:r w:rsidR="00443F78">
        <w:t>own assessment of their priority needs and persisting social and economic challenges. An important contribution of the qualitative data has been to examine attitudes of IDPs as well as non-IDPs to the overall significance of the IDP status benefit. The IDP benefit carries important symbolic and political value beyond providing social and e</w:t>
      </w:r>
      <w:r w:rsidR="003769B5">
        <w:t>conomic support. In this context, any changes to IDP assistance have to be grounded in a good understanding of public opinion with regard to this policy and accompanied by appropriate public awareness and communications effort.</w:t>
      </w:r>
    </w:p>
    <w:p w14:paraId="0F89748E" w14:textId="77777777" w:rsidR="00FA4F8D" w:rsidRDefault="00FA4F8D" w:rsidP="00FA4F8D">
      <w:pPr>
        <w:spacing w:after="0" w:line="276" w:lineRule="auto"/>
        <w:rPr>
          <w:b/>
          <w:bCs/>
        </w:rPr>
      </w:pPr>
    </w:p>
    <w:p w14:paraId="27491E77" w14:textId="77777777" w:rsidR="00FA4F8D" w:rsidRPr="00F73203" w:rsidRDefault="00FA4F8D" w:rsidP="00FA4F8D">
      <w:pPr>
        <w:spacing w:after="0" w:line="276" w:lineRule="auto"/>
        <w:rPr>
          <w:b/>
          <w:bCs/>
        </w:rPr>
      </w:pPr>
    </w:p>
    <w:p w14:paraId="3B227B85" w14:textId="4BCDE6C9" w:rsidR="00FA4F8D" w:rsidRDefault="00FA4F8D" w:rsidP="00FA4F8D">
      <w:pPr>
        <w:pStyle w:val="ListParagraph"/>
        <w:numPr>
          <w:ilvl w:val="0"/>
          <w:numId w:val="1"/>
        </w:numPr>
        <w:spacing w:after="0" w:line="276" w:lineRule="auto"/>
        <w:rPr>
          <w:b/>
          <w:bCs/>
        </w:rPr>
      </w:pPr>
      <w:r>
        <w:rPr>
          <w:b/>
          <w:bCs/>
        </w:rPr>
        <w:t xml:space="preserve">This report summarizes key findings and policy recommendations from this research. </w:t>
      </w:r>
      <w:r>
        <w:rPr>
          <w:bCs/>
        </w:rPr>
        <w:t>M</w:t>
      </w:r>
      <w:r w:rsidRPr="007E2DE3">
        <w:rPr>
          <w:bCs/>
        </w:rPr>
        <w:t xml:space="preserve">ore detailed </w:t>
      </w:r>
      <w:r>
        <w:rPr>
          <w:bCs/>
        </w:rPr>
        <w:t>background information</w:t>
      </w:r>
      <w:r w:rsidRPr="007E2DE3">
        <w:rPr>
          <w:bCs/>
        </w:rPr>
        <w:t xml:space="preserve"> </w:t>
      </w:r>
      <w:r>
        <w:rPr>
          <w:bCs/>
        </w:rPr>
        <w:t>f</w:t>
      </w:r>
      <w:r w:rsidRPr="007E2DE3">
        <w:rPr>
          <w:bCs/>
        </w:rPr>
        <w:t>r</w:t>
      </w:r>
      <w:r>
        <w:rPr>
          <w:bCs/>
        </w:rPr>
        <w:t>o</w:t>
      </w:r>
      <w:r w:rsidRPr="007E2DE3">
        <w:rPr>
          <w:bCs/>
        </w:rPr>
        <w:t xml:space="preserve">m the policy </w:t>
      </w:r>
      <w:r w:rsidR="00AB3B61">
        <w:rPr>
          <w:bCs/>
        </w:rPr>
        <w:t xml:space="preserve">and institutional </w:t>
      </w:r>
      <w:r w:rsidRPr="007E2DE3">
        <w:rPr>
          <w:bCs/>
        </w:rPr>
        <w:t>review, quantitati</w:t>
      </w:r>
      <w:r>
        <w:rPr>
          <w:bCs/>
        </w:rPr>
        <w:t>ve</w:t>
      </w:r>
      <w:r w:rsidRPr="007E2DE3">
        <w:rPr>
          <w:bCs/>
        </w:rPr>
        <w:t xml:space="preserve"> and</w:t>
      </w:r>
      <w:r>
        <w:rPr>
          <w:bCs/>
        </w:rPr>
        <w:t xml:space="preserve"> qualitative analyses </w:t>
      </w:r>
      <w:r w:rsidRPr="008975B3">
        <w:rPr>
          <w:bCs/>
        </w:rPr>
        <w:t>is included in Annexes I – III</w:t>
      </w:r>
      <w:r w:rsidR="00AB3B61" w:rsidRPr="008975B3">
        <w:rPr>
          <w:bCs/>
        </w:rPr>
        <w:t xml:space="preserve"> respectively</w:t>
      </w:r>
      <w:r w:rsidRPr="008975B3">
        <w:rPr>
          <w:bCs/>
        </w:rPr>
        <w:t>.</w:t>
      </w:r>
      <w:r>
        <w:rPr>
          <w:bCs/>
        </w:rPr>
        <w:t xml:space="preserve">   </w:t>
      </w:r>
      <w:r>
        <w:rPr>
          <w:b/>
          <w:bCs/>
        </w:rPr>
        <w:t xml:space="preserve"> </w:t>
      </w:r>
    </w:p>
    <w:p w14:paraId="3F386118" w14:textId="77777777" w:rsidR="006A45BA" w:rsidRDefault="006A45BA" w:rsidP="006A45BA">
      <w:pPr>
        <w:pStyle w:val="ListParagraph"/>
        <w:spacing w:after="0" w:line="276" w:lineRule="auto"/>
        <w:ind w:left="360"/>
        <w:rPr>
          <w:b/>
          <w:bCs/>
        </w:rPr>
      </w:pPr>
    </w:p>
    <w:p w14:paraId="70F1A1B2" w14:textId="77777777" w:rsidR="006A45BA" w:rsidRDefault="006A45BA" w:rsidP="006A45BA">
      <w:pPr>
        <w:pStyle w:val="ListParagraph"/>
        <w:spacing w:after="0" w:line="276" w:lineRule="auto"/>
        <w:ind w:left="360"/>
        <w:rPr>
          <w:b/>
          <w:bCs/>
        </w:rPr>
      </w:pPr>
    </w:p>
    <w:p w14:paraId="60C74BC0" w14:textId="6935CB41" w:rsidR="00B443A6" w:rsidRDefault="00B443A6">
      <w:pPr>
        <w:spacing w:after="200" w:line="276" w:lineRule="auto"/>
        <w:jc w:val="left"/>
        <w:rPr>
          <w:b/>
          <w:bCs/>
        </w:rPr>
      </w:pPr>
      <w:r>
        <w:rPr>
          <w:b/>
          <w:bCs/>
        </w:rPr>
        <w:br w:type="page"/>
      </w:r>
    </w:p>
    <w:p w14:paraId="4FC36B82" w14:textId="77777777" w:rsidR="006A45BA" w:rsidRDefault="006A45BA" w:rsidP="006A45BA">
      <w:pPr>
        <w:pStyle w:val="ListParagraph"/>
        <w:spacing w:after="0" w:line="276" w:lineRule="auto"/>
        <w:ind w:left="360"/>
        <w:rPr>
          <w:b/>
          <w:bCs/>
        </w:rPr>
      </w:pPr>
    </w:p>
    <w:p w14:paraId="58B1FD92" w14:textId="77777777" w:rsidR="006A45BA" w:rsidRPr="00FE2255" w:rsidRDefault="006A45BA" w:rsidP="006A45BA">
      <w:pPr>
        <w:pStyle w:val="ListParagraph"/>
        <w:spacing w:after="0" w:line="276" w:lineRule="auto"/>
        <w:ind w:left="360"/>
        <w:rPr>
          <w:b/>
          <w:bCs/>
        </w:rPr>
      </w:pPr>
    </w:p>
    <w:p w14:paraId="669E40BB" w14:textId="77777777" w:rsidR="00D8174A" w:rsidRPr="00CF52CF" w:rsidRDefault="00D8174A" w:rsidP="00E6543B">
      <w:pPr>
        <w:pStyle w:val="Heading1"/>
        <w:pBdr>
          <w:bottom w:val="single" w:sz="18" w:space="1" w:color="17365D" w:themeColor="text2" w:themeShade="BF"/>
        </w:pBdr>
        <w:spacing w:before="0" w:after="0" w:line="276" w:lineRule="auto"/>
        <w:rPr>
          <w:rFonts w:asciiTheme="minorHAnsi" w:hAnsiTheme="minorHAnsi"/>
          <w:color w:val="17365D" w:themeColor="text2" w:themeShade="BF"/>
          <w:sz w:val="40"/>
          <w:szCs w:val="40"/>
        </w:rPr>
      </w:pPr>
      <w:bookmarkStart w:id="5" w:name="_Toc443046829"/>
      <w:r w:rsidRPr="00CF52CF">
        <w:rPr>
          <w:rFonts w:asciiTheme="minorHAnsi" w:hAnsiTheme="minorHAnsi"/>
          <w:color w:val="17365D" w:themeColor="text2" w:themeShade="BF"/>
          <w:sz w:val="40"/>
          <w:szCs w:val="40"/>
        </w:rPr>
        <w:t>Key Findings</w:t>
      </w:r>
      <w:bookmarkEnd w:id="5"/>
    </w:p>
    <w:p w14:paraId="36944771" w14:textId="77777777" w:rsidR="00733C4B" w:rsidRPr="00CF52CF" w:rsidRDefault="00733C4B" w:rsidP="00E6543B">
      <w:pPr>
        <w:spacing w:after="0" w:line="276" w:lineRule="auto"/>
      </w:pPr>
      <w:bookmarkStart w:id="6" w:name="_Toc424742577"/>
      <w:bookmarkStart w:id="7" w:name="_Toc424742807"/>
      <w:bookmarkStart w:id="8" w:name="_Toc424902006"/>
      <w:bookmarkEnd w:id="3"/>
    </w:p>
    <w:p w14:paraId="71858101" w14:textId="29EFD594" w:rsidR="00D8174A" w:rsidRPr="00CF52CF" w:rsidRDefault="00D8174A" w:rsidP="00E6543B">
      <w:pPr>
        <w:pStyle w:val="Heading2"/>
        <w:spacing w:before="0" w:line="276" w:lineRule="auto"/>
        <w:rPr>
          <w:rFonts w:asciiTheme="minorHAnsi" w:hAnsiTheme="minorHAnsi"/>
          <w:color w:val="002060"/>
          <w:sz w:val="24"/>
          <w:szCs w:val="24"/>
        </w:rPr>
      </w:pPr>
      <w:bookmarkStart w:id="9" w:name="_Toc443046830"/>
      <w:r w:rsidRPr="00CF52CF">
        <w:rPr>
          <w:rFonts w:asciiTheme="minorHAnsi" w:hAnsiTheme="minorHAnsi"/>
          <w:color w:val="002060"/>
          <w:sz w:val="24"/>
          <w:szCs w:val="24"/>
          <w:u w:val="single"/>
        </w:rPr>
        <w:t>Key Finding 1</w:t>
      </w:r>
      <w:r w:rsidRPr="00CF52CF">
        <w:rPr>
          <w:rFonts w:asciiTheme="minorHAnsi" w:hAnsiTheme="minorHAnsi"/>
          <w:i/>
          <w:color w:val="002060"/>
          <w:sz w:val="24"/>
          <w:szCs w:val="24"/>
          <w:u w:val="single"/>
        </w:rPr>
        <w:t>:</w:t>
      </w:r>
      <w:r w:rsidRPr="00CF52CF">
        <w:rPr>
          <w:rFonts w:asciiTheme="minorHAnsi" w:hAnsiTheme="minorHAnsi"/>
          <w:color w:val="002060"/>
          <w:sz w:val="24"/>
          <w:szCs w:val="24"/>
        </w:rPr>
        <w:t xml:space="preserve"> </w:t>
      </w:r>
      <w:bookmarkEnd w:id="6"/>
      <w:bookmarkEnd w:id="7"/>
      <w:bookmarkEnd w:id="8"/>
      <w:r w:rsidRPr="00CF52CF">
        <w:rPr>
          <w:rFonts w:asciiTheme="minorHAnsi" w:hAnsiTheme="minorHAnsi"/>
          <w:color w:val="002060"/>
          <w:sz w:val="24"/>
          <w:szCs w:val="24"/>
        </w:rPr>
        <w:t>Georgia has put in place a comprehensive policy framework to address IDP issues</w:t>
      </w:r>
      <w:r w:rsidR="000B2BE7">
        <w:rPr>
          <w:rFonts w:asciiTheme="minorHAnsi" w:hAnsiTheme="minorHAnsi"/>
          <w:color w:val="002060"/>
          <w:sz w:val="24"/>
          <w:szCs w:val="24"/>
        </w:rPr>
        <w:t xml:space="preserve"> but</w:t>
      </w:r>
      <w:r w:rsidR="00C64B82">
        <w:rPr>
          <w:rFonts w:asciiTheme="minorHAnsi" w:hAnsiTheme="minorHAnsi"/>
          <w:color w:val="002060"/>
          <w:sz w:val="24"/>
          <w:szCs w:val="24"/>
        </w:rPr>
        <w:t xml:space="preserve"> challenges in policy implementation and institutional coordination persist</w:t>
      </w:r>
      <w:r w:rsidR="000B2BE7">
        <w:rPr>
          <w:rFonts w:asciiTheme="minorHAnsi" w:hAnsiTheme="minorHAnsi"/>
          <w:color w:val="002060"/>
          <w:sz w:val="24"/>
          <w:szCs w:val="24"/>
        </w:rPr>
        <w:t xml:space="preserve"> in delivering services to IDPs</w:t>
      </w:r>
      <w:r w:rsidR="00C64B82">
        <w:rPr>
          <w:rFonts w:asciiTheme="minorHAnsi" w:hAnsiTheme="minorHAnsi"/>
          <w:color w:val="002060"/>
          <w:sz w:val="24"/>
          <w:szCs w:val="24"/>
        </w:rPr>
        <w:t>.</w:t>
      </w:r>
      <w:bookmarkEnd w:id="9"/>
      <w:r w:rsidRPr="00CF52CF">
        <w:rPr>
          <w:rFonts w:asciiTheme="minorHAnsi" w:hAnsiTheme="minorHAnsi"/>
          <w:color w:val="002060"/>
          <w:sz w:val="24"/>
          <w:szCs w:val="24"/>
        </w:rPr>
        <w:t xml:space="preserve"> </w:t>
      </w:r>
    </w:p>
    <w:p w14:paraId="29B30417" w14:textId="77777777" w:rsidR="00EC6779" w:rsidRPr="00CF52CF" w:rsidRDefault="00EC6779" w:rsidP="00E6543B">
      <w:pPr>
        <w:spacing w:after="0" w:line="276" w:lineRule="auto"/>
      </w:pPr>
    </w:p>
    <w:p w14:paraId="65297BDA" w14:textId="4CAA0017" w:rsidR="00707963" w:rsidRPr="000118C4" w:rsidRDefault="00707963" w:rsidP="00707963">
      <w:pPr>
        <w:pStyle w:val="Caption"/>
        <w:numPr>
          <w:ilvl w:val="0"/>
          <w:numId w:val="1"/>
        </w:numPr>
        <w:tabs>
          <w:tab w:val="left" w:pos="360"/>
        </w:tabs>
        <w:spacing w:after="0" w:line="276" w:lineRule="auto"/>
        <w:jc w:val="both"/>
        <w:rPr>
          <w:b w:val="0"/>
          <w:bCs w:val="0"/>
          <w:szCs w:val="22"/>
        </w:rPr>
      </w:pPr>
      <w:r w:rsidRPr="00CF52CF">
        <w:rPr>
          <w:bCs w:val="0"/>
          <w:szCs w:val="22"/>
        </w:rPr>
        <w:t>Overall, Georgia’s policy framework supporting IDPs compares relatively well to those of other countries</w:t>
      </w:r>
      <w:r>
        <w:rPr>
          <w:bCs w:val="0"/>
          <w:szCs w:val="22"/>
        </w:rPr>
        <w:t xml:space="preserve">, and is based on the </w:t>
      </w:r>
      <w:r w:rsidR="00831150">
        <w:rPr>
          <w:bCs w:val="0"/>
          <w:szCs w:val="22"/>
        </w:rPr>
        <w:t xml:space="preserve">UN </w:t>
      </w:r>
      <w:r>
        <w:rPr>
          <w:bCs w:val="0"/>
          <w:szCs w:val="22"/>
        </w:rPr>
        <w:t>Guiding Principles on Internal Displacement</w:t>
      </w:r>
      <w:r w:rsidRPr="00CF52CF">
        <w:rPr>
          <w:bCs w:val="0"/>
          <w:szCs w:val="22"/>
        </w:rPr>
        <w:t>.</w:t>
      </w:r>
      <w:r>
        <w:rPr>
          <w:rStyle w:val="FootnoteReference"/>
          <w:bCs w:val="0"/>
          <w:szCs w:val="22"/>
        </w:rPr>
        <w:footnoteReference w:id="28"/>
      </w:r>
      <w:r w:rsidRPr="00CF52CF">
        <w:rPr>
          <w:b w:val="0"/>
          <w:bCs w:val="0"/>
          <w:szCs w:val="22"/>
        </w:rPr>
        <w:t xml:space="preserve"> Georgia is party to almost all major human rights and humanitarian law international treaties, as well as the Rome Statute. The legal reform process in line with these commitments is advanced and the Government </w:t>
      </w:r>
      <w:r>
        <w:rPr>
          <w:b w:val="0"/>
          <w:bCs w:val="0"/>
          <w:szCs w:val="22"/>
        </w:rPr>
        <w:t>has enacted IDP specific laws and policies. O</w:t>
      </w:r>
      <w:r w:rsidRPr="00CF52CF">
        <w:rPr>
          <w:b w:val="0"/>
          <w:bCs w:val="0"/>
          <w:szCs w:val="22"/>
        </w:rPr>
        <w:t>ver 200 legislative acts with provisions concerning IDPs have been adopted since 1992, demonstrating active policy concern with internally displaced persons.</w:t>
      </w:r>
      <w:r w:rsidRPr="00CF52CF">
        <w:rPr>
          <w:b w:val="0"/>
          <w:bCs w:val="0"/>
          <w:szCs w:val="22"/>
          <w:vertAlign w:val="superscript"/>
        </w:rPr>
        <w:footnoteReference w:id="29"/>
      </w:r>
      <w:r>
        <w:rPr>
          <w:b w:val="0"/>
          <w:bCs w:val="0"/>
          <w:szCs w:val="22"/>
        </w:rPr>
        <w:t xml:space="preserve"> The government is actively seeking opportunities for further improvement. </w:t>
      </w:r>
    </w:p>
    <w:p w14:paraId="03814726" w14:textId="77777777" w:rsidR="00707963" w:rsidRDefault="00707963" w:rsidP="00707963">
      <w:pPr>
        <w:spacing w:line="276" w:lineRule="auto"/>
      </w:pPr>
    </w:p>
    <w:p w14:paraId="62201D0F" w14:textId="223DAE91" w:rsidR="0055500F" w:rsidRDefault="00707963" w:rsidP="00C53B11">
      <w:pPr>
        <w:pStyle w:val="ListParagraph"/>
        <w:numPr>
          <w:ilvl w:val="0"/>
          <w:numId w:val="1"/>
        </w:numPr>
        <w:spacing w:after="0" w:line="276" w:lineRule="auto"/>
      </w:pPr>
      <w:r w:rsidRPr="000118C4">
        <w:rPr>
          <w:b/>
        </w:rPr>
        <w:t xml:space="preserve">The Georgian Law on </w:t>
      </w:r>
      <w:r w:rsidRPr="000118C4">
        <w:rPr>
          <w:b/>
          <w:bCs/>
        </w:rPr>
        <w:t xml:space="preserve">Internally Displaced Persons – Persecuted from the Occupied Territories of Georgia (the </w:t>
      </w:r>
      <w:r w:rsidRPr="000118C4">
        <w:rPr>
          <w:b/>
          <w:bCs/>
          <w:i/>
        </w:rPr>
        <w:t>Law on IDPs)</w:t>
      </w:r>
      <w:r w:rsidRPr="00A82D18">
        <w:rPr>
          <w:b/>
          <w:vertAlign w:val="superscript"/>
        </w:rPr>
        <w:footnoteReference w:id="30"/>
      </w:r>
      <w:r w:rsidRPr="000118C4">
        <w:rPr>
          <w:b/>
        </w:rPr>
        <w:t xml:space="preserve"> </w:t>
      </w:r>
      <w:r w:rsidRPr="00A82D18">
        <w:t>sets out the rights</w:t>
      </w:r>
      <w:r>
        <w:t xml:space="preserve"> of IDPs</w:t>
      </w:r>
      <w:r w:rsidRPr="00A82D18">
        <w:t xml:space="preserve"> and responsibilities of the Government of Georgia towards IDPs</w:t>
      </w:r>
      <w:r>
        <w:t xml:space="preserve">. </w:t>
      </w:r>
      <w:r w:rsidRPr="000118C4">
        <w:rPr>
          <w:bCs/>
        </w:rPr>
        <w:t>First adopted in 1996, it was later</w:t>
      </w:r>
      <w:r w:rsidRPr="00A82D18">
        <w:t xml:space="preserve"> amended in 2001, 2005, 2006, and most recently in 2014</w:t>
      </w:r>
      <w:r w:rsidRPr="000118C4">
        <w:rPr>
          <w:bCs/>
        </w:rPr>
        <w:t xml:space="preserve">. Under the </w:t>
      </w:r>
      <w:r w:rsidRPr="000118C4">
        <w:rPr>
          <w:bCs/>
          <w:i/>
        </w:rPr>
        <w:t xml:space="preserve">Law on IDPs, </w:t>
      </w:r>
      <w:r w:rsidRPr="000118C4">
        <w:rPr>
          <w:bCs/>
        </w:rPr>
        <w:t>internally dis</w:t>
      </w:r>
      <w:r w:rsidR="00FA59F6">
        <w:rPr>
          <w:bCs/>
        </w:rPr>
        <w:t xml:space="preserve">placed persons are entitled to </w:t>
      </w:r>
      <w:r w:rsidRPr="000118C4">
        <w:rPr>
          <w:bCs/>
        </w:rPr>
        <w:t>a monthly allowance</w:t>
      </w:r>
      <w:r w:rsidR="009876AC">
        <w:rPr>
          <w:bCs/>
        </w:rPr>
        <w:t xml:space="preserve"> and</w:t>
      </w:r>
      <w:r w:rsidRPr="000118C4">
        <w:rPr>
          <w:bCs/>
        </w:rPr>
        <w:t xml:space="preserve"> adequate housing</w:t>
      </w:r>
      <w:r w:rsidR="009876AC">
        <w:rPr>
          <w:bCs/>
        </w:rPr>
        <w:t xml:space="preserve">. As all Georgian citizens, they are also entitled to </w:t>
      </w:r>
      <w:r w:rsidRPr="000118C4">
        <w:rPr>
          <w:bCs/>
        </w:rPr>
        <w:t>free primary and secondary education, medical coverage under existing state programs, and assistance in finding temporary employment in accordance with their profession and qualifications.</w:t>
      </w:r>
      <w:r w:rsidRPr="000118C4">
        <w:rPr>
          <w:bCs/>
          <w:i/>
        </w:rPr>
        <w:t xml:space="preserve"> </w:t>
      </w:r>
      <w:r>
        <w:rPr>
          <w:bCs/>
        </w:rPr>
        <w:t>The law also protects IDPs from arbitrary evictions.</w:t>
      </w:r>
      <w:r>
        <w:rPr>
          <w:rStyle w:val="FootnoteReference"/>
          <w:bCs/>
        </w:rPr>
        <w:footnoteReference w:id="31"/>
      </w:r>
      <w:r>
        <w:rPr>
          <w:bCs/>
        </w:rPr>
        <w:t xml:space="preserve"> </w:t>
      </w:r>
    </w:p>
    <w:p w14:paraId="097D0363" w14:textId="335EAB46" w:rsidR="00F84C64" w:rsidRDefault="00F84C64" w:rsidP="00707963">
      <w:pPr>
        <w:spacing w:after="0" w:line="276" w:lineRule="auto"/>
      </w:pPr>
    </w:p>
    <w:p w14:paraId="2F3A27EB" w14:textId="77777777" w:rsidR="00707963" w:rsidRPr="00C43C1E" w:rsidRDefault="00707963" w:rsidP="00707963">
      <w:pPr>
        <w:pStyle w:val="ListParagraph"/>
        <w:numPr>
          <w:ilvl w:val="0"/>
          <w:numId w:val="1"/>
        </w:numPr>
        <w:tabs>
          <w:tab w:val="left" w:pos="360"/>
        </w:tabs>
        <w:spacing w:after="0" w:line="276" w:lineRule="auto"/>
        <w:rPr>
          <w:rFonts w:eastAsiaTheme="minorEastAsia" w:cs="Times New Roman"/>
        </w:rPr>
      </w:pPr>
      <w:r w:rsidRPr="00C43C1E">
        <w:rPr>
          <w:rFonts w:cs="Times New Roman"/>
          <w:b/>
        </w:rPr>
        <w:t>On March 1, 2014, several key amendments were made to the Law on Internally Displaced Persons</w:t>
      </w:r>
      <w:r w:rsidRPr="00C43C1E">
        <w:rPr>
          <w:rFonts w:cs="Times New Roman"/>
        </w:rPr>
        <w:t>:</w:t>
      </w:r>
      <w:r w:rsidRPr="00C43C1E">
        <w:rPr>
          <w:rFonts w:cs="Times New Roman"/>
          <w:vertAlign w:val="superscript"/>
        </w:rPr>
        <w:t xml:space="preserve"> </w:t>
      </w:r>
      <w:r w:rsidRPr="00C43C1E">
        <w:rPr>
          <w:rFonts w:cs="Times New Roman"/>
          <w:vertAlign w:val="superscript"/>
        </w:rPr>
        <w:footnoteReference w:id="32"/>
      </w:r>
    </w:p>
    <w:p w14:paraId="651A1E63" w14:textId="77777777" w:rsidR="00707963" w:rsidRPr="00C43C1E" w:rsidRDefault="00707963" w:rsidP="00707963">
      <w:pPr>
        <w:pStyle w:val="ListParagraph"/>
        <w:numPr>
          <w:ilvl w:val="0"/>
          <w:numId w:val="4"/>
        </w:numPr>
        <w:spacing w:after="0" w:line="276" w:lineRule="auto"/>
        <w:rPr>
          <w:rFonts w:eastAsia="Times New Roman" w:cs="Times New Roman"/>
        </w:rPr>
      </w:pPr>
      <w:r w:rsidRPr="00C43C1E">
        <w:rPr>
          <w:rFonts w:eastAsia="Times New Roman" w:cs="Times New Roman"/>
        </w:rPr>
        <w:t>Increase in IDP monthly allowance to GEL 45</w:t>
      </w:r>
      <w:r>
        <w:rPr>
          <w:rFonts w:eastAsia="Times New Roman" w:cs="Times New Roman"/>
        </w:rPr>
        <w:t>.</w:t>
      </w:r>
      <w:r>
        <w:rPr>
          <w:rStyle w:val="FootnoteReference"/>
        </w:rPr>
        <w:footnoteReference w:id="33"/>
      </w:r>
    </w:p>
    <w:p w14:paraId="360CA8C3" w14:textId="7E23E313" w:rsidR="00707963" w:rsidRPr="00C43C1E" w:rsidRDefault="00707963" w:rsidP="00707963">
      <w:pPr>
        <w:pStyle w:val="ListParagraph"/>
        <w:numPr>
          <w:ilvl w:val="0"/>
          <w:numId w:val="4"/>
        </w:numPr>
        <w:spacing w:after="0" w:line="276" w:lineRule="auto"/>
        <w:rPr>
          <w:rFonts w:eastAsia="Times New Roman" w:cs="Times New Roman"/>
        </w:rPr>
      </w:pPr>
      <w:r w:rsidRPr="00C43C1E">
        <w:rPr>
          <w:rFonts w:eastAsia="Times New Roman" w:cs="Times New Roman"/>
        </w:rPr>
        <w:t xml:space="preserve">Suspension of IDP allowance if the taxable income of an IDP amounts to 1,250 GEL </w:t>
      </w:r>
      <w:r w:rsidR="002C3E23">
        <w:rPr>
          <w:rFonts w:eastAsia="Times New Roman" w:cs="Times New Roman"/>
        </w:rPr>
        <w:t>or</w:t>
      </w:r>
      <w:r w:rsidR="002C3E23" w:rsidRPr="00C43C1E">
        <w:rPr>
          <w:rFonts w:eastAsia="Times New Roman" w:cs="Times New Roman"/>
        </w:rPr>
        <w:t xml:space="preserve"> </w:t>
      </w:r>
      <w:r w:rsidRPr="00C43C1E">
        <w:rPr>
          <w:rFonts w:eastAsia="Times New Roman" w:cs="Times New Roman"/>
        </w:rPr>
        <w:t xml:space="preserve">more. </w:t>
      </w:r>
    </w:p>
    <w:p w14:paraId="1EB310CA" w14:textId="77777777" w:rsidR="00707963" w:rsidRPr="00C43C1E" w:rsidRDefault="00707963" w:rsidP="00707963">
      <w:pPr>
        <w:pStyle w:val="ListParagraph"/>
        <w:numPr>
          <w:ilvl w:val="0"/>
          <w:numId w:val="4"/>
        </w:numPr>
        <w:spacing w:after="0" w:line="276" w:lineRule="auto"/>
        <w:rPr>
          <w:rFonts w:eastAsia="Times New Roman" w:cs="Times New Roman"/>
        </w:rPr>
      </w:pPr>
      <w:r w:rsidRPr="00C43C1E">
        <w:rPr>
          <w:rFonts w:eastAsia="Times New Roman" w:cs="Times New Roman"/>
        </w:rPr>
        <w:t>Equalization of housing allowance for IDPs and abolishing the differentiation between IDPs living in ‘compact’ and ‘private’ accommodation.</w:t>
      </w:r>
    </w:p>
    <w:p w14:paraId="5697E7F4" w14:textId="77777777" w:rsidR="00707963" w:rsidRPr="00C43C1E" w:rsidRDefault="00707963" w:rsidP="00707963">
      <w:pPr>
        <w:pStyle w:val="ListParagraph"/>
        <w:numPr>
          <w:ilvl w:val="0"/>
          <w:numId w:val="4"/>
        </w:numPr>
        <w:spacing w:after="0" w:line="276" w:lineRule="auto"/>
        <w:rPr>
          <w:rFonts w:eastAsia="Times New Roman" w:cs="Times New Roman"/>
        </w:rPr>
      </w:pPr>
      <w:r w:rsidRPr="00C43C1E">
        <w:rPr>
          <w:rFonts w:eastAsia="Times New Roman" w:cs="Times New Roman"/>
        </w:rPr>
        <w:t xml:space="preserve">Guaranteeing integration of IDPs into other parts of the country before returning to their places of permanent residence. </w:t>
      </w:r>
    </w:p>
    <w:p w14:paraId="1CAA5BED" w14:textId="77777777" w:rsidR="00707963" w:rsidRPr="00C43C1E" w:rsidRDefault="00707963" w:rsidP="00707963">
      <w:pPr>
        <w:pStyle w:val="ListParagraph"/>
        <w:numPr>
          <w:ilvl w:val="0"/>
          <w:numId w:val="4"/>
        </w:numPr>
        <w:spacing w:after="0" w:line="276" w:lineRule="auto"/>
        <w:rPr>
          <w:rFonts w:eastAsia="Times New Roman" w:cs="Times New Roman"/>
        </w:rPr>
      </w:pPr>
      <w:r w:rsidRPr="00C43C1E">
        <w:rPr>
          <w:rFonts w:eastAsia="Times New Roman" w:cs="Times New Roman"/>
        </w:rPr>
        <w:lastRenderedPageBreak/>
        <w:t>Full protection of IDPs from eviction in premises under their legal ownership.</w:t>
      </w:r>
    </w:p>
    <w:p w14:paraId="4E95563C" w14:textId="77777777" w:rsidR="00707963" w:rsidRPr="00C43C1E" w:rsidRDefault="00707963" w:rsidP="00707963">
      <w:pPr>
        <w:pStyle w:val="ListParagraph"/>
        <w:numPr>
          <w:ilvl w:val="0"/>
          <w:numId w:val="4"/>
        </w:numPr>
        <w:spacing w:after="0" w:line="276" w:lineRule="auto"/>
        <w:rPr>
          <w:rFonts w:eastAsia="Times New Roman" w:cs="Times New Roman"/>
        </w:rPr>
      </w:pPr>
      <w:r w:rsidRPr="00C43C1E">
        <w:rPr>
          <w:rFonts w:eastAsia="Times New Roman" w:cs="Times New Roman"/>
        </w:rPr>
        <w:t xml:space="preserve">Abolishing suspension of IDP allowance for IDPs who leave the country for more than two months, for business trips, study or medical treatment provided that they informed the Ministry prior to their travel. </w:t>
      </w:r>
    </w:p>
    <w:p w14:paraId="521A0C0B" w14:textId="77777777" w:rsidR="00707963" w:rsidRPr="00C43C1E" w:rsidRDefault="00707963" w:rsidP="00707963">
      <w:pPr>
        <w:pStyle w:val="ListParagraph"/>
        <w:numPr>
          <w:ilvl w:val="0"/>
          <w:numId w:val="4"/>
        </w:numPr>
        <w:spacing w:after="0" w:line="276" w:lineRule="auto"/>
        <w:rPr>
          <w:rFonts w:eastAsia="Times New Roman" w:cs="Times New Roman"/>
        </w:rPr>
      </w:pPr>
      <w:r w:rsidRPr="00C43C1E">
        <w:rPr>
          <w:rFonts w:eastAsia="Times New Roman" w:cs="Times New Roman"/>
        </w:rPr>
        <w:t xml:space="preserve">Simplification of registration for IDP status. </w:t>
      </w:r>
    </w:p>
    <w:p w14:paraId="3EB0EEDA" w14:textId="77777777" w:rsidR="00707963" w:rsidRPr="00C43C1E" w:rsidRDefault="00707963" w:rsidP="00707963">
      <w:pPr>
        <w:pStyle w:val="ListParagraph"/>
        <w:numPr>
          <w:ilvl w:val="0"/>
          <w:numId w:val="4"/>
        </w:numPr>
        <w:spacing w:after="0" w:line="276" w:lineRule="auto"/>
        <w:rPr>
          <w:rFonts w:eastAsia="Times New Roman" w:cs="Times New Roman"/>
        </w:rPr>
      </w:pPr>
      <w:r w:rsidRPr="00C43C1E">
        <w:rPr>
          <w:rFonts w:eastAsia="Times New Roman" w:cs="Times New Roman"/>
        </w:rPr>
        <w:t>Restitution of IDP property in the occupied territory and right to inheritance recognized.</w:t>
      </w:r>
    </w:p>
    <w:p w14:paraId="123D03BF" w14:textId="0345027C" w:rsidR="00831150" w:rsidRPr="00F84C64" w:rsidRDefault="00707963" w:rsidP="00F84C64">
      <w:pPr>
        <w:pStyle w:val="ListParagraph"/>
        <w:numPr>
          <w:ilvl w:val="0"/>
          <w:numId w:val="4"/>
        </w:numPr>
        <w:spacing w:after="0" w:line="276" w:lineRule="auto"/>
        <w:rPr>
          <w:rFonts w:eastAsia="Times New Roman" w:cs="Times New Roman"/>
        </w:rPr>
      </w:pPr>
      <w:r w:rsidRPr="00C43C1E">
        <w:rPr>
          <w:rFonts w:eastAsia="Times New Roman" w:cs="Times New Roman"/>
        </w:rPr>
        <w:t xml:space="preserve">Abolishing the exemption from the land taxes on agricultural land plots temporarily allocated to IDPs. </w:t>
      </w:r>
    </w:p>
    <w:p w14:paraId="49C5843D" w14:textId="77777777" w:rsidR="00831150" w:rsidRDefault="00831150" w:rsidP="00707963">
      <w:pPr>
        <w:pStyle w:val="ListParagraph"/>
      </w:pPr>
    </w:p>
    <w:p w14:paraId="79428164" w14:textId="772AFD11" w:rsidR="00707963" w:rsidRPr="002C5024" w:rsidRDefault="00707963" w:rsidP="002C5024">
      <w:pPr>
        <w:pStyle w:val="ListParagraph"/>
        <w:numPr>
          <w:ilvl w:val="0"/>
          <w:numId w:val="1"/>
        </w:numPr>
        <w:tabs>
          <w:tab w:val="left" w:pos="360"/>
        </w:tabs>
        <w:spacing w:after="0" w:line="276" w:lineRule="auto"/>
        <w:rPr>
          <w:rFonts w:eastAsiaTheme="minorEastAsia" w:cs="Times New Roman"/>
          <w:bCs/>
        </w:rPr>
      </w:pPr>
      <w:r w:rsidRPr="002B7144">
        <w:rPr>
          <w:b/>
        </w:rPr>
        <w:t xml:space="preserve">In 2007 the government </w:t>
      </w:r>
      <w:r w:rsidRPr="002B7144">
        <w:rPr>
          <w:rFonts w:eastAsiaTheme="minorEastAsia" w:cs="Times New Roman"/>
          <w:b/>
        </w:rPr>
        <w:t>endorsed the State Strategy for Internally Displaced Persons-Persecuted,</w:t>
      </w:r>
      <w:r w:rsidRPr="00D64E6E">
        <w:rPr>
          <w:b/>
          <w:vertAlign w:val="superscript"/>
        </w:rPr>
        <w:footnoteReference w:id="34"/>
      </w:r>
      <w:r w:rsidRPr="002B7144">
        <w:rPr>
          <w:rFonts w:eastAsiaTheme="minorEastAsia" w:cs="Times New Roman"/>
          <w:b/>
        </w:rPr>
        <w:t xml:space="preserve"> and subsequent action plan in 2009</w:t>
      </w:r>
      <w:r w:rsidRPr="00D64E6E">
        <w:rPr>
          <w:b/>
          <w:vertAlign w:val="superscript"/>
        </w:rPr>
        <w:footnoteReference w:id="35"/>
      </w:r>
      <w:r w:rsidRPr="002B7144">
        <w:rPr>
          <w:rFonts w:eastAsiaTheme="minorEastAsia" w:cs="Times New Roman"/>
          <w:b/>
        </w:rPr>
        <w:t xml:space="preserve"> that was adapted and </w:t>
      </w:r>
      <w:r w:rsidR="00BA6F49">
        <w:rPr>
          <w:rFonts w:eastAsiaTheme="minorEastAsia" w:cs="Times New Roman"/>
          <w:b/>
        </w:rPr>
        <w:t xml:space="preserve">updated </w:t>
      </w:r>
      <w:r w:rsidRPr="002B7144">
        <w:rPr>
          <w:rFonts w:eastAsiaTheme="minorEastAsia" w:cs="Times New Roman"/>
          <w:b/>
        </w:rPr>
        <w:t>again in 2012</w:t>
      </w:r>
      <w:r w:rsidR="00BA6F49">
        <w:rPr>
          <w:rFonts w:eastAsiaTheme="minorEastAsia" w:cs="Times New Roman"/>
          <w:b/>
        </w:rPr>
        <w:t xml:space="preserve"> and 2013</w:t>
      </w:r>
      <w:r w:rsidRPr="002B7144">
        <w:rPr>
          <w:rFonts w:eastAsiaTheme="minorEastAsia" w:cs="Times New Roman"/>
          <w:b/>
        </w:rPr>
        <w:t>.</w:t>
      </w:r>
      <w:r w:rsidRPr="00D64E6E">
        <w:rPr>
          <w:b/>
          <w:vertAlign w:val="superscript"/>
        </w:rPr>
        <w:footnoteReference w:id="36"/>
      </w:r>
      <w:r w:rsidRPr="002B7144">
        <w:rPr>
          <w:rFonts w:eastAsiaTheme="minorEastAsia" w:cs="Times New Roman"/>
        </w:rPr>
        <w:t xml:space="preserve"> </w:t>
      </w:r>
      <w:r>
        <w:rPr>
          <w:rFonts w:eastAsiaTheme="minorEastAsia" w:cs="Times New Roman"/>
        </w:rPr>
        <w:t xml:space="preserve">This Strategy signaled an important shift </w:t>
      </w:r>
      <w:r w:rsidR="002C5024">
        <w:rPr>
          <w:rFonts w:eastAsiaTheme="minorEastAsia" w:cs="Times New Roman"/>
        </w:rPr>
        <w:t xml:space="preserve">in Government policy </w:t>
      </w:r>
      <w:r>
        <w:rPr>
          <w:rFonts w:eastAsiaTheme="minorEastAsia" w:cs="Times New Roman"/>
        </w:rPr>
        <w:t xml:space="preserve">from temporary assistance to a focus on providing longer term opportunities for integration. </w:t>
      </w:r>
      <w:r w:rsidR="0028461D">
        <w:rPr>
          <w:rFonts w:eastAsiaTheme="minorEastAsia" w:cs="Times New Roman"/>
        </w:rPr>
        <w:t>In addition to creating conditions for safe and dignified return, t</w:t>
      </w:r>
      <w:r w:rsidRPr="002B7144">
        <w:rPr>
          <w:rFonts w:eastAsiaTheme="minorEastAsia" w:cs="Times New Roman"/>
        </w:rPr>
        <w:t>h</w:t>
      </w:r>
      <w:r w:rsidR="00BA6F49">
        <w:rPr>
          <w:rFonts w:eastAsiaTheme="minorEastAsia" w:cs="Times New Roman"/>
        </w:rPr>
        <w:t>e current Action Plan on IDPs</w:t>
      </w:r>
      <w:r w:rsidRPr="002B7144">
        <w:rPr>
          <w:rFonts w:eastAsiaTheme="minorEastAsia" w:cs="Times New Roman"/>
        </w:rPr>
        <w:t xml:space="preserve">  sets </w:t>
      </w:r>
      <w:r w:rsidR="00BA6F49">
        <w:rPr>
          <w:rFonts w:eastAsiaTheme="minorEastAsia" w:cs="Times New Roman"/>
        </w:rPr>
        <w:t>three</w:t>
      </w:r>
      <w:r w:rsidR="00BB0CC7" w:rsidRPr="002B7144">
        <w:rPr>
          <w:rFonts w:eastAsiaTheme="minorEastAsia" w:cs="Times New Roman"/>
        </w:rPr>
        <w:t xml:space="preserve"> </w:t>
      </w:r>
      <w:r w:rsidRPr="002B7144">
        <w:rPr>
          <w:rFonts w:eastAsiaTheme="minorEastAsia" w:cs="Times New Roman"/>
        </w:rPr>
        <w:t xml:space="preserve">main goals for the state: </w:t>
      </w:r>
      <w:r w:rsidR="0028461D">
        <w:rPr>
          <w:rFonts w:eastAsiaTheme="minorEastAsia" w:cs="Times New Roman"/>
        </w:rPr>
        <w:t xml:space="preserve">(i) </w:t>
      </w:r>
      <w:r w:rsidRPr="002B7144">
        <w:rPr>
          <w:rFonts w:eastAsiaTheme="minorEastAsia" w:cs="Times New Roman"/>
        </w:rPr>
        <w:t>to support d</w:t>
      </w:r>
      <w:r w:rsidR="0028461D">
        <w:rPr>
          <w:rFonts w:eastAsiaTheme="minorEastAsia" w:cs="Times New Roman"/>
        </w:rPr>
        <w:t>urable</w:t>
      </w:r>
      <w:r w:rsidRPr="002B7144">
        <w:rPr>
          <w:rFonts w:eastAsiaTheme="minorEastAsia" w:cs="Times New Roman"/>
        </w:rPr>
        <w:t xml:space="preserve"> </w:t>
      </w:r>
      <w:r w:rsidR="0028461D">
        <w:rPr>
          <w:rFonts w:eastAsiaTheme="minorEastAsia" w:cs="Times New Roman"/>
        </w:rPr>
        <w:t>housing solutions; (ii) to improve livelihoods and socio-economic integration; and (iii)</w:t>
      </w:r>
      <w:r w:rsidR="00BB0CC7">
        <w:rPr>
          <w:rFonts w:eastAsiaTheme="minorEastAsia" w:cs="Times New Roman"/>
        </w:rPr>
        <w:t xml:space="preserve"> to raise the awareness of IDPs about available services</w:t>
      </w:r>
      <w:r w:rsidRPr="00F85A74">
        <w:rPr>
          <w:rFonts w:eastAsiaTheme="minorEastAsia" w:cs="Times New Roman"/>
        </w:rPr>
        <w:t>.</w:t>
      </w:r>
      <w:r w:rsidRPr="00C675B8">
        <w:rPr>
          <w:rFonts w:eastAsiaTheme="minorEastAsia" w:cs="Times New Roman"/>
          <w:b/>
        </w:rPr>
        <w:t xml:space="preserve"> </w:t>
      </w:r>
    </w:p>
    <w:p w14:paraId="076ACAB3" w14:textId="77777777" w:rsidR="00707963" w:rsidRPr="00C43C1E" w:rsidRDefault="00707963" w:rsidP="00707963">
      <w:pPr>
        <w:pStyle w:val="ListParagraph"/>
        <w:spacing w:line="276" w:lineRule="auto"/>
        <w:rPr>
          <w:rFonts w:eastAsiaTheme="minorEastAsia" w:cs="Times New Roman"/>
        </w:rPr>
      </w:pPr>
    </w:p>
    <w:p w14:paraId="131A4BD5" w14:textId="473B7A40" w:rsidR="006E1430" w:rsidRPr="0036006E" w:rsidRDefault="00707963" w:rsidP="0036006E">
      <w:pPr>
        <w:pStyle w:val="ListParagraph"/>
        <w:numPr>
          <w:ilvl w:val="0"/>
          <w:numId w:val="1"/>
        </w:numPr>
        <w:tabs>
          <w:tab w:val="left" w:pos="360"/>
        </w:tabs>
        <w:spacing w:after="0" w:line="276" w:lineRule="auto"/>
        <w:rPr>
          <w:rFonts w:eastAsiaTheme="minorEastAsia" w:cs="Times New Roman"/>
          <w:b/>
        </w:rPr>
      </w:pPr>
      <w:r w:rsidRPr="006E1430">
        <w:rPr>
          <w:rFonts w:eastAsiaTheme="minorEastAsia" w:cs="Times New Roman"/>
          <w:b/>
        </w:rPr>
        <w:t xml:space="preserve">The </w:t>
      </w:r>
      <w:r w:rsidR="002C5024" w:rsidRPr="006E1430">
        <w:rPr>
          <w:rFonts w:eastAsiaTheme="minorEastAsia" w:cs="Times New Roman"/>
          <w:b/>
        </w:rPr>
        <w:t xml:space="preserve">subsequent </w:t>
      </w:r>
      <w:r w:rsidRPr="006E1430">
        <w:rPr>
          <w:rFonts w:eastAsiaTheme="minorEastAsia" w:cs="Times New Roman"/>
          <w:b/>
        </w:rPr>
        <w:t>Action Plan</w:t>
      </w:r>
      <w:r w:rsidR="002C5024" w:rsidRPr="006E1430">
        <w:rPr>
          <w:rFonts w:eastAsiaTheme="minorEastAsia" w:cs="Times New Roman"/>
          <w:b/>
        </w:rPr>
        <w:t>s</w:t>
      </w:r>
      <w:r w:rsidRPr="006E1430">
        <w:rPr>
          <w:rFonts w:eastAsiaTheme="minorEastAsia" w:cs="Times New Roman"/>
          <w:b/>
        </w:rPr>
        <w:t xml:space="preserve"> for the Implementation of the State Strategy on IDPs (2009-2012 and 2012-2014) envisages the resolution of IDP housing problems</w:t>
      </w:r>
      <w:r w:rsidR="006E1430" w:rsidRPr="006E1430">
        <w:rPr>
          <w:rFonts w:eastAsiaTheme="minorEastAsia" w:cs="Times New Roman"/>
          <w:b/>
        </w:rPr>
        <w:t xml:space="preserve">. </w:t>
      </w:r>
      <w:r w:rsidRPr="006E1430">
        <w:rPr>
          <w:rFonts w:eastAsiaTheme="minorEastAsia" w:cs="Times New Roman"/>
          <w:b/>
        </w:rPr>
        <w:t xml:space="preserve"> </w:t>
      </w:r>
      <w:r w:rsidR="006E1430" w:rsidRPr="006E1430">
        <w:rPr>
          <w:rFonts w:eastAsiaTheme="minorEastAsia" w:cs="Times New Roman"/>
        </w:rPr>
        <w:t xml:space="preserve">Quality of housing and living conditions, as well as lack </w:t>
      </w:r>
      <w:r w:rsidR="002C3E23">
        <w:rPr>
          <w:rFonts w:eastAsiaTheme="minorEastAsia" w:cs="Times New Roman"/>
        </w:rPr>
        <w:t xml:space="preserve">of </w:t>
      </w:r>
      <w:r w:rsidR="002C3E23" w:rsidRPr="006E1430">
        <w:rPr>
          <w:rFonts w:eastAsiaTheme="minorEastAsia" w:cs="Times New Roman"/>
        </w:rPr>
        <w:t>secur</w:t>
      </w:r>
      <w:r w:rsidR="002C3E23">
        <w:rPr>
          <w:rFonts w:eastAsiaTheme="minorEastAsia" w:cs="Times New Roman"/>
        </w:rPr>
        <w:t>e</w:t>
      </w:r>
      <w:r w:rsidR="002C3E23" w:rsidRPr="006E1430">
        <w:rPr>
          <w:rFonts w:eastAsiaTheme="minorEastAsia" w:cs="Times New Roman"/>
        </w:rPr>
        <w:t xml:space="preserve"> </w:t>
      </w:r>
      <w:r w:rsidR="006E1430" w:rsidRPr="006E1430">
        <w:rPr>
          <w:rFonts w:eastAsiaTheme="minorEastAsia" w:cs="Times New Roman"/>
        </w:rPr>
        <w:t>housing tenure have been two of the primary challenges for IDP integration. In this context, reduci</w:t>
      </w:r>
      <w:r w:rsidRPr="006E1430">
        <w:rPr>
          <w:rFonts w:eastAsiaTheme="minorEastAsia" w:cs="Times New Roman"/>
        </w:rPr>
        <w:t>n</w:t>
      </w:r>
      <w:r w:rsidR="006E1430" w:rsidRPr="006E1430">
        <w:rPr>
          <w:rFonts w:eastAsiaTheme="minorEastAsia" w:cs="Times New Roman"/>
        </w:rPr>
        <w:t xml:space="preserve">g </w:t>
      </w:r>
      <w:r w:rsidRPr="006E1430">
        <w:rPr>
          <w:rFonts w:eastAsiaTheme="minorEastAsia" w:cs="Times New Roman"/>
        </w:rPr>
        <w:t>IDPs</w:t>
      </w:r>
      <w:r w:rsidR="002C3E23">
        <w:rPr>
          <w:rFonts w:eastAsiaTheme="minorEastAsia" w:cs="Times New Roman"/>
        </w:rPr>
        <w:t>’</w:t>
      </w:r>
      <w:r w:rsidRPr="006E1430">
        <w:rPr>
          <w:rFonts w:eastAsiaTheme="minorEastAsia" w:cs="Times New Roman"/>
        </w:rPr>
        <w:t xml:space="preserve"> dependency </w:t>
      </w:r>
      <w:r w:rsidR="006E1430" w:rsidRPr="006E1430">
        <w:rPr>
          <w:rFonts w:eastAsiaTheme="minorEastAsia" w:cs="Times New Roman"/>
        </w:rPr>
        <w:t>on the State and accommodating</w:t>
      </w:r>
      <w:r w:rsidRPr="006E1430">
        <w:rPr>
          <w:rFonts w:eastAsiaTheme="minorEastAsia" w:cs="Times New Roman"/>
        </w:rPr>
        <w:t xml:space="preserve"> </w:t>
      </w:r>
      <w:r w:rsidR="006E1430" w:rsidRPr="006E1430">
        <w:rPr>
          <w:rFonts w:eastAsiaTheme="minorEastAsia" w:cs="Times New Roman"/>
        </w:rPr>
        <w:t xml:space="preserve">their longer-term </w:t>
      </w:r>
      <w:r w:rsidRPr="006E1430">
        <w:rPr>
          <w:rFonts w:eastAsiaTheme="minorEastAsia" w:cs="Times New Roman"/>
        </w:rPr>
        <w:t xml:space="preserve">needs </w:t>
      </w:r>
      <w:r w:rsidR="006E1430" w:rsidRPr="006E1430">
        <w:rPr>
          <w:rFonts w:eastAsiaTheme="minorEastAsia" w:cs="Times New Roman"/>
        </w:rPr>
        <w:t xml:space="preserve">has triggered more efforts on providing housing solutions. </w:t>
      </w:r>
      <w:r w:rsidR="006E1430">
        <w:rPr>
          <w:rFonts w:eastAsiaTheme="minorEastAsia" w:cs="Times New Roman"/>
        </w:rPr>
        <w:t>The issue of housing is particularly prominent for</w:t>
      </w:r>
      <w:r w:rsidR="006E1430" w:rsidRPr="006E1430">
        <w:rPr>
          <w:rFonts w:eastAsiaTheme="minorEastAsia" w:cs="Times New Roman"/>
        </w:rPr>
        <w:t xml:space="preserve"> old case load IDPs</w:t>
      </w:r>
      <w:r w:rsidR="00A35BC0">
        <w:rPr>
          <w:rFonts w:eastAsiaTheme="minorEastAsia" w:cs="Times New Roman"/>
        </w:rPr>
        <w:t>,</w:t>
      </w:r>
      <w:r w:rsidR="006E1430" w:rsidRPr="006E1430">
        <w:rPr>
          <w:rFonts w:eastAsiaTheme="minorEastAsia" w:cs="Times New Roman"/>
        </w:rPr>
        <w:t xml:space="preserve"> many of whom still reside in collective centers.  </w:t>
      </w:r>
    </w:p>
    <w:p w14:paraId="2A8AAD6A" w14:textId="77777777" w:rsidR="00C5296D" w:rsidRPr="00C5296D" w:rsidRDefault="00C5296D" w:rsidP="001D19B2">
      <w:pPr>
        <w:spacing w:after="0" w:line="276" w:lineRule="auto"/>
      </w:pPr>
    </w:p>
    <w:p w14:paraId="18CE42BF" w14:textId="34C9BB96" w:rsidR="00723DBF" w:rsidRDefault="00723DBF" w:rsidP="00C43C1E">
      <w:pPr>
        <w:pStyle w:val="ListParagraph"/>
        <w:numPr>
          <w:ilvl w:val="0"/>
          <w:numId w:val="1"/>
        </w:numPr>
        <w:spacing w:after="0" w:line="276" w:lineRule="auto"/>
      </w:pPr>
      <w:r w:rsidRPr="00723DBF">
        <w:rPr>
          <w:b/>
        </w:rPr>
        <w:t>While the IDP policy framework is strong, policy implementation has been challenging</w:t>
      </w:r>
      <w:r>
        <w:t>.</w:t>
      </w:r>
      <w:r w:rsidR="00AB29DF">
        <w:t xml:space="preserve"> </w:t>
      </w:r>
      <w:r w:rsidR="00C170FA">
        <w:t>On the one hand, limited resources have prevented provision of faster and more adequate housing support. On the other hand, inter-agency c</w:t>
      </w:r>
      <w:r w:rsidR="00AB29DF">
        <w:t xml:space="preserve">oordination and institutional capacity </w:t>
      </w:r>
      <w:r w:rsidR="00C170FA">
        <w:t xml:space="preserve">to provide services for IDPs </w:t>
      </w:r>
      <w:r w:rsidR="00AB29DF">
        <w:t>at</w:t>
      </w:r>
      <w:r w:rsidR="00C5296D">
        <w:t xml:space="preserve"> the</w:t>
      </w:r>
      <w:r w:rsidR="00AB29DF">
        <w:t xml:space="preserve"> </w:t>
      </w:r>
      <w:r w:rsidR="00AB29DF" w:rsidRPr="00C5296D">
        <w:rPr>
          <w:i/>
        </w:rPr>
        <w:t>local level</w:t>
      </w:r>
      <w:r w:rsidR="00AB29DF">
        <w:t xml:space="preserve"> needs to be strengthened</w:t>
      </w:r>
      <w:r w:rsidR="00C5296D">
        <w:t xml:space="preserve"> to correspond</w:t>
      </w:r>
      <w:r w:rsidR="00120921">
        <w:t xml:space="preserve"> to the commitments made in national legislation and </w:t>
      </w:r>
      <w:r w:rsidR="00C5296D">
        <w:t>the national Government’s</w:t>
      </w:r>
      <w:r w:rsidR="00120921">
        <w:t xml:space="preserve"> Strategy on IDPs. </w:t>
      </w:r>
      <w:r w:rsidR="00AB29DF">
        <w:t xml:space="preserve"> </w:t>
      </w:r>
      <w:r w:rsidR="00C170FA">
        <w:t>The MRA bears responsibility for IDP policy</w:t>
      </w:r>
      <w:r w:rsidR="00BE02B5">
        <w:t xml:space="preserve"> and its implementation. H</w:t>
      </w:r>
      <w:r w:rsidR="00C170FA">
        <w:t>owever</w:t>
      </w:r>
      <w:r w:rsidR="00BE02B5">
        <w:t>,</w:t>
      </w:r>
      <w:r w:rsidR="00C170FA">
        <w:t xml:space="preserve"> at the local level </w:t>
      </w:r>
      <w:r w:rsidR="00BE02B5">
        <w:t>the success of IDP policy implementation also relies strongly on coordination among other service agencies</w:t>
      </w:r>
      <w:r w:rsidR="00A35BC0">
        <w:t>,</w:t>
      </w:r>
      <w:r w:rsidR="00BE02B5">
        <w:t xml:space="preserve"> including education, health, employment and social services.  </w:t>
      </w:r>
    </w:p>
    <w:p w14:paraId="020EA99A" w14:textId="77777777" w:rsidR="00723DBF" w:rsidRDefault="00723DBF" w:rsidP="00723DBF">
      <w:pPr>
        <w:pStyle w:val="ListParagraph"/>
        <w:spacing w:after="0" w:line="276" w:lineRule="auto"/>
        <w:ind w:left="360"/>
      </w:pPr>
    </w:p>
    <w:p w14:paraId="20B45978" w14:textId="1E902C48" w:rsidR="00960899" w:rsidRDefault="00960899" w:rsidP="00723DBF">
      <w:pPr>
        <w:pStyle w:val="ListParagraph"/>
        <w:spacing w:after="0" w:line="276" w:lineRule="auto"/>
        <w:ind w:left="360"/>
        <w:rPr>
          <w:highlight w:val="yellow"/>
        </w:rPr>
      </w:pPr>
      <w:r>
        <w:rPr>
          <w:noProof/>
        </w:rPr>
        <w:lastRenderedPageBreak/>
        <mc:AlternateContent>
          <mc:Choice Requires="wps">
            <w:drawing>
              <wp:anchor distT="0" distB="0" distL="114300" distR="114300" simplePos="0" relativeHeight="251666432" behindDoc="0" locked="0" layoutInCell="1" allowOverlap="1" wp14:anchorId="1BFF816D" wp14:editId="34150013">
                <wp:simplePos x="0" y="0"/>
                <wp:positionH relativeFrom="column">
                  <wp:posOffset>0</wp:posOffset>
                </wp:positionH>
                <wp:positionV relativeFrom="paragraph">
                  <wp:posOffset>200025</wp:posOffset>
                </wp:positionV>
                <wp:extent cx="1828800" cy="182880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14:paraId="41D912C1" w14:textId="77777777" w:rsidR="00960899" w:rsidRPr="004719B8" w:rsidRDefault="00960899" w:rsidP="00960899">
                            <w:pPr>
                              <w:rPr>
                                <w:rFonts w:ascii="Times New Roman" w:hAnsi="Times New Roman" w:cs="Times New Roman"/>
                                <w:b/>
                                <w:sz w:val="20"/>
                                <w:szCs w:val="20"/>
                              </w:rPr>
                            </w:pPr>
                            <w:r w:rsidRPr="004719B8">
                              <w:rPr>
                                <w:rFonts w:ascii="Times New Roman" w:hAnsi="Times New Roman" w:cs="Times New Roman"/>
                                <w:b/>
                                <w:sz w:val="20"/>
                                <w:szCs w:val="20"/>
                              </w:rPr>
                              <w:t>Internal displacement in a global perspective</w:t>
                            </w:r>
                          </w:p>
                          <w:p w14:paraId="3FB15EDD" w14:textId="099E89C1" w:rsidR="00960899" w:rsidRPr="004719B8" w:rsidRDefault="00960899" w:rsidP="00960899">
                            <w:pPr>
                              <w:rPr>
                                <w:rFonts w:ascii="Times New Roman" w:hAnsi="Times New Roman" w:cs="Times New Roman"/>
                                <w:sz w:val="20"/>
                                <w:szCs w:val="20"/>
                              </w:rPr>
                            </w:pPr>
                            <w:r w:rsidRPr="004719B8">
                              <w:rPr>
                                <w:rFonts w:ascii="Times New Roman" w:hAnsi="Times New Roman" w:cs="Times New Roman"/>
                                <w:sz w:val="20"/>
                                <w:szCs w:val="20"/>
                              </w:rPr>
                              <w:t xml:space="preserve">Forced displacement is </w:t>
                            </w:r>
                            <w:r>
                              <w:rPr>
                                <w:rFonts w:ascii="Times New Roman" w:hAnsi="Times New Roman" w:cs="Times New Roman"/>
                                <w:sz w:val="20"/>
                                <w:szCs w:val="20"/>
                              </w:rPr>
                              <w:t xml:space="preserve">an </w:t>
                            </w:r>
                            <w:r w:rsidRPr="004719B8">
                              <w:rPr>
                                <w:rFonts w:ascii="Times New Roman" w:hAnsi="Times New Roman" w:cs="Times New Roman"/>
                                <w:sz w:val="20"/>
                                <w:szCs w:val="20"/>
                              </w:rPr>
                              <w:t xml:space="preserve">increasingly </w:t>
                            </w:r>
                            <w:r>
                              <w:rPr>
                                <w:rFonts w:ascii="Times New Roman" w:hAnsi="Times New Roman" w:cs="Times New Roman"/>
                                <w:sz w:val="20"/>
                                <w:szCs w:val="20"/>
                              </w:rPr>
                              <w:t>significant</w:t>
                            </w:r>
                            <w:r w:rsidRPr="004719B8">
                              <w:rPr>
                                <w:rFonts w:ascii="Times New Roman" w:hAnsi="Times New Roman" w:cs="Times New Roman"/>
                                <w:sz w:val="20"/>
                                <w:szCs w:val="20"/>
                              </w:rPr>
                              <w:t xml:space="preserve"> global development challenge. </w:t>
                            </w:r>
                            <w:r>
                              <w:rPr>
                                <w:rFonts w:ascii="Times New Roman" w:hAnsi="Times New Roman" w:cs="Times New Roman"/>
                                <w:sz w:val="20"/>
                                <w:szCs w:val="20"/>
                              </w:rPr>
                              <w:t>At</w:t>
                            </w:r>
                            <w:r w:rsidRPr="004719B8">
                              <w:rPr>
                                <w:rFonts w:ascii="Times New Roman" w:hAnsi="Times New Roman" w:cs="Times New Roman"/>
                                <w:sz w:val="20"/>
                                <w:szCs w:val="20"/>
                              </w:rPr>
                              <w:t xml:space="preserve"> the end of 2008</w:t>
                            </w:r>
                            <w:r>
                              <w:rPr>
                                <w:rFonts w:ascii="Times New Roman" w:hAnsi="Times New Roman" w:cs="Times New Roman"/>
                                <w:sz w:val="20"/>
                                <w:szCs w:val="20"/>
                              </w:rPr>
                              <w:t>,</w:t>
                            </w:r>
                            <w:r w:rsidRPr="004719B8">
                              <w:rPr>
                                <w:rFonts w:ascii="Times New Roman" w:hAnsi="Times New Roman" w:cs="Times New Roman"/>
                                <w:sz w:val="20"/>
                                <w:szCs w:val="20"/>
                              </w:rPr>
                              <w:t xml:space="preserve"> some 26 million people around the worl</w:t>
                            </w:r>
                            <w:r>
                              <w:rPr>
                                <w:rFonts w:ascii="Times New Roman" w:hAnsi="Times New Roman" w:cs="Times New Roman"/>
                                <w:sz w:val="20"/>
                                <w:szCs w:val="20"/>
                              </w:rPr>
                              <w:t>d were displaced</w:t>
                            </w:r>
                            <w:r w:rsidRPr="004719B8">
                              <w:rPr>
                                <w:rFonts w:ascii="Times New Roman" w:hAnsi="Times New Roman" w:cs="Times New Roman"/>
                                <w:sz w:val="20"/>
                                <w:szCs w:val="20"/>
                              </w:rPr>
                              <w:t xml:space="preserve"> within the borders of their </w:t>
                            </w:r>
                            <w:r>
                              <w:rPr>
                                <w:rFonts w:ascii="Times New Roman" w:hAnsi="Times New Roman" w:cs="Times New Roman"/>
                                <w:sz w:val="20"/>
                                <w:szCs w:val="20"/>
                              </w:rPr>
                              <w:t xml:space="preserve">home </w:t>
                            </w:r>
                            <w:r w:rsidRPr="004719B8">
                              <w:rPr>
                                <w:rFonts w:ascii="Times New Roman" w:hAnsi="Times New Roman" w:cs="Times New Roman"/>
                                <w:sz w:val="20"/>
                                <w:szCs w:val="20"/>
                              </w:rPr>
                              <w:t xml:space="preserve">country. </w:t>
                            </w:r>
                            <w:r>
                              <w:rPr>
                                <w:rFonts w:ascii="Times New Roman" w:hAnsi="Times New Roman" w:cs="Times New Roman"/>
                                <w:sz w:val="20"/>
                                <w:szCs w:val="20"/>
                              </w:rPr>
                              <w:t>In</w:t>
                            </w:r>
                            <w:r w:rsidRPr="004719B8">
                              <w:rPr>
                                <w:rFonts w:ascii="Times New Roman" w:hAnsi="Times New Roman" w:cs="Times New Roman"/>
                                <w:sz w:val="20"/>
                                <w:szCs w:val="20"/>
                              </w:rPr>
                              <w:t xml:space="preserve"> 2008 </w:t>
                            </w:r>
                            <w:r>
                              <w:rPr>
                                <w:rFonts w:ascii="Times New Roman" w:hAnsi="Times New Roman" w:cs="Times New Roman"/>
                                <w:sz w:val="20"/>
                                <w:szCs w:val="20"/>
                              </w:rPr>
                              <w:t xml:space="preserve">alone, </w:t>
                            </w:r>
                            <w:r w:rsidRPr="004719B8">
                              <w:rPr>
                                <w:rFonts w:ascii="Times New Roman" w:hAnsi="Times New Roman" w:cs="Times New Roman"/>
                                <w:sz w:val="20"/>
                                <w:szCs w:val="20"/>
                              </w:rPr>
                              <w:t>so</w:t>
                            </w:r>
                            <w:r>
                              <w:rPr>
                                <w:rFonts w:ascii="Times New Roman" w:hAnsi="Times New Roman" w:cs="Times New Roman"/>
                                <w:sz w:val="20"/>
                                <w:szCs w:val="20"/>
                              </w:rPr>
                              <w:t>me 4.6 million persons were</w:t>
                            </w:r>
                            <w:r w:rsidRPr="004719B8">
                              <w:rPr>
                                <w:rFonts w:ascii="Times New Roman" w:hAnsi="Times New Roman" w:cs="Times New Roman"/>
                                <w:sz w:val="20"/>
                                <w:szCs w:val="20"/>
                              </w:rPr>
                              <w:t xml:space="preserve"> </w:t>
                            </w:r>
                            <w:r>
                              <w:rPr>
                                <w:rFonts w:ascii="Times New Roman" w:hAnsi="Times New Roman" w:cs="Times New Roman"/>
                                <w:sz w:val="20"/>
                                <w:szCs w:val="20"/>
                              </w:rPr>
                              <w:t>displaced</w:t>
                            </w:r>
                            <w:r w:rsidRPr="004719B8">
                              <w:rPr>
                                <w:rFonts w:ascii="Times New Roman" w:hAnsi="Times New Roman" w:cs="Times New Roman"/>
                                <w:sz w:val="20"/>
                                <w:szCs w:val="20"/>
                              </w:rPr>
                              <w:t xml:space="preserve"> due to conflict, violence or human rights violations, and more than 35 million pers</w:t>
                            </w:r>
                            <w:r>
                              <w:rPr>
                                <w:rFonts w:ascii="Times New Roman" w:hAnsi="Times New Roman" w:cs="Times New Roman"/>
                                <w:sz w:val="20"/>
                                <w:szCs w:val="20"/>
                              </w:rPr>
                              <w:t>ons were</w:t>
                            </w:r>
                            <w:r w:rsidRPr="004719B8">
                              <w:rPr>
                                <w:rFonts w:ascii="Times New Roman" w:hAnsi="Times New Roman" w:cs="Times New Roman"/>
                                <w:sz w:val="20"/>
                                <w:szCs w:val="20"/>
                              </w:rPr>
                              <w:t xml:space="preserve"> displaced by natural disasters.</w:t>
                            </w:r>
                          </w:p>
                          <w:p w14:paraId="12911B94" w14:textId="77777777" w:rsidR="00960899" w:rsidRPr="004719B8" w:rsidRDefault="00960899" w:rsidP="00960899">
                            <w:pPr>
                              <w:rPr>
                                <w:rFonts w:ascii="Times New Roman" w:hAnsi="Times New Roman" w:cs="Times New Roman"/>
                                <w:sz w:val="20"/>
                                <w:szCs w:val="20"/>
                              </w:rPr>
                            </w:pPr>
                            <w:r w:rsidRPr="004719B8">
                              <w:rPr>
                                <w:rFonts w:ascii="Times New Roman" w:hAnsi="Times New Roman" w:cs="Times New Roman"/>
                                <w:sz w:val="20"/>
                                <w:szCs w:val="20"/>
                              </w:rPr>
                              <w:t xml:space="preserve">The Brookings-Bern project report on </w:t>
                            </w:r>
                            <w:r w:rsidRPr="004719B8">
                              <w:rPr>
                                <w:rFonts w:ascii="Times New Roman" w:hAnsi="Times New Roman" w:cs="Times New Roman"/>
                                <w:i/>
                                <w:sz w:val="20"/>
                                <w:szCs w:val="20"/>
                              </w:rPr>
                              <w:t>Addressing Internal Displacement: A Framework for National Responsibility</w:t>
                            </w:r>
                            <w:r w:rsidRPr="004719B8">
                              <w:rPr>
                                <w:rFonts w:ascii="Times New Roman" w:hAnsi="Times New Roman" w:cs="Times New Roman"/>
                                <w:sz w:val="20"/>
                                <w:szCs w:val="20"/>
                              </w:rPr>
                              <w:t xml:space="preserve"> identified 12 key steps that governments should take to address needs of I</w:t>
                            </w:r>
                            <w:r>
                              <w:rPr>
                                <w:rFonts w:ascii="Times New Roman" w:hAnsi="Times New Roman" w:cs="Times New Roman"/>
                                <w:sz w:val="20"/>
                                <w:szCs w:val="20"/>
                              </w:rPr>
                              <w:t>DPs. One of the key steps is</w:t>
                            </w:r>
                            <w:r w:rsidRPr="004719B8">
                              <w:rPr>
                                <w:rFonts w:ascii="Times New Roman" w:hAnsi="Times New Roman" w:cs="Times New Roman"/>
                                <w:sz w:val="20"/>
                                <w:szCs w:val="20"/>
                              </w:rPr>
                              <w:t xml:space="preserve"> the adoption of IDP-specific laws and policies and incorporating the rights of IDPs into domestic laws in accordance with the UN Guiding Principles. Georgia is one of fourteen countries that have adopted IDP-specific laws or policies.</w:t>
                            </w:r>
                            <w:r>
                              <w:rPr>
                                <w:rFonts w:ascii="Times New Roman" w:hAnsi="Times New Roman" w:cs="Times New Roman"/>
                                <w:sz w:val="20"/>
                                <w:szCs w:val="20"/>
                              </w:rPr>
                              <w:t xml:space="preserve"> Georgia has made progress on all twelve steps while still grappling with the challenge to maintain consistent data on the socio-economic profile of IDPs in order to monitor impacts of assistance programs.</w:t>
                            </w:r>
                          </w:p>
                          <w:p w14:paraId="63DBC7B1" w14:textId="08373CDB" w:rsidR="00960899" w:rsidRDefault="00960899" w:rsidP="00960899">
                            <w:pPr>
                              <w:rPr>
                                <w:rFonts w:ascii="Times New Roman" w:hAnsi="Times New Roman" w:cs="Times New Roman"/>
                                <w:sz w:val="20"/>
                                <w:szCs w:val="20"/>
                              </w:rPr>
                            </w:pPr>
                            <w:r>
                              <w:rPr>
                                <w:rFonts w:ascii="Times New Roman" w:hAnsi="Times New Roman" w:cs="Times New Roman"/>
                                <w:sz w:val="20"/>
                                <w:szCs w:val="20"/>
                              </w:rPr>
                              <w:t>Many IDPs across the world face situations of p</w:t>
                            </w:r>
                            <w:r w:rsidRPr="004719B8">
                              <w:rPr>
                                <w:rFonts w:ascii="Times New Roman" w:hAnsi="Times New Roman" w:cs="Times New Roman"/>
                                <w:sz w:val="20"/>
                                <w:szCs w:val="20"/>
                              </w:rPr>
                              <w:t>rotracted displacement</w:t>
                            </w:r>
                            <w:r>
                              <w:rPr>
                                <w:rFonts w:ascii="Times New Roman" w:hAnsi="Times New Roman" w:cs="Times New Roman"/>
                                <w:sz w:val="20"/>
                                <w:szCs w:val="20"/>
                              </w:rPr>
                              <w:t>, defined as displacement of longer than five years. These situations</w:t>
                            </w:r>
                            <w:r w:rsidRPr="004719B8">
                              <w:rPr>
                                <w:rFonts w:ascii="Times New Roman" w:hAnsi="Times New Roman" w:cs="Times New Roman"/>
                                <w:sz w:val="20"/>
                                <w:szCs w:val="20"/>
                              </w:rPr>
                              <w:t xml:space="preserve"> often p</w:t>
                            </w:r>
                            <w:r>
                              <w:rPr>
                                <w:rFonts w:ascii="Times New Roman" w:hAnsi="Times New Roman" w:cs="Times New Roman"/>
                                <w:sz w:val="20"/>
                                <w:szCs w:val="20"/>
                              </w:rPr>
                              <w:t>erpetuate</w:t>
                            </w:r>
                            <w:r w:rsidRPr="004719B8">
                              <w:rPr>
                                <w:rFonts w:ascii="Times New Roman" w:hAnsi="Times New Roman" w:cs="Times New Roman"/>
                                <w:sz w:val="20"/>
                                <w:szCs w:val="20"/>
                              </w:rPr>
                              <w:t xml:space="preserve"> a cycle of vulnerability and long-term dependence on state aid, urging governments to consider durable solutions. Because IDPs tend to concentrate in urban areas, durable solutions have often meant integrating IDPs into urban planning for infrastructure and service delivery, as well as into systems of local governance.</w:t>
                            </w:r>
                            <w:r>
                              <w:rPr>
                                <w:rFonts w:ascii="Times New Roman" w:hAnsi="Times New Roman" w:cs="Times New Roman"/>
                                <w:sz w:val="20"/>
                                <w:szCs w:val="20"/>
                              </w:rPr>
                              <w:t xml:space="preserve"> This has been the case in contexts like Afghanistan with the majority of displaced persons concentrating in Kabul, and Sudan, where IDPs from South Sudan have concentrated in Khartoum.</w:t>
                            </w:r>
                            <w:r w:rsidRPr="004719B8">
                              <w:rPr>
                                <w:rFonts w:ascii="Times New Roman" w:hAnsi="Times New Roman" w:cs="Times New Roman"/>
                                <w:sz w:val="20"/>
                                <w:szCs w:val="20"/>
                              </w:rPr>
                              <w:t xml:space="preserve"> </w:t>
                            </w:r>
                            <w:r>
                              <w:rPr>
                                <w:rFonts w:ascii="Times New Roman" w:hAnsi="Times New Roman" w:cs="Times New Roman"/>
                                <w:sz w:val="20"/>
                                <w:szCs w:val="20"/>
                              </w:rPr>
                              <w:t xml:space="preserve">  Georgia also follows this trend, with Tbilisi housing almost half (about 44 percent) of the IDP population.  Good practices in durable solutions also show that assistance to IDPs should</w:t>
                            </w:r>
                            <w:r w:rsidRPr="004719B8">
                              <w:rPr>
                                <w:rFonts w:ascii="Times New Roman" w:hAnsi="Times New Roman" w:cs="Times New Roman"/>
                                <w:sz w:val="20"/>
                                <w:szCs w:val="20"/>
                              </w:rPr>
                              <w:t xml:space="preserve"> serve to promote development in the broader communities </w:t>
                            </w:r>
                            <w:r>
                              <w:rPr>
                                <w:rFonts w:ascii="Times New Roman" w:hAnsi="Times New Roman" w:cs="Times New Roman"/>
                                <w:sz w:val="20"/>
                                <w:szCs w:val="20"/>
                              </w:rPr>
                              <w:t>in which IDPs reside. Livelihood programs</w:t>
                            </w:r>
                            <w:r w:rsidRPr="004719B8">
                              <w:rPr>
                                <w:rFonts w:ascii="Times New Roman" w:hAnsi="Times New Roman" w:cs="Times New Roman"/>
                                <w:sz w:val="20"/>
                                <w:szCs w:val="20"/>
                              </w:rPr>
                              <w:t xml:space="preserve"> </w:t>
                            </w:r>
                            <w:r>
                              <w:rPr>
                                <w:rFonts w:ascii="Times New Roman" w:hAnsi="Times New Roman" w:cs="Times New Roman"/>
                                <w:sz w:val="20"/>
                                <w:szCs w:val="20"/>
                              </w:rPr>
                              <w:t>targeted to IDPs should be made available</w:t>
                            </w:r>
                            <w:r w:rsidRPr="004719B8">
                              <w:rPr>
                                <w:rFonts w:ascii="Times New Roman" w:hAnsi="Times New Roman" w:cs="Times New Roman"/>
                                <w:sz w:val="20"/>
                                <w:szCs w:val="20"/>
                              </w:rPr>
                              <w:t xml:space="preserve"> </w:t>
                            </w:r>
                            <w:r>
                              <w:rPr>
                                <w:rFonts w:ascii="Times New Roman" w:hAnsi="Times New Roman" w:cs="Times New Roman"/>
                                <w:sz w:val="20"/>
                                <w:szCs w:val="20"/>
                              </w:rPr>
                              <w:t xml:space="preserve">to </w:t>
                            </w:r>
                            <w:r w:rsidRPr="004719B8">
                              <w:rPr>
                                <w:rFonts w:ascii="Times New Roman" w:hAnsi="Times New Roman" w:cs="Times New Roman"/>
                                <w:sz w:val="20"/>
                                <w:szCs w:val="20"/>
                              </w:rPr>
                              <w:t xml:space="preserve">non-IDPs in </w:t>
                            </w:r>
                            <w:r>
                              <w:rPr>
                                <w:rFonts w:ascii="Times New Roman" w:hAnsi="Times New Roman" w:cs="Times New Roman"/>
                                <w:sz w:val="20"/>
                                <w:szCs w:val="20"/>
                              </w:rPr>
                              <w:t>the same community. Such programs should try to make</w:t>
                            </w:r>
                            <w:r w:rsidRPr="004719B8">
                              <w:rPr>
                                <w:rFonts w:ascii="Times New Roman" w:hAnsi="Times New Roman" w:cs="Times New Roman"/>
                                <w:sz w:val="20"/>
                                <w:szCs w:val="20"/>
                              </w:rPr>
                              <w:t xml:space="preserve"> use of spec</w:t>
                            </w:r>
                            <w:r>
                              <w:rPr>
                                <w:rFonts w:ascii="Times New Roman" w:hAnsi="Times New Roman" w:cs="Times New Roman"/>
                                <w:sz w:val="20"/>
                                <w:szCs w:val="20"/>
                              </w:rPr>
                              <w:t>ific skills that IDPs bring</w:t>
                            </w:r>
                            <w:r w:rsidRPr="004719B8">
                              <w:rPr>
                                <w:rFonts w:ascii="Times New Roman" w:hAnsi="Times New Roman" w:cs="Times New Roman"/>
                                <w:sz w:val="20"/>
                                <w:szCs w:val="20"/>
                              </w:rPr>
                              <w:t>.</w:t>
                            </w:r>
                            <w:r>
                              <w:rPr>
                                <w:rFonts w:ascii="Times New Roman" w:hAnsi="Times New Roman" w:cs="Times New Roman"/>
                                <w:sz w:val="20"/>
                                <w:szCs w:val="20"/>
                              </w:rPr>
                              <w:t xml:space="preserve"> For example, returnees in Eritrea have brought an influx of human resources and social capital to the communities in which they have settled, and the assistance programs that were originally targeted at returnees, have helped spur wider community development. </w:t>
                            </w:r>
                          </w:p>
                          <w:p w14:paraId="0188C3B8" w14:textId="77777777" w:rsidR="00960899" w:rsidRPr="004719B8" w:rsidRDefault="00960899" w:rsidP="00960899">
                            <w:pPr>
                              <w:rPr>
                                <w:rFonts w:ascii="Times New Roman" w:hAnsi="Times New Roman" w:cs="Times New Roman"/>
                                <w:i/>
                                <w:sz w:val="20"/>
                                <w:szCs w:val="20"/>
                              </w:rPr>
                            </w:pPr>
                            <w:r w:rsidRPr="004719B8">
                              <w:rPr>
                                <w:rFonts w:ascii="Times New Roman" w:hAnsi="Times New Roman" w:cs="Times New Roman"/>
                                <w:i/>
                                <w:sz w:val="20"/>
                                <w:szCs w:val="20"/>
                              </w:rPr>
                              <w:t>Source: Christensen and Harild (2009)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1BFF816D" id="_x0000_t202" coordsize="21600,21600" o:spt="202" path="m,l,21600r21600,l21600,xe">
                <v:stroke joinstyle="miter"/>
                <v:path gradientshapeok="t" o:connecttype="rect"/>
              </v:shapetype>
              <v:shape id="Text Box 17" o:spid="_x0000_s1026" type="#_x0000_t202" style="position:absolute;left:0;text-align:left;margin-left:0;margin-top:15.75pt;width:2in;height:2in;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" filled="f" strokeweight=".5pt">
                <v:textbox style="mso-fit-shape-to-text:t">
                  <w:txbxContent>
                    <w:p w14:paraId="41D912C1" w14:textId="77777777" w:rsidR="00960899" w:rsidRPr="004719B8" w:rsidRDefault="00960899" w:rsidP="00960899">
                      <w:pPr>
                        <w:rPr>
                          <w:rFonts w:ascii="Times New Roman" w:hAnsi="Times New Roman" w:cs="Times New Roman"/>
                          <w:b/>
                          <w:sz w:val="20"/>
                          <w:szCs w:val="20"/>
                        </w:rPr>
                      </w:pPr>
                      <w:r w:rsidRPr="004719B8">
                        <w:rPr>
                          <w:rFonts w:ascii="Times New Roman" w:hAnsi="Times New Roman" w:cs="Times New Roman"/>
                          <w:b/>
                          <w:sz w:val="20"/>
                          <w:szCs w:val="20"/>
                        </w:rPr>
                        <w:t>Internal displacement in a global perspective</w:t>
                      </w:r>
                    </w:p>
                    <w:p w14:paraId="3FB15EDD" w14:textId="099E89C1" w:rsidR="00960899" w:rsidRPr="004719B8" w:rsidRDefault="00960899" w:rsidP="00960899">
                      <w:pPr>
                        <w:rPr>
                          <w:rFonts w:ascii="Times New Roman" w:hAnsi="Times New Roman" w:cs="Times New Roman"/>
                          <w:sz w:val="20"/>
                          <w:szCs w:val="20"/>
                        </w:rPr>
                      </w:pPr>
                      <w:r w:rsidRPr="004719B8">
                        <w:rPr>
                          <w:rFonts w:ascii="Times New Roman" w:hAnsi="Times New Roman" w:cs="Times New Roman"/>
                          <w:sz w:val="20"/>
                          <w:szCs w:val="20"/>
                        </w:rPr>
                        <w:t xml:space="preserve">Forced displacement is </w:t>
                      </w:r>
                      <w:r>
                        <w:rPr>
                          <w:rFonts w:ascii="Times New Roman" w:hAnsi="Times New Roman" w:cs="Times New Roman"/>
                          <w:sz w:val="20"/>
                          <w:szCs w:val="20"/>
                        </w:rPr>
                        <w:t xml:space="preserve">an </w:t>
                      </w:r>
                      <w:r w:rsidRPr="004719B8">
                        <w:rPr>
                          <w:rFonts w:ascii="Times New Roman" w:hAnsi="Times New Roman" w:cs="Times New Roman"/>
                          <w:sz w:val="20"/>
                          <w:szCs w:val="20"/>
                        </w:rPr>
                        <w:t xml:space="preserve">increasingly </w:t>
                      </w:r>
                      <w:r>
                        <w:rPr>
                          <w:rFonts w:ascii="Times New Roman" w:hAnsi="Times New Roman" w:cs="Times New Roman"/>
                          <w:sz w:val="20"/>
                          <w:szCs w:val="20"/>
                        </w:rPr>
                        <w:t>significant</w:t>
                      </w:r>
                      <w:r w:rsidRPr="004719B8">
                        <w:rPr>
                          <w:rFonts w:ascii="Times New Roman" w:hAnsi="Times New Roman" w:cs="Times New Roman"/>
                          <w:sz w:val="20"/>
                          <w:szCs w:val="20"/>
                        </w:rPr>
                        <w:t xml:space="preserve"> global development challenge. </w:t>
                      </w:r>
                      <w:r>
                        <w:rPr>
                          <w:rFonts w:ascii="Times New Roman" w:hAnsi="Times New Roman" w:cs="Times New Roman"/>
                          <w:sz w:val="20"/>
                          <w:szCs w:val="20"/>
                        </w:rPr>
                        <w:t>At</w:t>
                      </w:r>
                      <w:r w:rsidRPr="004719B8">
                        <w:rPr>
                          <w:rFonts w:ascii="Times New Roman" w:hAnsi="Times New Roman" w:cs="Times New Roman"/>
                          <w:sz w:val="20"/>
                          <w:szCs w:val="20"/>
                        </w:rPr>
                        <w:t xml:space="preserve"> the end of 2008</w:t>
                      </w:r>
                      <w:r>
                        <w:rPr>
                          <w:rFonts w:ascii="Times New Roman" w:hAnsi="Times New Roman" w:cs="Times New Roman"/>
                          <w:sz w:val="20"/>
                          <w:szCs w:val="20"/>
                        </w:rPr>
                        <w:t>,</w:t>
                      </w:r>
                      <w:r w:rsidRPr="004719B8">
                        <w:rPr>
                          <w:rFonts w:ascii="Times New Roman" w:hAnsi="Times New Roman" w:cs="Times New Roman"/>
                          <w:sz w:val="20"/>
                          <w:szCs w:val="20"/>
                        </w:rPr>
                        <w:t xml:space="preserve"> some 26 million people around the worl</w:t>
                      </w:r>
                      <w:r>
                        <w:rPr>
                          <w:rFonts w:ascii="Times New Roman" w:hAnsi="Times New Roman" w:cs="Times New Roman"/>
                          <w:sz w:val="20"/>
                          <w:szCs w:val="20"/>
                        </w:rPr>
                        <w:t>d were displaced</w:t>
                      </w:r>
                      <w:r w:rsidRPr="004719B8">
                        <w:rPr>
                          <w:rFonts w:ascii="Times New Roman" w:hAnsi="Times New Roman" w:cs="Times New Roman"/>
                          <w:sz w:val="20"/>
                          <w:szCs w:val="20"/>
                        </w:rPr>
                        <w:t xml:space="preserve"> within the borders of their </w:t>
                      </w:r>
                      <w:r>
                        <w:rPr>
                          <w:rFonts w:ascii="Times New Roman" w:hAnsi="Times New Roman" w:cs="Times New Roman"/>
                          <w:sz w:val="20"/>
                          <w:szCs w:val="20"/>
                        </w:rPr>
                        <w:t xml:space="preserve">home </w:t>
                      </w:r>
                      <w:r w:rsidRPr="004719B8">
                        <w:rPr>
                          <w:rFonts w:ascii="Times New Roman" w:hAnsi="Times New Roman" w:cs="Times New Roman"/>
                          <w:sz w:val="20"/>
                          <w:szCs w:val="20"/>
                        </w:rPr>
                        <w:t xml:space="preserve">country. </w:t>
                      </w:r>
                      <w:r>
                        <w:rPr>
                          <w:rFonts w:ascii="Times New Roman" w:hAnsi="Times New Roman" w:cs="Times New Roman"/>
                          <w:sz w:val="20"/>
                          <w:szCs w:val="20"/>
                        </w:rPr>
                        <w:t>In</w:t>
                      </w:r>
                      <w:r w:rsidRPr="004719B8">
                        <w:rPr>
                          <w:rFonts w:ascii="Times New Roman" w:hAnsi="Times New Roman" w:cs="Times New Roman"/>
                          <w:sz w:val="20"/>
                          <w:szCs w:val="20"/>
                        </w:rPr>
                        <w:t xml:space="preserve"> 2008 </w:t>
                      </w:r>
                      <w:r>
                        <w:rPr>
                          <w:rFonts w:ascii="Times New Roman" w:hAnsi="Times New Roman" w:cs="Times New Roman"/>
                          <w:sz w:val="20"/>
                          <w:szCs w:val="20"/>
                        </w:rPr>
                        <w:t xml:space="preserve">alone, </w:t>
                      </w:r>
                      <w:r w:rsidRPr="004719B8">
                        <w:rPr>
                          <w:rFonts w:ascii="Times New Roman" w:hAnsi="Times New Roman" w:cs="Times New Roman"/>
                          <w:sz w:val="20"/>
                          <w:szCs w:val="20"/>
                        </w:rPr>
                        <w:t>so</w:t>
                      </w:r>
                      <w:r>
                        <w:rPr>
                          <w:rFonts w:ascii="Times New Roman" w:hAnsi="Times New Roman" w:cs="Times New Roman"/>
                          <w:sz w:val="20"/>
                          <w:szCs w:val="20"/>
                        </w:rPr>
                        <w:t>me 4.6 million persons were</w:t>
                      </w:r>
                      <w:r w:rsidRPr="004719B8">
                        <w:rPr>
                          <w:rFonts w:ascii="Times New Roman" w:hAnsi="Times New Roman" w:cs="Times New Roman"/>
                          <w:sz w:val="20"/>
                          <w:szCs w:val="20"/>
                        </w:rPr>
                        <w:t xml:space="preserve"> </w:t>
                      </w:r>
                      <w:r>
                        <w:rPr>
                          <w:rFonts w:ascii="Times New Roman" w:hAnsi="Times New Roman" w:cs="Times New Roman"/>
                          <w:sz w:val="20"/>
                          <w:szCs w:val="20"/>
                        </w:rPr>
                        <w:t>displaced</w:t>
                      </w:r>
                      <w:r w:rsidRPr="004719B8">
                        <w:rPr>
                          <w:rFonts w:ascii="Times New Roman" w:hAnsi="Times New Roman" w:cs="Times New Roman"/>
                          <w:sz w:val="20"/>
                          <w:szCs w:val="20"/>
                        </w:rPr>
                        <w:t xml:space="preserve"> due to conflict, violence or human rights violations, and more than 35 million pers</w:t>
                      </w:r>
                      <w:r>
                        <w:rPr>
                          <w:rFonts w:ascii="Times New Roman" w:hAnsi="Times New Roman" w:cs="Times New Roman"/>
                          <w:sz w:val="20"/>
                          <w:szCs w:val="20"/>
                        </w:rPr>
                        <w:t>ons were</w:t>
                      </w:r>
                      <w:r w:rsidRPr="004719B8">
                        <w:rPr>
                          <w:rFonts w:ascii="Times New Roman" w:hAnsi="Times New Roman" w:cs="Times New Roman"/>
                          <w:sz w:val="20"/>
                          <w:szCs w:val="20"/>
                        </w:rPr>
                        <w:t xml:space="preserve"> displaced by natural disasters.</w:t>
                      </w:r>
                    </w:p>
                    <w:p w14:paraId="12911B94" w14:textId="77777777" w:rsidR="00960899" w:rsidRPr="004719B8" w:rsidRDefault="00960899" w:rsidP="00960899">
                      <w:pPr>
                        <w:rPr>
                          <w:rFonts w:ascii="Times New Roman" w:hAnsi="Times New Roman" w:cs="Times New Roman"/>
                          <w:sz w:val="20"/>
                          <w:szCs w:val="20"/>
                        </w:rPr>
                      </w:pPr>
                      <w:r w:rsidRPr="004719B8">
                        <w:rPr>
                          <w:rFonts w:ascii="Times New Roman" w:hAnsi="Times New Roman" w:cs="Times New Roman"/>
                          <w:sz w:val="20"/>
                          <w:szCs w:val="20"/>
                        </w:rPr>
                        <w:t xml:space="preserve">The Brookings-Bern project report on </w:t>
                      </w:r>
                      <w:r w:rsidRPr="004719B8">
                        <w:rPr>
                          <w:rFonts w:ascii="Times New Roman" w:hAnsi="Times New Roman" w:cs="Times New Roman"/>
                          <w:i/>
                          <w:sz w:val="20"/>
                          <w:szCs w:val="20"/>
                        </w:rPr>
                        <w:t>Addressing Internal Displacement: A Framework for National Responsibility</w:t>
                      </w:r>
                      <w:r w:rsidRPr="004719B8">
                        <w:rPr>
                          <w:rFonts w:ascii="Times New Roman" w:hAnsi="Times New Roman" w:cs="Times New Roman"/>
                          <w:sz w:val="20"/>
                          <w:szCs w:val="20"/>
                        </w:rPr>
                        <w:t xml:space="preserve"> identified 12 key steps that governments should take to address needs of I</w:t>
                      </w:r>
                      <w:r>
                        <w:rPr>
                          <w:rFonts w:ascii="Times New Roman" w:hAnsi="Times New Roman" w:cs="Times New Roman"/>
                          <w:sz w:val="20"/>
                          <w:szCs w:val="20"/>
                        </w:rPr>
                        <w:t>DPs. One of the key steps is</w:t>
                      </w:r>
                      <w:r w:rsidRPr="004719B8">
                        <w:rPr>
                          <w:rFonts w:ascii="Times New Roman" w:hAnsi="Times New Roman" w:cs="Times New Roman"/>
                          <w:sz w:val="20"/>
                          <w:szCs w:val="20"/>
                        </w:rPr>
                        <w:t xml:space="preserve"> the adoption of IDP-specific laws and policies and incorporating the rights of IDPs into domestic laws in accordance with the UN Guiding Principles. Georgia is one of fourteen countries that have adopted IDP-specific laws or policies.</w:t>
                      </w:r>
                      <w:r>
                        <w:rPr>
                          <w:rFonts w:ascii="Times New Roman" w:hAnsi="Times New Roman" w:cs="Times New Roman"/>
                          <w:sz w:val="20"/>
                          <w:szCs w:val="20"/>
                        </w:rPr>
                        <w:t xml:space="preserve"> Georgia has made progress on all twelve steps while still grappling with the challenge to maintain consistent data on the socio-economic profile of IDPs in order to monitor impacts of assistance programs.</w:t>
                      </w:r>
                    </w:p>
                    <w:p w14:paraId="63DBC7B1" w14:textId="08373CDB" w:rsidR="00960899" w:rsidRDefault="00960899" w:rsidP="00960899">
                      <w:pPr>
                        <w:rPr>
                          <w:rFonts w:ascii="Times New Roman" w:hAnsi="Times New Roman" w:cs="Times New Roman"/>
                          <w:sz w:val="20"/>
                          <w:szCs w:val="20"/>
                        </w:rPr>
                      </w:pPr>
                      <w:r>
                        <w:rPr>
                          <w:rFonts w:ascii="Times New Roman" w:hAnsi="Times New Roman" w:cs="Times New Roman"/>
                          <w:sz w:val="20"/>
                          <w:szCs w:val="20"/>
                        </w:rPr>
                        <w:t>Many IDPs across the world face situations of p</w:t>
                      </w:r>
                      <w:r w:rsidRPr="004719B8">
                        <w:rPr>
                          <w:rFonts w:ascii="Times New Roman" w:hAnsi="Times New Roman" w:cs="Times New Roman"/>
                          <w:sz w:val="20"/>
                          <w:szCs w:val="20"/>
                        </w:rPr>
                        <w:t>rotracted displacement</w:t>
                      </w:r>
                      <w:r>
                        <w:rPr>
                          <w:rFonts w:ascii="Times New Roman" w:hAnsi="Times New Roman" w:cs="Times New Roman"/>
                          <w:sz w:val="20"/>
                          <w:szCs w:val="20"/>
                        </w:rPr>
                        <w:t>, defined as displacement of longer than five years. These situations</w:t>
                      </w:r>
                      <w:r w:rsidRPr="004719B8">
                        <w:rPr>
                          <w:rFonts w:ascii="Times New Roman" w:hAnsi="Times New Roman" w:cs="Times New Roman"/>
                          <w:sz w:val="20"/>
                          <w:szCs w:val="20"/>
                        </w:rPr>
                        <w:t xml:space="preserve"> often p</w:t>
                      </w:r>
                      <w:r>
                        <w:rPr>
                          <w:rFonts w:ascii="Times New Roman" w:hAnsi="Times New Roman" w:cs="Times New Roman"/>
                          <w:sz w:val="20"/>
                          <w:szCs w:val="20"/>
                        </w:rPr>
                        <w:t>erpetuate</w:t>
                      </w:r>
                      <w:r w:rsidRPr="004719B8">
                        <w:rPr>
                          <w:rFonts w:ascii="Times New Roman" w:hAnsi="Times New Roman" w:cs="Times New Roman"/>
                          <w:sz w:val="20"/>
                          <w:szCs w:val="20"/>
                        </w:rPr>
                        <w:t xml:space="preserve"> a cycle of vulnerability and long-term dependence on state aid, urging governments to consider durable solutions. Because IDPs tend to concentrate in urban areas, durable solutions have often meant integrating IDPs into urban planning for infrastructure and service delivery, as well as into systems of local governance.</w:t>
                      </w:r>
                      <w:r>
                        <w:rPr>
                          <w:rFonts w:ascii="Times New Roman" w:hAnsi="Times New Roman" w:cs="Times New Roman"/>
                          <w:sz w:val="20"/>
                          <w:szCs w:val="20"/>
                        </w:rPr>
                        <w:t xml:space="preserve"> This has been the case in contexts like Afghanistan with the majority of displaced persons concentrating in Kabul, and Sudan, where IDPs from South Sudan have concentrated in Khartoum.</w:t>
                      </w:r>
                      <w:r w:rsidRPr="004719B8">
                        <w:rPr>
                          <w:rFonts w:ascii="Times New Roman" w:hAnsi="Times New Roman" w:cs="Times New Roman"/>
                          <w:sz w:val="20"/>
                          <w:szCs w:val="20"/>
                        </w:rPr>
                        <w:t xml:space="preserve"> </w:t>
                      </w:r>
                      <w:r>
                        <w:rPr>
                          <w:rFonts w:ascii="Times New Roman" w:hAnsi="Times New Roman" w:cs="Times New Roman"/>
                          <w:sz w:val="20"/>
                          <w:szCs w:val="20"/>
                        </w:rPr>
                        <w:t xml:space="preserve">  Georgia also follows this trend, with Tbilisi housing almost half (about 44 percent) of the IDP population.  Good practices in durable solutions also show that assistance to IDPs should</w:t>
                      </w:r>
                      <w:r w:rsidRPr="004719B8">
                        <w:rPr>
                          <w:rFonts w:ascii="Times New Roman" w:hAnsi="Times New Roman" w:cs="Times New Roman"/>
                          <w:sz w:val="20"/>
                          <w:szCs w:val="20"/>
                        </w:rPr>
                        <w:t xml:space="preserve"> serve to promote development in the broader communities </w:t>
                      </w:r>
                      <w:r>
                        <w:rPr>
                          <w:rFonts w:ascii="Times New Roman" w:hAnsi="Times New Roman" w:cs="Times New Roman"/>
                          <w:sz w:val="20"/>
                          <w:szCs w:val="20"/>
                        </w:rPr>
                        <w:t>in which IDPs reside. Livelihood programs</w:t>
                      </w:r>
                      <w:r w:rsidRPr="004719B8">
                        <w:rPr>
                          <w:rFonts w:ascii="Times New Roman" w:hAnsi="Times New Roman" w:cs="Times New Roman"/>
                          <w:sz w:val="20"/>
                          <w:szCs w:val="20"/>
                        </w:rPr>
                        <w:t xml:space="preserve"> </w:t>
                      </w:r>
                      <w:r>
                        <w:rPr>
                          <w:rFonts w:ascii="Times New Roman" w:hAnsi="Times New Roman" w:cs="Times New Roman"/>
                          <w:sz w:val="20"/>
                          <w:szCs w:val="20"/>
                        </w:rPr>
                        <w:t>targeted to IDPs should be made available</w:t>
                      </w:r>
                      <w:r w:rsidRPr="004719B8">
                        <w:rPr>
                          <w:rFonts w:ascii="Times New Roman" w:hAnsi="Times New Roman" w:cs="Times New Roman"/>
                          <w:sz w:val="20"/>
                          <w:szCs w:val="20"/>
                        </w:rPr>
                        <w:t xml:space="preserve"> </w:t>
                      </w:r>
                      <w:r>
                        <w:rPr>
                          <w:rFonts w:ascii="Times New Roman" w:hAnsi="Times New Roman" w:cs="Times New Roman"/>
                          <w:sz w:val="20"/>
                          <w:szCs w:val="20"/>
                        </w:rPr>
                        <w:t xml:space="preserve">to </w:t>
                      </w:r>
                      <w:r w:rsidRPr="004719B8">
                        <w:rPr>
                          <w:rFonts w:ascii="Times New Roman" w:hAnsi="Times New Roman" w:cs="Times New Roman"/>
                          <w:sz w:val="20"/>
                          <w:szCs w:val="20"/>
                        </w:rPr>
                        <w:t xml:space="preserve">non-IDPs in </w:t>
                      </w:r>
                      <w:r>
                        <w:rPr>
                          <w:rFonts w:ascii="Times New Roman" w:hAnsi="Times New Roman" w:cs="Times New Roman"/>
                          <w:sz w:val="20"/>
                          <w:szCs w:val="20"/>
                        </w:rPr>
                        <w:t>the same community. Such programs should try to make</w:t>
                      </w:r>
                      <w:r w:rsidRPr="004719B8">
                        <w:rPr>
                          <w:rFonts w:ascii="Times New Roman" w:hAnsi="Times New Roman" w:cs="Times New Roman"/>
                          <w:sz w:val="20"/>
                          <w:szCs w:val="20"/>
                        </w:rPr>
                        <w:t xml:space="preserve"> use of spec</w:t>
                      </w:r>
                      <w:r>
                        <w:rPr>
                          <w:rFonts w:ascii="Times New Roman" w:hAnsi="Times New Roman" w:cs="Times New Roman"/>
                          <w:sz w:val="20"/>
                          <w:szCs w:val="20"/>
                        </w:rPr>
                        <w:t>ific skills that IDPs bring</w:t>
                      </w:r>
                      <w:r w:rsidRPr="004719B8">
                        <w:rPr>
                          <w:rFonts w:ascii="Times New Roman" w:hAnsi="Times New Roman" w:cs="Times New Roman"/>
                          <w:sz w:val="20"/>
                          <w:szCs w:val="20"/>
                        </w:rPr>
                        <w:t>.</w:t>
                      </w:r>
                      <w:r>
                        <w:rPr>
                          <w:rFonts w:ascii="Times New Roman" w:hAnsi="Times New Roman" w:cs="Times New Roman"/>
                          <w:sz w:val="20"/>
                          <w:szCs w:val="20"/>
                        </w:rPr>
                        <w:t xml:space="preserve"> For example, returnees in Eritrea have brought an influx of human resources and social capital to the communities in which they have settled, and the assistance programs that were originally targeted at returnees, have helped spur wider community development. </w:t>
                      </w:r>
                    </w:p>
                    <w:p w14:paraId="0188C3B8" w14:textId="77777777" w:rsidR="00960899" w:rsidRPr="004719B8" w:rsidRDefault="00960899" w:rsidP="00960899">
                      <w:pPr>
                        <w:rPr>
                          <w:rFonts w:ascii="Times New Roman" w:hAnsi="Times New Roman" w:cs="Times New Roman"/>
                          <w:i/>
                          <w:sz w:val="20"/>
                          <w:szCs w:val="20"/>
                        </w:rPr>
                      </w:pPr>
                      <w:r w:rsidRPr="004719B8">
                        <w:rPr>
                          <w:rFonts w:ascii="Times New Roman" w:hAnsi="Times New Roman" w:cs="Times New Roman"/>
                          <w:i/>
                          <w:sz w:val="20"/>
                          <w:szCs w:val="20"/>
                        </w:rPr>
                        <w:t>Source: Christensen and Harild (2009)</w:t>
                      </w:r>
                    </w:p>
                  </w:txbxContent>
                </v:textbox>
                <w10:wrap type="square"/>
              </v:shape>
            </w:pict>
          </mc:Fallback>
        </mc:AlternateContent>
      </w:r>
    </w:p>
    <w:p w14:paraId="49C717D2" w14:textId="77777777" w:rsidR="0055500F" w:rsidRPr="00723DBF" w:rsidRDefault="0055500F" w:rsidP="00723DBF">
      <w:pPr>
        <w:pStyle w:val="ListParagraph"/>
        <w:spacing w:after="0" w:line="276" w:lineRule="auto"/>
        <w:ind w:left="360"/>
      </w:pPr>
    </w:p>
    <w:p w14:paraId="75C1EF26" w14:textId="77777777" w:rsidR="00367080" w:rsidRPr="00D46076" w:rsidRDefault="00D8174A" w:rsidP="00C43C1E">
      <w:pPr>
        <w:pStyle w:val="ListParagraph"/>
        <w:numPr>
          <w:ilvl w:val="0"/>
          <w:numId w:val="1"/>
        </w:numPr>
        <w:spacing w:after="0" w:line="276" w:lineRule="auto"/>
      </w:pPr>
      <w:r w:rsidRPr="00C43C1E">
        <w:rPr>
          <w:b/>
        </w:rPr>
        <w:t xml:space="preserve">The MRA serves as the main central authority on IDP-related issues. </w:t>
      </w:r>
      <w:r w:rsidR="00B766AC" w:rsidRPr="00C43C1E">
        <w:t xml:space="preserve">It coordinates the government’s response on internal displacement, and provides services to IDPs. </w:t>
      </w:r>
      <w:r w:rsidR="005E6DDE">
        <w:t>These include certifying the identity and status of displaced persons, distributing monthly IDP allowances, and maintaining IDP information databases. It is responsible for coordinating the services of all other government agencies relating to IDPs. The MRA is headquartered in</w:t>
      </w:r>
      <w:r w:rsidR="00B766AC" w:rsidRPr="00C43C1E">
        <w:t xml:space="preserve"> Tbilisi </w:t>
      </w:r>
      <w:r w:rsidR="005E6DDE">
        <w:t>and has</w:t>
      </w:r>
      <w:r w:rsidR="00B766AC" w:rsidRPr="00C43C1E">
        <w:t xml:space="preserve"> four regional </w:t>
      </w:r>
      <w:r w:rsidR="00B766AC" w:rsidRPr="00D46076">
        <w:t xml:space="preserve">branches. In these locations, IDPs can seek assistance on issues such as monthly </w:t>
      </w:r>
      <w:r w:rsidR="005E6DDE" w:rsidRPr="00D46076">
        <w:t>benefits</w:t>
      </w:r>
      <w:r w:rsidR="00B766AC" w:rsidRPr="00D46076">
        <w:t xml:space="preserve">, housing needs, emergency aid, and </w:t>
      </w:r>
      <w:r w:rsidR="005E6DDE" w:rsidRPr="00D46076">
        <w:t xml:space="preserve">assistance in </w:t>
      </w:r>
      <w:r w:rsidR="00B766AC" w:rsidRPr="00D46076">
        <w:t>finding employment.</w:t>
      </w:r>
      <w:r w:rsidR="00B766AC" w:rsidRPr="00D46076">
        <w:rPr>
          <w:rStyle w:val="FootnoteReference"/>
        </w:rPr>
        <w:footnoteReference w:id="37"/>
      </w:r>
      <w:r w:rsidR="00B766AC" w:rsidRPr="00D46076">
        <w:t xml:space="preserve"> </w:t>
      </w:r>
    </w:p>
    <w:p w14:paraId="2C008B14" w14:textId="77777777" w:rsidR="00367080" w:rsidRPr="00D46076" w:rsidRDefault="00367080" w:rsidP="00C43C1E">
      <w:pPr>
        <w:pStyle w:val="ListParagraph"/>
        <w:spacing w:after="0" w:line="276" w:lineRule="auto"/>
        <w:ind w:left="360"/>
      </w:pPr>
    </w:p>
    <w:p w14:paraId="2BE444ED" w14:textId="77777777" w:rsidR="00CA5567" w:rsidRPr="00C53B11" w:rsidRDefault="00D8174A" w:rsidP="00C53B11">
      <w:pPr>
        <w:pStyle w:val="ListParagraph"/>
        <w:numPr>
          <w:ilvl w:val="0"/>
          <w:numId w:val="1"/>
        </w:numPr>
        <w:shd w:val="clear" w:color="auto" w:fill="FFFFFF" w:themeFill="background1"/>
        <w:spacing w:after="0" w:line="276" w:lineRule="auto"/>
      </w:pPr>
      <w:r w:rsidRPr="003B6DB3">
        <w:rPr>
          <w:b/>
        </w:rPr>
        <w:t>The MRA’s Steering Committee is the decision-making body tasked with implementing the</w:t>
      </w:r>
      <w:r w:rsidR="00B766AC" w:rsidRPr="003B6DB3">
        <w:rPr>
          <w:rFonts w:eastAsiaTheme="minorEastAsia" w:cs="Times New Roman"/>
          <w:b/>
        </w:rPr>
        <w:t xml:space="preserve"> State</w:t>
      </w:r>
      <w:r w:rsidR="00B766AC" w:rsidRPr="00C53B11">
        <w:rPr>
          <w:rFonts w:eastAsiaTheme="minorEastAsia" w:cs="Times New Roman"/>
          <w:b/>
        </w:rPr>
        <w:t xml:space="preserve"> Strategy for Internally Displaced Persons-Persecuted,</w:t>
      </w:r>
      <w:r w:rsidR="00B766AC" w:rsidRPr="003B6DB3">
        <w:rPr>
          <w:b/>
          <w:vertAlign w:val="superscript"/>
        </w:rPr>
        <w:footnoteReference w:id="38"/>
      </w:r>
      <w:r w:rsidR="00B766AC" w:rsidRPr="003B6DB3">
        <w:rPr>
          <w:rFonts w:eastAsiaTheme="minorEastAsia" w:cs="Times New Roman"/>
          <w:b/>
        </w:rPr>
        <w:t xml:space="preserve"> and subsequent action plans</w:t>
      </w:r>
      <w:r w:rsidRPr="003B6DB3">
        <w:rPr>
          <w:b/>
        </w:rPr>
        <w:t>.</w:t>
      </w:r>
      <w:r w:rsidRPr="00C53B11">
        <w:t xml:space="preserve"> </w:t>
      </w:r>
      <w:r w:rsidR="00B766AC" w:rsidRPr="00C53B11">
        <w:t>It</w:t>
      </w:r>
      <w:r w:rsidRPr="00C53B11">
        <w:t xml:space="preserve"> includes representatives of line ministries, donors, international and local non-governmental organizations</w:t>
      </w:r>
      <w:r w:rsidR="00E42BD8" w:rsidRPr="00C53B11">
        <w:t>.</w:t>
      </w:r>
      <w:r w:rsidRPr="003B6DB3">
        <w:rPr>
          <w:vertAlign w:val="superscript"/>
        </w:rPr>
        <w:footnoteReference w:id="39"/>
      </w:r>
      <w:r w:rsidRPr="003B6DB3">
        <w:t xml:space="preserve"> The Steering Committee appoints Expert Groups that address specific time-bound tasks in the Action Plans. </w:t>
      </w:r>
      <w:r w:rsidR="00953ED4" w:rsidRPr="00C53B11">
        <w:t xml:space="preserve">Conceived as small groups of invited experts in specialized fields, the Expert Groups participate </w:t>
      </w:r>
      <w:r w:rsidR="00953ED4" w:rsidRPr="00C53B11">
        <w:lastRenderedPageBreak/>
        <w:t>in tasks such as the selection of criteria for new housing standards, evaluation of rehabilitation standards, and the development of outreach strategies on IDP benefits.</w:t>
      </w:r>
      <w:r w:rsidR="00953ED4" w:rsidRPr="003B6DB3">
        <w:rPr>
          <w:rStyle w:val="FootnoteReference"/>
        </w:rPr>
        <w:footnoteReference w:id="40"/>
      </w:r>
      <w:r w:rsidR="00B46C73" w:rsidRPr="00C53B11">
        <w:t xml:space="preserve"> </w:t>
      </w:r>
    </w:p>
    <w:p w14:paraId="6F34F696" w14:textId="77777777" w:rsidR="00B46C73" w:rsidRPr="00B46C73" w:rsidRDefault="00B46C73" w:rsidP="00811986">
      <w:pPr>
        <w:spacing w:after="0" w:line="276" w:lineRule="auto"/>
        <w:rPr>
          <w:highlight w:val="yellow"/>
        </w:rPr>
      </w:pPr>
    </w:p>
    <w:p w14:paraId="2C68D84C" w14:textId="5EC692E7" w:rsidR="00C7551F" w:rsidRPr="002665FA" w:rsidRDefault="00B46C73" w:rsidP="0036006E">
      <w:pPr>
        <w:pStyle w:val="ListParagraph"/>
        <w:numPr>
          <w:ilvl w:val="0"/>
          <w:numId w:val="1"/>
        </w:numPr>
      </w:pPr>
      <w:r w:rsidRPr="0036006E">
        <w:rPr>
          <w:b/>
        </w:rPr>
        <w:t>Limited resources</w:t>
      </w:r>
      <w:r w:rsidR="002C3E23" w:rsidRPr="0036006E">
        <w:rPr>
          <w:b/>
        </w:rPr>
        <w:t xml:space="preserve"> and </w:t>
      </w:r>
      <w:r w:rsidRPr="0036006E">
        <w:rPr>
          <w:b/>
        </w:rPr>
        <w:t xml:space="preserve">capacity, and </w:t>
      </w:r>
      <w:r w:rsidR="00C7551F" w:rsidRPr="0036006E">
        <w:rPr>
          <w:b/>
        </w:rPr>
        <w:t>poor communication</w:t>
      </w:r>
      <w:r w:rsidR="002C3E23" w:rsidRPr="0036006E">
        <w:rPr>
          <w:b/>
        </w:rPr>
        <w:t>,</w:t>
      </w:r>
      <w:r w:rsidRPr="009A37BC">
        <w:rPr>
          <w:b/>
        </w:rPr>
        <w:t xml:space="preserve"> appear to be the greatest challenges in the implementation of IDP policies by the MRA.  </w:t>
      </w:r>
      <w:r w:rsidRPr="00F55E5A">
        <w:t xml:space="preserve">Despite efforts by the MRA to decentralize and establish local focal points, </w:t>
      </w:r>
      <w:r w:rsidR="00C064C9">
        <w:t xml:space="preserve">the capacity to reach out and provide timely services </w:t>
      </w:r>
      <w:r w:rsidR="002C3E23">
        <w:t xml:space="preserve">to </w:t>
      </w:r>
      <w:r w:rsidR="00C064C9">
        <w:t>IDPs is still con</w:t>
      </w:r>
      <w:r w:rsidR="00214976">
        <w:t>s</w:t>
      </w:r>
      <w:r w:rsidR="00C064C9">
        <w:t>trained.</w:t>
      </w:r>
      <w:r w:rsidR="00BE02B5">
        <w:t xml:space="preserve"> In focus group discussions, IDPs </w:t>
      </w:r>
      <w:r w:rsidR="002A2FF2">
        <w:t>note that their social network is the primary source of information on available support programs, and lack of information</w:t>
      </w:r>
      <w:r w:rsidR="00D74970">
        <w:t xml:space="preserve"> </w:t>
      </w:r>
      <w:r w:rsidR="002A2FF2">
        <w:t>is a serious constraint in taking advantage of available assistance.</w:t>
      </w:r>
      <w:r w:rsidR="006F1190">
        <w:t xml:space="preserve"> </w:t>
      </w:r>
    </w:p>
    <w:p w14:paraId="4D3E9B26" w14:textId="0F0228B0" w:rsidR="00C7551F" w:rsidRPr="00F55E5A" w:rsidRDefault="00C1253B" w:rsidP="00AA05AE">
      <w:pPr>
        <w:spacing w:after="0" w:line="276" w:lineRule="auto"/>
        <w:ind w:left="720"/>
        <w:jc w:val="left"/>
        <w:rPr>
          <w:i/>
        </w:rPr>
      </w:pPr>
      <w:r>
        <w:rPr>
          <w:i/>
        </w:rPr>
        <w:t>“</w:t>
      </w:r>
      <w:r w:rsidR="00C7551F" w:rsidRPr="00F55E5A">
        <w:rPr>
          <w:i/>
        </w:rPr>
        <w:t>We get information from each other, as it is difficult to get information directly from the MRA. You can’t get information by phone, so you have to go to the office and wait in a long queue, or simply trust the information that others have obtained.”</w:t>
      </w:r>
      <w:r w:rsidR="00C7551F" w:rsidRPr="00F55E5A">
        <w:rPr>
          <w:rStyle w:val="FootnoteReference"/>
          <w:rFonts w:cs="Times New Roman"/>
          <w:i/>
        </w:rPr>
        <w:t xml:space="preserve"> </w:t>
      </w:r>
      <w:r w:rsidR="00C7551F" w:rsidRPr="00F55E5A">
        <w:rPr>
          <w:rStyle w:val="FootnoteReference"/>
          <w:rFonts w:cs="Times New Roman"/>
          <w:i/>
        </w:rPr>
        <w:footnoteReference w:id="41"/>
      </w:r>
    </w:p>
    <w:p w14:paraId="75D2DBD7" w14:textId="77777777" w:rsidR="00C64843" w:rsidRPr="00F55E5A" w:rsidRDefault="00C64843" w:rsidP="00F55E5A">
      <w:pPr>
        <w:spacing w:after="0" w:line="276" w:lineRule="auto"/>
      </w:pPr>
    </w:p>
    <w:p w14:paraId="7CD81AF3" w14:textId="7AE91E8A" w:rsidR="002665FA" w:rsidRPr="0036006E" w:rsidRDefault="002665FA" w:rsidP="0036006E">
      <w:pPr>
        <w:pStyle w:val="ListParagraph"/>
        <w:numPr>
          <w:ilvl w:val="0"/>
          <w:numId w:val="1"/>
        </w:numPr>
        <w:spacing w:after="0" w:line="276" w:lineRule="auto"/>
        <w:rPr>
          <w:b/>
        </w:rPr>
      </w:pPr>
      <w:r w:rsidRPr="0036006E">
        <w:rPr>
          <w:b/>
        </w:rPr>
        <w:t>Raising the awareness of IDPs about the wide range of services available to them, as well as strengthening feedback and communication mechanisms with IDPs, is currently one of MRA’s priorities.</w:t>
      </w:r>
      <w:r>
        <w:t xml:space="preserve"> The MRA Hotline serves over 40,000 IDPs each year. Most common questions and concerns relate to living spaces, communal problems in collective centers, compensation and cash assistance, status and registration, and programs implemented by other governmental or non-governmental organizations. </w:t>
      </w:r>
    </w:p>
    <w:p w14:paraId="39EAAC84" w14:textId="77777777" w:rsidR="002665FA" w:rsidRPr="0036006E" w:rsidRDefault="002665FA" w:rsidP="0036006E">
      <w:pPr>
        <w:pStyle w:val="ListParagraph"/>
        <w:spacing w:after="0" w:line="276" w:lineRule="auto"/>
        <w:ind w:left="360"/>
        <w:rPr>
          <w:b/>
        </w:rPr>
      </w:pPr>
    </w:p>
    <w:p w14:paraId="3548BB8C" w14:textId="7AE128D5" w:rsidR="00F55E5A" w:rsidRPr="00F55E5A" w:rsidRDefault="00C064C9" w:rsidP="00F55E5A">
      <w:pPr>
        <w:numPr>
          <w:ilvl w:val="0"/>
          <w:numId w:val="1"/>
        </w:numPr>
        <w:tabs>
          <w:tab w:val="left" w:pos="360"/>
        </w:tabs>
        <w:spacing w:after="200" w:line="276" w:lineRule="auto"/>
        <w:rPr>
          <w:rFonts w:eastAsiaTheme="minorEastAsia" w:cs="Times New Roman"/>
        </w:rPr>
      </w:pPr>
      <w:r>
        <w:rPr>
          <w:rFonts w:eastAsiaTheme="minorEastAsia" w:cs="Times New Roman"/>
          <w:b/>
        </w:rPr>
        <w:t>Implementation of housin</w:t>
      </w:r>
      <w:r w:rsidR="00FD5CEE">
        <w:rPr>
          <w:rFonts w:eastAsiaTheme="minorEastAsia" w:cs="Times New Roman"/>
          <w:b/>
        </w:rPr>
        <w:t>g assistance coordinated by MRA</w:t>
      </w:r>
      <w:r>
        <w:rPr>
          <w:rFonts w:eastAsiaTheme="minorEastAsia" w:cs="Times New Roman"/>
          <w:b/>
        </w:rPr>
        <w:t xml:space="preserve"> has been challenging. </w:t>
      </w:r>
      <w:r w:rsidRPr="00FA4F8D">
        <w:rPr>
          <w:rFonts w:eastAsiaTheme="minorEastAsia" w:cs="Times New Roman"/>
        </w:rPr>
        <w:t>O</w:t>
      </w:r>
      <w:r w:rsidR="00EA4BF4">
        <w:rPr>
          <w:rFonts w:eastAsiaTheme="minorEastAsia" w:cs="Times New Roman"/>
        </w:rPr>
        <w:t>ne of the key concerns for</w:t>
      </w:r>
      <w:r>
        <w:rPr>
          <w:rFonts w:eastAsiaTheme="minorEastAsia" w:cs="Times New Roman"/>
        </w:rPr>
        <w:t xml:space="preserve"> IDPs who have received or are awaiting a housing subsidy</w:t>
      </w:r>
      <w:r w:rsidR="00EA4BF4">
        <w:rPr>
          <w:rFonts w:eastAsiaTheme="minorEastAsia" w:cs="Times New Roman"/>
        </w:rPr>
        <w:t xml:space="preserve"> is the size of the subsidy, which is </w:t>
      </w:r>
      <w:r w:rsidR="00447210">
        <w:rPr>
          <w:rFonts w:eastAsiaTheme="minorEastAsia" w:cs="Times New Roman"/>
        </w:rPr>
        <w:t>often not considered</w:t>
      </w:r>
      <w:r w:rsidR="00EA4BF4">
        <w:rPr>
          <w:rFonts w:eastAsiaTheme="minorEastAsia" w:cs="Times New Roman"/>
        </w:rPr>
        <w:t xml:space="preserve"> sufficient to buy a house</w:t>
      </w:r>
      <w:r w:rsidR="00447210">
        <w:rPr>
          <w:rStyle w:val="FootnoteReference"/>
          <w:rFonts w:eastAsiaTheme="minorEastAsia" w:cs="Times New Roman"/>
        </w:rPr>
        <w:footnoteReference w:id="42"/>
      </w:r>
      <w:r w:rsidR="00EA4BF4">
        <w:rPr>
          <w:rFonts w:eastAsiaTheme="minorEastAsia" w:cs="Times New Roman"/>
        </w:rPr>
        <w:t xml:space="preserve">. </w:t>
      </w:r>
      <w:r w:rsidR="009C3637">
        <w:rPr>
          <w:rFonts w:eastAsiaTheme="minorEastAsia" w:cs="Times New Roman"/>
        </w:rPr>
        <w:t xml:space="preserve">Purchasing a house in the Georgian context is considered important for security of tenure, due to lack of a well-developed market for rent and as collateral for access to finance. </w:t>
      </w:r>
      <w:r w:rsidR="00EA4BF4">
        <w:rPr>
          <w:rFonts w:eastAsiaTheme="minorEastAsia" w:cs="Times New Roman"/>
        </w:rPr>
        <w:t xml:space="preserve">The amount is especially </w:t>
      </w:r>
      <w:r w:rsidR="002C3E23">
        <w:rPr>
          <w:rFonts w:eastAsiaTheme="minorEastAsia" w:cs="Times New Roman"/>
        </w:rPr>
        <w:t xml:space="preserve">low </w:t>
      </w:r>
      <w:r w:rsidR="00EA4BF4">
        <w:rPr>
          <w:rFonts w:eastAsiaTheme="minorEastAsia" w:cs="Times New Roman"/>
        </w:rPr>
        <w:t xml:space="preserve">for urban housing, where most livelihood opportunities for a landless IDP household would be. </w:t>
      </w:r>
      <w:r w:rsidR="00C365A1">
        <w:rPr>
          <w:rFonts w:eastAsiaTheme="minorEastAsia" w:cs="Times New Roman"/>
        </w:rPr>
        <w:t xml:space="preserve">IDP respondents in focus group discussions noted that the subsidy </w:t>
      </w:r>
      <w:r w:rsidR="00731217" w:rsidRPr="00F55E5A">
        <w:rPr>
          <w:rFonts w:eastAsiaTheme="minorEastAsia" w:cs="Times New Roman"/>
        </w:rPr>
        <w:t xml:space="preserve">can only be used when </w:t>
      </w:r>
      <w:r w:rsidR="00D10284" w:rsidRPr="00F55E5A">
        <w:rPr>
          <w:rFonts w:eastAsiaTheme="minorEastAsia" w:cs="Times New Roman"/>
        </w:rPr>
        <w:t>supplemented with a mortgage or</w:t>
      </w:r>
      <w:r w:rsidR="00731217" w:rsidRPr="00F55E5A">
        <w:rPr>
          <w:rFonts w:eastAsiaTheme="minorEastAsia" w:cs="Times New Roman"/>
        </w:rPr>
        <w:t xml:space="preserve"> a loan</w:t>
      </w:r>
      <w:r w:rsidR="00622470">
        <w:rPr>
          <w:rFonts w:eastAsiaTheme="minorEastAsia" w:cs="Times New Roman"/>
        </w:rPr>
        <w:t xml:space="preserve">. </w:t>
      </w:r>
      <w:r w:rsidR="00AF2CAD">
        <w:rPr>
          <w:rFonts w:eastAsiaTheme="minorEastAsia" w:cs="Times New Roman"/>
        </w:rPr>
        <w:t>T</w:t>
      </w:r>
      <w:r w:rsidR="00731217" w:rsidRPr="00F55E5A">
        <w:rPr>
          <w:rFonts w:eastAsiaTheme="minorEastAsia" w:cs="Times New Roman"/>
        </w:rPr>
        <w:t>he process</w:t>
      </w:r>
      <w:r w:rsidR="00AF2CAD">
        <w:rPr>
          <w:rFonts w:eastAsiaTheme="minorEastAsia" w:cs="Times New Roman"/>
        </w:rPr>
        <w:t xml:space="preserve"> of receiving the subsidy</w:t>
      </w:r>
      <w:r w:rsidR="00731217" w:rsidRPr="00F55E5A">
        <w:rPr>
          <w:rFonts w:eastAsiaTheme="minorEastAsia" w:cs="Times New Roman"/>
        </w:rPr>
        <w:t xml:space="preserve"> is</w:t>
      </w:r>
      <w:r w:rsidR="00731217" w:rsidRPr="00A1419C">
        <w:rPr>
          <w:rFonts w:eastAsiaTheme="minorEastAsia" w:cs="Times New Roman"/>
        </w:rPr>
        <w:t xml:space="preserve"> long and compl</w:t>
      </w:r>
      <w:r w:rsidR="00AF2CAD">
        <w:rPr>
          <w:rFonts w:eastAsiaTheme="minorEastAsia" w:cs="Times New Roman"/>
        </w:rPr>
        <w:t>ex</w:t>
      </w:r>
      <w:r w:rsidR="006E7B75">
        <w:rPr>
          <w:rFonts w:eastAsiaTheme="minorEastAsia" w:cs="Times New Roman"/>
        </w:rPr>
        <w:t>, which presents a coordination problem when house searching. IDPs need to negotiate purchase of a house with a seller but cannot rely on the timeframe in which they will receive the subsidy.</w:t>
      </w:r>
    </w:p>
    <w:p w14:paraId="424FA7D3" w14:textId="77777777" w:rsidR="00731217" w:rsidRDefault="00D10284" w:rsidP="00AA05AE">
      <w:pPr>
        <w:spacing w:before="100" w:beforeAutospacing="1" w:after="100" w:afterAutospacing="1" w:line="276" w:lineRule="auto"/>
        <w:ind w:left="720" w:right="-57"/>
        <w:contextualSpacing/>
        <w:rPr>
          <w:i/>
        </w:rPr>
      </w:pPr>
      <w:r w:rsidRPr="00F55E5A">
        <w:rPr>
          <w:i/>
        </w:rPr>
        <w:t xml:space="preserve"> </w:t>
      </w:r>
      <w:r w:rsidR="00731217" w:rsidRPr="00F55E5A">
        <w:rPr>
          <w:i/>
        </w:rPr>
        <w:t>“We applied, for assistance to buy an apartment, but it is not possible to b</w:t>
      </w:r>
      <w:r w:rsidR="00F55E5A">
        <w:rPr>
          <w:i/>
        </w:rPr>
        <w:t>uy an apartment for 20 000 GEL. T</w:t>
      </w:r>
      <w:r w:rsidR="00731217" w:rsidRPr="00F55E5A">
        <w:rPr>
          <w:i/>
        </w:rPr>
        <w:t>he only thing that</w:t>
      </w:r>
      <w:r w:rsidR="00F55E5A">
        <w:rPr>
          <w:i/>
        </w:rPr>
        <w:t xml:space="preserve"> can be bought for such a price is a cattle shed</w:t>
      </w:r>
      <w:r w:rsidR="00731217" w:rsidRPr="00F55E5A">
        <w:rPr>
          <w:i/>
        </w:rPr>
        <w:t xml:space="preserve">.” </w:t>
      </w:r>
      <w:r w:rsidR="00731217" w:rsidRPr="00F55E5A">
        <w:rPr>
          <w:rStyle w:val="FootnoteReference"/>
          <w:i/>
        </w:rPr>
        <w:footnoteReference w:id="43"/>
      </w:r>
    </w:p>
    <w:p w14:paraId="0990A893" w14:textId="77777777" w:rsidR="006E7B75" w:rsidRPr="00AC6A68" w:rsidRDefault="006E7B75" w:rsidP="00AA05AE">
      <w:pPr>
        <w:spacing w:before="100" w:beforeAutospacing="1" w:after="100" w:afterAutospacing="1" w:line="276" w:lineRule="auto"/>
        <w:ind w:left="720" w:right="-57"/>
        <w:contextualSpacing/>
        <w:rPr>
          <w:i/>
        </w:rPr>
      </w:pPr>
    </w:p>
    <w:p w14:paraId="55B2A73F" w14:textId="25B31B77" w:rsidR="006640C4" w:rsidRPr="00AC6A68" w:rsidRDefault="006640C4" w:rsidP="006640C4">
      <w:pPr>
        <w:spacing w:after="0"/>
        <w:ind w:left="720"/>
        <w:rPr>
          <w:i/>
        </w:rPr>
      </w:pPr>
      <w:r w:rsidRPr="00AC6A68">
        <w:rPr>
          <w:i/>
        </w:rPr>
        <w:lastRenderedPageBreak/>
        <w:t xml:space="preserve">“You should make an agreement between yourself and </w:t>
      </w:r>
      <w:r w:rsidR="002C3E23">
        <w:rPr>
          <w:i/>
        </w:rPr>
        <w:t>the</w:t>
      </w:r>
      <w:r w:rsidR="002C3E23" w:rsidRPr="00AC6A68">
        <w:rPr>
          <w:i/>
        </w:rPr>
        <w:t xml:space="preserve"> </w:t>
      </w:r>
      <w:r w:rsidRPr="00AC6A68">
        <w:rPr>
          <w:i/>
        </w:rPr>
        <w:t>person from whom you buy an apartment and then the government will pay directly to this person”</w:t>
      </w:r>
      <w:r w:rsidRPr="00AC6A68">
        <w:rPr>
          <w:rStyle w:val="FootnoteReference"/>
          <w:i/>
        </w:rPr>
        <w:footnoteReference w:id="44"/>
      </w:r>
    </w:p>
    <w:p w14:paraId="04E62BD0" w14:textId="77777777" w:rsidR="00B766AC" w:rsidRPr="00C43C1E" w:rsidRDefault="00B766AC" w:rsidP="00AA05AE">
      <w:pPr>
        <w:spacing w:after="0" w:line="276" w:lineRule="auto"/>
      </w:pPr>
    </w:p>
    <w:p w14:paraId="1FF96A0B" w14:textId="2AE86BA5" w:rsidR="00C170FA" w:rsidRPr="00C170FA" w:rsidRDefault="001B6EDD" w:rsidP="00C170FA">
      <w:pPr>
        <w:pStyle w:val="ListParagraph"/>
        <w:numPr>
          <w:ilvl w:val="0"/>
          <w:numId w:val="1"/>
        </w:numPr>
        <w:spacing w:after="0" w:line="276" w:lineRule="auto"/>
        <w:rPr>
          <w:b/>
        </w:rPr>
      </w:pPr>
      <w:r>
        <w:rPr>
          <w:b/>
        </w:rPr>
        <w:t xml:space="preserve">Poor coordination across various ministries and other authorities over IDP issues has also constrained policy implementation. </w:t>
      </w:r>
      <w:r>
        <w:t>There are many agencies and ministries involved in dealing with IDP issues, and the division of tasks across the agencies is not always clear to the beneficiaries. As a result, IDPs may have limited access to information and the benefits that are due to them. Despite efforts to decentralize services to the local level, resource and capacity constraints at this level c</w:t>
      </w:r>
      <w:r w:rsidR="00A35BC0">
        <w:t>hallenge</w:t>
      </w:r>
      <w:r>
        <w:t xml:space="preserve"> policy implementation. </w:t>
      </w:r>
      <w:r>
        <w:rPr>
          <w:b/>
        </w:rPr>
        <w:t xml:space="preserve"> </w:t>
      </w:r>
      <w:r w:rsidRPr="00C43C1E">
        <w:t xml:space="preserve">In addition, </w:t>
      </w:r>
      <w:r w:rsidR="00AC6A68">
        <w:t>MRA branches and SSA</w:t>
      </w:r>
      <w:r w:rsidRPr="00C43C1E">
        <w:t xml:space="preserve"> offices in the districts often work in isolation and without close coordination with other government institutions. This may result in central decision-making in Tbilisi without a clear picture of local IDP needs. </w:t>
      </w:r>
    </w:p>
    <w:p w14:paraId="6425E830" w14:textId="77777777" w:rsidR="00C170FA" w:rsidRDefault="00C170FA" w:rsidP="00C170FA">
      <w:pPr>
        <w:pStyle w:val="ListParagraph"/>
        <w:spacing w:after="0" w:line="276" w:lineRule="auto"/>
        <w:ind w:left="360"/>
        <w:rPr>
          <w:b/>
        </w:rPr>
      </w:pPr>
    </w:p>
    <w:p w14:paraId="2B47DD12" w14:textId="5EF97E11" w:rsidR="00C05D66" w:rsidRDefault="001B6EDD" w:rsidP="00C170FA">
      <w:pPr>
        <w:pStyle w:val="ListParagraph"/>
        <w:numPr>
          <w:ilvl w:val="0"/>
          <w:numId w:val="1"/>
        </w:numPr>
        <w:spacing w:after="0" w:line="276" w:lineRule="auto"/>
        <w:rPr>
          <w:b/>
        </w:rPr>
      </w:pPr>
      <w:r w:rsidRPr="00C170FA">
        <w:rPr>
          <w:b/>
        </w:rPr>
        <w:t>Various</w:t>
      </w:r>
      <w:r w:rsidR="00FB1FBC" w:rsidRPr="00C170FA">
        <w:rPr>
          <w:b/>
        </w:rPr>
        <w:t xml:space="preserve"> </w:t>
      </w:r>
      <w:r w:rsidRPr="00C170FA">
        <w:rPr>
          <w:b/>
        </w:rPr>
        <w:t>G</w:t>
      </w:r>
      <w:r w:rsidR="00FB1FBC" w:rsidRPr="00C170FA">
        <w:rPr>
          <w:b/>
        </w:rPr>
        <w:t>overnment institutions</w:t>
      </w:r>
      <w:r w:rsidR="00C05D66">
        <w:rPr>
          <w:b/>
        </w:rPr>
        <w:t>,</w:t>
      </w:r>
      <w:r w:rsidR="00FB1FBC" w:rsidRPr="00C170FA">
        <w:rPr>
          <w:b/>
        </w:rPr>
        <w:t xml:space="preserve"> </w:t>
      </w:r>
      <w:r w:rsidR="00C05D66">
        <w:rPr>
          <w:b/>
        </w:rPr>
        <w:t xml:space="preserve">in addition to the MRA, </w:t>
      </w:r>
      <w:r w:rsidRPr="00C170FA">
        <w:rPr>
          <w:b/>
        </w:rPr>
        <w:t>have direct responsibilities in</w:t>
      </w:r>
      <w:r w:rsidR="00C05D66">
        <w:rPr>
          <w:b/>
        </w:rPr>
        <w:t xml:space="preserve"> addressing the needs of IDPs:</w:t>
      </w:r>
    </w:p>
    <w:p w14:paraId="26DD4CED" w14:textId="77777777" w:rsidR="00C05D66" w:rsidRPr="0029555A" w:rsidRDefault="00C05D66" w:rsidP="0029555A">
      <w:pPr>
        <w:rPr>
          <w:b/>
        </w:rPr>
      </w:pPr>
    </w:p>
    <w:p w14:paraId="12635E60" w14:textId="67AAAC73" w:rsidR="00C170FA" w:rsidRPr="00C170FA" w:rsidRDefault="00FB1FBC" w:rsidP="00C05D66">
      <w:pPr>
        <w:pStyle w:val="ListParagraph"/>
        <w:numPr>
          <w:ilvl w:val="0"/>
          <w:numId w:val="16"/>
        </w:numPr>
        <w:spacing w:after="0" w:line="276" w:lineRule="auto"/>
        <w:rPr>
          <w:b/>
        </w:rPr>
      </w:pPr>
      <w:r w:rsidRPr="00C43C1E">
        <w:t>T</w:t>
      </w:r>
      <w:r w:rsidR="00D8174A" w:rsidRPr="00C43C1E">
        <w:t xml:space="preserve">he </w:t>
      </w:r>
      <w:r w:rsidR="00D8174A" w:rsidRPr="00C05D66">
        <w:rPr>
          <w:b/>
          <w:i/>
        </w:rPr>
        <w:t>Ministry of Labor, Health, and Social Affairs (MoLHSA</w:t>
      </w:r>
      <w:r w:rsidR="00C170FA" w:rsidRPr="00C05D66">
        <w:rPr>
          <w:b/>
          <w:i/>
        </w:rPr>
        <w:t>)</w:t>
      </w:r>
      <w:r w:rsidR="00C170FA">
        <w:t xml:space="preserve"> </w:t>
      </w:r>
      <w:r w:rsidR="00C170FA" w:rsidRPr="00C170FA">
        <w:rPr>
          <w:rFonts w:cs="Times New Roman"/>
          <w:noProof/>
        </w:rPr>
        <w:t>regulates and coordinates the operation of the social assistance system</w:t>
      </w:r>
      <w:r w:rsidR="00C170FA">
        <w:rPr>
          <w:rFonts w:cs="Times New Roman"/>
          <w:noProof/>
        </w:rPr>
        <w:t xml:space="preserve"> inclu</w:t>
      </w:r>
      <w:r w:rsidR="00E16971">
        <w:rPr>
          <w:rFonts w:cs="Times New Roman"/>
          <w:noProof/>
        </w:rPr>
        <w:t>d</w:t>
      </w:r>
      <w:r w:rsidR="00C170FA">
        <w:rPr>
          <w:rFonts w:cs="Times New Roman"/>
          <w:noProof/>
        </w:rPr>
        <w:t>ing the TSA</w:t>
      </w:r>
      <w:r w:rsidR="00C170FA" w:rsidRPr="00C170FA">
        <w:rPr>
          <w:rFonts w:cs="Times New Roman"/>
          <w:noProof/>
        </w:rPr>
        <w:t>, monitors the efficiency of social assistance, and develops methodologies for assessing household socioeconomic needs.</w:t>
      </w:r>
      <w:r w:rsidR="00C170FA" w:rsidRPr="00C43C1E">
        <w:rPr>
          <w:rStyle w:val="FootnoteReference"/>
          <w:noProof/>
          <w:color w:val="262626"/>
        </w:rPr>
        <w:footnoteReference w:id="45"/>
      </w:r>
      <w:r w:rsidR="00C170FA" w:rsidRPr="00C170FA">
        <w:rPr>
          <w:rFonts w:cs="Times New Roman"/>
          <w:noProof/>
          <w:color w:val="262626"/>
        </w:rPr>
        <w:t xml:space="preserve"> IDPs who receive social transfers, pensions, or employment assitance receive these benefits from the MoLHSA. </w:t>
      </w:r>
      <w:r w:rsidR="001B6EDD" w:rsidRPr="00C170FA">
        <w:rPr>
          <w:rFonts w:cs="Times New Roman"/>
          <w:noProof/>
        </w:rPr>
        <w:t>Qualita</w:t>
      </w:r>
      <w:r w:rsidR="002C3E23">
        <w:rPr>
          <w:rFonts w:cs="Times New Roman"/>
          <w:noProof/>
        </w:rPr>
        <w:t>t</w:t>
      </w:r>
      <w:r w:rsidR="001B6EDD" w:rsidRPr="00C170FA">
        <w:rPr>
          <w:rFonts w:cs="Times New Roman"/>
          <w:noProof/>
        </w:rPr>
        <w:t xml:space="preserve">ive research indicates that IDPs </w:t>
      </w:r>
      <w:r w:rsidR="00447210">
        <w:rPr>
          <w:rFonts w:cs="Times New Roman"/>
          <w:noProof/>
        </w:rPr>
        <w:t xml:space="preserve">perceive themselves to be </w:t>
      </w:r>
      <w:r w:rsidR="001B6EDD" w:rsidRPr="00C170FA">
        <w:rPr>
          <w:rFonts w:cs="Times New Roman"/>
          <w:noProof/>
        </w:rPr>
        <w:t xml:space="preserve">less informed of all social servcies provided, </w:t>
      </w:r>
      <w:r w:rsidR="00447210">
        <w:rPr>
          <w:rFonts w:cs="Times New Roman"/>
          <w:noProof/>
        </w:rPr>
        <w:t xml:space="preserve">possibly because they communicate mostly with the MRA, and have less interaction with </w:t>
      </w:r>
      <w:r w:rsidR="009B5ED4">
        <w:rPr>
          <w:rFonts w:cs="Times New Roman"/>
          <w:noProof/>
        </w:rPr>
        <w:t>programs administered by</w:t>
      </w:r>
      <w:r w:rsidR="001B6EDD" w:rsidRPr="00C170FA">
        <w:rPr>
          <w:rFonts w:cs="Times New Roman"/>
          <w:noProof/>
        </w:rPr>
        <w:t xml:space="preserve"> this Ministry.   </w:t>
      </w:r>
    </w:p>
    <w:p w14:paraId="68E7CB9F" w14:textId="77777777" w:rsidR="00C170FA" w:rsidRDefault="00C170FA" w:rsidP="00C170FA">
      <w:pPr>
        <w:pStyle w:val="ListParagraph"/>
      </w:pPr>
    </w:p>
    <w:p w14:paraId="610855D3" w14:textId="4EB2949B" w:rsidR="00C05D66" w:rsidRDefault="001B6EDD" w:rsidP="00C05D66">
      <w:pPr>
        <w:pStyle w:val="ListParagraph"/>
        <w:numPr>
          <w:ilvl w:val="0"/>
          <w:numId w:val="16"/>
        </w:numPr>
        <w:spacing w:after="0" w:line="276" w:lineRule="auto"/>
      </w:pPr>
      <w:r>
        <w:t>T</w:t>
      </w:r>
      <w:r w:rsidR="00D8174A" w:rsidRPr="00C43C1E">
        <w:t xml:space="preserve">he </w:t>
      </w:r>
      <w:r w:rsidR="00D8174A" w:rsidRPr="00C05D66">
        <w:rPr>
          <w:b/>
          <w:i/>
        </w:rPr>
        <w:t>Ministry of Education and Science (MoES)</w:t>
      </w:r>
      <w:r>
        <w:t xml:space="preserve"> </w:t>
      </w:r>
      <w:r w:rsidRPr="00C43C1E">
        <w:t>has sought to accommodate IDP needs by providing targeted services such as free school bus ride services</w:t>
      </w:r>
      <w:r w:rsidR="002C3E23">
        <w:t xml:space="preserve"> and </w:t>
      </w:r>
      <w:r w:rsidRPr="00C43C1E">
        <w:t xml:space="preserve">free textbooks, </w:t>
      </w:r>
      <w:r w:rsidR="0042009C">
        <w:t>as well as improving</w:t>
      </w:r>
      <w:r w:rsidRPr="00C43C1E">
        <w:t xml:space="preserve"> staffing and resources </w:t>
      </w:r>
      <w:r w:rsidR="0042009C">
        <w:t>for</w:t>
      </w:r>
      <w:r w:rsidR="0042009C" w:rsidRPr="00C43C1E">
        <w:t xml:space="preserve"> </w:t>
      </w:r>
      <w:r w:rsidRPr="00C43C1E">
        <w:t>underserved schools among IDP populations</w:t>
      </w:r>
      <w:r w:rsidR="00C05D66">
        <w:t>.</w:t>
      </w:r>
    </w:p>
    <w:p w14:paraId="5A878D36" w14:textId="77777777" w:rsidR="00C05D66" w:rsidRDefault="00C05D66" w:rsidP="00C05D66">
      <w:pPr>
        <w:pStyle w:val="ListParagraph"/>
      </w:pPr>
    </w:p>
    <w:p w14:paraId="50F9BC74" w14:textId="6B6FB79C" w:rsidR="00C05D66" w:rsidRDefault="00D8174A" w:rsidP="00C05D66">
      <w:pPr>
        <w:pStyle w:val="ListParagraph"/>
        <w:numPr>
          <w:ilvl w:val="1"/>
          <w:numId w:val="1"/>
        </w:numPr>
        <w:spacing w:after="0" w:line="276" w:lineRule="auto"/>
      </w:pPr>
      <w:r w:rsidRPr="00C43C1E">
        <w:t xml:space="preserve"> </w:t>
      </w:r>
      <w:r w:rsidR="00C05D66">
        <w:t>T</w:t>
      </w:r>
      <w:r w:rsidRPr="00C43C1E">
        <w:t xml:space="preserve">he </w:t>
      </w:r>
      <w:r w:rsidRPr="00C05D66">
        <w:rPr>
          <w:b/>
          <w:i/>
        </w:rPr>
        <w:t>Ministry of Agriculture (MoA)</w:t>
      </w:r>
      <w:r w:rsidR="00C05D66">
        <w:t xml:space="preserve"> </w:t>
      </w:r>
      <w:r w:rsidR="00C05D66" w:rsidRPr="00C05D66">
        <w:rPr>
          <w:rFonts w:cs="Times New Roman"/>
          <w:noProof/>
        </w:rPr>
        <w:t>does not have staff specifically charged with IDP issues. The MoA Agricultural Development Project targets all farmers in Georgia, including IDPs. However, IDP demand for assistance to support agriculture exceeds supply.  For example, agro vouchers are generally perceived as a good type of support but the vouchers are occasionally distributed too late.</w:t>
      </w:r>
      <w:r w:rsidR="00C05D66" w:rsidRPr="00C05D66">
        <w:rPr>
          <w:rStyle w:val="FootnoteReference"/>
          <w:noProof/>
        </w:rPr>
        <w:footnoteReference w:id="46"/>
      </w:r>
      <w:r w:rsidR="00C05D66" w:rsidRPr="00C05D66">
        <w:rPr>
          <w:rFonts w:cs="Times New Roman"/>
          <w:noProof/>
        </w:rPr>
        <w:t xml:space="preserve"> The share of income from agricultural activity varies from 10% to 70% among the focus group participants.  However, it is considered an unstable source of income by the majority of participating IDPs and further efforts by the line ministry may help to stabilize this key source of income and employment for IDPs. </w:t>
      </w:r>
      <w:r w:rsidR="00C05D66">
        <w:rPr>
          <w:rFonts w:cs="Times New Roman"/>
          <w:noProof/>
        </w:rPr>
        <w:t>Lack of land ownership is another constraint</w:t>
      </w:r>
      <w:r w:rsidR="00C05D66" w:rsidRPr="00C05D66">
        <w:rPr>
          <w:rFonts w:cs="Times New Roman"/>
          <w:noProof/>
        </w:rPr>
        <w:t xml:space="preserve"> </w:t>
      </w:r>
      <w:r w:rsidR="00C05D66">
        <w:rPr>
          <w:rFonts w:cs="Times New Roman"/>
          <w:noProof/>
        </w:rPr>
        <w:t>for IDPs who wish to develop income from agriculture. Ideas to support agricultural activities among IDPs have included programs to facilitate a land lease market.</w:t>
      </w:r>
      <w:r w:rsidR="007C4267">
        <w:rPr>
          <w:rFonts w:cs="Times New Roman"/>
          <w:noProof/>
        </w:rPr>
        <w:t xml:space="preserve"> An MoA program providing agricultural tools to IDPs was also considered effective.</w:t>
      </w:r>
    </w:p>
    <w:p w14:paraId="2C220F1D" w14:textId="77777777" w:rsidR="00C05D66" w:rsidRDefault="00C05D66" w:rsidP="00C05D66">
      <w:pPr>
        <w:pStyle w:val="ListParagraph"/>
      </w:pPr>
    </w:p>
    <w:p w14:paraId="58445AAA" w14:textId="17BF9775" w:rsidR="00B766AC" w:rsidRDefault="001B6EDD" w:rsidP="00C05D66">
      <w:pPr>
        <w:pStyle w:val="ListParagraph"/>
        <w:numPr>
          <w:ilvl w:val="0"/>
          <w:numId w:val="16"/>
        </w:numPr>
        <w:spacing w:after="0" w:line="276" w:lineRule="auto"/>
      </w:pPr>
      <w:r>
        <w:t>T</w:t>
      </w:r>
      <w:r w:rsidR="00D8174A" w:rsidRPr="00C43C1E">
        <w:t xml:space="preserve">he </w:t>
      </w:r>
      <w:r w:rsidR="00D8174A" w:rsidRPr="00C05D66">
        <w:rPr>
          <w:b/>
          <w:i/>
        </w:rPr>
        <w:t>Ministry of Regional Development and Infrastructure (M</w:t>
      </w:r>
      <w:r w:rsidR="006B7B63" w:rsidRPr="00C05D66">
        <w:rPr>
          <w:b/>
          <w:i/>
        </w:rPr>
        <w:t>o</w:t>
      </w:r>
      <w:r w:rsidR="00D8174A" w:rsidRPr="00C05D66">
        <w:rPr>
          <w:b/>
          <w:i/>
        </w:rPr>
        <w:t>RDI)</w:t>
      </w:r>
      <w:r w:rsidR="00D8174A" w:rsidRPr="00C43C1E">
        <w:t xml:space="preserve"> </w:t>
      </w:r>
      <w:r w:rsidRPr="00C43C1E">
        <w:t xml:space="preserve">works in close coordination with regional governments and municipalities in the local integration of IDPs, and in coordinating the regional implementation of the Action Plan. </w:t>
      </w:r>
    </w:p>
    <w:p w14:paraId="5DED097A" w14:textId="77777777" w:rsidR="00C170FA" w:rsidRDefault="00C170FA" w:rsidP="00C170FA">
      <w:pPr>
        <w:pStyle w:val="ListParagraph"/>
      </w:pPr>
    </w:p>
    <w:p w14:paraId="34ADB92C" w14:textId="2343EE6E" w:rsidR="00C170FA" w:rsidRDefault="00C170FA" w:rsidP="00C170FA">
      <w:pPr>
        <w:pStyle w:val="ListParagraph"/>
        <w:numPr>
          <w:ilvl w:val="1"/>
          <w:numId w:val="1"/>
        </w:numPr>
        <w:spacing w:after="0" w:line="276" w:lineRule="auto"/>
        <w:rPr>
          <w:rFonts w:cs="Arial"/>
        </w:rPr>
      </w:pPr>
      <w:r w:rsidRPr="00C05D66">
        <w:t>The</w:t>
      </w:r>
      <w:r w:rsidRPr="00C92554">
        <w:rPr>
          <w:b/>
        </w:rPr>
        <w:t xml:space="preserve"> </w:t>
      </w:r>
      <w:r w:rsidRPr="00C05D66">
        <w:rPr>
          <w:b/>
          <w:i/>
        </w:rPr>
        <w:t>Municipal Development Fund (MDF)</w:t>
      </w:r>
      <w:r w:rsidRPr="00C92554">
        <w:t xml:space="preserve"> is coordinated by the Supervisory Board and the Ministry of Regional Development and Infrastructure (MoRDI). Through its Infrastructure Rehabilitation Project the Fund has reconstructed some of the municipalities affected by the 2008 conflict. Furthermore, the fund has been working on rehabilitation and reconstruction of houses for IDPs. In cooperation with MRA the Fund presently acquires houses for IDPs in in West Georgia. The Fund has already completed rehabilitation and reconstruction housing projects for IDPs in several other parts of Georgia: “</w:t>
      </w:r>
      <w:r w:rsidRPr="00C92554">
        <w:rPr>
          <w:rFonts w:cs="Arial"/>
        </w:rPr>
        <w:t>Tskaltubo (400 apartments), Kutaisi (65 apartments), Poti (104 apartments) and Zugdidi (320 apartments</w:t>
      </w:r>
      <w:r w:rsidR="001C7054">
        <w:rPr>
          <w:rFonts w:cs="Arial"/>
        </w:rPr>
        <w:t>).</w:t>
      </w:r>
    </w:p>
    <w:p w14:paraId="5D7807A4" w14:textId="77777777" w:rsidR="00C05D66" w:rsidRPr="00136169" w:rsidRDefault="00C05D66" w:rsidP="00C05D66">
      <w:pPr>
        <w:pStyle w:val="ListParagraph"/>
        <w:spacing w:after="0" w:line="276" w:lineRule="auto"/>
        <w:ind w:left="1080"/>
        <w:rPr>
          <w:rFonts w:cs="Arial"/>
        </w:rPr>
      </w:pPr>
    </w:p>
    <w:p w14:paraId="5A0CC4D2" w14:textId="0A395282" w:rsidR="0029555A" w:rsidRPr="00C1253B" w:rsidRDefault="0029555A" w:rsidP="0029555A">
      <w:pPr>
        <w:pStyle w:val="ListParagraph"/>
        <w:numPr>
          <w:ilvl w:val="0"/>
          <w:numId w:val="1"/>
        </w:numPr>
        <w:spacing w:after="0" w:line="276" w:lineRule="auto"/>
        <w:rPr>
          <w:b/>
        </w:rPr>
      </w:pPr>
      <w:r>
        <w:rPr>
          <w:b/>
        </w:rPr>
        <w:t xml:space="preserve">In sum, while Georgia has a comprehensive legal and policy framework for IDP support, further efforts are needed to ensure that IDPs have equal information and opportunity to access all available services. </w:t>
      </w:r>
      <w:r>
        <w:t xml:space="preserve">These efforts can be directed at better outreach and awareness raising among IDPs on all services available to them beyond IDP assistance. This should entail stronger coordination between MRA and various line Ministries regarding communication on the respective service. In addition, strengthening capacity of local level service institutions is needed to be able to integrate IDPs adequately in existing service programs.  </w:t>
      </w:r>
    </w:p>
    <w:p w14:paraId="1B2917DA" w14:textId="77777777" w:rsidR="005327F8" w:rsidRPr="00C1253B" w:rsidRDefault="005327F8" w:rsidP="00C1253B">
      <w:pPr>
        <w:pStyle w:val="ListParagraph"/>
        <w:spacing w:after="0" w:line="276" w:lineRule="auto"/>
        <w:ind w:left="360"/>
        <w:rPr>
          <w:b/>
        </w:rPr>
      </w:pPr>
    </w:p>
    <w:p w14:paraId="1E32FBB1" w14:textId="7F1F277D" w:rsidR="00B23792" w:rsidRPr="0036006E" w:rsidRDefault="00C07DBB" w:rsidP="00F11058">
      <w:pPr>
        <w:pStyle w:val="ListParagraph"/>
        <w:numPr>
          <w:ilvl w:val="0"/>
          <w:numId w:val="1"/>
        </w:numPr>
        <w:spacing w:after="0" w:line="276" w:lineRule="auto"/>
        <w:rPr>
          <w:b/>
        </w:rPr>
      </w:pPr>
      <w:r w:rsidRPr="00C07DBB">
        <w:rPr>
          <w:b/>
        </w:rPr>
        <w:t xml:space="preserve">Coordination and clear division of stakeholder roles and responsibilities </w:t>
      </w:r>
      <w:r w:rsidR="00A13312">
        <w:rPr>
          <w:b/>
        </w:rPr>
        <w:t xml:space="preserve">will be essential </w:t>
      </w:r>
      <w:r w:rsidRPr="00C07DBB">
        <w:rPr>
          <w:b/>
        </w:rPr>
        <w:t xml:space="preserve">in </w:t>
      </w:r>
      <w:r w:rsidR="00A13312">
        <w:rPr>
          <w:b/>
        </w:rPr>
        <w:t xml:space="preserve">supporting </w:t>
      </w:r>
      <w:r w:rsidRPr="00C07DBB">
        <w:rPr>
          <w:b/>
        </w:rPr>
        <w:t xml:space="preserve">further adjustments to </w:t>
      </w:r>
      <w:r w:rsidRPr="00DD1BBD">
        <w:rPr>
          <w:b/>
        </w:rPr>
        <w:t>IDP assist</w:t>
      </w:r>
      <w:r w:rsidRPr="009728D4">
        <w:rPr>
          <w:b/>
        </w:rPr>
        <w:t>ance</w:t>
      </w:r>
      <w:r w:rsidR="00A13312">
        <w:rPr>
          <w:b/>
        </w:rPr>
        <w:t xml:space="preserve"> programs</w:t>
      </w:r>
      <w:r w:rsidRPr="009728D4">
        <w:rPr>
          <w:b/>
        </w:rPr>
        <w:t>.</w:t>
      </w:r>
      <w:r w:rsidRPr="00D6710B">
        <w:rPr>
          <w:b/>
        </w:rPr>
        <w:t xml:space="preserve"> </w:t>
      </w:r>
      <w:r>
        <w:t xml:space="preserve">While a large number of </w:t>
      </w:r>
      <w:r w:rsidR="00244E23">
        <w:t xml:space="preserve">governmental and non-governmental </w:t>
      </w:r>
      <w:r>
        <w:t>stakeholders</w:t>
      </w:r>
      <w:r w:rsidR="00244E23">
        <w:t xml:space="preserve"> </w:t>
      </w:r>
      <w:r>
        <w:t xml:space="preserve">have a direct impact on the situation of IDPs, </w:t>
      </w:r>
      <w:r w:rsidR="00A13312">
        <w:t xml:space="preserve">with the exception of the MRA, </w:t>
      </w:r>
      <w:r>
        <w:t>their responsibilities</w:t>
      </w:r>
      <w:r w:rsidR="00A13312">
        <w:t xml:space="preserve"> for IDP support</w:t>
      </w:r>
      <w:r>
        <w:t xml:space="preserve"> are not always clearly defined. This prevents adequate policy planning</w:t>
      </w:r>
      <w:r w:rsidR="00A13312">
        <w:t>,</w:t>
      </w:r>
      <w:r w:rsidR="00A26805">
        <w:t xml:space="preserve"> </w:t>
      </w:r>
      <w:r>
        <w:t xml:space="preserve">budgeting </w:t>
      </w:r>
      <w:r w:rsidR="00A13312">
        <w:t xml:space="preserve">and coordination of potential support to IDPs, particularly in mainstream programming where special attention to IDP needs is merited.  </w:t>
      </w:r>
      <w:r>
        <w:t xml:space="preserve">It also constrains the collection of </w:t>
      </w:r>
      <w:r w:rsidR="006859CD">
        <w:t xml:space="preserve">holistic </w:t>
      </w:r>
      <w:r>
        <w:t>baseline on IDP</w:t>
      </w:r>
      <w:r w:rsidR="006859CD">
        <w:t>s</w:t>
      </w:r>
      <w:r>
        <w:t xml:space="preserve"> </w:t>
      </w:r>
      <w:r w:rsidR="006859CD">
        <w:t>as the myriad different service providers collect their data independently.</w:t>
      </w:r>
      <w:r>
        <w:t xml:space="preserve"> </w:t>
      </w:r>
    </w:p>
    <w:p w14:paraId="2D973E04" w14:textId="77777777" w:rsidR="00B23792" w:rsidRPr="00C1253B" w:rsidRDefault="00B23792" w:rsidP="0036006E">
      <w:pPr>
        <w:pStyle w:val="ListParagraph"/>
        <w:spacing w:after="0" w:line="276" w:lineRule="auto"/>
        <w:ind w:left="360"/>
        <w:rPr>
          <w:b/>
        </w:rPr>
      </w:pPr>
    </w:p>
    <w:p w14:paraId="0CD670C8" w14:textId="7DFA09F2" w:rsidR="00536EC3" w:rsidRDefault="00C121DA" w:rsidP="0036006E">
      <w:pPr>
        <w:pStyle w:val="ListParagraph"/>
        <w:numPr>
          <w:ilvl w:val="0"/>
          <w:numId w:val="1"/>
        </w:numPr>
        <w:spacing w:after="0" w:line="276" w:lineRule="auto"/>
      </w:pPr>
      <w:r w:rsidRPr="0036006E">
        <w:rPr>
          <w:b/>
        </w:rPr>
        <w:t>Sharing of accountability for addressing IDP needs is an important step to ensure opportunities for long term integration</w:t>
      </w:r>
      <w:r w:rsidR="006859CD">
        <w:rPr>
          <w:b/>
        </w:rPr>
        <w:t>,</w:t>
      </w:r>
      <w:r w:rsidRPr="0036006E">
        <w:rPr>
          <w:b/>
        </w:rPr>
        <w:t xml:space="preserve"> should they </w:t>
      </w:r>
      <w:r w:rsidR="006859CD">
        <w:rPr>
          <w:b/>
        </w:rPr>
        <w:t>be desired.</w:t>
      </w:r>
      <w:r>
        <w:t xml:space="preserve"> In this regard, specific policy and program r</w:t>
      </w:r>
      <w:r w:rsidR="00C07DBB">
        <w:t xml:space="preserve">esponsibilities </w:t>
      </w:r>
      <w:r>
        <w:t xml:space="preserve">need to be built into national and local government programs, for example in </w:t>
      </w:r>
      <w:r w:rsidR="00A26805">
        <w:t xml:space="preserve">the </w:t>
      </w:r>
      <w:r>
        <w:t xml:space="preserve">areas of land, employment, small business development, housing, </w:t>
      </w:r>
      <w:r w:rsidR="00A26805">
        <w:t xml:space="preserve">and </w:t>
      </w:r>
      <w:r>
        <w:t xml:space="preserve">social protection, among others. </w:t>
      </w:r>
      <w:r w:rsidR="00A41006">
        <w:t>Annex I provides a more detailed map of stakeholders and key challenges in stakeholder coordination.</w:t>
      </w:r>
    </w:p>
    <w:p w14:paraId="703420C6" w14:textId="77777777" w:rsidR="009C7C1B" w:rsidRDefault="009C7C1B" w:rsidP="009C7C1B">
      <w:pPr>
        <w:pStyle w:val="ListParagraph"/>
      </w:pPr>
    </w:p>
    <w:p w14:paraId="664AB2B9" w14:textId="77777777" w:rsidR="009C7C1B" w:rsidRDefault="009C7C1B" w:rsidP="009C7C1B">
      <w:pPr>
        <w:pStyle w:val="ListParagraph"/>
        <w:spacing w:after="0" w:line="276" w:lineRule="auto"/>
        <w:ind w:left="360"/>
      </w:pPr>
    </w:p>
    <w:p w14:paraId="1357819A" w14:textId="77777777" w:rsidR="00C53B11" w:rsidRPr="0036006E" w:rsidRDefault="00C53B11" w:rsidP="009C7C1B">
      <w:pPr>
        <w:pStyle w:val="ListParagraph"/>
        <w:spacing w:after="0" w:line="276" w:lineRule="auto"/>
        <w:ind w:left="360"/>
      </w:pPr>
    </w:p>
    <w:p w14:paraId="45BAC3EB" w14:textId="77777777" w:rsidR="00B636E4" w:rsidRPr="00CF52CF" w:rsidRDefault="00B636E4" w:rsidP="00E6543B">
      <w:pPr>
        <w:spacing w:after="0" w:line="276" w:lineRule="auto"/>
      </w:pPr>
    </w:p>
    <w:p w14:paraId="28FAE644" w14:textId="25C950F7" w:rsidR="00232273" w:rsidRPr="00CF52CF" w:rsidRDefault="00232273" w:rsidP="00E6543B">
      <w:pPr>
        <w:pStyle w:val="Heading2"/>
        <w:spacing w:before="0" w:line="276" w:lineRule="auto"/>
        <w:rPr>
          <w:rFonts w:asciiTheme="minorHAnsi" w:hAnsiTheme="minorHAnsi"/>
          <w:color w:val="002060"/>
          <w:sz w:val="24"/>
          <w:szCs w:val="24"/>
        </w:rPr>
      </w:pPr>
      <w:bookmarkStart w:id="10" w:name="_Toc443046831"/>
      <w:r w:rsidRPr="00CF52CF">
        <w:rPr>
          <w:rFonts w:asciiTheme="minorHAnsi" w:hAnsiTheme="minorHAnsi"/>
          <w:color w:val="002060"/>
          <w:sz w:val="24"/>
          <w:szCs w:val="24"/>
          <w:u w:val="single"/>
        </w:rPr>
        <w:lastRenderedPageBreak/>
        <w:t xml:space="preserve">Key Finding </w:t>
      </w:r>
      <w:r w:rsidR="000B2BE7">
        <w:rPr>
          <w:rFonts w:asciiTheme="minorHAnsi" w:hAnsiTheme="minorHAnsi"/>
          <w:color w:val="002060"/>
          <w:sz w:val="24"/>
          <w:szCs w:val="24"/>
          <w:u w:val="single"/>
        </w:rPr>
        <w:t>2</w:t>
      </w:r>
      <w:r w:rsidRPr="00CF52CF">
        <w:rPr>
          <w:rFonts w:asciiTheme="minorHAnsi" w:hAnsiTheme="minorHAnsi"/>
          <w:color w:val="002060"/>
          <w:sz w:val="24"/>
          <w:szCs w:val="24"/>
        </w:rPr>
        <w:t xml:space="preserve">: </w:t>
      </w:r>
      <w:r w:rsidR="00B443A6">
        <w:rPr>
          <w:rFonts w:asciiTheme="minorHAnsi" w:hAnsiTheme="minorHAnsi"/>
          <w:color w:val="002060"/>
          <w:sz w:val="24"/>
          <w:szCs w:val="24"/>
        </w:rPr>
        <w:t>T</w:t>
      </w:r>
      <w:r w:rsidR="0054059D">
        <w:rPr>
          <w:rFonts w:asciiTheme="minorHAnsi" w:hAnsiTheme="minorHAnsi"/>
          <w:color w:val="002060"/>
          <w:sz w:val="24"/>
          <w:szCs w:val="24"/>
        </w:rPr>
        <w:t xml:space="preserve">here are no significant differences in poverty levels of </w:t>
      </w:r>
      <w:r w:rsidRPr="00CF52CF">
        <w:rPr>
          <w:rFonts w:asciiTheme="minorHAnsi" w:hAnsiTheme="minorHAnsi"/>
          <w:color w:val="002060"/>
          <w:sz w:val="24"/>
          <w:szCs w:val="24"/>
        </w:rPr>
        <w:t>IDPs and non-IDP</w:t>
      </w:r>
      <w:r w:rsidR="00B443A6">
        <w:rPr>
          <w:rFonts w:asciiTheme="minorHAnsi" w:hAnsiTheme="minorHAnsi"/>
          <w:color w:val="002060"/>
          <w:sz w:val="24"/>
          <w:szCs w:val="24"/>
        </w:rPr>
        <w:t xml:space="preserve">s; however, differences persist in </w:t>
      </w:r>
      <w:r w:rsidR="00ED14BB">
        <w:rPr>
          <w:rFonts w:asciiTheme="minorHAnsi" w:hAnsiTheme="minorHAnsi"/>
          <w:color w:val="002060"/>
          <w:sz w:val="24"/>
          <w:szCs w:val="24"/>
        </w:rPr>
        <w:t>unemployment and income security for IDPs</w:t>
      </w:r>
      <w:r w:rsidR="00B443A6">
        <w:rPr>
          <w:rFonts w:asciiTheme="minorHAnsi" w:hAnsiTheme="minorHAnsi"/>
          <w:color w:val="002060"/>
          <w:sz w:val="24"/>
          <w:szCs w:val="24"/>
        </w:rPr>
        <w:t>.</w:t>
      </w:r>
      <w:bookmarkEnd w:id="10"/>
      <w:r w:rsidR="0054059D">
        <w:rPr>
          <w:rFonts w:asciiTheme="minorHAnsi" w:hAnsiTheme="minorHAnsi"/>
          <w:color w:val="002060"/>
          <w:sz w:val="24"/>
          <w:szCs w:val="24"/>
        </w:rPr>
        <w:t xml:space="preserve"> </w:t>
      </w:r>
    </w:p>
    <w:p w14:paraId="3C6074A7" w14:textId="77777777" w:rsidR="00151D7E" w:rsidRDefault="00151D7E" w:rsidP="00E6543B">
      <w:pPr>
        <w:spacing w:after="0" w:line="276" w:lineRule="auto"/>
        <w:rPr>
          <w:b/>
        </w:rPr>
      </w:pPr>
    </w:p>
    <w:p w14:paraId="5B67FC1D" w14:textId="32538FCD" w:rsidR="00301E0A" w:rsidRPr="004E07E1" w:rsidRDefault="002C4394" w:rsidP="00C43C1E">
      <w:pPr>
        <w:pStyle w:val="ListParagraph"/>
        <w:numPr>
          <w:ilvl w:val="0"/>
          <w:numId w:val="1"/>
        </w:numPr>
        <w:spacing w:after="0" w:line="276" w:lineRule="auto"/>
        <w:rPr>
          <w:b/>
        </w:rPr>
      </w:pPr>
      <w:r>
        <w:rPr>
          <w:rFonts w:eastAsiaTheme="minorEastAsia"/>
          <w:b/>
        </w:rPr>
        <w:t>A recent World Bank study (2013)</w:t>
      </w:r>
      <w:r w:rsidR="00D262BB">
        <w:rPr>
          <w:rStyle w:val="FootnoteReference"/>
          <w:rFonts w:eastAsiaTheme="minorEastAsia"/>
          <w:b/>
        </w:rPr>
        <w:footnoteReference w:id="47"/>
      </w:r>
      <w:r w:rsidR="00ED14BB">
        <w:rPr>
          <w:rFonts w:eastAsiaTheme="minorEastAsia"/>
          <w:b/>
        </w:rPr>
        <w:t xml:space="preserve"> examined whether there are specific </w:t>
      </w:r>
      <w:r w:rsidR="00BA5940">
        <w:rPr>
          <w:rFonts w:eastAsiaTheme="minorEastAsia"/>
          <w:b/>
        </w:rPr>
        <w:t xml:space="preserve">vulnerabilities common to IDPs. </w:t>
      </w:r>
      <w:r w:rsidR="00BA5940" w:rsidRPr="00BA5940">
        <w:rPr>
          <w:rFonts w:eastAsiaTheme="minorEastAsia"/>
        </w:rPr>
        <w:t xml:space="preserve">The study identified seven areas </w:t>
      </w:r>
      <w:r w:rsidR="00BA5940">
        <w:rPr>
          <w:rFonts w:eastAsiaTheme="minorEastAsia"/>
        </w:rPr>
        <w:t>in which IDP populations in Georgia continue to face relative disadvantages and require more support:</w:t>
      </w:r>
      <w:r w:rsidR="00A926C3" w:rsidRPr="00BA5940">
        <w:rPr>
          <w:rFonts w:eastAsiaTheme="minorEastAsia"/>
        </w:rPr>
        <w:t xml:space="preserve"> (i) a higher</w:t>
      </w:r>
      <w:r w:rsidR="00A926C3" w:rsidRPr="00C43C1E">
        <w:rPr>
          <w:rFonts w:eastAsiaTheme="minorEastAsia"/>
        </w:rPr>
        <w:t xml:space="preserve"> risk for </w:t>
      </w:r>
      <w:r w:rsidR="00E902A5" w:rsidRPr="00C43C1E">
        <w:rPr>
          <w:rFonts w:eastAsiaTheme="minorEastAsia"/>
        </w:rPr>
        <w:t xml:space="preserve">long-term poverty; (ii) high variability in </w:t>
      </w:r>
      <w:r w:rsidR="00006EF9" w:rsidRPr="00C43C1E">
        <w:rPr>
          <w:rFonts w:eastAsiaTheme="minorEastAsia"/>
        </w:rPr>
        <w:t>sources of</w:t>
      </w:r>
      <w:r w:rsidR="00E902A5" w:rsidRPr="00C43C1E">
        <w:rPr>
          <w:rFonts w:eastAsiaTheme="minorEastAsia"/>
        </w:rPr>
        <w:t xml:space="preserve"> income</w:t>
      </w:r>
      <w:r w:rsidR="00E902A5" w:rsidRPr="00C43C1E">
        <w:t>;</w:t>
      </w:r>
      <w:r w:rsidR="00E902A5" w:rsidRPr="00C43C1E">
        <w:rPr>
          <w:rFonts w:eastAsiaTheme="minorEastAsia"/>
        </w:rPr>
        <w:t xml:space="preserve"> </w:t>
      </w:r>
      <w:r w:rsidR="004A4158" w:rsidRPr="00C43C1E">
        <w:t>(iii</w:t>
      </w:r>
      <w:r w:rsidR="00F50822" w:rsidRPr="00C43C1E">
        <w:t>)</w:t>
      </w:r>
      <w:r w:rsidR="00BA5940">
        <w:t xml:space="preserve"> a high risk of</w:t>
      </w:r>
      <w:r w:rsidR="006558C0" w:rsidRPr="00C43C1E">
        <w:t xml:space="preserve"> unemployment; (</w:t>
      </w:r>
      <w:r w:rsidR="004A4158" w:rsidRPr="00C43C1E">
        <w:t>i</w:t>
      </w:r>
      <w:r w:rsidR="006558C0" w:rsidRPr="00C43C1E">
        <w:t>v)</w:t>
      </w:r>
      <w:r w:rsidR="00F50822" w:rsidRPr="00C43C1E">
        <w:t xml:space="preserve"> isolation and exclusion from broader social networks; </w:t>
      </w:r>
      <w:r w:rsidR="00F50822" w:rsidRPr="00C43C1E">
        <w:rPr>
          <w:rFonts w:eastAsiaTheme="minorEastAsia"/>
        </w:rPr>
        <w:t>(v</w:t>
      </w:r>
      <w:r w:rsidR="00E902A5" w:rsidRPr="00C43C1E">
        <w:rPr>
          <w:rFonts w:eastAsiaTheme="minorEastAsia"/>
        </w:rPr>
        <w:t xml:space="preserve">) </w:t>
      </w:r>
      <w:r w:rsidR="00CF06E2" w:rsidRPr="00C43C1E">
        <w:t>sub-p</w:t>
      </w:r>
      <w:r w:rsidR="00D10873" w:rsidRPr="00C43C1E">
        <w:t>ar housing, especially for</w:t>
      </w:r>
      <w:r w:rsidR="00CF06E2" w:rsidRPr="00C43C1E">
        <w:t xml:space="preserve"> IDPs living in collective centers</w:t>
      </w:r>
      <w:r w:rsidR="004A4158" w:rsidRPr="00C43C1E">
        <w:t>; (vi</w:t>
      </w:r>
      <w:r w:rsidR="00CF06E2" w:rsidRPr="00C43C1E">
        <w:t xml:space="preserve">) </w:t>
      </w:r>
      <w:r w:rsidR="00F50822" w:rsidRPr="00C43C1E">
        <w:rPr>
          <w:rFonts w:eastAsiaTheme="minorEastAsia"/>
        </w:rPr>
        <w:t>mental health problems that include</w:t>
      </w:r>
      <w:r w:rsidR="00F50822" w:rsidRPr="00C43C1E">
        <w:t xml:space="preserve"> depression, alcoholism, domestic violence, and listlessnes</w:t>
      </w:r>
      <w:r w:rsidR="00CF06E2" w:rsidRPr="00C43C1E">
        <w:t>s</w:t>
      </w:r>
      <w:r w:rsidR="00303E7B">
        <w:t xml:space="preserve"> and (v</w:t>
      </w:r>
      <w:r w:rsidR="00BA5940">
        <w:t>ii</w:t>
      </w:r>
      <w:r w:rsidR="00303E7B">
        <w:t>) poorer access to education</w:t>
      </w:r>
      <w:r w:rsidR="00CF06E2" w:rsidRPr="00C43C1E">
        <w:t>.</w:t>
      </w:r>
    </w:p>
    <w:p w14:paraId="3F3FCF62" w14:textId="79DD24B9" w:rsidR="00F50822" w:rsidRPr="00C43C1E" w:rsidRDefault="00F50822" w:rsidP="008E5ECF">
      <w:pPr>
        <w:spacing w:after="0" w:line="276" w:lineRule="auto"/>
        <w:jc w:val="left"/>
        <w:rPr>
          <w:b/>
        </w:rPr>
      </w:pPr>
    </w:p>
    <w:p w14:paraId="0E03BD31" w14:textId="77777777" w:rsidR="00F50822" w:rsidRPr="00C43C1E" w:rsidRDefault="00F50822" w:rsidP="00C43C1E">
      <w:pPr>
        <w:spacing w:after="0" w:line="276" w:lineRule="auto"/>
        <w:rPr>
          <w:b/>
          <w:i/>
        </w:rPr>
      </w:pPr>
      <w:r w:rsidRPr="00C43C1E">
        <w:rPr>
          <w:b/>
          <w:i/>
        </w:rPr>
        <w:t xml:space="preserve">Income and Poverty </w:t>
      </w:r>
    </w:p>
    <w:p w14:paraId="407DCB6E" w14:textId="77777777" w:rsidR="00F50822" w:rsidRPr="00C43C1E" w:rsidRDefault="00F50822" w:rsidP="00C43C1E">
      <w:pPr>
        <w:spacing w:after="0" w:line="276" w:lineRule="auto"/>
        <w:rPr>
          <w:b/>
          <w:i/>
        </w:rPr>
      </w:pPr>
    </w:p>
    <w:p w14:paraId="062AE366" w14:textId="6FEE9866" w:rsidR="008E5ECF" w:rsidRPr="008E5ECF" w:rsidRDefault="00232273" w:rsidP="00C1253B">
      <w:pPr>
        <w:pStyle w:val="ListParagraph"/>
        <w:numPr>
          <w:ilvl w:val="0"/>
          <w:numId w:val="1"/>
        </w:numPr>
        <w:spacing w:after="0" w:line="276" w:lineRule="auto"/>
        <w:ind w:left="720" w:hanging="720"/>
        <w:rPr>
          <w:rFonts w:eastAsiaTheme="minorEastAsia" w:cs="Times New Roman"/>
          <w:bCs/>
        </w:rPr>
      </w:pPr>
      <w:r w:rsidRPr="008E5ECF">
        <w:rPr>
          <w:b/>
        </w:rPr>
        <w:t>IDP poverty levels are similar to those of the local population but the make-up of inc</w:t>
      </w:r>
      <w:r w:rsidR="00870214" w:rsidRPr="008E5ECF">
        <w:rPr>
          <w:b/>
        </w:rPr>
        <w:t>ome is different for IDP and non</w:t>
      </w:r>
      <w:r w:rsidRPr="008E5ECF">
        <w:rPr>
          <w:b/>
        </w:rPr>
        <w:t>-IDP populations.</w:t>
      </w:r>
      <w:r w:rsidRPr="008E5ECF">
        <w:rPr>
          <w:rFonts w:cs="Times New Roman"/>
        </w:rPr>
        <w:t xml:space="preserve">  </w:t>
      </w:r>
      <w:r w:rsidR="008E5ECF" w:rsidRPr="008E5ECF">
        <w:rPr>
          <w:rFonts w:cs="Times New Roman"/>
        </w:rPr>
        <w:t xml:space="preserve">Table 1 below shows that location is a stronger factor for poverty than displacement i.e. IDPs in Tbilisi are less likely to be poor than non-IDPs in rural areas. However, for every regional category – Tbilisi, other urban, or rural – IDPs have slightly higher likelihood to be poor. </w:t>
      </w:r>
      <w:r w:rsidR="006C542F" w:rsidRPr="008E5ECF">
        <w:rPr>
          <w:rFonts w:cs="Times New Roman"/>
        </w:rPr>
        <w:t xml:space="preserve"> </w:t>
      </w:r>
      <w:r w:rsidR="008E5ECF" w:rsidRPr="008E5ECF">
        <w:rPr>
          <w:rFonts w:cs="Times New Roman"/>
        </w:rPr>
        <w:t xml:space="preserve">The same is confirmed when looking at median incomes of </w:t>
      </w:r>
      <w:r w:rsidR="00781420">
        <w:rPr>
          <w:rFonts w:cs="Times New Roman"/>
        </w:rPr>
        <w:t>I</w:t>
      </w:r>
      <w:r w:rsidR="008E5ECF" w:rsidRPr="008E5ECF">
        <w:rPr>
          <w:rFonts w:cs="Times New Roman"/>
        </w:rPr>
        <w:t xml:space="preserve">DPs and non-IDPs (Table 2). </w:t>
      </w:r>
      <w:r w:rsidR="00781420">
        <w:rPr>
          <w:rFonts w:cs="Times New Roman"/>
        </w:rPr>
        <w:t>More details on poverty comparisons between IDPs and non-IDPs in three different surveys (Geostat, UNDP, UNHCR) are discussed in Annex II.</w:t>
      </w:r>
      <w:r w:rsidR="00781420">
        <w:rPr>
          <w:rStyle w:val="FootnoteReference"/>
          <w:rFonts w:cs="Times New Roman"/>
        </w:rPr>
        <w:footnoteReference w:id="48"/>
      </w:r>
      <w:r w:rsidR="00781420">
        <w:rPr>
          <w:rFonts w:cs="Times New Roman"/>
        </w:rPr>
        <w:t xml:space="preserve"> </w:t>
      </w:r>
    </w:p>
    <w:p w14:paraId="79D006E3" w14:textId="4C8E4FC0" w:rsidR="008E5ECF" w:rsidRDefault="008E5ECF" w:rsidP="008E5ECF">
      <w:pPr>
        <w:spacing w:after="0" w:line="276" w:lineRule="auto"/>
        <w:jc w:val="left"/>
        <w:rPr>
          <w:rFonts w:eastAsiaTheme="minorEastAsia" w:cs="Times New Roman"/>
          <w:bCs/>
        </w:rPr>
      </w:pPr>
    </w:p>
    <w:p w14:paraId="1251BD77" w14:textId="77777777" w:rsidR="003E007E" w:rsidRDefault="003E007E" w:rsidP="008E5ECF">
      <w:pPr>
        <w:spacing w:after="0" w:line="276" w:lineRule="auto"/>
        <w:jc w:val="left"/>
        <w:rPr>
          <w:rFonts w:eastAsiaTheme="minorEastAsia" w:cs="Times New Roman"/>
          <w:bCs/>
        </w:rPr>
      </w:pPr>
    </w:p>
    <w:p w14:paraId="79459638" w14:textId="77777777" w:rsidR="008E5ECF" w:rsidRPr="004E07E1" w:rsidRDefault="008E5ECF" w:rsidP="008E5ECF">
      <w:pPr>
        <w:spacing w:line="276" w:lineRule="auto"/>
        <w:jc w:val="left"/>
        <w:rPr>
          <w:rFonts w:eastAsiaTheme="minorEastAsia" w:cs="Times New Roman"/>
          <w:bCs/>
          <w:i/>
        </w:rPr>
      </w:pPr>
      <w:r w:rsidRPr="004E07E1">
        <w:rPr>
          <w:rFonts w:eastAsiaTheme="minorEastAsia" w:cs="Times New Roman"/>
          <w:bCs/>
          <w:i/>
        </w:rPr>
        <w:t>Table 1: Poverty Rates among IDPs and non-IDPs</w:t>
      </w:r>
    </w:p>
    <w:p w14:paraId="41B59586" w14:textId="2BF3EB9D" w:rsidR="00D80F20" w:rsidRDefault="008E5ECF" w:rsidP="00C1253B">
      <w:pPr>
        <w:pStyle w:val="ListParagraph"/>
        <w:ind w:left="360"/>
        <w:jc w:val="left"/>
      </w:pPr>
      <w:r w:rsidRPr="00775AEB">
        <w:rPr>
          <w:noProof/>
          <w:szCs w:val="20"/>
        </w:rPr>
        <w:drawing>
          <wp:inline distT="0" distB="0" distL="0" distR="0" wp14:anchorId="3C3119D9" wp14:editId="42B962F6">
            <wp:extent cx="3971925" cy="1362075"/>
            <wp:effectExtent l="19050" t="0" r="9525"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3971925" cy="1362075"/>
                    </a:xfrm>
                    <a:prstGeom prst="rect">
                      <a:avLst/>
                    </a:prstGeom>
                    <a:noFill/>
                    <a:ln w="9525">
                      <a:noFill/>
                      <a:miter lim="800000"/>
                      <a:headEnd/>
                      <a:tailEnd/>
                    </a:ln>
                  </pic:spPr>
                </pic:pic>
              </a:graphicData>
            </a:graphic>
          </wp:inline>
        </w:drawing>
      </w:r>
    </w:p>
    <w:p w14:paraId="6E361E47" w14:textId="77777777" w:rsidR="00D80F20" w:rsidRDefault="00D80F20" w:rsidP="008E5ECF">
      <w:pPr>
        <w:jc w:val="left"/>
        <w:rPr>
          <w:rFonts w:eastAsiaTheme="minorEastAsia" w:cs="Times New Roman"/>
          <w:bCs/>
        </w:rPr>
      </w:pPr>
    </w:p>
    <w:p w14:paraId="20FC0056" w14:textId="77777777" w:rsidR="003B6DB3" w:rsidRDefault="003B6DB3" w:rsidP="008E5ECF">
      <w:pPr>
        <w:jc w:val="left"/>
        <w:rPr>
          <w:rFonts w:eastAsiaTheme="minorEastAsia" w:cs="Times New Roman"/>
          <w:bCs/>
        </w:rPr>
      </w:pPr>
    </w:p>
    <w:p w14:paraId="1F13AB64" w14:textId="77777777" w:rsidR="00C53B11" w:rsidRDefault="00C53B11" w:rsidP="008E5ECF">
      <w:pPr>
        <w:jc w:val="left"/>
        <w:rPr>
          <w:rFonts w:eastAsiaTheme="minorEastAsia" w:cs="Times New Roman"/>
          <w:bCs/>
        </w:rPr>
      </w:pPr>
    </w:p>
    <w:p w14:paraId="50A2E8E1" w14:textId="77777777" w:rsidR="00C53B11" w:rsidRDefault="00C53B11" w:rsidP="008E5ECF">
      <w:pPr>
        <w:jc w:val="left"/>
        <w:rPr>
          <w:rFonts w:eastAsiaTheme="minorEastAsia" w:cs="Times New Roman"/>
          <w:bCs/>
        </w:rPr>
      </w:pPr>
    </w:p>
    <w:p w14:paraId="694E2808" w14:textId="3F499E05" w:rsidR="008E5ECF" w:rsidRPr="008E5ECF" w:rsidRDefault="008E5ECF" w:rsidP="008E5ECF">
      <w:pPr>
        <w:jc w:val="left"/>
        <w:rPr>
          <w:rFonts w:eastAsiaTheme="minorEastAsia" w:cs="Times New Roman"/>
          <w:bCs/>
          <w:i/>
        </w:rPr>
      </w:pPr>
      <w:r w:rsidRPr="008E5ECF">
        <w:rPr>
          <w:rFonts w:eastAsiaTheme="minorEastAsia" w:cs="Times New Roman"/>
          <w:bCs/>
          <w:i/>
        </w:rPr>
        <w:lastRenderedPageBreak/>
        <w:t>Table 2: Median Income of IDPs and non-IDPs</w:t>
      </w:r>
      <w:r w:rsidR="007F7ED1">
        <w:rPr>
          <w:rFonts w:eastAsiaTheme="minorEastAsia" w:cs="Times New Roman"/>
          <w:bCs/>
          <w:i/>
        </w:rPr>
        <w:t>, in GEL/month per household</w:t>
      </w:r>
      <w:r w:rsidR="00EC28F8">
        <w:rPr>
          <w:rStyle w:val="FootnoteReference"/>
          <w:rFonts w:eastAsiaTheme="minorEastAsia" w:cs="Times New Roman"/>
          <w:bCs/>
          <w:i/>
        </w:rPr>
        <w:footnoteReference w:id="49"/>
      </w:r>
    </w:p>
    <w:p w14:paraId="7662A959" w14:textId="77777777" w:rsidR="008E5ECF" w:rsidRPr="00BE47BD" w:rsidRDefault="008E5ECF" w:rsidP="008E5ECF">
      <w:pPr>
        <w:pStyle w:val="ListParagraph"/>
        <w:ind w:left="360"/>
        <w:jc w:val="left"/>
        <w:rPr>
          <w:rFonts w:ascii="Times New Roman" w:eastAsiaTheme="minorEastAsia" w:hAnsi="Times New Roman" w:cs="Times New Roman"/>
          <w:sz w:val="24"/>
          <w:szCs w:val="20"/>
        </w:rPr>
      </w:pPr>
      <w:r w:rsidRPr="002162A4">
        <w:rPr>
          <w:noProof/>
        </w:rPr>
        <w:drawing>
          <wp:inline distT="0" distB="0" distL="0" distR="0" wp14:anchorId="5D165BFF" wp14:editId="3DD41D4E">
            <wp:extent cx="3971925" cy="1304925"/>
            <wp:effectExtent l="19050" t="0" r="9525"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a:stretch>
                      <a:fillRect/>
                    </a:stretch>
                  </pic:blipFill>
                  <pic:spPr bwMode="auto">
                    <a:xfrm>
                      <a:off x="0" y="0"/>
                      <a:ext cx="3971925" cy="1304925"/>
                    </a:xfrm>
                    <a:prstGeom prst="rect">
                      <a:avLst/>
                    </a:prstGeom>
                    <a:noFill/>
                    <a:ln w="9525">
                      <a:noFill/>
                      <a:miter lim="800000"/>
                      <a:headEnd/>
                      <a:tailEnd/>
                    </a:ln>
                  </pic:spPr>
                </pic:pic>
              </a:graphicData>
            </a:graphic>
          </wp:inline>
        </w:drawing>
      </w:r>
    </w:p>
    <w:p w14:paraId="7B23FDB7" w14:textId="77777777" w:rsidR="008E5ECF" w:rsidRDefault="008E5ECF" w:rsidP="008E5ECF">
      <w:pPr>
        <w:spacing w:after="0" w:line="276" w:lineRule="auto"/>
        <w:jc w:val="left"/>
        <w:rPr>
          <w:rFonts w:eastAsiaTheme="minorEastAsia" w:cs="Times New Roman"/>
          <w:bCs/>
        </w:rPr>
      </w:pPr>
    </w:p>
    <w:p w14:paraId="2EC93D68" w14:textId="77777777" w:rsidR="008E5ECF" w:rsidRPr="008E5ECF" w:rsidRDefault="008E5ECF" w:rsidP="008E5ECF">
      <w:pPr>
        <w:spacing w:after="0" w:line="276" w:lineRule="auto"/>
        <w:jc w:val="left"/>
        <w:rPr>
          <w:rFonts w:eastAsiaTheme="minorEastAsia" w:cs="Times New Roman"/>
          <w:bCs/>
        </w:rPr>
      </w:pPr>
    </w:p>
    <w:p w14:paraId="26879376" w14:textId="44F6CE70" w:rsidR="008E5ECF" w:rsidRDefault="008E5ECF" w:rsidP="008E5ECF">
      <w:pPr>
        <w:pStyle w:val="ListParagraph"/>
        <w:numPr>
          <w:ilvl w:val="0"/>
          <w:numId w:val="1"/>
        </w:numPr>
        <w:spacing w:after="0" w:line="276" w:lineRule="auto"/>
        <w:ind w:left="720" w:hanging="720"/>
      </w:pPr>
      <w:r w:rsidRPr="008E5ECF">
        <w:rPr>
          <w:rFonts w:cs="Times New Roman"/>
          <w:b/>
        </w:rPr>
        <w:t>Sources of income indicate a higher dependence of IDPs on social transfers such as pensions, scholarships, and social assistance, and on remittances.</w:t>
      </w:r>
      <w:r>
        <w:rPr>
          <w:rFonts w:cs="Times New Roman"/>
        </w:rPr>
        <w:t xml:space="preserve"> The share of income from hired employment is similar for both IDPs and non-</w:t>
      </w:r>
      <w:r w:rsidR="00995290">
        <w:rPr>
          <w:rFonts w:cs="Times New Roman"/>
        </w:rPr>
        <w:t>IDPs. Qualitative research confi</w:t>
      </w:r>
      <w:r>
        <w:rPr>
          <w:rFonts w:cs="Times New Roman"/>
        </w:rPr>
        <w:t xml:space="preserve">rms that unemployment is considered a key challenge for both IDP </w:t>
      </w:r>
      <w:r w:rsidR="00995290">
        <w:rPr>
          <w:rFonts w:cs="Times New Roman"/>
        </w:rPr>
        <w:t xml:space="preserve">and non-IDP groups. It is also worth noting that IDPs have significantly lower shares of income from agricultural production and somewhat lower incomes from self-employment due to lack of access to land and collateral for credit.  IDPs also tend to be more reliant on remittances. </w:t>
      </w:r>
      <w:r w:rsidRPr="00C43C1E">
        <w:t xml:space="preserve">The difference in these sources of income is significant, as it points to IDP households relying much more on state aid and the aid of relatives working abroad, and therefore having less control over the amount they make. </w:t>
      </w:r>
    </w:p>
    <w:p w14:paraId="696085A4" w14:textId="4153222B" w:rsidR="00202852" w:rsidRDefault="00202852" w:rsidP="00202852">
      <w:pPr>
        <w:tabs>
          <w:tab w:val="left" w:pos="360"/>
        </w:tabs>
        <w:spacing w:after="0" w:line="276" w:lineRule="auto"/>
        <w:rPr>
          <w:i/>
        </w:rPr>
      </w:pPr>
      <w:r w:rsidRPr="008E5ECF">
        <w:rPr>
          <w:rFonts w:eastAsiaTheme="minorEastAsia" w:cs="Times New Roman"/>
          <w:bCs/>
          <w:noProof/>
          <w:sz w:val="24"/>
          <w:szCs w:val="24"/>
        </w:rPr>
        <mc:AlternateContent>
          <mc:Choice Requires="wpc">
            <w:drawing>
              <wp:anchor distT="0" distB="0" distL="114300" distR="114300" simplePos="0" relativeHeight="251657216" behindDoc="0" locked="0" layoutInCell="1" allowOverlap="1" wp14:anchorId="70D82DF7" wp14:editId="560FD822">
                <wp:simplePos x="0" y="0"/>
                <wp:positionH relativeFrom="column">
                  <wp:posOffset>-29845</wp:posOffset>
                </wp:positionH>
                <wp:positionV relativeFrom="paragraph">
                  <wp:posOffset>474345</wp:posOffset>
                </wp:positionV>
                <wp:extent cx="4743450" cy="1818640"/>
                <wp:effectExtent l="0" t="0" r="38100" b="0"/>
                <wp:wrapTopAndBottom/>
                <wp:docPr id="5" name="Canvas 107374204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073741977" name="Rectangle 125"/>
                        <wps:cNvSpPr>
                          <a:spLocks noChangeArrowheads="1"/>
                        </wps:cNvSpPr>
                        <wps:spPr bwMode="auto">
                          <a:xfrm>
                            <a:off x="28575" y="19050"/>
                            <a:ext cx="0" cy="0"/>
                          </a:xfrm>
                          <a:prstGeom prst="rect">
                            <a:avLst/>
                          </a:prstGeom>
                          <a:noFill/>
                          <a:ln>
                            <a:noFill/>
                          </a:ln>
                          <a:extLst/>
                        </wps:spPr>
                        <wps:txbx>
                          <w:txbxContent>
                            <w:p w14:paraId="75AD82DE" w14:textId="77777777" w:rsidR="00960899" w:rsidRPr="00171C7D" w:rsidRDefault="00960899" w:rsidP="00202852">
                              <w:pPr>
                                <w:rPr>
                                  <w:sz w:val="20"/>
                                  <w:szCs w:val="20"/>
                                </w:rPr>
                              </w:pPr>
                              <w:r w:rsidRPr="00171C7D">
                                <w:rPr>
                                  <w:rFonts w:ascii="Cambria" w:hAnsi="Cambria" w:cs="Cambria"/>
                                  <w:color w:val="000000"/>
                                  <w:sz w:val="20"/>
                                  <w:szCs w:val="20"/>
                                </w:rPr>
                                <w:t>Sources of Income</w:t>
                              </w:r>
                              <w:r>
                                <w:rPr>
                                  <w:rFonts w:ascii="Cambria" w:hAnsi="Cambria" w:cs="Cambria"/>
                                  <w:color w:val="000000"/>
                                  <w:sz w:val="20"/>
                                  <w:szCs w:val="20"/>
                                </w:rPr>
                                <w:t xml:space="preserve">      </w:t>
                              </w:r>
                            </w:p>
                          </w:txbxContent>
                        </wps:txbx>
                        <wps:bodyPr rot="0" vert="horz" wrap="none" lIns="0" tIns="0" rIns="0" bIns="0" anchor="t" anchorCtr="0">
                          <a:spAutoFit/>
                        </wps:bodyPr>
                      </wps:wsp>
                      <wps:wsp>
                        <wps:cNvPr id="1073741978" name="Rectangle 126"/>
                        <wps:cNvSpPr>
                          <a:spLocks noChangeArrowheads="1"/>
                        </wps:cNvSpPr>
                        <wps:spPr bwMode="auto">
                          <a:xfrm>
                            <a:off x="3124200" y="19050"/>
                            <a:ext cx="148590" cy="0"/>
                          </a:xfrm>
                          <a:prstGeom prst="rect">
                            <a:avLst/>
                          </a:prstGeom>
                          <a:noFill/>
                          <a:ln>
                            <a:noFill/>
                          </a:ln>
                          <a:extLst/>
                        </wps:spPr>
                        <wps:txbx>
                          <w:txbxContent>
                            <w:p w14:paraId="1C827C88" w14:textId="77777777" w:rsidR="00960899" w:rsidRPr="00171C7D" w:rsidRDefault="00960899" w:rsidP="00202852">
                              <w:pPr>
                                <w:rPr>
                                  <w:sz w:val="20"/>
                                  <w:szCs w:val="20"/>
                                </w:rPr>
                              </w:pPr>
                              <w:r w:rsidRPr="00171C7D">
                                <w:rPr>
                                  <w:rFonts w:ascii="Cambria" w:hAnsi="Cambria" w:cs="Cambria"/>
                                  <w:color w:val="000000"/>
                                  <w:sz w:val="20"/>
                                  <w:szCs w:val="20"/>
                                </w:rPr>
                                <w:t>All</w:t>
                              </w:r>
                            </w:p>
                          </w:txbxContent>
                        </wps:txbx>
                        <wps:bodyPr rot="0" vert="horz" wrap="none" lIns="0" tIns="0" rIns="0" bIns="0" anchor="t" anchorCtr="0">
                          <a:spAutoFit/>
                        </wps:bodyPr>
                      </wps:wsp>
                      <wps:wsp>
                        <wps:cNvPr id="1073741979" name="Rectangle 127"/>
                        <wps:cNvSpPr>
                          <a:spLocks noChangeArrowheads="1"/>
                        </wps:cNvSpPr>
                        <wps:spPr bwMode="auto">
                          <a:xfrm>
                            <a:off x="3562350" y="19050"/>
                            <a:ext cx="450215" cy="0"/>
                          </a:xfrm>
                          <a:prstGeom prst="rect">
                            <a:avLst/>
                          </a:prstGeom>
                          <a:noFill/>
                          <a:ln>
                            <a:noFill/>
                          </a:ln>
                          <a:extLst/>
                        </wps:spPr>
                        <wps:txbx>
                          <w:txbxContent>
                            <w:p w14:paraId="54F026E0" w14:textId="77777777" w:rsidR="00960899" w:rsidRPr="00171C7D" w:rsidRDefault="00960899" w:rsidP="00202852">
                              <w:pPr>
                                <w:rPr>
                                  <w:sz w:val="20"/>
                                  <w:szCs w:val="20"/>
                                </w:rPr>
                              </w:pPr>
                              <w:r w:rsidRPr="00171C7D">
                                <w:rPr>
                                  <w:rFonts w:ascii="Cambria" w:hAnsi="Cambria" w:cs="Cambria"/>
                                  <w:color w:val="000000"/>
                                  <w:sz w:val="20"/>
                                  <w:szCs w:val="20"/>
                                </w:rPr>
                                <w:t>Non IDP</w:t>
                              </w:r>
                            </w:p>
                          </w:txbxContent>
                        </wps:txbx>
                        <wps:bodyPr rot="0" vert="horz" wrap="none" lIns="0" tIns="0" rIns="0" bIns="0" anchor="t" anchorCtr="0">
                          <a:spAutoFit/>
                        </wps:bodyPr>
                      </wps:wsp>
                      <wps:wsp>
                        <wps:cNvPr id="1073741980" name="Rectangle 128"/>
                        <wps:cNvSpPr>
                          <a:spLocks noChangeArrowheads="1"/>
                        </wps:cNvSpPr>
                        <wps:spPr bwMode="auto">
                          <a:xfrm>
                            <a:off x="4314825" y="19050"/>
                            <a:ext cx="197485" cy="0"/>
                          </a:xfrm>
                          <a:prstGeom prst="rect">
                            <a:avLst/>
                          </a:prstGeom>
                          <a:noFill/>
                          <a:ln>
                            <a:noFill/>
                          </a:ln>
                          <a:extLst/>
                        </wps:spPr>
                        <wps:txbx>
                          <w:txbxContent>
                            <w:p w14:paraId="1C10456E" w14:textId="77777777" w:rsidR="00960899" w:rsidRPr="00171C7D" w:rsidRDefault="00960899" w:rsidP="00202852">
                              <w:pPr>
                                <w:rPr>
                                  <w:sz w:val="20"/>
                                  <w:szCs w:val="20"/>
                                </w:rPr>
                              </w:pPr>
                              <w:r w:rsidRPr="00171C7D">
                                <w:rPr>
                                  <w:rFonts w:ascii="Cambria" w:hAnsi="Cambria" w:cs="Cambria"/>
                                  <w:color w:val="000000"/>
                                  <w:sz w:val="20"/>
                                  <w:szCs w:val="20"/>
                                </w:rPr>
                                <w:t>IDP</w:t>
                              </w:r>
                            </w:p>
                          </w:txbxContent>
                        </wps:txbx>
                        <wps:bodyPr rot="0" vert="horz" wrap="none" lIns="0" tIns="0" rIns="0" bIns="0" anchor="t" anchorCtr="0">
                          <a:spAutoFit/>
                        </wps:bodyPr>
                      </wps:wsp>
                      <wps:wsp>
                        <wps:cNvPr id="1073741981" name="Rectangle 129"/>
                        <wps:cNvSpPr>
                          <a:spLocks noChangeArrowheads="1"/>
                        </wps:cNvSpPr>
                        <wps:spPr bwMode="auto">
                          <a:xfrm>
                            <a:off x="28575" y="219075"/>
                            <a:ext cx="1432560" cy="224790"/>
                          </a:xfrm>
                          <a:prstGeom prst="rect">
                            <a:avLst/>
                          </a:prstGeom>
                          <a:noFill/>
                          <a:ln>
                            <a:noFill/>
                          </a:ln>
                          <a:extLst/>
                        </wps:spPr>
                        <wps:txbx>
                          <w:txbxContent>
                            <w:p w14:paraId="37444F93" w14:textId="77777777" w:rsidR="00960899" w:rsidRPr="00171C7D" w:rsidRDefault="00960899" w:rsidP="00202852">
                              <w:pPr>
                                <w:rPr>
                                  <w:sz w:val="20"/>
                                  <w:szCs w:val="20"/>
                                </w:rPr>
                              </w:pPr>
                              <w:r w:rsidRPr="00171C7D">
                                <w:rPr>
                                  <w:rFonts w:ascii="Cambria" w:hAnsi="Cambria" w:cs="Cambria"/>
                                  <w:color w:val="000000"/>
                                  <w:sz w:val="20"/>
                                  <w:szCs w:val="20"/>
                                </w:rPr>
                                <w:t>From hired employment</w:t>
                              </w:r>
                            </w:p>
                          </w:txbxContent>
                        </wps:txbx>
                        <wps:bodyPr rot="0" vert="horz" wrap="square" lIns="0" tIns="0" rIns="0" bIns="0" anchor="t" anchorCtr="0">
                          <a:spAutoFit/>
                        </wps:bodyPr>
                      </wps:wsp>
                      <wps:wsp>
                        <wps:cNvPr id="1073741982" name="Rectangle 130"/>
                        <wps:cNvSpPr>
                          <a:spLocks noChangeArrowheads="1"/>
                        </wps:cNvSpPr>
                        <wps:spPr bwMode="auto">
                          <a:xfrm>
                            <a:off x="3038475" y="219075"/>
                            <a:ext cx="307340" cy="0"/>
                          </a:xfrm>
                          <a:prstGeom prst="rect">
                            <a:avLst/>
                          </a:prstGeom>
                          <a:noFill/>
                          <a:ln>
                            <a:noFill/>
                          </a:ln>
                          <a:extLst/>
                        </wps:spPr>
                        <wps:txbx>
                          <w:txbxContent>
                            <w:p w14:paraId="52AD803C" w14:textId="77777777" w:rsidR="00960899" w:rsidRPr="00171C7D" w:rsidRDefault="00960899" w:rsidP="00202852">
                              <w:pPr>
                                <w:rPr>
                                  <w:sz w:val="20"/>
                                  <w:szCs w:val="20"/>
                                </w:rPr>
                              </w:pPr>
                              <w:r w:rsidRPr="00171C7D">
                                <w:rPr>
                                  <w:rFonts w:ascii="Cambria" w:hAnsi="Cambria" w:cs="Cambria"/>
                                  <w:color w:val="000000"/>
                                  <w:sz w:val="20"/>
                                  <w:szCs w:val="20"/>
                                </w:rPr>
                                <w:t>26.52</w:t>
                              </w:r>
                            </w:p>
                          </w:txbxContent>
                        </wps:txbx>
                        <wps:bodyPr rot="0" vert="horz" wrap="none" lIns="0" tIns="0" rIns="0" bIns="0" anchor="t" anchorCtr="0">
                          <a:spAutoFit/>
                        </wps:bodyPr>
                      </wps:wsp>
                      <wps:wsp>
                        <wps:cNvPr id="1073741983" name="Rectangle 131"/>
                        <wps:cNvSpPr>
                          <a:spLocks noChangeArrowheads="1"/>
                        </wps:cNvSpPr>
                        <wps:spPr bwMode="auto">
                          <a:xfrm>
                            <a:off x="3648075" y="219075"/>
                            <a:ext cx="307340" cy="0"/>
                          </a:xfrm>
                          <a:prstGeom prst="rect">
                            <a:avLst/>
                          </a:prstGeom>
                          <a:noFill/>
                          <a:ln>
                            <a:noFill/>
                          </a:ln>
                          <a:extLst/>
                        </wps:spPr>
                        <wps:txbx>
                          <w:txbxContent>
                            <w:p w14:paraId="651D62B9" w14:textId="77777777" w:rsidR="00960899" w:rsidRPr="00171C7D" w:rsidRDefault="00960899" w:rsidP="00202852">
                              <w:pPr>
                                <w:rPr>
                                  <w:sz w:val="20"/>
                                  <w:szCs w:val="20"/>
                                </w:rPr>
                              </w:pPr>
                              <w:r w:rsidRPr="00171C7D">
                                <w:rPr>
                                  <w:rFonts w:ascii="Cambria" w:hAnsi="Cambria" w:cs="Cambria"/>
                                  <w:color w:val="000000"/>
                                  <w:sz w:val="20"/>
                                  <w:szCs w:val="20"/>
                                </w:rPr>
                                <w:t>26.56</w:t>
                              </w:r>
                            </w:p>
                          </w:txbxContent>
                        </wps:txbx>
                        <wps:bodyPr rot="0" vert="horz" wrap="none" lIns="0" tIns="0" rIns="0" bIns="0" anchor="t" anchorCtr="0">
                          <a:spAutoFit/>
                        </wps:bodyPr>
                      </wps:wsp>
                      <wps:wsp>
                        <wps:cNvPr id="1073741984" name="Rectangle 132"/>
                        <wps:cNvSpPr>
                          <a:spLocks noChangeArrowheads="1"/>
                        </wps:cNvSpPr>
                        <wps:spPr bwMode="auto">
                          <a:xfrm>
                            <a:off x="4257675" y="219075"/>
                            <a:ext cx="307340" cy="0"/>
                          </a:xfrm>
                          <a:prstGeom prst="rect">
                            <a:avLst/>
                          </a:prstGeom>
                          <a:noFill/>
                          <a:ln>
                            <a:noFill/>
                          </a:ln>
                          <a:extLst/>
                        </wps:spPr>
                        <wps:txbx>
                          <w:txbxContent>
                            <w:p w14:paraId="336146BF" w14:textId="77777777" w:rsidR="00960899" w:rsidRPr="00171C7D" w:rsidRDefault="00960899" w:rsidP="00202852">
                              <w:pPr>
                                <w:rPr>
                                  <w:sz w:val="20"/>
                                  <w:szCs w:val="20"/>
                                </w:rPr>
                              </w:pPr>
                              <w:r w:rsidRPr="00171C7D">
                                <w:rPr>
                                  <w:rFonts w:ascii="Cambria" w:hAnsi="Cambria" w:cs="Cambria"/>
                                  <w:color w:val="000000"/>
                                  <w:sz w:val="20"/>
                                  <w:szCs w:val="20"/>
                                </w:rPr>
                                <w:t>25.59</w:t>
                              </w:r>
                            </w:p>
                          </w:txbxContent>
                        </wps:txbx>
                        <wps:bodyPr rot="0" vert="horz" wrap="none" lIns="0" tIns="0" rIns="0" bIns="0" anchor="t" anchorCtr="0">
                          <a:spAutoFit/>
                        </wps:bodyPr>
                      </wps:wsp>
                      <wps:wsp>
                        <wps:cNvPr id="1073741985" name="Rectangle 133"/>
                        <wps:cNvSpPr>
                          <a:spLocks noChangeArrowheads="1"/>
                        </wps:cNvSpPr>
                        <wps:spPr bwMode="auto">
                          <a:xfrm>
                            <a:off x="28575" y="428624"/>
                            <a:ext cx="1325880" cy="224790"/>
                          </a:xfrm>
                          <a:prstGeom prst="rect">
                            <a:avLst/>
                          </a:prstGeom>
                          <a:noFill/>
                          <a:ln>
                            <a:noFill/>
                          </a:ln>
                          <a:extLst/>
                        </wps:spPr>
                        <wps:txbx>
                          <w:txbxContent>
                            <w:p w14:paraId="35E3EAAC" w14:textId="77777777" w:rsidR="00960899" w:rsidRPr="00171C7D" w:rsidRDefault="00960899" w:rsidP="00202852">
                              <w:pPr>
                                <w:rPr>
                                  <w:sz w:val="20"/>
                                  <w:szCs w:val="20"/>
                                </w:rPr>
                              </w:pPr>
                              <w:r w:rsidRPr="00171C7D">
                                <w:rPr>
                                  <w:rFonts w:ascii="Cambria" w:hAnsi="Cambria" w:cs="Cambria"/>
                                  <w:color w:val="000000"/>
                                  <w:sz w:val="20"/>
                                  <w:szCs w:val="20"/>
                                </w:rPr>
                                <w:t>From self-employment</w:t>
                              </w:r>
                            </w:p>
                          </w:txbxContent>
                        </wps:txbx>
                        <wps:bodyPr rot="0" vert="horz" wrap="square" lIns="0" tIns="0" rIns="0" bIns="0" anchor="t" anchorCtr="0">
                          <a:spAutoFit/>
                        </wps:bodyPr>
                      </wps:wsp>
                      <wps:wsp>
                        <wps:cNvPr id="1073741986" name="Rectangle 134"/>
                        <wps:cNvSpPr>
                          <a:spLocks noChangeArrowheads="1"/>
                        </wps:cNvSpPr>
                        <wps:spPr bwMode="auto">
                          <a:xfrm>
                            <a:off x="3076575" y="419100"/>
                            <a:ext cx="237490" cy="0"/>
                          </a:xfrm>
                          <a:prstGeom prst="rect">
                            <a:avLst/>
                          </a:prstGeom>
                          <a:noFill/>
                          <a:ln>
                            <a:noFill/>
                          </a:ln>
                          <a:extLst/>
                        </wps:spPr>
                        <wps:txbx>
                          <w:txbxContent>
                            <w:p w14:paraId="03AEA7CC" w14:textId="77777777" w:rsidR="00960899" w:rsidRPr="00171C7D" w:rsidRDefault="00960899" w:rsidP="00202852">
                              <w:pPr>
                                <w:rPr>
                                  <w:sz w:val="20"/>
                                  <w:szCs w:val="20"/>
                                </w:rPr>
                              </w:pPr>
                              <w:r w:rsidRPr="00171C7D">
                                <w:rPr>
                                  <w:rFonts w:ascii="Cambria" w:hAnsi="Cambria" w:cs="Cambria"/>
                                  <w:color w:val="000000"/>
                                  <w:sz w:val="20"/>
                                  <w:szCs w:val="20"/>
                                </w:rPr>
                                <w:t>7.47</w:t>
                              </w:r>
                            </w:p>
                          </w:txbxContent>
                        </wps:txbx>
                        <wps:bodyPr rot="0" vert="horz" wrap="none" lIns="0" tIns="0" rIns="0" bIns="0" anchor="t" anchorCtr="0">
                          <a:spAutoFit/>
                        </wps:bodyPr>
                      </wps:wsp>
                      <wps:wsp>
                        <wps:cNvPr id="1073741987" name="Rectangle 135"/>
                        <wps:cNvSpPr>
                          <a:spLocks noChangeArrowheads="1"/>
                        </wps:cNvSpPr>
                        <wps:spPr bwMode="auto">
                          <a:xfrm>
                            <a:off x="3686175" y="419100"/>
                            <a:ext cx="237490" cy="0"/>
                          </a:xfrm>
                          <a:prstGeom prst="rect">
                            <a:avLst/>
                          </a:prstGeom>
                          <a:noFill/>
                          <a:ln>
                            <a:noFill/>
                          </a:ln>
                          <a:extLst/>
                        </wps:spPr>
                        <wps:txbx>
                          <w:txbxContent>
                            <w:p w14:paraId="5E67F262" w14:textId="77777777" w:rsidR="00960899" w:rsidRPr="00171C7D" w:rsidRDefault="00960899" w:rsidP="00202852">
                              <w:pPr>
                                <w:rPr>
                                  <w:sz w:val="20"/>
                                  <w:szCs w:val="20"/>
                                </w:rPr>
                              </w:pPr>
                              <w:r w:rsidRPr="00171C7D">
                                <w:rPr>
                                  <w:rFonts w:ascii="Cambria" w:hAnsi="Cambria" w:cs="Cambria"/>
                                  <w:color w:val="000000"/>
                                  <w:sz w:val="20"/>
                                  <w:szCs w:val="20"/>
                                </w:rPr>
                                <w:t>7.54</w:t>
                              </w:r>
                            </w:p>
                          </w:txbxContent>
                        </wps:txbx>
                        <wps:bodyPr rot="0" vert="horz" wrap="none" lIns="0" tIns="0" rIns="0" bIns="0" anchor="t" anchorCtr="0">
                          <a:spAutoFit/>
                        </wps:bodyPr>
                      </wps:wsp>
                      <wps:wsp>
                        <wps:cNvPr id="1073741988" name="Rectangle 136"/>
                        <wps:cNvSpPr>
                          <a:spLocks noChangeArrowheads="1"/>
                        </wps:cNvSpPr>
                        <wps:spPr bwMode="auto">
                          <a:xfrm>
                            <a:off x="4295775" y="419100"/>
                            <a:ext cx="237490" cy="0"/>
                          </a:xfrm>
                          <a:prstGeom prst="rect">
                            <a:avLst/>
                          </a:prstGeom>
                          <a:noFill/>
                          <a:ln>
                            <a:noFill/>
                          </a:ln>
                          <a:extLst/>
                        </wps:spPr>
                        <wps:txbx>
                          <w:txbxContent>
                            <w:p w14:paraId="54CA790F" w14:textId="77777777" w:rsidR="00960899" w:rsidRPr="00171C7D" w:rsidRDefault="00960899" w:rsidP="00202852">
                              <w:pPr>
                                <w:rPr>
                                  <w:sz w:val="20"/>
                                  <w:szCs w:val="20"/>
                                </w:rPr>
                              </w:pPr>
                              <w:r w:rsidRPr="00171C7D">
                                <w:rPr>
                                  <w:rFonts w:ascii="Cambria" w:hAnsi="Cambria" w:cs="Cambria"/>
                                  <w:color w:val="000000"/>
                                  <w:sz w:val="20"/>
                                  <w:szCs w:val="20"/>
                                </w:rPr>
                                <w:t>5.79</w:t>
                              </w:r>
                            </w:p>
                          </w:txbxContent>
                        </wps:txbx>
                        <wps:bodyPr rot="0" vert="horz" wrap="none" lIns="0" tIns="0" rIns="0" bIns="0" anchor="t" anchorCtr="0">
                          <a:spAutoFit/>
                        </wps:bodyPr>
                      </wps:wsp>
                      <wps:wsp>
                        <wps:cNvPr id="1073741989" name="Rectangle 137"/>
                        <wps:cNvSpPr>
                          <a:spLocks noChangeArrowheads="1"/>
                        </wps:cNvSpPr>
                        <wps:spPr bwMode="auto">
                          <a:xfrm>
                            <a:off x="28575" y="619125"/>
                            <a:ext cx="2498725" cy="224790"/>
                          </a:xfrm>
                          <a:prstGeom prst="rect">
                            <a:avLst/>
                          </a:prstGeom>
                          <a:noFill/>
                          <a:ln>
                            <a:noFill/>
                          </a:ln>
                          <a:extLst/>
                        </wps:spPr>
                        <wps:txbx>
                          <w:txbxContent>
                            <w:p w14:paraId="76931E05" w14:textId="77777777" w:rsidR="00960899" w:rsidRPr="00171C7D" w:rsidRDefault="00960899" w:rsidP="00202852">
                              <w:pPr>
                                <w:rPr>
                                  <w:sz w:val="20"/>
                                  <w:szCs w:val="20"/>
                                </w:rPr>
                              </w:pPr>
                              <w:r w:rsidRPr="00171C7D">
                                <w:rPr>
                                  <w:rFonts w:ascii="Cambria" w:hAnsi="Cambria" w:cs="Cambria"/>
                                  <w:color w:val="000000"/>
                                  <w:sz w:val="20"/>
                                  <w:szCs w:val="20"/>
                                </w:rPr>
                                <w:t>From selling agricultural production</w:t>
                              </w:r>
                            </w:p>
                          </w:txbxContent>
                        </wps:txbx>
                        <wps:bodyPr rot="0" vert="horz" wrap="square" lIns="0" tIns="0" rIns="0" bIns="0" anchor="t" anchorCtr="0">
                          <a:spAutoFit/>
                        </wps:bodyPr>
                      </wps:wsp>
                      <wps:wsp>
                        <wps:cNvPr id="1073741990" name="Rectangle 138"/>
                        <wps:cNvSpPr>
                          <a:spLocks noChangeArrowheads="1"/>
                        </wps:cNvSpPr>
                        <wps:spPr bwMode="auto">
                          <a:xfrm>
                            <a:off x="3076575" y="609600"/>
                            <a:ext cx="237490" cy="0"/>
                          </a:xfrm>
                          <a:prstGeom prst="rect">
                            <a:avLst/>
                          </a:prstGeom>
                          <a:noFill/>
                          <a:ln>
                            <a:noFill/>
                          </a:ln>
                          <a:extLst/>
                        </wps:spPr>
                        <wps:txbx>
                          <w:txbxContent>
                            <w:p w14:paraId="04F3A366" w14:textId="77777777" w:rsidR="00960899" w:rsidRPr="00171C7D" w:rsidRDefault="00960899" w:rsidP="00202852">
                              <w:pPr>
                                <w:rPr>
                                  <w:sz w:val="20"/>
                                  <w:szCs w:val="20"/>
                                </w:rPr>
                              </w:pPr>
                              <w:r w:rsidRPr="00171C7D">
                                <w:rPr>
                                  <w:rFonts w:ascii="Cambria" w:hAnsi="Cambria" w:cs="Cambria"/>
                                  <w:color w:val="000000"/>
                                  <w:sz w:val="20"/>
                                  <w:szCs w:val="20"/>
                                </w:rPr>
                                <w:t>6.11</w:t>
                              </w:r>
                            </w:p>
                          </w:txbxContent>
                        </wps:txbx>
                        <wps:bodyPr rot="0" vert="horz" wrap="none" lIns="0" tIns="0" rIns="0" bIns="0" anchor="t" anchorCtr="0">
                          <a:spAutoFit/>
                        </wps:bodyPr>
                      </wps:wsp>
                      <wps:wsp>
                        <wps:cNvPr id="1073741991" name="Rectangle 139"/>
                        <wps:cNvSpPr>
                          <a:spLocks noChangeArrowheads="1"/>
                        </wps:cNvSpPr>
                        <wps:spPr bwMode="auto">
                          <a:xfrm>
                            <a:off x="3686175" y="609600"/>
                            <a:ext cx="237490" cy="0"/>
                          </a:xfrm>
                          <a:prstGeom prst="rect">
                            <a:avLst/>
                          </a:prstGeom>
                          <a:noFill/>
                          <a:ln>
                            <a:noFill/>
                          </a:ln>
                          <a:extLst/>
                        </wps:spPr>
                        <wps:txbx>
                          <w:txbxContent>
                            <w:p w14:paraId="11D04405" w14:textId="77777777" w:rsidR="00960899" w:rsidRPr="00171C7D" w:rsidRDefault="00960899" w:rsidP="00202852">
                              <w:pPr>
                                <w:rPr>
                                  <w:sz w:val="20"/>
                                  <w:szCs w:val="20"/>
                                </w:rPr>
                              </w:pPr>
                              <w:r w:rsidRPr="00171C7D">
                                <w:rPr>
                                  <w:rFonts w:ascii="Cambria" w:hAnsi="Cambria" w:cs="Cambria"/>
                                  <w:color w:val="000000"/>
                                  <w:sz w:val="20"/>
                                  <w:szCs w:val="20"/>
                                </w:rPr>
                                <w:t>6.28</w:t>
                              </w:r>
                            </w:p>
                          </w:txbxContent>
                        </wps:txbx>
                        <wps:bodyPr rot="0" vert="horz" wrap="none" lIns="0" tIns="0" rIns="0" bIns="0" anchor="t" anchorCtr="0">
                          <a:spAutoFit/>
                        </wps:bodyPr>
                      </wps:wsp>
                      <wps:wsp>
                        <wps:cNvPr id="1073741992" name="Rectangle 140"/>
                        <wps:cNvSpPr>
                          <a:spLocks noChangeArrowheads="1"/>
                        </wps:cNvSpPr>
                        <wps:spPr bwMode="auto">
                          <a:xfrm>
                            <a:off x="4295775" y="609600"/>
                            <a:ext cx="237490" cy="0"/>
                          </a:xfrm>
                          <a:prstGeom prst="rect">
                            <a:avLst/>
                          </a:prstGeom>
                          <a:noFill/>
                          <a:ln>
                            <a:noFill/>
                          </a:ln>
                          <a:extLst/>
                        </wps:spPr>
                        <wps:txbx>
                          <w:txbxContent>
                            <w:p w14:paraId="7DCE1D9F" w14:textId="77777777" w:rsidR="00960899" w:rsidRPr="00171C7D" w:rsidRDefault="00960899" w:rsidP="00202852">
                              <w:pPr>
                                <w:rPr>
                                  <w:sz w:val="20"/>
                                  <w:szCs w:val="20"/>
                                </w:rPr>
                              </w:pPr>
                              <w:r w:rsidRPr="00171C7D">
                                <w:rPr>
                                  <w:rFonts w:ascii="Cambria" w:hAnsi="Cambria" w:cs="Cambria"/>
                                  <w:color w:val="000000"/>
                                  <w:sz w:val="20"/>
                                  <w:szCs w:val="20"/>
                                </w:rPr>
                                <w:t>1.92</w:t>
                              </w:r>
                            </w:p>
                          </w:txbxContent>
                        </wps:txbx>
                        <wps:bodyPr rot="0" vert="horz" wrap="none" lIns="0" tIns="0" rIns="0" bIns="0" anchor="t" anchorCtr="0">
                          <a:spAutoFit/>
                        </wps:bodyPr>
                      </wps:wsp>
                      <wps:wsp>
                        <wps:cNvPr id="1073741993" name="Rectangle 141"/>
                        <wps:cNvSpPr>
                          <a:spLocks noChangeArrowheads="1"/>
                        </wps:cNvSpPr>
                        <wps:spPr bwMode="auto">
                          <a:xfrm>
                            <a:off x="28575" y="809625"/>
                            <a:ext cx="2795905" cy="0"/>
                          </a:xfrm>
                          <a:prstGeom prst="rect">
                            <a:avLst/>
                          </a:prstGeom>
                          <a:noFill/>
                          <a:ln>
                            <a:noFill/>
                          </a:ln>
                          <a:extLst/>
                        </wps:spPr>
                        <wps:txbx>
                          <w:txbxContent>
                            <w:p w14:paraId="67536A99" w14:textId="77777777" w:rsidR="00960899" w:rsidRPr="00171C7D" w:rsidRDefault="00960899" w:rsidP="00202852">
                              <w:pPr>
                                <w:rPr>
                                  <w:sz w:val="20"/>
                                  <w:szCs w:val="20"/>
                                </w:rPr>
                              </w:pPr>
                              <w:r w:rsidRPr="00171C7D">
                                <w:rPr>
                                  <w:rFonts w:ascii="Cambria" w:hAnsi="Cambria" w:cs="Cambria"/>
                                  <w:color w:val="000000"/>
                                  <w:sz w:val="20"/>
                                  <w:szCs w:val="20"/>
                                </w:rPr>
                                <w:t>Property income (leasing, interest on a deposit etc.)</w:t>
                              </w:r>
                            </w:p>
                          </w:txbxContent>
                        </wps:txbx>
                        <wps:bodyPr rot="0" vert="horz" wrap="none" lIns="0" tIns="0" rIns="0" bIns="0" anchor="t" anchorCtr="0">
                          <a:spAutoFit/>
                        </wps:bodyPr>
                      </wps:wsp>
                      <wps:wsp>
                        <wps:cNvPr id="1073741994" name="Rectangle 142"/>
                        <wps:cNvSpPr>
                          <a:spLocks noChangeArrowheads="1"/>
                        </wps:cNvSpPr>
                        <wps:spPr bwMode="auto">
                          <a:xfrm>
                            <a:off x="3076575" y="800100"/>
                            <a:ext cx="237490" cy="0"/>
                          </a:xfrm>
                          <a:prstGeom prst="rect">
                            <a:avLst/>
                          </a:prstGeom>
                          <a:noFill/>
                          <a:ln>
                            <a:noFill/>
                          </a:ln>
                          <a:extLst/>
                        </wps:spPr>
                        <wps:txbx>
                          <w:txbxContent>
                            <w:p w14:paraId="062D69F2" w14:textId="77777777" w:rsidR="00960899" w:rsidRPr="00171C7D" w:rsidRDefault="00960899" w:rsidP="00202852">
                              <w:pPr>
                                <w:rPr>
                                  <w:sz w:val="20"/>
                                  <w:szCs w:val="20"/>
                                </w:rPr>
                              </w:pPr>
                              <w:r w:rsidRPr="00171C7D">
                                <w:rPr>
                                  <w:rFonts w:ascii="Cambria" w:hAnsi="Cambria" w:cs="Cambria"/>
                                  <w:color w:val="000000"/>
                                  <w:sz w:val="20"/>
                                  <w:szCs w:val="20"/>
                                </w:rPr>
                                <w:t>0.59</w:t>
                              </w:r>
                            </w:p>
                          </w:txbxContent>
                        </wps:txbx>
                        <wps:bodyPr rot="0" vert="horz" wrap="none" lIns="0" tIns="0" rIns="0" bIns="0" anchor="t" anchorCtr="0">
                          <a:spAutoFit/>
                        </wps:bodyPr>
                      </wps:wsp>
                      <wps:wsp>
                        <wps:cNvPr id="1073741995" name="Rectangle 143"/>
                        <wps:cNvSpPr>
                          <a:spLocks noChangeArrowheads="1"/>
                        </wps:cNvSpPr>
                        <wps:spPr bwMode="auto">
                          <a:xfrm>
                            <a:off x="3686175" y="800100"/>
                            <a:ext cx="237490" cy="0"/>
                          </a:xfrm>
                          <a:prstGeom prst="rect">
                            <a:avLst/>
                          </a:prstGeom>
                          <a:noFill/>
                          <a:ln>
                            <a:noFill/>
                          </a:ln>
                          <a:extLst/>
                        </wps:spPr>
                        <wps:txbx>
                          <w:txbxContent>
                            <w:p w14:paraId="17460DC8" w14:textId="77777777" w:rsidR="00960899" w:rsidRPr="00171C7D" w:rsidRDefault="00960899" w:rsidP="00202852">
                              <w:pPr>
                                <w:rPr>
                                  <w:sz w:val="20"/>
                                  <w:szCs w:val="20"/>
                                </w:rPr>
                              </w:pPr>
                              <w:r w:rsidRPr="00171C7D">
                                <w:rPr>
                                  <w:rFonts w:ascii="Cambria" w:hAnsi="Cambria" w:cs="Cambria"/>
                                  <w:color w:val="000000"/>
                                  <w:sz w:val="20"/>
                                  <w:szCs w:val="20"/>
                                </w:rPr>
                                <w:t>0.61</w:t>
                              </w:r>
                            </w:p>
                          </w:txbxContent>
                        </wps:txbx>
                        <wps:bodyPr rot="0" vert="horz" wrap="none" lIns="0" tIns="0" rIns="0" bIns="0" anchor="t" anchorCtr="0">
                          <a:spAutoFit/>
                        </wps:bodyPr>
                      </wps:wsp>
                      <wps:wsp>
                        <wps:cNvPr id="1073741996" name="Rectangle 144"/>
                        <wps:cNvSpPr>
                          <a:spLocks noChangeArrowheads="1"/>
                        </wps:cNvSpPr>
                        <wps:spPr bwMode="auto">
                          <a:xfrm>
                            <a:off x="4295775" y="800100"/>
                            <a:ext cx="237490" cy="0"/>
                          </a:xfrm>
                          <a:prstGeom prst="rect">
                            <a:avLst/>
                          </a:prstGeom>
                          <a:noFill/>
                          <a:ln>
                            <a:noFill/>
                          </a:ln>
                          <a:extLst/>
                        </wps:spPr>
                        <wps:txbx>
                          <w:txbxContent>
                            <w:p w14:paraId="758B7337" w14:textId="77777777" w:rsidR="00960899" w:rsidRPr="00171C7D" w:rsidRDefault="00960899" w:rsidP="00202852">
                              <w:pPr>
                                <w:rPr>
                                  <w:sz w:val="20"/>
                                  <w:szCs w:val="20"/>
                                </w:rPr>
                              </w:pPr>
                              <w:r w:rsidRPr="00171C7D">
                                <w:rPr>
                                  <w:rFonts w:ascii="Cambria" w:hAnsi="Cambria" w:cs="Cambria"/>
                                  <w:color w:val="000000"/>
                                  <w:sz w:val="20"/>
                                  <w:szCs w:val="20"/>
                                </w:rPr>
                                <w:t>0.18</w:t>
                              </w:r>
                            </w:p>
                          </w:txbxContent>
                        </wps:txbx>
                        <wps:bodyPr rot="0" vert="horz" wrap="none" lIns="0" tIns="0" rIns="0" bIns="0" anchor="t" anchorCtr="0">
                          <a:spAutoFit/>
                        </wps:bodyPr>
                      </wps:wsp>
                      <wps:wsp>
                        <wps:cNvPr id="1073741997" name="Rectangle 145"/>
                        <wps:cNvSpPr>
                          <a:spLocks noChangeArrowheads="1"/>
                        </wps:cNvSpPr>
                        <wps:spPr bwMode="auto">
                          <a:xfrm>
                            <a:off x="28575" y="1000125"/>
                            <a:ext cx="1887855" cy="0"/>
                          </a:xfrm>
                          <a:prstGeom prst="rect">
                            <a:avLst/>
                          </a:prstGeom>
                          <a:noFill/>
                          <a:ln>
                            <a:noFill/>
                          </a:ln>
                          <a:extLst/>
                        </wps:spPr>
                        <wps:txbx>
                          <w:txbxContent>
                            <w:p w14:paraId="01D002B7" w14:textId="77777777" w:rsidR="00960899" w:rsidRPr="00171C7D" w:rsidRDefault="00960899" w:rsidP="00202852">
                              <w:pPr>
                                <w:rPr>
                                  <w:sz w:val="20"/>
                                  <w:szCs w:val="20"/>
                                </w:rPr>
                              </w:pPr>
                              <w:r w:rsidRPr="00171C7D">
                                <w:rPr>
                                  <w:rFonts w:ascii="Cambria" w:hAnsi="Cambria" w:cs="Cambria"/>
                                  <w:color w:val="000000"/>
                                  <w:sz w:val="20"/>
                                  <w:szCs w:val="20"/>
                                </w:rPr>
                                <w:t>Pensions, scholarships, assistances</w:t>
                              </w:r>
                            </w:p>
                          </w:txbxContent>
                        </wps:txbx>
                        <wps:bodyPr rot="0" vert="horz" wrap="none" lIns="0" tIns="0" rIns="0" bIns="0" anchor="t" anchorCtr="0">
                          <a:spAutoFit/>
                        </wps:bodyPr>
                      </wps:wsp>
                      <wps:wsp>
                        <wps:cNvPr id="1073741998" name="Rectangle 146"/>
                        <wps:cNvSpPr>
                          <a:spLocks noChangeArrowheads="1"/>
                        </wps:cNvSpPr>
                        <wps:spPr bwMode="auto">
                          <a:xfrm>
                            <a:off x="3038475" y="990600"/>
                            <a:ext cx="307340" cy="0"/>
                          </a:xfrm>
                          <a:prstGeom prst="rect">
                            <a:avLst/>
                          </a:prstGeom>
                          <a:noFill/>
                          <a:ln>
                            <a:noFill/>
                          </a:ln>
                          <a:extLst/>
                        </wps:spPr>
                        <wps:txbx>
                          <w:txbxContent>
                            <w:p w14:paraId="2404D22A" w14:textId="77777777" w:rsidR="00960899" w:rsidRPr="00171C7D" w:rsidRDefault="00960899" w:rsidP="00202852">
                              <w:pPr>
                                <w:rPr>
                                  <w:sz w:val="20"/>
                                  <w:szCs w:val="20"/>
                                </w:rPr>
                              </w:pPr>
                              <w:r w:rsidRPr="00171C7D">
                                <w:rPr>
                                  <w:rFonts w:ascii="Cambria" w:hAnsi="Cambria" w:cs="Cambria"/>
                                  <w:color w:val="000000"/>
                                  <w:sz w:val="20"/>
                                  <w:szCs w:val="20"/>
                                </w:rPr>
                                <w:t>26.60</w:t>
                              </w:r>
                            </w:p>
                          </w:txbxContent>
                        </wps:txbx>
                        <wps:bodyPr rot="0" vert="horz" wrap="none" lIns="0" tIns="0" rIns="0" bIns="0" anchor="t" anchorCtr="0">
                          <a:spAutoFit/>
                        </wps:bodyPr>
                      </wps:wsp>
                      <wps:wsp>
                        <wps:cNvPr id="1073741999" name="Rectangle 147"/>
                        <wps:cNvSpPr>
                          <a:spLocks noChangeArrowheads="1"/>
                        </wps:cNvSpPr>
                        <wps:spPr bwMode="auto">
                          <a:xfrm>
                            <a:off x="3648075" y="990600"/>
                            <a:ext cx="307340" cy="0"/>
                          </a:xfrm>
                          <a:prstGeom prst="rect">
                            <a:avLst/>
                          </a:prstGeom>
                          <a:noFill/>
                          <a:ln>
                            <a:noFill/>
                          </a:ln>
                          <a:extLst/>
                        </wps:spPr>
                        <wps:txbx>
                          <w:txbxContent>
                            <w:p w14:paraId="67FF6B20" w14:textId="77777777" w:rsidR="00960899" w:rsidRPr="00171C7D" w:rsidRDefault="00960899" w:rsidP="00202852">
                              <w:pPr>
                                <w:rPr>
                                  <w:sz w:val="20"/>
                                  <w:szCs w:val="20"/>
                                </w:rPr>
                              </w:pPr>
                              <w:r w:rsidRPr="00171C7D">
                                <w:rPr>
                                  <w:rFonts w:ascii="Cambria" w:hAnsi="Cambria" w:cs="Cambria"/>
                                  <w:color w:val="000000"/>
                                  <w:sz w:val="20"/>
                                  <w:szCs w:val="20"/>
                                </w:rPr>
                                <w:t>26.20</w:t>
                              </w:r>
                            </w:p>
                          </w:txbxContent>
                        </wps:txbx>
                        <wps:bodyPr rot="0" vert="horz" wrap="none" lIns="0" tIns="0" rIns="0" bIns="0" anchor="t" anchorCtr="0">
                          <a:spAutoFit/>
                        </wps:bodyPr>
                      </wps:wsp>
                      <wps:wsp>
                        <wps:cNvPr id="1073742000" name="Rectangle 148"/>
                        <wps:cNvSpPr>
                          <a:spLocks noChangeArrowheads="1"/>
                        </wps:cNvSpPr>
                        <wps:spPr bwMode="auto">
                          <a:xfrm>
                            <a:off x="4257675" y="990600"/>
                            <a:ext cx="307340" cy="0"/>
                          </a:xfrm>
                          <a:prstGeom prst="rect">
                            <a:avLst/>
                          </a:prstGeom>
                          <a:noFill/>
                          <a:ln>
                            <a:noFill/>
                          </a:ln>
                          <a:extLst/>
                        </wps:spPr>
                        <wps:txbx>
                          <w:txbxContent>
                            <w:p w14:paraId="4CBDA19C" w14:textId="77777777" w:rsidR="00960899" w:rsidRPr="00171C7D" w:rsidRDefault="00960899" w:rsidP="00202852">
                              <w:pPr>
                                <w:rPr>
                                  <w:sz w:val="20"/>
                                  <w:szCs w:val="20"/>
                                </w:rPr>
                              </w:pPr>
                              <w:r w:rsidRPr="00171C7D">
                                <w:rPr>
                                  <w:rFonts w:ascii="Cambria" w:hAnsi="Cambria" w:cs="Cambria"/>
                                  <w:color w:val="000000"/>
                                  <w:sz w:val="20"/>
                                  <w:szCs w:val="20"/>
                                </w:rPr>
                                <w:t>36.85</w:t>
                              </w:r>
                            </w:p>
                          </w:txbxContent>
                        </wps:txbx>
                        <wps:bodyPr rot="0" vert="horz" wrap="none" lIns="0" tIns="0" rIns="0" bIns="0" anchor="t" anchorCtr="0">
                          <a:spAutoFit/>
                        </wps:bodyPr>
                      </wps:wsp>
                      <wps:wsp>
                        <wps:cNvPr id="1073742001" name="Rectangle 149"/>
                        <wps:cNvSpPr>
                          <a:spLocks noChangeArrowheads="1"/>
                        </wps:cNvSpPr>
                        <wps:spPr bwMode="auto">
                          <a:xfrm>
                            <a:off x="28575" y="1190625"/>
                            <a:ext cx="1377315" cy="0"/>
                          </a:xfrm>
                          <a:prstGeom prst="rect">
                            <a:avLst/>
                          </a:prstGeom>
                          <a:noFill/>
                          <a:ln>
                            <a:noFill/>
                          </a:ln>
                          <a:extLst/>
                        </wps:spPr>
                        <wps:txbx>
                          <w:txbxContent>
                            <w:p w14:paraId="21EDC899" w14:textId="77777777" w:rsidR="00960899" w:rsidRPr="00171C7D" w:rsidRDefault="00960899" w:rsidP="00202852">
                              <w:pPr>
                                <w:rPr>
                                  <w:sz w:val="20"/>
                                  <w:szCs w:val="20"/>
                                </w:rPr>
                              </w:pPr>
                              <w:r w:rsidRPr="00171C7D">
                                <w:rPr>
                                  <w:rFonts w:ascii="Cambria" w:hAnsi="Cambria" w:cs="Cambria"/>
                                  <w:color w:val="000000"/>
                                  <w:sz w:val="20"/>
                                  <w:szCs w:val="20"/>
                                </w:rPr>
                                <w:t>Remittances from abroad</w:t>
                              </w:r>
                            </w:p>
                          </w:txbxContent>
                        </wps:txbx>
                        <wps:bodyPr rot="0" vert="horz" wrap="none" lIns="0" tIns="0" rIns="0" bIns="0" anchor="t" anchorCtr="0">
                          <a:spAutoFit/>
                        </wps:bodyPr>
                      </wps:wsp>
                      <wps:wsp>
                        <wps:cNvPr id="1073742002" name="Rectangle 150"/>
                        <wps:cNvSpPr>
                          <a:spLocks noChangeArrowheads="1"/>
                        </wps:cNvSpPr>
                        <wps:spPr bwMode="auto">
                          <a:xfrm>
                            <a:off x="3038475" y="1181100"/>
                            <a:ext cx="307340" cy="0"/>
                          </a:xfrm>
                          <a:prstGeom prst="rect">
                            <a:avLst/>
                          </a:prstGeom>
                          <a:noFill/>
                          <a:ln>
                            <a:noFill/>
                          </a:ln>
                          <a:extLst/>
                        </wps:spPr>
                        <wps:txbx>
                          <w:txbxContent>
                            <w:p w14:paraId="3A3550C7" w14:textId="77777777" w:rsidR="00960899" w:rsidRPr="00171C7D" w:rsidRDefault="00960899" w:rsidP="00202852">
                              <w:pPr>
                                <w:rPr>
                                  <w:sz w:val="20"/>
                                  <w:szCs w:val="20"/>
                                </w:rPr>
                              </w:pPr>
                              <w:r w:rsidRPr="00171C7D">
                                <w:rPr>
                                  <w:rFonts w:ascii="Cambria" w:hAnsi="Cambria" w:cs="Cambria"/>
                                  <w:color w:val="000000"/>
                                  <w:sz w:val="20"/>
                                  <w:szCs w:val="20"/>
                                </w:rPr>
                                <w:t>13.52</w:t>
                              </w:r>
                            </w:p>
                          </w:txbxContent>
                        </wps:txbx>
                        <wps:bodyPr rot="0" vert="horz" wrap="none" lIns="0" tIns="0" rIns="0" bIns="0" anchor="t" anchorCtr="0">
                          <a:spAutoFit/>
                        </wps:bodyPr>
                      </wps:wsp>
                      <wps:wsp>
                        <wps:cNvPr id="1073742003" name="Rectangle 151"/>
                        <wps:cNvSpPr>
                          <a:spLocks noChangeArrowheads="1"/>
                        </wps:cNvSpPr>
                        <wps:spPr bwMode="auto">
                          <a:xfrm>
                            <a:off x="3648075" y="1181100"/>
                            <a:ext cx="307340" cy="0"/>
                          </a:xfrm>
                          <a:prstGeom prst="rect">
                            <a:avLst/>
                          </a:prstGeom>
                          <a:noFill/>
                          <a:ln>
                            <a:noFill/>
                          </a:ln>
                          <a:extLst/>
                        </wps:spPr>
                        <wps:txbx>
                          <w:txbxContent>
                            <w:p w14:paraId="2A68A8CD" w14:textId="77777777" w:rsidR="00960899" w:rsidRPr="00171C7D" w:rsidRDefault="00960899" w:rsidP="00202852">
                              <w:pPr>
                                <w:rPr>
                                  <w:sz w:val="20"/>
                                  <w:szCs w:val="20"/>
                                </w:rPr>
                              </w:pPr>
                              <w:r w:rsidRPr="00171C7D">
                                <w:rPr>
                                  <w:rFonts w:ascii="Cambria" w:hAnsi="Cambria" w:cs="Cambria"/>
                                  <w:color w:val="000000"/>
                                  <w:sz w:val="20"/>
                                  <w:szCs w:val="20"/>
                                </w:rPr>
                                <w:t>13.31</w:t>
                              </w:r>
                            </w:p>
                          </w:txbxContent>
                        </wps:txbx>
                        <wps:bodyPr rot="0" vert="horz" wrap="none" lIns="0" tIns="0" rIns="0" bIns="0" anchor="t" anchorCtr="0">
                          <a:spAutoFit/>
                        </wps:bodyPr>
                      </wps:wsp>
                      <wps:wsp>
                        <wps:cNvPr id="1073742004" name="Rectangle 152"/>
                        <wps:cNvSpPr>
                          <a:spLocks noChangeArrowheads="1"/>
                        </wps:cNvSpPr>
                        <wps:spPr bwMode="auto">
                          <a:xfrm>
                            <a:off x="4257675" y="1181100"/>
                            <a:ext cx="307340" cy="0"/>
                          </a:xfrm>
                          <a:prstGeom prst="rect">
                            <a:avLst/>
                          </a:prstGeom>
                          <a:noFill/>
                          <a:ln>
                            <a:noFill/>
                          </a:ln>
                          <a:extLst/>
                        </wps:spPr>
                        <wps:txbx>
                          <w:txbxContent>
                            <w:p w14:paraId="0C209765" w14:textId="77777777" w:rsidR="00960899" w:rsidRPr="00171C7D" w:rsidRDefault="00960899" w:rsidP="00202852">
                              <w:pPr>
                                <w:rPr>
                                  <w:sz w:val="20"/>
                                  <w:szCs w:val="20"/>
                                </w:rPr>
                              </w:pPr>
                              <w:r w:rsidRPr="00171C7D">
                                <w:rPr>
                                  <w:rFonts w:ascii="Cambria" w:hAnsi="Cambria" w:cs="Cambria"/>
                                  <w:color w:val="000000"/>
                                  <w:sz w:val="20"/>
                                  <w:szCs w:val="20"/>
                                </w:rPr>
                                <w:t>18.85</w:t>
                              </w:r>
                            </w:p>
                          </w:txbxContent>
                        </wps:txbx>
                        <wps:bodyPr rot="0" vert="horz" wrap="none" lIns="0" tIns="0" rIns="0" bIns="0" anchor="t" anchorCtr="0">
                          <a:spAutoFit/>
                        </wps:bodyPr>
                      </wps:wsp>
                      <wps:wsp>
                        <wps:cNvPr id="1073742005" name="Rectangle 153"/>
                        <wps:cNvSpPr>
                          <a:spLocks noChangeArrowheads="1"/>
                        </wps:cNvSpPr>
                        <wps:spPr bwMode="auto">
                          <a:xfrm>
                            <a:off x="28575" y="1371600"/>
                            <a:ext cx="1302385" cy="0"/>
                          </a:xfrm>
                          <a:prstGeom prst="rect">
                            <a:avLst/>
                          </a:prstGeom>
                          <a:noFill/>
                          <a:ln>
                            <a:noFill/>
                          </a:ln>
                          <a:extLst/>
                        </wps:spPr>
                        <wps:txbx>
                          <w:txbxContent>
                            <w:p w14:paraId="595CA5C7" w14:textId="77777777" w:rsidR="00960899" w:rsidRPr="00171C7D" w:rsidRDefault="00960899" w:rsidP="00202852">
                              <w:pPr>
                                <w:rPr>
                                  <w:sz w:val="20"/>
                                  <w:szCs w:val="20"/>
                                </w:rPr>
                              </w:pPr>
                              <w:r w:rsidRPr="00171C7D">
                                <w:rPr>
                                  <w:rFonts w:ascii="Cambria" w:hAnsi="Cambria" w:cs="Cambria"/>
                                  <w:color w:val="000000"/>
                                  <w:sz w:val="20"/>
                                  <w:szCs w:val="20"/>
                                </w:rPr>
                                <w:t>Money received as a gift</w:t>
                              </w:r>
                            </w:p>
                          </w:txbxContent>
                        </wps:txbx>
                        <wps:bodyPr rot="0" vert="horz" wrap="none" lIns="0" tIns="0" rIns="0" bIns="0" anchor="t" anchorCtr="0">
                          <a:spAutoFit/>
                        </wps:bodyPr>
                      </wps:wsp>
                      <wps:wsp>
                        <wps:cNvPr id="1073742006" name="Rectangle 154"/>
                        <wps:cNvSpPr>
                          <a:spLocks noChangeArrowheads="1"/>
                        </wps:cNvSpPr>
                        <wps:spPr bwMode="auto">
                          <a:xfrm>
                            <a:off x="3038475" y="1371600"/>
                            <a:ext cx="307340" cy="0"/>
                          </a:xfrm>
                          <a:prstGeom prst="rect">
                            <a:avLst/>
                          </a:prstGeom>
                          <a:noFill/>
                          <a:ln>
                            <a:noFill/>
                          </a:ln>
                          <a:extLst/>
                        </wps:spPr>
                        <wps:txbx>
                          <w:txbxContent>
                            <w:p w14:paraId="5250A3F3" w14:textId="77777777" w:rsidR="00960899" w:rsidRPr="00171C7D" w:rsidRDefault="00960899" w:rsidP="00202852">
                              <w:pPr>
                                <w:rPr>
                                  <w:sz w:val="20"/>
                                  <w:szCs w:val="20"/>
                                </w:rPr>
                              </w:pPr>
                              <w:r w:rsidRPr="00171C7D">
                                <w:rPr>
                                  <w:rFonts w:ascii="Cambria" w:hAnsi="Cambria" w:cs="Cambria"/>
                                  <w:color w:val="000000"/>
                                  <w:sz w:val="20"/>
                                  <w:szCs w:val="20"/>
                                </w:rPr>
                                <w:t>15.99</w:t>
                              </w:r>
                            </w:p>
                          </w:txbxContent>
                        </wps:txbx>
                        <wps:bodyPr rot="0" vert="horz" wrap="none" lIns="0" tIns="0" rIns="0" bIns="0" anchor="t" anchorCtr="0">
                          <a:spAutoFit/>
                        </wps:bodyPr>
                      </wps:wsp>
                      <wps:wsp>
                        <wps:cNvPr id="1073742007" name="Rectangle 155"/>
                        <wps:cNvSpPr>
                          <a:spLocks noChangeArrowheads="1"/>
                        </wps:cNvSpPr>
                        <wps:spPr bwMode="auto">
                          <a:xfrm>
                            <a:off x="3648075" y="1371600"/>
                            <a:ext cx="307340" cy="0"/>
                          </a:xfrm>
                          <a:prstGeom prst="rect">
                            <a:avLst/>
                          </a:prstGeom>
                          <a:noFill/>
                          <a:ln>
                            <a:noFill/>
                          </a:ln>
                          <a:extLst/>
                        </wps:spPr>
                        <wps:txbx>
                          <w:txbxContent>
                            <w:p w14:paraId="7AAE8740" w14:textId="77777777" w:rsidR="00960899" w:rsidRPr="00171C7D" w:rsidRDefault="00960899" w:rsidP="00202852">
                              <w:pPr>
                                <w:rPr>
                                  <w:sz w:val="20"/>
                                  <w:szCs w:val="20"/>
                                </w:rPr>
                              </w:pPr>
                              <w:r w:rsidRPr="00171C7D">
                                <w:rPr>
                                  <w:rFonts w:ascii="Cambria" w:hAnsi="Cambria" w:cs="Cambria"/>
                                  <w:color w:val="000000"/>
                                  <w:sz w:val="20"/>
                                  <w:szCs w:val="20"/>
                                </w:rPr>
                                <w:t>16.31</w:t>
                              </w:r>
                            </w:p>
                          </w:txbxContent>
                        </wps:txbx>
                        <wps:bodyPr rot="0" vert="horz" wrap="none" lIns="0" tIns="0" rIns="0" bIns="0" anchor="t" anchorCtr="0">
                          <a:spAutoFit/>
                        </wps:bodyPr>
                      </wps:wsp>
                      <wps:wsp>
                        <wps:cNvPr id="1073742008" name="Rectangle 156"/>
                        <wps:cNvSpPr>
                          <a:spLocks noChangeArrowheads="1"/>
                        </wps:cNvSpPr>
                        <wps:spPr bwMode="auto">
                          <a:xfrm>
                            <a:off x="4295775" y="1371600"/>
                            <a:ext cx="237490" cy="0"/>
                          </a:xfrm>
                          <a:prstGeom prst="rect">
                            <a:avLst/>
                          </a:prstGeom>
                          <a:noFill/>
                          <a:ln>
                            <a:noFill/>
                          </a:ln>
                          <a:extLst/>
                        </wps:spPr>
                        <wps:txbx>
                          <w:txbxContent>
                            <w:p w14:paraId="1487AA9F" w14:textId="77777777" w:rsidR="00960899" w:rsidRPr="00171C7D" w:rsidRDefault="00960899" w:rsidP="00202852">
                              <w:pPr>
                                <w:rPr>
                                  <w:sz w:val="20"/>
                                  <w:szCs w:val="20"/>
                                </w:rPr>
                              </w:pPr>
                              <w:r w:rsidRPr="00171C7D">
                                <w:rPr>
                                  <w:rFonts w:ascii="Cambria" w:hAnsi="Cambria" w:cs="Cambria"/>
                                  <w:color w:val="000000"/>
                                  <w:sz w:val="20"/>
                                  <w:szCs w:val="20"/>
                                </w:rPr>
                                <w:t>7.78</w:t>
                              </w:r>
                            </w:p>
                          </w:txbxContent>
                        </wps:txbx>
                        <wps:bodyPr rot="0" vert="horz" wrap="none" lIns="0" tIns="0" rIns="0" bIns="0" anchor="t" anchorCtr="0">
                          <a:spAutoFit/>
                        </wps:bodyPr>
                      </wps:wsp>
                      <wps:wsp>
                        <wps:cNvPr id="1073742009" name="Rectangle 157"/>
                        <wps:cNvSpPr>
                          <a:spLocks noChangeArrowheads="1"/>
                        </wps:cNvSpPr>
                        <wps:spPr bwMode="auto">
                          <a:xfrm>
                            <a:off x="28575" y="1571625"/>
                            <a:ext cx="2532380" cy="0"/>
                          </a:xfrm>
                          <a:prstGeom prst="rect">
                            <a:avLst/>
                          </a:prstGeom>
                          <a:noFill/>
                          <a:ln>
                            <a:noFill/>
                          </a:ln>
                          <a:extLst/>
                        </wps:spPr>
                        <wps:txbx>
                          <w:txbxContent>
                            <w:p w14:paraId="33A95FB8" w14:textId="77777777" w:rsidR="00960899" w:rsidRPr="00171C7D" w:rsidRDefault="00960899" w:rsidP="00202852">
                              <w:pPr>
                                <w:rPr>
                                  <w:sz w:val="20"/>
                                  <w:szCs w:val="20"/>
                                </w:rPr>
                              </w:pPr>
                              <w:r w:rsidRPr="00171C7D">
                                <w:rPr>
                                  <w:rFonts w:ascii="Calibri" w:hAnsi="Calibri" w:cs="Calibri"/>
                                  <w:iCs/>
                                  <w:color w:val="000000"/>
                                  <w:sz w:val="20"/>
                                  <w:szCs w:val="20"/>
                                </w:rPr>
                                <w:t xml:space="preserve">Source: Integrated Household Survey, 2011-2013 </w:t>
                              </w:r>
                            </w:p>
                          </w:txbxContent>
                        </wps:txbx>
                        <wps:bodyPr rot="0" vert="horz" wrap="none" lIns="0" tIns="0" rIns="0" bIns="0" anchor="t" anchorCtr="0">
                          <a:spAutoFit/>
                        </wps:bodyPr>
                      </wps:wsp>
                      <wps:wsp>
                        <wps:cNvPr id="1073742010" name="Rectangle 158"/>
                        <wps:cNvSpPr>
                          <a:spLocks noChangeArrowheads="1"/>
                        </wps:cNvSpPr>
                        <wps:spPr bwMode="auto">
                          <a:xfrm>
                            <a:off x="0" y="0"/>
                            <a:ext cx="9525" cy="635"/>
                          </a:xfrm>
                          <a:prstGeom prst="rect">
                            <a:avLst/>
                          </a:prstGeom>
                          <a:solidFill>
                            <a:srgbClr val="D0D7E5"/>
                          </a:solidFill>
                          <a:ln>
                            <a:noFill/>
                          </a:ln>
                          <a:extLst/>
                        </wps:spPr>
                        <wps:bodyPr rot="0" vert="horz" wrap="square" lIns="91440" tIns="45720" rIns="91440" bIns="45720" anchor="t" anchorCtr="0" upright="1">
                          <a:noAutofit/>
                        </wps:bodyPr>
                      </wps:wsp>
                      <wps:wsp>
                        <wps:cNvPr id="1073742011" name="Rectangle 159"/>
                        <wps:cNvSpPr>
                          <a:spLocks noChangeArrowheads="1"/>
                        </wps:cNvSpPr>
                        <wps:spPr bwMode="auto">
                          <a:xfrm>
                            <a:off x="2895600" y="0"/>
                            <a:ext cx="9525" cy="635"/>
                          </a:xfrm>
                          <a:prstGeom prst="rect">
                            <a:avLst/>
                          </a:prstGeom>
                          <a:solidFill>
                            <a:srgbClr val="D0D7E5"/>
                          </a:solidFill>
                          <a:ln>
                            <a:noFill/>
                          </a:ln>
                          <a:extLst/>
                        </wps:spPr>
                        <wps:bodyPr rot="0" vert="horz" wrap="square" lIns="91440" tIns="45720" rIns="91440" bIns="45720" anchor="t" anchorCtr="0" upright="1">
                          <a:noAutofit/>
                        </wps:bodyPr>
                      </wps:wsp>
                      <wps:wsp>
                        <wps:cNvPr id="1073742012" name="Rectangle 160"/>
                        <wps:cNvSpPr>
                          <a:spLocks noChangeArrowheads="1"/>
                        </wps:cNvSpPr>
                        <wps:spPr bwMode="auto">
                          <a:xfrm>
                            <a:off x="3505200" y="0"/>
                            <a:ext cx="9525" cy="635"/>
                          </a:xfrm>
                          <a:prstGeom prst="rect">
                            <a:avLst/>
                          </a:prstGeom>
                          <a:solidFill>
                            <a:srgbClr val="D0D7E5"/>
                          </a:solidFill>
                          <a:ln>
                            <a:noFill/>
                          </a:ln>
                          <a:extLst/>
                        </wps:spPr>
                        <wps:bodyPr rot="0" vert="horz" wrap="square" lIns="91440" tIns="45720" rIns="91440" bIns="45720" anchor="t" anchorCtr="0" upright="1">
                          <a:noAutofit/>
                        </wps:bodyPr>
                      </wps:wsp>
                      <wps:wsp>
                        <wps:cNvPr id="1073742013" name="Rectangle 161"/>
                        <wps:cNvSpPr>
                          <a:spLocks noChangeArrowheads="1"/>
                        </wps:cNvSpPr>
                        <wps:spPr bwMode="auto">
                          <a:xfrm>
                            <a:off x="4114800" y="0"/>
                            <a:ext cx="9525" cy="635"/>
                          </a:xfrm>
                          <a:prstGeom prst="rect">
                            <a:avLst/>
                          </a:prstGeom>
                          <a:solidFill>
                            <a:srgbClr val="D0D7E5"/>
                          </a:solidFill>
                          <a:ln>
                            <a:noFill/>
                          </a:ln>
                          <a:extLst/>
                        </wps:spPr>
                        <wps:bodyPr rot="0" vert="horz" wrap="square" lIns="91440" tIns="45720" rIns="91440" bIns="45720" anchor="t" anchorCtr="0" upright="1">
                          <a:noAutofit/>
                        </wps:bodyPr>
                      </wps:wsp>
                      <wps:wsp>
                        <wps:cNvPr id="1073742014" name="Rectangle 162"/>
                        <wps:cNvSpPr>
                          <a:spLocks noChangeArrowheads="1"/>
                        </wps:cNvSpPr>
                        <wps:spPr bwMode="auto">
                          <a:xfrm>
                            <a:off x="4724400" y="0"/>
                            <a:ext cx="9525" cy="635"/>
                          </a:xfrm>
                          <a:prstGeom prst="rect">
                            <a:avLst/>
                          </a:prstGeom>
                          <a:solidFill>
                            <a:srgbClr val="D0D7E5"/>
                          </a:solidFill>
                          <a:ln>
                            <a:noFill/>
                          </a:ln>
                          <a:extLst/>
                        </wps:spPr>
                        <wps:bodyPr rot="0" vert="horz" wrap="square" lIns="91440" tIns="45720" rIns="91440" bIns="45720" anchor="t" anchorCtr="0" upright="1">
                          <a:noAutofit/>
                        </wps:bodyPr>
                      </wps:wsp>
                      <wps:wsp>
                        <wps:cNvPr id="1073742015" name="Rectangle 163"/>
                        <wps:cNvSpPr>
                          <a:spLocks noChangeArrowheads="1"/>
                        </wps:cNvSpPr>
                        <wps:spPr bwMode="auto">
                          <a:xfrm>
                            <a:off x="0" y="190500"/>
                            <a:ext cx="4733925" cy="19050"/>
                          </a:xfrm>
                          <a:prstGeom prst="rect">
                            <a:avLst/>
                          </a:prstGeom>
                          <a:solidFill>
                            <a:srgbClr val="000000"/>
                          </a:solidFill>
                          <a:ln>
                            <a:noFill/>
                          </a:ln>
                          <a:extLst/>
                        </wps:spPr>
                        <wps:bodyPr rot="0" vert="horz" wrap="square" lIns="91440" tIns="45720" rIns="91440" bIns="45720" anchor="t" anchorCtr="0" upright="1">
                          <a:noAutofit/>
                        </wps:bodyPr>
                      </wps:wsp>
                      <wps:wsp>
                        <wps:cNvPr id="1073742016" name="Rectangle 164"/>
                        <wps:cNvSpPr>
                          <a:spLocks noChangeArrowheads="1"/>
                        </wps:cNvSpPr>
                        <wps:spPr bwMode="auto">
                          <a:xfrm>
                            <a:off x="0" y="1543050"/>
                            <a:ext cx="4733925" cy="19050"/>
                          </a:xfrm>
                          <a:prstGeom prst="rect">
                            <a:avLst/>
                          </a:prstGeom>
                          <a:solidFill>
                            <a:srgbClr val="000000"/>
                          </a:solidFill>
                          <a:ln>
                            <a:noFill/>
                          </a:ln>
                          <a:extLst/>
                        </wps:spPr>
                        <wps:bodyPr rot="0" vert="horz" wrap="square" lIns="91440" tIns="45720" rIns="91440" bIns="45720" anchor="t" anchorCtr="0" upright="1">
                          <a:noAutofit/>
                        </wps:bodyPr>
                      </wps:wsp>
                      <wps:wsp>
                        <wps:cNvPr id="1073742017" name="Line 165"/>
                        <wps:cNvCnPr>
                          <a:cxnSpLocks noChangeShapeType="1"/>
                        </wps:cNvCnPr>
                        <wps:spPr bwMode="auto">
                          <a:xfrm>
                            <a:off x="0" y="1752600"/>
                            <a:ext cx="635" cy="635"/>
                          </a:xfrm>
                          <a:prstGeom prst="line">
                            <a:avLst/>
                          </a:prstGeom>
                          <a:noFill/>
                          <a:ln w="0">
                            <a:solidFill>
                              <a:srgbClr val="D0D7E5"/>
                            </a:solidFill>
                            <a:prstDash val="solid"/>
                            <a:round/>
                            <a:headEnd/>
                            <a:tailEnd/>
                          </a:ln>
                          <a:extLst/>
                        </wps:spPr>
                        <wps:bodyPr/>
                      </wps:wsp>
                      <wps:wsp>
                        <wps:cNvPr id="1073742018" name="Rectangle 166"/>
                        <wps:cNvSpPr>
                          <a:spLocks noChangeArrowheads="1"/>
                        </wps:cNvSpPr>
                        <wps:spPr bwMode="auto">
                          <a:xfrm>
                            <a:off x="0" y="1752600"/>
                            <a:ext cx="9525" cy="9525"/>
                          </a:xfrm>
                          <a:prstGeom prst="rect">
                            <a:avLst/>
                          </a:prstGeom>
                          <a:solidFill>
                            <a:srgbClr val="D0D7E5"/>
                          </a:solidFill>
                          <a:ln>
                            <a:noFill/>
                          </a:ln>
                          <a:extLst/>
                        </wps:spPr>
                        <wps:bodyPr rot="0" vert="horz" wrap="square" lIns="91440" tIns="45720" rIns="91440" bIns="45720" anchor="t" anchorCtr="0" upright="1">
                          <a:noAutofit/>
                        </wps:bodyPr>
                      </wps:wsp>
                      <wps:wsp>
                        <wps:cNvPr id="1073742019" name="Line 167"/>
                        <wps:cNvCnPr>
                          <a:cxnSpLocks noChangeShapeType="1"/>
                        </wps:cNvCnPr>
                        <wps:spPr bwMode="auto">
                          <a:xfrm>
                            <a:off x="2895600" y="1752600"/>
                            <a:ext cx="635" cy="635"/>
                          </a:xfrm>
                          <a:prstGeom prst="line">
                            <a:avLst/>
                          </a:prstGeom>
                          <a:noFill/>
                          <a:ln w="0">
                            <a:solidFill>
                              <a:srgbClr val="D0D7E5"/>
                            </a:solidFill>
                            <a:prstDash val="solid"/>
                            <a:round/>
                            <a:headEnd/>
                            <a:tailEnd/>
                          </a:ln>
                          <a:extLst/>
                        </wps:spPr>
                        <wps:bodyPr/>
                      </wps:wsp>
                      <wps:wsp>
                        <wps:cNvPr id="1073742020" name="Rectangle 168"/>
                        <wps:cNvSpPr>
                          <a:spLocks noChangeArrowheads="1"/>
                        </wps:cNvSpPr>
                        <wps:spPr bwMode="auto">
                          <a:xfrm>
                            <a:off x="2895600" y="1752600"/>
                            <a:ext cx="9525" cy="9525"/>
                          </a:xfrm>
                          <a:prstGeom prst="rect">
                            <a:avLst/>
                          </a:prstGeom>
                          <a:solidFill>
                            <a:srgbClr val="D0D7E5"/>
                          </a:solidFill>
                          <a:ln>
                            <a:noFill/>
                          </a:ln>
                          <a:extLst/>
                        </wps:spPr>
                        <wps:bodyPr rot="0" vert="horz" wrap="square" lIns="91440" tIns="45720" rIns="91440" bIns="45720" anchor="t" anchorCtr="0" upright="1">
                          <a:noAutofit/>
                        </wps:bodyPr>
                      </wps:wsp>
                      <wps:wsp>
                        <wps:cNvPr id="1073742021" name="Line 169"/>
                        <wps:cNvCnPr>
                          <a:cxnSpLocks noChangeShapeType="1"/>
                        </wps:cNvCnPr>
                        <wps:spPr bwMode="auto">
                          <a:xfrm>
                            <a:off x="3505200" y="1752600"/>
                            <a:ext cx="635" cy="635"/>
                          </a:xfrm>
                          <a:prstGeom prst="line">
                            <a:avLst/>
                          </a:prstGeom>
                          <a:noFill/>
                          <a:ln w="0">
                            <a:solidFill>
                              <a:srgbClr val="D0D7E5"/>
                            </a:solidFill>
                            <a:prstDash val="solid"/>
                            <a:round/>
                            <a:headEnd/>
                            <a:tailEnd/>
                          </a:ln>
                          <a:extLst/>
                        </wps:spPr>
                        <wps:bodyPr/>
                      </wps:wsp>
                      <wps:wsp>
                        <wps:cNvPr id="1073742022" name="Rectangle 170"/>
                        <wps:cNvSpPr>
                          <a:spLocks noChangeArrowheads="1"/>
                        </wps:cNvSpPr>
                        <wps:spPr bwMode="auto">
                          <a:xfrm>
                            <a:off x="3505200" y="1752600"/>
                            <a:ext cx="9525" cy="9525"/>
                          </a:xfrm>
                          <a:prstGeom prst="rect">
                            <a:avLst/>
                          </a:prstGeom>
                          <a:solidFill>
                            <a:srgbClr val="D0D7E5"/>
                          </a:solidFill>
                          <a:ln>
                            <a:noFill/>
                          </a:ln>
                          <a:extLst/>
                        </wps:spPr>
                        <wps:bodyPr rot="0" vert="horz" wrap="square" lIns="91440" tIns="45720" rIns="91440" bIns="45720" anchor="t" anchorCtr="0" upright="1">
                          <a:noAutofit/>
                        </wps:bodyPr>
                      </wps:wsp>
                      <wps:wsp>
                        <wps:cNvPr id="1073742023" name="Line 171"/>
                        <wps:cNvCnPr>
                          <a:cxnSpLocks noChangeShapeType="1"/>
                        </wps:cNvCnPr>
                        <wps:spPr bwMode="auto">
                          <a:xfrm>
                            <a:off x="4114800" y="1752600"/>
                            <a:ext cx="635" cy="635"/>
                          </a:xfrm>
                          <a:prstGeom prst="line">
                            <a:avLst/>
                          </a:prstGeom>
                          <a:noFill/>
                          <a:ln w="0">
                            <a:solidFill>
                              <a:srgbClr val="D0D7E5"/>
                            </a:solidFill>
                            <a:prstDash val="solid"/>
                            <a:round/>
                            <a:headEnd/>
                            <a:tailEnd/>
                          </a:ln>
                          <a:extLst/>
                        </wps:spPr>
                        <wps:bodyPr/>
                      </wps:wsp>
                      <wps:wsp>
                        <wps:cNvPr id="1073742024" name="Rectangle 172"/>
                        <wps:cNvSpPr>
                          <a:spLocks noChangeArrowheads="1"/>
                        </wps:cNvSpPr>
                        <wps:spPr bwMode="auto">
                          <a:xfrm>
                            <a:off x="4114800" y="1752600"/>
                            <a:ext cx="9525" cy="9525"/>
                          </a:xfrm>
                          <a:prstGeom prst="rect">
                            <a:avLst/>
                          </a:prstGeom>
                          <a:solidFill>
                            <a:srgbClr val="D0D7E5"/>
                          </a:solidFill>
                          <a:ln>
                            <a:noFill/>
                          </a:ln>
                          <a:extLst/>
                        </wps:spPr>
                        <wps:bodyPr rot="0" vert="horz" wrap="square" lIns="91440" tIns="45720" rIns="91440" bIns="45720" anchor="t" anchorCtr="0" upright="1">
                          <a:noAutofit/>
                        </wps:bodyPr>
                      </wps:wsp>
                      <wps:wsp>
                        <wps:cNvPr id="1073742025" name="Line 173"/>
                        <wps:cNvCnPr>
                          <a:cxnSpLocks noChangeShapeType="1"/>
                        </wps:cNvCnPr>
                        <wps:spPr bwMode="auto">
                          <a:xfrm>
                            <a:off x="4724400" y="1752600"/>
                            <a:ext cx="635" cy="635"/>
                          </a:xfrm>
                          <a:prstGeom prst="line">
                            <a:avLst/>
                          </a:prstGeom>
                          <a:noFill/>
                          <a:ln w="0">
                            <a:solidFill>
                              <a:srgbClr val="D0D7E5"/>
                            </a:solidFill>
                            <a:prstDash val="solid"/>
                            <a:round/>
                            <a:headEnd/>
                            <a:tailEnd/>
                          </a:ln>
                          <a:extLst/>
                        </wps:spPr>
                        <wps:bodyPr/>
                      </wps:wsp>
                      <wps:wsp>
                        <wps:cNvPr id="1073742026" name="Rectangle 174"/>
                        <wps:cNvSpPr>
                          <a:spLocks noChangeArrowheads="1"/>
                        </wps:cNvSpPr>
                        <wps:spPr bwMode="auto">
                          <a:xfrm>
                            <a:off x="4724400" y="1752600"/>
                            <a:ext cx="9525" cy="9525"/>
                          </a:xfrm>
                          <a:prstGeom prst="rect">
                            <a:avLst/>
                          </a:prstGeom>
                          <a:solidFill>
                            <a:srgbClr val="D0D7E5"/>
                          </a:solidFill>
                          <a:ln>
                            <a:noFill/>
                          </a:ln>
                          <a:extLst/>
                        </wps:spPr>
                        <wps:bodyPr rot="0" vert="horz" wrap="square" lIns="91440" tIns="45720" rIns="91440" bIns="45720" anchor="t" anchorCtr="0" upright="1">
                          <a:noAutofit/>
                        </wps:bodyPr>
                      </wps:wsp>
                      <wps:wsp>
                        <wps:cNvPr id="1073742027" name="Line 175"/>
                        <wps:cNvCnPr>
                          <a:cxnSpLocks noChangeShapeType="1"/>
                        </wps:cNvCnPr>
                        <wps:spPr bwMode="auto">
                          <a:xfrm>
                            <a:off x="4733925" y="0"/>
                            <a:ext cx="635" cy="635"/>
                          </a:xfrm>
                          <a:prstGeom prst="line">
                            <a:avLst/>
                          </a:prstGeom>
                          <a:noFill/>
                          <a:ln w="0">
                            <a:solidFill>
                              <a:srgbClr val="D0D7E5"/>
                            </a:solidFill>
                            <a:prstDash val="solid"/>
                            <a:round/>
                            <a:headEnd/>
                            <a:tailEnd/>
                          </a:ln>
                          <a:extLst/>
                        </wps:spPr>
                        <wps:bodyPr/>
                      </wps:wsp>
                      <wps:wsp>
                        <wps:cNvPr id="1073742028" name="Rectangle 176"/>
                        <wps:cNvSpPr>
                          <a:spLocks noChangeArrowheads="1"/>
                        </wps:cNvSpPr>
                        <wps:spPr bwMode="auto">
                          <a:xfrm>
                            <a:off x="4733925" y="0"/>
                            <a:ext cx="9525" cy="9525"/>
                          </a:xfrm>
                          <a:prstGeom prst="rect">
                            <a:avLst/>
                          </a:prstGeom>
                          <a:solidFill>
                            <a:srgbClr val="D0D7E5"/>
                          </a:solidFill>
                          <a:ln>
                            <a:noFill/>
                          </a:ln>
                          <a:extLst/>
                        </wps:spPr>
                        <wps:bodyPr rot="0" vert="horz" wrap="square" lIns="91440" tIns="45720" rIns="91440" bIns="45720" anchor="t" anchorCtr="0" upright="1">
                          <a:noAutofit/>
                        </wps:bodyPr>
                      </wps:wsp>
                      <wps:wsp>
                        <wps:cNvPr id="1073742029" name="Line 177"/>
                        <wps:cNvCnPr>
                          <a:cxnSpLocks noChangeShapeType="1"/>
                        </wps:cNvCnPr>
                        <wps:spPr bwMode="auto">
                          <a:xfrm>
                            <a:off x="4733925" y="200025"/>
                            <a:ext cx="635" cy="635"/>
                          </a:xfrm>
                          <a:prstGeom prst="line">
                            <a:avLst/>
                          </a:prstGeom>
                          <a:noFill/>
                          <a:ln w="0">
                            <a:solidFill>
                              <a:srgbClr val="D0D7E5"/>
                            </a:solidFill>
                            <a:prstDash val="solid"/>
                            <a:round/>
                            <a:headEnd/>
                            <a:tailEnd/>
                          </a:ln>
                          <a:extLst/>
                        </wps:spPr>
                        <wps:bodyPr/>
                      </wps:wsp>
                      <wps:wsp>
                        <wps:cNvPr id="1073742030" name="Rectangle 178"/>
                        <wps:cNvSpPr>
                          <a:spLocks noChangeArrowheads="1"/>
                        </wps:cNvSpPr>
                        <wps:spPr bwMode="auto">
                          <a:xfrm>
                            <a:off x="4733925" y="200025"/>
                            <a:ext cx="9525" cy="9525"/>
                          </a:xfrm>
                          <a:prstGeom prst="rect">
                            <a:avLst/>
                          </a:prstGeom>
                          <a:solidFill>
                            <a:srgbClr val="D0D7E5"/>
                          </a:solidFill>
                          <a:ln>
                            <a:noFill/>
                          </a:ln>
                          <a:extLst/>
                        </wps:spPr>
                        <wps:bodyPr rot="0" vert="horz" wrap="square" lIns="91440" tIns="45720" rIns="91440" bIns="45720" anchor="t" anchorCtr="0" upright="1">
                          <a:noAutofit/>
                        </wps:bodyPr>
                      </wps:wsp>
                      <wps:wsp>
                        <wps:cNvPr id="1073742031" name="Line 179"/>
                        <wps:cNvCnPr>
                          <a:cxnSpLocks noChangeShapeType="1"/>
                        </wps:cNvCnPr>
                        <wps:spPr bwMode="auto">
                          <a:xfrm>
                            <a:off x="4733925" y="400050"/>
                            <a:ext cx="635" cy="635"/>
                          </a:xfrm>
                          <a:prstGeom prst="line">
                            <a:avLst/>
                          </a:prstGeom>
                          <a:noFill/>
                          <a:ln w="0">
                            <a:solidFill>
                              <a:srgbClr val="D0D7E5"/>
                            </a:solidFill>
                            <a:prstDash val="solid"/>
                            <a:round/>
                            <a:headEnd/>
                            <a:tailEnd/>
                          </a:ln>
                          <a:extLst/>
                        </wps:spPr>
                        <wps:bodyPr/>
                      </wps:wsp>
                      <wps:wsp>
                        <wps:cNvPr id="1073742032" name="Rectangle 180"/>
                        <wps:cNvSpPr>
                          <a:spLocks noChangeArrowheads="1"/>
                        </wps:cNvSpPr>
                        <wps:spPr bwMode="auto">
                          <a:xfrm>
                            <a:off x="4733925" y="400050"/>
                            <a:ext cx="9525" cy="9525"/>
                          </a:xfrm>
                          <a:prstGeom prst="rect">
                            <a:avLst/>
                          </a:prstGeom>
                          <a:solidFill>
                            <a:srgbClr val="D0D7E5"/>
                          </a:solidFill>
                          <a:ln>
                            <a:noFill/>
                          </a:ln>
                          <a:extLst/>
                        </wps:spPr>
                        <wps:bodyPr rot="0" vert="horz" wrap="square" lIns="91440" tIns="45720" rIns="91440" bIns="45720" anchor="t" anchorCtr="0" upright="1">
                          <a:noAutofit/>
                        </wps:bodyPr>
                      </wps:wsp>
                      <wps:wsp>
                        <wps:cNvPr id="1073742033" name="Line 181"/>
                        <wps:cNvCnPr>
                          <a:cxnSpLocks noChangeShapeType="1"/>
                        </wps:cNvCnPr>
                        <wps:spPr bwMode="auto">
                          <a:xfrm>
                            <a:off x="4733925" y="590550"/>
                            <a:ext cx="635" cy="635"/>
                          </a:xfrm>
                          <a:prstGeom prst="line">
                            <a:avLst/>
                          </a:prstGeom>
                          <a:noFill/>
                          <a:ln w="0">
                            <a:solidFill>
                              <a:srgbClr val="D0D7E5"/>
                            </a:solidFill>
                            <a:prstDash val="solid"/>
                            <a:round/>
                            <a:headEnd/>
                            <a:tailEnd/>
                          </a:ln>
                          <a:extLst/>
                        </wps:spPr>
                        <wps:bodyPr/>
                      </wps:wsp>
                      <wps:wsp>
                        <wps:cNvPr id="1073742034" name="Rectangle 182"/>
                        <wps:cNvSpPr>
                          <a:spLocks noChangeArrowheads="1"/>
                        </wps:cNvSpPr>
                        <wps:spPr bwMode="auto">
                          <a:xfrm>
                            <a:off x="4733925" y="590550"/>
                            <a:ext cx="9525" cy="9525"/>
                          </a:xfrm>
                          <a:prstGeom prst="rect">
                            <a:avLst/>
                          </a:prstGeom>
                          <a:solidFill>
                            <a:srgbClr val="D0D7E5"/>
                          </a:solidFill>
                          <a:ln>
                            <a:noFill/>
                          </a:ln>
                          <a:extLst/>
                        </wps:spPr>
                        <wps:bodyPr rot="0" vert="horz" wrap="square" lIns="91440" tIns="45720" rIns="91440" bIns="45720" anchor="t" anchorCtr="0" upright="1">
                          <a:noAutofit/>
                        </wps:bodyPr>
                      </wps:wsp>
                      <wps:wsp>
                        <wps:cNvPr id="1073742035" name="Line 183"/>
                        <wps:cNvCnPr>
                          <a:cxnSpLocks noChangeShapeType="1"/>
                        </wps:cNvCnPr>
                        <wps:spPr bwMode="auto">
                          <a:xfrm>
                            <a:off x="4733925" y="781050"/>
                            <a:ext cx="635" cy="635"/>
                          </a:xfrm>
                          <a:prstGeom prst="line">
                            <a:avLst/>
                          </a:prstGeom>
                          <a:noFill/>
                          <a:ln w="0">
                            <a:solidFill>
                              <a:srgbClr val="D0D7E5"/>
                            </a:solidFill>
                            <a:prstDash val="solid"/>
                            <a:round/>
                            <a:headEnd/>
                            <a:tailEnd/>
                          </a:ln>
                          <a:extLst/>
                        </wps:spPr>
                        <wps:bodyPr/>
                      </wps:wsp>
                      <wps:wsp>
                        <wps:cNvPr id="1073742036" name="Rectangle 184"/>
                        <wps:cNvSpPr>
                          <a:spLocks noChangeArrowheads="1"/>
                        </wps:cNvSpPr>
                        <wps:spPr bwMode="auto">
                          <a:xfrm>
                            <a:off x="4733925" y="781050"/>
                            <a:ext cx="9525" cy="9525"/>
                          </a:xfrm>
                          <a:prstGeom prst="rect">
                            <a:avLst/>
                          </a:prstGeom>
                          <a:solidFill>
                            <a:srgbClr val="D0D7E5"/>
                          </a:solidFill>
                          <a:ln>
                            <a:noFill/>
                          </a:ln>
                          <a:extLst/>
                        </wps:spPr>
                        <wps:bodyPr rot="0" vert="horz" wrap="square" lIns="91440" tIns="45720" rIns="91440" bIns="45720" anchor="t" anchorCtr="0" upright="1">
                          <a:noAutofit/>
                        </wps:bodyPr>
                      </wps:wsp>
                      <wps:wsp>
                        <wps:cNvPr id="1073742037" name="Line 185"/>
                        <wps:cNvCnPr>
                          <a:cxnSpLocks noChangeShapeType="1"/>
                        </wps:cNvCnPr>
                        <wps:spPr bwMode="auto">
                          <a:xfrm>
                            <a:off x="4733925" y="971550"/>
                            <a:ext cx="635" cy="635"/>
                          </a:xfrm>
                          <a:prstGeom prst="line">
                            <a:avLst/>
                          </a:prstGeom>
                          <a:noFill/>
                          <a:ln w="0">
                            <a:solidFill>
                              <a:srgbClr val="D0D7E5"/>
                            </a:solidFill>
                            <a:prstDash val="solid"/>
                            <a:round/>
                            <a:headEnd/>
                            <a:tailEnd/>
                          </a:ln>
                          <a:extLst/>
                        </wps:spPr>
                        <wps:bodyPr/>
                      </wps:wsp>
                      <wps:wsp>
                        <wps:cNvPr id="1073742038" name="Rectangle 186"/>
                        <wps:cNvSpPr>
                          <a:spLocks noChangeArrowheads="1"/>
                        </wps:cNvSpPr>
                        <wps:spPr bwMode="auto">
                          <a:xfrm>
                            <a:off x="4733925" y="971550"/>
                            <a:ext cx="9525" cy="9525"/>
                          </a:xfrm>
                          <a:prstGeom prst="rect">
                            <a:avLst/>
                          </a:prstGeom>
                          <a:solidFill>
                            <a:srgbClr val="D0D7E5"/>
                          </a:solidFill>
                          <a:ln>
                            <a:noFill/>
                          </a:ln>
                          <a:extLst/>
                        </wps:spPr>
                        <wps:bodyPr rot="0" vert="horz" wrap="square" lIns="91440" tIns="45720" rIns="91440" bIns="45720" anchor="t" anchorCtr="0" upright="1">
                          <a:noAutofit/>
                        </wps:bodyPr>
                      </wps:wsp>
                      <wps:wsp>
                        <wps:cNvPr id="1073742039" name="Line 187"/>
                        <wps:cNvCnPr>
                          <a:cxnSpLocks noChangeShapeType="1"/>
                        </wps:cNvCnPr>
                        <wps:spPr bwMode="auto">
                          <a:xfrm>
                            <a:off x="4733925" y="1162050"/>
                            <a:ext cx="635" cy="635"/>
                          </a:xfrm>
                          <a:prstGeom prst="line">
                            <a:avLst/>
                          </a:prstGeom>
                          <a:noFill/>
                          <a:ln w="0">
                            <a:solidFill>
                              <a:srgbClr val="D0D7E5"/>
                            </a:solidFill>
                            <a:prstDash val="solid"/>
                            <a:round/>
                            <a:headEnd/>
                            <a:tailEnd/>
                          </a:ln>
                          <a:extLst/>
                        </wps:spPr>
                        <wps:bodyPr/>
                      </wps:wsp>
                      <wps:wsp>
                        <wps:cNvPr id="1073742040" name="Rectangle 188"/>
                        <wps:cNvSpPr>
                          <a:spLocks noChangeArrowheads="1"/>
                        </wps:cNvSpPr>
                        <wps:spPr bwMode="auto">
                          <a:xfrm>
                            <a:off x="4733925" y="1162050"/>
                            <a:ext cx="9525" cy="9525"/>
                          </a:xfrm>
                          <a:prstGeom prst="rect">
                            <a:avLst/>
                          </a:prstGeom>
                          <a:solidFill>
                            <a:srgbClr val="D0D7E5"/>
                          </a:solidFill>
                          <a:ln>
                            <a:noFill/>
                          </a:ln>
                          <a:extLst/>
                        </wps:spPr>
                        <wps:bodyPr rot="0" vert="horz" wrap="square" lIns="91440" tIns="45720" rIns="91440" bIns="45720" anchor="t" anchorCtr="0" upright="1">
                          <a:noAutofit/>
                        </wps:bodyPr>
                      </wps:wsp>
                      <wps:wsp>
                        <wps:cNvPr id="1073742041" name="Line 189"/>
                        <wps:cNvCnPr>
                          <a:cxnSpLocks noChangeShapeType="1"/>
                        </wps:cNvCnPr>
                        <wps:spPr bwMode="auto">
                          <a:xfrm>
                            <a:off x="4733925" y="1352550"/>
                            <a:ext cx="635" cy="635"/>
                          </a:xfrm>
                          <a:prstGeom prst="line">
                            <a:avLst/>
                          </a:prstGeom>
                          <a:noFill/>
                          <a:ln w="0">
                            <a:solidFill>
                              <a:srgbClr val="D0D7E5"/>
                            </a:solidFill>
                            <a:prstDash val="solid"/>
                            <a:round/>
                            <a:headEnd/>
                            <a:tailEnd/>
                          </a:ln>
                          <a:extLst/>
                        </wps:spPr>
                        <wps:bodyPr/>
                      </wps:wsp>
                      <wps:wsp>
                        <wps:cNvPr id="1073742042" name="Rectangle 190"/>
                        <wps:cNvSpPr>
                          <a:spLocks noChangeArrowheads="1"/>
                        </wps:cNvSpPr>
                        <wps:spPr bwMode="auto">
                          <a:xfrm>
                            <a:off x="4733925" y="1352550"/>
                            <a:ext cx="9525" cy="9525"/>
                          </a:xfrm>
                          <a:prstGeom prst="rect">
                            <a:avLst/>
                          </a:prstGeom>
                          <a:solidFill>
                            <a:srgbClr val="D0D7E5"/>
                          </a:solidFill>
                          <a:ln>
                            <a:noFill/>
                          </a:ln>
                          <a:extLst/>
                        </wps:spPr>
                        <wps:bodyPr rot="0" vert="horz" wrap="square" lIns="91440" tIns="45720" rIns="91440" bIns="45720" anchor="t" anchorCtr="0" upright="1">
                          <a:noAutofit/>
                        </wps:bodyPr>
                      </wps:wsp>
                      <wps:wsp>
                        <wps:cNvPr id="1073742043" name="Line 191"/>
                        <wps:cNvCnPr>
                          <a:cxnSpLocks noChangeShapeType="1"/>
                        </wps:cNvCnPr>
                        <wps:spPr bwMode="auto">
                          <a:xfrm>
                            <a:off x="4733925" y="1552575"/>
                            <a:ext cx="635" cy="635"/>
                          </a:xfrm>
                          <a:prstGeom prst="line">
                            <a:avLst/>
                          </a:prstGeom>
                          <a:noFill/>
                          <a:ln w="0">
                            <a:solidFill>
                              <a:srgbClr val="D0D7E5"/>
                            </a:solidFill>
                            <a:prstDash val="solid"/>
                            <a:round/>
                            <a:headEnd/>
                            <a:tailEnd/>
                          </a:ln>
                          <a:extLst/>
                        </wps:spPr>
                        <wps:bodyPr/>
                      </wps:wsp>
                      <wps:wsp>
                        <wps:cNvPr id="1073742044" name="Rectangle 192"/>
                        <wps:cNvSpPr>
                          <a:spLocks noChangeArrowheads="1"/>
                        </wps:cNvSpPr>
                        <wps:spPr bwMode="auto">
                          <a:xfrm>
                            <a:off x="4733925" y="1552575"/>
                            <a:ext cx="9525" cy="9525"/>
                          </a:xfrm>
                          <a:prstGeom prst="rect">
                            <a:avLst/>
                          </a:prstGeom>
                          <a:solidFill>
                            <a:srgbClr val="D0D7E5"/>
                          </a:solidFill>
                          <a:ln>
                            <a:noFill/>
                          </a:ln>
                          <a:extLst/>
                        </wps:spPr>
                        <wps:bodyPr rot="0" vert="horz" wrap="square" lIns="91440" tIns="45720" rIns="91440" bIns="45720" anchor="t" anchorCtr="0" upright="1">
                          <a:noAutofit/>
                        </wps:bodyPr>
                      </wps:wsp>
                      <wps:wsp>
                        <wps:cNvPr id="1073742045" name="Line 193"/>
                        <wps:cNvCnPr>
                          <a:cxnSpLocks noChangeShapeType="1"/>
                        </wps:cNvCnPr>
                        <wps:spPr bwMode="auto">
                          <a:xfrm>
                            <a:off x="4733925" y="1743075"/>
                            <a:ext cx="635" cy="635"/>
                          </a:xfrm>
                          <a:prstGeom prst="line">
                            <a:avLst/>
                          </a:prstGeom>
                          <a:noFill/>
                          <a:ln w="0">
                            <a:solidFill>
                              <a:srgbClr val="D0D7E5"/>
                            </a:solidFill>
                            <a:prstDash val="solid"/>
                            <a:round/>
                            <a:headEnd/>
                            <a:tailEnd/>
                          </a:ln>
                          <a:extLst/>
                        </wps:spPr>
                        <wps:bodyPr/>
                      </wps:wsp>
                      <wps:wsp>
                        <wps:cNvPr id="1073742046" name="Rectangle 194"/>
                        <wps:cNvSpPr>
                          <a:spLocks noChangeArrowheads="1"/>
                        </wps:cNvSpPr>
                        <wps:spPr bwMode="auto">
                          <a:xfrm>
                            <a:off x="4733925" y="1743075"/>
                            <a:ext cx="9525" cy="9525"/>
                          </a:xfrm>
                          <a:prstGeom prst="rect">
                            <a:avLst/>
                          </a:prstGeom>
                          <a:solidFill>
                            <a:srgbClr val="D0D7E5"/>
                          </a:solidFill>
                          <a:ln>
                            <a:noFill/>
                          </a:ln>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0D82DF7" id="Canvas 1073742047" o:spid="_x0000_s1027" editas="canvas" style="position:absolute;left:0;text-align:left;margin-left:-2.35pt;margin-top:37.35pt;width:373.5pt;height:143.2pt;z-index:251657216" coordsize="47434,18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47434;height:18186;visibility:visible;mso-wrap-style:square">
                  <v:fill o:detectmouseclick="t"/>
                  <v:path o:connecttype="none"/>
                </v:shape>
                <v:rect id="Rectangle 125" o:spid="_x0000_s1029" style="position:absolute;left:285;top:190;width:0;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ssZMYA&#10;AADjAAAADwAAAGRycy9kb3ducmV2LnhtbERPzUoDMRC+C75DGKE3m7QVt902LSIUqnjptg8wbGZ/&#10;MJksSeyub28EweN8/7M7TM6KG4XYe9awmCsQxLU3Pbcarpfj4xpETMgGrWfS8E0RDvv7ux2Wxo98&#10;pluVWpFDOJaooUtpKKWMdUcO49wPxJlrfHCY8hlaaQKOOdxZuVTqWTrsOTd0ONBrR/Vn9eU0yEt1&#10;HNeVDcq/L5sP+3Y6N+S1nj1ML1sQiab0L/5zn0yer4pV8bTYFAX8/pQBkP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4ssZMYAAADjAAAADwAAAAAAAAAAAAAAAACYAgAAZHJz&#10;L2Rvd25yZXYueG1sUEsFBgAAAAAEAAQA9QAAAIsDAAAAAA==&#10;" filled="f" stroked="f">
                  <v:textbox style="mso-fit-shape-to-text:t" inset="0,0,0,0">
                    <w:txbxContent>
                      <w:p w14:paraId="75AD82DE" w14:textId="77777777" w:rsidR="00960899" w:rsidRPr="00171C7D" w:rsidRDefault="00960899" w:rsidP="00202852">
                        <w:pPr>
                          <w:rPr>
                            <w:sz w:val="20"/>
                            <w:szCs w:val="20"/>
                          </w:rPr>
                        </w:pPr>
                        <w:r w:rsidRPr="00171C7D">
                          <w:rPr>
                            <w:rFonts w:ascii="Cambria" w:hAnsi="Cambria" w:cs="Cambria"/>
                            <w:color w:val="000000"/>
                            <w:sz w:val="20"/>
                            <w:szCs w:val="20"/>
                          </w:rPr>
                          <w:t>Sources of Income</w:t>
                        </w:r>
                        <w:r>
                          <w:rPr>
                            <w:rFonts w:ascii="Cambria" w:hAnsi="Cambria" w:cs="Cambria"/>
                            <w:color w:val="000000"/>
                            <w:sz w:val="20"/>
                            <w:szCs w:val="20"/>
                          </w:rPr>
                          <w:t xml:space="preserve">      </w:t>
                        </w:r>
                      </w:p>
                    </w:txbxContent>
                  </v:textbox>
                </v:rect>
                <v:rect id="Rectangle 126" o:spid="_x0000_s1030" style="position:absolute;left:31242;top:190;width:1485;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S4FsoA&#10;AADjAAAADwAAAGRycy9kb3ducmV2LnhtbESP3WoCMRCF7wu+QxihdzXRlq5djSIFwZbeuPYBwmb2&#10;B5PJkkR3+/adi0IvZ86Zc77Z7ifvxB1j6gNpWC4UCKQ62J5aDd+X49MaRMqGrHGBUMMPJtjvZg9b&#10;U9ow0hnvVW4Fh1AqjYYu56GUMtUdepMWYUBirQnRm8xjbKWNZuRw7+RKqVfpTU/c0JkB3zusr9XN&#10;a5CX6jiuKxdV+Fw1X+7jdG4waP04nw4bEBmn/G/+uz5ZxlfFc/GyfCsYmn/iBcjd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IUuBbKAAAA4wAAAA8AAAAAAAAAAAAAAAAAmAIA&#10;AGRycy9kb3ducmV2LnhtbFBLBQYAAAAABAAEAPUAAACPAwAAAAA=&#10;" filled="f" stroked="f">
                  <v:textbox style="mso-fit-shape-to-text:t" inset="0,0,0,0">
                    <w:txbxContent>
                      <w:p w14:paraId="1C827C88" w14:textId="77777777" w:rsidR="00960899" w:rsidRPr="00171C7D" w:rsidRDefault="00960899" w:rsidP="00202852">
                        <w:pPr>
                          <w:rPr>
                            <w:sz w:val="20"/>
                            <w:szCs w:val="20"/>
                          </w:rPr>
                        </w:pPr>
                        <w:r w:rsidRPr="00171C7D">
                          <w:rPr>
                            <w:rFonts w:ascii="Cambria" w:hAnsi="Cambria" w:cs="Cambria"/>
                            <w:color w:val="000000"/>
                            <w:sz w:val="20"/>
                            <w:szCs w:val="20"/>
                          </w:rPr>
                          <w:t>All</w:t>
                        </w:r>
                      </w:p>
                    </w:txbxContent>
                  </v:textbox>
                </v:rect>
                <v:rect id="Rectangle 127" o:spid="_x0000_s1031" style="position:absolute;left:35623;top:190;width:4502;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gdjcYA&#10;AADjAAAADwAAAGRycy9kb3ducmV2LnhtbERPzUoDMRC+C75DGKE3m7QVt12bFhEKVbx06wMMm9kf&#10;TCZLErvbt28EweN8/7PdT86KC4XYe9awmCsQxLU3Pbcavs6HxzWImJANWs+k4UoR9rv7uy2Wxo98&#10;okuVWpFDOJaooUtpKKWMdUcO49wPxJlrfHCY8hlaaQKOOdxZuVTqWTrsOTd0ONBbR/V39eM0yHN1&#10;GNeVDcp/LJtP+348NeS1nj1Mry8gEk3pX/znPpo8XxWr4mmxKTbw+1MGQO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gdjcYAAADjAAAADwAAAAAAAAAAAAAAAACYAgAAZHJz&#10;L2Rvd25yZXYueG1sUEsFBgAAAAAEAAQA9QAAAIsDAAAAAA==&#10;" filled="f" stroked="f">
                  <v:textbox style="mso-fit-shape-to-text:t" inset="0,0,0,0">
                    <w:txbxContent>
                      <w:p w14:paraId="54F026E0" w14:textId="77777777" w:rsidR="00960899" w:rsidRPr="00171C7D" w:rsidRDefault="00960899" w:rsidP="00202852">
                        <w:pPr>
                          <w:rPr>
                            <w:sz w:val="20"/>
                            <w:szCs w:val="20"/>
                          </w:rPr>
                        </w:pPr>
                        <w:r w:rsidRPr="00171C7D">
                          <w:rPr>
                            <w:rFonts w:ascii="Cambria" w:hAnsi="Cambria" w:cs="Cambria"/>
                            <w:color w:val="000000"/>
                            <w:sz w:val="20"/>
                            <w:szCs w:val="20"/>
                          </w:rPr>
                          <w:t>Non IDP</w:t>
                        </w:r>
                      </w:p>
                    </w:txbxContent>
                  </v:textbox>
                </v:rect>
                <v:rect id="Rectangle 128" o:spid="_x0000_s1032" style="position:absolute;left:43148;top:190;width:1975;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fEN8oA&#10;AADjAAAADwAAAGRycy9kb3ducmV2LnhtbESP3WoCMRCF7wu+QxihdzXRlrpdjSIFwZbeuPYBwmb2&#10;B5PJkkR3+/adi0IvZ+bMOefb7ifvxB1j6gNpWC4UCKQ62J5aDd+X41MBImVD1rhAqOEHE+x3s4et&#10;KW0Y6Yz3KreCTSiVRkOX81BKmeoOvUmLMCDxrQnRm8xjbKWNZmRz7+RKqVfpTU+c0JkB3zusr9XN&#10;a5CX6jgWlYsqfK6aL/dxOjcYtH6cT4cNiIxT/hf/fZ8s11fr5/XL8q1gCmbiBcjd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m3xDfKAAAA4wAAAA8AAAAAAAAAAAAAAAAAmAIA&#10;AGRycy9kb3ducmV2LnhtbFBLBQYAAAAABAAEAPUAAACPAwAAAAA=&#10;" filled="f" stroked="f">
                  <v:textbox style="mso-fit-shape-to-text:t" inset="0,0,0,0">
                    <w:txbxContent>
                      <w:p w14:paraId="1C10456E" w14:textId="77777777" w:rsidR="00960899" w:rsidRPr="00171C7D" w:rsidRDefault="00960899" w:rsidP="00202852">
                        <w:pPr>
                          <w:rPr>
                            <w:sz w:val="20"/>
                            <w:szCs w:val="20"/>
                          </w:rPr>
                        </w:pPr>
                        <w:r w:rsidRPr="00171C7D">
                          <w:rPr>
                            <w:rFonts w:ascii="Cambria" w:hAnsi="Cambria" w:cs="Cambria"/>
                            <w:color w:val="000000"/>
                            <w:sz w:val="20"/>
                            <w:szCs w:val="20"/>
                          </w:rPr>
                          <w:t>IDP</w:t>
                        </w:r>
                      </w:p>
                    </w:txbxContent>
                  </v:textbox>
                </v:rect>
                <v:rect id="Rectangle 129" o:spid="_x0000_s1033" style="position:absolute;left:285;top:2190;width:14326;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BgMMkA&#10;AADjAAAADwAAAGRycy9kb3ducmV2LnhtbERPzWrCQBC+C77DMoVeRDexRWPqKlIQehCKaQ/2NmSn&#10;2bTZ2ZDdmtSn7xYEj/P9z3o72EacqfO1YwXpLAFBXDpdc6Xg/W0/zUD4gKyxcUwKfsnDdjMerTHX&#10;rucjnYtQiRjCPkcFJoQ2l9KXhiz6mWuJI/fpOoshnl0ldYd9DLeNnCfJQlqsOTYYbOnZUPld/FgF&#10;+9dTTXyRx8kq691XOf8ozKFV6v5u2D2BCDSEm/jqftFxfrJ8WD6mqyyF/58iAHLz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IBgMMkAAADjAAAADwAAAAAAAAAAAAAAAACYAgAA&#10;ZHJzL2Rvd25yZXYueG1sUEsFBgAAAAAEAAQA9QAAAI4DAAAAAA==&#10;" filled="f" stroked="f">
                  <v:textbox style="mso-fit-shape-to-text:t" inset="0,0,0,0">
                    <w:txbxContent>
                      <w:p w14:paraId="37444F93" w14:textId="77777777" w:rsidR="00960899" w:rsidRPr="00171C7D" w:rsidRDefault="00960899" w:rsidP="00202852">
                        <w:pPr>
                          <w:rPr>
                            <w:sz w:val="20"/>
                            <w:szCs w:val="20"/>
                          </w:rPr>
                        </w:pPr>
                        <w:r w:rsidRPr="00171C7D">
                          <w:rPr>
                            <w:rFonts w:ascii="Cambria" w:hAnsi="Cambria" w:cs="Cambria"/>
                            <w:color w:val="000000"/>
                            <w:sz w:val="20"/>
                            <w:szCs w:val="20"/>
                          </w:rPr>
                          <w:t>From hired employment</w:t>
                        </w:r>
                      </w:p>
                    </w:txbxContent>
                  </v:textbox>
                </v:rect>
                <v:rect id="Rectangle 130" o:spid="_x0000_s1034" style="position:absolute;left:30384;top:2190;width:3074;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n/28YA&#10;AADjAAAADwAAAGRycy9kb3ducmV2LnhtbERPzUoDMRC+C75DmII3m3QVu65NiwiFKl667QMMm9kf&#10;mkyWJHbXtzeC4HG+/9nsZmfFlUIcPGtYLRUI4sabgTsN59P+vgQRE7JB65k0fFOE3fb2ZoOV8RMf&#10;6VqnTuQQjhVq6FMaKylj05PDuPQjceZaHxymfIZOmoBTDndWFko9SYcD54YeR3rrqbnUX06DPNX7&#10;qaxtUP6jaD/t++HYktf6bjG/voBINKd/8Z/7YPJ8tX5YP66eywJ+f8oA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n/28YAAADjAAAADwAAAAAAAAAAAAAAAACYAgAAZHJz&#10;L2Rvd25yZXYueG1sUEsFBgAAAAAEAAQA9QAAAIsDAAAAAA==&#10;" filled="f" stroked="f">
                  <v:textbox style="mso-fit-shape-to-text:t" inset="0,0,0,0">
                    <w:txbxContent>
                      <w:p w14:paraId="52AD803C" w14:textId="77777777" w:rsidR="00960899" w:rsidRPr="00171C7D" w:rsidRDefault="00960899" w:rsidP="00202852">
                        <w:pPr>
                          <w:rPr>
                            <w:sz w:val="20"/>
                            <w:szCs w:val="20"/>
                          </w:rPr>
                        </w:pPr>
                        <w:r w:rsidRPr="00171C7D">
                          <w:rPr>
                            <w:rFonts w:ascii="Cambria" w:hAnsi="Cambria" w:cs="Cambria"/>
                            <w:color w:val="000000"/>
                            <w:sz w:val="20"/>
                            <w:szCs w:val="20"/>
                          </w:rPr>
                          <w:t>26.52</w:t>
                        </w:r>
                      </w:p>
                    </w:txbxContent>
                  </v:textbox>
                </v:rect>
                <v:rect id="Rectangle 131" o:spid="_x0000_s1035" style="position:absolute;left:36480;top:2190;width:3074;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VaQMYA&#10;AADjAAAADwAAAGRycy9kb3ducmV2LnhtbERPzUoDMRC+C32HMAVvNmkrdl2bliIUqnjp1gcYNrM/&#10;mEyWJO2ub28EweN8/7PdT86KG4XYe9awXCgQxLU3PbcaPi/HhwJETMgGrWfS8E0R9rvZ3RZL40c+&#10;061KrcghHEvU0KU0lFLGuiOHceEH4sw1PjhM+QytNAHHHO6sXCn1JB32nBs6HOi1o/qrujoN8lId&#10;x6KyQfn3VfNh307nhrzW9/Pp8AIi0ZT+xX/uk8nz1Wa9eVw+F2v4/SkDIH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VaQMYAAADjAAAADwAAAAAAAAAAAAAAAACYAgAAZHJz&#10;L2Rvd25yZXYueG1sUEsFBgAAAAAEAAQA9QAAAIsDAAAAAA==&#10;" filled="f" stroked="f">
                  <v:textbox style="mso-fit-shape-to-text:t" inset="0,0,0,0">
                    <w:txbxContent>
                      <w:p w14:paraId="651D62B9" w14:textId="77777777" w:rsidR="00960899" w:rsidRPr="00171C7D" w:rsidRDefault="00960899" w:rsidP="00202852">
                        <w:pPr>
                          <w:rPr>
                            <w:sz w:val="20"/>
                            <w:szCs w:val="20"/>
                          </w:rPr>
                        </w:pPr>
                        <w:r w:rsidRPr="00171C7D">
                          <w:rPr>
                            <w:rFonts w:ascii="Cambria" w:hAnsi="Cambria" w:cs="Cambria"/>
                            <w:color w:val="000000"/>
                            <w:sz w:val="20"/>
                            <w:szCs w:val="20"/>
                          </w:rPr>
                          <w:t>26.56</w:t>
                        </w:r>
                      </w:p>
                    </w:txbxContent>
                  </v:textbox>
                </v:rect>
                <v:rect id="Rectangle 132" o:spid="_x0000_s1036" style="position:absolute;left:42576;top:2190;width:3074;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zCNMYA&#10;AADjAAAADwAAAGRycy9kb3ducmV2LnhtbERPzUoDMRC+C32HMAVvNmktdl2bliIUqnjp1gcYNrM/&#10;mEyWJO2ub28EweN8/7PdT86KG4XYe9awXCgQxLU3PbcaPi/HhwJETMgGrWfS8E0R9rvZ3RZL40c+&#10;061KrcghHEvU0KU0lFLGuiOHceEH4sw1PjhM+QytNAHHHO6sXCn1JB32nBs6HOi1o/qrujoN8lId&#10;x6KyQfn3VfNh307nhrzW9/Pp8AIi0ZT+xX/uk8nz1eZxs14+F2v4/SkDIH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ozCNMYAAADjAAAADwAAAAAAAAAAAAAAAACYAgAAZHJz&#10;L2Rvd25yZXYueG1sUEsFBgAAAAAEAAQA9QAAAIsDAAAAAA==&#10;" filled="f" stroked="f">
                  <v:textbox style="mso-fit-shape-to-text:t" inset="0,0,0,0">
                    <w:txbxContent>
                      <w:p w14:paraId="336146BF" w14:textId="77777777" w:rsidR="00960899" w:rsidRPr="00171C7D" w:rsidRDefault="00960899" w:rsidP="00202852">
                        <w:pPr>
                          <w:rPr>
                            <w:sz w:val="20"/>
                            <w:szCs w:val="20"/>
                          </w:rPr>
                        </w:pPr>
                        <w:r w:rsidRPr="00171C7D">
                          <w:rPr>
                            <w:rFonts w:ascii="Cambria" w:hAnsi="Cambria" w:cs="Cambria"/>
                            <w:color w:val="000000"/>
                            <w:sz w:val="20"/>
                            <w:szCs w:val="20"/>
                          </w:rPr>
                          <w:t>25.59</w:t>
                        </w:r>
                      </w:p>
                    </w:txbxContent>
                  </v:textbox>
                </v:rect>
                <v:rect id="Rectangle 133" o:spid="_x0000_s1037" style="position:absolute;left:285;top:4286;width:13259;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tmM8oA&#10;AADjAAAADwAAAGRycy9kb3ducmV2LnhtbERPzWrCQBC+F3yHZQQvpW7UWmPqKkUQPBSKsYf2NmSn&#10;2bTZ2ZBdTfTp3UKhx/n+Z7XpbS3O1PrKsYLJOAFBXDhdcang/bh7SEH4gKyxdkwKLuRhsx7crTDT&#10;ruMDnfNQihjCPkMFJoQmk9IXhiz6sWuII/flWoshnm0pdYtdDLe1nCbJk7RYcWww2NDWUPGTn6yC&#10;3dtHRXyVh/tl2rnvYvqZm9dGqdGwf3kGEagP/+I/917H+clitnicLNM5/P4UAZDrG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7ZjPKAAAA4wAAAA8AAAAAAAAAAAAAAAAAmAIA&#10;AGRycy9kb3ducmV2LnhtbFBLBQYAAAAABAAEAPUAAACPAwAAAAA=&#10;" filled="f" stroked="f">
                  <v:textbox style="mso-fit-shape-to-text:t" inset="0,0,0,0">
                    <w:txbxContent>
                      <w:p w14:paraId="35E3EAAC" w14:textId="77777777" w:rsidR="00960899" w:rsidRPr="00171C7D" w:rsidRDefault="00960899" w:rsidP="00202852">
                        <w:pPr>
                          <w:rPr>
                            <w:sz w:val="20"/>
                            <w:szCs w:val="20"/>
                          </w:rPr>
                        </w:pPr>
                        <w:r w:rsidRPr="00171C7D">
                          <w:rPr>
                            <w:rFonts w:ascii="Cambria" w:hAnsi="Cambria" w:cs="Cambria"/>
                            <w:color w:val="000000"/>
                            <w:sz w:val="20"/>
                            <w:szCs w:val="20"/>
                          </w:rPr>
                          <w:t>From self-employment</w:t>
                        </w:r>
                      </w:p>
                    </w:txbxContent>
                  </v:textbox>
                </v:rect>
                <v:rect id="Rectangle 134" o:spid="_x0000_s1038" style="position:absolute;left:30765;top:4191;width:2375;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L52MYA&#10;AADjAAAADwAAAGRycy9kb3ducmV2LnhtbERPzUoDMRC+C32HMAVvNmmVdl2bliIUqnjp1gcYNrM/&#10;mEyWJO2ub28EweN8/7PdT86KG4XYe9awXCgQxLU3PbcaPi/HhwJETMgGrWfS8E0R9rvZ3RZL40c+&#10;061KrcghHEvU0KU0lFLGuiOHceEH4sw1PjhM+QytNAHHHO6sXCm1lg57zg0dDvTaUf1VXZ0GeamO&#10;Y1HZoPz7qvmwb6dzQ17r+/l0eAGRaEr/4j/3yeT5avO4eVo+F2v4/SkDIH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L52MYAAADjAAAADwAAAAAAAAAAAAAAAACYAgAAZHJz&#10;L2Rvd25yZXYueG1sUEsFBgAAAAAEAAQA9QAAAIsDAAAAAA==&#10;" filled="f" stroked="f">
                  <v:textbox style="mso-fit-shape-to-text:t" inset="0,0,0,0">
                    <w:txbxContent>
                      <w:p w14:paraId="03AEA7CC" w14:textId="77777777" w:rsidR="00960899" w:rsidRPr="00171C7D" w:rsidRDefault="00960899" w:rsidP="00202852">
                        <w:pPr>
                          <w:rPr>
                            <w:sz w:val="20"/>
                            <w:szCs w:val="20"/>
                          </w:rPr>
                        </w:pPr>
                        <w:r w:rsidRPr="00171C7D">
                          <w:rPr>
                            <w:rFonts w:ascii="Cambria" w:hAnsi="Cambria" w:cs="Cambria"/>
                            <w:color w:val="000000"/>
                            <w:sz w:val="20"/>
                            <w:szCs w:val="20"/>
                          </w:rPr>
                          <w:t>7.47</w:t>
                        </w:r>
                      </w:p>
                    </w:txbxContent>
                  </v:textbox>
                </v:rect>
                <v:rect id="Rectangle 135" o:spid="_x0000_s1039" style="position:absolute;left:36861;top:4191;width:2375;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5cQ8YA&#10;AADjAAAADwAAAGRycy9kb3ducmV2LnhtbERPzUoDMRC+C75DmII3m7SKu65NiwiFKl667QMMm9kf&#10;mkyWJHbXtzeC4HG+/9nsZmfFlUIcPGtYLRUI4sabgTsN59P+vgQRE7JB65k0fFOE3fb2ZoOV8RMf&#10;6VqnTuQQjhVq6FMaKylj05PDuPQjceZaHxymfIZOmoBTDndWrpV6kg4Hzg09jvTWU3Opv5wGear3&#10;U1nboPzHuv2074djS17ru8X8+gIi0Zz+xX/ug8nzVfFQPK6eywJ+f8oA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5cQ8YAAADjAAAADwAAAAAAAAAAAAAAAACYAgAAZHJz&#10;L2Rvd25yZXYueG1sUEsFBgAAAAAEAAQA9QAAAIsDAAAAAA==&#10;" filled="f" stroked="f">
                  <v:textbox style="mso-fit-shape-to-text:t" inset="0,0,0,0">
                    <w:txbxContent>
                      <w:p w14:paraId="5E67F262" w14:textId="77777777" w:rsidR="00960899" w:rsidRPr="00171C7D" w:rsidRDefault="00960899" w:rsidP="00202852">
                        <w:pPr>
                          <w:rPr>
                            <w:sz w:val="20"/>
                            <w:szCs w:val="20"/>
                          </w:rPr>
                        </w:pPr>
                        <w:r w:rsidRPr="00171C7D">
                          <w:rPr>
                            <w:rFonts w:ascii="Cambria" w:hAnsi="Cambria" w:cs="Cambria"/>
                            <w:color w:val="000000"/>
                            <w:sz w:val="20"/>
                            <w:szCs w:val="20"/>
                          </w:rPr>
                          <w:t>7.54</w:t>
                        </w:r>
                      </w:p>
                    </w:txbxContent>
                  </v:textbox>
                </v:rect>
                <v:rect id="Rectangle 136" o:spid="_x0000_s1040" style="position:absolute;left:42957;top:4191;width:2375;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HIMcoA&#10;AADjAAAADwAAAGRycy9kb3ducmV2LnhtbESP3WoCMRCF7wu+QxihdzXRlrpdjSIFwZbeuPYBwmb2&#10;B5PJkkR3+/adi0IvZ86Zc77Z7ifvxB1j6gNpWC4UCKQ62J5aDd+X41MBImVD1rhAqOEHE+x3s4et&#10;KW0Y6Yz3KreCQyiVRkOX81BKmeoOvUmLMCCx1oToTeYxttJGM3K4d3Kl1Kv0pidu6MyA7x3W1+rm&#10;NchLdRyLykUVPlfNl/s4nRsMWj/Op8MGRMYp/5v/rk+W8dX6ef2yfCsYmn/iBcjd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fByDHKAAAA4wAAAA8AAAAAAAAAAAAAAAAAmAIA&#10;AGRycy9kb3ducmV2LnhtbFBLBQYAAAAABAAEAPUAAACPAwAAAAA=&#10;" filled="f" stroked="f">
                  <v:textbox style="mso-fit-shape-to-text:t" inset="0,0,0,0">
                    <w:txbxContent>
                      <w:p w14:paraId="54CA790F" w14:textId="77777777" w:rsidR="00960899" w:rsidRPr="00171C7D" w:rsidRDefault="00960899" w:rsidP="00202852">
                        <w:pPr>
                          <w:rPr>
                            <w:sz w:val="20"/>
                            <w:szCs w:val="20"/>
                          </w:rPr>
                        </w:pPr>
                        <w:r w:rsidRPr="00171C7D">
                          <w:rPr>
                            <w:rFonts w:ascii="Cambria" w:hAnsi="Cambria" w:cs="Cambria"/>
                            <w:color w:val="000000"/>
                            <w:sz w:val="20"/>
                            <w:szCs w:val="20"/>
                          </w:rPr>
                          <w:t>5.79</w:t>
                        </w:r>
                      </w:p>
                    </w:txbxContent>
                  </v:textbox>
                </v:rect>
                <v:rect id="Rectangle 137" o:spid="_x0000_s1041" style="position:absolute;left:285;top:6191;width:24988;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ZsNskA&#10;AADjAAAADwAAAGRycy9kb3ducmV2LnhtbERPzWrCQBC+C77DMoVeRDfaoknqKlIQehCKaQ/2NmSn&#10;2bTZ2ZDdmtSn7xYEj/P9z3o72EacqfO1YwXzWQKCuHS65krB+9t+moLwAVlj45gU/JKH7WY8WmOu&#10;Xc9HOhehEjGEfY4KTAhtLqUvDVn0M9cSR+7TdRZDPLtK6g77GG4buUiSpbRYc2ww2NKzofK7+LEK&#10;9q+nmvgij5Ms7d1XufgozKFV6v5u2D2BCDSEm/jqftFxfrJ6WD3OszSD/58iAHLz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vZsNskAAADjAAAADwAAAAAAAAAAAAAAAACYAgAA&#10;ZHJzL2Rvd25yZXYueG1sUEsFBgAAAAAEAAQA9QAAAI4DAAAAAA==&#10;" filled="f" stroked="f">
                  <v:textbox style="mso-fit-shape-to-text:t" inset="0,0,0,0">
                    <w:txbxContent>
                      <w:p w14:paraId="76931E05" w14:textId="77777777" w:rsidR="00960899" w:rsidRPr="00171C7D" w:rsidRDefault="00960899" w:rsidP="00202852">
                        <w:pPr>
                          <w:rPr>
                            <w:sz w:val="20"/>
                            <w:szCs w:val="20"/>
                          </w:rPr>
                        </w:pPr>
                        <w:r w:rsidRPr="00171C7D">
                          <w:rPr>
                            <w:rFonts w:ascii="Cambria" w:hAnsi="Cambria" w:cs="Cambria"/>
                            <w:color w:val="000000"/>
                            <w:sz w:val="20"/>
                            <w:szCs w:val="20"/>
                          </w:rPr>
                          <w:t>From selling agricultural production</w:t>
                        </w:r>
                      </w:p>
                    </w:txbxContent>
                  </v:textbox>
                </v:rect>
                <v:rect id="Rectangle 138" o:spid="_x0000_s1042" style="position:absolute;left:30765;top:6096;width:2375;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5S6skA&#10;AADjAAAADwAAAGRycy9kb3ducmV2LnhtbESP3WoCMRCF7wu+QxihdzXRlqqrUaQg2NIbVx9g2Mz+&#10;YDJZkuhu3765KPRyZs6cc77tfnRWPCjEzrOG+UyBIK686bjRcL0cX1YgYkI2aD2Thh+KsN9NnrZY&#10;GD/wmR5lakQ24VighjalvpAyVi05jDPfE+db7YPDlMfQSBNwyObOyoVS79JhxzmhxZ4+Wqpu5d1p&#10;kJfyOKxKG5T/WtTf9vN0rslr/TwdDxsQicb0L/77PplcXy1fl2/z9TpTZKa8ALn7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G5S6skAAADjAAAADwAAAAAAAAAAAAAAAACYAgAA&#10;ZHJzL2Rvd25yZXYueG1sUEsFBgAAAAAEAAQA9QAAAI4DAAAAAA==&#10;" filled="f" stroked="f">
                  <v:textbox style="mso-fit-shape-to-text:t" inset="0,0,0,0">
                    <w:txbxContent>
                      <w:p w14:paraId="04F3A366" w14:textId="77777777" w:rsidR="00960899" w:rsidRPr="00171C7D" w:rsidRDefault="00960899" w:rsidP="00202852">
                        <w:pPr>
                          <w:rPr>
                            <w:sz w:val="20"/>
                            <w:szCs w:val="20"/>
                          </w:rPr>
                        </w:pPr>
                        <w:r w:rsidRPr="00171C7D">
                          <w:rPr>
                            <w:rFonts w:ascii="Cambria" w:hAnsi="Cambria" w:cs="Cambria"/>
                            <w:color w:val="000000"/>
                            <w:sz w:val="20"/>
                            <w:szCs w:val="20"/>
                          </w:rPr>
                          <w:t>6.11</w:t>
                        </w:r>
                      </w:p>
                    </w:txbxContent>
                  </v:textbox>
                </v:rect>
                <v:rect id="Rectangle 139" o:spid="_x0000_s1043" style="position:absolute;left:36861;top:6096;width:2375;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L3ccYA&#10;AADjAAAADwAAAGRycy9kb3ducmV2LnhtbERPzUoDMRC+C75DGKE3m2wrtl2bFhEKVbx06wMMm9kf&#10;TCZLErvbt28EweN8/7PdT86KC4XYe9ZQzBUI4tqbnlsNX+fD4xpETMgGrWfScKUI+9393RZL40c+&#10;0aVKrcghHEvU0KU0lFLGuiOHce4H4sw1PjhM+QytNAHHHO6sXCj1LB32nBs6HOito/q7+nEa5Lk6&#10;jOvKBuU/Fs2nfT+eGvJazx6m1xcQiab0L/5zH02er1bL1VOx2RTw+1MGQO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L3ccYAAADjAAAADwAAAAAAAAAAAAAAAACYAgAAZHJz&#10;L2Rvd25yZXYueG1sUEsFBgAAAAAEAAQA9QAAAIsDAAAAAA==&#10;" filled="f" stroked="f">
                  <v:textbox style="mso-fit-shape-to-text:t" inset="0,0,0,0">
                    <w:txbxContent>
                      <w:p w14:paraId="11D04405" w14:textId="77777777" w:rsidR="00960899" w:rsidRPr="00171C7D" w:rsidRDefault="00960899" w:rsidP="00202852">
                        <w:pPr>
                          <w:rPr>
                            <w:sz w:val="20"/>
                            <w:szCs w:val="20"/>
                          </w:rPr>
                        </w:pPr>
                        <w:r w:rsidRPr="00171C7D">
                          <w:rPr>
                            <w:rFonts w:ascii="Cambria" w:hAnsi="Cambria" w:cs="Cambria"/>
                            <w:color w:val="000000"/>
                            <w:sz w:val="20"/>
                            <w:szCs w:val="20"/>
                          </w:rPr>
                          <w:t>6.28</w:t>
                        </w:r>
                      </w:p>
                    </w:txbxContent>
                  </v:textbox>
                </v:rect>
                <v:rect id="Rectangle 140" o:spid="_x0000_s1044" style="position:absolute;left:42957;top:6096;width:2375;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pBsYA&#10;AADjAAAADwAAAGRycy9kb3ducmV2LnhtbERPzUoDMRC+C75DGKE3m3Qrtl2bFhEKVbx06wMMm9kf&#10;TCZLErvbt28EweN8/7PdT86KC4XYe9awmCsQxLU3Pbcavs6HxzWImJANWs+k4UoR9rv7uy2Wxo98&#10;okuVWpFDOJaooUtpKKWMdUcO49wPxJlrfHCY8hlaaQKOOdxZWSj1LB32nBs6HOito/q7+nEa5Lk6&#10;jOvKBuU/iubTvh9PDXmtZw/T6wuIRFP6F/+5jybPV6vl6mmx2RTw+1MGQO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pBsYAAADjAAAADwAAAAAAAAAAAAAAAACYAgAAZHJz&#10;L2Rvd25yZXYueG1sUEsFBgAAAAAEAAQA9QAAAIsDAAAAAA==&#10;" filled="f" stroked="f">
                  <v:textbox style="mso-fit-shape-to-text:t" inset="0,0,0,0">
                    <w:txbxContent>
                      <w:p w14:paraId="7DCE1D9F" w14:textId="77777777" w:rsidR="00960899" w:rsidRPr="00171C7D" w:rsidRDefault="00960899" w:rsidP="00202852">
                        <w:pPr>
                          <w:rPr>
                            <w:sz w:val="20"/>
                            <w:szCs w:val="20"/>
                          </w:rPr>
                        </w:pPr>
                        <w:r w:rsidRPr="00171C7D">
                          <w:rPr>
                            <w:rFonts w:ascii="Cambria" w:hAnsi="Cambria" w:cs="Cambria"/>
                            <w:color w:val="000000"/>
                            <w:sz w:val="20"/>
                            <w:szCs w:val="20"/>
                          </w:rPr>
                          <w:t>1.92</w:t>
                        </w:r>
                      </w:p>
                    </w:txbxContent>
                  </v:textbox>
                </v:rect>
                <v:rect id="Rectangle 141" o:spid="_x0000_s1045" style="position:absolute;left:285;top:8096;width:27959;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zMncYA&#10;AADjAAAADwAAAGRycy9kb3ducmV2LnhtbERPzWoCMRC+F/oOYQq91UQtVVejSEGwpRdXH2DYzP5g&#10;MlmS6G7fvikUepzvfza70VlxpxA7zxqmEwWCuPKm40bD5Xx4WYKICdmg9UwavinCbvv4sMHC+IFP&#10;dC9TI3IIxwI1tCn1hZSxaslhnPieOHO1Dw5TPkMjTcAhhzsrZ0q9SYcd54YWe3pvqbqWN6dBnsvD&#10;sCxtUP5zVn/Zj+OpJq/189O4X4NINKZ/8Z/7aPJ8tZgvXqer1Rx+f8oA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LzMncYAAADjAAAADwAAAAAAAAAAAAAAAACYAgAAZHJz&#10;L2Rvd25yZXYueG1sUEsFBgAAAAAEAAQA9QAAAIsDAAAAAA==&#10;" filled="f" stroked="f">
                  <v:textbox style="mso-fit-shape-to-text:t" inset="0,0,0,0">
                    <w:txbxContent>
                      <w:p w14:paraId="67536A99" w14:textId="77777777" w:rsidR="00960899" w:rsidRPr="00171C7D" w:rsidRDefault="00960899" w:rsidP="00202852">
                        <w:pPr>
                          <w:rPr>
                            <w:sz w:val="20"/>
                            <w:szCs w:val="20"/>
                          </w:rPr>
                        </w:pPr>
                        <w:r w:rsidRPr="00171C7D">
                          <w:rPr>
                            <w:rFonts w:ascii="Cambria" w:hAnsi="Cambria" w:cs="Cambria"/>
                            <w:color w:val="000000"/>
                            <w:sz w:val="20"/>
                            <w:szCs w:val="20"/>
                          </w:rPr>
                          <w:t>Property income (leasing, interest on a deposit etc.)</w:t>
                        </w:r>
                      </w:p>
                    </w:txbxContent>
                  </v:textbox>
                </v:rect>
                <v:rect id="Rectangle 142" o:spid="_x0000_s1046" style="position:absolute;left:30765;top:8001;width:2375;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VU6cYA&#10;AADjAAAADwAAAGRycy9kb3ducmV2LnhtbERPzWoCMRC+F/oOYQq91UQrVVejSEGwpRdXH2DYzP5g&#10;MlmS6G7fvikUepzvfza70VlxpxA7zxqmEwWCuPKm40bD5Xx4WYKICdmg9UwavinCbvv4sMHC+IFP&#10;dC9TI3IIxwI1tCn1hZSxaslhnPieOHO1Dw5TPkMjTcAhhzsrZ0q9SYcd54YWe3pvqbqWN6dBnsvD&#10;sCxtUP5zVn/Zj+OpJq/189O4X4NINKZ/8Z/7aPJ8tXhdzKer1Rx+f8oA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1VU6cYAAADjAAAADwAAAAAAAAAAAAAAAACYAgAAZHJz&#10;L2Rvd25yZXYueG1sUEsFBgAAAAAEAAQA9QAAAIsDAAAAAA==&#10;" filled="f" stroked="f">
                  <v:textbox style="mso-fit-shape-to-text:t" inset="0,0,0,0">
                    <w:txbxContent>
                      <w:p w14:paraId="062D69F2" w14:textId="77777777" w:rsidR="00960899" w:rsidRPr="00171C7D" w:rsidRDefault="00960899" w:rsidP="00202852">
                        <w:pPr>
                          <w:rPr>
                            <w:sz w:val="20"/>
                            <w:szCs w:val="20"/>
                          </w:rPr>
                        </w:pPr>
                        <w:r w:rsidRPr="00171C7D">
                          <w:rPr>
                            <w:rFonts w:ascii="Cambria" w:hAnsi="Cambria" w:cs="Cambria"/>
                            <w:color w:val="000000"/>
                            <w:sz w:val="20"/>
                            <w:szCs w:val="20"/>
                          </w:rPr>
                          <w:t>0.59</w:t>
                        </w:r>
                      </w:p>
                    </w:txbxContent>
                  </v:textbox>
                </v:rect>
                <v:rect id="Rectangle 143" o:spid="_x0000_s1047" style="position:absolute;left:36861;top:8001;width:2375;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nxcsYA&#10;AADjAAAADwAAAGRycy9kb3ducmV2LnhtbERP22oCMRB9L/gPYYS+1UR7UbdGkYJgiy+u/YBhM3uh&#10;yWRJorv9+6ZQ6OOc+2x2o7PiRiF2njXMZwoEceVNx42Gz8vhYQUiJmSD1jNp+KYIu+3kboOF8QOf&#10;6VamRuQQjgVqaFPqCylj1ZLDOPM9ceZqHxymfIZGmoBDDndWLpR6kQ47zg0t9vTWUvVVXp0GeSkP&#10;w6q0QfmPRX2y78dzTV7r++m4fwWRaEz/4j/30eT5avm4fJqv18/w+1MG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nxcsYAAADjAAAADwAAAAAAAAAAAAAAAACYAgAAZHJz&#10;L2Rvd25yZXYueG1sUEsFBgAAAAAEAAQA9QAAAIsDAAAAAA==&#10;" filled="f" stroked="f">
                  <v:textbox style="mso-fit-shape-to-text:t" inset="0,0,0,0">
                    <w:txbxContent>
                      <w:p w14:paraId="17460DC8" w14:textId="77777777" w:rsidR="00960899" w:rsidRPr="00171C7D" w:rsidRDefault="00960899" w:rsidP="00202852">
                        <w:pPr>
                          <w:rPr>
                            <w:sz w:val="20"/>
                            <w:szCs w:val="20"/>
                          </w:rPr>
                        </w:pPr>
                        <w:r w:rsidRPr="00171C7D">
                          <w:rPr>
                            <w:rFonts w:ascii="Cambria" w:hAnsi="Cambria" w:cs="Cambria"/>
                            <w:color w:val="000000"/>
                            <w:sz w:val="20"/>
                            <w:szCs w:val="20"/>
                          </w:rPr>
                          <w:t>0.61</w:t>
                        </w:r>
                      </w:p>
                    </w:txbxContent>
                  </v:textbox>
                </v:rect>
                <v:rect id="Rectangle 144" o:spid="_x0000_s1048" style="position:absolute;left:42957;top:8001;width:2375;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vBcYA&#10;AADjAAAADwAAAGRycy9kb3ducmV2LnhtbERP22oCMRB9L/QfwhT6VhNt8bIaRQqCLX1x9QOGzewF&#10;k8mSRHf7902h0Mc599nsRmfFnULsPGuYThQI4sqbjhsNl/PhZQkiJmSD1jNp+KYIu+3jwwYL4wc+&#10;0b1MjcghHAvU0KbUF1LGqiWHceJ74szVPjhM+QyNNAGHHO6snCk1lw47zg0t9vTeUnUtb06DPJeH&#10;YVnaoPznrP6yH8dTTV7r56dxvwaRaEz/4j/30eT5avG6eJuuVnP4/SkD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vBcYAAADjAAAADwAAAAAAAAAAAAAAAACYAgAAZHJz&#10;L2Rvd25yZXYueG1sUEsFBgAAAAAEAAQA9QAAAIsDAAAAAA==&#10;" filled="f" stroked="f">
                  <v:textbox style="mso-fit-shape-to-text:t" inset="0,0,0,0">
                    <w:txbxContent>
                      <w:p w14:paraId="758B7337" w14:textId="77777777" w:rsidR="00960899" w:rsidRPr="00171C7D" w:rsidRDefault="00960899" w:rsidP="00202852">
                        <w:pPr>
                          <w:rPr>
                            <w:sz w:val="20"/>
                            <w:szCs w:val="20"/>
                          </w:rPr>
                        </w:pPr>
                        <w:r w:rsidRPr="00171C7D">
                          <w:rPr>
                            <w:rFonts w:ascii="Cambria" w:hAnsi="Cambria" w:cs="Cambria"/>
                            <w:color w:val="000000"/>
                            <w:sz w:val="20"/>
                            <w:szCs w:val="20"/>
                          </w:rPr>
                          <w:t>0.18</w:t>
                        </w:r>
                      </w:p>
                    </w:txbxContent>
                  </v:textbox>
                </v:rect>
                <v:rect id="Rectangle 145" o:spid="_x0000_s1049" style="position:absolute;left:285;top:10001;width:18879;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KnsYA&#10;AADjAAAADwAAAGRycy9kb3ducmV2LnhtbERPzUoDMRC+C75DGKE3m7QVt12bFhEKVbx06wMMm9kf&#10;TCZLErvbt28EweN8/7PdT86KC4XYe9awmCsQxLU3Pbcavs6HxzWImJANWs+k4UoR9rv7uy2Wxo98&#10;okuVWpFDOJaooUtpKKWMdUcO49wPxJlrfHCY8hlaaQKOOdxZuVTqWTrsOTd0ONBbR/V39eM0yHN1&#10;GNeVDcp/LJtP+348NeS1nj1Mry8gEk3pX/znPpo8XxWr4mmx2RTw+1MGQO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4fKnsYAAADjAAAADwAAAAAAAAAAAAAAAACYAgAAZHJz&#10;L2Rvd25yZXYueG1sUEsFBgAAAAAEAAQA9QAAAIsDAAAAAA==&#10;" filled="f" stroked="f">
                  <v:textbox style="mso-fit-shape-to-text:t" inset="0,0,0,0">
                    <w:txbxContent>
                      <w:p w14:paraId="01D002B7" w14:textId="77777777" w:rsidR="00960899" w:rsidRPr="00171C7D" w:rsidRDefault="00960899" w:rsidP="00202852">
                        <w:pPr>
                          <w:rPr>
                            <w:sz w:val="20"/>
                            <w:szCs w:val="20"/>
                          </w:rPr>
                        </w:pPr>
                        <w:r w:rsidRPr="00171C7D">
                          <w:rPr>
                            <w:rFonts w:ascii="Cambria" w:hAnsi="Cambria" w:cs="Cambria"/>
                            <w:color w:val="000000"/>
                            <w:sz w:val="20"/>
                            <w:szCs w:val="20"/>
                          </w:rPr>
                          <w:t>Pensions, scholarships, assistances</w:t>
                        </w:r>
                      </w:p>
                    </w:txbxContent>
                  </v:textbox>
                </v:rect>
                <v:rect id="Rectangle 146" o:spid="_x0000_s1050" style="position:absolute;left:30384;top:9906;width:3074;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he7MkA&#10;AADjAAAADwAAAGRycy9kb3ducmV2LnhtbESP3WoCMRCF7wu+QxihdzXRlqqrUaQg2NIbVx9g2Mz+&#10;YDJZkuhu3765KPRy5pw555vtfnRWPCjEzrOG+UyBIK686bjRcL0cX1YgYkI2aD2Thh+KsN9NnrZY&#10;GD/wmR5lakQO4VighjalvpAyVi05jDPfE2et9sFhymNopAk45HBn5UKpd+mw49zQYk8fLVW38u40&#10;yEt5HFalDcp/Lepv+3k61+S1fp6Ohw2IRGP6N/9dn0zGV8vX5dt8vc7Q+ae8ALn7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hhe7MkAAADjAAAADwAAAAAAAAAAAAAAAACYAgAA&#10;ZHJzL2Rvd25yZXYueG1sUEsFBgAAAAAEAAQA9QAAAI4DAAAAAA==&#10;" filled="f" stroked="f">
                  <v:textbox style="mso-fit-shape-to-text:t" inset="0,0,0,0">
                    <w:txbxContent>
                      <w:p w14:paraId="2404D22A" w14:textId="77777777" w:rsidR="00960899" w:rsidRPr="00171C7D" w:rsidRDefault="00960899" w:rsidP="00202852">
                        <w:pPr>
                          <w:rPr>
                            <w:sz w:val="20"/>
                            <w:szCs w:val="20"/>
                          </w:rPr>
                        </w:pPr>
                        <w:r w:rsidRPr="00171C7D">
                          <w:rPr>
                            <w:rFonts w:ascii="Cambria" w:hAnsi="Cambria" w:cs="Cambria"/>
                            <w:color w:val="000000"/>
                            <w:sz w:val="20"/>
                            <w:szCs w:val="20"/>
                          </w:rPr>
                          <w:t>26.60</w:t>
                        </w:r>
                      </w:p>
                    </w:txbxContent>
                  </v:textbox>
                </v:rect>
                <v:rect id="Rectangle 147" o:spid="_x0000_s1051" style="position:absolute;left:36480;top:9906;width:3074;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T7d8YA&#10;AADjAAAADwAAAGRycy9kb3ducmV2LnhtbERPzUoDMRC+C75DGKE3m7QV212bFhEKVbx06wMMm9kf&#10;TCZLErvbt28EweN8/7PdT86KC4XYe9awmCsQxLU3Pbcavs6Hxw2ImJANWs+k4UoR9rv7uy2Wxo98&#10;okuVWpFDOJaooUtpKKWMdUcO49wPxJlrfHCY8hlaaQKOOdxZuVTqWTrsOTd0ONBbR/V39eM0yHN1&#10;GDeVDcp/LJtP+348NeS1nj1Mry8gEk3pX/znPpo8X61X66dFURTw+1MGQO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T7d8YAAADjAAAADwAAAAAAAAAAAAAAAACYAgAAZHJz&#10;L2Rvd25yZXYueG1sUEsFBgAAAAAEAAQA9QAAAIsDAAAAAA==&#10;" filled="f" stroked="f">
                  <v:textbox style="mso-fit-shape-to-text:t" inset="0,0,0,0">
                    <w:txbxContent>
                      <w:p w14:paraId="67FF6B20" w14:textId="77777777" w:rsidR="00960899" w:rsidRPr="00171C7D" w:rsidRDefault="00960899" w:rsidP="00202852">
                        <w:pPr>
                          <w:rPr>
                            <w:sz w:val="20"/>
                            <w:szCs w:val="20"/>
                          </w:rPr>
                        </w:pPr>
                        <w:r w:rsidRPr="00171C7D">
                          <w:rPr>
                            <w:rFonts w:ascii="Cambria" w:hAnsi="Cambria" w:cs="Cambria"/>
                            <w:color w:val="000000"/>
                            <w:sz w:val="20"/>
                            <w:szCs w:val="20"/>
                          </w:rPr>
                          <w:t>26.20</w:t>
                        </w:r>
                      </w:p>
                    </w:txbxContent>
                  </v:textbox>
                </v:rect>
                <v:rect id="Rectangle 148" o:spid="_x0000_s1052" style="position:absolute;left:42576;top:9906;width:3074;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Hs0sgA&#10;AADjAAAADwAAAGRycy9kb3ducmV2LnhtbESP3UoDMRCF7wXfIYzgnU1axZa1aRGhUMWbbn2AYTP7&#10;Q5PJksTu+vbOheDlmXPmmznb/Ry8ulLKQ2QLy4UBRdxEN3Bn4et8eNiAygXZoY9MFn4ow353e7PF&#10;ysWJT3StS6cEwrlCC30pY6V1bnoKmBdxJBavjSlgEZk67RJOAg9er4x51gEHlgs9jvTWU3Opv4MF&#10;fa4P06b2ycSPVfvp34+nlqK193fz6wuoQnP5D/9tH528b9aP6yfhSgvpJAPQu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8ezSyAAAAOMAAAAPAAAAAAAAAAAAAAAAAJgCAABk&#10;cnMvZG93bnJldi54bWxQSwUGAAAAAAQABAD1AAAAjQMAAAAA&#10;" filled="f" stroked="f">
                  <v:textbox style="mso-fit-shape-to-text:t" inset="0,0,0,0">
                    <w:txbxContent>
                      <w:p w14:paraId="4CBDA19C" w14:textId="77777777" w:rsidR="00960899" w:rsidRPr="00171C7D" w:rsidRDefault="00960899" w:rsidP="00202852">
                        <w:pPr>
                          <w:rPr>
                            <w:sz w:val="20"/>
                            <w:szCs w:val="20"/>
                          </w:rPr>
                        </w:pPr>
                        <w:r w:rsidRPr="00171C7D">
                          <w:rPr>
                            <w:rFonts w:ascii="Cambria" w:hAnsi="Cambria" w:cs="Cambria"/>
                            <w:color w:val="000000"/>
                            <w:sz w:val="20"/>
                            <w:szCs w:val="20"/>
                          </w:rPr>
                          <w:t>36.85</w:t>
                        </w:r>
                      </w:p>
                    </w:txbxContent>
                  </v:textbox>
                </v:rect>
                <v:rect id="Rectangle 149" o:spid="_x0000_s1053" style="position:absolute;left:285;top:11906;width:13773;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1JScgA&#10;AADjAAAADwAAAGRycy9kb3ducmV2LnhtbESP3WoCMRCF7wt9hzAF72riD1VWo5SCYKU3rj7AsJn9&#10;oclkSVJ3fXtTKPRy5pzzzZntfnRW3CjEzrOG2VSBIK686bjRcL0cXtcgYkI2aD2ThjtF2O+en7ZY&#10;GD/wmW5lakSGcCxQQ5tSX0gZq5YcxqnvibNW++Aw5TE00gQcMtxZOVfqTTrsOF9osaePlqrv8sdp&#10;kJfyMKxLG5Q/zesv+3k81+S1nryM7xsQicb0b/5LH02ur1aL1TJzZ/D7U16A3D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vUlJyAAAAOMAAAAPAAAAAAAAAAAAAAAAAJgCAABk&#10;cnMvZG93bnJldi54bWxQSwUGAAAAAAQABAD1AAAAjQMAAAAA&#10;" filled="f" stroked="f">
                  <v:textbox style="mso-fit-shape-to-text:t" inset="0,0,0,0">
                    <w:txbxContent>
                      <w:p w14:paraId="21EDC899" w14:textId="77777777" w:rsidR="00960899" w:rsidRPr="00171C7D" w:rsidRDefault="00960899" w:rsidP="00202852">
                        <w:pPr>
                          <w:rPr>
                            <w:sz w:val="20"/>
                            <w:szCs w:val="20"/>
                          </w:rPr>
                        </w:pPr>
                        <w:r w:rsidRPr="00171C7D">
                          <w:rPr>
                            <w:rFonts w:ascii="Cambria" w:hAnsi="Cambria" w:cs="Cambria"/>
                            <w:color w:val="000000"/>
                            <w:sz w:val="20"/>
                            <w:szCs w:val="20"/>
                          </w:rPr>
                          <w:t>Remittances from abroad</w:t>
                        </w:r>
                      </w:p>
                    </w:txbxContent>
                  </v:textbox>
                </v:rect>
                <v:rect id="Rectangle 150" o:spid="_x0000_s1054" style="position:absolute;left:30384;top:11811;width:3074;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XPsgA&#10;AADjAAAADwAAAGRycy9kb3ducmV2LnhtbESP3WoCMRCF7wu+QxihdzVxW6qsRpGCYEtvXH2AYTP7&#10;g8lkSVJ3+/ZNodDLmXPON2e2+8lZcacQe88algsFgrj2pudWw/VyfFqDiAnZoPVMGr4pwn43e9hi&#10;afzIZ7pXqRUZwrFEDV1KQyllrDtyGBd+IM5a44PDlMfQShNwzHBnZaHUq3TYc77Q4UBvHdW36stp&#10;kJfqOK4rG5T/KJpP+346N+S1fpxPhw2IRFP6N/+lTybXV6vn1UvmFvD7U16A3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b9c+yAAAAOMAAAAPAAAAAAAAAAAAAAAAAJgCAABk&#10;cnMvZG93bnJldi54bWxQSwUGAAAAAAQABAD1AAAAjQMAAAAA&#10;" filled="f" stroked="f">
                  <v:textbox style="mso-fit-shape-to-text:t" inset="0,0,0,0">
                    <w:txbxContent>
                      <w:p w14:paraId="3A3550C7" w14:textId="77777777" w:rsidR="00960899" w:rsidRPr="00171C7D" w:rsidRDefault="00960899" w:rsidP="00202852">
                        <w:pPr>
                          <w:rPr>
                            <w:sz w:val="20"/>
                            <w:szCs w:val="20"/>
                          </w:rPr>
                        </w:pPr>
                        <w:r w:rsidRPr="00171C7D">
                          <w:rPr>
                            <w:rFonts w:ascii="Cambria" w:hAnsi="Cambria" w:cs="Cambria"/>
                            <w:color w:val="000000"/>
                            <w:sz w:val="20"/>
                            <w:szCs w:val="20"/>
                          </w:rPr>
                          <w:t>13.52</w:t>
                        </w:r>
                      </w:p>
                    </w:txbxContent>
                  </v:textbox>
                </v:rect>
                <v:rect id="Rectangle 151" o:spid="_x0000_s1055" style="position:absolute;left:36480;top:11811;width:3074;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NypcgA&#10;AADjAAAADwAAAGRycy9kb3ducmV2LnhtbESP3WoCMRCF7wt9hzAF72riDypbo5SCYMUb1z7AsJn9&#10;wWSyJNHdvn1TKPRy5pzzzZntfnRWPCjEzrOG2VSBIK686bjR8HU9vG5AxIRs0HomDd8UYb97ftpi&#10;YfzAF3qUqREZwrFADW1KfSFlrFpyGKe+J85a7YPDlMfQSBNwyHBn5VyplXTYcb7QYk8fLVW38u40&#10;yGt5GDalDcqf5vXZfh4vNXmtJy/j+xuIRGP6N/+ljybXV+vFepm5C/j9KS9A7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I3KlyAAAAOMAAAAPAAAAAAAAAAAAAAAAAJgCAABk&#10;cnMvZG93bnJldi54bWxQSwUGAAAAAAQABAD1AAAAjQMAAAAA&#10;" filled="f" stroked="f">
                  <v:textbox style="mso-fit-shape-to-text:t" inset="0,0,0,0">
                    <w:txbxContent>
                      <w:p w14:paraId="2A68A8CD" w14:textId="77777777" w:rsidR="00960899" w:rsidRPr="00171C7D" w:rsidRDefault="00960899" w:rsidP="00202852">
                        <w:pPr>
                          <w:rPr>
                            <w:sz w:val="20"/>
                            <w:szCs w:val="20"/>
                          </w:rPr>
                        </w:pPr>
                        <w:r w:rsidRPr="00171C7D">
                          <w:rPr>
                            <w:rFonts w:ascii="Cambria" w:hAnsi="Cambria" w:cs="Cambria"/>
                            <w:color w:val="000000"/>
                            <w:sz w:val="20"/>
                            <w:szCs w:val="20"/>
                          </w:rPr>
                          <w:t>13.31</w:t>
                        </w:r>
                      </w:p>
                    </w:txbxContent>
                  </v:textbox>
                </v:rect>
                <v:rect id="Rectangle 152" o:spid="_x0000_s1056" style="position:absolute;left:42576;top:11811;width:3074;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rq0cgA&#10;AADjAAAADwAAAGRycy9kb3ducmV2LnhtbESP3WoCMRCF74W+Q5hC7zTxhypbo5SCYKU3rn2AYTP7&#10;g8lkSaK7fftGKPRy5pzzzZntfnRW3CnEzrOG+UyBIK686bjR8H05TDcgYkI2aD2Thh+KsN89TbZY&#10;GD/wme5lakSGcCxQQ5tSX0gZq5YcxpnvibNW++Aw5TE00gQcMtxZuVDqVTrsOF9osaePlqpreXMa&#10;5KU8DJvSBuVPi/rLfh7PNXmtX57H9zcQicb0b/5LH02ur9bL9SpzV/D4KS9A7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yurRyAAAAOMAAAAPAAAAAAAAAAAAAAAAAJgCAABk&#10;cnMvZG93bnJldi54bWxQSwUGAAAAAAQABAD1AAAAjQMAAAAA&#10;" filled="f" stroked="f">
                  <v:textbox style="mso-fit-shape-to-text:t" inset="0,0,0,0">
                    <w:txbxContent>
                      <w:p w14:paraId="0C209765" w14:textId="77777777" w:rsidR="00960899" w:rsidRPr="00171C7D" w:rsidRDefault="00960899" w:rsidP="00202852">
                        <w:pPr>
                          <w:rPr>
                            <w:sz w:val="20"/>
                            <w:szCs w:val="20"/>
                          </w:rPr>
                        </w:pPr>
                        <w:r w:rsidRPr="00171C7D">
                          <w:rPr>
                            <w:rFonts w:ascii="Cambria" w:hAnsi="Cambria" w:cs="Cambria"/>
                            <w:color w:val="000000"/>
                            <w:sz w:val="20"/>
                            <w:szCs w:val="20"/>
                          </w:rPr>
                          <w:t>18.85</w:t>
                        </w:r>
                      </w:p>
                    </w:txbxContent>
                  </v:textbox>
                </v:rect>
                <v:rect id="Rectangle 153" o:spid="_x0000_s1057" style="position:absolute;left:285;top:13716;width:13024;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ZPSsgA&#10;AADjAAAADwAAAGRycy9kb3ducmV2LnhtbESP3WoCMRCF74W+Q5hC7zSp1SpboxRB0OKNax9g2Mz+&#10;0GSyJNHdvn1TKPRy5pzzzZnNbnRW3CnEzrOG55kCQVx503Gj4fN6mK5BxIRs0HomDd8UYbd9mGyw&#10;MH7gC93L1IgM4VighjalvpAyVi05jDPfE2et9sFhymNopAk4ZLizcq7Uq3TYcb7QYk/7lqqv8uY0&#10;yGt5GNalDcp/zOuzPR0vNXmtnx7H9zcQicb0b/5LH02ur1Yvq0XmLuH3p7wAu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hk9KyAAAAOMAAAAPAAAAAAAAAAAAAAAAAJgCAABk&#10;cnMvZG93bnJldi54bWxQSwUGAAAAAAQABAD1AAAAjQMAAAAA&#10;" filled="f" stroked="f">
                  <v:textbox style="mso-fit-shape-to-text:t" inset="0,0,0,0">
                    <w:txbxContent>
                      <w:p w14:paraId="595CA5C7" w14:textId="77777777" w:rsidR="00960899" w:rsidRPr="00171C7D" w:rsidRDefault="00960899" w:rsidP="00202852">
                        <w:pPr>
                          <w:rPr>
                            <w:sz w:val="20"/>
                            <w:szCs w:val="20"/>
                          </w:rPr>
                        </w:pPr>
                        <w:r w:rsidRPr="00171C7D">
                          <w:rPr>
                            <w:rFonts w:ascii="Cambria" w:hAnsi="Cambria" w:cs="Cambria"/>
                            <w:color w:val="000000"/>
                            <w:sz w:val="20"/>
                            <w:szCs w:val="20"/>
                          </w:rPr>
                          <w:t>Money received as a gift</w:t>
                        </w:r>
                      </w:p>
                    </w:txbxContent>
                  </v:textbox>
                </v:rect>
                <v:rect id="Rectangle 154" o:spid="_x0000_s1058" style="position:absolute;left:30384;top:13716;width:3074;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TRPccA&#10;AADjAAAADwAAAGRycy9kb3ducmV2LnhtbESP3WoCMRCF74W+Q5hC7zTxhypbo5SCYKU3rn2AYTP7&#10;g8lkSaK7fftGKPRy5pzzzZntfnRW3CnEzrOG+UyBIK686bjR8H05TDcgYkI2aD2Thh+KsN89TbZY&#10;GD/wme5lakSGcCxQQ5tSX0gZq5YcxpnvibNW++Aw5TE00gQcMtxZuVDqVTrsOF9osaePlqpreXMa&#10;5KU8DJvSBuVPi/rLfh7PNXmtX57H9zcQicb0b/5LH02ur9bL9erBhcdPeQFy9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1U0T3HAAAA4wAAAA8AAAAAAAAAAAAAAAAAmAIAAGRy&#10;cy9kb3ducmV2LnhtbFBLBQYAAAAABAAEAPUAAACMAwAAAAA=&#10;" filled="f" stroked="f">
                  <v:textbox style="mso-fit-shape-to-text:t" inset="0,0,0,0">
                    <w:txbxContent>
                      <w:p w14:paraId="5250A3F3" w14:textId="77777777" w:rsidR="00960899" w:rsidRPr="00171C7D" w:rsidRDefault="00960899" w:rsidP="00202852">
                        <w:pPr>
                          <w:rPr>
                            <w:sz w:val="20"/>
                            <w:szCs w:val="20"/>
                          </w:rPr>
                        </w:pPr>
                        <w:r w:rsidRPr="00171C7D">
                          <w:rPr>
                            <w:rFonts w:ascii="Cambria" w:hAnsi="Cambria" w:cs="Cambria"/>
                            <w:color w:val="000000"/>
                            <w:sz w:val="20"/>
                            <w:szCs w:val="20"/>
                          </w:rPr>
                          <w:t>15.99</w:t>
                        </w:r>
                      </w:p>
                    </w:txbxContent>
                  </v:textbox>
                </v:rect>
                <v:rect id="Rectangle 155" o:spid="_x0000_s1059" style="position:absolute;left:36480;top:13716;width:3074;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h0psgA&#10;AADjAAAADwAAAGRycy9kb3ducmV2LnhtbESP3WoCMRCF7wu+QxihdzXRlq6sRpGCYEtvXH2AYTP7&#10;g8lkSVJ3+/ZNodDLmXPON2e2+8lZcacQe88algsFgrj2pudWw/VyfFqDiAnZoPVMGr4pwn43e9hi&#10;afzIZ7pXqRUZwrFEDV1KQyllrDtyGBd+IM5a44PDlMfQShNwzHBn5UqpV+mw53yhw4HeOqpv1ZfT&#10;IC/VcVxXNij/sWo+7fvp3JDX+nE+HTYgEk3p3/yXPplcXxXPxUvmFvD7U16A3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GHSmyAAAAOMAAAAPAAAAAAAAAAAAAAAAAJgCAABk&#10;cnMvZG93bnJldi54bWxQSwUGAAAAAAQABAD1AAAAjQMAAAAA&#10;" filled="f" stroked="f">
                  <v:textbox style="mso-fit-shape-to-text:t" inset="0,0,0,0">
                    <w:txbxContent>
                      <w:p w14:paraId="7AAE8740" w14:textId="77777777" w:rsidR="00960899" w:rsidRPr="00171C7D" w:rsidRDefault="00960899" w:rsidP="00202852">
                        <w:pPr>
                          <w:rPr>
                            <w:sz w:val="20"/>
                            <w:szCs w:val="20"/>
                          </w:rPr>
                        </w:pPr>
                        <w:r w:rsidRPr="00171C7D">
                          <w:rPr>
                            <w:rFonts w:ascii="Cambria" w:hAnsi="Cambria" w:cs="Cambria"/>
                            <w:color w:val="000000"/>
                            <w:sz w:val="20"/>
                            <w:szCs w:val="20"/>
                          </w:rPr>
                          <w:t>16.31</w:t>
                        </w:r>
                      </w:p>
                    </w:txbxContent>
                  </v:textbox>
                </v:rect>
                <v:rect id="Rectangle 156" o:spid="_x0000_s1060" style="position:absolute;left:42957;top:13716;width:2375;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fg1MgA&#10;AADjAAAADwAAAGRycy9kb3ducmV2LnhtbESP3UoDMRCF7wXfIYzgnU1axZa1aRGhUMWbbn2AYTP7&#10;Q5PJksTu+vbOheDlmTnzzTnb/Ry8ulLKQ2QLy4UBRdxEN3Bn4et8eNiAygXZoY9MFn4ow353e7PF&#10;ysWJT3StS6cEwrlCC30pY6V1bnoKmBdxJJZdG1PAIjJ12iWcBB68XhnzrAMOLB96HOmtp+ZSfwcL&#10;+lwfpk3tk4kfq/bTvx9PLUVr7+/m1xdQhebyb/67PjqJb9aP6yfhSmjpJAPQu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h+DUyAAAAOMAAAAPAAAAAAAAAAAAAAAAAJgCAABk&#10;cnMvZG93bnJldi54bWxQSwUGAAAAAAQABAD1AAAAjQMAAAAA&#10;" filled="f" stroked="f">
                  <v:textbox style="mso-fit-shape-to-text:t" inset="0,0,0,0">
                    <w:txbxContent>
                      <w:p w14:paraId="1487AA9F" w14:textId="77777777" w:rsidR="00960899" w:rsidRPr="00171C7D" w:rsidRDefault="00960899" w:rsidP="00202852">
                        <w:pPr>
                          <w:rPr>
                            <w:sz w:val="20"/>
                            <w:szCs w:val="20"/>
                          </w:rPr>
                        </w:pPr>
                        <w:r w:rsidRPr="00171C7D">
                          <w:rPr>
                            <w:rFonts w:ascii="Cambria" w:hAnsi="Cambria" w:cs="Cambria"/>
                            <w:color w:val="000000"/>
                            <w:sz w:val="20"/>
                            <w:szCs w:val="20"/>
                          </w:rPr>
                          <w:t>7.78</w:t>
                        </w:r>
                      </w:p>
                    </w:txbxContent>
                  </v:textbox>
                </v:rect>
                <v:rect id="Rectangle 157" o:spid="_x0000_s1061" style="position:absolute;left:285;top:15716;width:25324;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tFT8gA&#10;AADjAAAADwAAAGRycy9kb3ducmV2LnhtbESP3WoCMRCF7wt9hzCCdzVRS7Vbo5SCYKU3rn2AYTP7&#10;Q5PJkqTu9u0bQfBy5pzzzZnNbnRWXCjEzrOG+UyBIK686bjR8H3eP61BxIRs0HomDX8UYbd9fNhg&#10;YfzAJ7qUqREZwrFADW1KfSFlrFpyGGe+J85a7YPDlMfQSBNwyHBn5UKpF+mw43yhxZ4+Wqp+yl+n&#10;QZ7L/bAubVD+uKi/7OfhVJPXejoZ399AJBrT3XxLH0yur1bL1XPmvsL1p7wAuf0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y0VPyAAAAOMAAAAPAAAAAAAAAAAAAAAAAJgCAABk&#10;cnMvZG93bnJldi54bWxQSwUGAAAAAAQABAD1AAAAjQMAAAAA&#10;" filled="f" stroked="f">
                  <v:textbox style="mso-fit-shape-to-text:t" inset="0,0,0,0">
                    <w:txbxContent>
                      <w:p w14:paraId="33A95FB8" w14:textId="77777777" w:rsidR="00960899" w:rsidRPr="00171C7D" w:rsidRDefault="00960899" w:rsidP="00202852">
                        <w:pPr>
                          <w:rPr>
                            <w:sz w:val="20"/>
                            <w:szCs w:val="20"/>
                          </w:rPr>
                        </w:pPr>
                        <w:r w:rsidRPr="00171C7D">
                          <w:rPr>
                            <w:rFonts w:ascii="Calibri" w:hAnsi="Calibri" w:cs="Calibri"/>
                            <w:iCs/>
                            <w:color w:val="000000"/>
                            <w:sz w:val="20"/>
                            <w:szCs w:val="20"/>
                          </w:rPr>
                          <w:t xml:space="preserve">Source: Integrated Household Survey, 2011-2013 </w:t>
                        </w:r>
                      </w:p>
                    </w:txbxContent>
                  </v:textbox>
                </v:rect>
                <v:rect id="Rectangle 158" o:spid="_x0000_s1062" style="position:absolute;width:95;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4nO8wA&#10;AADjAAAADwAAAGRycy9kb3ducmV2LnhtbESPQU/CQBCF7yb+h82QeCGyW0AwlYUYookniGjU46Q7&#10;tI3d2aa7lPLvnQOJx5l58977VpvBN6qnLtaBLWQTA4q4CK7m0sLnx+v9I6iYkB02gcnChSJs1rc3&#10;K8xdOPM79YdUKjHhmKOFKqU21zoWFXmMk9ASy+0YOo9Jxq7UrsOzmPtGT41ZaI81S0KFLW0rKn4P&#10;J29hvD/1wwtt5/x9efiajcuf3SIL1t6NhucnUImG9C++fr85qW+Ws+V8ajKhECZZgF7/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7h4nO8wAAADjAAAADwAAAAAAAAAAAAAAAACY&#10;AgAAZHJzL2Rvd25yZXYueG1sUEsFBgAAAAAEAAQA9QAAAJEDAAAAAA==&#10;" fillcolor="#d0d7e5" stroked="f"/>
                <v:rect id="Rectangle 159" o:spid="_x0000_s1063" style="position:absolute;left:28956;width:95;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KCoMgA&#10;AADjAAAADwAAAGRycy9kb3ducmV2LnhtbERPS2vCQBC+F/oflin0IrobnyV1lSIt9FQxivY4ZKdJ&#10;aHY2ZNcY/70rFHqc7z3LdW9r0VHrK8cakpECQZw7U3Gh4bD/GL6A8AHZYO2YNFzJw3r1+LDE1LgL&#10;76jLQiFiCPsUNZQhNKmUPi/Joh+5hjhyP661GOLZFtK0eInhtpZjpebSYsWxocSGNiXlv9nZahhs&#10;z13/Tpspn66z42RQfH/NE6f181P/9goiUB/+xX/uTxPnq8VkMR2rJIH7TxEAub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UoKgyAAAAOMAAAAPAAAAAAAAAAAAAAAAAJgCAABk&#10;cnMvZG93bnJldi54bWxQSwUGAAAAAAQABAD1AAAAjQMAAAAA&#10;" fillcolor="#d0d7e5" stroked="f"/>
                <v:rect id="Rectangle 160" o:spid="_x0000_s1064" style="position:absolute;left:35052;width:95;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Ac18gA&#10;AADjAAAADwAAAGRycy9kb3ducmV2LnhtbERPX2vCMBB/H+w7hBv4Ipq0Oh2dUYYo+OSYE93j0dza&#10;suZSmljrt18Gwh7v9/8Wq97WoqPWV441JGMFgjh3puJCw/FzO3oB4QOywdoxabiRh9Xy8WGBmXFX&#10;/qDuEAoRQ9hnqKEMocmk9HlJFv3YNcSR+3atxRDPtpCmxWsMt7VMlZpJixXHhhIbWpeU/xwuVsPw&#10;/dL1G1pP+Xx7Pk2Gxdd+ljitB0/92yuIQH34F9/dOxPnq/lkPk1VksLfTxEAu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gBzXyAAAAOMAAAAPAAAAAAAAAAAAAAAAAJgCAABk&#10;cnMvZG93bnJldi54bWxQSwUGAAAAAAQABAD1AAAAjQMAAAAA&#10;" fillcolor="#d0d7e5" stroked="f"/>
                <v:rect id="Rectangle 161" o:spid="_x0000_s1065" style="position:absolute;left:41148;width:95;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y5TMgA&#10;AADjAAAADwAAAGRycy9kb3ducmV2LnhtbERPX2vCMBB/F/Ydwg32IjOpdTo6owyZ4NNEN3SPR3Nr&#10;y5pLaWKt394IAx/v9//my97WoqPWV441JCMFgjh3puJCw/fX+vkVhA/IBmvHpOFCHpaLh8EcM+PO&#10;vKNuHwoRQ9hnqKEMocmk9HlJFv3INcSR+3WtxRDPtpCmxXMMt7UcKzWVFiuODSU2tCop/9ufrIbh&#10;9tT1H7Sa8PHyckiHxc/nNHFaPz32728gAvXhLv53b0ycr2bpbDJWSQq3nyIAcnE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zLlMyAAAAOMAAAAPAAAAAAAAAAAAAAAAAJgCAABk&#10;cnMvZG93bnJldi54bWxQSwUGAAAAAAQABAD1AAAAjQMAAAAA&#10;" fillcolor="#d0d7e5" stroked="f"/>
                <v:rect id="Rectangle 162" o:spid="_x0000_s1066" style="position:absolute;left:47244;width:95;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UhOMgA&#10;AADjAAAADwAAAGRycy9kb3ducmV2LnhtbERPX2vCMBB/F/Ydwg18kZlUOx2dUYYo+DTRDd3j0dza&#10;suZSmljrt18GAx/v9/8Wq97WoqPWV441JGMFgjh3puJCw+fH9ukFhA/IBmvHpOFGHlbLh8ECM+Ou&#10;fKDuGAoRQ9hnqKEMocmk9HlJFv3YNcSR+3atxRDPtpCmxWsMt7WcKDWTFiuODSU2tC4p/zlerIbR&#10;/tL1G1qnfL49n6aj4ut9ljith4/92yuIQH24i//dOxPnq/l0nk5UksLfTxEAu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JSE4yAAAAOMAAAAPAAAAAAAAAAAAAAAAAJgCAABk&#10;cnMvZG93bnJldi54bWxQSwUGAAAAAAQABAD1AAAAjQMAAAAA&#10;" fillcolor="#d0d7e5" stroked="f"/>
                <v:rect id="Rectangle 163" o:spid="_x0000_s1067" style="position:absolute;top:1905;width:47339;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8aSckA&#10;AADjAAAADwAAAGRycy9kb3ducmV2LnhtbERPzU4CMRC+k/AOzZh4g5YVBFcKARMTLyaAHOA2bMfd&#10;Ddvp2lZYfXprYuJxvv+ZLzvbiAv5UDvWMBoqEMSFMzWXGvZvz4MZiBCRDTaOScMXBVgu+r055sZd&#10;eUuXXSxFCuGQo4YqxjaXMhQVWQxD1xIn7t15izGdvpTG4zWF20ZmSt1LizWnhgpbeqqoOO8+rYb1&#10;w2z9sRnz6/f2dKTj4XSeZF5pfXvTrR5BROriv/jP/WLSfDW9m44zNZrA708JALn4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y8aSckAAADjAAAADwAAAAAAAAAAAAAAAACYAgAA&#10;ZHJzL2Rvd25yZXYueG1sUEsFBgAAAAAEAAQA9QAAAI4DAAAAAA==&#10;" fillcolor="black" stroked="f"/>
                <v:rect id="Rectangle 164" o:spid="_x0000_s1068" style="position:absolute;top:15430;width:47339;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EPskA&#10;AADjAAAADwAAAGRycy9kb3ducmV2LnhtbERPzU4CMRC+m/AOzZB4k5YVAVcKARMTLyaAHOA2bIfd&#10;Ddvp2lZYfXprYuJxvv+ZLTrbiAv5UDvWMBwoEMSFMzWXGnbvL3dTECEiG2wck4YvCrCY925mmBt3&#10;5Q1dtrEUKYRDjhqqGNtcylBUZDEMXEucuJPzFmM6fSmNx2sKt43MlBpLizWnhgpbeq6oOG8/rYbV&#10;43T1sR7x2/fmeKDD/nh+yLzS+rbfLZ9AROriv/jP/WrSfDW5n4wyNRzD708JADn/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2EPskAAADjAAAADwAAAAAAAAAAAAAAAACYAgAA&#10;ZHJzL2Rvd25yZXYueG1sUEsFBgAAAAAEAAQA9QAAAI4DAAAAAA==&#10;" fillcolor="black" stroked="f"/>
                <v:line id="Line 165" o:spid="_x0000_s1069" style="position:absolute;visibility:visible;mso-wrap-style:square" from="0,17526" to="6,17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tDrccAAADjAAAADwAAAGRycy9kb3ducmV2LnhtbERPX0vDMBB/F/wO4QTfXNJZ7VabDRkI&#10;6sPAbR/gaG5tbXOpTdbWb28Ewcf7/b9iO9tOjDT4xrGGZKFAEJfONFxpOB1f7lYgfEA22DkmDd/k&#10;Ybu5viowN27iDxoPoRIxhH2OGuoQ+lxKX9Zk0S9cTxy5sxsshngOlTQDTjHcdnKp1KO02HBsqLGn&#10;XU1le7hYDe5t99VO6cP+eFmn4ztJ/5l0Xuvbm/n5CUSgOfyL/9yvJs5X2X2WLlWSwe9PEQC5+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O0OtxwAAAOMAAAAPAAAAAAAA&#10;AAAAAAAAAKECAABkcnMvZG93bnJldi54bWxQSwUGAAAAAAQABAD5AAAAlQMAAAAA&#10;" strokecolor="#d0d7e5" strokeweight="0"/>
                <v:rect id="Rectangle 166" o:spid="_x0000_s1070" style="position:absolute;top:17526;width:95;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grPcwA&#10;AADjAAAADwAAAGRycy9kb3ducmV2LnhtbESPQU/CQBCF7yb+h82QeCGyW0AwlYUYookniGjU46Q7&#10;tI3d2aa7lPLvnQOJx5n35r1vVpvBN6qnLtaBLWQTA4q4CK7m0sLnx+v9I6iYkB02gcnChSJs1rc3&#10;K8xdOPM79YdUKgnhmKOFKqU21zoWFXmMk9ASi3YMncckY1dq1+FZwn2jp8YstMeapaHClrYVFb+H&#10;k7cw3p/64YW2c/6+PHzNxuXPbpEFa+9Gw/MTqERD+jdfr9+c4JvlbDmfmkyg5SdZgF7/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EGgrPcwAAADjAAAADwAAAAAAAAAAAAAAAACY&#10;AgAAZHJzL2Rvd25yZXYueG1sUEsFBgAAAAAEAAQA9QAAAJEDAAAAAA==&#10;" fillcolor="#d0d7e5" stroked="f"/>
                <v:line id="Line 167" o:spid="_x0000_s1071" style="position:absolute;visibility:visible;mso-wrap-style:square" from="28956,17526" to="28962,17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hyRMgAAADjAAAADwAAAGRycy9kb3ducmV2LnhtbERPzWrCQBC+F/oOyxR6093Y1J/oKkUo&#10;tD0Uqj7AkB2TaHY2za5JfHu3IPQ43/+sNoOtRUetrxxrSMYKBHHuTMWFhsP+fTQH4QOywdoxabiS&#10;h8368WGFmXE9/1C3C4WIIewz1FCG0GRS+rwki37sGuLIHV1rMcSzLaRpsY/htpYTpabSYsWxocSG&#10;tiXl593FanCf299zn75+7y+LtPsi6U9J7bV+fhreliACDeFffHd/mDhfzV5m6UQlC/j7KQIg1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uhyRMgAAADjAAAADwAAAAAA&#10;AAAAAAAAAAChAgAAZHJzL2Rvd25yZXYueG1sUEsFBgAAAAAEAAQA+QAAAJYDAAAAAA==&#10;" strokecolor="#d0d7e5" strokeweight="0"/>
                <v:rect id="Rectangle 168" o:spid="_x0000_s1072" style="position:absolute;left:28956;top:17526;width:95;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LthswA&#10;AADjAAAADwAAAGRycy9kb3ducmV2LnhtbESPQU/CQBCF7yb+h82QeCGyS0EwlYUYookniGjU46Q7&#10;tI3d2aa7lPLvnQOJx5l58977VpvBN6qnLtaBLUwnBhRxEVzNpYXPj9f7R1AxITtsApOFC0XYrG9v&#10;Vpi7cOZ36g+pVGLCMUcLVUptrnUsKvIYJ6ElltsxdB6TjF2pXYdnMfeNzoxZaI81S0KFLW0rKn4P&#10;J29hvD/1wwtt5/x9efiajcuf3WIarL0bDc9PoBIN6V98/X5zUt8sZ8t5ZjKhECZZgF7/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IHLthswAAADjAAAADwAAAAAAAAAAAAAAAACY&#10;AgAAZHJzL2Rvd25yZXYueG1sUEsFBgAAAAAEAAQA9QAAAJEDAAAAAA==&#10;" fillcolor="#d0d7e5" stroked="f"/>
                <v:line id="Line 169" o:spid="_x0000_s1073" style="position:absolute;visibility:visible;mso-wrap-style:square" from="35052,17526" to="35058,17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K0/8gAAADjAAAADwAAAGRycy9kb3ducmV2LnhtbERPX2vCMBB/H+w7hBvsbSbtqm6dUYYg&#10;OB8EdR/gaG5tZ3PpmtjWb28Ggz3e7/8tVqNtRE+drx1rSCYKBHHhTM2lhs/T5ukFhA/IBhvHpOFK&#10;HlbL+7sF5sYNfKD+GEoRQ9jnqKEKoc2l9EVFFv3EtcSR+3KdxRDPrpSmwyGG20amSs2kxZpjQ4Ut&#10;rSsqzseL1eA+1j/nIZvuT5fXrN+R9N9J47V+fBjf30AEGsO/+M+9NXG+mj/Ps1SlCfz+FAGQy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vK0/8gAAADjAAAADwAAAAAA&#10;AAAAAAAAAAChAgAAZHJzL2Rvd25yZXYueG1sUEsFBgAAAAAEAAQA+QAAAJYDAAAAAA==&#10;" strokecolor="#d0d7e5" strokeweight="0"/>
                <v:rect id="Rectangle 170" o:spid="_x0000_s1074" style="position:absolute;left:35052;top:17526;width:95;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WasgA&#10;AADjAAAADwAAAGRycy9kb3ducmV2LnhtbERPS2vCQBC+C/0PyxS8SN01vkrqKkUs9FQxlrbHITtN&#10;QrOzIbvG+O9doeBxvvesNr2tRUetrxxrmIwVCOLcmYoLDZ/Ht6dnED4gG6wdk4YLedisHwYrTI07&#10;84G6LBQihrBPUUMZQpNK6fOSLPqxa4gj9+taiyGebSFNi+cYbmuZKLWQFiuODSU2tC0p/8tOVsNo&#10;f+r6HW1n/H2Zf01Hxc/HYuK0Hj72ry8gAvXhLv53v5s4Xy2ny1mikgRuP0UA5Po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NZqyAAAAOMAAAAPAAAAAAAAAAAAAAAAAJgCAABk&#10;cnMvZG93bnJldi54bWxQSwUGAAAAAAQABAD1AAAAjQMAAAAA&#10;" fillcolor="#d0d7e5" stroked="f"/>
                <v:line id="Line 171" o:spid="_x0000_s1075" style="position:absolute;visibility:visible;mso-wrap-style:square" from="41148,17526" to="41154,17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yPE8cAAADjAAAADwAAAGRycy9kb3ducmV2LnhtbERPzWrCQBC+F/oOyxR6q7vG+Je6ShEK&#10;1UOh6gMM2WmSmp1Ns2sS394VCj3O9z+rzWBr0VHrK8caxiMFgjh3puJCw+n4/rIA4QOywdoxabiS&#10;h8368WGFmXE9f1F3CIWIIewz1FCG0GRS+rwki37kGuLIfbvWYohnW0jTYh/DbS0TpWbSYsWxocSG&#10;tiXl58PFanC77e+5T6efx8sy7fYk/c+49lo/Pw1vryACDeFf/Of+MHG+mk/maaKSCdx/igDI9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bI8TxwAAAOMAAAAPAAAAAAAA&#10;AAAAAAAAAKECAABkcnMvZG93bnJldi54bWxQSwUGAAAAAAQABAD5AAAAlQMAAAAA&#10;" strokecolor="#d0d7e5" strokeweight="0"/>
                <v:rect id="Rectangle 172" o:spid="_x0000_s1076" style="position:absolute;left:41148;top:17526;width:95;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nrhcgA&#10;AADjAAAADwAAAGRycy9kb3ducmV2LnhtbERPX2vCMBB/H/gdwgl7kZlYO5XOKCIb7GljbqiPR3Nr&#10;i82lNLHWb2+EwR7v9/+W697WoqPWV441TMYKBHHuTMWFhp/vt6cFCB+QDdaOScOVPKxXg4clZsZd&#10;+Iu6XShEDGGfoYYyhCaT0uclWfRj1xBH7te1FkM820KaFi8x3NYyUWomLVYcG0psaFtSftqdrYbR&#10;57nrX2mb8uH6vJ+OiuPHbOK0fhz2mxcQgfrwL/5zv5s4X82n8zRRSQr3nyIAcn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SeuFyAAAAOMAAAAPAAAAAAAAAAAAAAAAAJgCAABk&#10;cnMvZG93bnJldi54bWxQSwUGAAAAAAQABAD1AAAAjQMAAAAA&#10;" fillcolor="#d0d7e5" stroked="f"/>
                <v:line id="Line 173" o:spid="_x0000_s1077" style="position:absolute;visibility:visible;mso-wrap-style:square" from="47244,17526" to="47250,17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my/McAAADjAAAADwAAAGRycy9kb3ducmV2LnhtbERPzWrCQBC+F/oOyxS81V3T+BddpQhC&#10;7aFQ9QGG7JikZmfT7Jqkb+8WCj3O9z/r7WBr0VHrK8caJmMFgjh3puJCw/m0f16A8AHZYO2YNPyQ&#10;h+3m8WGNmXE9f1J3DIWIIewz1FCG0GRS+rwki37sGuLIXVxrMcSzLaRpsY/htpaJUjNpseLYUGJD&#10;u5Ly6/FmNbjD7vvap9OP022Zdu8k/dek9lqPnobXFYhAQ/gX/7nfTJyv5i/zNFHJFH5/igDIz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ybL8xwAAAOMAAAAPAAAAAAAA&#10;AAAAAAAAAKECAABkcnMvZG93bnJldi54bWxQSwUGAAAAAAQABAD5AAAAlQMAAAAA&#10;" strokecolor="#d0d7e5" strokeweight="0"/>
                <v:rect id="Rectangle 174" o:spid="_x0000_s1078" style="position:absolute;left:47244;top:17526;width:95;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fQacgA&#10;AADjAAAADwAAAGRycy9kb3ducmV2LnhtbERPX2vCMBB/F/Ydwg18kZlYXR2dUYYo+DTRDd3j0dza&#10;suZSmljrt18GAx/v9/8Wq97WoqPWV441TMYKBHHuTMWFhs+P7dMLCB+QDdaOScONPKyWD4MFZsZd&#10;+UDdMRQihrDPUEMZQpNJ6fOSLPqxa4gj9+1aiyGebSFNi9cYbmuZKJVKixXHhhIbWpeU/xwvVsNo&#10;f+n6Da1nfL49n6aj4us9nTith4/92yuIQH24i//dOxPnq/l0PktUksLfTxEAu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19BpyAAAAOMAAAAPAAAAAAAAAAAAAAAAAJgCAABk&#10;cnMvZG93bnJldi54bWxQSwUGAAAAAAQABAD1AAAAjQMAAAAA&#10;" fillcolor="#d0d7e5" stroked="f"/>
                <v:line id="Line 175" o:spid="_x0000_s1079" style="position:absolute;visibility:visible;mso-wrap-style:square" from="47339,0" to="473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eJEMgAAADjAAAADwAAAGRycy9kb3ducmV2LnhtbERPX2vCMBB/H+w7hBvsbSZ2dd06o4gg&#10;OB+E6T7A0dzazuZSm9jWb28Ggz3e7//Nl6NtRE+drx1rmE4UCOLCmZpLDV/HzdMrCB+QDTaOScOV&#10;PCwX93dzzI0b+JP6QyhFDGGfo4YqhDaX0hcVWfQT1xJH7tt1FkM8u1KaDocYbhuZKPUiLdYcGyps&#10;aV1RcTpcrAb3sT6fhnS2P17e0n5H0v9MG6/148O4egcRaAz/4j/31sT5KnvO0kQlGfz+FAG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leJEMgAAADjAAAADwAAAAAA&#10;AAAAAAAAAAChAgAAZHJzL2Rvd25yZXYueG1sUEsFBgAAAAAEAAQA+QAAAJYDAAAAAA==&#10;" strokecolor="#d0d7e5" strokeweight="0"/>
                <v:rect id="Rectangle 176" o:spid="_x0000_s1080" style="position:absolute;left:47339;width:95;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ThgMwA&#10;AADjAAAADwAAAGRycy9kb3ducmV2LnhtbESPQU/CQBCF7yb+h82QeCGyS0EwlYUYookniGjU46Q7&#10;tI3d2aa7lPLvnQOJx5n35r1vVpvBN6qnLtaBLUwnBhRxEVzNpYXPj9f7R1AxITtsApOFC0XYrG9v&#10;Vpi7cOZ36g+pVBLCMUcLVUptrnUsKvIYJ6ElFu0YOo9Jxq7UrsOzhPtGZ8YstMeapaHClrYVFb+H&#10;k7cw3p/64YW2c/6+PHzNxuXPbjEN1t6NhucnUImG9G++Xr85wTfL2XKemUyg5SdZgF7/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3gThgMwAAADjAAAADwAAAAAAAAAAAAAAAACY&#10;AgAAZHJzL2Rvd25yZXYueG1sUEsFBgAAAAAEAAQA9QAAAJEDAAAAAA==&#10;" fillcolor="#d0d7e5" stroked="f"/>
                <v:line id="Line 177" o:spid="_x0000_s1081" style="position:absolute;visibility:visible;mso-wrap-style:square" from="47339,2000" to="47345,2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S4+ccAAADjAAAADwAAAGRycy9kb3ducmV2LnhtbERPX2vCMBB/H+w7hBvsTRO7bmpnFBEG&#10;2x4EdR/gaM62s7nUJrb125uBsMf7/b/FarC16Kj1lWMNk7ECQZw7U3Gh4efwMZqB8AHZYO2YNFzJ&#10;w2r5+LDAzLied9TtQyFiCPsMNZQhNJmUPi/Joh+7hjhyR9daDPFsC2la7GO4rWWi1Ju0WHFsKLGh&#10;TUn5aX+xGtzX5nzq09ft4TJPu2+S/ndSe62fn4b1O4hAQ/gX392fJs5X05dpmqhkDn8/RQDk8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hLj5xwAAAOMAAAAPAAAAAAAA&#10;AAAAAAAAAKECAABkcnMvZG93bnJldi54bWxQSwUGAAAAAAQABAD5AAAAlQMAAAAA&#10;" strokecolor="#d0d7e5" strokeweight="0"/>
                <v:rect id="Rectangle 178" o:spid="_x0000_s1082" style="position:absolute;left:47339;top:2000;width:95;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t7W8wA&#10;AADjAAAADwAAAGRycy9kb3ducmV2LnhtbESPQU/CQBCF7yb+h82QeCGyC0UwlYUYookniGjU46Q7&#10;tI3d2aa7lPLvnQOJx5l58977VpvBN6qnLtaBLUwnBhRxEVzNpYXPj9f7R1AxITtsApOFC0XYrG9v&#10;Vpi7cOZ36g+pVGLCMUcLVUptrnUsKvIYJ6ElltsxdB6TjF2pXYdnMfeNnhmz0B5rloQKW9pWVPwe&#10;Tt7CeH/qhxfazvn78vCVjcuf3WIarL0bDc9PoBIN6V98/X5zUt8ss+V8ZjKhECZZgF7/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pat7W8wAAADjAAAADwAAAAAAAAAAAAAAAACY&#10;AgAAZHJzL2Rvd25yZXYueG1sUEsFBgAAAAAEAAQA9QAAAJEDAAAAAA==&#10;" fillcolor="#d0d7e5" stroked="f"/>
                <v:line id="Line 179" o:spid="_x0000_s1083" style="position:absolute;visibility:visible;mso-wrap-style:square" from="47339,4000" to="47345,4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siIscAAADjAAAADwAAAGRycy9kb3ducmV2LnhtbERPzWrCQBC+F/oOyxR6q7vR+Je6ShEK&#10;1UOh6gMM2WmSmp1Ns2sS394VCj3O9z+rzWBr0VHrK8cakpECQZw7U3Gh4XR8f1mA8AHZYO2YNFzJ&#10;w2b9+LDCzLiev6g7hELEEPYZaihDaDIpfV6SRT9yDXHkvl1rMcSzLaRpsY/htpZjpWbSYsWxocSG&#10;tiXl58PFanC77e+5T6efx8sy7fYk/U9Se62fn4a3VxCBhvAv/nN/mDhfzSfzdKwmCdx/igDI9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KyIixwAAAOMAAAAPAAAAAAAA&#10;AAAAAAAAAKECAABkcnMvZG93bnJldi54bWxQSwUGAAAAAAQABAD5AAAAlQMAAAAA&#10;" strokecolor="#d0d7e5" strokeweight="0"/>
                <v:rect id="Rectangle 180" o:spid="_x0000_s1084" style="position:absolute;left:47339;top:4000;width:95;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VAt8gA&#10;AADjAAAADwAAAGRycy9kb3ducmV2LnhtbERPX2vCMBB/F/Ydwg18kZnYOh2dUYY42NNEN3SPR3Nr&#10;y5pLaWKt394IAx/v9/8Wq97WoqPWV441TMYKBHHuTMWFhu+v96cXED4gG6wdk4YLeVgtHwYLzIw7&#10;8466fShEDGGfoYYyhCaT0uclWfRj1xBH7te1FkM820KaFs8x3NYyUWomLVYcG0psaF1S/rc/WQ2j&#10;7anrN7Se8vHyfEhHxc/nbOK0Hj72b68gAvXhLv53f5g4X83T+TRRaQK3nyIAcn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NUC3yAAAAOMAAAAPAAAAAAAAAAAAAAAAAJgCAABk&#10;cnMvZG93bnJldi54bWxQSwUGAAAAAAQABAD1AAAAjQMAAAAA&#10;" fillcolor="#d0d7e5" stroked="f"/>
                <v:line id="Line 181" o:spid="_x0000_s1085" style="position:absolute;visibility:visible;mso-wrap-style:square" from="47339,5905" to="47345,5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UZzscAAADjAAAADwAAAGRycy9kb3ducmV2LnhtbERPzWrCQBC+F/oOyxR6q7ua+Je6ShEK&#10;1UOh6gMM2WmSmp1Ns2sS394VCj3O9z+rzWBr0VHrK8caxiMFgjh3puJCw+n4/rIA4QOywdoxabiS&#10;h8368WGFmXE9f1F3CIWIIewz1FCG0GRS+rwki37kGuLIfbvWYohnW0jTYh/DbS0nSs2kxYpjQ4kN&#10;bUvKz4eL1eB2299zn04/j5dl2u1J+p9x7bV+fhreXkEEGsK/+M/9YeJ8NU/m6UQlCdx/igDI9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tRnOxwAAAOMAAAAPAAAAAAAA&#10;AAAAAAAAAKECAABkcnMvZG93bnJldi54bWxQSwUGAAAAAAQABAD5AAAAlQMAAAAA&#10;" strokecolor="#d0d7e5" strokeweight="0"/>
                <v:rect id="Rectangle 182" o:spid="_x0000_s1086" style="position:absolute;left:47339;top:5905;width:95;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B9WMgA&#10;AADjAAAADwAAAGRycy9kb3ducmV2LnhtbERPX2vCMBB/H+w7hBvsRTTRVh3VKEM22JNjKrrHoznb&#10;suZSmljrt18Gwh7v9/+W697WoqPWV441jEcKBHHuTMWFhsP+ffgCwgdkg7Vj0nAjD+vV48MSM+Ou&#10;/EXdLhQihrDPUEMZQpNJ6fOSLPqRa4gjd3atxRDPtpCmxWsMt7WcKDWTFiuODSU2tCkp/9ldrIbB&#10;56Xr32iT8uk2PSaD4ns7Gzutn5/61wWIQH34F9/dHybOV/Nknk5UksLfTxEA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kH1YyAAAAOMAAAAPAAAAAAAAAAAAAAAAAJgCAABk&#10;cnMvZG93bnJldi54bWxQSwUGAAAAAAQABAD1AAAAjQMAAAAA&#10;" fillcolor="#d0d7e5" stroked="f"/>
                <v:line id="Line 183" o:spid="_x0000_s1087" style="position:absolute;visibility:visible;mso-wrap-style:square" from="47339,7810" to="47345,7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AkIccAAADjAAAADwAAAGRycy9kb3ducmV2LnhtbERPX2vCMBB/F/wO4YS9zUStOjujDGEw&#10;9yCo+wBHc7adzaVrYtt9ezMY+Hi//7fe9rYSLTW+dKxhMlYgiDNnSs41fJ3fn19A+IBssHJMGn7J&#10;w3YzHKwxNa7jI7WnkIsYwj5FDUUIdSqlzwqy6MeuJo7cxTUWQzybXJoGuxhuKzlVaiEtlhwbCqxp&#10;V1B2Pd2sBrff/Vy7ZH4431ZJ+0nSf08qr/XTqH97BRGoDw/xv/vDxPlqOVsmUzWbw99PEQC5u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ECQhxwAAAOMAAAAPAAAAAAAA&#10;AAAAAAAAAKECAABkcnMvZG93bnJldi54bWxQSwUGAAAAAAQABAD5AAAAlQMAAAAA&#10;" strokecolor="#d0d7e5" strokeweight="0"/>
                <v:rect id="Rectangle 184" o:spid="_x0000_s1088" style="position:absolute;left:47339;top:7810;width:95;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5GtMgA&#10;AADjAAAADwAAAGRycy9kb3ducmV2LnhtbERPX2vCMBB/F/Ydwg32IjPRujo6owyZ4NNEN3SPR3Nr&#10;y5pLaWKt394IAx/v9//my97WoqPWV441jEcKBHHuTMWFhu+v9fMrCB+QDdaOScOFPCwXD4M5Zsad&#10;eUfdPhQihrDPUEMZQpNJ6fOSLPqRa4gj9+taiyGebSFNi+cYbms5USqVFiuODSU2tCop/9ufrIbh&#10;9tT1H7Sa8vHyckiGxc9nOnZaPz32728gAvXhLv53b0ycr2bJbDpRSQq3nyIAcnE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Dka0yAAAAOMAAAAPAAAAAAAAAAAAAAAAAJgCAABk&#10;cnMvZG93bnJldi54bWxQSwUGAAAAAAQABAD1AAAAjQMAAAAA&#10;" fillcolor="#d0d7e5" stroked="f"/>
                <v:line id="Line 185" o:spid="_x0000_s1089" style="position:absolute;visibility:visible;mso-wrap-style:square" from="47339,9715" to="47345,9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4fzccAAADjAAAADwAAAGRycy9kb3ducmV2LnhtbERPX2vCMBB/F/Ydwg1800TtVu2MIsJg&#10;24Og7gMcza3tbC5dE9vu2y8Dwcf7/b/1drC16Kj1lWMNs6kCQZw7U3Gh4fP8OlmC8AHZYO2YNPyS&#10;h+3mYbTGzLiej9SdQiFiCPsMNZQhNJmUPi/Jop+6hjhyX661GOLZFtK02MdwW8u5Us/SYsWxocSG&#10;9iXll9PVanDv+59LnzwdztdV0n2Q9N+z2ms9fhx2LyACDeEuvrnfTJyv0kWazNUihf+fIgBy8w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jh/NxwAAAOMAAAAPAAAAAAAA&#10;AAAAAAAAAKECAABkcnMvZG93bnJldi54bWxQSwUGAAAAAAQABAD5AAAAlQMAAAAA&#10;" strokecolor="#d0d7e5" strokeweight="0"/>
                <v:rect id="Rectangle 186" o:spid="_x0000_s1090" style="position:absolute;left:47339;top:9715;width:95;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13XcwA&#10;AADjAAAADwAAAGRycy9kb3ducmV2LnhtbESPQU/CQBCF7yb+h82QeCGyC0UwlYUYookniGjU46Q7&#10;tI3d2aa7lPLvnQOJx5n35r1vVpvBN6qnLtaBLUwnBhRxEVzNpYXPj9f7R1AxITtsApOFC0XYrG9v&#10;Vpi7cOZ36g+pVBLCMUcLVUptrnUsKvIYJ6ElFu0YOo9Jxq7UrsOzhPtGz4xZaI81S0OFLW0rKn4P&#10;J29hvD/1wwtt5/x9efjKxuXPbjEN1t6NhucnUImG9G++Xr85wTfLbDmfmUyg5SdZgF7/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W913XcwAAADjAAAADwAAAAAAAAAAAAAAAACY&#10;AgAAZHJzL2Rvd25yZXYueG1sUEsFBgAAAAAEAAQA9QAAAJEDAAAAAA==&#10;" fillcolor="#d0d7e5" stroked="f"/>
                <v:line id="Line 187" o:spid="_x0000_s1091" style="position:absolute;visibility:visible;mso-wrap-style:square" from="47339,11620" to="47345,11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0uJMgAAADjAAAADwAAAGRycy9kb3ducmV2LnhtbERP22rCQBB9L/Qflin0re6qqZfoKkUQ&#10;tA+Clw8YsmOSmp1Ns2uS/n1XKPRxzn2W695WoqXGl441DAcKBHHmTMm5hst5+zYD4QOywcoxafgh&#10;D+vV89MSU+M6PlJ7CrmIIexT1FCEUKdS+qwgi37gauLIXV1jMcSzyaVpsIvhtpIjpSbSYsmxocCa&#10;NgVlt9PdanD7zfetS94P5/s8aT9J+q9h5bV+fek/FiAC9eFf/OfemThfTcfTZKTGc3j8FAGQq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V0uJMgAAADjAAAADwAAAAAA&#10;AAAAAAAAAAChAgAAZHJzL2Rvd25yZXYueG1sUEsFBgAAAAAEAAQA+QAAAJYDAAAAAA==&#10;" strokecolor="#d0d7e5" strokeweight="0"/>
                <v:rect id="Rectangle 188" o:spid="_x0000_s1092" style="position:absolute;left:47339;top:11620;width:95;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IJswA&#10;AADjAAAADwAAAGRycy9kb3ducmV2LnhtbESPQU/CQBCF7yb+h82QeCGyC1QwlYUYookniGjU46Q7&#10;tI3d2aa7lPLvnQOJx5l58977VpvBN6qnLtaBLUwnBhRxEVzNpYXPj9f7R1AxITtsApOFC0XYrG9v&#10;Vpi7cOZ36g+pVGLCMUcLVUptrnUsKvIYJ6ElltsxdB6TjF2pXYdnMfeNnhmz0B5rloQKW9pWVPwe&#10;Tt7CeH/qhxfaZvx9efiaj8uf3WIarL0bDc9PoBIN6V98/X5zUt8s58tsZjKhECZZgF7/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a0IJswAAADjAAAADwAAAAAAAAAAAAAAAACY&#10;AgAAZHJzL2Rvd25yZXYueG1sUEsFBgAAAAAEAAQA9QAAAJEDAAAAAA==&#10;" fillcolor="#d0d7e5" stroked="f"/>
                <v:line id="Line 189" o:spid="_x0000_s1093" style="position:absolute;visibility:visible;mso-wrap-style:square" from="47339,13525" to="47345,13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1RX8cAAADjAAAADwAAAGRycy9kb3ducmV2LnhtbERPX2vCMBB/H+w7hBv4NpNqp7MzigiC&#10;24Og7gMczdl2NpfaxLb79stgsMf7/b/lerC16Kj1lWMNyViBIM6dqbjQ8HnePb+C8AHZYO2YNHyT&#10;h/Xq8WGJmXE9H6k7hULEEPYZaihDaDIpfV6SRT92DXHkLq61GOLZFtK02MdwW8uJUjNpseLYUGJD&#10;25Ly6+luNbj37e3apy+H832Rdh8k/VdSe61HT8PmDUSgIfyL/9x7E+er+XSeTlSawO9PEQC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LVFfxwAAAOMAAAAPAAAAAAAA&#10;AAAAAAAAAKECAABkcnMvZG93bnJldi54bWxQSwUGAAAAAAQABAD5AAAAlQMAAAAA&#10;" strokecolor="#d0d7e5" strokeweight="0"/>
                <v:rect id="Rectangle 190" o:spid="_x0000_s1094" style="position:absolute;left:47339;top:13525;width:95;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MzysgA&#10;AADjAAAADwAAAGRycy9kb3ducmV2LnhtbERPX2vCMBB/H/gdwgl7kZlYO5XOKCIb7GljbqiPR3Nr&#10;i82lNLHWb2+EwR7v9/+W697WoqPWV441TMYKBHHuTMWFhp/vt6cFCB+QDdaOScOVPKxXg4clZsZd&#10;+Iu6XShEDGGfoYYyhCaT0uclWfRj1xBH7te1FkM820KaFi8x3NYyUWomLVYcG0psaFtSftqdrYbR&#10;57nrX2mb8uH6vJ+OiuPHbOK0fhz2mxcQgfrwL/5zv5s4X82n8zRRaQL3nyIAcn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MzPKyAAAAOMAAAAPAAAAAAAAAAAAAAAAAJgCAABk&#10;cnMvZG93bnJldi54bWxQSwUGAAAAAAQABAD1AAAAjQMAAAAA&#10;" fillcolor="#d0d7e5" stroked="f"/>
                <v:line id="Line 191" o:spid="_x0000_s1095" style="position:absolute;visibility:visible;mso-wrap-style:square" from="47339,15525" to="47345,15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Nqs8cAAADjAAAADwAAAGRycy9kb3ducmV2LnhtbERPzWrCQBC+F3yHZYTedFdN/UldpQiF&#10;todC1QcYstMkmp2N2TWJb+8WhB7n+5/1treVaKnxpWMNk7ECQZw5U3Ku4Xh4Hy1B+IBssHJMGm7k&#10;YbsZPK0xNa7jH2r3IRcxhH2KGooQ6lRKnxVk0Y9dTRy5X9dYDPFscmka7GK4reRUqbm0WHJsKLCm&#10;XUHZeX+1Gtzn7nLukpfvw3WVtF8k/WlSea2fh/3bK4hAffgXP9wfJs5Xi9kimapkBn8/RQDk5g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s2qzxwAAAOMAAAAPAAAAAAAA&#10;AAAAAAAAAKECAABkcnMvZG93bnJldi54bWxQSwUGAAAAAAQABAD5AAAAlQMAAAAA&#10;" strokecolor="#d0d7e5" strokeweight="0"/>
                <v:rect id="Rectangle 192" o:spid="_x0000_s1096" style="position:absolute;left:47339;top:15525;width:95;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YOJcgA&#10;AADjAAAADwAAAGRycy9kb3ducmV2LnhtbERPX2vCMBB/H/gdwgm+iCZq1dEZZYiDPW1MRfd4NLe2&#10;rLmUJtb67Y0w2OP9/t9q09lKtNT40rGGyViBIM6cKTnXcDy8jZ5B+IBssHJMGm7kYbPuPa0wNe7K&#10;X9TuQy5iCPsUNRQh1KmUPivIoh+7mjhyP66xGOLZ5NI0eI3htpJTpRbSYsmxocCatgVlv/uL1TD8&#10;vLTdjrYJn2/z02yYf38sJk7rQb97fQERqAv/4j/3u4nz1XK2TKYqSeDxUwRAr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lg4lyAAAAOMAAAAPAAAAAAAAAAAAAAAAAJgCAABk&#10;cnMvZG93bnJldi54bWxQSwUGAAAAAAQABAD1AAAAjQMAAAAA&#10;" fillcolor="#d0d7e5" stroked="f"/>
                <v:line id="Line 193" o:spid="_x0000_s1097" style="position:absolute;visibility:visible;mso-wrap-style:square" from="47339,17430" to="47345,1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ZXXMcAAADjAAAADwAAAGRycy9kb3ducmV2LnhtbERPX2vCMBB/F/Ydwgm+aaKrc+uMMgTB&#10;+TCY7gMcza2tNpeuiW399osg+Hi//7dc97YSLTW+dKxhOlEgiDNnSs41/By341cQPiAbrByThit5&#10;WK+eBktMjev4m9pDyEUMYZ+ihiKEOpXSZwVZ9BNXE0fu1zUWQzybXJoGuxhuKzlT6kVaLDk2FFjT&#10;pqDsfLhYDe5z83fukvnX8fKWtHuS/jStvNajYf/xDiJQHx7iu3tn4ny1eF4kM5XM4fZTBEC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FldcxwAAAOMAAAAPAAAAAAAA&#10;AAAAAAAAAKECAABkcnMvZG93bnJldi54bWxQSwUGAAAAAAQABAD5AAAAlQMAAAAA&#10;" strokecolor="#d0d7e5" strokeweight="0"/>
                <v:rect id="Rectangle 194" o:spid="_x0000_s1098" style="position:absolute;left:47339;top:17430;width:95;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g1ycgA&#10;AADjAAAADwAAAGRycy9kb3ducmV2LnhtbERPX2vCMBB/F/Ydwg18kZmoXR2dUYYo+DTRDd3j0dza&#10;suZSmljrt18GAx/v9/8Wq97WoqPWV441TMYKBHHuTMWFhs+P7dMLCB+QDdaOScONPKyWD4MFZsZd&#10;+UDdMRQihrDPUEMZQpNJ6fOSLPqxa4gj9+1aiyGebSFNi9cYbms5VSqVFiuODSU2tC4p/zlerIbR&#10;/tL1G1onfL49n2aj4us9nTith4/92yuIQH24i//dOxPnq/lsnkxVksLfTxEAu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CDXJyAAAAOMAAAAPAAAAAAAAAAAAAAAAAJgCAABk&#10;cnMvZG93bnJldi54bWxQSwUGAAAAAAQABAD1AAAAjQMAAAAA&#10;" fillcolor="#d0d7e5" stroked="f"/>
                <w10:wrap type="topAndBottom"/>
              </v:group>
            </w:pict>
          </mc:Fallback>
        </mc:AlternateContent>
      </w:r>
    </w:p>
    <w:p w14:paraId="03C9D40A" w14:textId="21698D5A" w:rsidR="00202852" w:rsidRPr="00202852" w:rsidRDefault="00202852" w:rsidP="00202852">
      <w:pPr>
        <w:tabs>
          <w:tab w:val="left" w:pos="360"/>
        </w:tabs>
        <w:spacing w:after="0" w:line="276" w:lineRule="auto"/>
        <w:rPr>
          <w:i/>
        </w:rPr>
      </w:pPr>
      <w:r w:rsidRPr="00202852">
        <w:rPr>
          <w:i/>
        </w:rPr>
        <w:t>Table 3: Sources of Income in % for IDPs and non-IDPs</w:t>
      </w:r>
    </w:p>
    <w:p w14:paraId="4B5A72C2" w14:textId="49048876" w:rsidR="00995290" w:rsidRDefault="00995290" w:rsidP="00202852">
      <w:pPr>
        <w:pStyle w:val="ListParagraph"/>
        <w:spacing w:after="0" w:line="276" w:lineRule="auto"/>
      </w:pPr>
    </w:p>
    <w:p w14:paraId="2F0102AF" w14:textId="682FA5EF" w:rsidR="000706C4" w:rsidRDefault="00202852" w:rsidP="00C15FE3">
      <w:pPr>
        <w:pStyle w:val="ListParagraph"/>
        <w:numPr>
          <w:ilvl w:val="0"/>
          <w:numId w:val="1"/>
        </w:numPr>
        <w:tabs>
          <w:tab w:val="left" w:pos="360"/>
        </w:tabs>
        <w:spacing w:after="0" w:line="276" w:lineRule="auto"/>
        <w:ind w:hanging="720"/>
      </w:pPr>
      <w:r w:rsidRPr="0029555A">
        <w:rPr>
          <w:b/>
        </w:rPr>
        <w:t>Monthly social allowances received by IDPs are generally higher than those for non-IDPs,</w:t>
      </w:r>
      <w:r w:rsidR="00AE37B1" w:rsidRPr="0029555A">
        <w:rPr>
          <w:b/>
        </w:rPr>
        <w:t xml:space="preserve"> which is likely to be </w:t>
      </w:r>
      <w:r w:rsidRPr="0029555A">
        <w:rPr>
          <w:b/>
        </w:rPr>
        <w:t xml:space="preserve">due to the </w:t>
      </w:r>
      <w:r w:rsidR="00AE37B1" w:rsidRPr="0029555A">
        <w:rPr>
          <w:b/>
        </w:rPr>
        <w:t xml:space="preserve">existence of the </w:t>
      </w:r>
      <w:r w:rsidRPr="0029555A">
        <w:rPr>
          <w:b/>
        </w:rPr>
        <w:t>IDP benefit</w:t>
      </w:r>
      <w:r>
        <w:t>. There is greater convergence between allowances received by IDPs and no</w:t>
      </w:r>
      <w:r w:rsidR="005C1011">
        <w:t>n</w:t>
      </w:r>
      <w:r>
        <w:t xml:space="preserve">-IDPs in rural areas where most of poverty is concentrated; and a bigger discrepancy in urban areas, where IDPs receive almost double the amount of assistance compared to non-IDPs Table 4). </w:t>
      </w:r>
      <w:r w:rsidR="00AE37B1">
        <w:t>T</w:t>
      </w:r>
      <w:r>
        <w:t xml:space="preserve">his raises the question whether the IDP benefit is truly responding to need, particularly in urban areas.  </w:t>
      </w:r>
    </w:p>
    <w:p w14:paraId="06FDAB8D" w14:textId="77777777" w:rsidR="0029555A" w:rsidRDefault="0029555A" w:rsidP="0029555A">
      <w:pPr>
        <w:pStyle w:val="ListParagraph"/>
        <w:tabs>
          <w:tab w:val="left" w:pos="360"/>
        </w:tabs>
        <w:spacing w:after="0" w:line="276" w:lineRule="auto"/>
        <w:ind w:left="360"/>
      </w:pPr>
    </w:p>
    <w:p w14:paraId="54D0C0D3" w14:textId="4F33B199" w:rsidR="000706C4" w:rsidRPr="008E5ECF" w:rsidRDefault="000706C4" w:rsidP="000706C4">
      <w:pPr>
        <w:tabs>
          <w:tab w:val="left" w:pos="360"/>
        </w:tabs>
        <w:spacing w:after="0" w:line="276" w:lineRule="auto"/>
        <w:rPr>
          <w:i/>
        </w:rPr>
      </w:pPr>
      <w:r w:rsidRPr="008E5ECF">
        <w:rPr>
          <w:i/>
        </w:rPr>
        <w:lastRenderedPageBreak/>
        <w:t xml:space="preserve">Table </w:t>
      </w:r>
      <w:r w:rsidR="008E5ECF" w:rsidRPr="008E5ECF">
        <w:rPr>
          <w:i/>
        </w:rPr>
        <w:t>4</w:t>
      </w:r>
      <w:r w:rsidRPr="008E5ECF">
        <w:rPr>
          <w:i/>
        </w:rPr>
        <w:t xml:space="preserve">: Median Monthly </w:t>
      </w:r>
      <w:r w:rsidR="000D00C6" w:rsidRPr="008E5ECF">
        <w:rPr>
          <w:i/>
        </w:rPr>
        <w:t xml:space="preserve">Allowance </w:t>
      </w:r>
      <w:r w:rsidR="007E0372" w:rsidRPr="008E5ECF">
        <w:rPr>
          <w:i/>
        </w:rPr>
        <w:t xml:space="preserve">received </w:t>
      </w:r>
      <w:r w:rsidR="000D00C6" w:rsidRPr="008E5ECF">
        <w:rPr>
          <w:i/>
        </w:rPr>
        <w:t xml:space="preserve">from </w:t>
      </w:r>
      <w:r w:rsidRPr="008E5ECF">
        <w:rPr>
          <w:i/>
        </w:rPr>
        <w:t>Pensions, Scholarships and Assistances for IDPs and non-IDPs</w:t>
      </w:r>
      <w:r w:rsidR="000D00C6" w:rsidRPr="008E5ECF">
        <w:rPr>
          <w:i/>
        </w:rPr>
        <w:t xml:space="preserve"> in GEL</w:t>
      </w:r>
    </w:p>
    <w:p w14:paraId="678242E8" w14:textId="77777777" w:rsidR="000706C4" w:rsidRPr="00CF52CF" w:rsidRDefault="007A16DD" w:rsidP="000706C4">
      <w:pPr>
        <w:tabs>
          <w:tab w:val="left" w:pos="360"/>
        </w:tabs>
        <w:spacing w:after="0" w:line="276" w:lineRule="auto"/>
      </w:pPr>
      <w:r>
        <w:rPr>
          <w:noProof/>
        </w:rPr>
        <w:drawing>
          <wp:inline distT="0" distB="0" distL="0" distR="0" wp14:anchorId="3C22FAC4" wp14:editId="24FB0D38">
            <wp:extent cx="3971925" cy="20669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71925" cy="2066925"/>
                    </a:xfrm>
                    <a:prstGeom prst="rect">
                      <a:avLst/>
                    </a:prstGeom>
                    <a:noFill/>
                    <a:ln>
                      <a:noFill/>
                    </a:ln>
                  </pic:spPr>
                </pic:pic>
              </a:graphicData>
            </a:graphic>
          </wp:inline>
        </w:drawing>
      </w:r>
    </w:p>
    <w:p w14:paraId="0B4D9979" w14:textId="77777777" w:rsidR="000706C4" w:rsidRPr="00CF52CF" w:rsidRDefault="000706C4" w:rsidP="000706C4">
      <w:pPr>
        <w:tabs>
          <w:tab w:val="left" w:pos="360"/>
        </w:tabs>
        <w:spacing w:after="0" w:line="276" w:lineRule="auto"/>
      </w:pPr>
    </w:p>
    <w:p w14:paraId="3B056C9B" w14:textId="77777777" w:rsidR="000706C4" w:rsidRDefault="000706C4" w:rsidP="004B6591">
      <w:pPr>
        <w:spacing w:after="0"/>
        <w:contextualSpacing/>
        <w:rPr>
          <w:rFonts w:cs="Times New Roman"/>
        </w:rPr>
      </w:pPr>
    </w:p>
    <w:p w14:paraId="5A24523F" w14:textId="77777777" w:rsidR="000706C4" w:rsidRPr="00C43C1E" w:rsidRDefault="000706C4" w:rsidP="004C6927">
      <w:pPr>
        <w:keepNext/>
        <w:spacing w:after="0" w:line="276" w:lineRule="auto"/>
        <w:contextualSpacing/>
        <w:rPr>
          <w:rFonts w:cs="Times New Roman"/>
          <w:b/>
          <w:i/>
        </w:rPr>
      </w:pPr>
      <w:r w:rsidRPr="00C43C1E">
        <w:rPr>
          <w:rFonts w:cs="Times New Roman"/>
          <w:b/>
          <w:i/>
        </w:rPr>
        <w:t>Employment</w:t>
      </w:r>
    </w:p>
    <w:p w14:paraId="3E740FDB" w14:textId="77777777" w:rsidR="000706C4" w:rsidRPr="00C43C1E" w:rsidRDefault="000706C4" w:rsidP="00C43C1E">
      <w:pPr>
        <w:spacing w:after="0" w:line="276" w:lineRule="auto"/>
        <w:contextualSpacing/>
        <w:rPr>
          <w:rFonts w:cs="Times New Roman"/>
        </w:rPr>
      </w:pPr>
    </w:p>
    <w:p w14:paraId="49E98D80" w14:textId="3AC9AA75" w:rsidR="00AE37B1" w:rsidRPr="00AE37B1" w:rsidRDefault="000B2BE7" w:rsidP="00AE37B1">
      <w:pPr>
        <w:pStyle w:val="ListParagraph"/>
        <w:numPr>
          <w:ilvl w:val="0"/>
          <w:numId w:val="1"/>
        </w:numPr>
        <w:spacing w:after="0" w:line="276" w:lineRule="auto"/>
      </w:pPr>
      <w:r>
        <w:rPr>
          <w:b/>
        </w:rPr>
        <w:t>IDPs are</w:t>
      </w:r>
      <w:r w:rsidR="00232273" w:rsidRPr="00C43C1E">
        <w:rPr>
          <w:b/>
        </w:rPr>
        <w:t xml:space="preserve"> more acutely affected by unemployment than non-IDPs</w:t>
      </w:r>
      <w:r>
        <w:t>.</w:t>
      </w:r>
      <w:r w:rsidR="00232273" w:rsidRPr="00C43C1E">
        <w:t xml:space="preserve"> </w:t>
      </w:r>
      <w:r>
        <w:t>They have</w:t>
      </w:r>
      <w:r w:rsidR="00232273" w:rsidRPr="00C43C1E">
        <w:t xml:space="preserve"> significantly higher ratios of unemployed, discouraged and inactive heads of households (see Table</w:t>
      </w:r>
      <w:r w:rsidR="00AE37B1">
        <w:t xml:space="preserve"> 5</w:t>
      </w:r>
      <w:r w:rsidR="00232273" w:rsidRPr="00C43C1E">
        <w:t xml:space="preserve">). As many as 15.6% of household heads among IDPs are unemployed compared to 6.3% among non-IDPs. The difference is higher when looking only at the </w:t>
      </w:r>
      <w:r w:rsidR="00043C50">
        <w:t>labor force</w:t>
      </w:r>
      <w:r w:rsidR="002268C5" w:rsidRPr="00C43C1E">
        <w:t xml:space="preserve">, where 25.3% of </w:t>
      </w:r>
      <w:r w:rsidR="008F3819">
        <w:t xml:space="preserve">active </w:t>
      </w:r>
      <w:r w:rsidR="00232273" w:rsidRPr="00C43C1E">
        <w:t xml:space="preserve">IDPs are unemployed while 9% of </w:t>
      </w:r>
      <w:r w:rsidR="008F3819">
        <w:t>active</w:t>
      </w:r>
      <w:r w:rsidR="00232273" w:rsidRPr="00C43C1E">
        <w:t xml:space="preserve"> non-IDPs are unemployed. </w:t>
      </w:r>
    </w:p>
    <w:p w14:paraId="4D97BD14" w14:textId="77777777" w:rsidR="00DA4DA2" w:rsidRDefault="00DA4DA2" w:rsidP="00AE37B1">
      <w:pPr>
        <w:tabs>
          <w:tab w:val="left" w:pos="360"/>
        </w:tabs>
        <w:spacing w:after="0" w:line="276" w:lineRule="auto"/>
        <w:rPr>
          <w:rFonts w:eastAsiaTheme="minorEastAsia" w:cs="Times New Roman"/>
          <w:bCs/>
        </w:rPr>
      </w:pPr>
    </w:p>
    <w:p w14:paraId="1F9C4BDD" w14:textId="386CE6A8" w:rsidR="00AE37B1" w:rsidRPr="00AE37B1" w:rsidRDefault="00AE37B1" w:rsidP="00AE37B1">
      <w:pPr>
        <w:tabs>
          <w:tab w:val="left" w:pos="360"/>
        </w:tabs>
        <w:spacing w:after="0" w:line="276" w:lineRule="auto"/>
        <w:rPr>
          <w:rFonts w:eastAsiaTheme="minorEastAsia" w:cs="Times New Roman"/>
          <w:bCs/>
          <w:i/>
        </w:rPr>
      </w:pPr>
      <w:r w:rsidRPr="00AE37B1">
        <w:rPr>
          <w:rFonts w:eastAsiaTheme="minorEastAsia" w:cs="Times New Roman"/>
          <w:bCs/>
          <w:i/>
        </w:rPr>
        <w:t>Table 5: Work Status among IDPs and non-IDPs</w:t>
      </w:r>
    </w:p>
    <w:p w14:paraId="4A1730AE" w14:textId="77777777" w:rsidR="00AE37B1" w:rsidRPr="00AE37B1" w:rsidRDefault="00AE37B1" w:rsidP="00AE37B1">
      <w:pPr>
        <w:tabs>
          <w:tab w:val="left" w:pos="360"/>
        </w:tabs>
        <w:spacing w:after="0" w:line="276" w:lineRule="auto"/>
        <w:rPr>
          <w:rFonts w:eastAsiaTheme="minorEastAsia" w:cs="Times New Roman"/>
          <w:b/>
          <w:sz w:val="24"/>
          <w:szCs w:val="24"/>
        </w:rPr>
      </w:pPr>
      <w:r w:rsidRPr="00CF52CF">
        <w:rPr>
          <w:rStyle w:val="FootnoteReference"/>
          <w:rFonts w:cs="Times New Roman"/>
          <w:noProof/>
          <w:sz w:val="24"/>
          <w:szCs w:val="24"/>
        </w:rPr>
        <w:drawing>
          <wp:inline distT="0" distB="0" distL="0" distR="0" wp14:anchorId="5AF9E267" wp14:editId="3F6F5DDD">
            <wp:extent cx="5943600" cy="2362835"/>
            <wp:effectExtent l="0" t="0" r="0" b="0"/>
            <wp:docPr id="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lum bright="-20000" contrast="40000"/>
                    </a:blip>
                    <a:srcRect/>
                    <a:stretch>
                      <a:fillRect/>
                    </a:stretch>
                  </pic:blipFill>
                  <pic:spPr bwMode="auto">
                    <a:xfrm>
                      <a:off x="0" y="0"/>
                      <a:ext cx="5943600" cy="2362835"/>
                    </a:xfrm>
                    <a:prstGeom prst="rect">
                      <a:avLst/>
                    </a:prstGeom>
                    <a:noFill/>
                    <a:ln w="9525">
                      <a:noFill/>
                      <a:miter lim="800000"/>
                      <a:headEnd/>
                      <a:tailEnd/>
                    </a:ln>
                  </pic:spPr>
                </pic:pic>
              </a:graphicData>
            </a:graphic>
          </wp:inline>
        </w:drawing>
      </w:r>
    </w:p>
    <w:p w14:paraId="76B3636A" w14:textId="77777777" w:rsidR="00AE37B1" w:rsidRPr="00AE37B1" w:rsidRDefault="00AE37B1" w:rsidP="00AE37B1">
      <w:pPr>
        <w:pStyle w:val="ListParagraph"/>
        <w:tabs>
          <w:tab w:val="left" w:pos="360"/>
        </w:tabs>
        <w:spacing w:after="0" w:line="276" w:lineRule="auto"/>
        <w:ind w:left="360"/>
        <w:rPr>
          <w:rFonts w:eastAsiaTheme="minorEastAsia" w:cs="Times New Roman"/>
          <w:b/>
          <w:sz w:val="24"/>
          <w:szCs w:val="24"/>
        </w:rPr>
      </w:pPr>
    </w:p>
    <w:p w14:paraId="2B2B4205" w14:textId="77777777" w:rsidR="00F82AD6" w:rsidRPr="00C43C1E" w:rsidRDefault="00F82AD6" w:rsidP="00C43C1E">
      <w:pPr>
        <w:spacing w:after="0" w:line="276" w:lineRule="auto"/>
      </w:pPr>
    </w:p>
    <w:p w14:paraId="3590960E" w14:textId="31EA20CB" w:rsidR="00CA2B82" w:rsidRPr="00C43C1E" w:rsidRDefault="004C3FC7" w:rsidP="00C43C1E">
      <w:pPr>
        <w:pStyle w:val="ListParagraph"/>
        <w:numPr>
          <w:ilvl w:val="0"/>
          <w:numId w:val="1"/>
        </w:numPr>
        <w:tabs>
          <w:tab w:val="left" w:pos="360"/>
        </w:tabs>
        <w:spacing w:after="0" w:line="276" w:lineRule="auto"/>
        <w:rPr>
          <w:rFonts w:eastAsiaTheme="minorEastAsia" w:cs="Times New Roman"/>
        </w:rPr>
      </w:pPr>
      <w:r>
        <w:rPr>
          <w:rFonts w:eastAsiaTheme="minorEastAsia" w:cs="Times New Roman"/>
          <w:b/>
        </w:rPr>
        <w:t xml:space="preserve">IDPs are also significantly more likely to be unemployed long-term. </w:t>
      </w:r>
      <w:r>
        <w:rPr>
          <w:rFonts w:eastAsiaTheme="minorEastAsia" w:cs="Times New Roman"/>
        </w:rPr>
        <w:t xml:space="preserve"> T</w:t>
      </w:r>
      <w:r w:rsidR="00BB0F7E">
        <w:rPr>
          <w:rFonts w:eastAsiaTheme="minorEastAsia" w:cs="Times New Roman"/>
        </w:rPr>
        <w:t xml:space="preserve">his especially pronounced among the poor. The percentage of poor IDPs who have been unemployed for more than a year is double that of poor non-IDPs. Moreover, poor IDPs are three times as likely to have never worked </w:t>
      </w:r>
      <w:r w:rsidR="00BB0F7E">
        <w:rPr>
          <w:rFonts w:eastAsiaTheme="minorEastAsia" w:cs="Times New Roman"/>
        </w:rPr>
        <w:lastRenderedPageBreak/>
        <w:t xml:space="preserve">before. This raises important questions on IDPs’ dependency on the status benefit. However, it also signals higher levels of discouragement, and being less integrated in job and social networks. </w:t>
      </w:r>
    </w:p>
    <w:p w14:paraId="5476570D" w14:textId="77777777" w:rsidR="00AE37B1" w:rsidRDefault="00AE37B1" w:rsidP="00C43C1E">
      <w:pPr>
        <w:spacing w:after="0" w:line="276" w:lineRule="auto"/>
        <w:rPr>
          <w:rFonts w:ascii="Times New Roman" w:eastAsiaTheme="minorEastAsia" w:hAnsi="Times New Roman" w:cs="Times New Roman"/>
          <w:b/>
          <w:bCs/>
          <w:i/>
        </w:rPr>
      </w:pPr>
    </w:p>
    <w:p w14:paraId="5AF668FC" w14:textId="77777777" w:rsidR="00AE37B1" w:rsidRDefault="00AE37B1" w:rsidP="00C43C1E">
      <w:pPr>
        <w:spacing w:after="0" w:line="276" w:lineRule="auto"/>
        <w:rPr>
          <w:rFonts w:ascii="Times New Roman" w:eastAsiaTheme="minorEastAsia" w:hAnsi="Times New Roman" w:cs="Times New Roman"/>
          <w:b/>
          <w:bCs/>
          <w:i/>
        </w:rPr>
      </w:pPr>
    </w:p>
    <w:p w14:paraId="3A266E87" w14:textId="2C5E4C6C" w:rsidR="00AE37B1" w:rsidRPr="00AE37B1" w:rsidRDefault="00AE37B1" w:rsidP="00AE37B1">
      <w:pPr>
        <w:keepNext/>
        <w:jc w:val="left"/>
        <w:rPr>
          <w:rFonts w:eastAsiaTheme="minorEastAsia" w:cs="Times New Roman"/>
          <w:bCs/>
          <w:i/>
        </w:rPr>
      </w:pPr>
      <w:r w:rsidRPr="00AE37B1">
        <w:rPr>
          <w:rFonts w:eastAsiaTheme="minorEastAsia" w:cs="Times New Roman"/>
          <w:bCs/>
          <w:i/>
        </w:rPr>
        <w:t xml:space="preserve">Table </w:t>
      </w:r>
      <w:r>
        <w:rPr>
          <w:rFonts w:eastAsiaTheme="minorEastAsia" w:cs="Times New Roman"/>
          <w:bCs/>
          <w:i/>
        </w:rPr>
        <w:t>6</w:t>
      </w:r>
      <w:r w:rsidRPr="00AE37B1">
        <w:rPr>
          <w:rFonts w:eastAsiaTheme="minorEastAsia" w:cs="Times New Roman"/>
          <w:bCs/>
          <w:i/>
        </w:rPr>
        <w:t>: Unemployment Rates among IDPs and non-IDPs</w:t>
      </w:r>
    </w:p>
    <w:p w14:paraId="6F6B08DB" w14:textId="3F19C759" w:rsidR="00AE37B1" w:rsidRDefault="00AE37B1" w:rsidP="00C43C1E">
      <w:pPr>
        <w:spacing w:after="0" w:line="276" w:lineRule="auto"/>
        <w:rPr>
          <w:rFonts w:ascii="Times New Roman" w:eastAsiaTheme="minorEastAsia" w:hAnsi="Times New Roman" w:cs="Times New Roman"/>
          <w:b/>
          <w:bCs/>
          <w:i/>
        </w:rPr>
      </w:pPr>
      <w:r>
        <w:rPr>
          <w:noProof/>
        </w:rPr>
        <w:drawing>
          <wp:inline distT="0" distB="0" distL="0" distR="0" wp14:anchorId="5B016C7C" wp14:editId="29CC1314">
            <wp:extent cx="5943600" cy="27527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752725"/>
                    </a:xfrm>
                    <a:prstGeom prst="rect">
                      <a:avLst/>
                    </a:prstGeom>
                    <a:noFill/>
                    <a:ln>
                      <a:noFill/>
                    </a:ln>
                  </pic:spPr>
                </pic:pic>
              </a:graphicData>
            </a:graphic>
          </wp:inline>
        </w:drawing>
      </w:r>
    </w:p>
    <w:p w14:paraId="783FB543" w14:textId="77777777" w:rsidR="00AE37B1" w:rsidRPr="00C43C1E" w:rsidRDefault="00AE37B1" w:rsidP="00C43C1E">
      <w:pPr>
        <w:spacing w:after="0" w:line="276" w:lineRule="auto"/>
        <w:rPr>
          <w:rFonts w:ascii="Times New Roman" w:eastAsiaTheme="minorEastAsia" w:hAnsi="Times New Roman" w:cs="Times New Roman"/>
          <w:b/>
          <w:bCs/>
          <w:i/>
        </w:rPr>
      </w:pPr>
    </w:p>
    <w:p w14:paraId="5C80C048" w14:textId="6FA30BEE" w:rsidR="004D7421" w:rsidRPr="00AD0567" w:rsidRDefault="001656A8" w:rsidP="00C43C1E">
      <w:pPr>
        <w:pStyle w:val="ListParagraph"/>
        <w:numPr>
          <w:ilvl w:val="0"/>
          <w:numId w:val="1"/>
        </w:numPr>
        <w:spacing w:after="0" w:line="276" w:lineRule="auto"/>
        <w:rPr>
          <w:rFonts w:cs="Times New Roman"/>
          <w:b/>
        </w:rPr>
      </w:pPr>
      <w:r w:rsidRPr="00C43C1E">
        <w:rPr>
          <w:rFonts w:eastAsiaTheme="minorEastAsia" w:cs="Times New Roman"/>
          <w:b/>
          <w:bCs/>
        </w:rPr>
        <w:t>While a</w:t>
      </w:r>
      <w:r w:rsidR="00070B4E" w:rsidRPr="00C43C1E">
        <w:rPr>
          <w:rFonts w:eastAsiaTheme="minorEastAsia" w:cs="Times New Roman"/>
          <w:b/>
          <w:bCs/>
        </w:rPr>
        <w:t xml:space="preserve">lmost half of the non-IDP population works in the agricultural sector (47.8%), </w:t>
      </w:r>
      <w:r w:rsidRPr="00C43C1E">
        <w:rPr>
          <w:rFonts w:eastAsiaTheme="minorEastAsia" w:cs="Times New Roman"/>
          <w:b/>
          <w:bCs/>
        </w:rPr>
        <w:t>only 22% of IDPs work in agriculture</w:t>
      </w:r>
      <w:r w:rsidR="00070B4E" w:rsidRPr="00C43C1E">
        <w:rPr>
          <w:rFonts w:eastAsiaTheme="minorEastAsia" w:cs="Times New Roman"/>
          <w:b/>
          <w:bCs/>
        </w:rPr>
        <w:t>.</w:t>
      </w:r>
      <w:r w:rsidR="00522315">
        <w:rPr>
          <w:rStyle w:val="FootnoteReference"/>
          <w:rFonts w:eastAsiaTheme="minorEastAsia" w:cs="Times New Roman"/>
          <w:b/>
          <w:bCs/>
        </w:rPr>
        <w:footnoteReference w:id="50"/>
      </w:r>
      <w:r w:rsidR="00070B4E" w:rsidRPr="00C43C1E">
        <w:rPr>
          <w:rFonts w:eastAsiaTheme="minorEastAsia" w:cs="Times New Roman"/>
          <w:bCs/>
        </w:rPr>
        <w:t xml:space="preserve"> IDPs</w:t>
      </w:r>
      <w:r w:rsidR="005D471C">
        <w:rPr>
          <w:rFonts w:eastAsiaTheme="minorEastAsia" w:cs="Times New Roman"/>
          <w:bCs/>
        </w:rPr>
        <w:t xml:space="preserve"> </w:t>
      </w:r>
      <w:r w:rsidR="00070B4E" w:rsidRPr="00C43C1E">
        <w:rPr>
          <w:rFonts w:eastAsiaTheme="minorEastAsia" w:cs="Times New Roman"/>
          <w:bCs/>
        </w:rPr>
        <w:t>have limited access to land, which prevents the</w:t>
      </w:r>
      <w:r w:rsidR="004D7421" w:rsidRPr="00C43C1E">
        <w:rPr>
          <w:rFonts w:eastAsiaTheme="minorEastAsia" w:cs="Times New Roman"/>
          <w:bCs/>
        </w:rPr>
        <w:t>ir</w:t>
      </w:r>
      <w:r w:rsidR="00070B4E" w:rsidRPr="00C43C1E">
        <w:rPr>
          <w:rFonts w:eastAsiaTheme="minorEastAsia" w:cs="Times New Roman"/>
          <w:bCs/>
        </w:rPr>
        <w:t xml:space="preserve"> profitable engagement in agriculture. </w:t>
      </w:r>
      <w:r w:rsidR="00ED693D">
        <w:rPr>
          <w:rFonts w:eastAsiaTheme="minorEastAsia" w:cs="Times New Roman"/>
          <w:bCs/>
        </w:rPr>
        <w:t xml:space="preserve">NCL IDPs who were primarily farmers in </w:t>
      </w:r>
      <w:r w:rsidR="00C87511">
        <w:rPr>
          <w:rFonts w:eastAsiaTheme="minorEastAsia" w:cs="Times New Roman"/>
          <w:bCs/>
        </w:rPr>
        <w:t xml:space="preserve">the Tskhinvali Region - </w:t>
      </w:r>
      <w:r w:rsidR="00ED693D">
        <w:rPr>
          <w:rFonts w:eastAsiaTheme="minorEastAsia" w:cs="Times New Roman"/>
          <w:bCs/>
        </w:rPr>
        <w:t xml:space="preserve">South Ossetia have found it especially difficult to engage in profitable agriculture following their displacement in 2008. They largely live in compact settlements with little to no access to land. </w:t>
      </w:r>
      <w:r w:rsidR="00290F14">
        <w:rPr>
          <w:rFonts w:eastAsiaTheme="minorEastAsia" w:cs="Times New Roman"/>
          <w:bCs/>
        </w:rPr>
        <w:t>Another factor explaining the difference in agricultural participation rate between IDPs and non-IDPs is the concentration of IDPs in urban areas. A much higher proportion of the IDP population (75%) lives in urban areas compared to the overall population (49%)</w:t>
      </w:r>
      <w:r w:rsidR="001A1BB7">
        <w:rPr>
          <w:rStyle w:val="FootnoteReference"/>
          <w:rFonts w:eastAsiaTheme="minorEastAsia" w:cs="Times New Roman"/>
          <w:bCs/>
        </w:rPr>
        <w:footnoteReference w:id="51"/>
      </w:r>
      <w:r w:rsidR="00290F14">
        <w:rPr>
          <w:rFonts w:eastAsiaTheme="minorEastAsia" w:cs="Times New Roman"/>
          <w:bCs/>
        </w:rPr>
        <w:t xml:space="preserve">. </w:t>
      </w:r>
    </w:p>
    <w:p w14:paraId="012EA6DB" w14:textId="77777777" w:rsidR="00AD0567" w:rsidRDefault="00AD0567" w:rsidP="00AD0567">
      <w:pPr>
        <w:pStyle w:val="ListParagraph"/>
        <w:spacing w:after="0" w:line="276" w:lineRule="auto"/>
        <w:ind w:left="360"/>
        <w:rPr>
          <w:rFonts w:eastAsiaTheme="minorEastAsia" w:cs="Times New Roman"/>
          <w:b/>
          <w:bCs/>
        </w:rPr>
      </w:pPr>
    </w:p>
    <w:p w14:paraId="75474925" w14:textId="5E4A5CB9" w:rsidR="00AD0567" w:rsidRPr="0029555A" w:rsidRDefault="00AD0567" w:rsidP="00AD0567">
      <w:pPr>
        <w:spacing w:after="0"/>
        <w:jc w:val="right"/>
        <w:rPr>
          <w:rFonts w:cs="Times New Roman"/>
          <w:i/>
        </w:rPr>
      </w:pPr>
      <w:r w:rsidRPr="0029555A">
        <w:rPr>
          <w:rFonts w:cs="Times New Roman"/>
          <w:i/>
        </w:rPr>
        <w:t>“ What can they do, they don’t have the land, so what can be the source of their income, all inhabitants of the village own the land, and have some income, at least 500 Gel per season”</w:t>
      </w:r>
      <w:r w:rsidRPr="0029555A">
        <w:rPr>
          <w:rStyle w:val="FootnoteReference"/>
          <w:rFonts w:cs="Times New Roman"/>
          <w:i/>
        </w:rPr>
        <w:footnoteReference w:id="52"/>
      </w:r>
    </w:p>
    <w:p w14:paraId="75C3D820" w14:textId="77777777" w:rsidR="00AD0567" w:rsidRPr="005D471C" w:rsidRDefault="00AD0567" w:rsidP="00AD0567">
      <w:pPr>
        <w:pStyle w:val="ListParagraph"/>
        <w:spacing w:after="0" w:line="276" w:lineRule="auto"/>
        <w:ind w:left="360"/>
        <w:rPr>
          <w:rFonts w:cs="Times New Roman"/>
          <w:b/>
        </w:rPr>
      </w:pPr>
    </w:p>
    <w:p w14:paraId="525D645E" w14:textId="77777777" w:rsidR="001656A8" w:rsidRPr="00290F14" w:rsidRDefault="001656A8" w:rsidP="00290F14">
      <w:pPr>
        <w:spacing w:after="0" w:line="276" w:lineRule="auto"/>
        <w:rPr>
          <w:rFonts w:cs="Times New Roman"/>
          <w:b/>
        </w:rPr>
      </w:pPr>
    </w:p>
    <w:p w14:paraId="63E05EA9" w14:textId="77777777" w:rsidR="005743DD" w:rsidRPr="00C43C1E" w:rsidRDefault="00070B4E" w:rsidP="00C43C1E">
      <w:pPr>
        <w:pStyle w:val="ListParagraph"/>
        <w:numPr>
          <w:ilvl w:val="0"/>
          <w:numId w:val="1"/>
        </w:numPr>
        <w:spacing w:after="0" w:line="276" w:lineRule="auto"/>
        <w:rPr>
          <w:rFonts w:eastAsiaTheme="minorEastAsia" w:cs="Times New Roman"/>
          <w:bCs/>
        </w:rPr>
      </w:pPr>
      <w:r w:rsidRPr="00C43C1E">
        <w:rPr>
          <w:rFonts w:cs="Times New Roman"/>
          <w:b/>
        </w:rPr>
        <w:t xml:space="preserve"> </w:t>
      </w:r>
      <w:r w:rsidRPr="00BB0F7E">
        <w:rPr>
          <w:rFonts w:cs="Times New Roman"/>
          <w:b/>
        </w:rPr>
        <w:t>Without privatized housing or land to use as collateral, many IDPs</w:t>
      </w:r>
      <w:r w:rsidR="005743DD" w:rsidRPr="00BB0F7E">
        <w:rPr>
          <w:rFonts w:cs="Times New Roman"/>
          <w:b/>
        </w:rPr>
        <w:t xml:space="preserve"> are unable to access credit </w:t>
      </w:r>
      <w:r w:rsidR="00CA2B82" w:rsidRPr="00BB0F7E">
        <w:rPr>
          <w:rFonts w:cs="Times New Roman"/>
          <w:b/>
        </w:rPr>
        <w:t>to start and</w:t>
      </w:r>
      <w:r w:rsidRPr="00BB0F7E">
        <w:rPr>
          <w:rFonts w:cs="Times New Roman"/>
          <w:b/>
        </w:rPr>
        <w:t xml:space="preserve"> expand businesses.</w:t>
      </w:r>
      <w:r w:rsidRPr="00BB0F7E">
        <w:rPr>
          <w:rStyle w:val="FootnoteReference"/>
          <w:rFonts w:cs="Times New Roman"/>
          <w:b/>
        </w:rPr>
        <w:footnoteReference w:id="53"/>
      </w:r>
      <w:r w:rsidRPr="00BB0F7E">
        <w:rPr>
          <w:rFonts w:cs="Times New Roman"/>
        </w:rPr>
        <w:t xml:space="preserve"> </w:t>
      </w:r>
      <w:r w:rsidR="00C057DD" w:rsidRPr="00C43C1E">
        <w:rPr>
          <w:rFonts w:cs="Times New Roman"/>
        </w:rPr>
        <w:t xml:space="preserve">IDPs are subject to the same commercial loan conditions as non-IDPs, in that they must provide collateral and financial guarantees. While some IDPs have received privatized accommodation that can be used as collateral, many have not gone through the privatization process. For those who are able to borrow, high-interest rates can make repayments </w:t>
      </w:r>
      <w:r w:rsidR="00C057DD" w:rsidRPr="00C43C1E">
        <w:rPr>
          <w:rFonts w:cs="Times New Roman"/>
        </w:rPr>
        <w:lastRenderedPageBreak/>
        <w:t xml:space="preserve">prohibitively expensive. Chronic unemployment in the IDP population also compounds the problem, and further prohibits IDPs from accessing credit. </w:t>
      </w:r>
    </w:p>
    <w:p w14:paraId="319C648B" w14:textId="77777777" w:rsidR="009B6D3D" w:rsidRPr="00C43C1E" w:rsidRDefault="009B6D3D" w:rsidP="00C43C1E">
      <w:pPr>
        <w:spacing w:line="276" w:lineRule="auto"/>
        <w:rPr>
          <w:rFonts w:eastAsiaTheme="minorEastAsia" w:cs="Times New Roman"/>
          <w:bCs/>
        </w:rPr>
      </w:pPr>
    </w:p>
    <w:p w14:paraId="2515BC02" w14:textId="03114F1A" w:rsidR="00BB0F7E" w:rsidRDefault="00232273" w:rsidP="00BB0F7E">
      <w:pPr>
        <w:pStyle w:val="ListParagraph"/>
        <w:numPr>
          <w:ilvl w:val="0"/>
          <w:numId w:val="1"/>
        </w:numPr>
        <w:spacing w:line="276" w:lineRule="auto"/>
      </w:pPr>
      <w:r w:rsidRPr="00C43C1E">
        <w:rPr>
          <w:rFonts w:cs="Times New Roman"/>
          <w:b/>
        </w:rPr>
        <w:t>The disruptive nature of displacement is such that those who are affected lose education and skill-building opportunities that are required in the job market.</w:t>
      </w:r>
      <w:r w:rsidRPr="00C43C1E">
        <w:rPr>
          <w:rStyle w:val="FootnoteReference"/>
          <w:rFonts w:cs="Times New Roman"/>
          <w:b/>
        </w:rPr>
        <w:footnoteReference w:id="54"/>
      </w:r>
      <w:r w:rsidRPr="00C43C1E">
        <w:rPr>
          <w:rFonts w:cs="Times New Roman"/>
          <w:b/>
        </w:rPr>
        <w:t xml:space="preserve"> </w:t>
      </w:r>
      <w:r w:rsidRPr="00C43C1E">
        <w:rPr>
          <w:rFonts w:cs="Times New Roman"/>
        </w:rPr>
        <w:t xml:space="preserve">Skills that may have served IDPs well in </w:t>
      </w:r>
      <w:r w:rsidR="00C87511">
        <w:rPr>
          <w:rFonts w:cs="Times New Roman"/>
        </w:rPr>
        <w:t>their home region</w:t>
      </w:r>
      <w:r w:rsidRPr="00C43C1E">
        <w:rPr>
          <w:rFonts w:cs="Times New Roman"/>
        </w:rPr>
        <w:t xml:space="preserve"> may not be relevant or applicable in their new environments.</w:t>
      </w:r>
      <w:r w:rsidR="0026395C">
        <w:rPr>
          <w:rStyle w:val="FootnoteReference"/>
          <w:rFonts w:cs="Times New Roman"/>
        </w:rPr>
        <w:footnoteReference w:id="55"/>
      </w:r>
      <w:r w:rsidRPr="00C43C1E">
        <w:rPr>
          <w:rFonts w:cs="Times New Roman"/>
        </w:rPr>
        <w:t xml:space="preserve"> The passage of time without education, apprenticeships, work experience and training renders IDPs uncompetitive in the contemporary job market.</w:t>
      </w:r>
      <w:r w:rsidR="0026395C">
        <w:rPr>
          <w:rStyle w:val="FootnoteReference"/>
          <w:rFonts w:cs="Times New Roman"/>
        </w:rPr>
        <w:footnoteReference w:id="56"/>
      </w:r>
      <w:r w:rsidRPr="00C43C1E">
        <w:rPr>
          <w:rFonts w:cs="Times New Roman"/>
        </w:rPr>
        <w:t xml:space="preserve"> Given these vulnerabilities, IDPs may find it difficult to make a success out of livelihood opportunities that are more easily accessible to the wider population. </w:t>
      </w:r>
      <w:r w:rsidR="005373F1" w:rsidRPr="00C43C1E">
        <w:t xml:space="preserve"> </w:t>
      </w:r>
    </w:p>
    <w:p w14:paraId="56B9ED3F" w14:textId="77777777" w:rsidR="00BB0F7E" w:rsidRPr="00BB0F7E" w:rsidRDefault="00BB0F7E" w:rsidP="00BB0F7E">
      <w:pPr>
        <w:spacing w:line="276" w:lineRule="auto"/>
      </w:pPr>
    </w:p>
    <w:p w14:paraId="1B0E80E9" w14:textId="77777777" w:rsidR="0029555A" w:rsidRPr="0029555A" w:rsidRDefault="00CF06E2" w:rsidP="0029555A">
      <w:pPr>
        <w:pStyle w:val="ListParagraph"/>
        <w:numPr>
          <w:ilvl w:val="0"/>
          <w:numId w:val="1"/>
        </w:numPr>
        <w:spacing w:after="0" w:line="276" w:lineRule="auto"/>
        <w:ind w:hanging="720"/>
        <w:rPr>
          <w:b/>
        </w:rPr>
      </w:pPr>
      <w:r w:rsidRPr="00C43C1E">
        <w:rPr>
          <w:rFonts w:cs="Times New Roman"/>
          <w:b/>
          <w:color w:val="323233"/>
        </w:rPr>
        <w:t>Weak community and family connections further increase the socioeconomic vulnerability of IDPs, and make it difficult to secure employment.</w:t>
      </w:r>
      <w:r w:rsidRPr="00C43C1E">
        <w:rPr>
          <w:rFonts w:cs="Times New Roman"/>
          <w:color w:val="323233"/>
        </w:rPr>
        <w:t xml:space="preserve"> </w:t>
      </w:r>
      <w:r w:rsidRPr="00C43C1E">
        <w:rPr>
          <w:rFonts w:cs="Times New Roman"/>
        </w:rPr>
        <w:t>As more recent arrivals in host communities, IDPs are at risk of exclusion from broader social networks and the opportunities they present. Such networks can take generations to build.</w:t>
      </w:r>
      <w:r w:rsidRPr="00C43C1E">
        <w:rPr>
          <w:rStyle w:val="FootnoteReference"/>
          <w:rFonts w:cs="Times New Roman"/>
        </w:rPr>
        <w:footnoteReference w:id="57"/>
      </w:r>
      <w:r w:rsidRPr="00C43C1E">
        <w:rPr>
          <w:rFonts w:cs="Times New Roman"/>
        </w:rPr>
        <w:t xml:space="preserve"> Residence in physically segregated collective centers only compounds the problem. </w:t>
      </w:r>
      <w:r w:rsidRPr="00C43C1E">
        <w:rPr>
          <w:rFonts w:eastAsiaTheme="minorEastAsia" w:cs="Times New Roman"/>
          <w:bCs/>
        </w:rPr>
        <w:t>Even within IDP communities that live in the same collective centers or settlements, social networks can be weak.</w:t>
      </w:r>
      <w:r w:rsidRPr="00C43C1E">
        <w:rPr>
          <w:rStyle w:val="FootnoteReference"/>
          <w:rFonts w:eastAsiaTheme="minorEastAsia" w:cs="Times New Roman"/>
          <w:bCs/>
        </w:rPr>
        <w:footnoteReference w:id="58"/>
      </w:r>
      <w:r w:rsidRPr="00C43C1E">
        <w:rPr>
          <w:rFonts w:eastAsiaTheme="minorEastAsia" w:cs="Times New Roman"/>
          <w:b/>
          <w:bCs/>
        </w:rPr>
        <w:t xml:space="preserve"> </w:t>
      </w:r>
      <w:r w:rsidRPr="00C43C1E">
        <w:rPr>
          <w:rFonts w:eastAsiaTheme="minorEastAsia" w:cs="Times New Roman"/>
          <w:bCs/>
        </w:rPr>
        <w:t>Residents may originate from diverse areas and may not have had sufficient time to develop networks</w:t>
      </w:r>
      <w:r w:rsidR="0026395C">
        <w:rPr>
          <w:rFonts w:eastAsiaTheme="minorEastAsia" w:cs="Times New Roman"/>
          <w:bCs/>
        </w:rPr>
        <w:t xml:space="preserve">. </w:t>
      </w:r>
    </w:p>
    <w:p w14:paraId="00B1518F" w14:textId="77777777" w:rsidR="0029555A" w:rsidRDefault="0029555A" w:rsidP="0029555A">
      <w:pPr>
        <w:pStyle w:val="ListParagraph"/>
      </w:pPr>
    </w:p>
    <w:p w14:paraId="4CAAFF03" w14:textId="24EE7FC8" w:rsidR="0029555A" w:rsidRPr="00202852" w:rsidRDefault="0029555A" w:rsidP="0029555A">
      <w:pPr>
        <w:pStyle w:val="ListParagraph"/>
        <w:numPr>
          <w:ilvl w:val="0"/>
          <w:numId w:val="1"/>
        </w:numPr>
        <w:spacing w:after="0" w:line="276" w:lineRule="auto"/>
        <w:ind w:hanging="720"/>
        <w:rPr>
          <w:b/>
        </w:rPr>
      </w:pPr>
      <w:r w:rsidRPr="0029555A">
        <w:rPr>
          <w:b/>
        </w:rPr>
        <w:t>Focus group discussions indicate greater difficulties for IDPs in finding employment due to lack of well-established social network</w:t>
      </w:r>
      <w:r w:rsidR="00B23792">
        <w:rPr>
          <w:b/>
        </w:rPr>
        <w:t>s</w:t>
      </w:r>
      <w:r w:rsidRPr="0029555A">
        <w:rPr>
          <w:b/>
        </w:rPr>
        <w:t>, especially in the early years after displacement.</w:t>
      </w:r>
      <w:r>
        <w:t xml:space="preserve"> Even where old caseload IDPs indicate that they are well integrated in the community, they recognize that their chances of employment are lowered by persistent socio-economic difficulties – housing conditions, poverty and in some cases lack of good quality education, of community and extended family  support.</w:t>
      </w:r>
    </w:p>
    <w:p w14:paraId="5EC25C3C" w14:textId="77777777" w:rsidR="00DC56AE" w:rsidRPr="0029555A" w:rsidRDefault="00DC56AE" w:rsidP="0029555A">
      <w:pPr>
        <w:spacing w:line="276" w:lineRule="auto"/>
        <w:ind w:left="-360"/>
        <w:rPr>
          <w:rFonts w:cs="Times New Roman"/>
        </w:rPr>
      </w:pPr>
    </w:p>
    <w:p w14:paraId="61594655" w14:textId="77777777" w:rsidR="00C34B82" w:rsidRDefault="000A25C1" w:rsidP="00FA4F8D">
      <w:pPr>
        <w:pStyle w:val="NoSpacing"/>
        <w:spacing w:line="276" w:lineRule="auto"/>
        <w:ind w:left="360"/>
        <w:rPr>
          <w:rFonts w:cs="Times New Roman"/>
          <w:i/>
          <w:sz w:val="22"/>
          <w:szCs w:val="22"/>
        </w:rPr>
      </w:pPr>
      <w:r>
        <w:rPr>
          <w:rFonts w:cs="Times New Roman"/>
          <w:i/>
          <w:sz w:val="22"/>
          <w:szCs w:val="22"/>
        </w:rPr>
        <w:t>“It</w:t>
      </w:r>
      <w:r w:rsidRPr="00DC56AE">
        <w:rPr>
          <w:rFonts w:cs="Times New Roman"/>
          <w:i/>
          <w:sz w:val="22"/>
          <w:szCs w:val="22"/>
        </w:rPr>
        <w:t xml:space="preserve"> is harder for IDPs to find a job, because they don’t have local relatives, who could help.”</w:t>
      </w:r>
      <w:r w:rsidRPr="00DC56AE">
        <w:rPr>
          <w:rStyle w:val="FootnoteReference"/>
          <w:rFonts w:cs="Times New Roman"/>
          <w:i/>
          <w:sz w:val="22"/>
          <w:szCs w:val="22"/>
        </w:rPr>
        <w:footnoteReference w:id="59"/>
      </w:r>
    </w:p>
    <w:p w14:paraId="38EC113B" w14:textId="77777777" w:rsidR="00C34B82" w:rsidRDefault="00C34B82" w:rsidP="00FA4F8D">
      <w:pPr>
        <w:pStyle w:val="NoSpacing"/>
        <w:spacing w:line="276" w:lineRule="auto"/>
        <w:ind w:left="360"/>
        <w:rPr>
          <w:rFonts w:cs="Times New Roman"/>
          <w:i/>
          <w:sz w:val="22"/>
          <w:szCs w:val="22"/>
        </w:rPr>
      </w:pPr>
    </w:p>
    <w:p w14:paraId="535DE2EB" w14:textId="77777777" w:rsidR="00C34B82" w:rsidRDefault="000A25C1" w:rsidP="00FA4F8D">
      <w:pPr>
        <w:pStyle w:val="NoSpacing"/>
        <w:spacing w:line="276" w:lineRule="auto"/>
        <w:ind w:left="360"/>
        <w:rPr>
          <w:rFonts w:cs="Times New Roman"/>
          <w:i/>
          <w:sz w:val="22"/>
          <w:szCs w:val="22"/>
        </w:rPr>
      </w:pPr>
      <w:r w:rsidRPr="005D471C">
        <w:rPr>
          <w:rFonts w:cs="Times New Roman"/>
          <w:i/>
          <w:sz w:val="22"/>
          <w:szCs w:val="22"/>
        </w:rPr>
        <w:t>“Relatives and acquaintances are needed for any kind of job”</w:t>
      </w:r>
    </w:p>
    <w:p w14:paraId="53D72D15" w14:textId="77777777" w:rsidR="00C34B82" w:rsidRPr="00FA4F8D" w:rsidRDefault="00C34B82" w:rsidP="00FA4F8D">
      <w:pPr>
        <w:pStyle w:val="ListParagraph"/>
        <w:spacing w:line="276" w:lineRule="auto"/>
        <w:ind w:left="360"/>
        <w:rPr>
          <w:rFonts w:cs="Times New Roman"/>
        </w:rPr>
      </w:pPr>
    </w:p>
    <w:p w14:paraId="21365CEF" w14:textId="5AFD5FE8" w:rsidR="00845427" w:rsidRDefault="0029555A" w:rsidP="00BB0F7E">
      <w:pPr>
        <w:pStyle w:val="ListParagraph"/>
        <w:numPr>
          <w:ilvl w:val="0"/>
          <w:numId w:val="1"/>
        </w:numPr>
        <w:spacing w:after="0" w:line="276" w:lineRule="auto"/>
        <w:rPr>
          <w:rFonts w:cs="Times New Roman"/>
        </w:rPr>
      </w:pPr>
      <w:r>
        <w:rPr>
          <w:rFonts w:cs="Times New Roman"/>
          <w:b/>
        </w:rPr>
        <w:t xml:space="preserve">The </w:t>
      </w:r>
      <w:r w:rsidR="00BE31A1" w:rsidRPr="00C0373D">
        <w:rPr>
          <w:rFonts w:cs="Times New Roman"/>
          <w:b/>
        </w:rPr>
        <w:t>proportion of individuals that belong to vulnerable groups is higher among IDPs than among non IDPs</w:t>
      </w:r>
      <w:r w:rsidR="00814F34" w:rsidRPr="00C0373D">
        <w:rPr>
          <w:rFonts w:cs="Times New Roman"/>
          <w:b/>
        </w:rPr>
        <w:t xml:space="preserve"> </w:t>
      </w:r>
      <w:r w:rsidR="00C0373D" w:rsidRPr="00C0373D">
        <w:rPr>
          <w:rFonts w:cs="Times New Roman"/>
          <w:b/>
        </w:rPr>
        <w:t>which has further implication on employment rates</w:t>
      </w:r>
      <w:r w:rsidR="00C0373D">
        <w:rPr>
          <w:rFonts w:cs="Times New Roman"/>
        </w:rPr>
        <w:t xml:space="preserve"> </w:t>
      </w:r>
      <w:r w:rsidR="00814F34" w:rsidRPr="00814F34">
        <w:rPr>
          <w:rFonts w:cs="Times New Roman"/>
        </w:rPr>
        <w:t xml:space="preserve">(see </w:t>
      </w:r>
      <w:r w:rsidR="00BB0F7E">
        <w:rPr>
          <w:rFonts w:cs="Times New Roman"/>
        </w:rPr>
        <w:t>Table 7).</w:t>
      </w:r>
      <w:r w:rsidR="00BE31A1" w:rsidRPr="003F6E35">
        <w:rPr>
          <w:rFonts w:cs="Times New Roman"/>
        </w:rPr>
        <w:t xml:space="preserve"> </w:t>
      </w:r>
      <w:r w:rsidR="00BE31A1" w:rsidRPr="00814F34">
        <w:rPr>
          <w:rFonts w:cs="Times New Roman"/>
        </w:rPr>
        <w:t xml:space="preserve">While 4.74% of the non IPD population is disabled, individuals with disabilities represent 6.29% of the IDP population. IDPs also represent a higher proportion of female/single headed households and youth than non IDPs. </w:t>
      </w:r>
    </w:p>
    <w:p w14:paraId="40F830F7" w14:textId="77777777" w:rsidR="00845427" w:rsidRPr="0029555A" w:rsidRDefault="00845427" w:rsidP="0029555A">
      <w:pPr>
        <w:spacing w:after="0" w:line="276" w:lineRule="auto"/>
        <w:rPr>
          <w:rFonts w:cs="Times New Roman"/>
          <w:b/>
        </w:rPr>
      </w:pPr>
    </w:p>
    <w:p w14:paraId="0B1918BB" w14:textId="260E3C29" w:rsidR="00BE31A1" w:rsidRPr="00BB0F7E" w:rsidRDefault="00BE31A1" w:rsidP="00BE31A1">
      <w:pPr>
        <w:pStyle w:val="ListParagraph"/>
        <w:spacing w:after="0" w:line="276" w:lineRule="auto"/>
        <w:ind w:left="360"/>
        <w:rPr>
          <w:rFonts w:cs="Times New Roman"/>
          <w:i/>
        </w:rPr>
      </w:pPr>
      <w:r w:rsidRPr="00BB0F7E">
        <w:rPr>
          <w:rFonts w:cs="Times New Roman"/>
          <w:i/>
        </w:rPr>
        <w:t xml:space="preserve">Table </w:t>
      </w:r>
      <w:r w:rsidR="00BB0F7E" w:rsidRPr="00BB0F7E">
        <w:rPr>
          <w:rFonts w:cs="Times New Roman"/>
          <w:i/>
        </w:rPr>
        <w:t>7</w:t>
      </w:r>
      <w:r w:rsidRPr="00BB0F7E">
        <w:rPr>
          <w:rFonts w:cs="Times New Roman"/>
          <w:i/>
        </w:rPr>
        <w:t>: Vulnerable population (in %), among IDPs and non IDPs</w:t>
      </w:r>
    </w:p>
    <w:p w14:paraId="5CD66382" w14:textId="77777777" w:rsidR="00BE31A1" w:rsidRDefault="005C784E" w:rsidP="00BE31A1">
      <w:pPr>
        <w:pStyle w:val="ListParagraph"/>
        <w:spacing w:after="0" w:line="276" w:lineRule="auto"/>
        <w:ind w:left="360"/>
        <w:rPr>
          <w:rFonts w:cs="Times New Roman"/>
        </w:rPr>
      </w:pPr>
      <w:r>
        <w:rPr>
          <w:noProof/>
        </w:rPr>
        <w:drawing>
          <wp:inline distT="0" distB="0" distL="0" distR="0" wp14:anchorId="0DAF0BAB" wp14:editId="0F5F475C">
            <wp:extent cx="4591050" cy="11525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91050" cy="1152525"/>
                    </a:xfrm>
                    <a:prstGeom prst="rect">
                      <a:avLst/>
                    </a:prstGeom>
                    <a:noFill/>
                    <a:ln>
                      <a:noFill/>
                    </a:ln>
                  </pic:spPr>
                </pic:pic>
              </a:graphicData>
            </a:graphic>
          </wp:inline>
        </w:drawing>
      </w:r>
    </w:p>
    <w:p w14:paraId="0D8C6FA3" w14:textId="21587B9D" w:rsidR="00BB0F7E" w:rsidRPr="001B2715" w:rsidRDefault="00DD7CF6" w:rsidP="001B2715">
      <w:pPr>
        <w:pStyle w:val="NoSpacing"/>
        <w:spacing w:line="276" w:lineRule="auto"/>
        <w:ind w:left="720"/>
        <w:rPr>
          <w:rFonts w:cs="Times New Roman"/>
        </w:rPr>
      </w:pPr>
      <w:r w:rsidRPr="003D304C" w:rsidDel="00DD7CF6">
        <w:t xml:space="preserve"> </w:t>
      </w:r>
    </w:p>
    <w:p w14:paraId="5FA38A9E" w14:textId="77777777" w:rsidR="00BB0F7E" w:rsidRDefault="00BB0F7E" w:rsidP="00C43C1E">
      <w:pPr>
        <w:pStyle w:val="NoSpacing"/>
        <w:spacing w:line="276" w:lineRule="auto"/>
        <w:rPr>
          <w:rFonts w:cs="Times New Roman"/>
          <w:b/>
          <w:i/>
          <w:sz w:val="22"/>
          <w:szCs w:val="22"/>
        </w:rPr>
      </w:pPr>
    </w:p>
    <w:p w14:paraId="06EB0A06" w14:textId="77777777" w:rsidR="00CF06E2" w:rsidRPr="00C43C1E" w:rsidRDefault="00CF06E2" w:rsidP="00C43C1E">
      <w:pPr>
        <w:pStyle w:val="NoSpacing"/>
        <w:spacing w:line="276" w:lineRule="auto"/>
        <w:rPr>
          <w:rFonts w:cs="Times New Roman"/>
          <w:b/>
          <w:i/>
          <w:sz w:val="22"/>
          <w:szCs w:val="22"/>
        </w:rPr>
      </w:pPr>
      <w:r w:rsidRPr="00C43C1E">
        <w:rPr>
          <w:rFonts w:cs="Times New Roman"/>
          <w:b/>
          <w:i/>
          <w:sz w:val="22"/>
          <w:szCs w:val="22"/>
        </w:rPr>
        <w:t>Housing</w:t>
      </w:r>
    </w:p>
    <w:p w14:paraId="01EC2C73" w14:textId="77777777" w:rsidR="00CF06E2" w:rsidRPr="00C43C1E" w:rsidRDefault="00CF06E2" w:rsidP="00C43C1E">
      <w:pPr>
        <w:pStyle w:val="Caption"/>
        <w:tabs>
          <w:tab w:val="left" w:pos="360"/>
        </w:tabs>
        <w:spacing w:after="0" w:line="276" w:lineRule="auto"/>
        <w:jc w:val="both"/>
        <w:rPr>
          <w:rFonts w:eastAsiaTheme="minorEastAsia" w:cs="Times New Roman"/>
          <w:bCs w:val="0"/>
          <w:i/>
          <w:szCs w:val="22"/>
        </w:rPr>
      </w:pPr>
    </w:p>
    <w:p w14:paraId="5C71E7F4" w14:textId="2B0A02C7" w:rsidR="000118C4" w:rsidRPr="00CA7F4F" w:rsidRDefault="00232273" w:rsidP="00CA7F4F">
      <w:pPr>
        <w:pStyle w:val="ListParagraph"/>
        <w:numPr>
          <w:ilvl w:val="0"/>
          <w:numId w:val="1"/>
        </w:numPr>
        <w:tabs>
          <w:tab w:val="left" w:pos="360"/>
        </w:tabs>
        <w:spacing w:after="200" w:line="276" w:lineRule="auto"/>
        <w:rPr>
          <w:bCs/>
        </w:rPr>
      </w:pPr>
      <w:r w:rsidRPr="00C43C1E">
        <w:rPr>
          <w:b/>
          <w:bCs/>
        </w:rPr>
        <w:t xml:space="preserve">Qualitative and </w:t>
      </w:r>
      <w:r w:rsidR="000118C4">
        <w:rPr>
          <w:b/>
          <w:bCs/>
        </w:rPr>
        <w:t>quantitative</w:t>
      </w:r>
      <w:r w:rsidRPr="00C43C1E">
        <w:rPr>
          <w:b/>
          <w:bCs/>
        </w:rPr>
        <w:t xml:space="preserve"> research indicates that poor housing conditions are the main source of vulnerability for IDPs.</w:t>
      </w:r>
      <w:r w:rsidR="000118C4" w:rsidRPr="00C43C1E">
        <w:rPr>
          <w:bCs/>
          <w:vertAlign w:val="superscript"/>
        </w:rPr>
        <w:footnoteReference w:id="60"/>
      </w:r>
      <w:r w:rsidR="000118C4" w:rsidRPr="00C43C1E">
        <w:rPr>
          <w:bCs/>
        </w:rPr>
        <w:t xml:space="preserve"> Focus group interviews with IDPs consistently revealed housing to be their most pressing need. </w:t>
      </w:r>
      <w:r w:rsidRPr="00C43C1E">
        <w:rPr>
          <w:bCs/>
        </w:rPr>
        <w:t xml:space="preserve">While the government has </w:t>
      </w:r>
      <w:r w:rsidR="000118C4">
        <w:rPr>
          <w:bCs/>
        </w:rPr>
        <w:t>under</w:t>
      </w:r>
      <w:r w:rsidRPr="00C43C1E">
        <w:rPr>
          <w:bCs/>
        </w:rPr>
        <w:t xml:space="preserve">taken demonstrable steps in recent years to improve </w:t>
      </w:r>
      <w:r w:rsidR="000118C4">
        <w:rPr>
          <w:bCs/>
        </w:rPr>
        <w:t xml:space="preserve">the </w:t>
      </w:r>
      <w:r w:rsidRPr="00C43C1E">
        <w:rPr>
          <w:bCs/>
        </w:rPr>
        <w:t>living conditions</w:t>
      </w:r>
      <w:r w:rsidR="000118C4">
        <w:rPr>
          <w:bCs/>
        </w:rPr>
        <w:t xml:space="preserve"> of IDPs</w:t>
      </w:r>
      <w:r w:rsidRPr="00C43C1E">
        <w:rPr>
          <w:bCs/>
        </w:rPr>
        <w:t>, much remains to be done in providing durable housing solutions. This is especially the case for those living in collective centers, often described as dilapidated and overcrowded.</w:t>
      </w:r>
      <w:r w:rsidR="000118C4">
        <w:rPr>
          <w:bCs/>
        </w:rPr>
        <w:t xml:space="preserve"> </w:t>
      </w:r>
      <w:r w:rsidR="000118C4" w:rsidRPr="000118C4">
        <w:rPr>
          <w:bCs/>
        </w:rPr>
        <w:t xml:space="preserve">Housing approximately </w:t>
      </w:r>
      <w:r w:rsidR="009E6C52">
        <w:rPr>
          <w:bCs/>
        </w:rPr>
        <w:t>38</w:t>
      </w:r>
      <w:r w:rsidR="000118C4" w:rsidRPr="000118C4">
        <w:rPr>
          <w:bCs/>
        </w:rPr>
        <w:t xml:space="preserve">% of IDPs, collective centers have been the primary accommodation for many </w:t>
      </w:r>
      <w:r w:rsidR="000118C4">
        <w:rPr>
          <w:bCs/>
        </w:rPr>
        <w:t xml:space="preserve">over </w:t>
      </w:r>
      <w:r w:rsidR="000118C4" w:rsidRPr="000118C4">
        <w:rPr>
          <w:bCs/>
        </w:rPr>
        <w:t xml:space="preserve">the past two decades. </w:t>
      </w:r>
      <w:r w:rsidR="000118C4">
        <w:rPr>
          <w:bCs/>
        </w:rPr>
        <w:t xml:space="preserve">The government has undertaken rehabilitation of some collective centers, and </w:t>
      </w:r>
      <w:r w:rsidR="00A01874">
        <w:rPr>
          <w:bCs/>
        </w:rPr>
        <w:t>16.7</w:t>
      </w:r>
      <w:r w:rsidR="000118C4">
        <w:rPr>
          <w:bCs/>
        </w:rPr>
        <w:t>% of IDPs now live in a r</w:t>
      </w:r>
      <w:r w:rsidR="00766037">
        <w:rPr>
          <w:bCs/>
        </w:rPr>
        <w:t>ehabilitated</w:t>
      </w:r>
      <w:r w:rsidR="00A01874">
        <w:rPr>
          <w:bCs/>
        </w:rPr>
        <w:t xml:space="preserve"> center. </w:t>
      </w:r>
      <w:r w:rsidR="000118C4">
        <w:rPr>
          <w:bCs/>
        </w:rPr>
        <w:t>However, as many as 2</w:t>
      </w:r>
      <w:r w:rsidR="00A01874">
        <w:rPr>
          <w:bCs/>
        </w:rPr>
        <w:t>1</w:t>
      </w:r>
      <w:r w:rsidR="000118C4">
        <w:rPr>
          <w:bCs/>
        </w:rPr>
        <w:t>.</w:t>
      </w:r>
      <w:r w:rsidR="009E6C52">
        <w:rPr>
          <w:bCs/>
        </w:rPr>
        <w:t>5</w:t>
      </w:r>
      <w:r w:rsidR="000118C4">
        <w:rPr>
          <w:bCs/>
        </w:rPr>
        <w:t>% are still living in non-rehabilitated centers in dire conditions</w:t>
      </w:r>
      <w:r w:rsidR="00A01874">
        <w:rPr>
          <w:bCs/>
        </w:rPr>
        <w:t xml:space="preserve"> (see Table 8)</w:t>
      </w:r>
      <w:r w:rsidR="000118C4">
        <w:rPr>
          <w:bCs/>
        </w:rPr>
        <w:t>.</w:t>
      </w:r>
      <w:r w:rsidR="000118C4">
        <w:rPr>
          <w:rStyle w:val="FootnoteReference"/>
          <w:bCs/>
        </w:rPr>
        <w:footnoteReference w:id="61"/>
      </w:r>
      <w:r w:rsidR="000118C4">
        <w:rPr>
          <w:bCs/>
        </w:rPr>
        <w:t xml:space="preserve"> </w:t>
      </w:r>
    </w:p>
    <w:p w14:paraId="18DC73FB" w14:textId="77777777" w:rsidR="000118C4" w:rsidRPr="00C43C1E" w:rsidRDefault="000118C4" w:rsidP="000118C4">
      <w:pPr>
        <w:tabs>
          <w:tab w:val="left" w:pos="360"/>
        </w:tabs>
        <w:spacing w:after="200" w:line="276" w:lineRule="auto"/>
        <w:ind w:left="720"/>
        <w:rPr>
          <w:rFonts w:cs="Times New Roman"/>
          <w:i/>
        </w:rPr>
      </w:pPr>
      <w:r w:rsidRPr="00C43C1E">
        <w:rPr>
          <w:rFonts w:cs="Times New Roman"/>
          <w:i/>
        </w:rPr>
        <w:t xml:space="preserve">“The living spaces we started living in were absolutely not suitable for living. These were hotels, schools, and other public buildings. Some people </w:t>
      </w:r>
      <w:r>
        <w:rPr>
          <w:rFonts w:cs="Times New Roman"/>
          <w:i/>
        </w:rPr>
        <w:t xml:space="preserve">still live in such buildings </w:t>
      </w:r>
      <w:r w:rsidRPr="00C43C1E">
        <w:rPr>
          <w:rFonts w:cs="Times New Roman"/>
          <w:i/>
        </w:rPr>
        <w:t>today.”</w:t>
      </w:r>
      <w:r w:rsidRPr="00C43C1E">
        <w:rPr>
          <w:rStyle w:val="FootnoteReference"/>
          <w:rFonts w:cs="Times New Roman"/>
          <w:i/>
        </w:rPr>
        <w:footnoteReference w:id="62"/>
      </w:r>
      <w:r w:rsidRPr="00C43C1E">
        <w:rPr>
          <w:rFonts w:cs="Times New Roman"/>
          <w:i/>
        </w:rPr>
        <w:t xml:space="preserve"> </w:t>
      </w:r>
    </w:p>
    <w:p w14:paraId="5C5A23B9" w14:textId="77777777" w:rsidR="000118C4" w:rsidRPr="00C43C1E" w:rsidRDefault="000118C4" w:rsidP="000118C4">
      <w:pPr>
        <w:tabs>
          <w:tab w:val="left" w:pos="360"/>
        </w:tabs>
        <w:spacing w:after="200" w:line="276" w:lineRule="auto"/>
        <w:ind w:left="720"/>
        <w:rPr>
          <w:rFonts w:cs="Times New Roman"/>
          <w:i/>
        </w:rPr>
      </w:pPr>
      <w:r w:rsidRPr="00C43C1E" w:rsidDel="006F53AE">
        <w:rPr>
          <w:rFonts w:cs="Times New Roman"/>
          <w:i/>
        </w:rPr>
        <w:t xml:space="preserve"> </w:t>
      </w:r>
      <w:r w:rsidRPr="00C43C1E">
        <w:rPr>
          <w:rFonts w:cs="Times New Roman"/>
          <w:i/>
          <w:lang w:val="ka-GE"/>
        </w:rPr>
        <w:t>“</w:t>
      </w:r>
      <w:r>
        <w:rPr>
          <w:rFonts w:cs="Times New Roman"/>
          <w:i/>
          <w:lang w:val="ka-GE"/>
        </w:rPr>
        <w:t>The conditions are very poor.</w:t>
      </w:r>
      <w:r>
        <w:rPr>
          <w:rFonts w:cs="Times New Roman"/>
          <w:i/>
        </w:rPr>
        <w:t xml:space="preserve"> There</w:t>
      </w:r>
      <w:r>
        <w:rPr>
          <w:rFonts w:cs="Times New Roman"/>
          <w:i/>
          <w:lang w:val="ka-GE"/>
        </w:rPr>
        <w:t xml:space="preserve"> are shared toilets</w:t>
      </w:r>
      <w:r>
        <w:rPr>
          <w:rFonts w:cs="Times New Roman"/>
          <w:i/>
        </w:rPr>
        <w:t xml:space="preserve">, and we even had to repair one shared toilet ourselves. </w:t>
      </w:r>
      <w:r w:rsidRPr="00C43C1E">
        <w:rPr>
          <w:rFonts w:cs="Times New Roman"/>
          <w:i/>
        </w:rPr>
        <w:t xml:space="preserve">We do not have </w:t>
      </w:r>
      <w:r>
        <w:rPr>
          <w:rFonts w:cs="Times New Roman"/>
          <w:i/>
        </w:rPr>
        <w:t xml:space="preserve">enough </w:t>
      </w:r>
      <w:r w:rsidRPr="00C43C1E">
        <w:rPr>
          <w:rFonts w:cs="Times New Roman"/>
          <w:i/>
        </w:rPr>
        <w:t xml:space="preserve">electricity, </w:t>
      </w:r>
      <w:r>
        <w:rPr>
          <w:rFonts w:cs="Times New Roman"/>
          <w:i/>
        </w:rPr>
        <w:t xml:space="preserve">and we are sharing one wire of electricity from the building in front. We do not </w:t>
      </w:r>
      <w:r w:rsidRPr="00C43C1E">
        <w:rPr>
          <w:rFonts w:cs="Times New Roman"/>
          <w:i/>
        </w:rPr>
        <w:t>have gas, we use wooden stoves.”</w:t>
      </w:r>
      <w:r w:rsidRPr="00C43C1E">
        <w:rPr>
          <w:rStyle w:val="FootnoteReference"/>
          <w:rFonts w:cs="Times New Roman"/>
          <w:i/>
        </w:rPr>
        <w:footnoteReference w:id="63"/>
      </w:r>
    </w:p>
    <w:p w14:paraId="09194B40" w14:textId="77777777" w:rsidR="000118C4" w:rsidRPr="00C43C1E" w:rsidRDefault="000118C4" w:rsidP="000118C4">
      <w:pPr>
        <w:tabs>
          <w:tab w:val="left" w:pos="360"/>
        </w:tabs>
        <w:spacing w:after="200" w:line="276" w:lineRule="auto"/>
        <w:ind w:left="720"/>
        <w:rPr>
          <w:rFonts w:cs="Times New Roman"/>
          <w:i/>
        </w:rPr>
      </w:pPr>
      <w:r w:rsidRPr="00C43C1E">
        <w:rPr>
          <w:rFonts w:cs="Times New Roman"/>
          <w:i/>
        </w:rPr>
        <w:t xml:space="preserve"> “Pipes leak from all sides; we wash down the neighbors when we use water. </w:t>
      </w:r>
      <w:r w:rsidRPr="00C43C1E">
        <w:rPr>
          <w:rFonts w:cs="Times New Roman"/>
          <w:i/>
          <w:lang w:val="ka-GE"/>
        </w:rPr>
        <w:t xml:space="preserve"> </w:t>
      </w:r>
      <w:r w:rsidRPr="00C43C1E">
        <w:rPr>
          <w:rFonts w:cs="Times New Roman"/>
          <w:i/>
        </w:rPr>
        <w:t xml:space="preserve">And we are obliged to repair, </w:t>
      </w:r>
      <w:r>
        <w:rPr>
          <w:rFonts w:cs="Times New Roman"/>
          <w:i/>
        </w:rPr>
        <w:t xml:space="preserve">so we take out loans, but the </w:t>
      </w:r>
      <w:r w:rsidRPr="00C43C1E">
        <w:rPr>
          <w:rFonts w:cs="Times New Roman"/>
          <w:i/>
        </w:rPr>
        <w:t xml:space="preserve">credit is not </w:t>
      </w:r>
      <w:r>
        <w:rPr>
          <w:rFonts w:cs="Times New Roman"/>
          <w:i/>
        </w:rPr>
        <w:t>available to everyone</w:t>
      </w:r>
      <w:r w:rsidRPr="00C43C1E">
        <w:rPr>
          <w:rFonts w:cs="Times New Roman"/>
          <w:i/>
        </w:rPr>
        <w:t>.”</w:t>
      </w:r>
      <w:r w:rsidRPr="00C43C1E">
        <w:rPr>
          <w:rStyle w:val="FootnoteReference"/>
          <w:rFonts w:cs="Times New Roman"/>
          <w:i/>
        </w:rPr>
        <w:footnoteReference w:id="64"/>
      </w:r>
    </w:p>
    <w:p w14:paraId="2A687DF7" w14:textId="77777777" w:rsidR="000118C4" w:rsidRPr="00C43C1E" w:rsidRDefault="000118C4" w:rsidP="000118C4">
      <w:pPr>
        <w:tabs>
          <w:tab w:val="left" w:pos="360"/>
        </w:tabs>
        <w:spacing w:after="200" w:line="276" w:lineRule="auto"/>
        <w:ind w:left="720"/>
        <w:rPr>
          <w:rFonts w:cs="Times New Roman"/>
          <w:i/>
        </w:rPr>
      </w:pPr>
      <w:r w:rsidRPr="00C43C1E">
        <w:rPr>
          <w:rFonts w:cs="Times New Roman"/>
          <w:i/>
          <w:lang w:val="ka-GE"/>
        </w:rPr>
        <w:t>“</w:t>
      </w:r>
      <w:r w:rsidRPr="00C43C1E">
        <w:rPr>
          <w:rFonts w:cs="Times New Roman"/>
          <w:i/>
        </w:rPr>
        <w:t>We only had naked walls, we didn’t have water, gas. They allotted living spaces for us in the building where</w:t>
      </w:r>
      <w:r>
        <w:rPr>
          <w:rFonts w:cs="Times New Roman"/>
          <w:i/>
        </w:rPr>
        <w:t xml:space="preserve"> the</w:t>
      </w:r>
      <w:r w:rsidRPr="00C43C1E">
        <w:rPr>
          <w:rFonts w:cs="Times New Roman"/>
          <w:i/>
        </w:rPr>
        <w:t xml:space="preserve"> internal army was situated, but no one wants to go there, it is too far away and there is no road actually.”</w:t>
      </w:r>
      <w:r w:rsidRPr="00C43C1E">
        <w:rPr>
          <w:rStyle w:val="FootnoteReference"/>
          <w:rFonts w:cs="Times New Roman"/>
          <w:i/>
        </w:rPr>
        <w:footnoteReference w:id="65"/>
      </w:r>
    </w:p>
    <w:p w14:paraId="77552B18" w14:textId="079FF26F" w:rsidR="00BB0F7E" w:rsidRDefault="00232273" w:rsidP="00AD0567">
      <w:pPr>
        <w:pStyle w:val="Caption"/>
        <w:tabs>
          <w:tab w:val="left" w:pos="360"/>
        </w:tabs>
        <w:spacing w:after="0" w:line="276" w:lineRule="auto"/>
        <w:ind w:left="360"/>
        <w:jc w:val="both"/>
      </w:pPr>
      <w:r w:rsidRPr="00CA7F4F">
        <w:t xml:space="preserve"> </w:t>
      </w:r>
    </w:p>
    <w:p w14:paraId="0C520C67" w14:textId="783F9CC0" w:rsidR="00232273" w:rsidRPr="00CF52CF" w:rsidRDefault="00BB0F7E" w:rsidP="0036006E">
      <w:pPr>
        <w:tabs>
          <w:tab w:val="left" w:pos="360"/>
        </w:tabs>
        <w:spacing w:after="0" w:line="276" w:lineRule="auto"/>
        <w:rPr>
          <w:rFonts w:eastAsia="Times New Roman" w:cs="Times New Roman"/>
          <w:b/>
          <w:sz w:val="24"/>
          <w:szCs w:val="24"/>
        </w:rPr>
      </w:pPr>
      <w:r>
        <w:lastRenderedPageBreak/>
        <w:tab/>
      </w:r>
      <w:r>
        <w:tab/>
      </w:r>
      <w:r>
        <w:tab/>
      </w:r>
      <w:r>
        <w:tab/>
      </w:r>
      <w:r w:rsidR="00232273" w:rsidRPr="00BB0F7E">
        <w:rPr>
          <w:rFonts w:eastAsia="Times New Roman" w:cs="Times New Roman"/>
          <w:i/>
        </w:rPr>
        <w:t xml:space="preserve">Table </w:t>
      </w:r>
      <w:r w:rsidRPr="00BB0F7E">
        <w:rPr>
          <w:rFonts w:eastAsia="Times New Roman" w:cs="Times New Roman"/>
          <w:i/>
        </w:rPr>
        <w:t>8</w:t>
      </w:r>
      <w:r w:rsidR="00232273" w:rsidRPr="00BB0F7E">
        <w:rPr>
          <w:rFonts w:eastAsia="Times New Roman" w:cs="Times New Roman"/>
          <w:i/>
        </w:rPr>
        <w:t>: IDP Types of Dwelling (% of IDPs)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90"/>
        <w:gridCol w:w="1170"/>
      </w:tblGrid>
      <w:tr w:rsidR="009A37BC" w:rsidRPr="00F95C03" w14:paraId="5BC645B7" w14:textId="77777777" w:rsidTr="0036006E">
        <w:trPr>
          <w:trHeight w:val="80"/>
          <w:jc w:val="center"/>
        </w:trPr>
        <w:tc>
          <w:tcPr>
            <w:tcW w:w="4860" w:type="dxa"/>
            <w:gridSpan w:val="2"/>
          </w:tcPr>
          <w:p w14:paraId="479C8C7C" w14:textId="60AD66BD" w:rsidR="009A37BC" w:rsidRPr="00F95C03" w:rsidRDefault="00BA10D1" w:rsidP="00BD5D73">
            <w:pPr>
              <w:jc w:val="left"/>
              <w:rPr>
                <w:rFonts w:ascii="Cambria" w:hAnsi="Cambria"/>
                <w:b/>
                <w:sz w:val="20"/>
                <w:szCs w:val="20"/>
              </w:rPr>
            </w:pPr>
            <w:r>
              <w:rPr>
                <w:rFonts w:ascii="Cambria" w:hAnsi="Cambria"/>
                <w:b/>
                <w:sz w:val="20"/>
                <w:szCs w:val="20"/>
              </w:rPr>
              <w:t>Types of dwelling for IDPs</w:t>
            </w:r>
          </w:p>
        </w:tc>
      </w:tr>
      <w:tr w:rsidR="009A37BC" w:rsidRPr="00F95C03" w14:paraId="05156C0C" w14:textId="77777777" w:rsidTr="0036006E">
        <w:trPr>
          <w:jc w:val="center"/>
        </w:trPr>
        <w:tc>
          <w:tcPr>
            <w:tcW w:w="3690" w:type="dxa"/>
          </w:tcPr>
          <w:p w14:paraId="606D610F" w14:textId="77777777" w:rsidR="009A37BC" w:rsidRPr="00CB0295" w:rsidRDefault="009A37BC" w:rsidP="0036006E">
            <w:pPr>
              <w:spacing w:after="0"/>
              <w:jc w:val="left"/>
              <w:rPr>
                <w:rFonts w:ascii="Cambria" w:hAnsi="Cambria"/>
                <w:sz w:val="20"/>
                <w:szCs w:val="20"/>
              </w:rPr>
            </w:pPr>
            <w:r w:rsidRPr="00CB0295">
              <w:rPr>
                <w:rFonts w:ascii="Cambria" w:hAnsi="Cambria"/>
                <w:sz w:val="20"/>
                <w:szCs w:val="20"/>
              </w:rPr>
              <w:t>Collective Center (non-rehabilitated)</w:t>
            </w:r>
          </w:p>
        </w:tc>
        <w:tc>
          <w:tcPr>
            <w:tcW w:w="1170" w:type="dxa"/>
          </w:tcPr>
          <w:p w14:paraId="5F3165A6" w14:textId="77777777" w:rsidR="009A37BC" w:rsidRPr="00F95C03" w:rsidRDefault="009A37BC" w:rsidP="0036006E">
            <w:pPr>
              <w:spacing w:after="0"/>
              <w:rPr>
                <w:rFonts w:ascii="Cambria" w:hAnsi="Cambria"/>
                <w:sz w:val="20"/>
                <w:szCs w:val="20"/>
              </w:rPr>
            </w:pPr>
            <w:r>
              <w:rPr>
                <w:rFonts w:ascii="Cambria" w:hAnsi="Cambria"/>
                <w:sz w:val="20"/>
                <w:szCs w:val="20"/>
              </w:rPr>
              <w:t>21.5</w:t>
            </w:r>
          </w:p>
        </w:tc>
      </w:tr>
      <w:tr w:rsidR="009A37BC" w:rsidRPr="00F95C03" w14:paraId="5E5FFDC1" w14:textId="77777777" w:rsidTr="0036006E">
        <w:trPr>
          <w:jc w:val="center"/>
        </w:trPr>
        <w:tc>
          <w:tcPr>
            <w:tcW w:w="3690" w:type="dxa"/>
          </w:tcPr>
          <w:p w14:paraId="21DEBA90" w14:textId="77777777" w:rsidR="009A37BC" w:rsidRPr="00CB0295" w:rsidRDefault="009A37BC" w:rsidP="0036006E">
            <w:pPr>
              <w:spacing w:after="0"/>
              <w:jc w:val="left"/>
              <w:rPr>
                <w:rFonts w:ascii="Cambria" w:hAnsi="Cambria"/>
                <w:sz w:val="20"/>
                <w:szCs w:val="20"/>
              </w:rPr>
            </w:pPr>
            <w:r w:rsidRPr="00CB0295">
              <w:rPr>
                <w:rFonts w:ascii="Cambria" w:hAnsi="Cambria"/>
                <w:sz w:val="20"/>
                <w:szCs w:val="20"/>
              </w:rPr>
              <w:t>Collective Center (rehabilitated)</w:t>
            </w:r>
          </w:p>
        </w:tc>
        <w:tc>
          <w:tcPr>
            <w:tcW w:w="1170" w:type="dxa"/>
          </w:tcPr>
          <w:p w14:paraId="78A7F49C" w14:textId="77777777" w:rsidR="009A37BC" w:rsidRPr="00F95C03" w:rsidRDefault="009A37BC" w:rsidP="0036006E">
            <w:pPr>
              <w:spacing w:after="0"/>
              <w:rPr>
                <w:rFonts w:ascii="Cambria" w:hAnsi="Cambria"/>
                <w:sz w:val="20"/>
                <w:szCs w:val="20"/>
              </w:rPr>
            </w:pPr>
            <w:r>
              <w:rPr>
                <w:rFonts w:ascii="Cambria" w:hAnsi="Cambria"/>
                <w:sz w:val="20"/>
                <w:szCs w:val="20"/>
              </w:rPr>
              <w:t>16.7</w:t>
            </w:r>
          </w:p>
        </w:tc>
      </w:tr>
      <w:tr w:rsidR="009A37BC" w:rsidRPr="00F95C03" w14:paraId="7D2A90B5" w14:textId="77777777" w:rsidTr="0036006E">
        <w:trPr>
          <w:jc w:val="center"/>
        </w:trPr>
        <w:tc>
          <w:tcPr>
            <w:tcW w:w="3690" w:type="dxa"/>
          </w:tcPr>
          <w:p w14:paraId="2396C356" w14:textId="77777777" w:rsidR="009A37BC" w:rsidRPr="00CB0295" w:rsidRDefault="009A37BC" w:rsidP="0036006E">
            <w:pPr>
              <w:spacing w:after="0"/>
              <w:jc w:val="left"/>
              <w:rPr>
                <w:rFonts w:ascii="Cambria" w:hAnsi="Cambria"/>
                <w:sz w:val="20"/>
                <w:szCs w:val="20"/>
              </w:rPr>
            </w:pPr>
            <w:r w:rsidRPr="00CB0295">
              <w:rPr>
                <w:rFonts w:ascii="Cambria" w:hAnsi="Cambria"/>
                <w:sz w:val="20"/>
                <w:szCs w:val="20"/>
              </w:rPr>
              <w:t>Cottage Settlement</w:t>
            </w:r>
          </w:p>
        </w:tc>
        <w:tc>
          <w:tcPr>
            <w:tcW w:w="1170" w:type="dxa"/>
          </w:tcPr>
          <w:p w14:paraId="69D07522" w14:textId="77777777" w:rsidR="009A37BC" w:rsidRPr="00F95C03" w:rsidRDefault="009A37BC" w:rsidP="0036006E">
            <w:pPr>
              <w:spacing w:after="0"/>
              <w:rPr>
                <w:rFonts w:ascii="Cambria" w:hAnsi="Cambria"/>
                <w:sz w:val="20"/>
                <w:szCs w:val="20"/>
              </w:rPr>
            </w:pPr>
            <w:r>
              <w:rPr>
                <w:rFonts w:ascii="Cambria" w:hAnsi="Cambria"/>
                <w:sz w:val="20"/>
                <w:szCs w:val="20"/>
              </w:rPr>
              <w:t>11.4</w:t>
            </w:r>
          </w:p>
        </w:tc>
      </w:tr>
      <w:tr w:rsidR="009A37BC" w:rsidRPr="00F95C03" w14:paraId="42D63373" w14:textId="77777777" w:rsidTr="0036006E">
        <w:trPr>
          <w:jc w:val="center"/>
        </w:trPr>
        <w:tc>
          <w:tcPr>
            <w:tcW w:w="3690" w:type="dxa"/>
          </w:tcPr>
          <w:p w14:paraId="64FE7D84" w14:textId="77777777" w:rsidR="009A37BC" w:rsidRPr="00CB0295" w:rsidRDefault="009A37BC" w:rsidP="0036006E">
            <w:pPr>
              <w:spacing w:after="0"/>
              <w:jc w:val="left"/>
              <w:rPr>
                <w:rFonts w:ascii="Cambria" w:hAnsi="Cambria"/>
                <w:sz w:val="20"/>
                <w:szCs w:val="20"/>
              </w:rPr>
            </w:pPr>
            <w:r w:rsidRPr="00CB0295">
              <w:rPr>
                <w:rFonts w:ascii="Cambria" w:hAnsi="Cambria"/>
                <w:sz w:val="20"/>
                <w:szCs w:val="20"/>
              </w:rPr>
              <w:t>New Buildings</w:t>
            </w:r>
          </w:p>
        </w:tc>
        <w:tc>
          <w:tcPr>
            <w:tcW w:w="1170" w:type="dxa"/>
          </w:tcPr>
          <w:p w14:paraId="12222445" w14:textId="77777777" w:rsidR="009A37BC" w:rsidRPr="00F95C03" w:rsidRDefault="009A37BC" w:rsidP="0036006E">
            <w:pPr>
              <w:spacing w:after="0"/>
              <w:rPr>
                <w:rFonts w:ascii="Cambria" w:hAnsi="Cambria"/>
                <w:sz w:val="20"/>
                <w:szCs w:val="20"/>
              </w:rPr>
            </w:pPr>
            <w:r>
              <w:rPr>
                <w:rFonts w:ascii="Cambria" w:hAnsi="Cambria"/>
                <w:sz w:val="20"/>
                <w:szCs w:val="20"/>
              </w:rPr>
              <w:t>10.5</w:t>
            </w:r>
          </w:p>
        </w:tc>
      </w:tr>
      <w:tr w:rsidR="009A37BC" w:rsidRPr="00F95C03" w14:paraId="2F97E321" w14:textId="77777777" w:rsidTr="0036006E">
        <w:trPr>
          <w:trHeight w:val="305"/>
          <w:jc w:val="center"/>
        </w:trPr>
        <w:tc>
          <w:tcPr>
            <w:tcW w:w="3690" w:type="dxa"/>
          </w:tcPr>
          <w:p w14:paraId="1E4E56A7" w14:textId="4F9108F7" w:rsidR="00CB0295" w:rsidRPr="0036006E" w:rsidRDefault="00CB0295" w:rsidP="009A37BC">
            <w:pPr>
              <w:spacing w:after="0"/>
              <w:jc w:val="left"/>
              <w:rPr>
                <w:rFonts w:ascii="Cambria" w:hAnsi="Cambria"/>
                <w:sz w:val="20"/>
                <w:szCs w:val="20"/>
              </w:rPr>
            </w:pPr>
            <w:r w:rsidRPr="00CB0295">
              <w:rPr>
                <w:rFonts w:ascii="Cambria" w:hAnsi="Cambria"/>
                <w:sz w:val="20"/>
                <w:szCs w:val="20"/>
              </w:rPr>
              <w:t>Private Housing</w:t>
            </w:r>
          </w:p>
          <w:p w14:paraId="2E808816" w14:textId="3E5F0CAD" w:rsidR="009A37BC" w:rsidRPr="00CB0295" w:rsidRDefault="009A37BC" w:rsidP="009A37BC">
            <w:pPr>
              <w:spacing w:after="0"/>
              <w:jc w:val="left"/>
              <w:rPr>
                <w:rFonts w:ascii="Cambria" w:hAnsi="Cambria"/>
                <w:sz w:val="20"/>
                <w:szCs w:val="20"/>
              </w:rPr>
            </w:pPr>
            <w:r w:rsidRPr="00CB0295">
              <w:rPr>
                <w:rFonts w:ascii="Cambria" w:hAnsi="Cambria"/>
                <w:sz w:val="20"/>
                <w:szCs w:val="20"/>
              </w:rPr>
              <w:t xml:space="preserve">of which: </w:t>
            </w:r>
          </w:p>
        </w:tc>
        <w:tc>
          <w:tcPr>
            <w:tcW w:w="1170" w:type="dxa"/>
          </w:tcPr>
          <w:p w14:paraId="13F18E82" w14:textId="77777777" w:rsidR="009A37BC" w:rsidRPr="00F95C03" w:rsidRDefault="009A37BC" w:rsidP="0036006E">
            <w:pPr>
              <w:spacing w:after="0"/>
              <w:rPr>
                <w:rFonts w:ascii="Cambria" w:hAnsi="Cambria"/>
                <w:sz w:val="20"/>
                <w:szCs w:val="20"/>
              </w:rPr>
            </w:pPr>
            <w:r>
              <w:rPr>
                <w:rFonts w:ascii="Cambria" w:hAnsi="Cambria"/>
                <w:sz w:val="20"/>
                <w:szCs w:val="20"/>
              </w:rPr>
              <w:t>39.3</w:t>
            </w:r>
          </w:p>
          <w:p w14:paraId="34F4D4E3" w14:textId="77777777" w:rsidR="009A37BC" w:rsidRPr="00F95C03" w:rsidRDefault="009A37BC" w:rsidP="0036006E">
            <w:pPr>
              <w:spacing w:after="0"/>
              <w:rPr>
                <w:rFonts w:ascii="Cambria" w:hAnsi="Cambria"/>
                <w:sz w:val="20"/>
                <w:szCs w:val="20"/>
              </w:rPr>
            </w:pPr>
            <w:r>
              <w:rPr>
                <w:rFonts w:ascii="Cambria" w:hAnsi="Cambria"/>
                <w:sz w:val="20"/>
                <w:szCs w:val="20"/>
              </w:rPr>
              <w:t xml:space="preserve"> </w:t>
            </w:r>
          </w:p>
        </w:tc>
      </w:tr>
      <w:tr w:rsidR="009A37BC" w:rsidRPr="00F95C03" w14:paraId="3F83095B" w14:textId="77777777" w:rsidTr="0036006E">
        <w:trPr>
          <w:trHeight w:val="260"/>
          <w:jc w:val="center"/>
        </w:trPr>
        <w:tc>
          <w:tcPr>
            <w:tcW w:w="3690" w:type="dxa"/>
          </w:tcPr>
          <w:p w14:paraId="70F13A95" w14:textId="77777777" w:rsidR="009A37BC" w:rsidRPr="00CB0295" w:rsidRDefault="009A37BC" w:rsidP="009A37BC">
            <w:pPr>
              <w:pStyle w:val="ListParagraph"/>
              <w:numPr>
                <w:ilvl w:val="0"/>
                <w:numId w:val="35"/>
              </w:numPr>
              <w:spacing w:after="0"/>
              <w:jc w:val="left"/>
              <w:rPr>
                <w:rFonts w:ascii="Cambria" w:hAnsi="Cambria"/>
                <w:sz w:val="20"/>
                <w:szCs w:val="20"/>
              </w:rPr>
            </w:pPr>
            <w:r w:rsidRPr="00CB0295">
              <w:rPr>
                <w:rFonts w:ascii="Cambria" w:hAnsi="Cambria"/>
                <w:sz w:val="20"/>
                <w:szCs w:val="20"/>
              </w:rPr>
              <w:t>Owned</w:t>
            </w:r>
          </w:p>
        </w:tc>
        <w:tc>
          <w:tcPr>
            <w:tcW w:w="1170" w:type="dxa"/>
          </w:tcPr>
          <w:p w14:paraId="71615EE9" w14:textId="77777777" w:rsidR="009A37BC" w:rsidRDefault="009A37BC" w:rsidP="0036006E">
            <w:pPr>
              <w:spacing w:after="0"/>
              <w:jc w:val="left"/>
              <w:rPr>
                <w:rFonts w:ascii="Cambria" w:hAnsi="Cambria"/>
                <w:sz w:val="20"/>
                <w:szCs w:val="20"/>
              </w:rPr>
            </w:pPr>
            <w:r>
              <w:rPr>
                <w:rFonts w:ascii="Cambria" w:hAnsi="Cambria"/>
                <w:sz w:val="20"/>
                <w:szCs w:val="20"/>
              </w:rPr>
              <w:t>19.9</w:t>
            </w:r>
          </w:p>
        </w:tc>
      </w:tr>
      <w:tr w:rsidR="009A37BC" w:rsidRPr="00F95C03" w14:paraId="2C382D74" w14:textId="77777777" w:rsidTr="0036006E">
        <w:trPr>
          <w:trHeight w:val="260"/>
          <w:jc w:val="center"/>
        </w:trPr>
        <w:tc>
          <w:tcPr>
            <w:tcW w:w="3690" w:type="dxa"/>
          </w:tcPr>
          <w:p w14:paraId="210AB383" w14:textId="77777777" w:rsidR="009A37BC" w:rsidRPr="00CB0295" w:rsidRDefault="009A37BC" w:rsidP="009A37BC">
            <w:pPr>
              <w:pStyle w:val="ListParagraph"/>
              <w:numPr>
                <w:ilvl w:val="0"/>
                <w:numId w:val="35"/>
              </w:numPr>
              <w:spacing w:after="0"/>
              <w:jc w:val="left"/>
              <w:rPr>
                <w:rFonts w:ascii="Cambria" w:hAnsi="Cambria"/>
                <w:sz w:val="20"/>
                <w:szCs w:val="20"/>
              </w:rPr>
            </w:pPr>
            <w:r w:rsidRPr="00CB0295">
              <w:rPr>
                <w:rFonts w:ascii="Cambria" w:hAnsi="Cambria"/>
                <w:sz w:val="20"/>
                <w:szCs w:val="20"/>
              </w:rPr>
              <w:t>Rented</w:t>
            </w:r>
          </w:p>
        </w:tc>
        <w:tc>
          <w:tcPr>
            <w:tcW w:w="1170" w:type="dxa"/>
          </w:tcPr>
          <w:p w14:paraId="32957F0F" w14:textId="77777777" w:rsidR="009A37BC" w:rsidRDefault="009A37BC" w:rsidP="0036006E">
            <w:pPr>
              <w:spacing w:after="0"/>
              <w:jc w:val="left"/>
              <w:rPr>
                <w:rFonts w:ascii="Cambria" w:hAnsi="Cambria"/>
                <w:sz w:val="20"/>
                <w:szCs w:val="20"/>
              </w:rPr>
            </w:pPr>
            <w:r>
              <w:rPr>
                <w:rFonts w:ascii="Cambria" w:hAnsi="Cambria"/>
                <w:sz w:val="20"/>
                <w:szCs w:val="20"/>
              </w:rPr>
              <w:t>4.4</w:t>
            </w:r>
          </w:p>
        </w:tc>
      </w:tr>
      <w:tr w:rsidR="009A37BC" w:rsidRPr="00F95C03" w14:paraId="3E5830E7" w14:textId="77777777" w:rsidTr="0036006E">
        <w:trPr>
          <w:trHeight w:val="260"/>
          <w:jc w:val="center"/>
        </w:trPr>
        <w:tc>
          <w:tcPr>
            <w:tcW w:w="3690" w:type="dxa"/>
          </w:tcPr>
          <w:p w14:paraId="02348E2A" w14:textId="77777777" w:rsidR="009A37BC" w:rsidRPr="00CB0295" w:rsidRDefault="009A37BC" w:rsidP="009A37BC">
            <w:pPr>
              <w:pStyle w:val="ListParagraph"/>
              <w:numPr>
                <w:ilvl w:val="0"/>
                <w:numId w:val="35"/>
              </w:numPr>
              <w:spacing w:after="0"/>
              <w:jc w:val="left"/>
              <w:rPr>
                <w:rFonts w:ascii="Cambria" w:hAnsi="Cambria"/>
                <w:sz w:val="20"/>
                <w:szCs w:val="20"/>
              </w:rPr>
            </w:pPr>
            <w:r w:rsidRPr="00CB0295">
              <w:rPr>
                <w:rFonts w:ascii="Cambria" w:hAnsi="Cambria"/>
                <w:sz w:val="20"/>
                <w:szCs w:val="20"/>
              </w:rPr>
              <w:t>With relatives</w:t>
            </w:r>
          </w:p>
        </w:tc>
        <w:tc>
          <w:tcPr>
            <w:tcW w:w="1170" w:type="dxa"/>
          </w:tcPr>
          <w:p w14:paraId="353E9EA0" w14:textId="77777777" w:rsidR="009A37BC" w:rsidRDefault="009A37BC" w:rsidP="0036006E">
            <w:pPr>
              <w:spacing w:after="0"/>
              <w:jc w:val="left"/>
              <w:rPr>
                <w:rFonts w:ascii="Cambria" w:hAnsi="Cambria"/>
                <w:sz w:val="20"/>
                <w:szCs w:val="20"/>
              </w:rPr>
            </w:pPr>
            <w:r>
              <w:rPr>
                <w:rFonts w:ascii="Cambria" w:hAnsi="Cambria"/>
                <w:sz w:val="20"/>
                <w:szCs w:val="20"/>
              </w:rPr>
              <w:t>9.7</w:t>
            </w:r>
          </w:p>
        </w:tc>
      </w:tr>
      <w:tr w:rsidR="009A37BC" w:rsidRPr="00F95C03" w14:paraId="05236954" w14:textId="77777777" w:rsidTr="0036006E">
        <w:trPr>
          <w:trHeight w:val="260"/>
          <w:jc w:val="center"/>
        </w:trPr>
        <w:tc>
          <w:tcPr>
            <w:tcW w:w="3690" w:type="dxa"/>
          </w:tcPr>
          <w:p w14:paraId="5858D10D" w14:textId="77777777" w:rsidR="009A37BC" w:rsidRPr="00CB0295" w:rsidRDefault="009A37BC" w:rsidP="009A37BC">
            <w:pPr>
              <w:pStyle w:val="ListParagraph"/>
              <w:numPr>
                <w:ilvl w:val="0"/>
                <w:numId w:val="35"/>
              </w:numPr>
              <w:spacing w:after="0"/>
              <w:jc w:val="left"/>
              <w:rPr>
                <w:rFonts w:ascii="Cambria" w:hAnsi="Cambria"/>
                <w:sz w:val="20"/>
                <w:szCs w:val="20"/>
              </w:rPr>
            </w:pPr>
            <w:r w:rsidRPr="00CB0295">
              <w:rPr>
                <w:rFonts w:ascii="Cambria" w:hAnsi="Cambria"/>
                <w:sz w:val="20"/>
                <w:szCs w:val="20"/>
              </w:rPr>
              <w:t>Squatting</w:t>
            </w:r>
          </w:p>
        </w:tc>
        <w:tc>
          <w:tcPr>
            <w:tcW w:w="1170" w:type="dxa"/>
          </w:tcPr>
          <w:p w14:paraId="6258D655" w14:textId="77777777" w:rsidR="009A37BC" w:rsidRDefault="009A37BC" w:rsidP="0036006E">
            <w:pPr>
              <w:spacing w:after="0"/>
              <w:jc w:val="left"/>
              <w:rPr>
                <w:rFonts w:ascii="Cambria" w:hAnsi="Cambria"/>
                <w:sz w:val="20"/>
                <w:szCs w:val="20"/>
              </w:rPr>
            </w:pPr>
            <w:r>
              <w:rPr>
                <w:rFonts w:ascii="Cambria" w:hAnsi="Cambria"/>
                <w:sz w:val="20"/>
                <w:szCs w:val="20"/>
              </w:rPr>
              <w:t>2.8</w:t>
            </w:r>
          </w:p>
        </w:tc>
      </w:tr>
      <w:tr w:rsidR="009A37BC" w:rsidRPr="00F95C03" w14:paraId="08AFCAF5" w14:textId="77777777" w:rsidTr="0036006E">
        <w:trPr>
          <w:trHeight w:val="260"/>
          <w:jc w:val="center"/>
        </w:trPr>
        <w:tc>
          <w:tcPr>
            <w:tcW w:w="3690" w:type="dxa"/>
          </w:tcPr>
          <w:p w14:paraId="3A8C64F4" w14:textId="77777777" w:rsidR="009A37BC" w:rsidRPr="00CB0295" w:rsidRDefault="009A37BC" w:rsidP="009A37BC">
            <w:pPr>
              <w:pStyle w:val="ListParagraph"/>
              <w:numPr>
                <w:ilvl w:val="0"/>
                <w:numId w:val="35"/>
              </w:numPr>
              <w:spacing w:after="0"/>
              <w:jc w:val="left"/>
              <w:rPr>
                <w:rFonts w:ascii="Cambria" w:hAnsi="Cambria"/>
                <w:sz w:val="20"/>
                <w:szCs w:val="20"/>
              </w:rPr>
            </w:pPr>
            <w:r w:rsidRPr="00CB0295">
              <w:rPr>
                <w:rFonts w:ascii="Cambria" w:hAnsi="Cambria"/>
                <w:sz w:val="20"/>
                <w:szCs w:val="20"/>
              </w:rPr>
              <w:t>Other</w:t>
            </w:r>
          </w:p>
        </w:tc>
        <w:tc>
          <w:tcPr>
            <w:tcW w:w="1170" w:type="dxa"/>
          </w:tcPr>
          <w:p w14:paraId="3709A947" w14:textId="77777777" w:rsidR="009A37BC" w:rsidRDefault="009A37BC" w:rsidP="0036006E">
            <w:pPr>
              <w:spacing w:after="0"/>
              <w:jc w:val="left"/>
              <w:rPr>
                <w:rFonts w:ascii="Cambria" w:hAnsi="Cambria"/>
                <w:sz w:val="20"/>
                <w:szCs w:val="20"/>
              </w:rPr>
            </w:pPr>
            <w:r>
              <w:rPr>
                <w:rFonts w:ascii="Cambria" w:hAnsi="Cambria"/>
                <w:sz w:val="20"/>
                <w:szCs w:val="20"/>
              </w:rPr>
              <w:t>2.5</w:t>
            </w:r>
          </w:p>
        </w:tc>
      </w:tr>
      <w:tr w:rsidR="009A37BC" w:rsidRPr="00F95C03" w14:paraId="3BFE38B1" w14:textId="77777777" w:rsidTr="0036006E">
        <w:trPr>
          <w:jc w:val="center"/>
        </w:trPr>
        <w:tc>
          <w:tcPr>
            <w:tcW w:w="4860" w:type="dxa"/>
            <w:gridSpan w:val="2"/>
          </w:tcPr>
          <w:p w14:paraId="5B09DB64" w14:textId="77777777" w:rsidR="009A37BC" w:rsidRDefault="009A37BC" w:rsidP="00BD5D73">
            <w:pPr>
              <w:jc w:val="left"/>
              <w:rPr>
                <w:rFonts w:ascii="Cambria" w:hAnsi="Cambria"/>
                <w:sz w:val="18"/>
                <w:szCs w:val="18"/>
              </w:rPr>
            </w:pPr>
          </w:p>
          <w:p w14:paraId="2432629F" w14:textId="77777777" w:rsidR="009A37BC" w:rsidRPr="00F95C03" w:rsidRDefault="009A37BC" w:rsidP="00BD5D73">
            <w:pPr>
              <w:jc w:val="left"/>
              <w:rPr>
                <w:rFonts w:ascii="Cambria" w:hAnsi="Cambria"/>
                <w:sz w:val="18"/>
                <w:szCs w:val="18"/>
              </w:rPr>
            </w:pPr>
            <w:r w:rsidRPr="00F95C03">
              <w:rPr>
                <w:rFonts w:ascii="Cambria" w:hAnsi="Cambria"/>
                <w:sz w:val="18"/>
                <w:szCs w:val="18"/>
              </w:rPr>
              <w:t xml:space="preserve">Source: UNHCR (2015) </w:t>
            </w:r>
          </w:p>
        </w:tc>
      </w:tr>
    </w:tbl>
    <w:p w14:paraId="36E1B4E8" w14:textId="77777777" w:rsidR="00232273" w:rsidRPr="00CF52CF" w:rsidRDefault="00232273" w:rsidP="0036006E">
      <w:pPr>
        <w:tabs>
          <w:tab w:val="left" w:pos="360"/>
        </w:tabs>
        <w:spacing w:after="0" w:line="276" w:lineRule="auto"/>
        <w:rPr>
          <w:rFonts w:eastAsia="Times New Roman" w:cs="Times New Roman"/>
          <w:b/>
          <w:sz w:val="24"/>
          <w:szCs w:val="24"/>
        </w:rPr>
      </w:pPr>
    </w:p>
    <w:p w14:paraId="24EE3783" w14:textId="597FE24D" w:rsidR="00BE47BD" w:rsidRPr="007E03A2" w:rsidRDefault="000118C4" w:rsidP="00D46076">
      <w:pPr>
        <w:numPr>
          <w:ilvl w:val="0"/>
          <w:numId w:val="1"/>
        </w:numPr>
        <w:tabs>
          <w:tab w:val="left" w:pos="360"/>
        </w:tabs>
        <w:spacing w:after="200" w:line="276" w:lineRule="auto"/>
        <w:rPr>
          <w:b/>
          <w:szCs w:val="24"/>
        </w:rPr>
      </w:pPr>
      <w:r w:rsidRPr="007E03A2">
        <w:rPr>
          <w:rFonts w:eastAsiaTheme="minorEastAsia" w:cs="Times New Roman"/>
          <w:b/>
        </w:rPr>
        <w:t>Following the adoption of the 2009 Action Plan, many IDPs were resettled away from the capital, moving them out of collective centers that the government intended to remodel for different uses</w:t>
      </w:r>
      <w:r w:rsidR="00DF7A85" w:rsidRPr="007E03A2">
        <w:rPr>
          <w:rFonts w:eastAsiaTheme="minorEastAsia" w:cs="Times New Roman"/>
        </w:rPr>
        <w:t>.</w:t>
      </w:r>
      <w:r w:rsidR="00DF7A85" w:rsidRPr="00CA7F4F">
        <w:rPr>
          <w:rFonts w:cs="Times New Roman"/>
          <w:vertAlign w:val="superscript"/>
        </w:rPr>
        <w:footnoteReference w:id="66"/>
      </w:r>
      <w:r w:rsidR="00DF7A85" w:rsidRPr="007E03A2">
        <w:rPr>
          <w:rFonts w:eastAsiaTheme="minorEastAsia" w:cs="Times New Roman"/>
        </w:rPr>
        <w:t xml:space="preserve"> One such example is the August 2010 eviction of IDPs who occupied government buildings in Tbilisi, </w:t>
      </w:r>
      <w:r w:rsidRPr="007E03A2">
        <w:rPr>
          <w:rFonts w:eastAsiaTheme="minorEastAsia" w:cs="Times New Roman"/>
        </w:rPr>
        <w:t>resettling them</w:t>
      </w:r>
      <w:r w:rsidR="00DF7A85" w:rsidRPr="007E03A2">
        <w:rPr>
          <w:rFonts w:eastAsiaTheme="minorEastAsia" w:cs="Times New Roman"/>
        </w:rPr>
        <w:t xml:space="preserve"> in areas far away from the capital.</w:t>
      </w:r>
      <w:r w:rsidR="00DF7A85" w:rsidRPr="00CA7F4F">
        <w:rPr>
          <w:rFonts w:cs="Times New Roman"/>
          <w:vertAlign w:val="superscript"/>
        </w:rPr>
        <w:footnoteReference w:id="67"/>
      </w:r>
      <w:r w:rsidR="00DF7A85" w:rsidRPr="007E03A2">
        <w:rPr>
          <w:rFonts w:eastAsiaTheme="minorEastAsia" w:cs="Times New Roman"/>
        </w:rPr>
        <w:t xml:space="preserve"> Evictees were effectively cut off from their social networks, as well as sources of income, healthcare, and education. In response, some IDPs re-emigrated back in search for employment and sustainable livelihoods.</w:t>
      </w:r>
      <w:r w:rsidR="00DF7A85" w:rsidRPr="00CA7F4F">
        <w:rPr>
          <w:rFonts w:cs="Times New Roman"/>
          <w:vertAlign w:val="superscript"/>
        </w:rPr>
        <w:footnoteReference w:id="68"/>
      </w:r>
      <w:r w:rsidR="007E03A2" w:rsidRPr="007E03A2">
        <w:rPr>
          <w:rFonts w:eastAsiaTheme="minorEastAsia" w:cs="Times New Roman"/>
        </w:rPr>
        <w:t xml:space="preserve"> This </w:t>
      </w:r>
      <w:r w:rsidR="00DF7A85" w:rsidRPr="007E03A2">
        <w:rPr>
          <w:rFonts w:eastAsiaTheme="minorEastAsia" w:cs="Times New Roman"/>
        </w:rPr>
        <w:t>policy of resettlement has since been reversed by the government.</w:t>
      </w:r>
      <w:r w:rsidR="007E03A2" w:rsidRPr="007E03A2">
        <w:rPr>
          <w:rFonts w:eastAsiaTheme="minorEastAsia" w:cs="Times New Roman"/>
        </w:rPr>
        <w:t xml:space="preserve"> Since March 2014 the amended Law on IDPs includes full protection from forced evictions in premises under IDPs’ legal ownership. Still, challenges remain for IDPs who continue to reside in public collective centers. </w:t>
      </w:r>
    </w:p>
    <w:p w14:paraId="16C893B8" w14:textId="1E0A5CE4" w:rsidR="006712A0" w:rsidRPr="0036006E" w:rsidRDefault="007E03A2" w:rsidP="0036006E">
      <w:pPr>
        <w:numPr>
          <w:ilvl w:val="0"/>
          <w:numId w:val="1"/>
        </w:numPr>
        <w:tabs>
          <w:tab w:val="left" w:pos="360"/>
        </w:tabs>
        <w:spacing w:after="200" w:line="276" w:lineRule="auto"/>
        <w:rPr>
          <w:b/>
          <w:szCs w:val="24"/>
        </w:rPr>
      </w:pPr>
      <w:r>
        <w:rPr>
          <w:rFonts w:eastAsiaTheme="minorEastAsia" w:cs="Times New Roman"/>
          <w:b/>
        </w:rPr>
        <w:t xml:space="preserve">Successfully rolling out housing assistance for all IDPs in accordance with the Government’s Action Plan, would be an essential step in any reform on IDP assistance.  </w:t>
      </w:r>
      <w:r w:rsidR="00A958B0" w:rsidRPr="00A958B0">
        <w:rPr>
          <w:rFonts w:eastAsiaTheme="minorEastAsia" w:cs="Times New Roman"/>
        </w:rPr>
        <w:t>Disc</w:t>
      </w:r>
      <w:r w:rsidR="00A958B0">
        <w:rPr>
          <w:rFonts w:eastAsiaTheme="minorEastAsia" w:cs="Times New Roman"/>
        </w:rPr>
        <w:t>ussions with IDPs indicate that</w:t>
      </w:r>
      <w:r w:rsidRPr="00A958B0">
        <w:rPr>
          <w:rFonts w:eastAsiaTheme="minorEastAsia" w:cs="Times New Roman"/>
        </w:rPr>
        <w:t xml:space="preserve"> </w:t>
      </w:r>
      <w:r w:rsidR="00A958B0">
        <w:rPr>
          <w:rFonts w:eastAsiaTheme="minorEastAsia" w:cs="Times New Roman"/>
        </w:rPr>
        <w:t xml:space="preserve">better housing conditions, along with livelihoods and jobs, </w:t>
      </w:r>
      <w:r w:rsidR="0042009C">
        <w:rPr>
          <w:rFonts w:eastAsiaTheme="minorEastAsia" w:cs="Times New Roman"/>
        </w:rPr>
        <w:t>are</w:t>
      </w:r>
      <w:r w:rsidR="00A958B0">
        <w:rPr>
          <w:rFonts w:eastAsiaTheme="minorEastAsia" w:cs="Times New Roman"/>
        </w:rPr>
        <w:t xml:space="preserve"> top </w:t>
      </w:r>
      <w:r w:rsidR="0042009C">
        <w:rPr>
          <w:rFonts w:eastAsiaTheme="minorEastAsia" w:cs="Times New Roman"/>
        </w:rPr>
        <w:t xml:space="preserve">priorities </w:t>
      </w:r>
      <w:r w:rsidR="00A958B0">
        <w:rPr>
          <w:rFonts w:eastAsiaTheme="minorEastAsia" w:cs="Times New Roman"/>
        </w:rPr>
        <w:t xml:space="preserve">as far as Government’s assistance is concerned. Setting up a strong monitoring and feedback mechanism to track success of the housing assistance policy is equally important. </w:t>
      </w:r>
    </w:p>
    <w:p w14:paraId="0DF85E76" w14:textId="77777777" w:rsidR="00070B4E" w:rsidRDefault="00070B4E" w:rsidP="00C43C1E">
      <w:pPr>
        <w:spacing w:after="0" w:line="276" w:lineRule="auto"/>
        <w:rPr>
          <w:b/>
          <w:i/>
          <w:szCs w:val="24"/>
        </w:rPr>
      </w:pPr>
      <w:r>
        <w:rPr>
          <w:b/>
          <w:i/>
          <w:szCs w:val="24"/>
        </w:rPr>
        <w:t>Health</w:t>
      </w:r>
    </w:p>
    <w:p w14:paraId="0C4C80B4" w14:textId="77777777" w:rsidR="00104A8C" w:rsidRDefault="00104A8C" w:rsidP="00C43C1E">
      <w:pPr>
        <w:pStyle w:val="ListParagraph"/>
        <w:spacing w:after="0" w:line="276" w:lineRule="auto"/>
        <w:ind w:left="360"/>
        <w:rPr>
          <w:b/>
          <w:szCs w:val="24"/>
        </w:rPr>
      </w:pPr>
    </w:p>
    <w:p w14:paraId="6DF236D4" w14:textId="152B6921" w:rsidR="00C34B82" w:rsidRDefault="00232273" w:rsidP="00FA4F8D">
      <w:pPr>
        <w:pStyle w:val="ListParagraph"/>
        <w:numPr>
          <w:ilvl w:val="0"/>
          <w:numId w:val="1"/>
        </w:numPr>
        <w:spacing w:after="0" w:line="276" w:lineRule="auto"/>
        <w:rPr>
          <w:szCs w:val="24"/>
        </w:rPr>
      </w:pPr>
      <w:r w:rsidRPr="00CF06E2">
        <w:rPr>
          <w:b/>
          <w:szCs w:val="24"/>
        </w:rPr>
        <w:t>Displacement is known to exacerbate illness and to create new forms of infirmity.</w:t>
      </w:r>
      <w:r w:rsidRPr="00CF06E2">
        <w:rPr>
          <w:szCs w:val="24"/>
        </w:rPr>
        <w:t xml:space="preserve"> As recent arrivals to the local communities, coupled with residence in physically segregated collective centers, IDPs are at risk of mental health problems resulting from displacement, isolation, and exclusion from broader social networks. Psychosocial impacts of displacement include residual feelings of loss, depression, </w:t>
      </w:r>
      <w:r w:rsidRPr="00CF06E2">
        <w:rPr>
          <w:szCs w:val="24"/>
        </w:rPr>
        <w:lastRenderedPageBreak/>
        <w:t>alcoholism, domestic violence, and listlessness.</w:t>
      </w:r>
      <w:r w:rsidRPr="00CF52CF">
        <w:rPr>
          <w:rStyle w:val="FootnoteReference"/>
          <w:szCs w:val="24"/>
        </w:rPr>
        <w:footnoteReference w:id="69"/>
      </w:r>
      <w:r w:rsidRPr="00CF06E2">
        <w:rPr>
          <w:szCs w:val="24"/>
        </w:rPr>
        <w:t xml:space="preserve"> This is particularly so among the long-term displaced.</w:t>
      </w:r>
      <w:r w:rsidRPr="00CF52CF">
        <w:rPr>
          <w:rStyle w:val="FootnoteReference"/>
          <w:szCs w:val="24"/>
        </w:rPr>
        <w:footnoteReference w:id="70"/>
      </w:r>
      <w:r w:rsidR="00104A8C">
        <w:rPr>
          <w:szCs w:val="24"/>
        </w:rPr>
        <w:t xml:space="preserve"> This is also reflected on their own perceptions of their health status, as seen in </w:t>
      </w:r>
      <w:r w:rsidR="00104A8C" w:rsidRPr="003F6E35">
        <w:rPr>
          <w:szCs w:val="24"/>
        </w:rPr>
        <w:t xml:space="preserve">Table </w:t>
      </w:r>
      <w:r w:rsidR="00A958B0">
        <w:rPr>
          <w:szCs w:val="24"/>
        </w:rPr>
        <w:t>9</w:t>
      </w:r>
      <w:r w:rsidR="00104A8C">
        <w:rPr>
          <w:szCs w:val="24"/>
        </w:rPr>
        <w:t>. On average, IDPs</w:t>
      </w:r>
      <w:r w:rsidR="00F579E5">
        <w:rPr>
          <w:szCs w:val="24"/>
        </w:rPr>
        <w:t xml:space="preserve"> believe their health to be wors</w:t>
      </w:r>
      <w:r w:rsidR="00845427">
        <w:rPr>
          <w:szCs w:val="24"/>
        </w:rPr>
        <w:t>e</w:t>
      </w:r>
      <w:r w:rsidR="00F579E5">
        <w:rPr>
          <w:szCs w:val="24"/>
        </w:rPr>
        <w:t xml:space="preserve"> than </w:t>
      </w:r>
      <w:r w:rsidR="00845427">
        <w:rPr>
          <w:szCs w:val="24"/>
        </w:rPr>
        <w:t>the perception of</w:t>
      </w:r>
      <w:r w:rsidR="00F579E5">
        <w:rPr>
          <w:szCs w:val="24"/>
        </w:rPr>
        <w:t xml:space="preserve"> non</w:t>
      </w:r>
      <w:r w:rsidR="00845427">
        <w:rPr>
          <w:szCs w:val="24"/>
        </w:rPr>
        <w:t>-</w:t>
      </w:r>
      <w:r w:rsidR="00F579E5">
        <w:rPr>
          <w:szCs w:val="24"/>
        </w:rPr>
        <w:t>IDPs</w:t>
      </w:r>
      <w:r w:rsidR="00845427">
        <w:rPr>
          <w:szCs w:val="24"/>
        </w:rPr>
        <w:t xml:space="preserve"> on their own health status</w:t>
      </w:r>
      <w:r w:rsidR="00F579E5">
        <w:rPr>
          <w:szCs w:val="24"/>
        </w:rPr>
        <w:t xml:space="preserve">. </w:t>
      </w:r>
      <w:r w:rsidR="00104A8C">
        <w:rPr>
          <w:szCs w:val="24"/>
        </w:rPr>
        <w:t xml:space="preserve">  </w:t>
      </w:r>
    </w:p>
    <w:p w14:paraId="45616E5A" w14:textId="77777777" w:rsidR="00F60EB6" w:rsidRDefault="00F60EB6" w:rsidP="00FA4F8D">
      <w:pPr>
        <w:spacing w:after="0" w:line="276" w:lineRule="auto"/>
        <w:rPr>
          <w:szCs w:val="24"/>
        </w:rPr>
      </w:pPr>
    </w:p>
    <w:p w14:paraId="0E50B0B7" w14:textId="60358DA8" w:rsidR="00C34B82" w:rsidRPr="0036006E" w:rsidRDefault="00104A8C" w:rsidP="00FA4F8D">
      <w:pPr>
        <w:spacing w:after="0" w:line="276" w:lineRule="auto"/>
        <w:rPr>
          <w:i/>
          <w:szCs w:val="24"/>
        </w:rPr>
      </w:pPr>
      <w:r w:rsidRPr="0036006E">
        <w:rPr>
          <w:i/>
          <w:szCs w:val="24"/>
        </w:rPr>
        <w:t xml:space="preserve">Table </w:t>
      </w:r>
      <w:r w:rsidR="00A958B0" w:rsidRPr="0036006E">
        <w:rPr>
          <w:i/>
          <w:szCs w:val="24"/>
        </w:rPr>
        <w:t>9</w:t>
      </w:r>
      <w:r w:rsidRPr="0036006E">
        <w:rPr>
          <w:i/>
          <w:szCs w:val="24"/>
        </w:rPr>
        <w:t xml:space="preserve">: Self-perception of health </w:t>
      </w:r>
      <w:r w:rsidR="00845427" w:rsidRPr="0036006E">
        <w:rPr>
          <w:i/>
          <w:szCs w:val="24"/>
        </w:rPr>
        <w:t>s</w:t>
      </w:r>
      <w:r w:rsidRPr="0036006E">
        <w:rPr>
          <w:i/>
          <w:szCs w:val="24"/>
        </w:rPr>
        <w:t>tatus</w:t>
      </w:r>
    </w:p>
    <w:p w14:paraId="489816C7" w14:textId="77777777" w:rsidR="00C34B82" w:rsidRDefault="005C784E" w:rsidP="00FA4F8D">
      <w:pPr>
        <w:spacing w:after="0" w:line="276" w:lineRule="auto"/>
        <w:rPr>
          <w:szCs w:val="24"/>
        </w:rPr>
      </w:pPr>
      <w:r>
        <w:rPr>
          <w:noProof/>
        </w:rPr>
        <w:drawing>
          <wp:inline distT="0" distB="0" distL="0" distR="0" wp14:anchorId="478C5067" wp14:editId="6CF5622C">
            <wp:extent cx="4591050" cy="17621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91050" cy="1762125"/>
                    </a:xfrm>
                    <a:prstGeom prst="rect">
                      <a:avLst/>
                    </a:prstGeom>
                    <a:noFill/>
                    <a:ln>
                      <a:noFill/>
                    </a:ln>
                  </pic:spPr>
                </pic:pic>
              </a:graphicData>
            </a:graphic>
          </wp:inline>
        </w:drawing>
      </w:r>
    </w:p>
    <w:p w14:paraId="0DAE9E47" w14:textId="77777777" w:rsidR="00EC0B5A" w:rsidRDefault="00EC0B5A" w:rsidP="00C43C1E">
      <w:pPr>
        <w:pStyle w:val="ListParagraph"/>
        <w:spacing w:after="0" w:line="276" w:lineRule="auto"/>
        <w:ind w:left="360"/>
        <w:rPr>
          <w:szCs w:val="24"/>
        </w:rPr>
      </w:pPr>
    </w:p>
    <w:p w14:paraId="7EFAC881" w14:textId="0E9A5014" w:rsidR="005100B3" w:rsidRPr="009C2B9F" w:rsidRDefault="00070B4E" w:rsidP="009C2B9F">
      <w:pPr>
        <w:pStyle w:val="ListParagraph"/>
        <w:numPr>
          <w:ilvl w:val="0"/>
          <w:numId w:val="1"/>
        </w:numPr>
        <w:spacing w:after="0" w:line="276" w:lineRule="auto"/>
        <w:rPr>
          <w:rFonts w:cs="Times New Roman"/>
          <w:b/>
        </w:rPr>
      </w:pPr>
      <w:r w:rsidRPr="003D304C">
        <w:rPr>
          <w:rFonts w:cs="Times New Roman"/>
          <w:b/>
        </w:rPr>
        <w:t xml:space="preserve">With the introduction of universal health insurance in 2009, IDPs, like other Georgian citizens, can sign up for health insurance that is </w:t>
      </w:r>
      <w:r w:rsidR="00042AA7">
        <w:rPr>
          <w:rFonts w:cs="Times New Roman"/>
          <w:b/>
        </w:rPr>
        <w:t>70</w:t>
      </w:r>
      <w:r w:rsidRPr="003D304C">
        <w:rPr>
          <w:rFonts w:cs="Times New Roman"/>
          <w:b/>
        </w:rPr>
        <w:t>% co-financed by the state.</w:t>
      </w:r>
      <w:r w:rsidRPr="003D304C">
        <w:rPr>
          <w:rStyle w:val="FootnoteReference"/>
          <w:rFonts w:cs="Times New Roman"/>
          <w:b/>
        </w:rPr>
        <w:footnoteReference w:id="71"/>
      </w:r>
      <w:r w:rsidRPr="003D304C">
        <w:rPr>
          <w:rFonts w:cs="Times New Roman"/>
        </w:rPr>
        <w:t xml:space="preserve"> While the insurance fully covers accident, out-patient treatment, primary treatment, and 50% of emergency inpatient treatment, it does not cover medicine purchases.</w:t>
      </w:r>
      <w:r w:rsidRPr="003D304C">
        <w:rPr>
          <w:rStyle w:val="FootnoteReference"/>
          <w:rFonts w:cs="Times New Roman"/>
        </w:rPr>
        <w:footnoteReference w:id="72"/>
      </w:r>
      <w:r w:rsidRPr="003D304C">
        <w:rPr>
          <w:rFonts w:cs="Times New Roman"/>
        </w:rPr>
        <w:t xml:space="preserve"> Eligible </w:t>
      </w:r>
      <w:r w:rsidRPr="003D304C">
        <w:rPr>
          <w:rFonts w:cs="Times"/>
        </w:rPr>
        <w:t xml:space="preserve">IDPs can in addition enroll in the health insurance state program for populations below the poverty line. However, poor and vulnerable IDPs that do not meet the poverty criteria are at risk of exclusion from </w:t>
      </w:r>
      <w:r w:rsidR="00F60EB6">
        <w:rPr>
          <w:rFonts w:cs="Times"/>
        </w:rPr>
        <w:t>state medical benefits</w:t>
      </w:r>
      <w:r w:rsidRPr="003D304C">
        <w:rPr>
          <w:rFonts w:cs="Times"/>
        </w:rPr>
        <w:t xml:space="preserve">. </w:t>
      </w:r>
    </w:p>
    <w:p w14:paraId="75EAFE56" w14:textId="77777777" w:rsidR="00612F0E" w:rsidRDefault="00612F0E" w:rsidP="00090E69">
      <w:pPr>
        <w:spacing w:after="0"/>
        <w:rPr>
          <w:rFonts w:ascii="Times New Roman" w:eastAsiaTheme="minorEastAsia" w:hAnsi="Times New Roman" w:cs="Times New Roman"/>
          <w:sz w:val="24"/>
          <w:szCs w:val="24"/>
        </w:rPr>
      </w:pPr>
    </w:p>
    <w:p w14:paraId="43A7C671" w14:textId="77777777" w:rsidR="004E07E1" w:rsidRDefault="004E07E1" w:rsidP="00C1253B">
      <w:pPr>
        <w:spacing w:after="0"/>
        <w:rPr>
          <w:rFonts w:ascii="Times New Roman" w:eastAsiaTheme="minorEastAsia" w:hAnsi="Times New Roman" w:cs="Times New Roman"/>
          <w:sz w:val="24"/>
          <w:szCs w:val="24"/>
        </w:rPr>
      </w:pPr>
    </w:p>
    <w:p w14:paraId="3C731A18" w14:textId="77777777" w:rsidR="00683140" w:rsidRDefault="00683140" w:rsidP="00C1253B">
      <w:pPr>
        <w:spacing w:after="0"/>
        <w:rPr>
          <w:rFonts w:ascii="Times New Roman" w:eastAsiaTheme="minorEastAsia" w:hAnsi="Times New Roman" w:cs="Times New Roman"/>
          <w:sz w:val="24"/>
          <w:szCs w:val="24"/>
        </w:rPr>
      </w:pPr>
    </w:p>
    <w:p w14:paraId="532C24A6" w14:textId="1F9D07B6" w:rsidR="00FB42A6" w:rsidRDefault="001B2715" w:rsidP="00FB42A6">
      <w:pPr>
        <w:pStyle w:val="Heading2"/>
        <w:spacing w:before="0" w:line="276" w:lineRule="auto"/>
        <w:rPr>
          <w:rFonts w:asciiTheme="minorHAnsi" w:hAnsiTheme="minorHAnsi"/>
          <w:color w:val="002060"/>
          <w:sz w:val="24"/>
          <w:szCs w:val="24"/>
        </w:rPr>
      </w:pPr>
      <w:bookmarkStart w:id="11" w:name="_Toc443046832"/>
      <w:r>
        <w:rPr>
          <w:rFonts w:asciiTheme="minorHAnsi" w:hAnsiTheme="minorHAnsi"/>
          <w:color w:val="002060"/>
          <w:sz w:val="24"/>
          <w:szCs w:val="24"/>
          <w:u w:val="single"/>
        </w:rPr>
        <w:t>Key Finding 3</w:t>
      </w:r>
      <w:r w:rsidR="00FB42A6" w:rsidRPr="00CF52CF">
        <w:rPr>
          <w:rFonts w:asciiTheme="minorHAnsi" w:hAnsiTheme="minorHAnsi"/>
          <w:color w:val="002060"/>
          <w:sz w:val="24"/>
          <w:szCs w:val="24"/>
          <w:u w:val="single"/>
        </w:rPr>
        <w:t>:</w:t>
      </w:r>
      <w:r w:rsidR="00FB42A6" w:rsidRPr="00CF52CF">
        <w:rPr>
          <w:rFonts w:asciiTheme="minorHAnsi" w:hAnsiTheme="minorHAnsi"/>
          <w:color w:val="002060"/>
          <w:sz w:val="24"/>
          <w:szCs w:val="24"/>
        </w:rPr>
        <w:t xml:space="preserve"> </w:t>
      </w:r>
      <w:r w:rsidR="00A958B0">
        <w:rPr>
          <w:rFonts w:asciiTheme="minorHAnsi" w:hAnsiTheme="minorHAnsi"/>
          <w:color w:val="002060"/>
          <w:sz w:val="24"/>
          <w:szCs w:val="24"/>
        </w:rPr>
        <w:t>Some sub-groups of IDPs face distinct vulnerabilities that need to be addressed as part of any reform program to IDP assi</w:t>
      </w:r>
      <w:r w:rsidR="002C4394">
        <w:rPr>
          <w:rFonts w:asciiTheme="minorHAnsi" w:hAnsiTheme="minorHAnsi"/>
          <w:color w:val="002060"/>
          <w:sz w:val="24"/>
          <w:szCs w:val="24"/>
        </w:rPr>
        <w:t>s</w:t>
      </w:r>
      <w:r w:rsidR="00A958B0">
        <w:rPr>
          <w:rFonts w:asciiTheme="minorHAnsi" w:hAnsiTheme="minorHAnsi"/>
          <w:color w:val="002060"/>
          <w:sz w:val="24"/>
          <w:szCs w:val="24"/>
        </w:rPr>
        <w:t>tance</w:t>
      </w:r>
      <w:r w:rsidR="002C4394">
        <w:rPr>
          <w:rFonts w:asciiTheme="minorHAnsi" w:hAnsiTheme="minorHAnsi"/>
          <w:color w:val="002060"/>
          <w:sz w:val="24"/>
          <w:szCs w:val="24"/>
        </w:rPr>
        <w:t>.</w:t>
      </w:r>
      <w:bookmarkEnd w:id="11"/>
    </w:p>
    <w:p w14:paraId="5F86D470" w14:textId="77777777" w:rsidR="00FB42A6" w:rsidRPr="00FB42A6" w:rsidRDefault="00FB42A6" w:rsidP="00FB42A6"/>
    <w:p w14:paraId="5290A840" w14:textId="60578553" w:rsidR="00DA2407" w:rsidRDefault="007E68BF" w:rsidP="00FC3E7C">
      <w:pPr>
        <w:pStyle w:val="ListParagraph"/>
        <w:numPr>
          <w:ilvl w:val="0"/>
          <w:numId w:val="1"/>
        </w:numPr>
        <w:spacing w:after="0" w:line="276" w:lineRule="auto"/>
        <w:rPr>
          <w:rFonts w:eastAsiaTheme="minorEastAsia" w:cs="Times New Roman"/>
        </w:rPr>
      </w:pPr>
      <w:r>
        <w:rPr>
          <w:rFonts w:eastAsiaTheme="minorEastAsia" w:cs="Times New Roman"/>
          <w:b/>
        </w:rPr>
        <w:t>The IDP population in Georgia is not homogenous</w:t>
      </w:r>
      <w:r w:rsidR="00BE47BD">
        <w:rPr>
          <w:rFonts w:eastAsiaTheme="minorEastAsia" w:cs="Times New Roman"/>
          <w:b/>
        </w:rPr>
        <w:t>; c</w:t>
      </w:r>
      <w:r w:rsidR="006A0F27" w:rsidRPr="00C43C1E">
        <w:rPr>
          <w:rFonts w:eastAsiaTheme="minorEastAsia" w:cs="Times New Roman"/>
          <w:b/>
        </w:rPr>
        <w:t xml:space="preserve">hallenges among IDPs vary across: </w:t>
      </w:r>
      <w:r w:rsidR="006A0F27" w:rsidRPr="00C43C1E">
        <w:rPr>
          <w:rFonts w:eastAsiaTheme="minorEastAsia" w:cs="Times New Roman"/>
        </w:rPr>
        <w:t xml:space="preserve">(i) old caseload vs. new caseload IDPs; (ii) </w:t>
      </w:r>
      <w:r w:rsidR="00BE47BD">
        <w:rPr>
          <w:rFonts w:eastAsiaTheme="minorEastAsia" w:cs="Times New Roman"/>
        </w:rPr>
        <w:t xml:space="preserve">IDPs in </w:t>
      </w:r>
      <w:r w:rsidR="006A0F27" w:rsidRPr="00C43C1E">
        <w:rPr>
          <w:rFonts w:eastAsiaTheme="minorEastAsia" w:cs="Times New Roman"/>
        </w:rPr>
        <w:t xml:space="preserve">privatized vs. non-privatized accommodation; (iii) area of residence </w:t>
      </w:r>
      <w:r w:rsidR="002C4394">
        <w:rPr>
          <w:rFonts w:eastAsiaTheme="minorEastAsia" w:cs="Times New Roman"/>
        </w:rPr>
        <w:t xml:space="preserve">(region, urban vs. rural); (iv) </w:t>
      </w:r>
      <w:r w:rsidR="006A0F27" w:rsidRPr="00C43C1E">
        <w:rPr>
          <w:rFonts w:eastAsiaTheme="minorEastAsia" w:cs="Times New Roman"/>
        </w:rPr>
        <w:t>employment status; (v) gender; (vi) activity sectors, and a host of other factors.</w:t>
      </w:r>
      <w:r w:rsidR="00DA2407" w:rsidRPr="00C43C1E">
        <w:rPr>
          <w:rFonts w:eastAsiaTheme="minorEastAsia" w:cs="Times New Roman"/>
        </w:rPr>
        <w:t xml:space="preserve"> </w:t>
      </w:r>
    </w:p>
    <w:p w14:paraId="24DDF7EC" w14:textId="77777777" w:rsidR="00683140" w:rsidRDefault="00683140" w:rsidP="00A958B0">
      <w:pPr>
        <w:spacing w:after="0" w:line="276" w:lineRule="auto"/>
        <w:rPr>
          <w:rFonts w:eastAsiaTheme="minorEastAsia" w:cs="Times New Roman"/>
        </w:rPr>
      </w:pPr>
    </w:p>
    <w:p w14:paraId="26BCE8C1" w14:textId="77777777" w:rsidR="00683140" w:rsidRDefault="00683140" w:rsidP="00A958B0">
      <w:pPr>
        <w:spacing w:after="0" w:line="276" w:lineRule="auto"/>
        <w:rPr>
          <w:rFonts w:eastAsiaTheme="minorEastAsia" w:cs="Times New Roman"/>
        </w:rPr>
      </w:pPr>
    </w:p>
    <w:p w14:paraId="78FBF5BF" w14:textId="77777777" w:rsidR="00683140" w:rsidRDefault="00683140" w:rsidP="00A958B0">
      <w:pPr>
        <w:spacing w:after="0" w:line="276" w:lineRule="auto"/>
        <w:rPr>
          <w:rFonts w:eastAsiaTheme="minorEastAsia" w:cs="Times New Roman"/>
        </w:rPr>
      </w:pPr>
    </w:p>
    <w:p w14:paraId="47B7674C" w14:textId="1A66FC91" w:rsidR="00A958B0" w:rsidRPr="00A958B0" w:rsidRDefault="00A958B0" w:rsidP="00A958B0">
      <w:pPr>
        <w:spacing w:after="0" w:line="276" w:lineRule="auto"/>
        <w:rPr>
          <w:rFonts w:eastAsiaTheme="minorEastAsia" w:cs="Times New Roman"/>
          <w:i/>
        </w:rPr>
      </w:pPr>
      <w:r w:rsidRPr="00A958B0">
        <w:rPr>
          <w:rFonts w:eastAsiaTheme="minorEastAsia" w:cs="Times New Roman"/>
          <w:i/>
        </w:rPr>
        <w:lastRenderedPageBreak/>
        <w:t>Differences per period of displacement</w:t>
      </w:r>
    </w:p>
    <w:p w14:paraId="129377BE" w14:textId="77777777" w:rsidR="00E60BE5" w:rsidRPr="00C43C1E" w:rsidRDefault="00E60BE5" w:rsidP="00C43C1E">
      <w:pPr>
        <w:pStyle w:val="ListParagraph"/>
        <w:spacing w:after="0" w:line="276" w:lineRule="auto"/>
        <w:ind w:left="360"/>
        <w:rPr>
          <w:rFonts w:eastAsiaTheme="minorEastAsia" w:cs="Times New Roman"/>
        </w:rPr>
      </w:pPr>
    </w:p>
    <w:p w14:paraId="3E657B5B" w14:textId="1F902D4F" w:rsidR="00606BB8" w:rsidRPr="0026395C" w:rsidRDefault="006A0F27" w:rsidP="0026395C">
      <w:pPr>
        <w:numPr>
          <w:ilvl w:val="0"/>
          <w:numId w:val="1"/>
        </w:numPr>
        <w:tabs>
          <w:tab w:val="left" w:pos="360"/>
        </w:tabs>
        <w:spacing w:after="200" w:line="276" w:lineRule="auto"/>
        <w:rPr>
          <w:rFonts w:ascii="Times New Roman" w:eastAsiaTheme="minorEastAsia" w:hAnsi="Times New Roman" w:cs="Times New Roman"/>
          <w:sz w:val="24"/>
          <w:szCs w:val="24"/>
        </w:rPr>
      </w:pPr>
      <w:r w:rsidRPr="00C43C1E">
        <w:rPr>
          <w:rFonts w:eastAsiaTheme="minorEastAsia" w:cs="Times New Roman"/>
          <w:b/>
        </w:rPr>
        <w:t>Upon their displacement, o</w:t>
      </w:r>
      <w:r w:rsidR="00E60BE5" w:rsidRPr="00C43C1E">
        <w:rPr>
          <w:rFonts w:eastAsiaTheme="minorEastAsia" w:cs="Times New Roman"/>
          <w:b/>
        </w:rPr>
        <w:t>ld case-load IDPs were primarily settled in collective centers, while new case-load IDPs</w:t>
      </w:r>
      <w:r w:rsidRPr="00C43C1E">
        <w:rPr>
          <w:rFonts w:eastAsiaTheme="minorEastAsia" w:cs="Times New Roman"/>
          <w:b/>
        </w:rPr>
        <w:t xml:space="preserve"> were settled in newly constructed homes as part of the government’s</w:t>
      </w:r>
      <w:r w:rsidR="00A67311">
        <w:rPr>
          <w:rFonts w:eastAsiaTheme="minorEastAsia" w:cs="Times New Roman"/>
          <w:b/>
        </w:rPr>
        <w:t xml:space="preserve"> response to the August 2008 conflict</w:t>
      </w:r>
      <w:r w:rsidRPr="00C43C1E">
        <w:rPr>
          <w:rFonts w:eastAsiaTheme="minorEastAsia" w:cs="Times New Roman"/>
          <w:b/>
        </w:rPr>
        <w:t xml:space="preserve">. </w:t>
      </w:r>
      <w:r w:rsidRPr="00C43C1E">
        <w:rPr>
          <w:rFonts w:eastAsiaTheme="minorEastAsia" w:cs="Times New Roman"/>
        </w:rPr>
        <w:t xml:space="preserve">Collective centers include administrative buildings, abandoned schools, kindergartens, and hospitals. </w:t>
      </w:r>
      <w:r w:rsidR="0056052F" w:rsidRPr="00C43C1E">
        <w:rPr>
          <w:rFonts w:eastAsiaTheme="minorEastAsia" w:cs="Times New Roman"/>
        </w:rPr>
        <w:t xml:space="preserve">The approximately 42% of </w:t>
      </w:r>
      <w:r w:rsidRPr="00C43C1E">
        <w:rPr>
          <w:rFonts w:eastAsiaTheme="minorEastAsia" w:cs="Times New Roman"/>
        </w:rPr>
        <w:t xml:space="preserve">IDPs </w:t>
      </w:r>
      <w:r w:rsidR="0056052F" w:rsidRPr="00C43C1E">
        <w:rPr>
          <w:rFonts w:eastAsiaTheme="minorEastAsia" w:cs="Times New Roman"/>
        </w:rPr>
        <w:t>who</w:t>
      </w:r>
      <w:r w:rsidRPr="00C43C1E">
        <w:rPr>
          <w:rFonts w:eastAsiaTheme="minorEastAsia" w:cs="Times New Roman"/>
        </w:rPr>
        <w:t xml:space="preserve"> </w:t>
      </w:r>
      <w:r w:rsidR="0056052F" w:rsidRPr="00C43C1E">
        <w:rPr>
          <w:rFonts w:eastAsiaTheme="minorEastAsia" w:cs="Times New Roman"/>
        </w:rPr>
        <w:t xml:space="preserve">live </w:t>
      </w:r>
      <w:r w:rsidRPr="00C43C1E">
        <w:rPr>
          <w:rFonts w:eastAsiaTheme="minorEastAsia" w:cs="Times New Roman"/>
        </w:rPr>
        <w:t xml:space="preserve">in </w:t>
      </w:r>
      <w:r w:rsidR="009958CE" w:rsidRPr="00C43C1E">
        <w:rPr>
          <w:rFonts w:eastAsiaTheme="minorEastAsia" w:cs="Times New Roman"/>
        </w:rPr>
        <w:t xml:space="preserve">collective </w:t>
      </w:r>
      <w:r w:rsidRPr="00C43C1E">
        <w:rPr>
          <w:rFonts w:eastAsiaTheme="minorEastAsia" w:cs="Times New Roman"/>
        </w:rPr>
        <w:t>centers have been the worst off in terms of housing</w:t>
      </w:r>
      <w:r w:rsidR="0056052F" w:rsidRPr="00C43C1E">
        <w:rPr>
          <w:rFonts w:eastAsiaTheme="minorEastAsia" w:cs="Times New Roman"/>
        </w:rPr>
        <w:t>, experiencing conditions that ha</w:t>
      </w:r>
      <w:r w:rsidR="009958CE" w:rsidRPr="00C43C1E">
        <w:rPr>
          <w:rFonts w:eastAsiaTheme="minorEastAsia" w:cs="Times New Roman"/>
        </w:rPr>
        <w:t>ve been described as unsanitary and dilapidated</w:t>
      </w:r>
      <w:r w:rsidRPr="00C43C1E">
        <w:rPr>
          <w:rFonts w:eastAsiaTheme="minorEastAsia" w:cs="Times New Roman"/>
        </w:rPr>
        <w:t>.</w:t>
      </w:r>
      <w:r w:rsidRPr="00C43C1E">
        <w:rPr>
          <w:vertAlign w:val="superscript"/>
        </w:rPr>
        <w:footnoteReference w:id="73"/>
      </w:r>
      <w:r w:rsidRPr="00C43C1E">
        <w:rPr>
          <w:rFonts w:eastAsiaTheme="minorEastAsia" w:cs="Times New Roman"/>
        </w:rPr>
        <w:t xml:space="preserve"> </w:t>
      </w:r>
      <w:r w:rsidR="0026395C">
        <w:rPr>
          <w:rFonts w:eastAsiaTheme="minorEastAsia" w:cs="Times New Roman"/>
        </w:rPr>
        <w:t xml:space="preserve">In addition to collective centers, many OCL IDPs found shelter with relatives and friends. </w:t>
      </w:r>
      <w:r w:rsidR="00606BB8">
        <w:rPr>
          <w:rFonts w:eastAsiaTheme="minorEastAsia" w:cs="Times New Roman"/>
        </w:rPr>
        <w:t xml:space="preserve">Limited state-provided housing at the time meant that many displaced persons had to make alternative arrangements for their housing needs. </w:t>
      </w:r>
      <w:r w:rsidR="0056052F" w:rsidRPr="00C43C1E">
        <w:rPr>
          <w:rFonts w:eastAsiaTheme="minorEastAsia" w:cs="Times New Roman"/>
        </w:rPr>
        <w:t>In contr</w:t>
      </w:r>
      <w:r w:rsidR="009958CE" w:rsidRPr="00C43C1E">
        <w:rPr>
          <w:rFonts w:eastAsiaTheme="minorEastAsia" w:cs="Times New Roman"/>
        </w:rPr>
        <w:t>ast,</w:t>
      </w:r>
      <w:r w:rsidR="004D3B9F">
        <w:rPr>
          <w:rFonts w:eastAsiaTheme="minorEastAsia" w:cs="Times New Roman"/>
        </w:rPr>
        <w:t xml:space="preserve"> the majority of newly displaced people after the August 2008 conflict were resettled in newly constructed houses and refurbished apartments within a few months of their displacement.</w:t>
      </w:r>
      <w:r w:rsidR="004D3B9F">
        <w:rPr>
          <w:rStyle w:val="FootnoteReference"/>
          <w:rFonts w:eastAsiaTheme="minorEastAsia" w:cs="Times New Roman"/>
        </w:rPr>
        <w:footnoteReference w:id="74"/>
      </w:r>
      <w:r w:rsidR="009958CE" w:rsidRPr="00C43C1E">
        <w:rPr>
          <w:rFonts w:eastAsiaTheme="minorEastAsia" w:cs="Times New Roman"/>
        </w:rPr>
        <w:t xml:space="preserve"> The MRA announced in its 2010 housing strategy that most NCL IDPs had received housing support.</w:t>
      </w:r>
      <w:r w:rsidR="009958CE" w:rsidRPr="00C43C1E">
        <w:rPr>
          <w:rFonts w:eastAsiaTheme="minorEastAsia" w:cs="Times New Roman"/>
          <w:vertAlign w:val="superscript"/>
        </w:rPr>
        <w:t xml:space="preserve"> </w:t>
      </w:r>
      <w:r w:rsidR="009958CE" w:rsidRPr="00C43C1E">
        <w:rPr>
          <w:vertAlign w:val="superscript"/>
        </w:rPr>
        <w:footnoteReference w:id="75"/>
      </w:r>
      <w:r w:rsidR="009958CE" w:rsidRPr="00C43C1E">
        <w:rPr>
          <w:rFonts w:eastAsiaTheme="minorEastAsia" w:cs="Times New Roman"/>
        </w:rPr>
        <w:t xml:space="preserve"> </w:t>
      </w:r>
    </w:p>
    <w:p w14:paraId="563A28E6" w14:textId="77777777" w:rsidR="00DF7A85" w:rsidRPr="000944EF" w:rsidRDefault="004D3B9F" w:rsidP="000944EF">
      <w:pPr>
        <w:numPr>
          <w:ilvl w:val="0"/>
          <w:numId w:val="1"/>
        </w:numPr>
        <w:tabs>
          <w:tab w:val="left" w:pos="360"/>
        </w:tabs>
        <w:spacing w:after="200" w:line="276" w:lineRule="auto"/>
        <w:rPr>
          <w:rFonts w:eastAsiaTheme="minorEastAsia" w:cs="Times New Roman"/>
        </w:rPr>
      </w:pPr>
      <w:r w:rsidRPr="000944EF">
        <w:rPr>
          <w:rFonts w:eastAsiaTheme="minorEastAsia" w:cs="Times New Roman"/>
          <w:b/>
        </w:rPr>
        <w:t xml:space="preserve">While the quick </w:t>
      </w:r>
      <w:r w:rsidR="00A7527C" w:rsidRPr="000944EF">
        <w:rPr>
          <w:rFonts w:eastAsiaTheme="minorEastAsia" w:cs="Times New Roman"/>
          <w:b/>
        </w:rPr>
        <w:t xml:space="preserve">housing </w:t>
      </w:r>
      <w:r w:rsidRPr="000944EF">
        <w:rPr>
          <w:rFonts w:eastAsiaTheme="minorEastAsia" w:cs="Times New Roman"/>
          <w:b/>
        </w:rPr>
        <w:t xml:space="preserve">response to </w:t>
      </w:r>
      <w:r w:rsidR="00A7527C" w:rsidRPr="000944EF">
        <w:rPr>
          <w:rFonts w:eastAsiaTheme="minorEastAsia" w:cs="Times New Roman"/>
          <w:b/>
        </w:rPr>
        <w:t>the 2008 conflict</w:t>
      </w:r>
      <w:r w:rsidRPr="000944EF">
        <w:rPr>
          <w:rFonts w:eastAsiaTheme="minorEastAsia" w:cs="Times New Roman"/>
          <w:b/>
        </w:rPr>
        <w:t xml:space="preserve"> has been recognized as a major achievement,</w:t>
      </w:r>
      <w:r w:rsidR="00A7527C" w:rsidRPr="000944EF">
        <w:rPr>
          <w:rFonts w:eastAsiaTheme="minorEastAsia" w:cs="Times New Roman"/>
          <w:b/>
        </w:rPr>
        <w:t xml:space="preserve"> OCL IDPs have been critical of what they perceive </w:t>
      </w:r>
      <w:r w:rsidR="00B14ED4">
        <w:rPr>
          <w:rFonts w:eastAsiaTheme="minorEastAsia" w:cs="Times New Roman"/>
          <w:b/>
        </w:rPr>
        <w:t>as</w:t>
      </w:r>
      <w:r w:rsidR="00A7527C" w:rsidRPr="000944EF">
        <w:rPr>
          <w:rFonts w:eastAsiaTheme="minorEastAsia" w:cs="Times New Roman"/>
          <w:b/>
        </w:rPr>
        <w:t xml:space="preserve"> preferential treatment of NCL IDPs.</w:t>
      </w:r>
      <w:r w:rsidRPr="000944EF">
        <w:rPr>
          <w:rFonts w:eastAsiaTheme="minorEastAsia" w:cs="Times New Roman"/>
        </w:rPr>
        <w:t xml:space="preserve"> </w:t>
      </w:r>
      <w:r w:rsidR="00A7527C" w:rsidRPr="000944EF">
        <w:rPr>
          <w:rFonts w:eastAsiaTheme="minorEastAsia" w:cs="Times New Roman"/>
        </w:rPr>
        <w:t xml:space="preserve">Our qualitative research found that many OCL IDPs are critical of the differences in </w:t>
      </w:r>
      <w:r w:rsidR="00F4733D">
        <w:rPr>
          <w:rFonts w:eastAsiaTheme="minorEastAsia" w:cs="Times New Roman"/>
        </w:rPr>
        <w:t xml:space="preserve">housing </w:t>
      </w:r>
      <w:r w:rsidR="00A7527C" w:rsidRPr="000944EF">
        <w:rPr>
          <w:rFonts w:eastAsiaTheme="minorEastAsia" w:cs="Times New Roman"/>
        </w:rPr>
        <w:t xml:space="preserve">quality between both groups of IDPs, and of the rate of response by the government to their housing needs. </w:t>
      </w:r>
      <w:r w:rsidR="00DF7A85" w:rsidRPr="000944EF">
        <w:rPr>
          <w:rFonts w:eastAsiaTheme="minorEastAsia" w:cs="Times New Roman"/>
        </w:rPr>
        <w:t xml:space="preserve"> </w:t>
      </w:r>
    </w:p>
    <w:p w14:paraId="103FED67" w14:textId="77777777" w:rsidR="00DF7A85" w:rsidRPr="000944EF" w:rsidRDefault="00DF7A85" w:rsidP="000944EF">
      <w:pPr>
        <w:tabs>
          <w:tab w:val="left" w:pos="360"/>
        </w:tabs>
        <w:spacing w:after="200" w:line="276" w:lineRule="auto"/>
        <w:ind w:left="720"/>
        <w:rPr>
          <w:rFonts w:eastAsiaTheme="minorEastAsia" w:cs="Times New Roman"/>
          <w:i/>
        </w:rPr>
      </w:pPr>
      <w:r w:rsidRPr="000944EF" w:rsidDel="006F53AE">
        <w:rPr>
          <w:rFonts w:eastAsiaTheme="minorEastAsia" w:cs="Times New Roman"/>
        </w:rPr>
        <w:t xml:space="preserve"> </w:t>
      </w:r>
      <w:r w:rsidRPr="000944EF">
        <w:rPr>
          <w:rFonts w:eastAsiaTheme="minorEastAsia" w:cs="Times New Roman"/>
        </w:rPr>
        <w:t>“</w:t>
      </w:r>
      <w:r w:rsidRPr="000944EF">
        <w:rPr>
          <w:rFonts w:eastAsiaTheme="minorEastAsia" w:cs="Times New Roman"/>
          <w:i/>
        </w:rPr>
        <w:t>They have houses, heating systems, gas, water, and small plots of land as sources of income. What about us? We had nothing and we have nothing. We live in the same conditions as we lived before.”</w:t>
      </w:r>
      <w:r w:rsidRPr="000944EF">
        <w:rPr>
          <w:rFonts w:eastAsiaTheme="minorEastAsia" w:cs="Times New Roman"/>
          <w:i/>
          <w:vertAlign w:val="superscript"/>
        </w:rPr>
        <w:footnoteReference w:id="76"/>
      </w:r>
    </w:p>
    <w:p w14:paraId="7F8346D4" w14:textId="77777777" w:rsidR="00DF7A85" w:rsidRPr="000944EF" w:rsidRDefault="00DF7A85" w:rsidP="000944EF">
      <w:pPr>
        <w:tabs>
          <w:tab w:val="left" w:pos="360"/>
        </w:tabs>
        <w:spacing w:after="200" w:line="276" w:lineRule="auto"/>
        <w:ind w:left="720"/>
        <w:rPr>
          <w:rFonts w:cs="Times New Roman"/>
          <w:i/>
        </w:rPr>
      </w:pPr>
      <w:r w:rsidRPr="000944EF">
        <w:rPr>
          <w:rFonts w:cs="Times New Roman"/>
          <w:i/>
          <w:lang w:val="ka-GE"/>
        </w:rPr>
        <w:t>“</w:t>
      </w:r>
      <w:r w:rsidRPr="000944EF">
        <w:rPr>
          <w:rFonts w:cs="Times New Roman"/>
          <w:i/>
        </w:rPr>
        <w:t>People displaced from Samachablo were much better supported with money, living spaces</w:t>
      </w:r>
      <w:r w:rsidR="008049D2" w:rsidRPr="000944EF">
        <w:rPr>
          <w:rFonts w:cs="Times New Roman"/>
          <w:i/>
        </w:rPr>
        <w:t>,</w:t>
      </w:r>
      <w:r w:rsidRPr="000944EF">
        <w:rPr>
          <w:rFonts w:cs="Times New Roman"/>
          <w:i/>
        </w:rPr>
        <w:t xml:space="preserve"> as well as with furniture. As for me, they did nothing for me.”</w:t>
      </w:r>
      <w:r w:rsidRPr="000944EF">
        <w:rPr>
          <w:rStyle w:val="FootnoteReference"/>
          <w:rFonts w:cs="Times New Roman"/>
          <w:i/>
        </w:rPr>
        <w:footnoteReference w:id="77"/>
      </w:r>
    </w:p>
    <w:p w14:paraId="6A413EFB" w14:textId="7DB49BD3" w:rsidR="009A76B6" w:rsidRDefault="00DF7A85" w:rsidP="002A2E28">
      <w:pPr>
        <w:tabs>
          <w:tab w:val="left" w:pos="360"/>
        </w:tabs>
        <w:spacing w:after="200" w:line="276" w:lineRule="auto"/>
        <w:ind w:left="720"/>
        <w:rPr>
          <w:rFonts w:cs="Times New Roman"/>
          <w:i/>
        </w:rPr>
      </w:pPr>
      <w:r w:rsidRPr="000944EF">
        <w:rPr>
          <w:rFonts w:cs="Times New Roman"/>
          <w:i/>
          <w:lang w:val="ka-GE"/>
        </w:rPr>
        <w:t>“I still pay the bank loan and I am in terrible financial difficulties</w:t>
      </w:r>
      <w:r w:rsidR="008049D2" w:rsidRPr="000944EF">
        <w:rPr>
          <w:rFonts w:cs="Times New Roman"/>
          <w:i/>
        </w:rPr>
        <w:t>.</w:t>
      </w:r>
      <w:r w:rsidRPr="000944EF">
        <w:rPr>
          <w:rFonts w:cs="Times New Roman"/>
          <w:i/>
          <w:lang w:val="ka-GE"/>
        </w:rPr>
        <w:t xml:space="preserve"> </w:t>
      </w:r>
      <w:r w:rsidR="008049D2" w:rsidRPr="000944EF">
        <w:rPr>
          <w:rFonts w:cs="Times New Roman"/>
          <w:i/>
        </w:rPr>
        <w:t>P</w:t>
      </w:r>
      <w:r w:rsidRPr="000944EF">
        <w:rPr>
          <w:rFonts w:cs="Times New Roman"/>
          <w:i/>
          <w:lang w:val="ka-GE"/>
        </w:rPr>
        <w:t xml:space="preserve">aying </w:t>
      </w:r>
      <w:r w:rsidR="006712A0">
        <w:rPr>
          <w:rFonts w:cs="Times New Roman"/>
          <w:i/>
        </w:rPr>
        <w:t xml:space="preserve">USD </w:t>
      </w:r>
      <w:r w:rsidRPr="000944EF">
        <w:rPr>
          <w:rFonts w:cs="Times New Roman"/>
          <w:i/>
          <w:lang w:val="ka-GE"/>
        </w:rPr>
        <w:t>200 each month is terrible. And they gave everything to Samachablo IDPs</w:t>
      </w:r>
      <w:r w:rsidR="008049D2" w:rsidRPr="000944EF">
        <w:rPr>
          <w:rFonts w:cs="Times New Roman"/>
          <w:i/>
        </w:rPr>
        <w:t>, even including</w:t>
      </w:r>
      <w:r w:rsidR="00B36459">
        <w:rPr>
          <w:rFonts w:cs="Times New Roman"/>
          <w:i/>
        </w:rPr>
        <w:t xml:space="preserve"> </w:t>
      </w:r>
      <w:r w:rsidRPr="000944EF">
        <w:rPr>
          <w:rFonts w:cs="Times New Roman"/>
          <w:i/>
          <w:lang w:val="ka-GE"/>
        </w:rPr>
        <w:t>TVs</w:t>
      </w:r>
      <w:r w:rsidR="008049D2" w:rsidRPr="000944EF">
        <w:rPr>
          <w:rFonts w:cs="Times New Roman"/>
          <w:i/>
        </w:rPr>
        <w:t>.</w:t>
      </w:r>
      <w:r w:rsidRPr="000944EF">
        <w:rPr>
          <w:rFonts w:cs="Times New Roman"/>
          <w:i/>
        </w:rPr>
        <w:t xml:space="preserve"> </w:t>
      </w:r>
      <w:r w:rsidR="008049D2" w:rsidRPr="000944EF">
        <w:rPr>
          <w:rFonts w:cs="Times New Roman"/>
          <w:i/>
        </w:rPr>
        <w:t>A</w:t>
      </w:r>
      <w:r w:rsidRPr="000944EF">
        <w:rPr>
          <w:rFonts w:cs="Times New Roman"/>
          <w:i/>
        </w:rPr>
        <w:t>s for us we didn’t even have blankets and chairs when we left.”</w:t>
      </w:r>
      <w:r w:rsidRPr="000944EF">
        <w:rPr>
          <w:rStyle w:val="FootnoteReference"/>
          <w:rFonts w:cs="Times New Roman"/>
          <w:i/>
        </w:rPr>
        <w:footnoteReference w:id="78"/>
      </w:r>
      <w:r w:rsidR="0042009C">
        <w:rPr>
          <w:rFonts w:cs="Times New Roman"/>
          <w:i/>
        </w:rPr>
        <w:t xml:space="preserve">  </w:t>
      </w:r>
    </w:p>
    <w:p w14:paraId="641A08B6" w14:textId="77777777" w:rsidR="00B36459" w:rsidRPr="00EC6A59" w:rsidRDefault="00B36459" w:rsidP="00B36459">
      <w:pPr>
        <w:tabs>
          <w:tab w:val="left" w:pos="360"/>
        </w:tabs>
        <w:spacing w:after="200" w:line="276" w:lineRule="auto"/>
        <w:ind w:left="720"/>
        <w:rPr>
          <w:rFonts w:cs="Times New Roman"/>
          <w:i/>
          <w:lang w:val="ka-GE"/>
        </w:rPr>
      </w:pPr>
      <w:r>
        <w:rPr>
          <w:rFonts w:cs="Times New Roman"/>
          <w:i/>
        </w:rPr>
        <w:t>“I think current Tskhivali IDPs received their living spaces very quickly. Many of us have no space to live even till today. We have no home and no one knows when we will have it.”</w:t>
      </w:r>
    </w:p>
    <w:p w14:paraId="55CD0CAD" w14:textId="77777777" w:rsidR="00731217" w:rsidRDefault="005A419C" w:rsidP="00EC6A59">
      <w:pPr>
        <w:pStyle w:val="ListParagraph"/>
        <w:numPr>
          <w:ilvl w:val="0"/>
          <w:numId w:val="1"/>
        </w:numPr>
        <w:spacing w:line="276" w:lineRule="auto"/>
        <w:rPr>
          <w:rFonts w:eastAsiaTheme="minorEastAsia" w:cs="Times New Roman"/>
        </w:rPr>
      </w:pPr>
      <w:r>
        <w:rPr>
          <w:rFonts w:eastAsiaTheme="minorEastAsia" w:cs="Times New Roman"/>
          <w:b/>
        </w:rPr>
        <w:t xml:space="preserve">The rate of </w:t>
      </w:r>
      <w:r w:rsidR="003D532E">
        <w:rPr>
          <w:rFonts w:eastAsiaTheme="minorEastAsia" w:cs="Times New Roman"/>
          <w:b/>
        </w:rPr>
        <w:t xml:space="preserve">housing </w:t>
      </w:r>
      <w:r>
        <w:rPr>
          <w:rFonts w:eastAsiaTheme="minorEastAsia" w:cs="Times New Roman"/>
          <w:b/>
        </w:rPr>
        <w:t xml:space="preserve">privatization </w:t>
      </w:r>
      <w:r w:rsidR="003D532E">
        <w:rPr>
          <w:rFonts w:eastAsiaTheme="minorEastAsia" w:cs="Times New Roman"/>
          <w:b/>
        </w:rPr>
        <w:t xml:space="preserve">has differed </w:t>
      </w:r>
      <w:r>
        <w:rPr>
          <w:rFonts w:eastAsiaTheme="minorEastAsia" w:cs="Times New Roman"/>
          <w:b/>
        </w:rPr>
        <w:t>between NCL and OCL IDPs</w:t>
      </w:r>
      <w:r w:rsidR="003D532E">
        <w:rPr>
          <w:rFonts w:eastAsiaTheme="minorEastAsia" w:cs="Times New Roman"/>
          <w:b/>
        </w:rPr>
        <w:t xml:space="preserve">. </w:t>
      </w:r>
      <w:r w:rsidR="009958CE" w:rsidRPr="00C43C1E">
        <w:rPr>
          <w:rFonts w:eastAsiaTheme="minorEastAsia" w:cs="Times New Roman"/>
        </w:rPr>
        <w:t>Privatization for the cottages began in 2012, and many NCL IDPs own newly constructed and rehabilitated homes.</w:t>
      </w:r>
      <w:r w:rsidR="000C742A" w:rsidRPr="00C43C1E">
        <w:rPr>
          <w:rFonts w:eastAsiaTheme="minorEastAsia" w:cs="Times New Roman"/>
        </w:rPr>
        <w:t xml:space="preserve"> Privatization of the collective centers has also been initiated with residents receiving formal </w:t>
      </w:r>
      <w:r w:rsidR="000C742A" w:rsidRPr="00C43C1E">
        <w:rPr>
          <w:rFonts w:eastAsiaTheme="minorEastAsia" w:cs="Times New Roman"/>
        </w:rPr>
        <w:lastRenderedPageBreak/>
        <w:t>ownership of their living units.</w:t>
      </w:r>
      <w:r w:rsidR="000C742A" w:rsidRPr="00C43C1E">
        <w:rPr>
          <w:vertAlign w:val="superscript"/>
        </w:rPr>
        <w:t xml:space="preserve"> </w:t>
      </w:r>
      <w:r w:rsidR="000C742A" w:rsidRPr="00C43C1E">
        <w:rPr>
          <w:vertAlign w:val="superscript"/>
        </w:rPr>
        <w:footnoteReference w:id="79"/>
      </w:r>
      <w:r w:rsidR="000C742A" w:rsidRPr="00C43C1E">
        <w:rPr>
          <w:vertAlign w:val="superscript"/>
        </w:rPr>
        <w:t xml:space="preserve"> </w:t>
      </w:r>
      <w:r w:rsidR="000C742A" w:rsidRPr="00C43C1E">
        <w:t>IDPs living in collective centers where privatization has started are registered as private accommodation IDPs.</w:t>
      </w:r>
      <w:r w:rsidR="009958CE" w:rsidRPr="00C43C1E">
        <w:rPr>
          <w:rFonts w:eastAsiaTheme="minorEastAsia" w:cs="Times New Roman"/>
        </w:rPr>
        <w:t xml:space="preserve"> </w:t>
      </w:r>
      <w:r w:rsidR="000C742A" w:rsidRPr="00C43C1E">
        <w:rPr>
          <w:rFonts w:eastAsiaTheme="minorEastAsia" w:cs="Times New Roman"/>
        </w:rPr>
        <w:t>As many as 19.6% of IDPs are currently registered as owning their own properties. However, m</w:t>
      </w:r>
      <w:r w:rsidR="009958CE" w:rsidRPr="00C43C1E">
        <w:rPr>
          <w:rFonts w:eastAsiaTheme="minorEastAsia" w:cs="Times New Roman"/>
        </w:rPr>
        <w:t>uch remains to be done in standardizing quality of housing across IDPs, and in providing privatized housing to all eligible IDPs.</w:t>
      </w:r>
      <w:r w:rsidR="000C742A" w:rsidRPr="00C43C1E">
        <w:rPr>
          <w:rFonts w:eastAsiaTheme="minorEastAsia" w:cs="Times New Roman"/>
        </w:rPr>
        <w:t xml:space="preserve"> </w:t>
      </w:r>
    </w:p>
    <w:p w14:paraId="366C2B87" w14:textId="77777777" w:rsidR="00E60BE5" w:rsidRPr="00EC6A59" w:rsidRDefault="00E60BE5" w:rsidP="00731217">
      <w:pPr>
        <w:pStyle w:val="ListParagraph"/>
        <w:spacing w:line="276" w:lineRule="auto"/>
        <w:ind w:left="360"/>
      </w:pPr>
    </w:p>
    <w:p w14:paraId="6ECEBC59" w14:textId="0D9ECC3A" w:rsidR="00E60BE5" w:rsidRPr="00C43C1E" w:rsidRDefault="00E60BE5" w:rsidP="00C43C1E">
      <w:pPr>
        <w:pStyle w:val="ListParagraph"/>
        <w:numPr>
          <w:ilvl w:val="0"/>
          <w:numId w:val="1"/>
        </w:numPr>
        <w:spacing w:after="0" w:line="276" w:lineRule="auto"/>
      </w:pPr>
      <w:r w:rsidRPr="00C43C1E">
        <w:rPr>
          <w:rFonts w:cs="Times New Roman"/>
          <w:b/>
        </w:rPr>
        <w:t>While old caseload and new caseload IDPs suffer from similar health-related concerns, the state of their health depends on when they were displaced, and where they are living.</w:t>
      </w:r>
      <w:r w:rsidRPr="00C43C1E">
        <w:rPr>
          <w:rFonts w:cs="Times New Roman"/>
        </w:rPr>
        <w:t xml:space="preserve"> </w:t>
      </w:r>
      <w:r w:rsidR="00683D34" w:rsidRPr="00C43C1E">
        <w:rPr>
          <w:rFonts w:cs="Times New Roman"/>
        </w:rPr>
        <w:t>Populations living in state-owned collective centers have been found to be in poorer physical and mental health than populations living in private accommodations.</w:t>
      </w:r>
      <w:r w:rsidR="00683D34" w:rsidRPr="00C43C1E">
        <w:rPr>
          <w:rStyle w:val="FootnoteReference"/>
          <w:rFonts w:cs="Times New Roman"/>
        </w:rPr>
        <w:footnoteReference w:id="80"/>
      </w:r>
      <w:r w:rsidR="00683D34" w:rsidRPr="00C43C1E">
        <w:rPr>
          <w:rFonts w:cs="Times New Roman"/>
        </w:rPr>
        <w:t xml:space="preserve"> </w:t>
      </w:r>
      <w:r w:rsidRPr="00C43C1E">
        <w:rPr>
          <w:rFonts w:cs="Times New Roman"/>
        </w:rPr>
        <w:t xml:space="preserve">Differences in access to healthcare are </w:t>
      </w:r>
      <w:r w:rsidR="00683D34" w:rsidRPr="00C43C1E">
        <w:rPr>
          <w:rFonts w:cs="Times New Roman"/>
        </w:rPr>
        <w:t xml:space="preserve">also </w:t>
      </w:r>
      <w:r w:rsidRPr="00C43C1E">
        <w:rPr>
          <w:rFonts w:cs="Times New Roman"/>
        </w:rPr>
        <w:t xml:space="preserve">observed between the two groups. Upon initial displacement, NCL IDPs were automatically enrolled in free health insurance for the poor when they registered for IDP status. On the other hand, OCL IDPs did not have universal insurance from the beginning. Access to health is even more constrained </w:t>
      </w:r>
      <w:r w:rsidR="0033072C">
        <w:rPr>
          <w:rFonts w:cs="Times New Roman"/>
        </w:rPr>
        <w:t>within the occupied territories</w:t>
      </w:r>
      <w:r w:rsidRPr="00C43C1E">
        <w:rPr>
          <w:rFonts w:cs="Times New Roman"/>
        </w:rPr>
        <w:t>, where IDP returnees face additional threats and discrimination in accessing health services</w:t>
      </w:r>
      <w:r w:rsidRPr="00C43C1E">
        <w:rPr>
          <w:rFonts w:cs="Times New Roman"/>
          <w:b/>
        </w:rPr>
        <w:t>.</w:t>
      </w:r>
      <w:r w:rsidRPr="00C43C1E">
        <w:rPr>
          <w:rStyle w:val="FootnoteReference"/>
          <w:rFonts w:cs="Times New Roman"/>
          <w:b/>
        </w:rPr>
        <w:footnoteReference w:id="81"/>
      </w:r>
    </w:p>
    <w:p w14:paraId="0C1C882A" w14:textId="77777777" w:rsidR="00683D34" w:rsidRDefault="00683D34" w:rsidP="00A958B0">
      <w:pPr>
        <w:spacing w:line="276" w:lineRule="auto"/>
      </w:pPr>
    </w:p>
    <w:p w14:paraId="18C75A84" w14:textId="64BF988D" w:rsidR="00A958B0" w:rsidRPr="00A958B0" w:rsidRDefault="00A958B0" w:rsidP="00A958B0">
      <w:pPr>
        <w:spacing w:line="276" w:lineRule="auto"/>
        <w:rPr>
          <w:i/>
        </w:rPr>
      </w:pPr>
      <w:r w:rsidRPr="00A958B0">
        <w:rPr>
          <w:i/>
        </w:rPr>
        <w:t>Regional and demographic differences</w:t>
      </w:r>
    </w:p>
    <w:p w14:paraId="4661C806" w14:textId="6C639C20" w:rsidR="000C742A" w:rsidRDefault="00683D34" w:rsidP="009E0CC9">
      <w:pPr>
        <w:pStyle w:val="ListParagraph"/>
        <w:numPr>
          <w:ilvl w:val="0"/>
          <w:numId w:val="1"/>
        </w:numPr>
        <w:spacing w:after="0" w:line="276" w:lineRule="auto"/>
        <w:rPr>
          <w:rFonts w:eastAsiaTheme="minorEastAsia" w:cs="Times New Roman"/>
          <w:bCs/>
        </w:rPr>
      </w:pPr>
      <w:r w:rsidRPr="00C43C1E">
        <w:rPr>
          <w:rFonts w:eastAsiaTheme="minorEastAsia" w:cs="Times New Roman"/>
          <w:b/>
          <w:bCs/>
        </w:rPr>
        <w:t>IDPs living in Tbilisi have integrated better to markets and improved their living conditions, while this is not the case for IDPs in rural areas</w:t>
      </w:r>
      <w:r w:rsidRPr="00C43C1E">
        <w:rPr>
          <w:rFonts w:eastAsiaTheme="minorEastAsia" w:cs="Times New Roman"/>
          <w:b/>
        </w:rPr>
        <w:t xml:space="preserve">. </w:t>
      </w:r>
      <w:r w:rsidRPr="00C43C1E">
        <w:rPr>
          <w:rFonts w:eastAsiaTheme="minorEastAsia" w:cs="Times New Roman"/>
        </w:rPr>
        <w:t>Poverty is more prevalent in rural areas among IDPs as reflected in</w:t>
      </w:r>
      <w:r w:rsidR="00A958B0">
        <w:rPr>
          <w:rFonts w:eastAsiaTheme="minorEastAsia" w:cs="Times New Roman"/>
        </w:rPr>
        <w:t xml:space="preserve"> Table 1</w:t>
      </w:r>
      <w:r w:rsidR="00707000">
        <w:rPr>
          <w:rFonts w:eastAsiaTheme="minorEastAsia" w:cs="Times New Roman"/>
        </w:rPr>
        <w:t xml:space="preserve"> above.</w:t>
      </w:r>
      <w:r w:rsidRPr="00C43C1E">
        <w:rPr>
          <w:rFonts w:eastAsiaTheme="minorEastAsia" w:cs="Times New Roman"/>
        </w:rPr>
        <w:t xml:space="preserve"> It is important to note that poor IDP households in Tbilisi are</w:t>
      </w:r>
      <w:r w:rsidR="000C742A" w:rsidRPr="00C43C1E">
        <w:rPr>
          <w:rFonts w:eastAsiaTheme="minorEastAsia" w:cs="Times New Roman"/>
        </w:rPr>
        <w:t xml:space="preserve"> better off than even </w:t>
      </w:r>
      <w:r w:rsidRPr="00C43C1E">
        <w:rPr>
          <w:rFonts w:eastAsiaTheme="minorEastAsia" w:cs="Times New Roman"/>
        </w:rPr>
        <w:t>poor</w:t>
      </w:r>
      <w:r w:rsidR="000C742A" w:rsidRPr="00C43C1E">
        <w:rPr>
          <w:rFonts w:eastAsiaTheme="minorEastAsia" w:cs="Times New Roman"/>
        </w:rPr>
        <w:t xml:space="preserve"> non-IDP</w:t>
      </w:r>
      <w:r w:rsidRPr="00C43C1E">
        <w:rPr>
          <w:rFonts w:eastAsiaTheme="minorEastAsia" w:cs="Times New Roman"/>
        </w:rPr>
        <w:t xml:space="preserve"> households </w:t>
      </w:r>
      <w:r w:rsidR="000C742A" w:rsidRPr="00C43C1E">
        <w:rPr>
          <w:rFonts w:eastAsiaTheme="minorEastAsia" w:cs="Times New Roman"/>
        </w:rPr>
        <w:t>in rural areas</w:t>
      </w:r>
      <w:r w:rsidRPr="00C43C1E">
        <w:rPr>
          <w:rFonts w:eastAsiaTheme="minorEastAsia" w:cs="Times New Roman"/>
        </w:rPr>
        <w:t xml:space="preserve">. </w:t>
      </w:r>
      <w:r w:rsidRPr="00C43C1E">
        <w:rPr>
          <w:rFonts w:eastAsiaTheme="minorEastAsia" w:cs="Times New Roman"/>
          <w:bCs/>
        </w:rPr>
        <w:t>To further explore dissimilarities in income and consumption levels across area of residence, we examined the median of the average monthly income (in GEL) re</w:t>
      </w:r>
      <w:r w:rsidR="00707000">
        <w:rPr>
          <w:rFonts w:eastAsiaTheme="minorEastAsia" w:cs="Times New Roman"/>
          <w:bCs/>
        </w:rPr>
        <w:t>ported by each household. Table 2 above</w:t>
      </w:r>
      <w:r w:rsidRPr="00C43C1E">
        <w:rPr>
          <w:rFonts w:eastAsiaTheme="minorEastAsia" w:cs="Times New Roman"/>
          <w:bCs/>
        </w:rPr>
        <w:t xml:space="preserve"> shows clearly that income in Tbilisi is higher than in other urban or rural areas for both IDPs and non-IDPs</w:t>
      </w:r>
      <w:r w:rsidR="00707000">
        <w:rPr>
          <w:rFonts w:eastAsiaTheme="minorEastAsia" w:cs="Times New Roman"/>
          <w:bCs/>
        </w:rPr>
        <w:t>.</w:t>
      </w:r>
    </w:p>
    <w:p w14:paraId="67C2D65C" w14:textId="77777777" w:rsidR="00A958B0" w:rsidRPr="00A958B0" w:rsidRDefault="00A958B0" w:rsidP="00A958B0">
      <w:pPr>
        <w:pStyle w:val="ListParagraph"/>
        <w:spacing w:after="0" w:line="276" w:lineRule="auto"/>
        <w:ind w:left="360"/>
        <w:rPr>
          <w:rFonts w:eastAsiaTheme="minorEastAsia" w:cs="Times New Roman"/>
          <w:bCs/>
        </w:rPr>
      </w:pPr>
    </w:p>
    <w:p w14:paraId="30436A58" w14:textId="18AB8066" w:rsidR="000C742A" w:rsidRPr="00C43C1E" w:rsidRDefault="000C742A" w:rsidP="00C43C1E">
      <w:pPr>
        <w:pStyle w:val="ListParagraph"/>
        <w:numPr>
          <w:ilvl w:val="0"/>
          <w:numId w:val="1"/>
        </w:numPr>
        <w:spacing w:after="0" w:line="276" w:lineRule="auto"/>
        <w:rPr>
          <w:rFonts w:eastAsiaTheme="minorEastAsia" w:cs="Times New Roman"/>
          <w:bCs/>
        </w:rPr>
      </w:pPr>
      <w:r w:rsidRPr="00C43C1E">
        <w:rPr>
          <w:rFonts w:eastAsiaTheme="minorEastAsia" w:cs="Times New Roman"/>
          <w:b/>
          <w:bCs/>
        </w:rPr>
        <w:t>Unemployment rates</w:t>
      </w:r>
      <w:r w:rsidRPr="00C43C1E">
        <w:rPr>
          <w:rFonts w:eastAsiaTheme="minorEastAsia" w:cs="Times New Roman"/>
          <w:bCs/>
        </w:rPr>
        <w:t xml:space="preserve"> </w:t>
      </w:r>
      <w:r w:rsidRPr="00C43C1E">
        <w:rPr>
          <w:rFonts w:eastAsiaTheme="minorEastAsia" w:cs="Times New Roman"/>
          <w:b/>
          <w:bCs/>
        </w:rPr>
        <w:t xml:space="preserve">are </w:t>
      </w:r>
      <w:r w:rsidR="00707000">
        <w:rPr>
          <w:rFonts w:eastAsiaTheme="minorEastAsia" w:cs="Times New Roman"/>
          <w:b/>
          <w:bCs/>
        </w:rPr>
        <w:t>higher</w:t>
      </w:r>
      <w:r w:rsidRPr="00C43C1E">
        <w:rPr>
          <w:rFonts w:eastAsiaTheme="minorEastAsia" w:cs="Times New Roman"/>
          <w:b/>
          <w:bCs/>
        </w:rPr>
        <w:t xml:space="preserve"> </w:t>
      </w:r>
      <w:r w:rsidR="00707000">
        <w:rPr>
          <w:rFonts w:eastAsiaTheme="minorEastAsia" w:cs="Times New Roman"/>
          <w:b/>
          <w:bCs/>
        </w:rPr>
        <w:t xml:space="preserve">for IDP men, compared to women, especially for men in urban areas (see Table 10). </w:t>
      </w:r>
      <w:r w:rsidRPr="00C43C1E">
        <w:rPr>
          <w:rFonts w:eastAsiaTheme="minorEastAsia" w:cs="Times New Roman"/>
          <w:bCs/>
        </w:rPr>
        <w:t>The unemployment rates for these groups are all 22% and upwards, with the highest unemployment rate at 33.6% among urban male IDPs. This is the highest unemployment rate of all subsets of the population. Long-term unemployment is also significantly high for the IDP male subset of the population, at 23.1%.</w:t>
      </w:r>
      <w:r w:rsidR="00534D9C" w:rsidRPr="00C43C1E">
        <w:rPr>
          <w:rFonts w:eastAsiaTheme="minorEastAsia" w:cs="Times New Roman"/>
          <w:bCs/>
        </w:rPr>
        <w:t xml:space="preserve"> </w:t>
      </w:r>
    </w:p>
    <w:p w14:paraId="2553757B" w14:textId="77777777" w:rsidR="00534D9C" w:rsidRPr="00C43C1E" w:rsidRDefault="00534D9C" w:rsidP="00C43C1E">
      <w:pPr>
        <w:pStyle w:val="ListParagraph"/>
        <w:spacing w:after="0" w:line="276" w:lineRule="auto"/>
        <w:ind w:left="360"/>
        <w:rPr>
          <w:rFonts w:eastAsiaTheme="minorEastAsia" w:cs="Times New Roman"/>
          <w:bCs/>
        </w:rPr>
      </w:pPr>
    </w:p>
    <w:p w14:paraId="3330C27D" w14:textId="007FFE81" w:rsidR="00F5268A" w:rsidRDefault="00534D9C" w:rsidP="008E4AA8">
      <w:pPr>
        <w:pStyle w:val="ListParagraph"/>
        <w:numPr>
          <w:ilvl w:val="0"/>
          <w:numId w:val="1"/>
        </w:numPr>
        <w:spacing w:line="276" w:lineRule="auto"/>
        <w:rPr>
          <w:rFonts w:cs="Times New Roman"/>
        </w:rPr>
      </w:pPr>
      <w:r w:rsidRPr="00C43C1E">
        <w:rPr>
          <w:rFonts w:eastAsiaTheme="minorEastAsia" w:cs="Times New Roman"/>
          <w:b/>
          <w:bCs/>
        </w:rPr>
        <w:t>Overall, female labor force participation is substantially lower than that of males</w:t>
      </w:r>
      <w:r w:rsidR="00C0373D">
        <w:rPr>
          <w:rFonts w:eastAsiaTheme="minorEastAsia" w:cs="Times New Roman"/>
          <w:b/>
          <w:bCs/>
        </w:rPr>
        <w:t>; however, among the economically active population</w:t>
      </w:r>
      <w:r w:rsidR="00DC4901">
        <w:rPr>
          <w:rFonts w:eastAsiaTheme="minorEastAsia" w:cs="Times New Roman"/>
          <w:b/>
          <w:bCs/>
        </w:rPr>
        <w:t>,</w:t>
      </w:r>
      <w:r w:rsidR="00C0373D">
        <w:rPr>
          <w:rFonts w:eastAsiaTheme="minorEastAsia" w:cs="Times New Roman"/>
          <w:b/>
          <w:bCs/>
        </w:rPr>
        <w:t xml:space="preserve"> unemployment rates are higher for men</w:t>
      </w:r>
      <w:r w:rsidRPr="00C43C1E">
        <w:rPr>
          <w:rFonts w:eastAsiaTheme="minorEastAsia" w:cs="Times New Roman"/>
          <w:b/>
          <w:bCs/>
        </w:rPr>
        <w:t>.</w:t>
      </w:r>
      <w:r w:rsidRPr="00C43C1E">
        <w:rPr>
          <w:rFonts w:eastAsiaTheme="minorEastAsia" w:cs="Times New Roman"/>
          <w:bCs/>
        </w:rPr>
        <w:t xml:space="preserve"> IDP females have a labor force participation of 56.1%, compared to</w:t>
      </w:r>
      <w:r w:rsidR="002C4394">
        <w:rPr>
          <w:rFonts w:eastAsiaTheme="minorEastAsia" w:cs="Times New Roman"/>
          <w:bCs/>
        </w:rPr>
        <w:t xml:space="preserve"> 82.39% among males (see Table 10</w:t>
      </w:r>
      <w:r w:rsidRPr="00C43C1E">
        <w:rPr>
          <w:rFonts w:eastAsiaTheme="minorEastAsia" w:cs="Times New Roman"/>
          <w:bCs/>
        </w:rPr>
        <w:t xml:space="preserve">). </w:t>
      </w:r>
      <w:r w:rsidRPr="00C43C1E">
        <w:rPr>
          <w:rFonts w:cs="Times New Roman"/>
        </w:rPr>
        <w:t>Many IDP women are self-employed, which is largely how subsistence farmers are classified. These women work in family farms or in family-owned businesses for little to no remu</w:t>
      </w:r>
      <w:r w:rsidR="008E4AA8">
        <w:rPr>
          <w:rFonts w:cs="Times New Roman"/>
        </w:rPr>
        <w:t>neration.</w:t>
      </w:r>
      <w:r w:rsidR="00AD0567">
        <w:rPr>
          <w:rFonts w:cs="Times New Roman"/>
        </w:rPr>
        <w:t xml:space="preserve"> Still, among those who </w:t>
      </w:r>
      <w:r w:rsidR="00AD0567">
        <w:rPr>
          <w:rFonts w:cs="Times New Roman"/>
        </w:rPr>
        <w:lastRenderedPageBreak/>
        <w:t>are economically active, unemployment rates are higher for men than women. This is often explained with women’s willingness to take on lower-paid jobs or jobs below their qualification.</w:t>
      </w:r>
    </w:p>
    <w:p w14:paraId="4AB0AEE8" w14:textId="77777777" w:rsidR="00AD0567" w:rsidRPr="00AD0567" w:rsidRDefault="00AD0567" w:rsidP="00AD0567">
      <w:pPr>
        <w:pStyle w:val="ListParagraph"/>
        <w:rPr>
          <w:rFonts w:cs="Times New Roman"/>
        </w:rPr>
      </w:pPr>
    </w:p>
    <w:p w14:paraId="7B5BACA4" w14:textId="0D7BBEBD" w:rsidR="00DA4DA2" w:rsidRPr="0036006E" w:rsidRDefault="00AD0567" w:rsidP="0036006E">
      <w:pPr>
        <w:spacing w:after="0"/>
        <w:ind w:left="360"/>
        <w:rPr>
          <w:rFonts w:cs="Times New Roman"/>
        </w:rPr>
      </w:pPr>
      <w:r>
        <w:rPr>
          <w:rFonts w:ascii="Sylfaen" w:hAnsi="Sylfaen"/>
          <w:i/>
          <w:lang w:val="ka-GE"/>
        </w:rPr>
        <w:t>“W</w:t>
      </w:r>
      <w:r w:rsidRPr="001E7B9B">
        <w:rPr>
          <w:rFonts w:ascii="Sylfaen" w:hAnsi="Sylfaen"/>
          <w:i/>
          <w:lang w:val="ka-GE"/>
        </w:rPr>
        <w:t>omen are better employed then men. Those who have vineyards and strawberries hire women seasonally. They give us 4</w:t>
      </w:r>
      <w:r>
        <w:rPr>
          <w:rFonts w:ascii="Sylfaen" w:hAnsi="Sylfaen"/>
          <w:i/>
          <w:lang w:val="ka-GE"/>
        </w:rPr>
        <w:t>5 laries per member monthly, ho</w:t>
      </w:r>
      <w:r w:rsidRPr="001E7B9B">
        <w:rPr>
          <w:rFonts w:ascii="Sylfaen" w:hAnsi="Sylfaen"/>
          <w:i/>
          <w:lang w:val="ka-GE"/>
        </w:rPr>
        <w:t>w</w:t>
      </w:r>
      <w:r>
        <w:rPr>
          <w:rFonts w:ascii="Sylfaen" w:hAnsi="Sylfaen"/>
          <w:i/>
        </w:rPr>
        <w:t xml:space="preserve"> </w:t>
      </w:r>
      <w:r w:rsidRPr="001E7B9B">
        <w:rPr>
          <w:rFonts w:ascii="Sylfaen" w:hAnsi="Sylfaen"/>
          <w:i/>
          <w:lang w:val="ka-GE"/>
        </w:rPr>
        <w:t>can we live on that money if we don’t work ourselves?</w:t>
      </w:r>
      <w:r>
        <w:rPr>
          <w:rFonts w:ascii="Sylfaen" w:hAnsi="Sylfaen"/>
          <w:i/>
        </w:rPr>
        <w:t xml:space="preserve"> </w:t>
      </w:r>
      <w:r w:rsidRPr="00B667D1">
        <w:rPr>
          <w:rFonts w:ascii="Sylfaen" w:hAnsi="Sylfaen"/>
          <w:i/>
          <w:lang w:val="ka-GE"/>
        </w:rPr>
        <w:t xml:space="preserve"> </w:t>
      </w:r>
      <w:r w:rsidRPr="001E7B9B">
        <w:rPr>
          <w:rFonts w:ascii="Sylfaen" w:hAnsi="Sylfaen"/>
          <w:i/>
          <w:lang w:val="ka-GE"/>
        </w:rPr>
        <w:t>What should those do who are not able to work?</w:t>
      </w:r>
      <w:r>
        <w:rPr>
          <w:rFonts w:ascii="Sylfaen" w:hAnsi="Sylfaen"/>
          <w:i/>
        </w:rPr>
        <w:t xml:space="preserve"> Those who are pensioners?</w:t>
      </w:r>
      <w:r w:rsidR="00F60EB6">
        <w:rPr>
          <w:rFonts w:ascii="Sylfaen" w:hAnsi="Sylfaen"/>
          <w:i/>
        </w:rPr>
        <w:t>”</w:t>
      </w:r>
    </w:p>
    <w:p w14:paraId="06FAF782" w14:textId="77777777" w:rsidR="00DA4DA2" w:rsidRPr="00C43C1E" w:rsidRDefault="00DA4DA2" w:rsidP="00F5268A">
      <w:pPr>
        <w:pStyle w:val="ListParagraph"/>
        <w:spacing w:line="276" w:lineRule="auto"/>
        <w:ind w:left="360"/>
        <w:rPr>
          <w:rFonts w:cs="Times New Roman"/>
        </w:rPr>
      </w:pPr>
    </w:p>
    <w:p w14:paraId="6ED05237" w14:textId="2727CF1E" w:rsidR="000944EF" w:rsidRPr="008E4AA8" w:rsidRDefault="00F5268A" w:rsidP="00C43C1E">
      <w:pPr>
        <w:spacing w:line="276" w:lineRule="auto"/>
        <w:jc w:val="left"/>
        <w:rPr>
          <w:rFonts w:eastAsiaTheme="minorEastAsia" w:cs="Times New Roman"/>
          <w:bCs/>
          <w:i/>
        </w:rPr>
      </w:pPr>
      <w:r w:rsidRPr="00F5268A">
        <w:rPr>
          <w:rFonts w:eastAsiaTheme="minorEastAsia" w:cs="Times New Roman"/>
          <w:bCs/>
          <w:i/>
        </w:rPr>
        <w:t>Table 10</w:t>
      </w:r>
      <w:r w:rsidR="009E0CC9" w:rsidRPr="00F5268A">
        <w:rPr>
          <w:rFonts w:eastAsiaTheme="minorEastAsia" w:cs="Times New Roman"/>
          <w:bCs/>
          <w:i/>
        </w:rPr>
        <w:t>: Work Status among IDPs and non-IDPs (Disaggregated by Gender and Urban/Rura</w:t>
      </w:r>
      <w:r w:rsidR="009E017C">
        <w:rPr>
          <w:rFonts w:ascii="Times New Roman" w:eastAsiaTheme="minorEastAsia" w:hAnsi="Times New Roman" w:cs="Times New Roman"/>
          <w:bCs/>
          <w:noProof/>
          <w:sz w:val="20"/>
          <w:szCs w:val="20"/>
        </w:rPr>
        <mc:AlternateContent>
          <mc:Choice Requires="wpc">
            <w:drawing>
              <wp:anchor distT="0" distB="0" distL="114300" distR="114300" simplePos="0" relativeHeight="251653120" behindDoc="0" locked="0" layoutInCell="1" allowOverlap="1" wp14:anchorId="604B8294" wp14:editId="50A7A840">
                <wp:simplePos x="0" y="0"/>
                <wp:positionH relativeFrom="column">
                  <wp:posOffset>-127000</wp:posOffset>
                </wp:positionH>
                <wp:positionV relativeFrom="paragraph">
                  <wp:posOffset>208280</wp:posOffset>
                </wp:positionV>
                <wp:extent cx="5988050" cy="2357120"/>
                <wp:effectExtent l="0" t="0" r="12700" b="5080"/>
                <wp:wrapNone/>
                <wp:docPr id="133" name="Canvas 59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g:wgp>
                        <wpg:cNvPr id="382" name="Group 580"/>
                        <wpg:cNvGrpSpPr>
                          <a:grpSpLocks/>
                        </wpg:cNvGrpSpPr>
                        <wpg:grpSpPr bwMode="auto">
                          <a:xfrm>
                            <a:off x="19059" y="0"/>
                            <a:ext cx="5952744" cy="2352675"/>
                            <a:chOff x="0" y="0"/>
                            <a:chExt cx="9370" cy="3712"/>
                          </a:xfrm>
                        </wpg:grpSpPr>
                        <wps:wsp>
                          <wps:cNvPr id="383" name="Rectangle 380"/>
                          <wps:cNvSpPr>
                            <a:spLocks noChangeArrowheads="1"/>
                          </wps:cNvSpPr>
                          <wps:spPr bwMode="auto">
                            <a:xfrm>
                              <a:off x="0" y="0"/>
                              <a:ext cx="9360" cy="746"/>
                            </a:xfrm>
                            <a:prstGeom prst="rect">
                              <a:avLst/>
                            </a:prstGeom>
                            <a:solidFill>
                              <a:srgbClr val="FFFFFF"/>
                            </a:solidFill>
                            <a:ln>
                              <a:noFill/>
                            </a:ln>
                            <a:extLst/>
                          </wps:spPr>
                          <wps:bodyPr rot="0" vert="horz" wrap="square" lIns="91440" tIns="45720" rIns="91440" bIns="45720" anchor="t" anchorCtr="0" upright="1">
                            <a:noAutofit/>
                          </wps:bodyPr>
                        </wps:wsp>
                        <wps:wsp>
                          <wps:cNvPr id="384" name="Line 381"/>
                          <wps:cNvCnPr>
                            <a:cxnSpLocks noChangeShapeType="1"/>
                          </wps:cNvCnPr>
                          <wps:spPr bwMode="auto">
                            <a:xfrm>
                              <a:off x="5245" y="222"/>
                              <a:ext cx="50" cy="0"/>
                            </a:xfrm>
                            <a:prstGeom prst="line">
                              <a:avLst/>
                            </a:prstGeom>
                            <a:noFill/>
                            <a:ln w="0">
                              <a:solidFill>
                                <a:srgbClr val="FF0000"/>
                              </a:solidFill>
                              <a:prstDash val="solid"/>
                              <a:round/>
                              <a:headEnd/>
                              <a:tailEnd/>
                            </a:ln>
                            <a:extLst/>
                          </wps:spPr>
                          <wps:bodyPr/>
                        </wps:wsp>
                        <wps:wsp>
                          <wps:cNvPr id="385" name="Rectangle 382"/>
                          <wps:cNvSpPr>
                            <a:spLocks noChangeArrowheads="1"/>
                          </wps:cNvSpPr>
                          <wps:spPr bwMode="auto">
                            <a:xfrm>
                              <a:off x="5245" y="222"/>
                              <a:ext cx="50" cy="10"/>
                            </a:xfrm>
                            <a:prstGeom prst="rect">
                              <a:avLst/>
                            </a:prstGeom>
                            <a:solidFill>
                              <a:srgbClr val="FF0000"/>
                            </a:solidFill>
                            <a:ln>
                              <a:noFill/>
                            </a:ln>
                            <a:extLst/>
                          </wps:spPr>
                          <wps:bodyPr rot="0" vert="horz" wrap="square" lIns="91440" tIns="45720" rIns="91440" bIns="45720" anchor="t" anchorCtr="0" upright="1">
                            <a:noAutofit/>
                          </wps:bodyPr>
                        </wps:wsp>
                        <wps:wsp>
                          <wps:cNvPr id="386" name="Line 383"/>
                          <wps:cNvCnPr>
                            <a:cxnSpLocks noChangeShapeType="1"/>
                          </wps:cNvCnPr>
                          <wps:spPr bwMode="auto">
                            <a:xfrm>
                              <a:off x="5255" y="232"/>
                              <a:ext cx="40" cy="0"/>
                            </a:xfrm>
                            <a:prstGeom prst="line">
                              <a:avLst/>
                            </a:prstGeom>
                            <a:noFill/>
                            <a:ln w="0">
                              <a:solidFill>
                                <a:srgbClr val="FF0000"/>
                              </a:solidFill>
                              <a:prstDash val="solid"/>
                              <a:round/>
                              <a:headEnd/>
                              <a:tailEnd/>
                            </a:ln>
                            <a:extLst/>
                          </wps:spPr>
                          <wps:bodyPr/>
                        </wps:wsp>
                        <wps:wsp>
                          <wps:cNvPr id="387" name="Rectangle 384"/>
                          <wps:cNvSpPr>
                            <a:spLocks noChangeArrowheads="1"/>
                          </wps:cNvSpPr>
                          <wps:spPr bwMode="auto">
                            <a:xfrm>
                              <a:off x="5255" y="232"/>
                              <a:ext cx="40" cy="10"/>
                            </a:xfrm>
                            <a:prstGeom prst="rect">
                              <a:avLst/>
                            </a:prstGeom>
                            <a:solidFill>
                              <a:srgbClr val="FF0000"/>
                            </a:solidFill>
                            <a:ln>
                              <a:noFill/>
                            </a:ln>
                            <a:extLst/>
                          </wps:spPr>
                          <wps:bodyPr rot="0" vert="horz" wrap="square" lIns="91440" tIns="45720" rIns="91440" bIns="45720" anchor="t" anchorCtr="0" upright="1">
                            <a:noAutofit/>
                          </wps:bodyPr>
                        </wps:wsp>
                        <wps:wsp>
                          <wps:cNvPr id="388" name="Line 385"/>
                          <wps:cNvCnPr>
                            <a:cxnSpLocks noChangeShapeType="1"/>
                          </wps:cNvCnPr>
                          <wps:spPr bwMode="auto">
                            <a:xfrm>
                              <a:off x="5265" y="242"/>
                              <a:ext cx="30" cy="0"/>
                            </a:xfrm>
                            <a:prstGeom prst="line">
                              <a:avLst/>
                            </a:prstGeom>
                            <a:noFill/>
                            <a:ln w="0">
                              <a:solidFill>
                                <a:srgbClr val="FF0000"/>
                              </a:solidFill>
                              <a:prstDash val="solid"/>
                              <a:round/>
                              <a:headEnd/>
                              <a:tailEnd/>
                            </a:ln>
                            <a:extLst/>
                          </wps:spPr>
                          <wps:bodyPr/>
                        </wps:wsp>
                        <wps:wsp>
                          <wps:cNvPr id="389" name="Rectangle 386"/>
                          <wps:cNvSpPr>
                            <a:spLocks noChangeArrowheads="1"/>
                          </wps:cNvSpPr>
                          <wps:spPr bwMode="auto">
                            <a:xfrm>
                              <a:off x="5265" y="242"/>
                              <a:ext cx="30" cy="10"/>
                            </a:xfrm>
                            <a:prstGeom prst="rect">
                              <a:avLst/>
                            </a:prstGeom>
                            <a:solidFill>
                              <a:srgbClr val="FF0000"/>
                            </a:solidFill>
                            <a:ln>
                              <a:noFill/>
                            </a:ln>
                            <a:extLst/>
                          </wps:spPr>
                          <wps:bodyPr rot="0" vert="horz" wrap="square" lIns="91440" tIns="45720" rIns="91440" bIns="45720" anchor="t" anchorCtr="0" upright="1">
                            <a:noAutofit/>
                          </wps:bodyPr>
                        </wps:wsp>
                        <wps:wsp>
                          <wps:cNvPr id="390" name="Line 387"/>
                          <wps:cNvCnPr>
                            <a:cxnSpLocks noChangeShapeType="1"/>
                          </wps:cNvCnPr>
                          <wps:spPr bwMode="auto">
                            <a:xfrm>
                              <a:off x="5275" y="252"/>
                              <a:ext cx="20" cy="0"/>
                            </a:xfrm>
                            <a:prstGeom prst="line">
                              <a:avLst/>
                            </a:prstGeom>
                            <a:noFill/>
                            <a:ln w="0">
                              <a:solidFill>
                                <a:srgbClr val="FF0000"/>
                              </a:solidFill>
                              <a:prstDash val="solid"/>
                              <a:round/>
                              <a:headEnd/>
                              <a:tailEnd/>
                            </a:ln>
                            <a:extLst/>
                          </wps:spPr>
                          <wps:bodyPr/>
                        </wps:wsp>
                        <wps:wsp>
                          <wps:cNvPr id="391" name="Rectangle 388"/>
                          <wps:cNvSpPr>
                            <a:spLocks noChangeArrowheads="1"/>
                          </wps:cNvSpPr>
                          <wps:spPr bwMode="auto">
                            <a:xfrm>
                              <a:off x="5275" y="252"/>
                              <a:ext cx="20" cy="10"/>
                            </a:xfrm>
                            <a:prstGeom prst="rect">
                              <a:avLst/>
                            </a:prstGeom>
                            <a:solidFill>
                              <a:srgbClr val="FF0000"/>
                            </a:solidFill>
                            <a:ln>
                              <a:noFill/>
                            </a:ln>
                            <a:extLst/>
                          </wps:spPr>
                          <wps:bodyPr rot="0" vert="horz" wrap="square" lIns="91440" tIns="45720" rIns="91440" bIns="45720" anchor="t" anchorCtr="0" upright="1">
                            <a:noAutofit/>
                          </wps:bodyPr>
                        </wps:wsp>
                        <wps:wsp>
                          <wps:cNvPr id="392" name="Line 389"/>
                          <wps:cNvCnPr>
                            <a:cxnSpLocks noChangeShapeType="1"/>
                          </wps:cNvCnPr>
                          <wps:spPr bwMode="auto">
                            <a:xfrm>
                              <a:off x="5285" y="262"/>
                              <a:ext cx="10" cy="0"/>
                            </a:xfrm>
                            <a:prstGeom prst="line">
                              <a:avLst/>
                            </a:prstGeom>
                            <a:noFill/>
                            <a:ln w="0">
                              <a:solidFill>
                                <a:srgbClr val="FF0000"/>
                              </a:solidFill>
                              <a:prstDash val="solid"/>
                              <a:round/>
                              <a:headEnd/>
                              <a:tailEnd/>
                            </a:ln>
                            <a:extLst/>
                          </wps:spPr>
                          <wps:bodyPr/>
                        </wps:wsp>
                        <wps:wsp>
                          <wps:cNvPr id="393" name="Rectangle 390"/>
                          <wps:cNvSpPr>
                            <a:spLocks noChangeArrowheads="1"/>
                          </wps:cNvSpPr>
                          <wps:spPr bwMode="auto">
                            <a:xfrm>
                              <a:off x="5285" y="262"/>
                              <a:ext cx="10" cy="10"/>
                            </a:xfrm>
                            <a:prstGeom prst="rect">
                              <a:avLst/>
                            </a:prstGeom>
                            <a:solidFill>
                              <a:srgbClr val="FF0000"/>
                            </a:solidFill>
                            <a:ln>
                              <a:noFill/>
                            </a:ln>
                            <a:extLst/>
                          </wps:spPr>
                          <wps:bodyPr rot="0" vert="horz" wrap="square" lIns="91440" tIns="45720" rIns="91440" bIns="45720" anchor="t" anchorCtr="0" upright="1">
                            <a:noAutofit/>
                          </wps:bodyPr>
                        </wps:wsp>
                        <wps:wsp>
                          <wps:cNvPr id="394" name="Rectangle 391"/>
                          <wps:cNvSpPr>
                            <a:spLocks noChangeArrowheads="1"/>
                          </wps:cNvSpPr>
                          <wps:spPr bwMode="auto">
                            <a:xfrm>
                              <a:off x="0" y="736"/>
                              <a:ext cx="9360" cy="2976"/>
                            </a:xfrm>
                            <a:prstGeom prst="rect">
                              <a:avLst/>
                            </a:prstGeom>
                            <a:solidFill>
                              <a:srgbClr val="FFFFFF"/>
                            </a:solidFill>
                            <a:ln>
                              <a:noFill/>
                            </a:ln>
                            <a:extLst/>
                          </wps:spPr>
                          <wps:bodyPr rot="0" vert="horz" wrap="square" lIns="91440" tIns="45720" rIns="91440" bIns="45720" anchor="t" anchorCtr="0" upright="1">
                            <a:noAutofit/>
                          </wps:bodyPr>
                        </wps:wsp>
                        <wps:wsp>
                          <wps:cNvPr id="395" name="Rectangle 392"/>
                          <wps:cNvSpPr>
                            <a:spLocks noChangeArrowheads="1"/>
                          </wps:cNvSpPr>
                          <wps:spPr bwMode="auto">
                            <a:xfrm>
                              <a:off x="1281" y="323"/>
                              <a:ext cx="772" cy="337"/>
                            </a:xfrm>
                            <a:prstGeom prst="rect">
                              <a:avLst/>
                            </a:prstGeom>
                            <a:noFill/>
                            <a:ln>
                              <a:noFill/>
                            </a:ln>
                            <a:extLst/>
                          </wps:spPr>
                          <wps:txbx>
                            <w:txbxContent>
                              <w:p w14:paraId="5DF56383" w14:textId="77777777" w:rsidR="00960899" w:rsidRDefault="00960899" w:rsidP="009E0CC9">
                                <w:r>
                                  <w:rPr>
                                    <w:rFonts w:ascii="Cambria" w:hAnsi="Cambria" w:cs="Cambria"/>
                                    <w:b/>
                                    <w:bCs/>
                                    <w:color w:val="000000"/>
                                    <w:sz w:val="14"/>
                                    <w:szCs w:val="14"/>
                                  </w:rPr>
                                  <w:t xml:space="preserve">Labor Force </w:t>
                                </w:r>
                              </w:p>
                            </w:txbxContent>
                          </wps:txbx>
                          <wps:bodyPr rot="0" vert="horz" wrap="square" lIns="0" tIns="0" rIns="0" bIns="0" anchor="t" anchorCtr="0">
                            <a:noAutofit/>
                          </wps:bodyPr>
                        </wps:wsp>
                        <wps:wsp>
                          <wps:cNvPr id="396" name="Rectangle 393"/>
                          <wps:cNvSpPr>
                            <a:spLocks noChangeArrowheads="1"/>
                          </wps:cNvSpPr>
                          <wps:spPr bwMode="auto">
                            <a:xfrm>
                              <a:off x="1241" y="494"/>
                              <a:ext cx="849" cy="337"/>
                            </a:xfrm>
                            <a:prstGeom prst="rect">
                              <a:avLst/>
                            </a:prstGeom>
                            <a:noFill/>
                            <a:ln>
                              <a:noFill/>
                            </a:ln>
                            <a:extLst/>
                          </wps:spPr>
                          <wps:txbx>
                            <w:txbxContent>
                              <w:p w14:paraId="16E4C101" w14:textId="77777777" w:rsidR="00960899" w:rsidRDefault="00960899" w:rsidP="009E0CC9">
                                <w:r>
                                  <w:rPr>
                                    <w:rFonts w:ascii="Cambria" w:hAnsi="Cambria" w:cs="Cambria"/>
                                    <w:b/>
                                    <w:bCs/>
                                    <w:color w:val="000000"/>
                                    <w:sz w:val="14"/>
                                    <w:szCs w:val="14"/>
                                  </w:rPr>
                                  <w:t>Participation</w:t>
                                </w:r>
                              </w:p>
                            </w:txbxContent>
                          </wps:txbx>
                          <wps:bodyPr rot="0" vert="horz" wrap="square" lIns="0" tIns="0" rIns="0" bIns="0" anchor="t" anchorCtr="0">
                            <a:noAutofit/>
                          </wps:bodyPr>
                        </wps:wsp>
                        <wps:wsp>
                          <wps:cNvPr id="397" name="Rectangle 394"/>
                          <wps:cNvSpPr>
                            <a:spLocks noChangeArrowheads="1"/>
                          </wps:cNvSpPr>
                          <wps:spPr bwMode="auto">
                            <a:xfrm>
                              <a:off x="2098" y="323"/>
                              <a:ext cx="1046" cy="337"/>
                            </a:xfrm>
                            <a:prstGeom prst="rect">
                              <a:avLst/>
                            </a:prstGeom>
                            <a:noFill/>
                            <a:ln>
                              <a:noFill/>
                            </a:ln>
                            <a:extLst/>
                          </wps:spPr>
                          <wps:txbx>
                            <w:txbxContent>
                              <w:p w14:paraId="333D3B3C" w14:textId="77777777" w:rsidR="00960899" w:rsidRDefault="00960899" w:rsidP="009E0CC9">
                                <w:r>
                                  <w:rPr>
                                    <w:rFonts w:ascii="Cambria" w:hAnsi="Cambria" w:cs="Cambria"/>
                                    <w:b/>
                                    <w:bCs/>
                                    <w:color w:val="000000"/>
                                    <w:sz w:val="14"/>
                                    <w:szCs w:val="14"/>
                                  </w:rPr>
                                  <w:t>Employment-to-</w:t>
                                </w:r>
                              </w:p>
                            </w:txbxContent>
                          </wps:txbx>
                          <wps:bodyPr rot="0" vert="horz" wrap="square" lIns="0" tIns="0" rIns="0" bIns="0" anchor="t" anchorCtr="0">
                            <a:noAutofit/>
                          </wps:bodyPr>
                        </wps:wsp>
                        <wps:wsp>
                          <wps:cNvPr id="398" name="Rectangle 395"/>
                          <wps:cNvSpPr>
                            <a:spLocks noChangeArrowheads="1"/>
                          </wps:cNvSpPr>
                          <wps:spPr bwMode="auto">
                            <a:xfrm>
                              <a:off x="2098" y="494"/>
                              <a:ext cx="1084" cy="337"/>
                            </a:xfrm>
                            <a:prstGeom prst="rect">
                              <a:avLst/>
                            </a:prstGeom>
                            <a:noFill/>
                            <a:ln>
                              <a:noFill/>
                            </a:ln>
                            <a:extLst/>
                          </wps:spPr>
                          <wps:txbx>
                            <w:txbxContent>
                              <w:p w14:paraId="22256978" w14:textId="77777777" w:rsidR="00960899" w:rsidRDefault="00960899" w:rsidP="009E0CC9">
                                <w:r>
                                  <w:rPr>
                                    <w:rFonts w:ascii="Cambria" w:hAnsi="Cambria" w:cs="Cambria"/>
                                    <w:b/>
                                    <w:bCs/>
                                    <w:color w:val="000000"/>
                                    <w:sz w:val="14"/>
                                    <w:szCs w:val="14"/>
                                  </w:rPr>
                                  <w:t>Population Ratio</w:t>
                                </w:r>
                              </w:p>
                            </w:txbxContent>
                          </wps:txbx>
                          <wps:bodyPr rot="0" vert="horz" wrap="square" lIns="0" tIns="0" rIns="0" bIns="0" anchor="t" anchorCtr="0">
                            <a:noAutofit/>
                          </wps:bodyPr>
                        </wps:wsp>
                        <wps:wsp>
                          <wps:cNvPr id="399" name="Rectangle 396"/>
                          <wps:cNvSpPr>
                            <a:spLocks noChangeArrowheads="1"/>
                          </wps:cNvSpPr>
                          <wps:spPr bwMode="auto">
                            <a:xfrm>
                              <a:off x="3308" y="323"/>
                              <a:ext cx="994" cy="337"/>
                            </a:xfrm>
                            <a:prstGeom prst="rect">
                              <a:avLst/>
                            </a:prstGeom>
                            <a:noFill/>
                            <a:ln>
                              <a:noFill/>
                            </a:ln>
                            <a:extLst/>
                          </wps:spPr>
                          <wps:txbx>
                            <w:txbxContent>
                              <w:p w14:paraId="4C43B7F9" w14:textId="77777777" w:rsidR="00960899" w:rsidRDefault="00960899" w:rsidP="009E0CC9">
                                <w:r>
                                  <w:rPr>
                                    <w:rFonts w:ascii="Cambria" w:hAnsi="Cambria" w:cs="Cambria"/>
                                    <w:b/>
                                    <w:bCs/>
                                    <w:color w:val="000000"/>
                                    <w:sz w:val="14"/>
                                    <w:szCs w:val="14"/>
                                  </w:rPr>
                                  <w:t xml:space="preserve">Unemployment </w:t>
                                </w:r>
                              </w:p>
                            </w:txbxContent>
                          </wps:txbx>
                          <wps:bodyPr rot="0" vert="horz" wrap="square" lIns="0" tIns="0" rIns="0" bIns="0" anchor="t" anchorCtr="0">
                            <a:noAutofit/>
                          </wps:bodyPr>
                        </wps:wsp>
                        <wps:wsp>
                          <wps:cNvPr id="400" name="Rectangle 397"/>
                          <wps:cNvSpPr>
                            <a:spLocks noChangeArrowheads="1"/>
                          </wps:cNvSpPr>
                          <wps:spPr bwMode="auto">
                            <a:xfrm>
                              <a:off x="3308" y="494"/>
                              <a:ext cx="293" cy="337"/>
                            </a:xfrm>
                            <a:prstGeom prst="rect">
                              <a:avLst/>
                            </a:prstGeom>
                            <a:noFill/>
                            <a:ln>
                              <a:noFill/>
                            </a:ln>
                            <a:extLst/>
                          </wps:spPr>
                          <wps:txbx>
                            <w:txbxContent>
                              <w:p w14:paraId="565D4B95" w14:textId="77777777" w:rsidR="00960899" w:rsidRDefault="00960899" w:rsidP="009E0CC9">
                                <w:r>
                                  <w:rPr>
                                    <w:rFonts w:ascii="Cambria" w:hAnsi="Cambria" w:cs="Cambria"/>
                                    <w:b/>
                                    <w:bCs/>
                                    <w:color w:val="000000"/>
                                    <w:sz w:val="14"/>
                                    <w:szCs w:val="14"/>
                                  </w:rPr>
                                  <w:t>Rate</w:t>
                                </w:r>
                              </w:p>
                            </w:txbxContent>
                          </wps:txbx>
                          <wps:bodyPr rot="0" vert="horz" wrap="square" lIns="0" tIns="0" rIns="0" bIns="0" anchor="t" anchorCtr="0">
                            <a:noAutofit/>
                          </wps:bodyPr>
                        </wps:wsp>
                        <wps:wsp>
                          <wps:cNvPr id="401" name="Rectangle 398"/>
                          <wps:cNvSpPr>
                            <a:spLocks noChangeArrowheads="1"/>
                          </wps:cNvSpPr>
                          <wps:spPr bwMode="auto">
                            <a:xfrm>
                              <a:off x="4307" y="323"/>
                              <a:ext cx="676" cy="337"/>
                            </a:xfrm>
                            <a:prstGeom prst="rect">
                              <a:avLst/>
                            </a:prstGeom>
                            <a:noFill/>
                            <a:ln>
                              <a:noFill/>
                            </a:ln>
                            <a:extLst/>
                          </wps:spPr>
                          <wps:txbx>
                            <w:txbxContent>
                              <w:p w14:paraId="5687FDC5" w14:textId="77777777" w:rsidR="00960899" w:rsidRDefault="00960899" w:rsidP="009E0CC9">
                                <w:r>
                                  <w:rPr>
                                    <w:rFonts w:ascii="Cambria" w:hAnsi="Cambria" w:cs="Cambria"/>
                                    <w:b/>
                                    <w:bCs/>
                                    <w:color w:val="000000"/>
                                    <w:sz w:val="14"/>
                                    <w:szCs w:val="14"/>
                                  </w:rPr>
                                  <w:t xml:space="preserve">Long-term </w:t>
                                </w:r>
                              </w:p>
                            </w:txbxContent>
                          </wps:txbx>
                          <wps:bodyPr rot="0" vert="horz" wrap="square" lIns="0" tIns="0" rIns="0" bIns="0" anchor="t" anchorCtr="0">
                            <a:noAutofit/>
                          </wps:bodyPr>
                        </wps:wsp>
                        <wps:wsp>
                          <wps:cNvPr id="402" name="Rectangle 399"/>
                          <wps:cNvSpPr>
                            <a:spLocks noChangeArrowheads="1"/>
                          </wps:cNvSpPr>
                          <wps:spPr bwMode="auto">
                            <a:xfrm>
                              <a:off x="4307" y="494"/>
                              <a:ext cx="994" cy="337"/>
                            </a:xfrm>
                            <a:prstGeom prst="rect">
                              <a:avLst/>
                            </a:prstGeom>
                            <a:noFill/>
                            <a:ln>
                              <a:noFill/>
                            </a:ln>
                            <a:extLst/>
                          </wps:spPr>
                          <wps:txbx>
                            <w:txbxContent>
                              <w:p w14:paraId="5F711533" w14:textId="77777777" w:rsidR="00960899" w:rsidRDefault="00960899" w:rsidP="009E0CC9">
                                <w:r>
                                  <w:rPr>
                                    <w:rFonts w:ascii="Cambria" w:hAnsi="Cambria" w:cs="Cambria"/>
                                    <w:b/>
                                    <w:bCs/>
                                    <w:color w:val="000000"/>
                                    <w:sz w:val="14"/>
                                    <w:szCs w:val="14"/>
                                  </w:rPr>
                                  <w:t>Unemployment</w:t>
                                </w:r>
                              </w:p>
                            </w:txbxContent>
                          </wps:txbx>
                          <wps:bodyPr rot="0" vert="horz" wrap="square" lIns="0" tIns="0" rIns="0" bIns="0" anchor="t" anchorCtr="0">
                            <a:noAutofit/>
                          </wps:bodyPr>
                        </wps:wsp>
                        <wps:wsp>
                          <wps:cNvPr id="403" name="Rectangle 400"/>
                          <wps:cNvSpPr>
                            <a:spLocks noChangeArrowheads="1"/>
                          </wps:cNvSpPr>
                          <wps:spPr bwMode="auto">
                            <a:xfrm>
                              <a:off x="5376" y="323"/>
                              <a:ext cx="772" cy="337"/>
                            </a:xfrm>
                            <a:prstGeom prst="rect">
                              <a:avLst/>
                            </a:prstGeom>
                            <a:noFill/>
                            <a:ln>
                              <a:noFill/>
                            </a:ln>
                            <a:extLst/>
                          </wps:spPr>
                          <wps:txbx>
                            <w:txbxContent>
                              <w:p w14:paraId="14967ECC" w14:textId="77777777" w:rsidR="00960899" w:rsidRDefault="00960899" w:rsidP="009E0CC9">
                                <w:r>
                                  <w:rPr>
                                    <w:rFonts w:ascii="Cambria" w:hAnsi="Cambria" w:cs="Cambria"/>
                                    <w:b/>
                                    <w:bCs/>
                                    <w:color w:val="000000"/>
                                    <w:sz w:val="14"/>
                                    <w:szCs w:val="14"/>
                                  </w:rPr>
                                  <w:t xml:space="preserve">Labor Force </w:t>
                                </w:r>
                              </w:p>
                            </w:txbxContent>
                          </wps:txbx>
                          <wps:bodyPr rot="0" vert="horz" wrap="square" lIns="0" tIns="0" rIns="0" bIns="0" anchor="t" anchorCtr="0">
                            <a:noAutofit/>
                          </wps:bodyPr>
                        </wps:wsp>
                        <wps:wsp>
                          <wps:cNvPr id="404" name="Rectangle 401"/>
                          <wps:cNvSpPr>
                            <a:spLocks noChangeArrowheads="1"/>
                          </wps:cNvSpPr>
                          <wps:spPr bwMode="auto">
                            <a:xfrm>
                              <a:off x="5336" y="494"/>
                              <a:ext cx="849" cy="337"/>
                            </a:xfrm>
                            <a:prstGeom prst="rect">
                              <a:avLst/>
                            </a:prstGeom>
                            <a:noFill/>
                            <a:ln>
                              <a:noFill/>
                            </a:ln>
                            <a:extLst/>
                          </wps:spPr>
                          <wps:txbx>
                            <w:txbxContent>
                              <w:p w14:paraId="2D456B4B" w14:textId="77777777" w:rsidR="00960899" w:rsidRDefault="00960899" w:rsidP="009E0CC9">
                                <w:r>
                                  <w:rPr>
                                    <w:rFonts w:ascii="Cambria" w:hAnsi="Cambria" w:cs="Cambria"/>
                                    <w:b/>
                                    <w:bCs/>
                                    <w:color w:val="000000"/>
                                    <w:sz w:val="14"/>
                                    <w:szCs w:val="14"/>
                                  </w:rPr>
                                  <w:t>Participation</w:t>
                                </w:r>
                              </w:p>
                            </w:txbxContent>
                          </wps:txbx>
                          <wps:bodyPr rot="0" vert="horz" wrap="square" lIns="0" tIns="0" rIns="0" bIns="0" anchor="t" anchorCtr="0">
                            <a:noAutofit/>
                          </wps:bodyPr>
                        </wps:wsp>
                        <wps:wsp>
                          <wps:cNvPr id="405" name="Rectangle 402"/>
                          <wps:cNvSpPr>
                            <a:spLocks noChangeArrowheads="1"/>
                          </wps:cNvSpPr>
                          <wps:spPr bwMode="auto">
                            <a:xfrm>
                              <a:off x="6203" y="323"/>
                              <a:ext cx="1046" cy="337"/>
                            </a:xfrm>
                            <a:prstGeom prst="rect">
                              <a:avLst/>
                            </a:prstGeom>
                            <a:noFill/>
                            <a:ln>
                              <a:noFill/>
                            </a:ln>
                            <a:extLst/>
                          </wps:spPr>
                          <wps:txbx>
                            <w:txbxContent>
                              <w:p w14:paraId="274A3533" w14:textId="77777777" w:rsidR="00960899" w:rsidRDefault="00960899" w:rsidP="009E0CC9">
                                <w:r>
                                  <w:rPr>
                                    <w:rFonts w:ascii="Cambria" w:hAnsi="Cambria" w:cs="Cambria"/>
                                    <w:b/>
                                    <w:bCs/>
                                    <w:color w:val="000000"/>
                                    <w:sz w:val="14"/>
                                    <w:szCs w:val="14"/>
                                  </w:rPr>
                                  <w:t>Employment-to-</w:t>
                                </w:r>
                              </w:p>
                            </w:txbxContent>
                          </wps:txbx>
                          <wps:bodyPr rot="0" vert="horz" wrap="square" lIns="0" tIns="0" rIns="0" bIns="0" anchor="t" anchorCtr="0">
                            <a:noAutofit/>
                          </wps:bodyPr>
                        </wps:wsp>
                        <wps:wsp>
                          <wps:cNvPr id="406" name="Rectangle 403"/>
                          <wps:cNvSpPr>
                            <a:spLocks noChangeArrowheads="1"/>
                          </wps:cNvSpPr>
                          <wps:spPr bwMode="auto">
                            <a:xfrm>
                              <a:off x="6203" y="494"/>
                              <a:ext cx="1084" cy="337"/>
                            </a:xfrm>
                            <a:prstGeom prst="rect">
                              <a:avLst/>
                            </a:prstGeom>
                            <a:noFill/>
                            <a:ln>
                              <a:noFill/>
                            </a:ln>
                            <a:extLst/>
                          </wps:spPr>
                          <wps:txbx>
                            <w:txbxContent>
                              <w:p w14:paraId="2771E42C" w14:textId="77777777" w:rsidR="00960899" w:rsidRDefault="00960899" w:rsidP="009E0CC9">
                                <w:r>
                                  <w:rPr>
                                    <w:rFonts w:ascii="Cambria" w:hAnsi="Cambria" w:cs="Cambria"/>
                                    <w:b/>
                                    <w:bCs/>
                                    <w:color w:val="000000"/>
                                    <w:sz w:val="14"/>
                                    <w:szCs w:val="14"/>
                                  </w:rPr>
                                  <w:t>Population Ratio</w:t>
                                </w:r>
                              </w:p>
                            </w:txbxContent>
                          </wps:txbx>
                          <wps:bodyPr rot="0" vert="horz" wrap="square" lIns="0" tIns="0" rIns="0" bIns="0" anchor="t" anchorCtr="0">
                            <a:noAutofit/>
                          </wps:bodyPr>
                        </wps:wsp>
                        <wps:wsp>
                          <wps:cNvPr id="407" name="Rectangle 404"/>
                          <wps:cNvSpPr>
                            <a:spLocks noChangeArrowheads="1"/>
                          </wps:cNvSpPr>
                          <wps:spPr bwMode="auto">
                            <a:xfrm>
                              <a:off x="7282" y="323"/>
                              <a:ext cx="994" cy="337"/>
                            </a:xfrm>
                            <a:prstGeom prst="rect">
                              <a:avLst/>
                            </a:prstGeom>
                            <a:noFill/>
                            <a:ln>
                              <a:noFill/>
                            </a:ln>
                            <a:extLst/>
                          </wps:spPr>
                          <wps:txbx>
                            <w:txbxContent>
                              <w:p w14:paraId="784200B1" w14:textId="77777777" w:rsidR="00960899" w:rsidRDefault="00960899" w:rsidP="009E0CC9">
                                <w:r>
                                  <w:rPr>
                                    <w:rFonts w:ascii="Cambria" w:hAnsi="Cambria" w:cs="Cambria"/>
                                    <w:b/>
                                    <w:bCs/>
                                    <w:color w:val="000000"/>
                                    <w:sz w:val="14"/>
                                    <w:szCs w:val="14"/>
                                  </w:rPr>
                                  <w:t xml:space="preserve">Unemployment </w:t>
                                </w:r>
                              </w:p>
                            </w:txbxContent>
                          </wps:txbx>
                          <wps:bodyPr rot="0" vert="horz" wrap="square" lIns="0" tIns="0" rIns="0" bIns="0" anchor="t" anchorCtr="0">
                            <a:noAutofit/>
                          </wps:bodyPr>
                        </wps:wsp>
                        <wps:wsp>
                          <wps:cNvPr id="408" name="Rectangle 405"/>
                          <wps:cNvSpPr>
                            <a:spLocks noChangeArrowheads="1"/>
                          </wps:cNvSpPr>
                          <wps:spPr bwMode="auto">
                            <a:xfrm>
                              <a:off x="7282" y="494"/>
                              <a:ext cx="293" cy="337"/>
                            </a:xfrm>
                            <a:prstGeom prst="rect">
                              <a:avLst/>
                            </a:prstGeom>
                            <a:noFill/>
                            <a:ln>
                              <a:noFill/>
                            </a:ln>
                            <a:extLst/>
                          </wps:spPr>
                          <wps:txbx>
                            <w:txbxContent>
                              <w:p w14:paraId="7A09ED70" w14:textId="77777777" w:rsidR="00960899" w:rsidRDefault="00960899" w:rsidP="009E0CC9">
                                <w:r>
                                  <w:rPr>
                                    <w:rFonts w:ascii="Cambria" w:hAnsi="Cambria" w:cs="Cambria"/>
                                    <w:b/>
                                    <w:bCs/>
                                    <w:color w:val="000000"/>
                                    <w:sz w:val="14"/>
                                    <w:szCs w:val="14"/>
                                  </w:rPr>
                                  <w:t>Rate</w:t>
                                </w:r>
                              </w:p>
                            </w:txbxContent>
                          </wps:txbx>
                          <wps:bodyPr rot="0" vert="horz" wrap="square" lIns="0" tIns="0" rIns="0" bIns="0" anchor="t" anchorCtr="0">
                            <a:noAutofit/>
                          </wps:bodyPr>
                        </wps:wsp>
                        <wps:wsp>
                          <wps:cNvPr id="409" name="Rectangle 406"/>
                          <wps:cNvSpPr>
                            <a:spLocks noChangeArrowheads="1"/>
                          </wps:cNvSpPr>
                          <wps:spPr bwMode="auto">
                            <a:xfrm>
                              <a:off x="8351" y="323"/>
                              <a:ext cx="676" cy="337"/>
                            </a:xfrm>
                            <a:prstGeom prst="rect">
                              <a:avLst/>
                            </a:prstGeom>
                            <a:noFill/>
                            <a:ln>
                              <a:noFill/>
                            </a:ln>
                            <a:extLst/>
                          </wps:spPr>
                          <wps:txbx>
                            <w:txbxContent>
                              <w:p w14:paraId="5846E73A" w14:textId="77777777" w:rsidR="00960899" w:rsidRDefault="00960899" w:rsidP="009E0CC9">
                                <w:r>
                                  <w:rPr>
                                    <w:rFonts w:ascii="Cambria" w:hAnsi="Cambria" w:cs="Cambria"/>
                                    <w:b/>
                                    <w:bCs/>
                                    <w:color w:val="000000"/>
                                    <w:sz w:val="14"/>
                                    <w:szCs w:val="14"/>
                                  </w:rPr>
                                  <w:t xml:space="preserve">Long-term </w:t>
                                </w:r>
                              </w:p>
                            </w:txbxContent>
                          </wps:txbx>
                          <wps:bodyPr rot="0" vert="horz" wrap="square" lIns="0" tIns="0" rIns="0" bIns="0" anchor="t" anchorCtr="0">
                            <a:noAutofit/>
                          </wps:bodyPr>
                        </wps:wsp>
                        <wps:wsp>
                          <wps:cNvPr id="410" name="Rectangle 407"/>
                          <wps:cNvSpPr>
                            <a:spLocks noChangeArrowheads="1"/>
                          </wps:cNvSpPr>
                          <wps:spPr bwMode="auto">
                            <a:xfrm>
                              <a:off x="8351" y="494"/>
                              <a:ext cx="994" cy="337"/>
                            </a:xfrm>
                            <a:prstGeom prst="rect">
                              <a:avLst/>
                            </a:prstGeom>
                            <a:noFill/>
                            <a:ln>
                              <a:noFill/>
                            </a:ln>
                            <a:extLst/>
                          </wps:spPr>
                          <wps:txbx>
                            <w:txbxContent>
                              <w:p w14:paraId="2955B38C" w14:textId="77777777" w:rsidR="00960899" w:rsidRDefault="00960899" w:rsidP="009E0CC9">
                                <w:r>
                                  <w:rPr>
                                    <w:rFonts w:ascii="Cambria" w:hAnsi="Cambria" w:cs="Cambria"/>
                                    <w:b/>
                                    <w:bCs/>
                                    <w:color w:val="000000"/>
                                    <w:sz w:val="14"/>
                                    <w:szCs w:val="14"/>
                                  </w:rPr>
                                  <w:t>Unemployment</w:t>
                                </w:r>
                              </w:p>
                            </w:txbxContent>
                          </wps:txbx>
                          <wps:bodyPr rot="0" vert="horz" wrap="square" lIns="0" tIns="0" rIns="0" bIns="0" anchor="t" anchorCtr="0">
                            <a:noAutofit/>
                          </wps:bodyPr>
                        </wps:wsp>
                        <wps:wsp>
                          <wps:cNvPr id="411" name="Rectangle 408"/>
                          <wps:cNvSpPr>
                            <a:spLocks noChangeArrowheads="1"/>
                          </wps:cNvSpPr>
                          <wps:spPr bwMode="auto">
                            <a:xfrm>
                              <a:off x="30" y="898"/>
                              <a:ext cx="593" cy="337"/>
                            </a:xfrm>
                            <a:prstGeom prst="rect">
                              <a:avLst/>
                            </a:prstGeom>
                            <a:noFill/>
                            <a:ln>
                              <a:noFill/>
                            </a:ln>
                            <a:extLst/>
                          </wps:spPr>
                          <wps:txbx>
                            <w:txbxContent>
                              <w:p w14:paraId="3E46C2A5" w14:textId="77777777" w:rsidR="00960899" w:rsidRDefault="00960899" w:rsidP="009E0CC9">
                                <w:r>
                                  <w:rPr>
                                    <w:rFonts w:ascii="Cambria" w:hAnsi="Cambria" w:cs="Cambria"/>
                                    <w:b/>
                                    <w:bCs/>
                                    <w:color w:val="000000"/>
                                    <w:sz w:val="14"/>
                                    <w:szCs w:val="14"/>
                                  </w:rPr>
                                  <w:t>Total (20</w:t>
                                </w:r>
                              </w:p>
                            </w:txbxContent>
                          </wps:txbx>
                          <wps:bodyPr rot="0" vert="horz" wrap="square" lIns="0" tIns="0" rIns="0" bIns="0" anchor="t" anchorCtr="0">
                            <a:noAutofit/>
                          </wps:bodyPr>
                        </wps:wsp>
                        <wps:wsp>
                          <wps:cNvPr id="412" name="Rectangle 409"/>
                          <wps:cNvSpPr>
                            <a:spLocks noChangeArrowheads="1"/>
                          </wps:cNvSpPr>
                          <wps:spPr bwMode="auto">
                            <a:xfrm>
                              <a:off x="585" y="898"/>
                              <a:ext cx="71" cy="337"/>
                            </a:xfrm>
                            <a:prstGeom prst="rect">
                              <a:avLst/>
                            </a:prstGeom>
                            <a:noFill/>
                            <a:ln>
                              <a:noFill/>
                            </a:ln>
                            <a:extLst/>
                          </wps:spPr>
                          <wps:txbx>
                            <w:txbxContent>
                              <w:p w14:paraId="6C51A47D" w14:textId="77777777" w:rsidR="00960899" w:rsidRDefault="00960899" w:rsidP="009E0CC9">
                                <w:r>
                                  <w:rPr>
                                    <w:rFonts w:ascii="Cambria" w:hAnsi="Cambria" w:cs="Cambria"/>
                                    <w:color w:val="000000"/>
                                    <w:sz w:val="14"/>
                                    <w:szCs w:val="14"/>
                                  </w:rPr>
                                  <w:t>–</w:t>
                                </w:r>
                              </w:p>
                            </w:txbxContent>
                          </wps:txbx>
                          <wps:bodyPr rot="0" vert="horz" wrap="square" lIns="0" tIns="0" rIns="0" bIns="0" anchor="t" anchorCtr="0">
                            <a:noAutofit/>
                          </wps:bodyPr>
                        </wps:wsp>
                        <wps:wsp>
                          <wps:cNvPr id="413" name="Rectangle 410"/>
                          <wps:cNvSpPr>
                            <a:spLocks noChangeArrowheads="1"/>
                          </wps:cNvSpPr>
                          <wps:spPr bwMode="auto">
                            <a:xfrm>
                              <a:off x="656" y="898"/>
                              <a:ext cx="223" cy="337"/>
                            </a:xfrm>
                            <a:prstGeom prst="rect">
                              <a:avLst/>
                            </a:prstGeom>
                            <a:noFill/>
                            <a:ln>
                              <a:noFill/>
                            </a:ln>
                            <a:extLst/>
                          </wps:spPr>
                          <wps:txbx>
                            <w:txbxContent>
                              <w:p w14:paraId="5958EEAE" w14:textId="77777777" w:rsidR="00960899" w:rsidRDefault="00960899" w:rsidP="009E0CC9">
                                <w:r>
                                  <w:rPr>
                                    <w:rFonts w:ascii="Cambria" w:hAnsi="Cambria" w:cs="Cambria"/>
                                    <w:b/>
                                    <w:bCs/>
                                    <w:color w:val="000000"/>
                                    <w:sz w:val="14"/>
                                    <w:szCs w:val="14"/>
                                  </w:rPr>
                                  <w:t>64)</w:t>
                                </w:r>
                              </w:p>
                            </w:txbxContent>
                          </wps:txbx>
                          <wps:bodyPr rot="0" vert="horz" wrap="square" lIns="0" tIns="0" rIns="0" bIns="0" anchor="t" anchorCtr="0">
                            <a:noAutofit/>
                          </wps:bodyPr>
                        </wps:wsp>
                        <wps:wsp>
                          <wps:cNvPr id="414" name="Rectangle 411"/>
                          <wps:cNvSpPr>
                            <a:spLocks noChangeArrowheads="1"/>
                          </wps:cNvSpPr>
                          <wps:spPr bwMode="auto">
                            <a:xfrm>
                              <a:off x="1473" y="908"/>
                              <a:ext cx="365" cy="337"/>
                            </a:xfrm>
                            <a:prstGeom prst="rect">
                              <a:avLst/>
                            </a:prstGeom>
                            <a:noFill/>
                            <a:ln>
                              <a:noFill/>
                            </a:ln>
                            <a:extLst/>
                          </wps:spPr>
                          <wps:txbx>
                            <w:txbxContent>
                              <w:p w14:paraId="228D3D01" w14:textId="77777777" w:rsidR="00960899" w:rsidRDefault="00960899" w:rsidP="009E0CC9">
                                <w:r>
                                  <w:rPr>
                                    <w:rFonts w:ascii="Cambria" w:hAnsi="Cambria" w:cs="Cambria"/>
                                    <w:b/>
                                    <w:bCs/>
                                    <w:color w:val="000000"/>
                                    <w:sz w:val="14"/>
                                    <w:szCs w:val="14"/>
                                  </w:rPr>
                                  <w:t>78.62</w:t>
                                </w:r>
                              </w:p>
                            </w:txbxContent>
                          </wps:txbx>
                          <wps:bodyPr rot="0" vert="horz" wrap="square" lIns="0" tIns="0" rIns="0" bIns="0" anchor="t" anchorCtr="0">
                            <a:noAutofit/>
                          </wps:bodyPr>
                        </wps:wsp>
                        <wps:wsp>
                          <wps:cNvPr id="415" name="Rectangle 412"/>
                          <wps:cNvSpPr>
                            <a:spLocks noChangeArrowheads="1"/>
                          </wps:cNvSpPr>
                          <wps:spPr bwMode="auto">
                            <a:xfrm>
                              <a:off x="2501" y="908"/>
                              <a:ext cx="365" cy="337"/>
                            </a:xfrm>
                            <a:prstGeom prst="rect">
                              <a:avLst/>
                            </a:prstGeom>
                            <a:noFill/>
                            <a:ln>
                              <a:noFill/>
                            </a:ln>
                            <a:extLst/>
                          </wps:spPr>
                          <wps:txbx>
                            <w:txbxContent>
                              <w:p w14:paraId="4542F281" w14:textId="77777777" w:rsidR="00960899" w:rsidRDefault="00960899" w:rsidP="009E0CC9">
                                <w:r>
                                  <w:rPr>
                                    <w:rFonts w:ascii="Cambria" w:hAnsi="Cambria" w:cs="Cambria"/>
                                    <w:b/>
                                    <w:bCs/>
                                    <w:color w:val="000000"/>
                                    <w:sz w:val="14"/>
                                    <w:szCs w:val="14"/>
                                  </w:rPr>
                                  <w:t>66.51</w:t>
                                </w:r>
                              </w:p>
                            </w:txbxContent>
                          </wps:txbx>
                          <wps:bodyPr rot="0" vert="horz" wrap="square" lIns="0" tIns="0" rIns="0" bIns="0" anchor="t" anchorCtr="0">
                            <a:noAutofit/>
                          </wps:bodyPr>
                        </wps:wsp>
                        <wps:wsp>
                          <wps:cNvPr id="416" name="Rectangle 413"/>
                          <wps:cNvSpPr>
                            <a:spLocks noChangeArrowheads="1"/>
                          </wps:cNvSpPr>
                          <wps:spPr bwMode="auto">
                            <a:xfrm>
                              <a:off x="3611" y="908"/>
                              <a:ext cx="365" cy="337"/>
                            </a:xfrm>
                            <a:prstGeom prst="rect">
                              <a:avLst/>
                            </a:prstGeom>
                            <a:noFill/>
                            <a:ln>
                              <a:noFill/>
                            </a:ln>
                            <a:extLst/>
                          </wps:spPr>
                          <wps:txbx>
                            <w:txbxContent>
                              <w:p w14:paraId="193F9F0E" w14:textId="77777777" w:rsidR="00960899" w:rsidRDefault="00960899" w:rsidP="009E0CC9">
                                <w:r>
                                  <w:rPr>
                                    <w:rFonts w:ascii="Cambria" w:hAnsi="Cambria" w:cs="Cambria"/>
                                    <w:b/>
                                    <w:bCs/>
                                    <w:color w:val="000000"/>
                                    <w:sz w:val="14"/>
                                    <w:szCs w:val="14"/>
                                  </w:rPr>
                                  <w:t>12.11</w:t>
                                </w:r>
                              </w:p>
                            </w:txbxContent>
                          </wps:txbx>
                          <wps:bodyPr rot="0" vert="horz" wrap="square" lIns="0" tIns="0" rIns="0" bIns="0" anchor="t" anchorCtr="0">
                            <a:noAutofit/>
                          </wps:bodyPr>
                        </wps:wsp>
                        <wps:wsp>
                          <wps:cNvPr id="417" name="Rectangle 414"/>
                          <wps:cNvSpPr>
                            <a:spLocks noChangeArrowheads="1"/>
                          </wps:cNvSpPr>
                          <wps:spPr bwMode="auto">
                            <a:xfrm>
                              <a:off x="4660" y="908"/>
                              <a:ext cx="282" cy="337"/>
                            </a:xfrm>
                            <a:prstGeom prst="rect">
                              <a:avLst/>
                            </a:prstGeom>
                            <a:noFill/>
                            <a:ln>
                              <a:noFill/>
                            </a:ln>
                            <a:extLst/>
                          </wps:spPr>
                          <wps:txbx>
                            <w:txbxContent>
                              <w:p w14:paraId="11EA0D68" w14:textId="77777777" w:rsidR="00960899" w:rsidRDefault="00960899" w:rsidP="009E0CC9">
                                <w:r>
                                  <w:rPr>
                                    <w:rFonts w:ascii="Cambria" w:hAnsi="Cambria" w:cs="Cambria"/>
                                    <w:b/>
                                    <w:bCs/>
                                    <w:color w:val="000000"/>
                                    <w:sz w:val="14"/>
                                    <w:szCs w:val="14"/>
                                  </w:rPr>
                                  <w:t>8.42</w:t>
                                </w:r>
                              </w:p>
                            </w:txbxContent>
                          </wps:txbx>
                          <wps:bodyPr rot="0" vert="horz" wrap="square" lIns="0" tIns="0" rIns="0" bIns="0" anchor="t" anchorCtr="0">
                            <a:noAutofit/>
                          </wps:bodyPr>
                        </wps:wsp>
                        <wps:wsp>
                          <wps:cNvPr id="418" name="Rectangle 415"/>
                          <wps:cNvSpPr>
                            <a:spLocks noChangeArrowheads="1"/>
                          </wps:cNvSpPr>
                          <wps:spPr bwMode="auto">
                            <a:xfrm>
                              <a:off x="5568" y="908"/>
                              <a:ext cx="365" cy="337"/>
                            </a:xfrm>
                            <a:prstGeom prst="rect">
                              <a:avLst/>
                            </a:prstGeom>
                            <a:noFill/>
                            <a:ln>
                              <a:noFill/>
                            </a:ln>
                            <a:extLst/>
                          </wps:spPr>
                          <wps:txbx>
                            <w:txbxContent>
                              <w:p w14:paraId="35571DBF" w14:textId="77777777" w:rsidR="00960899" w:rsidRDefault="00960899" w:rsidP="009E0CC9">
                                <w:r>
                                  <w:rPr>
                                    <w:rFonts w:ascii="Cambria" w:hAnsi="Cambria" w:cs="Cambria"/>
                                    <w:b/>
                                    <w:bCs/>
                                    <w:color w:val="000000"/>
                                    <w:sz w:val="14"/>
                                    <w:szCs w:val="14"/>
                                  </w:rPr>
                                  <w:t>67.73</w:t>
                                </w:r>
                              </w:p>
                            </w:txbxContent>
                          </wps:txbx>
                          <wps:bodyPr rot="0" vert="horz" wrap="square" lIns="0" tIns="0" rIns="0" bIns="0" anchor="t" anchorCtr="0">
                            <a:noAutofit/>
                          </wps:bodyPr>
                        </wps:wsp>
                        <wps:wsp>
                          <wps:cNvPr id="419" name="Rectangle 416"/>
                          <wps:cNvSpPr>
                            <a:spLocks noChangeArrowheads="1"/>
                          </wps:cNvSpPr>
                          <wps:spPr bwMode="auto">
                            <a:xfrm>
                              <a:off x="6586" y="908"/>
                              <a:ext cx="282" cy="337"/>
                            </a:xfrm>
                            <a:prstGeom prst="rect">
                              <a:avLst/>
                            </a:prstGeom>
                            <a:noFill/>
                            <a:ln>
                              <a:noFill/>
                            </a:ln>
                            <a:extLst/>
                          </wps:spPr>
                          <wps:txbx>
                            <w:txbxContent>
                              <w:p w14:paraId="742DB0C9" w14:textId="77777777" w:rsidR="00960899" w:rsidRDefault="00960899" w:rsidP="009E0CC9">
                                <w:r>
                                  <w:rPr>
                                    <w:rFonts w:ascii="Cambria" w:hAnsi="Cambria" w:cs="Cambria"/>
                                    <w:b/>
                                    <w:bCs/>
                                    <w:color w:val="000000"/>
                                    <w:sz w:val="14"/>
                                    <w:szCs w:val="14"/>
                                  </w:rPr>
                                  <w:t>42.5</w:t>
                                </w:r>
                              </w:p>
                            </w:txbxContent>
                          </wps:txbx>
                          <wps:bodyPr rot="0" vert="horz" wrap="square" lIns="0" tIns="0" rIns="0" bIns="0" anchor="t" anchorCtr="0">
                            <a:noAutofit/>
                          </wps:bodyPr>
                        </wps:wsp>
                        <wps:wsp>
                          <wps:cNvPr id="420" name="Rectangle 417"/>
                          <wps:cNvSpPr>
                            <a:spLocks noChangeArrowheads="1"/>
                          </wps:cNvSpPr>
                          <wps:spPr bwMode="auto">
                            <a:xfrm>
                              <a:off x="7615" y="908"/>
                              <a:ext cx="365" cy="337"/>
                            </a:xfrm>
                            <a:prstGeom prst="rect">
                              <a:avLst/>
                            </a:prstGeom>
                            <a:noFill/>
                            <a:ln>
                              <a:noFill/>
                            </a:ln>
                            <a:extLst/>
                          </wps:spPr>
                          <wps:txbx>
                            <w:txbxContent>
                              <w:p w14:paraId="21150775" w14:textId="77777777" w:rsidR="00960899" w:rsidRDefault="00960899" w:rsidP="009E0CC9">
                                <w:r>
                                  <w:rPr>
                                    <w:rFonts w:ascii="Cambria" w:hAnsi="Cambria" w:cs="Cambria"/>
                                    <w:b/>
                                    <w:bCs/>
                                    <w:color w:val="000000"/>
                                    <w:sz w:val="14"/>
                                    <w:szCs w:val="14"/>
                                  </w:rPr>
                                  <w:t>25.23</w:t>
                                </w:r>
                              </w:p>
                            </w:txbxContent>
                          </wps:txbx>
                          <wps:bodyPr rot="0" vert="horz" wrap="square" lIns="0" tIns="0" rIns="0" bIns="0" anchor="t" anchorCtr="0">
                            <a:noAutofit/>
                          </wps:bodyPr>
                        </wps:wsp>
                        <wps:wsp>
                          <wps:cNvPr id="421" name="Rectangle 418"/>
                          <wps:cNvSpPr>
                            <a:spLocks noChangeArrowheads="1"/>
                          </wps:cNvSpPr>
                          <wps:spPr bwMode="auto">
                            <a:xfrm>
                              <a:off x="8664" y="908"/>
                              <a:ext cx="365" cy="337"/>
                            </a:xfrm>
                            <a:prstGeom prst="rect">
                              <a:avLst/>
                            </a:prstGeom>
                            <a:noFill/>
                            <a:ln>
                              <a:noFill/>
                            </a:ln>
                            <a:extLst/>
                          </wps:spPr>
                          <wps:txbx>
                            <w:txbxContent>
                              <w:p w14:paraId="2BE7EDFC" w14:textId="77777777" w:rsidR="00960899" w:rsidRDefault="00960899" w:rsidP="009E0CC9">
                                <w:r>
                                  <w:rPr>
                                    <w:rFonts w:ascii="Cambria" w:hAnsi="Cambria" w:cs="Cambria"/>
                                    <w:b/>
                                    <w:bCs/>
                                    <w:color w:val="000000"/>
                                    <w:sz w:val="14"/>
                                    <w:szCs w:val="14"/>
                                  </w:rPr>
                                  <w:t>19.99</w:t>
                                </w:r>
                              </w:p>
                            </w:txbxContent>
                          </wps:txbx>
                          <wps:bodyPr rot="0" vert="horz" wrap="square" lIns="0" tIns="0" rIns="0" bIns="0" anchor="t" anchorCtr="0">
                            <a:noAutofit/>
                          </wps:bodyPr>
                        </wps:wsp>
                        <wps:wsp>
                          <wps:cNvPr id="422" name="Rectangle 419"/>
                          <wps:cNvSpPr>
                            <a:spLocks noChangeArrowheads="1"/>
                          </wps:cNvSpPr>
                          <wps:spPr bwMode="auto">
                            <a:xfrm>
                              <a:off x="30" y="1099"/>
                              <a:ext cx="596" cy="337"/>
                            </a:xfrm>
                            <a:prstGeom prst="rect">
                              <a:avLst/>
                            </a:prstGeom>
                            <a:noFill/>
                            <a:ln>
                              <a:noFill/>
                            </a:ln>
                            <a:extLst/>
                          </wps:spPr>
                          <wps:txbx>
                            <w:txbxContent>
                              <w:p w14:paraId="03C53DD3" w14:textId="77777777" w:rsidR="00960899" w:rsidRDefault="00960899" w:rsidP="009E0CC9">
                                <w:r>
                                  <w:rPr>
                                    <w:rFonts w:ascii="Cambria" w:hAnsi="Cambria" w:cs="Cambria"/>
                                    <w:color w:val="000000"/>
                                    <w:sz w:val="14"/>
                                    <w:szCs w:val="14"/>
                                  </w:rPr>
                                  <w:t>Youth (15</w:t>
                                </w:r>
                              </w:p>
                            </w:txbxContent>
                          </wps:txbx>
                          <wps:bodyPr rot="0" vert="horz" wrap="square" lIns="0" tIns="0" rIns="0" bIns="0" anchor="t" anchorCtr="0">
                            <a:noAutofit/>
                          </wps:bodyPr>
                        </wps:wsp>
                        <wps:wsp>
                          <wps:cNvPr id="423" name="Rectangle 420"/>
                          <wps:cNvSpPr>
                            <a:spLocks noChangeArrowheads="1"/>
                          </wps:cNvSpPr>
                          <wps:spPr bwMode="auto">
                            <a:xfrm>
                              <a:off x="575" y="1099"/>
                              <a:ext cx="71" cy="337"/>
                            </a:xfrm>
                            <a:prstGeom prst="rect">
                              <a:avLst/>
                            </a:prstGeom>
                            <a:noFill/>
                            <a:ln>
                              <a:noFill/>
                            </a:ln>
                            <a:extLst/>
                          </wps:spPr>
                          <wps:txbx>
                            <w:txbxContent>
                              <w:p w14:paraId="25B06D7D" w14:textId="77777777" w:rsidR="00960899" w:rsidRDefault="00960899" w:rsidP="009E0CC9">
                                <w:r>
                                  <w:rPr>
                                    <w:rFonts w:ascii="Cambria" w:hAnsi="Cambria" w:cs="Cambria"/>
                                    <w:color w:val="000000"/>
                                    <w:sz w:val="14"/>
                                    <w:szCs w:val="14"/>
                                  </w:rPr>
                                  <w:t>–</w:t>
                                </w:r>
                              </w:p>
                            </w:txbxContent>
                          </wps:txbx>
                          <wps:bodyPr rot="0" vert="horz" wrap="square" lIns="0" tIns="0" rIns="0" bIns="0" anchor="t" anchorCtr="0">
                            <a:noAutofit/>
                          </wps:bodyPr>
                        </wps:wsp>
                        <wps:wsp>
                          <wps:cNvPr id="424" name="Rectangle 421"/>
                          <wps:cNvSpPr>
                            <a:spLocks noChangeArrowheads="1"/>
                          </wps:cNvSpPr>
                          <wps:spPr bwMode="auto">
                            <a:xfrm>
                              <a:off x="646" y="1099"/>
                              <a:ext cx="209" cy="337"/>
                            </a:xfrm>
                            <a:prstGeom prst="rect">
                              <a:avLst/>
                            </a:prstGeom>
                            <a:noFill/>
                            <a:ln>
                              <a:noFill/>
                            </a:ln>
                            <a:extLst/>
                          </wps:spPr>
                          <wps:txbx>
                            <w:txbxContent>
                              <w:p w14:paraId="4EE5F35B" w14:textId="77777777" w:rsidR="00960899" w:rsidRDefault="00960899" w:rsidP="009E0CC9">
                                <w:r>
                                  <w:rPr>
                                    <w:rFonts w:ascii="Cambria" w:hAnsi="Cambria" w:cs="Cambria"/>
                                    <w:color w:val="000000"/>
                                    <w:sz w:val="14"/>
                                    <w:szCs w:val="14"/>
                                  </w:rPr>
                                  <w:t>24)</w:t>
                                </w:r>
                              </w:p>
                            </w:txbxContent>
                          </wps:txbx>
                          <wps:bodyPr rot="0" vert="horz" wrap="square" lIns="0" tIns="0" rIns="0" bIns="0" anchor="t" anchorCtr="0">
                            <a:noAutofit/>
                          </wps:bodyPr>
                        </wps:wsp>
                        <wps:wsp>
                          <wps:cNvPr id="425" name="Rectangle 422"/>
                          <wps:cNvSpPr>
                            <a:spLocks noChangeArrowheads="1"/>
                          </wps:cNvSpPr>
                          <wps:spPr bwMode="auto">
                            <a:xfrm>
                              <a:off x="1493" y="1109"/>
                              <a:ext cx="339" cy="337"/>
                            </a:xfrm>
                            <a:prstGeom prst="rect">
                              <a:avLst/>
                            </a:prstGeom>
                            <a:noFill/>
                            <a:ln>
                              <a:noFill/>
                            </a:ln>
                            <a:extLst/>
                          </wps:spPr>
                          <wps:txbx>
                            <w:txbxContent>
                              <w:p w14:paraId="65EFA2D0" w14:textId="77777777" w:rsidR="00960899" w:rsidRDefault="00960899" w:rsidP="009E0CC9">
                                <w:r>
                                  <w:rPr>
                                    <w:rFonts w:ascii="Cambria" w:hAnsi="Cambria" w:cs="Cambria"/>
                                    <w:color w:val="000000"/>
                                    <w:sz w:val="14"/>
                                    <w:szCs w:val="14"/>
                                  </w:rPr>
                                  <w:t>40.44</w:t>
                                </w:r>
                              </w:p>
                            </w:txbxContent>
                          </wps:txbx>
                          <wps:bodyPr rot="0" vert="horz" wrap="square" lIns="0" tIns="0" rIns="0" bIns="0" anchor="t" anchorCtr="0">
                            <a:noAutofit/>
                          </wps:bodyPr>
                        </wps:wsp>
                        <wps:wsp>
                          <wps:cNvPr id="426" name="Rectangle 423"/>
                          <wps:cNvSpPr>
                            <a:spLocks noChangeArrowheads="1"/>
                          </wps:cNvSpPr>
                          <wps:spPr bwMode="auto">
                            <a:xfrm>
                              <a:off x="2522" y="1109"/>
                              <a:ext cx="339" cy="337"/>
                            </a:xfrm>
                            <a:prstGeom prst="rect">
                              <a:avLst/>
                            </a:prstGeom>
                            <a:noFill/>
                            <a:ln>
                              <a:noFill/>
                            </a:ln>
                            <a:extLst/>
                          </wps:spPr>
                          <wps:txbx>
                            <w:txbxContent>
                              <w:p w14:paraId="55617B09" w14:textId="77777777" w:rsidR="00960899" w:rsidRDefault="00960899" w:rsidP="009E0CC9">
                                <w:r>
                                  <w:rPr>
                                    <w:rFonts w:ascii="Cambria" w:hAnsi="Cambria" w:cs="Cambria"/>
                                    <w:color w:val="000000"/>
                                    <w:sz w:val="14"/>
                                    <w:szCs w:val="14"/>
                                  </w:rPr>
                                  <w:t>26.78</w:t>
                                </w:r>
                              </w:p>
                            </w:txbxContent>
                          </wps:txbx>
                          <wps:bodyPr rot="0" vert="horz" wrap="square" lIns="0" tIns="0" rIns="0" bIns="0" anchor="t" anchorCtr="0">
                            <a:noAutofit/>
                          </wps:bodyPr>
                        </wps:wsp>
                        <wps:wsp>
                          <wps:cNvPr id="427" name="Rectangle 424"/>
                          <wps:cNvSpPr>
                            <a:spLocks noChangeArrowheads="1"/>
                          </wps:cNvSpPr>
                          <wps:spPr bwMode="auto">
                            <a:xfrm>
                              <a:off x="3631" y="1109"/>
                              <a:ext cx="339" cy="337"/>
                            </a:xfrm>
                            <a:prstGeom prst="rect">
                              <a:avLst/>
                            </a:prstGeom>
                            <a:noFill/>
                            <a:ln>
                              <a:noFill/>
                            </a:ln>
                            <a:extLst/>
                          </wps:spPr>
                          <wps:txbx>
                            <w:txbxContent>
                              <w:p w14:paraId="53D5FECE" w14:textId="77777777" w:rsidR="00960899" w:rsidRDefault="00960899" w:rsidP="009E0CC9">
                                <w:r>
                                  <w:rPr>
                                    <w:rFonts w:ascii="Cambria" w:hAnsi="Cambria" w:cs="Cambria"/>
                                    <w:color w:val="000000"/>
                                    <w:sz w:val="14"/>
                                    <w:szCs w:val="14"/>
                                  </w:rPr>
                                  <w:t>13.66</w:t>
                                </w:r>
                              </w:p>
                            </w:txbxContent>
                          </wps:txbx>
                          <wps:bodyPr rot="0" vert="horz" wrap="square" lIns="0" tIns="0" rIns="0" bIns="0" anchor="t" anchorCtr="0">
                            <a:noAutofit/>
                          </wps:bodyPr>
                        </wps:wsp>
                        <wps:wsp>
                          <wps:cNvPr id="428" name="Rectangle 425"/>
                          <wps:cNvSpPr>
                            <a:spLocks noChangeArrowheads="1"/>
                          </wps:cNvSpPr>
                          <wps:spPr bwMode="auto">
                            <a:xfrm>
                              <a:off x="4640" y="1109"/>
                              <a:ext cx="339" cy="337"/>
                            </a:xfrm>
                            <a:prstGeom prst="rect">
                              <a:avLst/>
                            </a:prstGeom>
                            <a:noFill/>
                            <a:ln>
                              <a:noFill/>
                            </a:ln>
                            <a:extLst/>
                          </wps:spPr>
                          <wps:txbx>
                            <w:txbxContent>
                              <w:p w14:paraId="4A13B6D0" w14:textId="77777777" w:rsidR="00960899" w:rsidRDefault="00960899" w:rsidP="009E0CC9">
                                <w:r>
                                  <w:rPr>
                                    <w:rFonts w:ascii="Cambria" w:hAnsi="Cambria" w:cs="Cambria"/>
                                    <w:color w:val="000000"/>
                                    <w:sz w:val="14"/>
                                    <w:szCs w:val="14"/>
                                  </w:rPr>
                                  <w:t>11.05</w:t>
                                </w:r>
                              </w:p>
                            </w:txbxContent>
                          </wps:txbx>
                          <wps:bodyPr rot="0" vert="horz" wrap="square" lIns="0" tIns="0" rIns="0" bIns="0" anchor="t" anchorCtr="0">
                            <a:noAutofit/>
                          </wps:bodyPr>
                        </wps:wsp>
                        <wps:wsp>
                          <wps:cNvPr id="429" name="Rectangle 426"/>
                          <wps:cNvSpPr>
                            <a:spLocks noChangeArrowheads="1"/>
                          </wps:cNvSpPr>
                          <wps:spPr bwMode="auto">
                            <a:xfrm>
                              <a:off x="5588" y="1109"/>
                              <a:ext cx="339" cy="337"/>
                            </a:xfrm>
                            <a:prstGeom prst="rect">
                              <a:avLst/>
                            </a:prstGeom>
                            <a:noFill/>
                            <a:ln>
                              <a:noFill/>
                            </a:ln>
                            <a:extLst/>
                          </wps:spPr>
                          <wps:txbx>
                            <w:txbxContent>
                              <w:p w14:paraId="0165927A" w14:textId="77777777" w:rsidR="00960899" w:rsidRDefault="00960899" w:rsidP="009E0CC9">
                                <w:r>
                                  <w:rPr>
                                    <w:rFonts w:ascii="Cambria" w:hAnsi="Cambria" w:cs="Cambria"/>
                                    <w:color w:val="000000"/>
                                    <w:sz w:val="14"/>
                                    <w:szCs w:val="14"/>
                                  </w:rPr>
                                  <w:t>34.53</w:t>
                                </w:r>
                              </w:p>
                            </w:txbxContent>
                          </wps:txbx>
                          <wps:bodyPr rot="0" vert="horz" wrap="square" lIns="0" tIns="0" rIns="0" bIns="0" anchor="t" anchorCtr="0">
                            <a:noAutofit/>
                          </wps:bodyPr>
                        </wps:wsp>
                        <wps:wsp>
                          <wps:cNvPr id="430" name="Rectangle 427"/>
                          <wps:cNvSpPr>
                            <a:spLocks noChangeArrowheads="1"/>
                          </wps:cNvSpPr>
                          <wps:spPr bwMode="auto">
                            <a:xfrm>
                              <a:off x="6566" y="1109"/>
                              <a:ext cx="339" cy="337"/>
                            </a:xfrm>
                            <a:prstGeom prst="rect">
                              <a:avLst/>
                            </a:prstGeom>
                            <a:noFill/>
                            <a:ln>
                              <a:noFill/>
                            </a:ln>
                            <a:extLst/>
                          </wps:spPr>
                          <wps:txbx>
                            <w:txbxContent>
                              <w:p w14:paraId="11AE3AFE" w14:textId="77777777" w:rsidR="00960899" w:rsidRDefault="00960899" w:rsidP="009E0CC9">
                                <w:r>
                                  <w:rPr>
                                    <w:rFonts w:ascii="Cambria" w:hAnsi="Cambria" w:cs="Cambria"/>
                                    <w:color w:val="000000"/>
                                    <w:sz w:val="14"/>
                                    <w:szCs w:val="14"/>
                                  </w:rPr>
                                  <w:t>12.27</w:t>
                                </w:r>
                              </w:p>
                            </w:txbxContent>
                          </wps:txbx>
                          <wps:bodyPr rot="0" vert="horz" wrap="square" lIns="0" tIns="0" rIns="0" bIns="0" anchor="t" anchorCtr="0">
                            <a:noAutofit/>
                          </wps:bodyPr>
                        </wps:wsp>
                        <wps:wsp>
                          <wps:cNvPr id="431" name="Rectangle 428"/>
                          <wps:cNvSpPr>
                            <a:spLocks noChangeArrowheads="1"/>
                          </wps:cNvSpPr>
                          <wps:spPr bwMode="auto">
                            <a:xfrm>
                              <a:off x="7635" y="1109"/>
                              <a:ext cx="339" cy="337"/>
                            </a:xfrm>
                            <a:prstGeom prst="rect">
                              <a:avLst/>
                            </a:prstGeom>
                            <a:noFill/>
                            <a:ln>
                              <a:noFill/>
                            </a:ln>
                            <a:extLst/>
                          </wps:spPr>
                          <wps:txbx>
                            <w:txbxContent>
                              <w:p w14:paraId="50B7EB00" w14:textId="77777777" w:rsidR="00960899" w:rsidRDefault="00960899" w:rsidP="009E0CC9">
                                <w:r>
                                  <w:rPr>
                                    <w:rFonts w:ascii="Cambria" w:hAnsi="Cambria" w:cs="Cambria"/>
                                    <w:color w:val="000000"/>
                                    <w:sz w:val="14"/>
                                    <w:szCs w:val="14"/>
                                  </w:rPr>
                                  <w:t>22.26</w:t>
                                </w:r>
                              </w:p>
                            </w:txbxContent>
                          </wps:txbx>
                          <wps:bodyPr rot="0" vert="horz" wrap="square" lIns="0" tIns="0" rIns="0" bIns="0" anchor="t" anchorCtr="0">
                            <a:noAutofit/>
                          </wps:bodyPr>
                        </wps:wsp>
                        <wps:wsp>
                          <wps:cNvPr id="432" name="Rectangle 429"/>
                          <wps:cNvSpPr>
                            <a:spLocks noChangeArrowheads="1"/>
                          </wps:cNvSpPr>
                          <wps:spPr bwMode="auto">
                            <a:xfrm>
                              <a:off x="8684" y="1109"/>
                              <a:ext cx="339" cy="337"/>
                            </a:xfrm>
                            <a:prstGeom prst="rect">
                              <a:avLst/>
                            </a:prstGeom>
                            <a:noFill/>
                            <a:ln>
                              <a:noFill/>
                            </a:ln>
                            <a:extLst/>
                          </wps:spPr>
                          <wps:txbx>
                            <w:txbxContent>
                              <w:p w14:paraId="553C3E8B" w14:textId="77777777" w:rsidR="00960899" w:rsidRDefault="00960899" w:rsidP="009E0CC9">
                                <w:r>
                                  <w:rPr>
                                    <w:rFonts w:ascii="Cambria" w:hAnsi="Cambria" w:cs="Cambria"/>
                                    <w:color w:val="000000"/>
                                    <w:sz w:val="14"/>
                                    <w:szCs w:val="14"/>
                                  </w:rPr>
                                  <w:t>18.57</w:t>
                                </w:r>
                              </w:p>
                            </w:txbxContent>
                          </wps:txbx>
                          <wps:bodyPr rot="0" vert="horz" wrap="square" lIns="0" tIns="0" rIns="0" bIns="0" anchor="t" anchorCtr="0">
                            <a:noAutofit/>
                          </wps:bodyPr>
                        </wps:wsp>
                        <wps:wsp>
                          <wps:cNvPr id="433" name="Rectangle 430"/>
                          <wps:cNvSpPr>
                            <a:spLocks noChangeArrowheads="1"/>
                          </wps:cNvSpPr>
                          <wps:spPr bwMode="auto">
                            <a:xfrm>
                              <a:off x="30" y="1301"/>
                              <a:ext cx="674" cy="337"/>
                            </a:xfrm>
                            <a:prstGeom prst="rect">
                              <a:avLst/>
                            </a:prstGeom>
                            <a:noFill/>
                            <a:ln>
                              <a:noFill/>
                            </a:ln>
                            <a:extLst/>
                          </wps:spPr>
                          <wps:txbx>
                            <w:txbxContent>
                              <w:p w14:paraId="1FFA24DF" w14:textId="77777777" w:rsidR="00960899" w:rsidRDefault="00960899" w:rsidP="009E0CC9">
                                <w:r>
                                  <w:rPr>
                                    <w:rFonts w:ascii="Cambria" w:hAnsi="Cambria" w:cs="Cambria"/>
                                    <w:color w:val="000000"/>
                                    <w:sz w:val="14"/>
                                    <w:szCs w:val="14"/>
                                  </w:rPr>
                                  <w:t>Female (20</w:t>
                                </w:r>
                              </w:p>
                            </w:txbxContent>
                          </wps:txbx>
                          <wps:bodyPr rot="0" vert="horz" wrap="square" lIns="0" tIns="0" rIns="0" bIns="0" anchor="t" anchorCtr="0">
                            <a:noAutofit/>
                          </wps:bodyPr>
                        </wps:wsp>
                        <wps:wsp>
                          <wps:cNvPr id="434" name="Rectangle 431"/>
                          <wps:cNvSpPr>
                            <a:spLocks noChangeArrowheads="1"/>
                          </wps:cNvSpPr>
                          <wps:spPr bwMode="auto">
                            <a:xfrm>
                              <a:off x="656" y="1301"/>
                              <a:ext cx="71" cy="337"/>
                            </a:xfrm>
                            <a:prstGeom prst="rect">
                              <a:avLst/>
                            </a:prstGeom>
                            <a:noFill/>
                            <a:ln>
                              <a:noFill/>
                            </a:ln>
                            <a:extLst/>
                          </wps:spPr>
                          <wps:txbx>
                            <w:txbxContent>
                              <w:p w14:paraId="794017B5" w14:textId="77777777" w:rsidR="00960899" w:rsidRDefault="00960899" w:rsidP="009E0CC9">
                                <w:r>
                                  <w:rPr>
                                    <w:rFonts w:ascii="Cambria" w:hAnsi="Cambria" w:cs="Cambria"/>
                                    <w:color w:val="000000"/>
                                    <w:sz w:val="14"/>
                                    <w:szCs w:val="14"/>
                                  </w:rPr>
                                  <w:t>–</w:t>
                                </w:r>
                              </w:p>
                            </w:txbxContent>
                          </wps:txbx>
                          <wps:bodyPr rot="0" vert="horz" wrap="square" lIns="0" tIns="0" rIns="0" bIns="0" anchor="t" anchorCtr="0">
                            <a:noAutofit/>
                          </wps:bodyPr>
                        </wps:wsp>
                        <wps:wsp>
                          <wps:cNvPr id="435" name="Rectangle 432"/>
                          <wps:cNvSpPr>
                            <a:spLocks noChangeArrowheads="1"/>
                          </wps:cNvSpPr>
                          <wps:spPr bwMode="auto">
                            <a:xfrm>
                              <a:off x="726" y="1301"/>
                              <a:ext cx="209" cy="337"/>
                            </a:xfrm>
                            <a:prstGeom prst="rect">
                              <a:avLst/>
                            </a:prstGeom>
                            <a:noFill/>
                            <a:ln>
                              <a:noFill/>
                            </a:ln>
                            <a:extLst/>
                          </wps:spPr>
                          <wps:txbx>
                            <w:txbxContent>
                              <w:p w14:paraId="1BA30FA2" w14:textId="77777777" w:rsidR="00960899" w:rsidRDefault="00960899" w:rsidP="009E0CC9">
                                <w:r>
                                  <w:rPr>
                                    <w:rFonts w:ascii="Cambria" w:hAnsi="Cambria" w:cs="Cambria"/>
                                    <w:color w:val="000000"/>
                                    <w:sz w:val="14"/>
                                    <w:szCs w:val="14"/>
                                  </w:rPr>
                                  <w:t>64)</w:t>
                                </w:r>
                              </w:p>
                            </w:txbxContent>
                          </wps:txbx>
                          <wps:bodyPr rot="0" vert="horz" wrap="square" lIns="0" tIns="0" rIns="0" bIns="0" anchor="t" anchorCtr="0">
                            <a:noAutofit/>
                          </wps:bodyPr>
                        </wps:wsp>
                        <wps:wsp>
                          <wps:cNvPr id="436" name="Rectangle 433"/>
                          <wps:cNvSpPr>
                            <a:spLocks noChangeArrowheads="1"/>
                          </wps:cNvSpPr>
                          <wps:spPr bwMode="auto">
                            <a:xfrm>
                              <a:off x="1493" y="1311"/>
                              <a:ext cx="339" cy="337"/>
                            </a:xfrm>
                            <a:prstGeom prst="rect">
                              <a:avLst/>
                            </a:prstGeom>
                            <a:noFill/>
                            <a:ln>
                              <a:noFill/>
                            </a:ln>
                            <a:extLst/>
                          </wps:spPr>
                          <wps:txbx>
                            <w:txbxContent>
                              <w:p w14:paraId="3A5965B7" w14:textId="77777777" w:rsidR="00960899" w:rsidRDefault="00960899" w:rsidP="009E0CC9">
                                <w:r>
                                  <w:rPr>
                                    <w:rFonts w:ascii="Cambria" w:hAnsi="Cambria" w:cs="Cambria"/>
                                    <w:color w:val="000000"/>
                                    <w:sz w:val="14"/>
                                    <w:szCs w:val="14"/>
                                  </w:rPr>
                                  <w:t>68.64</w:t>
                                </w:r>
                              </w:p>
                            </w:txbxContent>
                          </wps:txbx>
                          <wps:bodyPr rot="0" vert="horz" wrap="square" lIns="0" tIns="0" rIns="0" bIns="0" anchor="t" anchorCtr="0">
                            <a:noAutofit/>
                          </wps:bodyPr>
                        </wps:wsp>
                        <wps:wsp>
                          <wps:cNvPr id="437" name="Rectangle 434"/>
                          <wps:cNvSpPr>
                            <a:spLocks noChangeArrowheads="1"/>
                          </wps:cNvSpPr>
                          <wps:spPr bwMode="auto">
                            <a:xfrm>
                              <a:off x="2522" y="1311"/>
                              <a:ext cx="339" cy="337"/>
                            </a:xfrm>
                            <a:prstGeom prst="rect">
                              <a:avLst/>
                            </a:prstGeom>
                            <a:noFill/>
                            <a:ln>
                              <a:noFill/>
                            </a:ln>
                            <a:extLst/>
                          </wps:spPr>
                          <wps:txbx>
                            <w:txbxContent>
                              <w:p w14:paraId="1C6D0725" w14:textId="77777777" w:rsidR="00960899" w:rsidRDefault="00960899" w:rsidP="009E0CC9">
                                <w:r>
                                  <w:rPr>
                                    <w:rFonts w:ascii="Cambria" w:hAnsi="Cambria" w:cs="Cambria"/>
                                    <w:color w:val="000000"/>
                                    <w:sz w:val="14"/>
                                    <w:szCs w:val="14"/>
                                  </w:rPr>
                                  <w:t>59.18</w:t>
                                </w:r>
                              </w:p>
                            </w:txbxContent>
                          </wps:txbx>
                          <wps:bodyPr rot="0" vert="horz" wrap="square" lIns="0" tIns="0" rIns="0" bIns="0" anchor="t" anchorCtr="0">
                            <a:noAutofit/>
                          </wps:bodyPr>
                        </wps:wsp>
                        <wps:wsp>
                          <wps:cNvPr id="438" name="Rectangle 435"/>
                          <wps:cNvSpPr>
                            <a:spLocks noChangeArrowheads="1"/>
                          </wps:cNvSpPr>
                          <wps:spPr bwMode="auto">
                            <a:xfrm>
                              <a:off x="3661" y="1311"/>
                              <a:ext cx="262" cy="337"/>
                            </a:xfrm>
                            <a:prstGeom prst="rect">
                              <a:avLst/>
                            </a:prstGeom>
                            <a:noFill/>
                            <a:ln>
                              <a:noFill/>
                            </a:ln>
                            <a:extLst/>
                          </wps:spPr>
                          <wps:txbx>
                            <w:txbxContent>
                              <w:p w14:paraId="33A6B60C" w14:textId="77777777" w:rsidR="00960899" w:rsidRDefault="00960899" w:rsidP="009E0CC9">
                                <w:r>
                                  <w:rPr>
                                    <w:rFonts w:ascii="Cambria" w:hAnsi="Cambria" w:cs="Cambria"/>
                                    <w:color w:val="000000"/>
                                    <w:sz w:val="14"/>
                                    <w:szCs w:val="14"/>
                                  </w:rPr>
                                  <w:t>9.47</w:t>
                                </w:r>
                              </w:p>
                            </w:txbxContent>
                          </wps:txbx>
                          <wps:bodyPr rot="0" vert="horz" wrap="square" lIns="0" tIns="0" rIns="0" bIns="0" anchor="t" anchorCtr="0">
                            <a:noAutofit/>
                          </wps:bodyPr>
                        </wps:wsp>
                        <wps:wsp>
                          <wps:cNvPr id="439" name="Rectangle 436"/>
                          <wps:cNvSpPr>
                            <a:spLocks noChangeArrowheads="1"/>
                          </wps:cNvSpPr>
                          <wps:spPr bwMode="auto">
                            <a:xfrm>
                              <a:off x="4670" y="1311"/>
                              <a:ext cx="262" cy="337"/>
                            </a:xfrm>
                            <a:prstGeom prst="rect">
                              <a:avLst/>
                            </a:prstGeom>
                            <a:noFill/>
                            <a:ln>
                              <a:noFill/>
                            </a:ln>
                            <a:extLst/>
                          </wps:spPr>
                          <wps:txbx>
                            <w:txbxContent>
                              <w:p w14:paraId="05486CFE" w14:textId="77777777" w:rsidR="00960899" w:rsidRDefault="00960899" w:rsidP="009E0CC9">
                                <w:r>
                                  <w:rPr>
                                    <w:rFonts w:ascii="Cambria" w:hAnsi="Cambria" w:cs="Cambria"/>
                                    <w:color w:val="000000"/>
                                    <w:sz w:val="14"/>
                                    <w:szCs w:val="14"/>
                                  </w:rPr>
                                  <w:t>7.68</w:t>
                                </w:r>
                              </w:p>
                            </w:txbxContent>
                          </wps:txbx>
                          <wps:bodyPr rot="0" vert="horz" wrap="square" lIns="0" tIns="0" rIns="0" bIns="0" anchor="t" anchorCtr="0">
                            <a:noAutofit/>
                          </wps:bodyPr>
                        </wps:wsp>
                        <wps:wsp>
                          <wps:cNvPr id="440" name="Rectangle 437"/>
                          <wps:cNvSpPr>
                            <a:spLocks noChangeArrowheads="1"/>
                          </wps:cNvSpPr>
                          <wps:spPr bwMode="auto">
                            <a:xfrm>
                              <a:off x="5588" y="1311"/>
                              <a:ext cx="339" cy="337"/>
                            </a:xfrm>
                            <a:prstGeom prst="rect">
                              <a:avLst/>
                            </a:prstGeom>
                            <a:noFill/>
                            <a:ln>
                              <a:noFill/>
                            </a:ln>
                            <a:extLst/>
                          </wps:spPr>
                          <wps:txbx>
                            <w:txbxContent>
                              <w:p w14:paraId="367BA20E" w14:textId="77777777" w:rsidR="00960899" w:rsidRDefault="00960899" w:rsidP="009E0CC9">
                                <w:r>
                                  <w:rPr>
                                    <w:rFonts w:ascii="Cambria" w:hAnsi="Cambria" w:cs="Cambria"/>
                                    <w:color w:val="000000"/>
                                    <w:sz w:val="14"/>
                                    <w:szCs w:val="14"/>
                                  </w:rPr>
                                  <w:t>56.19</w:t>
                                </w:r>
                              </w:p>
                            </w:txbxContent>
                          </wps:txbx>
                          <wps:bodyPr rot="0" vert="horz" wrap="square" lIns="0" tIns="0" rIns="0" bIns="0" anchor="t" anchorCtr="0">
                            <a:noAutofit/>
                          </wps:bodyPr>
                        </wps:wsp>
                        <wps:wsp>
                          <wps:cNvPr id="441" name="Rectangle 438"/>
                          <wps:cNvSpPr>
                            <a:spLocks noChangeArrowheads="1"/>
                          </wps:cNvSpPr>
                          <wps:spPr bwMode="auto">
                            <a:xfrm>
                              <a:off x="6566" y="1311"/>
                              <a:ext cx="339" cy="337"/>
                            </a:xfrm>
                            <a:prstGeom prst="rect">
                              <a:avLst/>
                            </a:prstGeom>
                            <a:noFill/>
                            <a:ln>
                              <a:noFill/>
                            </a:ln>
                            <a:extLst/>
                          </wps:spPr>
                          <wps:txbx>
                            <w:txbxContent>
                              <w:p w14:paraId="0F56BE64" w14:textId="77777777" w:rsidR="00960899" w:rsidRDefault="00960899" w:rsidP="009E0CC9">
                                <w:r>
                                  <w:rPr>
                                    <w:rFonts w:ascii="Cambria" w:hAnsi="Cambria" w:cs="Cambria"/>
                                    <w:color w:val="000000"/>
                                    <w:sz w:val="14"/>
                                    <w:szCs w:val="14"/>
                                  </w:rPr>
                                  <w:t>36.67</w:t>
                                </w:r>
                              </w:p>
                            </w:txbxContent>
                          </wps:txbx>
                          <wps:bodyPr rot="0" vert="horz" wrap="square" lIns="0" tIns="0" rIns="0" bIns="0" anchor="t" anchorCtr="0">
                            <a:noAutofit/>
                          </wps:bodyPr>
                        </wps:wsp>
                        <wps:wsp>
                          <wps:cNvPr id="442" name="Rectangle 439"/>
                          <wps:cNvSpPr>
                            <a:spLocks noChangeArrowheads="1"/>
                          </wps:cNvSpPr>
                          <wps:spPr bwMode="auto">
                            <a:xfrm>
                              <a:off x="7635" y="1311"/>
                              <a:ext cx="339" cy="337"/>
                            </a:xfrm>
                            <a:prstGeom prst="rect">
                              <a:avLst/>
                            </a:prstGeom>
                            <a:noFill/>
                            <a:ln>
                              <a:noFill/>
                            </a:ln>
                            <a:extLst/>
                          </wps:spPr>
                          <wps:txbx>
                            <w:txbxContent>
                              <w:p w14:paraId="67DD4E46" w14:textId="77777777" w:rsidR="00960899" w:rsidRDefault="00960899" w:rsidP="009E0CC9">
                                <w:r>
                                  <w:rPr>
                                    <w:rFonts w:ascii="Cambria" w:hAnsi="Cambria" w:cs="Cambria"/>
                                    <w:color w:val="000000"/>
                                    <w:sz w:val="14"/>
                                    <w:szCs w:val="14"/>
                                  </w:rPr>
                                  <w:t>19.52</w:t>
                                </w:r>
                              </w:p>
                            </w:txbxContent>
                          </wps:txbx>
                          <wps:bodyPr rot="0" vert="horz" wrap="square" lIns="0" tIns="0" rIns="0" bIns="0" anchor="t" anchorCtr="0">
                            <a:noAutofit/>
                          </wps:bodyPr>
                        </wps:wsp>
                        <wps:wsp>
                          <wps:cNvPr id="443" name="Rectangle 440"/>
                          <wps:cNvSpPr>
                            <a:spLocks noChangeArrowheads="1"/>
                          </wps:cNvSpPr>
                          <wps:spPr bwMode="auto">
                            <a:xfrm>
                              <a:off x="8684" y="1311"/>
                              <a:ext cx="339" cy="337"/>
                            </a:xfrm>
                            <a:prstGeom prst="rect">
                              <a:avLst/>
                            </a:prstGeom>
                            <a:noFill/>
                            <a:ln>
                              <a:noFill/>
                            </a:ln>
                            <a:extLst/>
                          </wps:spPr>
                          <wps:txbx>
                            <w:txbxContent>
                              <w:p w14:paraId="0C918DB2" w14:textId="77777777" w:rsidR="00960899" w:rsidRDefault="00960899" w:rsidP="009E0CC9">
                                <w:r>
                                  <w:rPr>
                                    <w:rFonts w:ascii="Cambria" w:hAnsi="Cambria" w:cs="Cambria"/>
                                    <w:color w:val="000000"/>
                                    <w:sz w:val="14"/>
                                    <w:szCs w:val="14"/>
                                  </w:rPr>
                                  <w:t>17.54</w:t>
                                </w:r>
                              </w:p>
                            </w:txbxContent>
                          </wps:txbx>
                          <wps:bodyPr rot="0" vert="horz" wrap="square" lIns="0" tIns="0" rIns="0" bIns="0" anchor="t" anchorCtr="0">
                            <a:noAutofit/>
                          </wps:bodyPr>
                        </wps:wsp>
                        <wps:wsp>
                          <wps:cNvPr id="444" name="Rectangle 441"/>
                          <wps:cNvSpPr>
                            <a:spLocks noChangeArrowheads="1"/>
                          </wps:cNvSpPr>
                          <wps:spPr bwMode="auto">
                            <a:xfrm>
                              <a:off x="30" y="1503"/>
                              <a:ext cx="529" cy="337"/>
                            </a:xfrm>
                            <a:prstGeom prst="rect">
                              <a:avLst/>
                            </a:prstGeom>
                            <a:noFill/>
                            <a:ln>
                              <a:noFill/>
                            </a:ln>
                            <a:extLst/>
                          </wps:spPr>
                          <wps:txbx>
                            <w:txbxContent>
                              <w:p w14:paraId="58F21560" w14:textId="77777777" w:rsidR="00960899" w:rsidRDefault="00960899" w:rsidP="009E0CC9">
                                <w:r>
                                  <w:rPr>
                                    <w:rFonts w:ascii="Cambria" w:hAnsi="Cambria" w:cs="Cambria"/>
                                    <w:color w:val="000000"/>
                                    <w:sz w:val="14"/>
                                    <w:szCs w:val="14"/>
                                  </w:rPr>
                                  <w:t>Male (20</w:t>
                                </w:r>
                              </w:p>
                            </w:txbxContent>
                          </wps:txbx>
                          <wps:bodyPr rot="0" vert="horz" wrap="square" lIns="0" tIns="0" rIns="0" bIns="0" anchor="t" anchorCtr="0">
                            <a:noAutofit/>
                          </wps:bodyPr>
                        </wps:wsp>
                        <wps:wsp>
                          <wps:cNvPr id="445" name="Rectangle 442"/>
                          <wps:cNvSpPr>
                            <a:spLocks noChangeArrowheads="1"/>
                          </wps:cNvSpPr>
                          <wps:spPr bwMode="auto">
                            <a:xfrm>
                              <a:off x="524" y="1503"/>
                              <a:ext cx="71" cy="337"/>
                            </a:xfrm>
                            <a:prstGeom prst="rect">
                              <a:avLst/>
                            </a:prstGeom>
                            <a:noFill/>
                            <a:ln>
                              <a:noFill/>
                            </a:ln>
                            <a:extLst/>
                          </wps:spPr>
                          <wps:txbx>
                            <w:txbxContent>
                              <w:p w14:paraId="3BDB8C62" w14:textId="77777777" w:rsidR="00960899" w:rsidRDefault="00960899" w:rsidP="009E0CC9">
                                <w:r>
                                  <w:rPr>
                                    <w:rFonts w:ascii="Cambria" w:hAnsi="Cambria" w:cs="Cambria"/>
                                    <w:color w:val="000000"/>
                                    <w:sz w:val="14"/>
                                    <w:szCs w:val="14"/>
                                  </w:rPr>
                                  <w:t>–</w:t>
                                </w:r>
                              </w:p>
                            </w:txbxContent>
                          </wps:txbx>
                          <wps:bodyPr rot="0" vert="horz" wrap="square" lIns="0" tIns="0" rIns="0" bIns="0" anchor="t" anchorCtr="0">
                            <a:noAutofit/>
                          </wps:bodyPr>
                        </wps:wsp>
                        <wps:wsp>
                          <wps:cNvPr id="446" name="Rectangle 443"/>
                          <wps:cNvSpPr>
                            <a:spLocks noChangeArrowheads="1"/>
                          </wps:cNvSpPr>
                          <wps:spPr bwMode="auto">
                            <a:xfrm>
                              <a:off x="595" y="1503"/>
                              <a:ext cx="209" cy="337"/>
                            </a:xfrm>
                            <a:prstGeom prst="rect">
                              <a:avLst/>
                            </a:prstGeom>
                            <a:noFill/>
                            <a:ln>
                              <a:noFill/>
                            </a:ln>
                            <a:extLst/>
                          </wps:spPr>
                          <wps:txbx>
                            <w:txbxContent>
                              <w:p w14:paraId="12C46226" w14:textId="77777777" w:rsidR="00960899" w:rsidRDefault="00960899" w:rsidP="009E0CC9">
                                <w:r>
                                  <w:rPr>
                                    <w:rFonts w:ascii="Cambria" w:hAnsi="Cambria" w:cs="Cambria"/>
                                    <w:color w:val="000000"/>
                                    <w:sz w:val="14"/>
                                    <w:szCs w:val="14"/>
                                  </w:rPr>
                                  <w:t>64)</w:t>
                                </w:r>
                              </w:p>
                            </w:txbxContent>
                          </wps:txbx>
                          <wps:bodyPr rot="0" vert="horz" wrap="square" lIns="0" tIns="0" rIns="0" bIns="0" anchor="t" anchorCtr="0">
                            <a:noAutofit/>
                          </wps:bodyPr>
                        </wps:wsp>
                        <wps:wsp>
                          <wps:cNvPr id="447" name="Rectangle 444"/>
                          <wps:cNvSpPr>
                            <a:spLocks noChangeArrowheads="1"/>
                          </wps:cNvSpPr>
                          <wps:spPr bwMode="auto">
                            <a:xfrm>
                              <a:off x="1493" y="1513"/>
                              <a:ext cx="339" cy="337"/>
                            </a:xfrm>
                            <a:prstGeom prst="rect">
                              <a:avLst/>
                            </a:prstGeom>
                            <a:noFill/>
                            <a:ln>
                              <a:noFill/>
                            </a:ln>
                            <a:extLst/>
                          </wps:spPr>
                          <wps:txbx>
                            <w:txbxContent>
                              <w:p w14:paraId="05F294EE" w14:textId="77777777" w:rsidR="00960899" w:rsidRDefault="00960899" w:rsidP="009E0CC9">
                                <w:r>
                                  <w:rPr>
                                    <w:rFonts w:ascii="Cambria" w:hAnsi="Cambria" w:cs="Cambria"/>
                                    <w:color w:val="000000"/>
                                    <w:sz w:val="14"/>
                                    <w:szCs w:val="14"/>
                                  </w:rPr>
                                  <w:t>89.74</w:t>
                                </w:r>
                              </w:p>
                            </w:txbxContent>
                          </wps:txbx>
                          <wps:bodyPr rot="0" vert="horz" wrap="square" lIns="0" tIns="0" rIns="0" bIns="0" anchor="t" anchorCtr="0">
                            <a:noAutofit/>
                          </wps:bodyPr>
                        </wps:wsp>
                        <wps:wsp>
                          <wps:cNvPr id="448" name="Rectangle 445"/>
                          <wps:cNvSpPr>
                            <a:spLocks noChangeArrowheads="1"/>
                          </wps:cNvSpPr>
                          <wps:spPr bwMode="auto">
                            <a:xfrm>
                              <a:off x="2522" y="1513"/>
                              <a:ext cx="339" cy="337"/>
                            </a:xfrm>
                            <a:prstGeom prst="rect">
                              <a:avLst/>
                            </a:prstGeom>
                            <a:noFill/>
                            <a:ln>
                              <a:noFill/>
                            </a:ln>
                            <a:extLst/>
                          </wps:spPr>
                          <wps:txbx>
                            <w:txbxContent>
                              <w:p w14:paraId="5958F9B4" w14:textId="77777777" w:rsidR="00960899" w:rsidRDefault="00960899" w:rsidP="009E0CC9">
                                <w:r>
                                  <w:rPr>
                                    <w:rFonts w:ascii="Cambria" w:hAnsi="Cambria" w:cs="Cambria"/>
                                    <w:color w:val="000000"/>
                                    <w:sz w:val="14"/>
                                    <w:szCs w:val="14"/>
                                  </w:rPr>
                                  <w:t>74.68</w:t>
                                </w:r>
                              </w:p>
                            </w:txbxContent>
                          </wps:txbx>
                          <wps:bodyPr rot="0" vert="horz" wrap="square" lIns="0" tIns="0" rIns="0" bIns="0" anchor="t" anchorCtr="0">
                            <a:noAutofit/>
                          </wps:bodyPr>
                        </wps:wsp>
                        <wps:wsp>
                          <wps:cNvPr id="449" name="Rectangle 446"/>
                          <wps:cNvSpPr>
                            <a:spLocks noChangeArrowheads="1"/>
                          </wps:cNvSpPr>
                          <wps:spPr bwMode="auto">
                            <a:xfrm>
                              <a:off x="3631" y="1513"/>
                              <a:ext cx="339" cy="337"/>
                            </a:xfrm>
                            <a:prstGeom prst="rect">
                              <a:avLst/>
                            </a:prstGeom>
                            <a:noFill/>
                            <a:ln>
                              <a:noFill/>
                            </a:ln>
                            <a:extLst/>
                          </wps:spPr>
                          <wps:txbx>
                            <w:txbxContent>
                              <w:p w14:paraId="7EEED858" w14:textId="77777777" w:rsidR="00960899" w:rsidRDefault="00960899" w:rsidP="009E0CC9">
                                <w:r>
                                  <w:rPr>
                                    <w:rFonts w:ascii="Cambria" w:hAnsi="Cambria" w:cs="Cambria"/>
                                    <w:color w:val="000000"/>
                                    <w:sz w:val="14"/>
                                    <w:szCs w:val="14"/>
                                  </w:rPr>
                                  <w:t>15.06</w:t>
                                </w:r>
                              </w:p>
                            </w:txbxContent>
                          </wps:txbx>
                          <wps:bodyPr rot="0" vert="horz" wrap="square" lIns="0" tIns="0" rIns="0" bIns="0" anchor="t" anchorCtr="0">
                            <a:noAutofit/>
                          </wps:bodyPr>
                        </wps:wsp>
                        <wps:wsp>
                          <wps:cNvPr id="450" name="Rectangle 447"/>
                          <wps:cNvSpPr>
                            <a:spLocks noChangeArrowheads="1"/>
                          </wps:cNvSpPr>
                          <wps:spPr bwMode="auto">
                            <a:xfrm>
                              <a:off x="4670" y="1513"/>
                              <a:ext cx="262" cy="337"/>
                            </a:xfrm>
                            <a:prstGeom prst="rect">
                              <a:avLst/>
                            </a:prstGeom>
                            <a:noFill/>
                            <a:ln>
                              <a:noFill/>
                            </a:ln>
                            <a:extLst/>
                          </wps:spPr>
                          <wps:txbx>
                            <w:txbxContent>
                              <w:p w14:paraId="7DBC3178" w14:textId="77777777" w:rsidR="00960899" w:rsidRDefault="00960899" w:rsidP="009E0CC9">
                                <w:r>
                                  <w:rPr>
                                    <w:rFonts w:ascii="Cambria" w:hAnsi="Cambria" w:cs="Cambria"/>
                                    <w:color w:val="000000"/>
                                    <w:sz w:val="14"/>
                                    <w:szCs w:val="14"/>
                                  </w:rPr>
                                  <w:t>9.25</w:t>
                                </w:r>
                              </w:p>
                            </w:txbxContent>
                          </wps:txbx>
                          <wps:bodyPr rot="0" vert="horz" wrap="square" lIns="0" tIns="0" rIns="0" bIns="0" anchor="t" anchorCtr="0">
                            <a:noAutofit/>
                          </wps:bodyPr>
                        </wps:wsp>
                        <wps:wsp>
                          <wps:cNvPr id="451" name="Rectangle 448"/>
                          <wps:cNvSpPr>
                            <a:spLocks noChangeArrowheads="1"/>
                          </wps:cNvSpPr>
                          <wps:spPr bwMode="auto">
                            <a:xfrm>
                              <a:off x="5588" y="1513"/>
                              <a:ext cx="339" cy="337"/>
                            </a:xfrm>
                            <a:prstGeom prst="rect">
                              <a:avLst/>
                            </a:prstGeom>
                            <a:noFill/>
                            <a:ln>
                              <a:noFill/>
                            </a:ln>
                            <a:extLst/>
                          </wps:spPr>
                          <wps:txbx>
                            <w:txbxContent>
                              <w:p w14:paraId="465BEEC1" w14:textId="77777777" w:rsidR="00960899" w:rsidRDefault="00960899" w:rsidP="009E0CC9">
                                <w:r>
                                  <w:rPr>
                                    <w:rFonts w:ascii="Cambria" w:hAnsi="Cambria" w:cs="Cambria"/>
                                    <w:color w:val="000000"/>
                                    <w:sz w:val="14"/>
                                    <w:szCs w:val="14"/>
                                  </w:rPr>
                                  <w:t>82.39</w:t>
                                </w:r>
                              </w:p>
                            </w:txbxContent>
                          </wps:txbx>
                          <wps:bodyPr rot="0" vert="horz" wrap="square" lIns="0" tIns="0" rIns="0" bIns="0" anchor="t" anchorCtr="0">
                            <a:noAutofit/>
                          </wps:bodyPr>
                        </wps:wsp>
                        <wps:wsp>
                          <wps:cNvPr id="452" name="Rectangle 449"/>
                          <wps:cNvSpPr>
                            <a:spLocks noChangeArrowheads="1"/>
                          </wps:cNvSpPr>
                          <wps:spPr bwMode="auto">
                            <a:xfrm>
                              <a:off x="6596" y="1513"/>
                              <a:ext cx="262" cy="337"/>
                            </a:xfrm>
                            <a:prstGeom prst="rect">
                              <a:avLst/>
                            </a:prstGeom>
                            <a:noFill/>
                            <a:ln>
                              <a:noFill/>
                            </a:ln>
                            <a:extLst/>
                          </wps:spPr>
                          <wps:txbx>
                            <w:txbxContent>
                              <w:p w14:paraId="5E2352EB" w14:textId="77777777" w:rsidR="00960899" w:rsidRDefault="00960899" w:rsidP="009E0CC9">
                                <w:r>
                                  <w:rPr>
                                    <w:rFonts w:ascii="Cambria" w:hAnsi="Cambria" w:cs="Cambria"/>
                                    <w:color w:val="000000"/>
                                    <w:sz w:val="14"/>
                                    <w:szCs w:val="14"/>
                                  </w:rPr>
                                  <w:t>49.9</w:t>
                                </w:r>
                              </w:p>
                            </w:txbxContent>
                          </wps:txbx>
                          <wps:bodyPr rot="0" vert="horz" wrap="square" lIns="0" tIns="0" rIns="0" bIns="0" anchor="t" anchorCtr="0">
                            <a:noAutofit/>
                          </wps:bodyPr>
                        </wps:wsp>
                        <wps:wsp>
                          <wps:cNvPr id="453" name="Rectangle 450"/>
                          <wps:cNvSpPr>
                            <a:spLocks noChangeArrowheads="1"/>
                          </wps:cNvSpPr>
                          <wps:spPr bwMode="auto">
                            <a:xfrm>
                              <a:off x="7635" y="1513"/>
                              <a:ext cx="339" cy="337"/>
                            </a:xfrm>
                            <a:prstGeom prst="rect">
                              <a:avLst/>
                            </a:prstGeom>
                            <a:noFill/>
                            <a:ln>
                              <a:noFill/>
                            </a:ln>
                            <a:extLst/>
                          </wps:spPr>
                          <wps:txbx>
                            <w:txbxContent>
                              <w:p w14:paraId="4D9DA704" w14:textId="77777777" w:rsidR="00960899" w:rsidRDefault="00960899" w:rsidP="009E0CC9">
                                <w:r>
                                  <w:rPr>
                                    <w:rFonts w:ascii="Cambria" w:hAnsi="Cambria" w:cs="Cambria"/>
                                    <w:color w:val="000000"/>
                                    <w:sz w:val="14"/>
                                    <w:szCs w:val="14"/>
                                  </w:rPr>
                                  <w:t>32.49</w:t>
                                </w:r>
                              </w:p>
                            </w:txbxContent>
                          </wps:txbx>
                          <wps:bodyPr rot="0" vert="horz" wrap="square" lIns="0" tIns="0" rIns="0" bIns="0" anchor="t" anchorCtr="0">
                            <a:noAutofit/>
                          </wps:bodyPr>
                        </wps:wsp>
                        <wps:wsp>
                          <wps:cNvPr id="454" name="Rectangle 451"/>
                          <wps:cNvSpPr>
                            <a:spLocks noChangeArrowheads="1"/>
                          </wps:cNvSpPr>
                          <wps:spPr bwMode="auto">
                            <a:xfrm>
                              <a:off x="8725" y="1513"/>
                              <a:ext cx="262" cy="337"/>
                            </a:xfrm>
                            <a:prstGeom prst="rect">
                              <a:avLst/>
                            </a:prstGeom>
                            <a:noFill/>
                            <a:ln>
                              <a:noFill/>
                            </a:ln>
                            <a:extLst/>
                          </wps:spPr>
                          <wps:txbx>
                            <w:txbxContent>
                              <w:p w14:paraId="5C7910E8" w14:textId="77777777" w:rsidR="00960899" w:rsidRDefault="00960899" w:rsidP="009E0CC9">
                                <w:r>
                                  <w:rPr>
                                    <w:rFonts w:ascii="Cambria" w:hAnsi="Cambria" w:cs="Cambria"/>
                                    <w:color w:val="000000"/>
                                    <w:sz w:val="14"/>
                                    <w:szCs w:val="14"/>
                                  </w:rPr>
                                  <w:t>23.1</w:t>
                                </w:r>
                              </w:p>
                            </w:txbxContent>
                          </wps:txbx>
                          <wps:bodyPr rot="0" vert="horz" wrap="square" lIns="0" tIns="0" rIns="0" bIns="0" anchor="t" anchorCtr="0">
                            <a:noAutofit/>
                          </wps:bodyPr>
                        </wps:wsp>
                        <wps:wsp>
                          <wps:cNvPr id="455" name="Rectangle 452"/>
                          <wps:cNvSpPr>
                            <a:spLocks noChangeArrowheads="1"/>
                          </wps:cNvSpPr>
                          <wps:spPr bwMode="auto">
                            <a:xfrm>
                              <a:off x="30" y="1705"/>
                              <a:ext cx="656" cy="337"/>
                            </a:xfrm>
                            <a:prstGeom prst="rect">
                              <a:avLst/>
                            </a:prstGeom>
                            <a:noFill/>
                            <a:ln>
                              <a:noFill/>
                            </a:ln>
                            <a:extLst/>
                          </wps:spPr>
                          <wps:txbx>
                            <w:txbxContent>
                              <w:p w14:paraId="7C782159" w14:textId="77777777" w:rsidR="00960899" w:rsidRDefault="00960899" w:rsidP="009E0CC9">
                                <w:r>
                                  <w:rPr>
                                    <w:rFonts w:ascii="Cambria" w:hAnsi="Cambria" w:cs="Cambria"/>
                                    <w:b/>
                                    <w:bCs/>
                                    <w:color w:val="000000"/>
                                    <w:sz w:val="14"/>
                                    <w:szCs w:val="14"/>
                                  </w:rPr>
                                  <w:t>Urban (20</w:t>
                                </w:r>
                              </w:p>
                            </w:txbxContent>
                          </wps:txbx>
                          <wps:bodyPr rot="0" vert="horz" wrap="square" lIns="0" tIns="0" rIns="0" bIns="0" anchor="t" anchorCtr="0">
                            <a:noAutofit/>
                          </wps:bodyPr>
                        </wps:wsp>
                        <wps:wsp>
                          <wps:cNvPr id="456" name="Rectangle 453"/>
                          <wps:cNvSpPr>
                            <a:spLocks noChangeArrowheads="1"/>
                          </wps:cNvSpPr>
                          <wps:spPr bwMode="auto">
                            <a:xfrm>
                              <a:off x="656" y="1705"/>
                              <a:ext cx="71" cy="337"/>
                            </a:xfrm>
                            <a:prstGeom prst="rect">
                              <a:avLst/>
                            </a:prstGeom>
                            <a:noFill/>
                            <a:ln>
                              <a:noFill/>
                            </a:ln>
                            <a:extLst/>
                          </wps:spPr>
                          <wps:txbx>
                            <w:txbxContent>
                              <w:p w14:paraId="64EC2EB0" w14:textId="77777777" w:rsidR="00960899" w:rsidRDefault="00960899" w:rsidP="009E0CC9">
                                <w:r>
                                  <w:rPr>
                                    <w:rFonts w:ascii="Cambria" w:hAnsi="Cambria" w:cs="Cambria"/>
                                    <w:color w:val="000000"/>
                                    <w:sz w:val="14"/>
                                    <w:szCs w:val="14"/>
                                  </w:rPr>
                                  <w:t>–</w:t>
                                </w:r>
                              </w:p>
                            </w:txbxContent>
                          </wps:txbx>
                          <wps:bodyPr rot="0" vert="horz" wrap="square" lIns="0" tIns="0" rIns="0" bIns="0" anchor="t" anchorCtr="0">
                            <a:noAutofit/>
                          </wps:bodyPr>
                        </wps:wsp>
                        <wps:wsp>
                          <wps:cNvPr id="457" name="Rectangle 454"/>
                          <wps:cNvSpPr>
                            <a:spLocks noChangeArrowheads="1"/>
                          </wps:cNvSpPr>
                          <wps:spPr bwMode="auto">
                            <a:xfrm>
                              <a:off x="726" y="1705"/>
                              <a:ext cx="223" cy="337"/>
                            </a:xfrm>
                            <a:prstGeom prst="rect">
                              <a:avLst/>
                            </a:prstGeom>
                            <a:noFill/>
                            <a:ln>
                              <a:noFill/>
                            </a:ln>
                            <a:extLst/>
                          </wps:spPr>
                          <wps:txbx>
                            <w:txbxContent>
                              <w:p w14:paraId="389F92F5" w14:textId="77777777" w:rsidR="00960899" w:rsidRDefault="00960899" w:rsidP="009E0CC9">
                                <w:r>
                                  <w:rPr>
                                    <w:rFonts w:ascii="Cambria" w:hAnsi="Cambria" w:cs="Cambria"/>
                                    <w:b/>
                                    <w:bCs/>
                                    <w:color w:val="000000"/>
                                    <w:sz w:val="14"/>
                                    <w:szCs w:val="14"/>
                                  </w:rPr>
                                  <w:t>64)</w:t>
                                </w:r>
                              </w:p>
                            </w:txbxContent>
                          </wps:txbx>
                          <wps:bodyPr rot="0" vert="horz" wrap="square" lIns="0" tIns="0" rIns="0" bIns="0" anchor="t" anchorCtr="0">
                            <a:noAutofit/>
                          </wps:bodyPr>
                        </wps:wsp>
                        <wps:wsp>
                          <wps:cNvPr id="458" name="Rectangle 455"/>
                          <wps:cNvSpPr>
                            <a:spLocks noChangeArrowheads="1"/>
                          </wps:cNvSpPr>
                          <wps:spPr bwMode="auto">
                            <a:xfrm>
                              <a:off x="1473" y="1715"/>
                              <a:ext cx="365" cy="337"/>
                            </a:xfrm>
                            <a:prstGeom prst="rect">
                              <a:avLst/>
                            </a:prstGeom>
                            <a:noFill/>
                            <a:ln>
                              <a:noFill/>
                            </a:ln>
                            <a:extLst/>
                          </wps:spPr>
                          <wps:txbx>
                            <w:txbxContent>
                              <w:p w14:paraId="07AB18C7" w14:textId="77777777" w:rsidR="00960899" w:rsidRDefault="00960899" w:rsidP="009E0CC9">
                                <w:r>
                                  <w:rPr>
                                    <w:rFonts w:ascii="Cambria" w:hAnsi="Cambria" w:cs="Cambria"/>
                                    <w:b/>
                                    <w:bCs/>
                                    <w:color w:val="000000"/>
                                    <w:sz w:val="14"/>
                                    <w:szCs w:val="14"/>
                                  </w:rPr>
                                  <w:t>72.13</w:t>
                                </w:r>
                              </w:p>
                            </w:txbxContent>
                          </wps:txbx>
                          <wps:bodyPr rot="0" vert="horz" wrap="square" lIns="0" tIns="0" rIns="0" bIns="0" anchor="t" anchorCtr="0">
                            <a:noAutofit/>
                          </wps:bodyPr>
                        </wps:wsp>
                        <wps:wsp>
                          <wps:cNvPr id="459" name="Rectangle 456"/>
                          <wps:cNvSpPr>
                            <a:spLocks noChangeArrowheads="1"/>
                          </wps:cNvSpPr>
                          <wps:spPr bwMode="auto">
                            <a:xfrm>
                              <a:off x="2501" y="1715"/>
                              <a:ext cx="365" cy="337"/>
                            </a:xfrm>
                            <a:prstGeom prst="rect">
                              <a:avLst/>
                            </a:prstGeom>
                            <a:noFill/>
                            <a:ln>
                              <a:noFill/>
                            </a:ln>
                            <a:extLst/>
                          </wps:spPr>
                          <wps:txbx>
                            <w:txbxContent>
                              <w:p w14:paraId="062F2E57" w14:textId="77777777" w:rsidR="00960899" w:rsidRDefault="00960899" w:rsidP="009E0CC9">
                                <w:r>
                                  <w:rPr>
                                    <w:rFonts w:ascii="Cambria" w:hAnsi="Cambria" w:cs="Cambria"/>
                                    <w:b/>
                                    <w:bCs/>
                                    <w:color w:val="000000"/>
                                    <w:sz w:val="14"/>
                                    <w:szCs w:val="14"/>
                                  </w:rPr>
                                  <w:t>53.43</w:t>
                                </w:r>
                              </w:p>
                            </w:txbxContent>
                          </wps:txbx>
                          <wps:bodyPr rot="0" vert="horz" wrap="square" lIns="0" tIns="0" rIns="0" bIns="0" anchor="t" anchorCtr="0">
                            <a:noAutofit/>
                          </wps:bodyPr>
                        </wps:wsp>
                        <wps:wsp>
                          <wps:cNvPr id="460" name="Rectangle 457"/>
                          <wps:cNvSpPr>
                            <a:spLocks noChangeArrowheads="1"/>
                          </wps:cNvSpPr>
                          <wps:spPr bwMode="auto">
                            <a:xfrm>
                              <a:off x="3611" y="1715"/>
                              <a:ext cx="365" cy="337"/>
                            </a:xfrm>
                            <a:prstGeom prst="rect">
                              <a:avLst/>
                            </a:prstGeom>
                            <a:noFill/>
                            <a:ln>
                              <a:noFill/>
                            </a:ln>
                            <a:extLst/>
                          </wps:spPr>
                          <wps:txbx>
                            <w:txbxContent>
                              <w:p w14:paraId="45BB3259" w14:textId="77777777" w:rsidR="00960899" w:rsidRDefault="00960899" w:rsidP="009E0CC9">
                                <w:r>
                                  <w:rPr>
                                    <w:rFonts w:ascii="Cambria" w:hAnsi="Cambria" w:cs="Cambria"/>
                                    <w:b/>
                                    <w:bCs/>
                                    <w:color w:val="000000"/>
                                    <w:sz w:val="14"/>
                                    <w:szCs w:val="14"/>
                                  </w:rPr>
                                  <w:t>18.71</w:t>
                                </w:r>
                              </w:p>
                            </w:txbxContent>
                          </wps:txbx>
                          <wps:bodyPr rot="0" vert="horz" wrap="square" lIns="0" tIns="0" rIns="0" bIns="0" anchor="t" anchorCtr="0">
                            <a:noAutofit/>
                          </wps:bodyPr>
                        </wps:wsp>
                        <wps:wsp>
                          <wps:cNvPr id="461" name="Rectangle 458"/>
                          <wps:cNvSpPr>
                            <a:spLocks noChangeArrowheads="1"/>
                          </wps:cNvSpPr>
                          <wps:spPr bwMode="auto">
                            <a:xfrm>
                              <a:off x="4619" y="1715"/>
                              <a:ext cx="365" cy="337"/>
                            </a:xfrm>
                            <a:prstGeom prst="rect">
                              <a:avLst/>
                            </a:prstGeom>
                            <a:noFill/>
                            <a:ln>
                              <a:noFill/>
                            </a:ln>
                            <a:extLst/>
                          </wps:spPr>
                          <wps:txbx>
                            <w:txbxContent>
                              <w:p w14:paraId="16875396" w14:textId="77777777" w:rsidR="00960899" w:rsidRDefault="00960899" w:rsidP="009E0CC9">
                                <w:r>
                                  <w:rPr>
                                    <w:rFonts w:ascii="Cambria" w:hAnsi="Cambria" w:cs="Cambria"/>
                                    <w:b/>
                                    <w:bCs/>
                                    <w:color w:val="000000"/>
                                    <w:sz w:val="14"/>
                                    <w:szCs w:val="14"/>
                                  </w:rPr>
                                  <w:t>13.29</w:t>
                                </w:r>
                              </w:p>
                            </w:txbxContent>
                          </wps:txbx>
                          <wps:bodyPr rot="0" vert="horz" wrap="square" lIns="0" tIns="0" rIns="0" bIns="0" anchor="t" anchorCtr="0">
                            <a:noAutofit/>
                          </wps:bodyPr>
                        </wps:wsp>
                        <wps:wsp>
                          <wps:cNvPr id="462" name="Rectangle 459"/>
                          <wps:cNvSpPr>
                            <a:spLocks noChangeArrowheads="1"/>
                          </wps:cNvSpPr>
                          <wps:spPr bwMode="auto">
                            <a:xfrm>
                              <a:off x="5568" y="1715"/>
                              <a:ext cx="365" cy="337"/>
                            </a:xfrm>
                            <a:prstGeom prst="rect">
                              <a:avLst/>
                            </a:prstGeom>
                            <a:noFill/>
                            <a:ln>
                              <a:noFill/>
                            </a:ln>
                            <a:extLst/>
                          </wps:spPr>
                          <wps:txbx>
                            <w:txbxContent>
                              <w:p w14:paraId="346268F3" w14:textId="77777777" w:rsidR="00960899" w:rsidRDefault="00960899" w:rsidP="009E0CC9">
                                <w:r>
                                  <w:rPr>
                                    <w:rFonts w:ascii="Cambria" w:hAnsi="Cambria" w:cs="Cambria"/>
                                    <w:b/>
                                    <w:bCs/>
                                    <w:color w:val="000000"/>
                                    <w:sz w:val="14"/>
                                    <w:szCs w:val="14"/>
                                  </w:rPr>
                                  <w:t>67.08</w:t>
                                </w:r>
                              </w:p>
                            </w:txbxContent>
                          </wps:txbx>
                          <wps:bodyPr rot="0" vert="horz" wrap="square" lIns="0" tIns="0" rIns="0" bIns="0" anchor="t" anchorCtr="0">
                            <a:noAutofit/>
                          </wps:bodyPr>
                        </wps:wsp>
                        <wps:wsp>
                          <wps:cNvPr id="463" name="Rectangle 460"/>
                          <wps:cNvSpPr>
                            <a:spLocks noChangeArrowheads="1"/>
                          </wps:cNvSpPr>
                          <wps:spPr bwMode="auto">
                            <a:xfrm>
                              <a:off x="6546" y="1715"/>
                              <a:ext cx="365" cy="337"/>
                            </a:xfrm>
                            <a:prstGeom prst="rect">
                              <a:avLst/>
                            </a:prstGeom>
                            <a:noFill/>
                            <a:ln>
                              <a:noFill/>
                            </a:ln>
                            <a:extLst/>
                          </wps:spPr>
                          <wps:txbx>
                            <w:txbxContent>
                              <w:p w14:paraId="29E4660D" w14:textId="77777777" w:rsidR="00960899" w:rsidRDefault="00960899" w:rsidP="009E0CC9">
                                <w:r>
                                  <w:rPr>
                                    <w:rFonts w:ascii="Cambria" w:hAnsi="Cambria" w:cs="Cambria"/>
                                    <w:b/>
                                    <w:bCs/>
                                    <w:color w:val="000000"/>
                                    <w:sz w:val="14"/>
                                    <w:szCs w:val="14"/>
                                  </w:rPr>
                                  <w:t>39.46</w:t>
                                </w:r>
                              </w:p>
                            </w:txbxContent>
                          </wps:txbx>
                          <wps:bodyPr rot="0" vert="horz" wrap="square" lIns="0" tIns="0" rIns="0" bIns="0" anchor="t" anchorCtr="0">
                            <a:noAutofit/>
                          </wps:bodyPr>
                        </wps:wsp>
                        <wps:wsp>
                          <wps:cNvPr id="464" name="Rectangle 461"/>
                          <wps:cNvSpPr>
                            <a:spLocks noChangeArrowheads="1"/>
                          </wps:cNvSpPr>
                          <wps:spPr bwMode="auto">
                            <a:xfrm>
                              <a:off x="7615" y="1715"/>
                              <a:ext cx="365" cy="337"/>
                            </a:xfrm>
                            <a:prstGeom prst="rect">
                              <a:avLst/>
                            </a:prstGeom>
                            <a:noFill/>
                            <a:ln>
                              <a:noFill/>
                            </a:ln>
                            <a:extLst/>
                          </wps:spPr>
                          <wps:txbx>
                            <w:txbxContent>
                              <w:p w14:paraId="3A8A303E" w14:textId="77777777" w:rsidR="00960899" w:rsidRDefault="00960899" w:rsidP="009E0CC9">
                                <w:r>
                                  <w:rPr>
                                    <w:rFonts w:ascii="Cambria" w:hAnsi="Cambria" w:cs="Cambria"/>
                                    <w:b/>
                                    <w:bCs/>
                                    <w:color w:val="000000"/>
                                    <w:sz w:val="14"/>
                                    <w:szCs w:val="14"/>
                                  </w:rPr>
                                  <w:t>27.61</w:t>
                                </w:r>
                              </w:p>
                            </w:txbxContent>
                          </wps:txbx>
                          <wps:bodyPr rot="0" vert="horz" wrap="square" lIns="0" tIns="0" rIns="0" bIns="0" anchor="t" anchorCtr="0">
                            <a:noAutofit/>
                          </wps:bodyPr>
                        </wps:wsp>
                        <wps:wsp>
                          <wps:cNvPr id="465" name="Rectangle 462"/>
                          <wps:cNvSpPr>
                            <a:spLocks noChangeArrowheads="1"/>
                          </wps:cNvSpPr>
                          <wps:spPr bwMode="auto">
                            <a:xfrm>
                              <a:off x="8664" y="1715"/>
                              <a:ext cx="365" cy="337"/>
                            </a:xfrm>
                            <a:prstGeom prst="rect">
                              <a:avLst/>
                            </a:prstGeom>
                            <a:noFill/>
                            <a:ln>
                              <a:noFill/>
                            </a:ln>
                            <a:extLst/>
                          </wps:spPr>
                          <wps:txbx>
                            <w:txbxContent>
                              <w:p w14:paraId="05CCB837" w14:textId="77777777" w:rsidR="00960899" w:rsidRDefault="00960899" w:rsidP="009E0CC9">
                                <w:r>
                                  <w:rPr>
                                    <w:rFonts w:ascii="Cambria" w:hAnsi="Cambria" w:cs="Cambria"/>
                                    <w:b/>
                                    <w:bCs/>
                                    <w:color w:val="000000"/>
                                    <w:sz w:val="14"/>
                                    <w:szCs w:val="14"/>
                                  </w:rPr>
                                  <w:t>21.87</w:t>
                                </w:r>
                              </w:p>
                            </w:txbxContent>
                          </wps:txbx>
                          <wps:bodyPr rot="0" vert="horz" wrap="square" lIns="0" tIns="0" rIns="0" bIns="0" anchor="t" anchorCtr="0">
                            <a:noAutofit/>
                          </wps:bodyPr>
                        </wps:wsp>
                        <wps:wsp>
                          <wps:cNvPr id="466" name="Rectangle 463"/>
                          <wps:cNvSpPr>
                            <a:spLocks noChangeArrowheads="1"/>
                          </wps:cNvSpPr>
                          <wps:spPr bwMode="auto">
                            <a:xfrm>
                              <a:off x="30" y="1906"/>
                              <a:ext cx="596" cy="337"/>
                            </a:xfrm>
                            <a:prstGeom prst="rect">
                              <a:avLst/>
                            </a:prstGeom>
                            <a:noFill/>
                            <a:ln>
                              <a:noFill/>
                            </a:ln>
                            <a:extLst/>
                          </wps:spPr>
                          <wps:txbx>
                            <w:txbxContent>
                              <w:p w14:paraId="04935C05" w14:textId="77777777" w:rsidR="00960899" w:rsidRDefault="00960899" w:rsidP="009E0CC9">
                                <w:r>
                                  <w:rPr>
                                    <w:rFonts w:ascii="Cambria" w:hAnsi="Cambria" w:cs="Cambria"/>
                                    <w:color w:val="000000"/>
                                    <w:sz w:val="14"/>
                                    <w:szCs w:val="14"/>
                                  </w:rPr>
                                  <w:t>Youth (15</w:t>
                                </w:r>
                              </w:p>
                            </w:txbxContent>
                          </wps:txbx>
                          <wps:bodyPr rot="0" vert="horz" wrap="square" lIns="0" tIns="0" rIns="0" bIns="0" anchor="t" anchorCtr="0">
                            <a:noAutofit/>
                          </wps:bodyPr>
                        </wps:wsp>
                        <wps:wsp>
                          <wps:cNvPr id="467" name="Rectangle 464"/>
                          <wps:cNvSpPr>
                            <a:spLocks noChangeArrowheads="1"/>
                          </wps:cNvSpPr>
                          <wps:spPr bwMode="auto">
                            <a:xfrm>
                              <a:off x="575" y="1906"/>
                              <a:ext cx="71" cy="337"/>
                            </a:xfrm>
                            <a:prstGeom prst="rect">
                              <a:avLst/>
                            </a:prstGeom>
                            <a:noFill/>
                            <a:ln>
                              <a:noFill/>
                            </a:ln>
                            <a:extLst/>
                          </wps:spPr>
                          <wps:txbx>
                            <w:txbxContent>
                              <w:p w14:paraId="7458B5AA" w14:textId="77777777" w:rsidR="00960899" w:rsidRDefault="00960899" w:rsidP="009E0CC9">
                                <w:r>
                                  <w:rPr>
                                    <w:rFonts w:ascii="Cambria" w:hAnsi="Cambria" w:cs="Cambria"/>
                                    <w:color w:val="000000"/>
                                    <w:sz w:val="14"/>
                                    <w:szCs w:val="14"/>
                                  </w:rPr>
                                  <w:t>–</w:t>
                                </w:r>
                              </w:p>
                            </w:txbxContent>
                          </wps:txbx>
                          <wps:bodyPr rot="0" vert="horz" wrap="square" lIns="0" tIns="0" rIns="0" bIns="0" anchor="t" anchorCtr="0">
                            <a:noAutofit/>
                          </wps:bodyPr>
                        </wps:wsp>
                        <wps:wsp>
                          <wps:cNvPr id="468" name="Rectangle 465"/>
                          <wps:cNvSpPr>
                            <a:spLocks noChangeArrowheads="1"/>
                          </wps:cNvSpPr>
                          <wps:spPr bwMode="auto">
                            <a:xfrm>
                              <a:off x="646" y="1906"/>
                              <a:ext cx="209" cy="337"/>
                            </a:xfrm>
                            <a:prstGeom prst="rect">
                              <a:avLst/>
                            </a:prstGeom>
                            <a:noFill/>
                            <a:ln>
                              <a:noFill/>
                            </a:ln>
                            <a:extLst/>
                          </wps:spPr>
                          <wps:txbx>
                            <w:txbxContent>
                              <w:p w14:paraId="11011A30" w14:textId="77777777" w:rsidR="00960899" w:rsidRDefault="00960899" w:rsidP="009E0CC9">
                                <w:r>
                                  <w:rPr>
                                    <w:rFonts w:ascii="Cambria" w:hAnsi="Cambria" w:cs="Cambria"/>
                                    <w:color w:val="000000"/>
                                    <w:sz w:val="14"/>
                                    <w:szCs w:val="14"/>
                                  </w:rPr>
                                  <w:t>24)</w:t>
                                </w:r>
                              </w:p>
                            </w:txbxContent>
                          </wps:txbx>
                          <wps:bodyPr rot="0" vert="horz" wrap="square" lIns="0" tIns="0" rIns="0" bIns="0" anchor="t" anchorCtr="0">
                            <a:noAutofit/>
                          </wps:bodyPr>
                        </wps:wsp>
                        <wps:wsp>
                          <wps:cNvPr id="469" name="Rectangle 466"/>
                          <wps:cNvSpPr>
                            <a:spLocks noChangeArrowheads="1"/>
                          </wps:cNvSpPr>
                          <wps:spPr bwMode="auto">
                            <a:xfrm>
                              <a:off x="1523" y="1916"/>
                              <a:ext cx="262" cy="337"/>
                            </a:xfrm>
                            <a:prstGeom prst="rect">
                              <a:avLst/>
                            </a:prstGeom>
                            <a:noFill/>
                            <a:ln>
                              <a:noFill/>
                            </a:ln>
                            <a:extLst/>
                          </wps:spPr>
                          <wps:txbx>
                            <w:txbxContent>
                              <w:p w14:paraId="77032D26" w14:textId="77777777" w:rsidR="00960899" w:rsidRDefault="00960899" w:rsidP="009E0CC9">
                                <w:r>
                                  <w:rPr>
                                    <w:rFonts w:ascii="Cambria" w:hAnsi="Cambria" w:cs="Cambria"/>
                                    <w:color w:val="000000"/>
                                    <w:sz w:val="14"/>
                                    <w:szCs w:val="14"/>
                                  </w:rPr>
                                  <w:t>34.7</w:t>
                                </w:r>
                              </w:p>
                            </w:txbxContent>
                          </wps:txbx>
                          <wps:bodyPr rot="0" vert="horz" wrap="square" lIns="0" tIns="0" rIns="0" bIns="0" anchor="t" anchorCtr="0">
                            <a:noAutofit/>
                          </wps:bodyPr>
                        </wps:wsp>
                        <wps:wsp>
                          <wps:cNvPr id="470" name="Rectangle 467"/>
                          <wps:cNvSpPr>
                            <a:spLocks noChangeArrowheads="1"/>
                          </wps:cNvSpPr>
                          <wps:spPr bwMode="auto">
                            <a:xfrm>
                              <a:off x="2522" y="1916"/>
                              <a:ext cx="339" cy="337"/>
                            </a:xfrm>
                            <a:prstGeom prst="rect">
                              <a:avLst/>
                            </a:prstGeom>
                            <a:noFill/>
                            <a:ln>
                              <a:noFill/>
                            </a:ln>
                            <a:extLst/>
                          </wps:spPr>
                          <wps:txbx>
                            <w:txbxContent>
                              <w:p w14:paraId="12A7ECBD" w14:textId="77777777" w:rsidR="00960899" w:rsidRDefault="00960899" w:rsidP="009E0CC9">
                                <w:r>
                                  <w:rPr>
                                    <w:rFonts w:ascii="Cambria" w:hAnsi="Cambria" w:cs="Cambria"/>
                                    <w:color w:val="000000"/>
                                    <w:sz w:val="14"/>
                                    <w:szCs w:val="14"/>
                                  </w:rPr>
                                  <w:t>18.04</w:t>
                                </w:r>
                              </w:p>
                            </w:txbxContent>
                          </wps:txbx>
                          <wps:bodyPr rot="0" vert="horz" wrap="square" lIns="0" tIns="0" rIns="0" bIns="0" anchor="t" anchorCtr="0">
                            <a:noAutofit/>
                          </wps:bodyPr>
                        </wps:wsp>
                        <wps:wsp>
                          <wps:cNvPr id="471" name="Rectangle 468"/>
                          <wps:cNvSpPr>
                            <a:spLocks noChangeArrowheads="1"/>
                          </wps:cNvSpPr>
                          <wps:spPr bwMode="auto">
                            <a:xfrm>
                              <a:off x="3631" y="1916"/>
                              <a:ext cx="339" cy="337"/>
                            </a:xfrm>
                            <a:prstGeom prst="rect">
                              <a:avLst/>
                            </a:prstGeom>
                            <a:noFill/>
                            <a:ln>
                              <a:noFill/>
                            </a:ln>
                            <a:extLst/>
                          </wps:spPr>
                          <wps:txbx>
                            <w:txbxContent>
                              <w:p w14:paraId="420E749B" w14:textId="77777777" w:rsidR="00960899" w:rsidRDefault="00960899" w:rsidP="009E0CC9">
                                <w:r>
                                  <w:rPr>
                                    <w:rFonts w:ascii="Cambria" w:hAnsi="Cambria" w:cs="Cambria"/>
                                    <w:color w:val="000000"/>
                                    <w:sz w:val="14"/>
                                    <w:szCs w:val="14"/>
                                  </w:rPr>
                                  <w:t>16.67</w:t>
                                </w:r>
                              </w:p>
                            </w:txbxContent>
                          </wps:txbx>
                          <wps:bodyPr rot="0" vert="horz" wrap="square" lIns="0" tIns="0" rIns="0" bIns="0" anchor="t" anchorCtr="0">
                            <a:noAutofit/>
                          </wps:bodyPr>
                        </wps:wsp>
                        <wps:wsp>
                          <wps:cNvPr id="472" name="Rectangle 469"/>
                          <wps:cNvSpPr>
                            <a:spLocks noChangeArrowheads="1"/>
                          </wps:cNvSpPr>
                          <wps:spPr bwMode="auto">
                            <a:xfrm>
                              <a:off x="4640" y="1916"/>
                              <a:ext cx="339" cy="337"/>
                            </a:xfrm>
                            <a:prstGeom prst="rect">
                              <a:avLst/>
                            </a:prstGeom>
                            <a:noFill/>
                            <a:ln>
                              <a:noFill/>
                            </a:ln>
                            <a:extLst/>
                          </wps:spPr>
                          <wps:txbx>
                            <w:txbxContent>
                              <w:p w14:paraId="641D9E43" w14:textId="77777777" w:rsidR="00960899" w:rsidRDefault="00960899" w:rsidP="009E0CC9">
                                <w:r>
                                  <w:rPr>
                                    <w:rFonts w:ascii="Cambria" w:hAnsi="Cambria" w:cs="Cambria"/>
                                    <w:color w:val="000000"/>
                                    <w:sz w:val="14"/>
                                    <w:szCs w:val="14"/>
                                  </w:rPr>
                                  <w:t>13.88</w:t>
                                </w:r>
                              </w:p>
                            </w:txbxContent>
                          </wps:txbx>
                          <wps:bodyPr rot="0" vert="horz" wrap="square" lIns="0" tIns="0" rIns="0" bIns="0" anchor="t" anchorCtr="0">
                            <a:noAutofit/>
                          </wps:bodyPr>
                        </wps:wsp>
                        <wps:wsp>
                          <wps:cNvPr id="473" name="Rectangle 470"/>
                          <wps:cNvSpPr>
                            <a:spLocks noChangeArrowheads="1"/>
                          </wps:cNvSpPr>
                          <wps:spPr bwMode="auto">
                            <a:xfrm>
                              <a:off x="5588" y="1916"/>
                              <a:ext cx="339" cy="337"/>
                            </a:xfrm>
                            <a:prstGeom prst="rect">
                              <a:avLst/>
                            </a:prstGeom>
                            <a:noFill/>
                            <a:ln>
                              <a:noFill/>
                            </a:ln>
                            <a:extLst/>
                          </wps:spPr>
                          <wps:txbx>
                            <w:txbxContent>
                              <w:p w14:paraId="3839BDCD" w14:textId="77777777" w:rsidR="00960899" w:rsidRDefault="00960899" w:rsidP="009E0CC9">
                                <w:r>
                                  <w:rPr>
                                    <w:rFonts w:ascii="Cambria" w:hAnsi="Cambria" w:cs="Cambria"/>
                                    <w:color w:val="000000"/>
                                    <w:sz w:val="14"/>
                                    <w:szCs w:val="14"/>
                                  </w:rPr>
                                  <w:t>34.94</w:t>
                                </w:r>
                              </w:p>
                            </w:txbxContent>
                          </wps:txbx>
                          <wps:bodyPr rot="0" vert="horz" wrap="square" lIns="0" tIns="0" rIns="0" bIns="0" anchor="t" anchorCtr="0">
                            <a:noAutofit/>
                          </wps:bodyPr>
                        </wps:wsp>
                        <wps:wsp>
                          <wps:cNvPr id="474" name="Rectangle 471"/>
                          <wps:cNvSpPr>
                            <a:spLocks noChangeArrowheads="1"/>
                          </wps:cNvSpPr>
                          <wps:spPr bwMode="auto">
                            <a:xfrm>
                              <a:off x="6596" y="1916"/>
                              <a:ext cx="262" cy="337"/>
                            </a:xfrm>
                            <a:prstGeom prst="rect">
                              <a:avLst/>
                            </a:prstGeom>
                            <a:noFill/>
                            <a:ln>
                              <a:noFill/>
                            </a:ln>
                            <a:extLst/>
                          </wps:spPr>
                          <wps:txbx>
                            <w:txbxContent>
                              <w:p w14:paraId="36978A5A" w14:textId="77777777" w:rsidR="00960899" w:rsidRDefault="00960899" w:rsidP="009E0CC9">
                                <w:r>
                                  <w:rPr>
                                    <w:rFonts w:ascii="Cambria" w:hAnsi="Cambria" w:cs="Cambria"/>
                                    <w:color w:val="000000"/>
                                    <w:sz w:val="14"/>
                                    <w:szCs w:val="14"/>
                                  </w:rPr>
                                  <w:t>9.65</w:t>
                                </w:r>
                              </w:p>
                            </w:txbxContent>
                          </wps:txbx>
                          <wps:bodyPr rot="0" vert="horz" wrap="square" lIns="0" tIns="0" rIns="0" bIns="0" anchor="t" anchorCtr="0">
                            <a:noAutofit/>
                          </wps:bodyPr>
                        </wps:wsp>
                        <wps:wsp>
                          <wps:cNvPr id="475" name="Rectangle 472"/>
                          <wps:cNvSpPr>
                            <a:spLocks noChangeArrowheads="1"/>
                          </wps:cNvSpPr>
                          <wps:spPr bwMode="auto">
                            <a:xfrm>
                              <a:off x="7635" y="1916"/>
                              <a:ext cx="339" cy="337"/>
                            </a:xfrm>
                            <a:prstGeom prst="rect">
                              <a:avLst/>
                            </a:prstGeom>
                            <a:noFill/>
                            <a:ln>
                              <a:noFill/>
                            </a:ln>
                            <a:extLst/>
                          </wps:spPr>
                          <wps:txbx>
                            <w:txbxContent>
                              <w:p w14:paraId="109BCE36" w14:textId="77777777" w:rsidR="00960899" w:rsidRDefault="00960899" w:rsidP="009E0CC9">
                                <w:r>
                                  <w:rPr>
                                    <w:rFonts w:ascii="Cambria" w:hAnsi="Cambria" w:cs="Cambria"/>
                                    <w:color w:val="000000"/>
                                    <w:sz w:val="14"/>
                                    <w:szCs w:val="14"/>
                                  </w:rPr>
                                  <w:t>25.29</w:t>
                                </w:r>
                              </w:p>
                            </w:txbxContent>
                          </wps:txbx>
                          <wps:bodyPr rot="0" vert="horz" wrap="square" lIns="0" tIns="0" rIns="0" bIns="0" anchor="t" anchorCtr="0">
                            <a:noAutofit/>
                          </wps:bodyPr>
                        </wps:wsp>
                        <wps:wsp>
                          <wps:cNvPr id="476" name="Rectangle 473"/>
                          <wps:cNvSpPr>
                            <a:spLocks noChangeArrowheads="1"/>
                          </wps:cNvSpPr>
                          <wps:spPr bwMode="auto">
                            <a:xfrm>
                              <a:off x="8684" y="1916"/>
                              <a:ext cx="339" cy="337"/>
                            </a:xfrm>
                            <a:prstGeom prst="rect">
                              <a:avLst/>
                            </a:prstGeom>
                            <a:noFill/>
                            <a:ln>
                              <a:noFill/>
                            </a:ln>
                            <a:extLst/>
                          </wps:spPr>
                          <wps:txbx>
                            <w:txbxContent>
                              <w:p w14:paraId="4CEB5337" w14:textId="77777777" w:rsidR="00960899" w:rsidRDefault="00960899" w:rsidP="009E0CC9">
                                <w:r>
                                  <w:rPr>
                                    <w:rFonts w:ascii="Cambria" w:hAnsi="Cambria" w:cs="Cambria"/>
                                    <w:color w:val="000000"/>
                                    <w:sz w:val="14"/>
                                    <w:szCs w:val="14"/>
                                  </w:rPr>
                                  <w:t>20.79</w:t>
                                </w:r>
                              </w:p>
                            </w:txbxContent>
                          </wps:txbx>
                          <wps:bodyPr rot="0" vert="horz" wrap="square" lIns="0" tIns="0" rIns="0" bIns="0" anchor="t" anchorCtr="0">
                            <a:noAutofit/>
                          </wps:bodyPr>
                        </wps:wsp>
                        <wps:wsp>
                          <wps:cNvPr id="477" name="Rectangle 474"/>
                          <wps:cNvSpPr>
                            <a:spLocks noChangeArrowheads="1"/>
                          </wps:cNvSpPr>
                          <wps:spPr bwMode="auto">
                            <a:xfrm>
                              <a:off x="30" y="2108"/>
                              <a:ext cx="674" cy="337"/>
                            </a:xfrm>
                            <a:prstGeom prst="rect">
                              <a:avLst/>
                            </a:prstGeom>
                            <a:noFill/>
                            <a:ln>
                              <a:noFill/>
                            </a:ln>
                            <a:extLst/>
                          </wps:spPr>
                          <wps:txbx>
                            <w:txbxContent>
                              <w:p w14:paraId="229E00B4" w14:textId="77777777" w:rsidR="00960899" w:rsidRDefault="00960899" w:rsidP="009E0CC9">
                                <w:r>
                                  <w:rPr>
                                    <w:rFonts w:ascii="Cambria" w:hAnsi="Cambria" w:cs="Cambria"/>
                                    <w:color w:val="000000"/>
                                    <w:sz w:val="14"/>
                                    <w:szCs w:val="14"/>
                                  </w:rPr>
                                  <w:t>Female (20</w:t>
                                </w:r>
                              </w:p>
                            </w:txbxContent>
                          </wps:txbx>
                          <wps:bodyPr rot="0" vert="horz" wrap="square" lIns="0" tIns="0" rIns="0" bIns="0" anchor="t" anchorCtr="0">
                            <a:noAutofit/>
                          </wps:bodyPr>
                        </wps:wsp>
                        <wps:wsp>
                          <wps:cNvPr id="478" name="Rectangle 475"/>
                          <wps:cNvSpPr>
                            <a:spLocks noChangeArrowheads="1"/>
                          </wps:cNvSpPr>
                          <wps:spPr bwMode="auto">
                            <a:xfrm>
                              <a:off x="656" y="2108"/>
                              <a:ext cx="71" cy="337"/>
                            </a:xfrm>
                            <a:prstGeom prst="rect">
                              <a:avLst/>
                            </a:prstGeom>
                            <a:noFill/>
                            <a:ln>
                              <a:noFill/>
                            </a:ln>
                            <a:extLst/>
                          </wps:spPr>
                          <wps:txbx>
                            <w:txbxContent>
                              <w:p w14:paraId="31F97DA1" w14:textId="77777777" w:rsidR="00960899" w:rsidRDefault="00960899" w:rsidP="009E0CC9">
                                <w:r>
                                  <w:rPr>
                                    <w:rFonts w:ascii="Cambria" w:hAnsi="Cambria" w:cs="Cambria"/>
                                    <w:color w:val="000000"/>
                                    <w:sz w:val="14"/>
                                    <w:szCs w:val="14"/>
                                  </w:rPr>
                                  <w:t>–</w:t>
                                </w:r>
                              </w:p>
                            </w:txbxContent>
                          </wps:txbx>
                          <wps:bodyPr rot="0" vert="horz" wrap="square" lIns="0" tIns="0" rIns="0" bIns="0" anchor="t" anchorCtr="0">
                            <a:noAutofit/>
                          </wps:bodyPr>
                        </wps:wsp>
                        <wps:wsp>
                          <wps:cNvPr id="479" name="Rectangle 476"/>
                          <wps:cNvSpPr>
                            <a:spLocks noChangeArrowheads="1"/>
                          </wps:cNvSpPr>
                          <wps:spPr bwMode="auto">
                            <a:xfrm>
                              <a:off x="726" y="2108"/>
                              <a:ext cx="209" cy="337"/>
                            </a:xfrm>
                            <a:prstGeom prst="rect">
                              <a:avLst/>
                            </a:prstGeom>
                            <a:noFill/>
                            <a:ln>
                              <a:noFill/>
                            </a:ln>
                            <a:extLst/>
                          </wps:spPr>
                          <wps:txbx>
                            <w:txbxContent>
                              <w:p w14:paraId="24AB2C61" w14:textId="77777777" w:rsidR="00960899" w:rsidRDefault="00960899" w:rsidP="009E0CC9">
                                <w:r>
                                  <w:rPr>
                                    <w:rFonts w:ascii="Cambria" w:hAnsi="Cambria" w:cs="Cambria"/>
                                    <w:color w:val="000000"/>
                                    <w:sz w:val="14"/>
                                    <w:szCs w:val="14"/>
                                  </w:rPr>
                                  <w:t>64)</w:t>
                                </w:r>
                              </w:p>
                            </w:txbxContent>
                          </wps:txbx>
                          <wps:bodyPr rot="0" vert="horz" wrap="square" lIns="0" tIns="0" rIns="0" bIns="0" anchor="t" anchorCtr="0">
                            <a:noAutofit/>
                          </wps:bodyPr>
                        </wps:wsp>
                        <wps:wsp>
                          <wps:cNvPr id="480" name="Rectangle 477"/>
                          <wps:cNvSpPr>
                            <a:spLocks noChangeArrowheads="1"/>
                          </wps:cNvSpPr>
                          <wps:spPr bwMode="auto">
                            <a:xfrm>
                              <a:off x="1493" y="2118"/>
                              <a:ext cx="339" cy="337"/>
                            </a:xfrm>
                            <a:prstGeom prst="rect">
                              <a:avLst/>
                            </a:prstGeom>
                            <a:noFill/>
                            <a:ln>
                              <a:noFill/>
                            </a:ln>
                            <a:extLst/>
                          </wps:spPr>
                          <wps:txbx>
                            <w:txbxContent>
                              <w:p w14:paraId="0245D790" w14:textId="77777777" w:rsidR="00960899" w:rsidRDefault="00960899" w:rsidP="009E0CC9">
                                <w:r>
                                  <w:rPr>
                                    <w:rFonts w:ascii="Cambria" w:hAnsi="Cambria" w:cs="Cambria"/>
                                    <w:color w:val="000000"/>
                                    <w:sz w:val="14"/>
                                    <w:szCs w:val="14"/>
                                  </w:rPr>
                                  <w:t>60.68</w:t>
                                </w:r>
                              </w:p>
                            </w:txbxContent>
                          </wps:txbx>
                          <wps:bodyPr rot="0" vert="horz" wrap="square" lIns="0" tIns="0" rIns="0" bIns="0" anchor="t" anchorCtr="0">
                            <a:noAutofit/>
                          </wps:bodyPr>
                        </wps:wsp>
                        <wps:wsp>
                          <wps:cNvPr id="481" name="Rectangle 478"/>
                          <wps:cNvSpPr>
                            <a:spLocks noChangeArrowheads="1"/>
                          </wps:cNvSpPr>
                          <wps:spPr bwMode="auto">
                            <a:xfrm>
                              <a:off x="2522" y="2118"/>
                              <a:ext cx="339" cy="337"/>
                            </a:xfrm>
                            <a:prstGeom prst="rect">
                              <a:avLst/>
                            </a:prstGeom>
                            <a:noFill/>
                            <a:ln>
                              <a:noFill/>
                            </a:ln>
                            <a:extLst/>
                          </wps:spPr>
                          <wps:txbx>
                            <w:txbxContent>
                              <w:p w14:paraId="4EB3F151" w14:textId="77777777" w:rsidR="00960899" w:rsidRDefault="00960899" w:rsidP="009E0CC9">
                                <w:r>
                                  <w:rPr>
                                    <w:rFonts w:ascii="Cambria" w:hAnsi="Cambria" w:cs="Cambria"/>
                                    <w:color w:val="000000"/>
                                    <w:sz w:val="14"/>
                                    <w:szCs w:val="14"/>
                                  </w:rPr>
                                  <w:t>45.88</w:t>
                                </w:r>
                              </w:p>
                            </w:txbxContent>
                          </wps:txbx>
                          <wps:bodyPr rot="0" vert="horz" wrap="square" lIns="0" tIns="0" rIns="0" bIns="0" anchor="t" anchorCtr="0">
                            <a:noAutofit/>
                          </wps:bodyPr>
                        </wps:wsp>
                        <wps:wsp>
                          <wps:cNvPr id="482" name="Rectangle 479"/>
                          <wps:cNvSpPr>
                            <a:spLocks noChangeArrowheads="1"/>
                          </wps:cNvSpPr>
                          <wps:spPr bwMode="auto">
                            <a:xfrm>
                              <a:off x="3661" y="2118"/>
                              <a:ext cx="262" cy="337"/>
                            </a:xfrm>
                            <a:prstGeom prst="rect">
                              <a:avLst/>
                            </a:prstGeom>
                            <a:noFill/>
                            <a:ln>
                              <a:noFill/>
                            </a:ln>
                            <a:extLst/>
                          </wps:spPr>
                          <wps:txbx>
                            <w:txbxContent>
                              <w:p w14:paraId="1ACBD171" w14:textId="77777777" w:rsidR="00960899" w:rsidRDefault="00960899" w:rsidP="009E0CC9">
                                <w:r>
                                  <w:rPr>
                                    <w:rFonts w:ascii="Cambria" w:hAnsi="Cambria" w:cs="Cambria"/>
                                    <w:color w:val="000000"/>
                                    <w:sz w:val="14"/>
                                    <w:szCs w:val="14"/>
                                  </w:rPr>
                                  <w:t>14.8</w:t>
                                </w:r>
                              </w:p>
                            </w:txbxContent>
                          </wps:txbx>
                          <wps:bodyPr rot="0" vert="horz" wrap="square" lIns="0" tIns="0" rIns="0" bIns="0" anchor="t" anchorCtr="0">
                            <a:noAutofit/>
                          </wps:bodyPr>
                        </wps:wsp>
                        <wps:wsp>
                          <wps:cNvPr id="483" name="Rectangle 480"/>
                          <wps:cNvSpPr>
                            <a:spLocks noChangeArrowheads="1"/>
                          </wps:cNvSpPr>
                          <wps:spPr bwMode="auto">
                            <a:xfrm>
                              <a:off x="4640" y="2118"/>
                              <a:ext cx="339" cy="337"/>
                            </a:xfrm>
                            <a:prstGeom prst="rect">
                              <a:avLst/>
                            </a:prstGeom>
                            <a:noFill/>
                            <a:ln>
                              <a:noFill/>
                            </a:ln>
                            <a:extLst/>
                          </wps:spPr>
                          <wps:txbx>
                            <w:txbxContent>
                              <w:p w14:paraId="4C566A73" w14:textId="77777777" w:rsidR="00960899" w:rsidRDefault="00960899" w:rsidP="009E0CC9">
                                <w:r>
                                  <w:rPr>
                                    <w:rFonts w:ascii="Cambria" w:hAnsi="Cambria" w:cs="Cambria"/>
                                    <w:color w:val="000000"/>
                                    <w:sz w:val="14"/>
                                    <w:szCs w:val="14"/>
                                  </w:rPr>
                                  <w:t>12.13</w:t>
                                </w:r>
                              </w:p>
                            </w:txbxContent>
                          </wps:txbx>
                          <wps:bodyPr rot="0" vert="horz" wrap="square" lIns="0" tIns="0" rIns="0" bIns="0" anchor="t" anchorCtr="0">
                            <a:noAutofit/>
                          </wps:bodyPr>
                        </wps:wsp>
                        <wps:wsp>
                          <wps:cNvPr id="484" name="Rectangle 481"/>
                          <wps:cNvSpPr>
                            <a:spLocks noChangeArrowheads="1"/>
                          </wps:cNvSpPr>
                          <wps:spPr bwMode="auto">
                            <a:xfrm>
                              <a:off x="5588" y="2118"/>
                              <a:ext cx="339" cy="337"/>
                            </a:xfrm>
                            <a:prstGeom prst="rect">
                              <a:avLst/>
                            </a:prstGeom>
                            <a:noFill/>
                            <a:ln>
                              <a:noFill/>
                            </a:ln>
                            <a:extLst/>
                          </wps:spPr>
                          <wps:txbx>
                            <w:txbxContent>
                              <w:p w14:paraId="3DBE8068" w14:textId="77777777" w:rsidR="00960899" w:rsidRDefault="00960899" w:rsidP="009E0CC9">
                                <w:r>
                                  <w:rPr>
                                    <w:rFonts w:ascii="Cambria" w:hAnsi="Cambria" w:cs="Cambria"/>
                                    <w:color w:val="000000"/>
                                    <w:sz w:val="14"/>
                                    <w:szCs w:val="14"/>
                                  </w:rPr>
                                  <w:t>54.01</w:t>
                                </w:r>
                              </w:p>
                            </w:txbxContent>
                          </wps:txbx>
                          <wps:bodyPr rot="0" vert="horz" wrap="square" lIns="0" tIns="0" rIns="0" bIns="0" anchor="t" anchorCtr="0">
                            <a:noAutofit/>
                          </wps:bodyPr>
                        </wps:wsp>
                        <wps:wsp>
                          <wps:cNvPr id="485" name="Rectangle 482"/>
                          <wps:cNvSpPr>
                            <a:spLocks noChangeArrowheads="1"/>
                          </wps:cNvSpPr>
                          <wps:spPr bwMode="auto">
                            <a:xfrm>
                              <a:off x="6566" y="2118"/>
                              <a:ext cx="339" cy="337"/>
                            </a:xfrm>
                            <a:prstGeom prst="rect">
                              <a:avLst/>
                            </a:prstGeom>
                            <a:noFill/>
                            <a:ln>
                              <a:noFill/>
                            </a:ln>
                            <a:extLst/>
                          </wps:spPr>
                          <wps:txbx>
                            <w:txbxContent>
                              <w:p w14:paraId="4D7847C0" w14:textId="77777777" w:rsidR="00960899" w:rsidRDefault="00960899" w:rsidP="009E0CC9">
                                <w:r>
                                  <w:rPr>
                                    <w:rFonts w:ascii="Cambria" w:hAnsi="Cambria" w:cs="Cambria"/>
                                    <w:color w:val="000000"/>
                                    <w:sz w:val="14"/>
                                    <w:szCs w:val="14"/>
                                  </w:rPr>
                                  <w:t>31.33</w:t>
                                </w:r>
                              </w:p>
                            </w:txbxContent>
                          </wps:txbx>
                          <wps:bodyPr rot="0" vert="horz" wrap="square" lIns="0" tIns="0" rIns="0" bIns="0" anchor="t" anchorCtr="0">
                            <a:noAutofit/>
                          </wps:bodyPr>
                        </wps:wsp>
                        <wps:wsp>
                          <wps:cNvPr id="486" name="Rectangle 483"/>
                          <wps:cNvSpPr>
                            <a:spLocks noChangeArrowheads="1"/>
                          </wps:cNvSpPr>
                          <wps:spPr bwMode="auto">
                            <a:xfrm>
                              <a:off x="7635" y="2118"/>
                              <a:ext cx="339" cy="337"/>
                            </a:xfrm>
                            <a:prstGeom prst="rect">
                              <a:avLst/>
                            </a:prstGeom>
                            <a:noFill/>
                            <a:ln>
                              <a:noFill/>
                            </a:ln>
                            <a:extLst/>
                          </wps:spPr>
                          <wps:txbx>
                            <w:txbxContent>
                              <w:p w14:paraId="40778BDD" w14:textId="77777777" w:rsidR="00960899" w:rsidRDefault="00960899" w:rsidP="009E0CC9">
                                <w:r>
                                  <w:rPr>
                                    <w:rFonts w:ascii="Cambria" w:hAnsi="Cambria" w:cs="Cambria"/>
                                    <w:color w:val="000000"/>
                                    <w:sz w:val="14"/>
                                    <w:szCs w:val="14"/>
                                  </w:rPr>
                                  <w:t>22.68</w:t>
                                </w:r>
                              </w:p>
                            </w:txbxContent>
                          </wps:txbx>
                          <wps:bodyPr rot="0" vert="horz" wrap="square" lIns="0" tIns="0" rIns="0" bIns="0" anchor="t" anchorCtr="0">
                            <a:noAutofit/>
                          </wps:bodyPr>
                        </wps:wsp>
                        <wps:wsp>
                          <wps:cNvPr id="487" name="Rectangle 484"/>
                          <wps:cNvSpPr>
                            <a:spLocks noChangeArrowheads="1"/>
                          </wps:cNvSpPr>
                          <wps:spPr bwMode="auto">
                            <a:xfrm>
                              <a:off x="8684" y="2118"/>
                              <a:ext cx="339" cy="337"/>
                            </a:xfrm>
                            <a:prstGeom prst="rect">
                              <a:avLst/>
                            </a:prstGeom>
                            <a:noFill/>
                            <a:ln>
                              <a:noFill/>
                            </a:ln>
                            <a:extLst/>
                          </wps:spPr>
                          <wps:txbx>
                            <w:txbxContent>
                              <w:p w14:paraId="60DC4622" w14:textId="77777777" w:rsidR="00960899" w:rsidRDefault="00960899" w:rsidP="009E0CC9">
                                <w:r>
                                  <w:rPr>
                                    <w:rFonts w:ascii="Cambria" w:hAnsi="Cambria" w:cs="Cambria"/>
                                    <w:color w:val="000000"/>
                                    <w:sz w:val="14"/>
                                    <w:szCs w:val="14"/>
                                  </w:rPr>
                                  <w:t>20.41</w:t>
                                </w:r>
                              </w:p>
                            </w:txbxContent>
                          </wps:txbx>
                          <wps:bodyPr rot="0" vert="horz" wrap="square" lIns="0" tIns="0" rIns="0" bIns="0" anchor="t" anchorCtr="0">
                            <a:noAutofit/>
                          </wps:bodyPr>
                        </wps:wsp>
                        <wps:wsp>
                          <wps:cNvPr id="488" name="Rectangle 485"/>
                          <wps:cNvSpPr>
                            <a:spLocks noChangeArrowheads="1"/>
                          </wps:cNvSpPr>
                          <wps:spPr bwMode="auto">
                            <a:xfrm>
                              <a:off x="30" y="2310"/>
                              <a:ext cx="529" cy="337"/>
                            </a:xfrm>
                            <a:prstGeom prst="rect">
                              <a:avLst/>
                            </a:prstGeom>
                            <a:noFill/>
                            <a:ln>
                              <a:noFill/>
                            </a:ln>
                            <a:extLst/>
                          </wps:spPr>
                          <wps:txbx>
                            <w:txbxContent>
                              <w:p w14:paraId="03EC0988" w14:textId="77777777" w:rsidR="00960899" w:rsidRDefault="00960899" w:rsidP="009E0CC9">
                                <w:r>
                                  <w:rPr>
                                    <w:rFonts w:ascii="Cambria" w:hAnsi="Cambria" w:cs="Cambria"/>
                                    <w:color w:val="000000"/>
                                    <w:sz w:val="14"/>
                                    <w:szCs w:val="14"/>
                                  </w:rPr>
                                  <w:t>Male (20</w:t>
                                </w:r>
                              </w:p>
                            </w:txbxContent>
                          </wps:txbx>
                          <wps:bodyPr rot="0" vert="horz" wrap="square" lIns="0" tIns="0" rIns="0" bIns="0" anchor="t" anchorCtr="0">
                            <a:noAutofit/>
                          </wps:bodyPr>
                        </wps:wsp>
                        <wps:wsp>
                          <wps:cNvPr id="489" name="Rectangle 486"/>
                          <wps:cNvSpPr>
                            <a:spLocks noChangeArrowheads="1"/>
                          </wps:cNvSpPr>
                          <wps:spPr bwMode="auto">
                            <a:xfrm>
                              <a:off x="524" y="2310"/>
                              <a:ext cx="71" cy="337"/>
                            </a:xfrm>
                            <a:prstGeom prst="rect">
                              <a:avLst/>
                            </a:prstGeom>
                            <a:noFill/>
                            <a:ln>
                              <a:noFill/>
                            </a:ln>
                            <a:extLst/>
                          </wps:spPr>
                          <wps:txbx>
                            <w:txbxContent>
                              <w:p w14:paraId="6FC3A682" w14:textId="77777777" w:rsidR="00960899" w:rsidRDefault="00960899" w:rsidP="009E0CC9">
                                <w:r>
                                  <w:rPr>
                                    <w:rFonts w:ascii="Cambria" w:hAnsi="Cambria" w:cs="Cambria"/>
                                    <w:color w:val="000000"/>
                                    <w:sz w:val="14"/>
                                    <w:szCs w:val="14"/>
                                  </w:rPr>
                                  <w:t>–</w:t>
                                </w:r>
                              </w:p>
                            </w:txbxContent>
                          </wps:txbx>
                          <wps:bodyPr rot="0" vert="horz" wrap="square" lIns="0" tIns="0" rIns="0" bIns="0" anchor="t" anchorCtr="0">
                            <a:noAutofit/>
                          </wps:bodyPr>
                        </wps:wsp>
                        <wps:wsp>
                          <wps:cNvPr id="490" name="Rectangle 487"/>
                          <wps:cNvSpPr>
                            <a:spLocks noChangeArrowheads="1"/>
                          </wps:cNvSpPr>
                          <wps:spPr bwMode="auto">
                            <a:xfrm>
                              <a:off x="595" y="2310"/>
                              <a:ext cx="209" cy="337"/>
                            </a:xfrm>
                            <a:prstGeom prst="rect">
                              <a:avLst/>
                            </a:prstGeom>
                            <a:noFill/>
                            <a:ln>
                              <a:noFill/>
                            </a:ln>
                            <a:extLst/>
                          </wps:spPr>
                          <wps:txbx>
                            <w:txbxContent>
                              <w:p w14:paraId="537CDC89" w14:textId="77777777" w:rsidR="00960899" w:rsidRDefault="00960899" w:rsidP="009E0CC9">
                                <w:r>
                                  <w:rPr>
                                    <w:rFonts w:ascii="Cambria" w:hAnsi="Cambria" w:cs="Cambria"/>
                                    <w:color w:val="000000"/>
                                    <w:sz w:val="14"/>
                                    <w:szCs w:val="14"/>
                                  </w:rPr>
                                  <w:t>64)</w:t>
                                </w:r>
                              </w:p>
                            </w:txbxContent>
                          </wps:txbx>
                          <wps:bodyPr rot="0" vert="horz" wrap="square" lIns="0" tIns="0" rIns="0" bIns="0" anchor="t" anchorCtr="0">
                            <a:noAutofit/>
                          </wps:bodyPr>
                        </wps:wsp>
                        <wps:wsp>
                          <wps:cNvPr id="491" name="Rectangle 488"/>
                          <wps:cNvSpPr>
                            <a:spLocks noChangeArrowheads="1"/>
                          </wps:cNvSpPr>
                          <wps:spPr bwMode="auto">
                            <a:xfrm>
                              <a:off x="1493" y="2320"/>
                              <a:ext cx="339" cy="337"/>
                            </a:xfrm>
                            <a:prstGeom prst="rect">
                              <a:avLst/>
                            </a:prstGeom>
                            <a:noFill/>
                            <a:ln>
                              <a:noFill/>
                            </a:ln>
                            <a:extLst/>
                          </wps:spPr>
                          <wps:txbx>
                            <w:txbxContent>
                              <w:p w14:paraId="4C0AB53B" w14:textId="77777777" w:rsidR="00960899" w:rsidRDefault="00960899" w:rsidP="009E0CC9">
                                <w:r>
                                  <w:rPr>
                                    <w:rFonts w:ascii="Cambria" w:hAnsi="Cambria" w:cs="Cambria"/>
                                    <w:color w:val="000000"/>
                                    <w:sz w:val="14"/>
                                    <w:szCs w:val="14"/>
                                  </w:rPr>
                                  <w:t>86.08</w:t>
                                </w:r>
                              </w:p>
                            </w:txbxContent>
                          </wps:txbx>
                          <wps:bodyPr rot="0" vert="horz" wrap="square" lIns="0" tIns="0" rIns="0" bIns="0" anchor="t" anchorCtr="0">
                            <a:noAutofit/>
                          </wps:bodyPr>
                        </wps:wsp>
                        <wps:wsp>
                          <wps:cNvPr id="492" name="Rectangle 489"/>
                          <wps:cNvSpPr>
                            <a:spLocks noChangeArrowheads="1"/>
                          </wps:cNvSpPr>
                          <wps:spPr bwMode="auto">
                            <a:xfrm>
                              <a:off x="2522" y="2320"/>
                              <a:ext cx="339" cy="337"/>
                            </a:xfrm>
                            <a:prstGeom prst="rect">
                              <a:avLst/>
                            </a:prstGeom>
                            <a:noFill/>
                            <a:ln>
                              <a:noFill/>
                            </a:ln>
                            <a:extLst/>
                          </wps:spPr>
                          <wps:txbx>
                            <w:txbxContent>
                              <w:p w14:paraId="4F1A1231" w14:textId="77777777" w:rsidR="00960899" w:rsidRDefault="00960899" w:rsidP="009E0CC9">
                                <w:r>
                                  <w:rPr>
                                    <w:rFonts w:ascii="Cambria" w:hAnsi="Cambria" w:cs="Cambria"/>
                                    <w:color w:val="000000"/>
                                    <w:sz w:val="14"/>
                                    <w:szCs w:val="14"/>
                                  </w:rPr>
                                  <w:t>62.62</w:t>
                                </w:r>
                              </w:p>
                            </w:txbxContent>
                          </wps:txbx>
                          <wps:bodyPr rot="0" vert="horz" wrap="square" lIns="0" tIns="0" rIns="0" bIns="0" anchor="t" anchorCtr="0">
                            <a:noAutofit/>
                          </wps:bodyPr>
                        </wps:wsp>
                        <wps:wsp>
                          <wps:cNvPr id="493" name="Rectangle 490"/>
                          <wps:cNvSpPr>
                            <a:spLocks noChangeArrowheads="1"/>
                          </wps:cNvSpPr>
                          <wps:spPr bwMode="auto">
                            <a:xfrm>
                              <a:off x="3631" y="2320"/>
                              <a:ext cx="339" cy="337"/>
                            </a:xfrm>
                            <a:prstGeom prst="rect">
                              <a:avLst/>
                            </a:prstGeom>
                            <a:noFill/>
                            <a:ln>
                              <a:noFill/>
                            </a:ln>
                            <a:extLst/>
                          </wps:spPr>
                          <wps:txbx>
                            <w:txbxContent>
                              <w:p w14:paraId="38865FA2" w14:textId="77777777" w:rsidR="00960899" w:rsidRDefault="00960899" w:rsidP="009E0CC9">
                                <w:r>
                                  <w:rPr>
                                    <w:rFonts w:ascii="Cambria" w:hAnsi="Cambria" w:cs="Cambria"/>
                                    <w:color w:val="000000"/>
                                    <w:sz w:val="14"/>
                                    <w:szCs w:val="14"/>
                                  </w:rPr>
                                  <w:t>23.46</w:t>
                                </w:r>
                              </w:p>
                            </w:txbxContent>
                          </wps:txbx>
                          <wps:bodyPr rot="0" vert="horz" wrap="square" lIns="0" tIns="0" rIns="0" bIns="0" anchor="t" anchorCtr="0">
                            <a:noAutofit/>
                          </wps:bodyPr>
                        </wps:wsp>
                        <wps:wsp>
                          <wps:cNvPr id="494" name="Rectangle 491"/>
                          <wps:cNvSpPr>
                            <a:spLocks noChangeArrowheads="1"/>
                          </wps:cNvSpPr>
                          <wps:spPr bwMode="auto">
                            <a:xfrm>
                              <a:off x="4640" y="2320"/>
                              <a:ext cx="339" cy="337"/>
                            </a:xfrm>
                            <a:prstGeom prst="rect">
                              <a:avLst/>
                            </a:prstGeom>
                            <a:noFill/>
                            <a:ln>
                              <a:noFill/>
                            </a:ln>
                            <a:extLst/>
                          </wps:spPr>
                          <wps:txbx>
                            <w:txbxContent>
                              <w:p w14:paraId="6DD173F5" w14:textId="77777777" w:rsidR="00960899" w:rsidRDefault="00960899" w:rsidP="009E0CC9">
                                <w:r>
                                  <w:rPr>
                                    <w:rFonts w:ascii="Cambria" w:hAnsi="Cambria" w:cs="Cambria"/>
                                    <w:color w:val="000000"/>
                                    <w:sz w:val="14"/>
                                    <w:szCs w:val="14"/>
                                  </w:rPr>
                                  <w:t>14.71</w:t>
                                </w:r>
                              </w:p>
                            </w:txbxContent>
                          </wps:txbx>
                          <wps:bodyPr rot="0" vert="horz" wrap="square" lIns="0" tIns="0" rIns="0" bIns="0" anchor="t" anchorCtr="0">
                            <a:noAutofit/>
                          </wps:bodyPr>
                        </wps:wsp>
                        <wps:wsp>
                          <wps:cNvPr id="495" name="Rectangle 492"/>
                          <wps:cNvSpPr>
                            <a:spLocks noChangeArrowheads="1"/>
                          </wps:cNvSpPr>
                          <wps:spPr bwMode="auto">
                            <a:xfrm>
                              <a:off x="5588" y="2320"/>
                              <a:ext cx="339" cy="337"/>
                            </a:xfrm>
                            <a:prstGeom prst="rect">
                              <a:avLst/>
                            </a:prstGeom>
                            <a:noFill/>
                            <a:ln>
                              <a:noFill/>
                            </a:ln>
                            <a:extLst/>
                          </wps:spPr>
                          <wps:txbx>
                            <w:txbxContent>
                              <w:p w14:paraId="03FF1C25" w14:textId="77777777" w:rsidR="00960899" w:rsidRDefault="00960899" w:rsidP="009E0CC9">
                                <w:r>
                                  <w:rPr>
                                    <w:rFonts w:ascii="Cambria" w:hAnsi="Cambria" w:cs="Cambria"/>
                                    <w:color w:val="000000"/>
                                    <w:sz w:val="14"/>
                                    <w:szCs w:val="14"/>
                                  </w:rPr>
                                  <w:t>82.93</w:t>
                                </w:r>
                              </w:p>
                            </w:txbxContent>
                          </wps:txbx>
                          <wps:bodyPr rot="0" vert="horz" wrap="square" lIns="0" tIns="0" rIns="0" bIns="0" anchor="t" anchorCtr="0">
                            <a:noAutofit/>
                          </wps:bodyPr>
                        </wps:wsp>
                        <wps:wsp>
                          <wps:cNvPr id="496" name="Rectangle 493"/>
                          <wps:cNvSpPr>
                            <a:spLocks noChangeArrowheads="1"/>
                          </wps:cNvSpPr>
                          <wps:spPr bwMode="auto">
                            <a:xfrm>
                              <a:off x="6566" y="2320"/>
                              <a:ext cx="339" cy="337"/>
                            </a:xfrm>
                            <a:prstGeom prst="rect">
                              <a:avLst/>
                            </a:prstGeom>
                            <a:noFill/>
                            <a:ln>
                              <a:noFill/>
                            </a:ln>
                            <a:extLst/>
                          </wps:spPr>
                          <wps:txbx>
                            <w:txbxContent>
                              <w:p w14:paraId="05622685" w14:textId="77777777" w:rsidR="00960899" w:rsidRDefault="00960899" w:rsidP="009E0CC9">
                                <w:r>
                                  <w:rPr>
                                    <w:rFonts w:ascii="Cambria" w:hAnsi="Cambria" w:cs="Cambria"/>
                                    <w:color w:val="000000"/>
                                    <w:sz w:val="14"/>
                                    <w:szCs w:val="14"/>
                                  </w:rPr>
                                  <w:t>49.33</w:t>
                                </w:r>
                              </w:p>
                            </w:txbxContent>
                          </wps:txbx>
                          <wps:bodyPr rot="0" vert="horz" wrap="square" lIns="0" tIns="0" rIns="0" bIns="0" anchor="t" anchorCtr="0">
                            <a:noAutofit/>
                          </wps:bodyPr>
                        </wps:wsp>
                        <wps:wsp>
                          <wps:cNvPr id="497" name="Rectangle 494"/>
                          <wps:cNvSpPr>
                            <a:spLocks noChangeArrowheads="1"/>
                          </wps:cNvSpPr>
                          <wps:spPr bwMode="auto">
                            <a:xfrm>
                              <a:off x="7676" y="2320"/>
                              <a:ext cx="262" cy="337"/>
                            </a:xfrm>
                            <a:prstGeom prst="rect">
                              <a:avLst/>
                            </a:prstGeom>
                            <a:noFill/>
                            <a:ln>
                              <a:noFill/>
                            </a:ln>
                            <a:extLst/>
                          </wps:spPr>
                          <wps:txbx>
                            <w:txbxContent>
                              <w:p w14:paraId="595CC128" w14:textId="77777777" w:rsidR="00960899" w:rsidRDefault="00960899" w:rsidP="009E0CC9">
                                <w:r>
                                  <w:rPr>
                                    <w:rFonts w:ascii="Cambria" w:hAnsi="Cambria" w:cs="Cambria"/>
                                    <w:color w:val="000000"/>
                                    <w:sz w:val="14"/>
                                    <w:szCs w:val="14"/>
                                  </w:rPr>
                                  <w:t>33.6</w:t>
                                </w:r>
                              </w:p>
                            </w:txbxContent>
                          </wps:txbx>
                          <wps:bodyPr rot="0" vert="horz" wrap="square" lIns="0" tIns="0" rIns="0" bIns="0" anchor="t" anchorCtr="0">
                            <a:noAutofit/>
                          </wps:bodyPr>
                        </wps:wsp>
                        <wps:wsp>
                          <wps:cNvPr id="498" name="Rectangle 495"/>
                          <wps:cNvSpPr>
                            <a:spLocks noChangeArrowheads="1"/>
                          </wps:cNvSpPr>
                          <wps:spPr bwMode="auto">
                            <a:xfrm>
                              <a:off x="8684" y="2320"/>
                              <a:ext cx="339" cy="337"/>
                            </a:xfrm>
                            <a:prstGeom prst="rect">
                              <a:avLst/>
                            </a:prstGeom>
                            <a:noFill/>
                            <a:ln>
                              <a:noFill/>
                            </a:ln>
                            <a:extLst/>
                          </wps:spPr>
                          <wps:txbx>
                            <w:txbxContent>
                              <w:p w14:paraId="621FFA7D" w14:textId="77777777" w:rsidR="00960899" w:rsidRDefault="00960899" w:rsidP="009E0CC9">
                                <w:r>
                                  <w:rPr>
                                    <w:rFonts w:ascii="Cambria" w:hAnsi="Cambria" w:cs="Cambria"/>
                                    <w:color w:val="000000"/>
                                    <w:sz w:val="14"/>
                                    <w:szCs w:val="14"/>
                                  </w:rPr>
                                  <w:t>23.64</w:t>
                                </w:r>
                              </w:p>
                            </w:txbxContent>
                          </wps:txbx>
                          <wps:bodyPr rot="0" vert="horz" wrap="square" lIns="0" tIns="0" rIns="0" bIns="0" anchor="t" anchorCtr="0">
                            <a:noAutofit/>
                          </wps:bodyPr>
                        </wps:wsp>
                        <wps:wsp>
                          <wps:cNvPr id="499" name="Rectangle 496"/>
                          <wps:cNvSpPr>
                            <a:spLocks noChangeArrowheads="1"/>
                          </wps:cNvSpPr>
                          <wps:spPr bwMode="auto">
                            <a:xfrm>
                              <a:off x="30" y="2511"/>
                              <a:ext cx="883" cy="337"/>
                            </a:xfrm>
                            <a:prstGeom prst="rect">
                              <a:avLst/>
                            </a:prstGeom>
                            <a:noFill/>
                            <a:ln>
                              <a:noFill/>
                            </a:ln>
                            <a:extLst/>
                          </wps:spPr>
                          <wps:txbx>
                            <w:txbxContent>
                              <w:p w14:paraId="56F55EE6" w14:textId="77777777" w:rsidR="00960899" w:rsidRDefault="00960899" w:rsidP="009E0CC9">
                                <w:r>
                                  <w:rPr>
                                    <w:rFonts w:ascii="Cambria" w:hAnsi="Cambria" w:cs="Cambria"/>
                                    <w:b/>
                                    <w:bCs/>
                                    <w:color w:val="000000"/>
                                    <w:sz w:val="14"/>
                                    <w:szCs w:val="14"/>
                                  </w:rPr>
                                  <w:t>Rural (20-64)</w:t>
                                </w:r>
                              </w:p>
                            </w:txbxContent>
                          </wps:txbx>
                          <wps:bodyPr rot="0" vert="horz" wrap="square" lIns="0" tIns="0" rIns="0" bIns="0" anchor="t" anchorCtr="0">
                            <a:noAutofit/>
                          </wps:bodyPr>
                        </wps:wsp>
                        <wps:wsp>
                          <wps:cNvPr id="500" name="Rectangle 497"/>
                          <wps:cNvSpPr>
                            <a:spLocks noChangeArrowheads="1"/>
                          </wps:cNvSpPr>
                          <wps:spPr bwMode="auto">
                            <a:xfrm>
                              <a:off x="1473" y="2521"/>
                              <a:ext cx="365" cy="337"/>
                            </a:xfrm>
                            <a:prstGeom prst="rect">
                              <a:avLst/>
                            </a:prstGeom>
                            <a:noFill/>
                            <a:ln>
                              <a:noFill/>
                            </a:ln>
                            <a:extLst/>
                          </wps:spPr>
                          <wps:txbx>
                            <w:txbxContent>
                              <w:p w14:paraId="100EB2FD" w14:textId="77777777" w:rsidR="00960899" w:rsidRDefault="00960899" w:rsidP="009E0CC9">
                                <w:r>
                                  <w:rPr>
                                    <w:rFonts w:ascii="Cambria" w:hAnsi="Cambria" w:cs="Cambria"/>
                                    <w:b/>
                                    <w:bCs/>
                                    <w:color w:val="000000"/>
                                    <w:sz w:val="14"/>
                                    <w:szCs w:val="14"/>
                                  </w:rPr>
                                  <w:t>84.72</w:t>
                                </w:r>
                              </w:p>
                            </w:txbxContent>
                          </wps:txbx>
                          <wps:bodyPr rot="0" vert="horz" wrap="square" lIns="0" tIns="0" rIns="0" bIns="0" anchor="t" anchorCtr="0">
                            <a:noAutofit/>
                          </wps:bodyPr>
                        </wps:wsp>
                        <wps:wsp>
                          <wps:cNvPr id="501" name="Rectangle 498"/>
                          <wps:cNvSpPr>
                            <a:spLocks noChangeArrowheads="1"/>
                          </wps:cNvSpPr>
                          <wps:spPr bwMode="auto">
                            <a:xfrm>
                              <a:off x="2542" y="2521"/>
                              <a:ext cx="282" cy="337"/>
                            </a:xfrm>
                            <a:prstGeom prst="rect">
                              <a:avLst/>
                            </a:prstGeom>
                            <a:noFill/>
                            <a:ln>
                              <a:noFill/>
                            </a:ln>
                            <a:extLst/>
                          </wps:spPr>
                          <wps:txbx>
                            <w:txbxContent>
                              <w:p w14:paraId="42BAB2E5" w14:textId="77777777" w:rsidR="00960899" w:rsidRDefault="00960899" w:rsidP="009E0CC9">
                                <w:r>
                                  <w:rPr>
                                    <w:rFonts w:ascii="Cambria" w:hAnsi="Cambria" w:cs="Cambria"/>
                                    <w:b/>
                                    <w:bCs/>
                                    <w:color w:val="000000"/>
                                    <w:sz w:val="14"/>
                                    <w:szCs w:val="14"/>
                                  </w:rPr>
                                  <w:t>78.8</w:t>
                                </w:r>
                              </w:p>
                            </w:txbxContent>
                          </wps:txbx>
                          <wps:bodyPr rot="0" vert="horz" wrap="square" lIns="0" tIns="0" rIns="0" bIns="0" anchor="t" anchorCtr="0">
                            <a:noAutofit/>
                          </wps:bodyPr>
                        </wps:wsp>
                        <wps:wsp>
                          <wps:cNvPr id="502" name="Rectangle 499"/>
                          <wps:cNvSpPr>
                            <a:spLocks noChangeArrowheads="1"/>
                          </wps:cNvSpPr>
                          <wps:spPr bwMode="auto">
                            <a:xfrm>
                              <a:off x="3651" y="2521"/>
                              <a:ext cx="282" cy="337"/>
                            </a:xfrm>
                            <a:prstGeom prst="rect">
                              <a:avLst/>
                            </a:prstGeom>
                            <a:noFill/>
                            <a:ln>
                              <a:noFill/>
                            </a:ln>
                            <a:extLst/>
                          </wps:spPr>
                          <wps:txbx>
                            <w:txbxContent>
                              <w:p w14:paraId="04BD5822" w14:textId="77777777" w:rsidR="00960899" w:rsidRDefault="00960899" w:rsidP="009E0CC9">
                                <w:r>
                                  <w:rPr>
                                    <w:rFonts w:ascii="Cambria" w:hAnsi="Cambria" w:cs="Cambria"/>
                                    <w:b/>
                                    <w:bCs/>
                                    <w:color w:val="000000"/>
                                    <w:sz w:val="14"/>
                                    <w:szCs w:val="14"/>
                                  </w:rPr>
                                  <w:t>5.92</w:t>
                                </w:r>
                              </w:p>
                            </w:txbxContent>
                          </wps:txbx>
                          <wps:bodyPr rot="0" vert="horz" wrap="square" lIns="0" tIns="0" rIns="0" bIns="0" anchor="t" anchorCtr="0">
                            <a:noAutofit/>
                          </wps:bodyPr>
                        </wps:wsp>
                        <wps:wsp>
                          <wps:cNvPr id="503" name="Rectangle 500"/>
                          <wps:cNvSpPr>
                            <a:spLocks noChangeArrowheads="1"/>
                          </wps:cNvSpPr>
                          <wps:spPr bwMode="auto">
                            <a:xfrm>
                              <a:off x="4660" y="2521"/>
                              <a:ext cx="282" cy="337"/>
                            </a:xfrm>
                            <a:prstGeom prst="rect">
                              <a:avLst/>
                            </a:prstGeom>
                            <a:noFill/>
                            <a:ln>
                              <a:noFill/>
                            </a:ln>
                            <a:extLst/>
                          </wps:spPr>
                          <wps:txbx>
                            <w:txbxContent>
                              <w:p w14:paraId="3E5939D8" w14:textId="77777777" w:rsidR="00960899" w:rsidRDefault="00960899" w:rsidP="009E0CC9">
                                <w:r>
                                  <w:rPr>
                                    <w:rFonts w:ascii="Cambria" w:hAnsi="Cambria" w:cs="Cambria"/>
                                    <w:b/>
                                    <w:bCs/>
                                    <w:color w:val="000000"/>
                                    <w:sz w:val="14"/>
                                    <w:szCs w:val="14"/>
                                  </w:rPr>
                                  <w:t>3.85</w:t>
                                </w:r>
                              </w:p>
                            </w:txbxContent>
                          </wps:txbx>
                          <wps:bodyPr rot="0" vert="horz" wrap="square" lIns="0" tIns="0" rIns="0" bIns="0" anchor="t" anchorCtr="0">
                            <a:noAutofit/>
                          </wps:bodyPr>
                        </wps:wsp>
                        <wps:wsp>
                          <wps:cNvPr id="504" name="Rectangle 501"/>
                          <wps:cNvSpPr>
                            <a:spLocks noChangeArrowheads="1"/>
                          </wps:cNvSpPr>
                          <wps:spPr bwMode="auto">
                            <a:xfrm>
                              <a:off x="5568" y="2521"/>
                              <a:ext cx="365" cy="337"/>
                            </a:xfrm>
                            <a:prstGeom prst="rect">
                              <a:avLst/>
                            </a:prstGeom>
                            <a:noFill/>
                            <a:ln>
                              <a:noFill/>
                            </a:ln>
                            <a:extLst/>
                          </wps:spPr>
                          <wps:txbx>
                            <w:txbxContent>
                              <w:p w14:paraId="0B773BAF" w14:textId="77777777" w:rsidR="00960899" w:rsidRDefault="00960899" w:rsidP="009E0CC9">
                                <w:r>
                                  <w:rPr>
                                    <w:rFonts w:ascii="Cambria" w:hAnsi="Cambria" w:cs="Cambria"/>
                                    <w:b/>
                                    <w:bCs/>
                                    <w:color w:val="000000"/>
                                    <w:sz w:val="14"/>
                                    <w:szCs w:val="14"/>
                                  </w:rPr>
                                  <w:t>69.77</w:t>
                                </w:r>
                              </w:p>
                            </w:txbxContent>
                          </wps:txbx>
                          <wps:bodyPr rot="0" vert="horz" wrap="square" lIns="0" tIns="0" rIns="0" bIns="0" anchor="t" anchorCtr="0">
                            <a:noAutofit/>
                          </wps:bodyPr>
                        </wps:wsp>
                        <wps:wsp>
                          <wps:cNvPr id="505" name="Rectangle 502"/>
                          <wps:cNvSpPr>
                            <a:spLocks noChangeArrowheads="1"/>
                          </wps:cNvSpPr>
                          <wps:spPr bwMode="auto">
                            <a:xfrm>
                              <a:off x="6546" y="2521"/>
                              <a:ext cx="365" cy="337"/>
                            </a:xfrm>
                            <a:prstGeom prst="rect">
                              <a:avLst/>
                            </a:prstGeom>
                            <a:noFill/>
                            <a:ln>
                              <a:noFill/>
                            </a:ln>
                            <a:extLst/>
                          </wps:spPr>
                          <wps:txbx>
                            <w:txbxContent>
                              <w:p w14:paraId="4D0E6CB8" w14:textId="77777777" w:rsidR="00960899" w:rsidRDefault="00960899" w:rsidP="009E0CC9">
                                <w:r>
                                  <w:rPr>
                                    <w:rFonts w:ascii="Cambria" w:hAnsi="Cambria" w:cs="Cambria"/>
                                    <w:b/>
                                    <w:bCs/>
                                    <w:color w:val="000000"/>
                                    <w:sz w:val="14"/>
                                    <w:szCs w:val="14"/>
                                  </w:rPr>
                                  <w:t>51.87</w:t>
                                </w:r>
                              </w:p>
                            </w:txbxContent>
                          </wps:txbx>
                          <wps:bodyPr rot="0" vert="horz" wrap="square" lIns="0" tIns="0" rIns="0" bIns="0" anchor="t" anchorCtr="0">
                            <a:noAutofit/>
                          </wps:bodyPr>
                        </wps:wsp>
                        <wps:wsp>
                          <wps:cNvPr id="506" name="Rectangle 503"/>
                          <wps:cNvSpPr>
                            <a:spLocks noChangeArrowheads="1"/>
                          </wps:cNvSpPr>
                          <wps:spPr bwMode="auto">
                            <a:xfrm>
                              <a:off x="7615" y="2521"/>
                              <a:ext cx="365" cy="337"/>
                            </a:xfrm>
                            <a:prstGeom prst="rect">
                              <a:avLst/>
                            </a:prstGeom>
                            <a:noFill/>
                            <a:ln>
                              <a:noFill/>
                            </a:ln>
                            <a:extLst/>
                          </wps:spPr>
                          <wps:txbx>
                            <w:txbxContent>
                              <w:p w14:paraId="35823581" w14:textId="77777777" w:rsidR="00960899" w:rsidRDefault="00960899" w:rsidP="009E0CC9">
                                <w:r>
                                  <w:rPr>
                                    <w:rFonts w:ascii="Cambria" w:hAnsi="Cambria" w:cs="Cambria"/>
                                    <w:b/>
                                    <w:bCs/>
                                    <w:color w:val="000000"/>
                                    <w:sz w:val="14"/>
                                    <w:szCs w:val="14"/>
                                  </w:rPr>
                                  <w:t>17.89</w:t>
                                </w:r>
                              </w:p>
                            </w:txbxContent>
                          </wps:txbx>
                          <wps:bodyPr rot="0" vert="horz" wrap="square" lIns="0" tIns="0" rIns="0" bIns="0" anchor="t" anchorCtr="0">
                            <a:noAutofit/>
                          </wps:bodyPr>
                        </wps:wsp>
                        <wps:wsp>
                          <wps:cNvPr id="507" name="Rectangle 504"/>
                          <wps:cNvSpPr>
                            <a:spLocks noChangeArrowheads="1"/>
                          </wps:cNvSpPr>
                          <wps:spPr bwMode="auto">
                            <a:xfrm>
                              <a:off x="8664" y="2521"/>
                              <a:ext cx="365" cy="337"/>
                            </a:xfrm>
                            <a:prstGeom prst="rect">
                              <a:avLst/>
                            </a:prstGeom>
                            <a:noFill/>
                            <a:ln>
                              <a:noFill/>
                            </a:ln>
                            <a:extLst/>
                          </wps:spPr>
                          <wps:txbx>
                            <w:txbxContent>
                              <w:p w14:paraId="67E74DA7" w14:textId="77777777" w:rsidR="00960899" w:rsidRDefault="00960899" w:rsidP="009E0CC9">
                                <w:r>
                                  <w:rPr>
                                    <w:rFonts w:ascii="Cambria" w:hAnsi="Cambria" w:cs="Cambria"/>
                                    <w:b/>
                                    <w:bCs/>
                                    <w:color w:val="000000"/>
                                    <w:sz w:val="14"/>
                                    <w:szCs w:val="14"/>
                                  </w:rPr>
                                  <w:t>14.18</w:t>
                                </w:r>
                              </w:p>
                            </w:txbxContent>
                          </wps:txbx>
                          <wps:bodyPr rot="0" vert="horz" wrap="square" lIns="0" tIns="0" rIns="0" bIns="0" anchor="t" anchorCtr="0">
                            <a:noAutofit/>
                          </wps:bodyPr>
                        </wps:wsp>
                        <wps:wsp>
                          <wps:cNvPr id="508" name="Rectangle 505"/>
                          <wps:cNvSpPr>
                            <a:spLocks noChangeArrowheads="1"/>
                          </wps:cNvSpPr>
                          <wps:spPr bwMode="auto">
                            <a:xfrm>
                              <a:off x="30" y="2713"/>
                              <a:ext cx="596" cy="337"/>
                            </a:xfrm>
                            <a:prstGeom prst="rect">
                              <a:avLst/>
                            </a:prstGeom>
                            <a:noFill/>
                            <a:ln>
                              <a:noFill/>
                            </a:ln>
                            <a:extLst/>
                          </wps:spPr>
                          <wps:txbx>
                            <w:txbxContent>
                              <w:p w14:paraId="6593BF7F" w14:textId="77777777" w:rsidR="00960899" w:rsidRDefault="00960899" w:rsidP="009E0CC9">
                                <w:r>
                                  <w:rPr>
                                    <w:rFonts w:ascii="Cambria" w:hAnsi="Cambria" w:cs="Cambria"/>
                                    <w:color w:val="000000"/>
                                    <w:sz w:val="14"/>
                                    <w:szCs w:val="14"/>
                                  </w:rPr>
                                  <w:t>Youth (15</w:t>
                                </w:r>
                              </w:p>
                            </w:txbxContent>
                          </wps:txbx>
                          <wps:bodyPr rot="0" vert="horz" wrap="square" lIns="0" tIns="0" rIns="0" bIns="0" anchor="t" anchorCtr="0">
                            <a:noAutofit/>
                          </wps:bodyPr>
                        </wps:wsp>
                        <wps:wsp>
                          <wps:cNvPr id="509" name="Rectangle 506"/>
                          <wps:cNvSpPr>
                            <a:spLocks noChangeArrowheads="1"/>
                          </wps:cNvSpPr>
                          <wps:spPr bwMode="auto">
                            <a:xfrm>
                              <a:off x="575" y="2713"/>
                              <a:ext cx="71" cy="337"/>
                            </a:xfrm>
                            <a:prstGeom prst="rect">
                              <a:avLst/>
                            </a:prstGeom>
                            <a:noFill/>
                            <a:ln>
                              <a:noFill/>
                            </a:ln>
                            <a:extLst/>
                          </wps:spPr>
                          <wps:txbx>
                            <w:txbxContent>
                              <w:p w14:paraId="09926114" w14:textId="77777777" w:rsidR="00960899" w:rsidRDefault="00960899" w:rsidP="009E0CC9">
                                <w:r>
                                  <w:rPr>
                                    <w:rFonts w:ascii="Cambria" w:hAnsi="Cambria" w:cs="Cambria"/>
                                    <w:color w:val="000000"/>
                                    <w:sz w:val="14"/>
                                    <w:szCs w:val="14"/>
                                  </w:rPr>
                                  <w:t>–</w:t>
                                </w:r>
                              </w:p>
                            </w:txbxContent>
                          </wps:txbx>
                          <wps:bodyPr rot="0" vert="horz" wrap="square" lIns="0" tIns="0" rIns="0" bIns="0" anchor="t" anchorCtr="0">
                            <a:noAutofit/>
                          </wps:bodyPr>
                        </wps:wsp>
                        <wps:wsp>
                          <wps:cNvPr id="510" name="Rectangle 507"/>
                          <wps:cNvSpPr>
                            <a:spLocks noChangeArrowheads="1"/>
                          </wps:cNvSpPr>
                          <wps:spPr bwMode="auto">
                            <a:xfrm>
                              <a:off x="646" y="2713"/>
                              <a:ext cx="209" cy="337"/>
                            </a:xfrm>
                            <a:prstGeom prst="rect">
                              <a:avLst/>
                            </a:prstGeom>
                            <a:noFill/>
                            <a:ln>
                              <a:noFill/>
                            </a:ln>
                            <a:extLst/>
                          </wps:spPr>
                          <wps:txbx>
                            <w:txbxContent>
                              <w:p w14:paraId="3A160F36" w14:textId="77777777" w:rsidR="00960899" w:rsidRDefault="00960899" w:rsidP="009E0CC9">
                                <w:r>
                                  <w:rPr>
                                    <w:rFonts w:ascii="Cambria" w:hAnsi="Cambria" w:cs="Cambria"/>
                                    <w:color w:val="000000"/>
                                    <w:sz w:val="14"/>
                                    <w:szCs w:val="14"/>
                                  </w:rPr>
                                  <w:t>24)</w:t>
                                </w:r>
                              </w:p>
                            </w:txbxContent>
                          </wps:txbx>
                          <wps:bodyPr rot="0" vert="horz" wrap="square" lIns="0" tIns="0" rIns="0" bIns="0" anchor="t" anchorCtr="0">
                            <a:noAutofit/>
                          </wps:bodyPr>
                        </wps:wsp>
                        <wps:wsp>
                          <wps:cNvPr id="511" name="Rectangle 508"/>
                          <wps:cNvSpPr>
                            <a:spLocks noChangeArrowheads="1"/>
                          </wps:cNvSpPr>
                          <wps:spPr bwMode="auto">
                            <a:xfrm>
                              <a:off x="1493" y="2723"/>
                              <a:ext cx="339" cy="337"/>
                            </a:xfrm>
                            <a:prstGeom prst="rect">
                              <a:avLst/>
                            </a:prstGeom>
                            <a:noFill/>
                            <a:ln>
                              <a:noFill/>
                            </a:ln>
                            <a:extLst/>
                          </wps:spPr>
                          <wps:txbx>
                            <w:txbxContent>
                              <w:p w14:paraId="22A57106" w14:textId="77777777" w:rsidR="00960899" w:rsidRDefault="00960899" w:rsidP="009E0CC9">
                                <w:r>
                                  <w:rPr>
                                    <w:rFonts w:ascii="Cambria" w:hAnsi="Cambria" w:cs="Cambria"/>
                                    <w:color w:val="000000"/>
                                    <w:sz w:val="14"/>
                                    <w:szCs w:val="14"/>
                                  </w:rPr>
                                  <w:t>45.72</w:t>
                                </w:r>
                              </w:p>
                            </w:txbxContent>
                          </wps:txbx>
                          <wps:bodyPr rot="0" vert="horz" wrap="square" lIns="0" tIns="0" rIns="0" bIns="0" anchor="t" anchorCtr="0">
                            <a:noAutofit/>
                          </wps:bodyPr>
                        </wps:wsp>
                        <wps:wsp>
                          <wps:cNvPr id="512" name="Rectangle 509"/>
                          <wps:cNvSpPr>
                            <a:spLocks noChangeArrowheads="1"/>
                          </wps:cNvSpPr>
                          <wps:spPr bwMode="auto">
                            <a:xfrm>
                              <a:off x="2522" y="2723"/>
                              <a:ext cx="339" cy="337"/>
                            </a:xfrm>
                            <a:prstGeom prst="rect">
                              <a:avLst/>
                            </a:prstGeom>
                            <a:noFill/>
                            <a:ln>
                              <a:noFill/>
                            </a:ln>
                            <a:extLst/>
                          </wps:spPr>
                          <wps:txbx>
                            <w:txbxContent>
                              <w:p w14:paraId="1D24B56D" w14:textId="77777777" w:rsidR="00960899" w:rsidRDefault="00960899" w:rsidP="009E0CC9">
                                <w:r>
                                  <w:rPr>
                                    <w:rFonts w:ascii="Cambria" w:hAnsi="Cambria" w:cs="Cambria"/>
                                    <w:color w:val="000000"/>
                                    <w:sz w:val="14"/>
                                    <w:szCs w:val="14"/>
                                  </w:rPr>
                                  <w:t>34.84</w:t>
                                </w:r>
                              </w:p>
                            </w:txbxContent>
                          </wps:txbx>
                          <wps:bodyPr rot="0" vert="horz" wrap="square" lIns="0" tIns="0" rIns="0" bIns="0" anchor="t" anchorCtr="0">
                            <a:noAutofit/>
                          </wps:bodyPr>
                        </wps:wsp>
                        <wps:wsp>
                          <wps:cNvPr id="513" name="Rectangle 510"/>
                          <wps:cNvSpPr>
                            <a:spLocks noChangeArrowheads="1"/>
                          </wps:cNvSpPr>
                          <wps:spPr bwMode="auto">
                            <a:xfrm>
                              <a:off x="3631" y="2723"/>
                              <a:ext cx="339" cy="337"/>
                            </a:xfrm>
                            <a:prstGeom prst="rect">
                              <a:avLst/>
                            </a:prstGeom>
                            <a:noFill/>
                            <a:ln>
                              <a:noFill/>
                            </a:ln>
                            <a:extLst/>
                          </wps:spPr>
                          <wps:txbx>
                            <w:txbxContent>
                              <w:p w14:paraId="4E252161" w14:textId="77777777" w:rsidR="00960899" w:rsidRDefault="00960899" w:rsidP="009E0CC9">
                                <w:r>
                                  <w:rPr>
                                    <w:rFonts w:ascii="Cambria" w:hAnsi="Cambria" w:cs="Cambria"/>
                                    <w:color w:val="000000"/>
                                    <w:sz w:val="14"/>
                                    <w:szCs w:val="14"/>
                                  </w:rPr>
                                  <w:t>10.88</w:t>
                                </w:r>
                              </w:p>
                            </w:txbxContent>
                          </wps:txbx>
                          <wps:bodyPr rot="0" vert="horz" wrap="square" lIns="0" tIns="0" rIns="0" bIns="0" anchor="t" anchorCtr="0">
                            <a:noAutofit/>
                          </wps:bodyPr>
                        </wps:wsp>
                        <wps:wsp>
                          <wps:cNvPr id="514" name="Rectangle 511"/>
                          <wps:cNvSpPr>
                            <a:spLocks noChangeArrowheads="1"/>
                          </wps:cNvSpPr>
                          <wps:spPr bwMode="auto">
                            <a:xfrm>
                              <a:off x="4670" y="2723"/>
                              <a:ext cx="262" cy="337"/>
                            </a:xfrm>
                            <a:prstGeom prst="rect">
                              <a:avLst/>
                            </a:prstGeom>
                            <a:noFill/>
                            <a:ln>
                              <a:noFill/>
                            </a:ln>
                            <a:extLst/>
                          </wps:spPr>
                          <wps:txbx>
                            <w:txbxContent>
                              <w:p w14:paraId="68D9A9B1" w14:textId="77777777" w:rsidR="00960899" w:rsidRDefault="00960899" w:rsidP="009E0CC9">
                                <w:r>
                                  <w:rPr>
                                    <w:rFonts w:ascii="Cambria" w:hAnsi="Cambria" w:cs="Cambria"/>
                                    <w:color w:val="000000"/>
                                    <w:sz w:val="14"/>
                                    <w:szCs w:val="14"/>
                                  </w:rPr>
                                  <w:t>8.44</w:t>
                                </w:r>
                              </w:p>
                            </w:txbxContent>
                          </wps:txbx>
                          <wps:bodyPr rot="0" vert="horz" wrap="square" lIns="0" tIns="0" rIns="0" bIns="0" anchor="t" anchorCtr="0">
                            <a:noAutofit/>
                          </wps:bodyPr>
                        </wps:wsp>
                        <wps:wsp>
                          <wps:cNvPr id="515" name="Rectangle 512"/>
                          <wps:cNvSpPr>
                            <a:spLocks noChangeArrowheads="1"/>
                          </wps:cNvSpPr>
                          <wps:spPr bwMode="auto">
                            <a:xfrm>
                              <a:off x="5618" y="2723"/>
                              <a:ext cx="262" cy="337"/>
                            </a:xfrm>
                            <a:prstGeom prst="rect">
                              <a:avLst/>
                            </a:prstGeom>
                            <a:noFill/>
                            <a:ln>
                              <a:noFill/>
                            </a:ln>
                            <a:extLst/>
                          </wps:spPr>
                          <wps:txbx>
                            <w:txbxContent>
                              <w:p w14:paraId="71E252CF" w14:textId="77777777" w:rsidR="00960899" w:rsidRDefault="00960899" w:rsidP="009E0CC9">
                                <w:r>
                                  <w:rPr>
                                    <w:rFonts w:ascii="Cambria" w:hAnsi="Cambria" w:cs="Cambria"/>
                                    <w:color w:val="000000"/>
                                    <w:sz w:val="14"/>
                                    <w:szCs w:val="14"/>
                                  </w:rPr>
                                  <w:t>33.3</w:t>
                                </w:r>
                              </w:p>
                            </w:txbxContent>
                          </wps:txbx>
                          <wps:bodyPr rot="0" vert="horz" wrap="square" lIns="0" tIns="0" rIns="0" bIns="0" anchor="t" anchorCtr="0">
                            <a:noAutofit/>
                          </wps:bodyPr>
                        </wps:wsp>
                        <wps:wsp>
                          <wps:cNvPr id="516" name="Rectangle 513"/>
                          <wps:cNvSpPr>
                            <a:spLocks noChangeArrowheads="1"/>
                          </wps:cNvSpPr>
                          <wps:spPr bwMode="auto">
                            <a:xfrm>
                              <a:off x="6566" y="2723"/>
                              <a:ext cx="339" cy="337"/>
                            </a:xfrm>
                            <a:prstGeom prst="rect">
                              <a:avLst/>
                            </a:prstGeom>
                            <a:noFill/>
                            <a:ln>
                              <a:noFill/>
                            </a:ln>
                            <a:extLst/>
                          </wps:spPr>
                          <wps:txbx>
                            <w:txbxContent>
                              <w:p w14:paraId="2DF58F18" w14:textId="77777777" w:rsidR="00960899" w:rsidRDefault="00960899" w:rsidP="009E0CC9">
                                <w:r>
                                  <w:rPr>
                                    <w:rFonts w:ascii="Cambria" w:hAnsi="Cambria" w:cs="Cambria"/>
                                    <w:color w:val="000000"/>
                                    <w:sz w:val="14"/>
                                    <w:szCs w:val="14"/>
                                  </w:rPr>
                                  <w:t>20.33</w:t>
                                </w:r>
                              </w:p>
                            </w:txbxContent>
                          </wps:txbx>
                          <wps:bodyPr rot="0" vert="horz" wrap="square" lIns="0" tIns="0" rIns="0" bIns="0" anchor="t" anchorCtr="0">
                            <a:noAutofit/>
                          </wps:bodyPr>
                        </wps:wsp>
                        <wps:wsp>
                          <wps:cNvPr id="517" name="Rectangle 514"/>
                          <wps:cNvSpPr>
                            <a:spLocks noChangeArrowheads="1"/>
                          </wps:cNvSpPr>
                          <wps:spPr bwMode="auto">
                            <a:xfrm>
                              <a:off x="7635" y="2723"/>
                              <a:ext cx="339" cy="337"/>
                            </a:xfrm>
                            <a:prstGeom prst="rect">
                              <a:avLst/>
                            </a:prstGeom>
                            <a:noFill/>
                            <a:ln>
                              <a:noFill/>
                            </a:ln>
                            <a:extLst/>
                          </wps:spPr>
                          <wps:txbx>
                            <w:txbxContent>
                              <w:p w14:paraId="6EDE795B" w14:textId="77777777" w:rsidR="00960899" w:rsidRDefault="00960899" w:rsidP="009E0CC9">
                                <w:r>
                                  <w:rPr>
                                    <w:rFonts w:ascii="Cambria" w:hAnsi="Cambria" w:cs="Cambria"/>
                                    <w:color w:val="000000"/>
                                    <w:sz w:val="14"/>
                                    <w:szCs w:val="14"/>
                                  </w:rPr>
                                  <w:t>12.97</w:t>
                                </w:r>
                              </w:p>
                            </w:txbxContent>
                          </wps:txbx>
                          <wps:bodyPr rot="0" vert="horz" wrap="square" lIns="0" tIns="0" rIns="0" bIns="0" anchor="t" anchorCtr="0">
                            <a:noAutofit/>
                          </wps:bodyPr>
                        </wps:wsp>
                        <wps:wsp>
                          <wps:cNvPr id="518" name="Rectangle 515"/>
                          <wps:cNvSpPr>
                            <a:spLocks noChangeArrowheads="1"/>
                          </wps:cNvSpPr>
                          <wps:spPr bwMode="auto">
                            <a:xfrm>
                              <a:off x="8684" y="2723"/>
                              <a:ext cx="339" cy="337"/>
                            </a:xfrm>
                            <a:prstGeom prst="rect">
                              <a:avLst/>
                            </a:prstGeom>
                            <a:noFill/>
                            <a:ln>
                              <a:noFill/>
                            </a:ln>
                            <a:extLst/>
                          </wps:spPr>
                          <wps:txbx>
                            <w:txbxContent>
                              <w:p w14:paraId="79F83FAB" w14:textId="77777777" w:rsidR="00960899" w:rsidRDefault="00960899" w:rsidP="009E0CC9">
                                <w:r>
                                  <w:rPr>
                                    <w:rFonts w:ascii="Cambria" w:hAnsi="Cambria" w:cs="Cambria"/>
                                    <w:color w:val="000000"/>
                                    <w:sz w:val="14"/>
                                    <w:szCs w:val="14"/>
                                  </w:rPr>
                                  <w:t>11.77</w:t>
                                </w:r>
                              </w:p>
                            </w:txbxContent>
                          </wps:txbx>
                          <wps:bodyPr rot="0" vert="horz" wrap="square" lIns="0" tIns="0" rIns="0" bIns="0" anchor="t" anchorCtr="0">
                            <a:noAutofit/>
                          </wps:bodyPr>
                        </wps:wsp>
                        <wps:wsp>
                          <wps:cNvPr id="519" name="Rectangle 516"/>
                          <wps:cNvSpPr>
                            <a:spLocks noChangeArrowheads="1"/>
                          </wps:cNvSpPr>
                          <wps:spPr bwMode="auto">
                            <a:xfrm>
                              <a:off x="30" y="2915"/>
                              <a:ext cx="674" cy="337"/>
                            </a:xfrm>
                            <a:prstGeom prst="rect">
                              <a:avLst/>
                            </a:prstGeom>
                            <a:noFill/>
                            <a:ln>
                              <a:noFill/>
                            </a:ln>
                            <a:extLst/>
                          </wps:spPr>
                          <wps:txbx>
                            <w:txbxContent>
                              <w:p w14:paraId="3ECC7ECB" w14:textId="77777777" w:rsidR="00960899" w:rsidRDefault="00960899" w:rsidP="009E0CC9">
                                <w:r>
                                  <w:rPr>
                                    <w:rFonts w:ascii="Cambria" w:hAnsi="Cambria" w:cs="Cambria"/>
                                    <w:color w:val="000000"/>
                                    <w:sz w:val="14"/>
                                    <w:szCs w:val="14"/>
                                  </w:rPr>
                                  <w:t>Female (20</w:t>
                                </w:r>
                              </w:p>
                            </w:txbxContent>
                          </wps:txbx>
                          <wps:bodyPr rot="0" vert="horz" wrap="square" lIns="0" tIns="0" rIns="0" bIns="0" anchor="t" anchorCtr="0">
                            <a:noAutofit/>
                          </wps:bodyPr>
                        </wps:wsp>
                        <wps:wsp>
                          <wps:cNvPr id="520" name="Rectangle 517"/>
                          <wps:cNvSpPr>
                            <a:spLocks noChangeArrowheads="1"/>
                          </wps:cNvSpPr>
                          <wps:spPr bwMode="auto">
                            <a:xfrm>
                              <a:off x="656" y="2915"/>
                              <a:ext cx="71" cy="337"/>
                            </a:xfrm>
                            <a:prstGeom prst="rect">
                              <a:avLst/>
                            </a:prstGeom>
                            <a:noFill/>
                            <a:ln>
                              <a:noFill/>
                            </a:ln>
                            <a:extLst/>
                          </wps:spPr>
                          <wps:txbx>
                            <w:txbxContent>
                              <w:p w14:paraId="30BF5EE1" w14:textId="77777777" w:rsidR="00960899" w:rsidRDefault="00960899" w:rsidP="009E0CC9">
                                <w:r>
                                  <w:rPr>
                                    <w:rFonts w:ascii="Cambria" w:hAnsi="Cambria" w:cs="Cambria"/>
                                    <w:color w:val="000000"/>
                                    <w:sz w:val="14"/>
                                    <w:szCs w:val="14"/>
                                  </w:rPr>
                                  <w:t>–</w:t>
                                </w:r>
                              </w:p>
                            </w:txbxContent>
                          </wps:txbx>
                          <wps:bodyPr rot="0" vert="horz" wrap="square" lIns="0" tIns="0" rIns="0" bIns="0" anchor="t" anchorCtr="0">
                            <a:noAutofit/>
                          </wps:bodyPr>
                        </wps:wsp>
                        <wps:wsp>
                          <wps:cNvPr id="521" name="Rectangle 518"/>
                          <wps:cNvSpPr>
                            <a:spLocks noChangeArrowheads="1"/>
                          </wps:cNvSpPr>
                          <wps:spPr bwMode="auto">
                            <a:xfrm>
                              <a:off x="726" y="2915"/>
                              <a:ext cx="209" cy="337"/>
                            </a:xfrm>
                            <a:prstGeom prst="rect">
                              <a:avLst/>
                            </a:prstGeom>
                            <a:noFill/>
                            <a:ln>
                              <a:noFill/>
                            </a:ln>
                            <a:extLst/>
                          </wps:spPr>
                          <wps:txbx>
                            <w:txbxContent>
                              <w:p w14:paraId="13FB68CC" w14:textId="77777777" w:rsidR="00960899" w:rsidRDefault="00960899" w:rsidP="009E0CC9">
                                <w:r>
                                  <w:rPr>
                                    <w:rFonts w:ascii="Cambria" w:hAnsi="Cambria" w:cs="Cambria"/>
                                    <w:color w:val="000000"/>
                                    <w:sz w:val="14"/>
                                    <w:szCs w:val="14"/>
                                  </w:rPr>
                                  <w:t>64)</w:t>
                                </w:r>
                              </w:p>
                            </w:txbxContent>
                          </wps:txbx>
                          <wps:bodyPr rot="0" vert="horz" wrap="square" lIns="0" tIns="0" rIns="0" bIns="0" anchor="t" anchorCtr="0">
                            <a:noAutofit/>
                          </wps:bodyPr>
                        </wps:wsp>
                        <wps:wsp>
                          <wps:cNvPr id="522" name="Rectangle 519"/>
                          <wps:cNvSpPr>
                            <a:spLocks noChangeArrowheads="1"/>
                          </wps:cNvSpPr>
                          <wps:spPr bwMode="auto">
                            <a:xfrm>
                              <a:off x="1493" y="2925"/>
                              <a:ext cx="339" cy="337"/>
                            </a:xfrm>
                            <a:prstGeom prst="rect">
                              <a:avLst/>
                            </a:prstGeom>
                            <a:noFill/>
                            <a:ln>
                              <a:noFill/>
                            </a:ln>
                            <a:extLst/>
                          </wps:spPr>
                          <wps:txbx>
                            <w:txbxContent>
                              <w:p w14:paraId="49C4AAFC" w14:textId="77777777" w:rsidR="00960899" w:rsidRDefault="00960899" w:rsidP="009E0CC9">
                                <w:r>
                                  <w:rPr>
                                    <w:rFonts w:ascii="Cambria" w:hAnsi="Cambria" w:cs="Cambria"/>
                                    <w:color w:val="000000"/>
                                    <w:sz w:val="14"/>
                                    <w:szCs w:val="14"/>
                                  </w:rPr>
                                  <w:t>76.75</w:t>
                                </w:r>
                              </w:p>
                            </w:txbxContent>
                          </wps:txbx>
                          <wps:bodyPr rot="0" vert="horz" wrap="square" lIns="0" tIns="0" rIns="0" bIns="0" anchor="t" anchorCtr="0">
                            <a:noAutofit/>
                          </wps:bodyPr>
                        </wps:wsp>
                        <wps:wsp>
                          <wps:cNvPr id="523" name="Rectangle 520"/>
                          <wps:cNvSpPr>
                            <a:spLocks noChangeArrowheads="1"/>
                          </wps:cNvSpPr>
                          <wps:spPr bwMode="auto">
                            <a:xfrm>
                              <a:off x="2522" y="2925"/>
                              <a:ext cx="339" cy="337"/>
                            </a:xfrm>
                            <a:prstGeom prst="rect">
                              <a:avLst/>
                            </a:prstGeom>
                            <a:noFill/>
                            <a:ln>
                              <a:noFill/>
                            </a:ln>
                            <a:extLst/>
                          </wps:spPr>
                          <wps:txbx>
                            <w:txbxContent>
                              <w:p w14:paraId="71B29667" w14:textId="77777777" w:rsidR="00960899" w:rsidRDefault="00960899" w:rsidP="009E0CC9">
                                <w:r>
                                  <w:rPr>
                                    <w:rFonts w:ascii="Cambria" w:hAnsi="Cambria" w:cs="Cambria"/>
                                    <w:color w:val="000000"/>
                                    <w:sz w:val="14"/>
                                    <w:szCs w:val="14"/>
                                  </w:rPr>
                                  <w:t>72.72</w:t>
                                </w:r>
                              </w:p>
                            </w:txbxContent>
                          </wps:txbx>
                          <wps:bodyPr rot="0" vert="horz" wrap="square" lIns="0" tIns="0" rIns="0" bIns="0" anchor="t" anchorCtr="0">
                            <a:noAutofit/>
                          </wps:bodyPr>
                        </wps:wsp>
                        <wps:wsp>
                          <wps:cNvPr id="524" name="Rectangle 521"/>
                          <wps:cNvSpPr>
                            <a:spLocks noChangeArrowheads="1"/>
                          </wps:cNvSpPr>
                          <wps:spPr bwMode="auto">
                            <a:xfrm>
                              <a:off x="3661" y="2925"/>
                              <a:ext cx="262" cy="337"/>
                            </a:xfrm>
                            <a:prstGeom prst="rect">
                              <a:avLst/>
                            </a:prstGeom>
                            <a:noFill/>
                            <a:ln>
                              <a:noFill/>
                            </a:ln>
                            <a:extLst/>
                          </wps:spPr>
                          <wps:txbx>
                            <w:txbxContent>
                              <w:p w14:paraId="338CEE3C" w14:textId="77777777" w:rsidR="00960899" w:rsidRDefault="00960899" w:rsidP="009E0CC9">
                                <w:r>
                                  <w:rPr>
                                    <w:rFonts w:ascii="Cambria" w:hAnsi="Cambria" w:cs="Cambria"/>
                                    <w:color w:val="000000"/>
                                    <w:sz w:val="14"/>
                                    <w:szCs w:val="14"/>
                                  </w:rPr>
                                  <w:t>4.04</w:t>
                                </w:r>
                              </w:p>
                            </w:txbxContent>
                          </wps:txbx>
                          <wps:bodyPr rot="0" vert="horz" wrap="square" lIns="0" tIns="0" rIns="0" bIns="0" anchor="t" anchorCtr="0">
                            <a:noAutofit/>
                          </wps:bodyPr>
                        </wps:wsp>
                        <wps:wsp>
                          <wps:cNvPr id="525" name="Rectangle 522"/>
                          <wps:cNvSpPr>
                            <a:spLocks noChangeArrowheads="1"/>
                          </wps:cNvSpPr>
                          <wps:spPr bwMode="auto">
                            <a:xfrm>
                              <a:off x="4670" y="2925"/>
                              <a:ext cx="262" cy="337"/>
                            </a:xfrm>
                            <a:prstGeom prst="rect">
                              <a:avLst/>
                            </a:prstGeom>
                            <a:noFill/>
                            <a:ln>
                              <a:noFill/>
                            </a:ln>
                            <a:extLst/>
                          </wps:spPr>
                          <wps:txbx>
                            <w:txbxContent>
                              <w:p w14:paraId="43A0E2D3" w14:textId="77777777" w:rsidR="00960899" w:rsidRDefault="00960899" w:rsidP="009E0CC9">
                                <w:r>
                                  <w:rPr>
                                    <w:rFonts w:ascii="Cambria" w:hAnsi="Cambria" w:cs="Cambria"/>
                                    <w:color w:val="000000"/>
                                    <w:sz w:val="14"/>
                                    <w:szCs w:val="14"/>
                                  </w:rPr>
                                  <w:t>3.15</w:t>
                                </w:r>
                              </w:p>
                            </w:txbxContent>
                          </wps:txbx>
                          <wps:bodyPr rot="0" vert="horz" wrap="square" lIns="0" tIns="0" rIns="0" bIns="0" anchor="t" anchorCtr="0">
                            <a:noAutofit/>
                          </wps:bodyPr>
                        </wps:wsp>
                        <wps:wsp>
                          <wps:cNvPr id="526" name="Rectangle 523"/>
                          <wps:cNvSpPr>
                            <a:spLocks noChangeArrowheads="1"/>
                          </wps:cNvSpPr>
                          <wps:spPr bwMode="auto">
                            <a:xfrm>
                              <a:off x="5588" y="2925"/>
                              <a:ext cx="339" cy="337"/>
                            </a:xfrm>
                            <a:prstGeom prst="rect">
                              <a:avLst/>
                            </a:prstGeom>
                            <a:noFill/>
                            <a:ln>
                              <a:noFill/>
                            </a:ln>
                            <a:extLst/>
                          </wps:spPr>
                          <wps:txbx>
                            <w:txbxContent>
                              <w:p w14:paraId="10431478" w14:textId="77777777" w:rsidR="00960899" w:rsidRDefault="00960899" w:rsidP="009E0CC9">
                                <w:r>
                                  <w:rPr>
                                    <w:rFonts w:ascii="Cambria" w:hAnsi="Cambria" w:cs="Cambria"/>
                                    <w:color w:val="000000"/>
                                    <w:sz w:val="14"/>
                                    <w:szCs w:val="14"/>
                                  </w:rPr>
                                  <w:t>62.41</w:t>
                                </w:r>
                              </w:p>
                            </w:txbxContent>
                          </wps:txbx>
                          <wps:bodyPr rot="0" vert="horz" wrap="square" lIns="0" tIns="0" rIns="0" bIns="0" anchor="t" anchorCtr="0">
                            <a:noAutofit/>
                          </wps:bodyPr>
                        </wps:wsp>
                        <wps:wsp>
                          <wps:cNvPr id="527" name="Rectangle 524"/>
                          <wps:cNvSpPr>
                            <a:spLocks noChangeArrowheads="1"/>
                          </wps:cNvSpPr>
                          <wps:spPr bwMode="auto">
                            <a:xfrm>
                              <a:off x="6566" y="2925"/>
                              <a:ext cx="339" cy="337"/>
                            </a:xfrm>
                            <a:prstGeom prst="rect">
                              <a:avLst/>
                            </a:prstGeom>
                            <a:noFill/>
                            <a:ln>
                              <a:noFill/>
                            </a:ln>
                            <a:extLst/>
                          </wps:spPr>
                          <wps:txbx>
                            <w:txbxContent>
                              <w:p w14:paraId="3A3EC3F8" w14:textId="77777777" w:rsidR="00960899" w:rsidRDefault="00960899" w:rsidP="009E0CC9">
                                <w:r>
                                  <w:rPr>
                                    <w:rFonts w:ascii="Cambria" w:hAnsi="Cambria" w:cs="Cambria"/>
                                    <w:color w:val="000000"/>
                                    <w:sz w:val="14"/>
                                    <w:szCs w:val="14"/>
                                  </w:rPr>
                                  <w:t>51.87</w:t>
                                </w:r>
                              </w:p>
                            </w:txbxContent>
                          </wps:txbx>
                          <wps:bodyPr rot="0" vert="horz" wrap="square" lIns="0" tIns="0" rIns="0" bIns="0" anchor="t" anchorCtr="0">
                            <a:noAutofit/>
                          </wps:bodyPr>
                        </wps:wsp>
                        <wps:wsp>
                          <wps:cNvPr id="528" name="Rectangle 525"/>
                          <wps:cNvSpPr>
                            <a:spLocks noChangeArrowheads="1"/>
                          </wps:cNvSpPr>
                          <wps:spPr bwMode="auto">
                            <a:xfrm>
                              <a:off x="7635" y="2925"/>
                              <a:ext cx="339" cy="337"/>
                            </a:xfrm>
                            <a:prstGeom prst="rect">
                              <a:avLst/>
                            </a:prstGeom>
                            <a:noFill/>
                            <a:ln>
                              <a:noFill/>
                            </a:ln>
                            <a:extLst/>
                          </wps:spPr>
                          <wps:txbx>
                            <w:txbxContent>
                              <w:p w14:paraId="76E9560C" w14:textId="77777777" w:rsidR="00960899" w:rsidRDefault="00960899" w:rsidP="009E0CC9">
                                <w:r>
                                  <w:rPr>
                                    <w:rFonts w:ascii="Cambria" w:hAnsi="Cambria" w:cs="Cambria"/>
                                    <w:color w:val="000000"/>
                                    <w:sz w:val="14"/>
                                    <w:szCs w:val="14"/>
                                  </w:rPr>
                                  <w:t>10.55</w:t>
                                </w:r>
                              </w:p>
                            </w:txbxContent>
                          </wps:txbx>
                          <wps:bodyPr rot="0" vert="horz" wrap="square" lIns="0" tIns="0" rIns="0" bIns="0" anchor="t" anchorCtr="0">
                            <a:noAutofit/>
                          </wps:bodyPr>
                        </wps:wsp>
                        <wps:wsp>
                          <wps:cNvPr id="529" name="Rectangle 526"/>
                          <wps:cNvSpPr>
                            <a:spLocks noChangeArrowheads="1"/>
                          </wps:cNvSpPr>
                          <wps:spPr bwMode="auto">
                            <a:xfrm>
                              <a:off x="8725" y="2925"/>
                              <a:ext cx="262" cy="337"/>
                            </a:xfrm>
                            <a:prstGeom prst="rect">
                              <a:avLst/>
                            </a:prstGeom>
                            <a:noFill/>
                            <a:ln>
                              <a:noFill/>
                            </a:ln>
                            <a:extLst/>
                          </wps:spPr>
                          <wps:txbx>
                            <w:txbxContent>
                              <w:p w14:paraId="695577E8" w14:textId="77777777" w:rsidR="00960899" w:rsidRDefault="00960899" w:rsidP="009E0CC9">
                                <w:r>
                                  <w:rPr>
                                    <w:rFonts w:ascii="Cambria" w:hAnsi="Cambria" w:cs="Cambria"/>
                                    <w:color w:val="000000"/>
                                    <w:sz w:val="14"/>
                                    <w:szCs w:val="14"/>
                                  </w:rPr>
                                  <w:t>9.36</w:t>
                                </w:r>
                              </w:p>
                            </w:txbxContent>
                          </wps:txbx>
                          <wps:bodyPr rot="0" vert="horz" wrap="square" lIns="0" tIns="0" rIns="0" bIns="0" anchor="t" anchorCtr="0">
                            <a:noAutofit/>
                          </wps:bodyPr>
                        </wps:wsp>
                        <wps:wsp>
                          <wps:cNvPr id="530" name="Rectangle 527"/>
                          <wps:cNvSpPr>
                            <a:spLocks noChangeArrowheads="1"/>
                          </wps:cNvSpPr>
                          <wps:spPr bwMode="auto">
                            <a:xfrm>
                              <a:off x="30" y="3106"/>
                              <a:ext cx="529" cy="337"/>
                            </a:xfrm>
                            <a:prstGeom prst="rect">
                              <a:avLst/>
                            </a:prstGeom>
                            <a:noFill/>
                            <a:ln>
                              <a:noFill/>
                            </a:ln>
                            <a:extLst/>
                          </wps:spPr>
                          <wps:txbx>
                            <w:txbxContent>
                              <w:p w14:paraId="280E4F27" w14:textId="77777777" w:rsidR="00960899" w:rsidRDefault="00960899" w:rsidP="009E0CC9">
                                <w:r>
                                  <w:rPr>
                                    <w:rFonts w:ascii="Cambria" w:hAnsi="Cambria" w:cs="Cambria"/>
                                    <w:color w:val="000000"/>
                                    <w:sz w:val="14"/>
                                    <w:szCs w:val="14"/>
                                  </w:rPr>
                                  <w:t>Male (20</w:t>
                                </w:r>
                              </w:p>
                            </w:txbxContent>
                          </wps:txbx>
                          <wps:bodyPr rot="0" vert="horz" wrap="square" lIns="0" tIns="0" rIns="0" bIns="0" anchor="t" anchorCtr="0">
                            <a:noAutofit/>
                          </wps:bodyPr>
                        </wps:wsp>
                        <wps:wsp>
                          <wps:cNvPr id="531" name="Rectangle 528"/>
                          <wps:cNvSpPr>
                            <a:spLocks noChangeArrowheads="1"/>
                          </wps:cNvSpPr>
                          <wps:spPr bwMode="auto">
                            <a:xfrm>
                              <a:off x="524" y="3106"/>
                              <a:ext cx="71" cy="337"/>
                            </a:xfrm>
                            <a:prstGeom prst="rect">
                              <a:avLst/>
                            </a:prstGeom>
                            <a:noFill/>
                            <a:ln>
                              <a:noFill/>
                            </a:ln>
                            <a:extLst/>
                          </wps:spPr>
                          <wps:txbx>
                            <w:txbxContent>
                              <w:p w14:paraId="28F2F082" w14:textId="77777777" w:rsidR="00960899" w:rsidRDefault="00960899" w:rsidP="009E0CC9">
                                <w:r>
                                  <w:rPr>
                                    <w:rFonts w:ascii="Cambria" w:hAnsi="Cambria" w:cs="Cambria"/>
                                    <w:color w:val="000000"/>
                                    <w:sz w:val="14"/>
                                    <w:szCs w:val="14"/>
                                  </w:rPr>
                                  <w:t>–</w:t>
                                </w:r>
                              </w:p>
                            </w:txbxContent>
                          </wps:txbx>
                          <wps:bodyPr rot="0" vert="horz" wrap="square" lIns="0" tIns="0" rIns="0" bIns="0" anchor="t" anchorCtr="0">
                            <a:noAutofit/>
                          </wps:bodyPr>
                        </wps:wsp>
                        <wps:wsp>
                          <wps:cNvPr id="532" name="Rectangle 529"/>
                          <wps:cNvSpPr>
                            <a:spLocks noChangeArrowheads="1"/>
                          </wps:cNvSpPr>
                          <wps:spPr bwMode="auto">
                            <a:xfrm>
                              <a:off x="595" y="3106"/>
                              <a:ext cx="209" cy="337"/>
                            </a:xfrm>
                            <a:prstGeom prst="rect">
                              <a:avLst/>
                            </a:prstGeom>
                            <a:noFill/>
                            <a:ln>
                              <a:noFill/>
                            </a:ln>
                            <a:extLst/>
                          </wps:spPr>
                          <wps:txbx>
                            <w:txbxContent>
                              <w:p w14:paraId="516990BB" w14:textId="77777777" w:rsidR="00960899" w:rsidRDefault="00960899" w:rsidP="009E0CC9">
                                <w:r>
                                  <w:rPr>
                                    <w:rFonts w:ascii="Cambria" w:hAnsi="Cambria" w:cs="Cambria"/>
                                    <w:color w:val="000000"/>
                                    <w:sz w:val="14"/>
                                    <w:szCs w:val="14"/>
                                  </w:rPr>
                                  <w:t>64)</w:t>
                                </w:r>
                              </w:p>
                            </w:txbxContent>
                          </wps:txbx>
                          <wps:bodyPr rot="0" vert="horz" wrap="square" lIns="0" tIns="0" rIns="0" bIns="0" anchor="t" anchorCtr="0">
                            <a:noAutofit/>
                          </wps:bodyPr>
                        </wps:wsp>
                        <wps:wsp>
                          <wps:cNvPr id="533" name="Rectangle 530"/>
                          <wps:cNvSpPr>
                            <a:spLocks noChangeArrowheads="1"/>
                          </wps:cNvSpPr>
                          <wps:spPr bwMode="auto">
                            <a:xfrm>
                              <a:off x="1493" y="3127"/>
                              <a:ext cx="339" cy="337"/>
                            </a:xfrm>
                            <a:prstGeom prst="rect">
                              <a:avLst/>
                            </a:prstGeom>
                            <a:noFill/>
                            <a:ln>
                              <a:noFill/>
                            </a:ln>
                            <a:extLst/>
                          </wps:spPr>
                          <wps:txbx>
                            <w:txbxContent>
                              <w:p w14:paraId="561307CE" w14:textId="77777777" w:rsidR="00960899" w:rsidRDefault="00960899" w:rsidP="009E0CC9">
                                <w:r>
                                  <w:rPr>
                                    <w:rFonts w:ascii="Cambria" w:hAnsi="Cambria" w:cs="Cambria"/>
                                    <w:color w:val="000000"/>
                                    <w:sz w:val="14"/>
                                    <w:szCs w:val="14"/>
                                  </w:rPr>
                                  <w:t>92.89</w:t>
                                </w:r>
                              </w:p>
                            </w:txbxContent>
                          </wps:txbx>
                          <wps:bodyPr rot="0" vert="horz" wrap="square" lIns="0" tIns="0" rIns="0" bIns="0" anchor="t" anchorCtr="0">
                            <a:noAutofit/>
                          </wps:bodyPr>
                        </wps:wsp>
                        <wps:wsp>
                          <wps:cNvPr id="534" name="Rectangle 531"/>
                          <wps:cNvSpPr>
                            <a:spLocks noChangeArrowheads="1"/>
                          </wps:cNvSpPr>
                          <wps:spPr bwMode="auto">
                            <a:xfrm>
                              <a:off x="2522" y="3127"/>
                              <a:ext cx="339" cy="337"/>
                            </a:xfrm>
                            <a:prstGeom prst="rect">
                              <a:avLst/>
                            </a:prstGeom>
                            <a:noFill/>
                            <a:ln>
                              <a:noFill/>
                            </a:ln>
                            <a:extLst/>
                          </wps:spPr>
                          <wps:txbx>
                            <w:txbxContent>
                              <w:p w14:paraId="55622841" w14:textId="77777777" w:rsidR="00960899" w:rsidRDefault="00960899" w:rsidP="009E0CC9">
                                <w:r>
                                  <w:rPr>
                                    <w:rFonts w:ascii="Cambria" w:hAnsi="Cambria" w:cs="Cambria"/>
                                    <w:color w:val="000000"/>
                                    <w:sz w:val="14"/>
                                    <w:szCs w:val="14"/>
                                  </w:rPr>
                                  <w:t>85.05</w:t>
                                </w:r>
                              </w:p>
                            </w:txbxContent>
                          </wps:txbx>
                          <wps:bodyPr rot="0" vert="horz" wrap="square" lIns="0" tIns="0" rIns="0" bIns="0" anchor="t" anchorCtr="0">
                            <a:noAutofit/>
                          </wps:bodyPr>
                        </wps:wsp>
                        <wps:wsp>
                          <wps:cNvPr id="535" name="Rectangle 532"/>
                          <wps:cNvSpPr>
                            <a:spLocks noChangeArrowheads="1"/>
                          </wps:cNvSpPr>
                          <wps:spPr bwMode="auto">
                            <a:xfrm>
                              <a:off x="3661" y="3127"/>
                              <a:ext cx="262" cy="337"/>
                            </a:xfrm>
                            <a:prstGeom prst="rect">
                              <a:avLst/>
                            </a:prstGeom>
                            <a:noFill/>
                            <a:ln>
                              <a:noFill/>
                            </a:ln>
                            <a:extLst/>
                          </wps:spPr>
                          <wps:txbx>
                            <w:txbxContent>
                              <w:p w14:paraId="28955CF3" w14:textId="77777777" w:rsidR="00960899" w:rsidRDefault="00960899" w:rsidP="009E0CC9">
                                <w:r>
                                  <w:rPr>
                                    <w:rFonts w:ascii="Cambria" w:hAnsi="Cambria" w:cs="Cambria"/>
                                    <w:color w:val="000000"/>
                                    <w:sz w:val="14"/>
                                    <w:szCs w:val="14"/>
                                  </w:rPr>
                                  <w:t>7.84</w:t>
                                </w:r>
                              </w:p>
                            </w:txbxContent>
                          </wps:txbx>
                          <wps:bodyPr rot="0" vert="horz" wrap="square" lIns="0" tIns="0" rIns="0" bIns="0" anchor="t" anchorCtr="0">
                            <a:noAutofit/>
                          </wps:bodyPr>
                        </wps:wsp>
                        <wps:wsp>
                          <wps:cNvPr id="536" name="Rectangle 533"/>
                          <wps:cNvSpPr>
                            <a:spLocks noChangeArrowheads="1"/>
                          </wps:cNvSpPr>
                          <wps:spPr bwMode="auto">
                            <a:xfrm>
                              <a:off x="4670" y="3127"/>
                              <a:ext cx="262" cy="337"/>
                            </a:xfrm>
                            <a:prstGeom prst="rect">
                              <a:avLst/>
                            </a:prstGeom>
                            <a:noFill/>
                            <a:ln>
                              <a:noFill/>
                            </a:ln>
                            <a:extLst/>
                          </wps:spPr>
                          <wps:txbx>
                            <w:txbxContent>
                              <w:p w14:paraId="0F66216C" w14:textId="77777777" w:rsidR="00960899" w:rsidRDefault="00960899" w:rsidP="009E0CC9">
                                <w:r>
                                  <w:rPr>
                                    <w:rFonts w:ascii="Cambria" w:hAnsi="Cambria" w:cs="Cambria"/>
                                    <w:color w:val="000000"/>
                                    <w:sz w:val="14"/>
                                    <w:szCs w:val="14"/>
                                  </w:rPr>
                                  <w:t>4.56</w:t>
                                </w:r>
                              </w:p>
                            </w:txbxContent>
                          </wps:txbx>
                          <wps:bodyPr rot="0" vert="horz" wrap="square" lIns="0" tIns="0" rIns="0" bIns="0" anchor="t" anchorCtr="0">
                            <a:noAutofit/>
                          </wps:bodyPr>
                        </wps:wsp>
                        <wps:wsp>
                          <wps:cNvPr id="537" name="Rectangle 534"/>
                          <wps:cNvSpPr>
                            <a:spLocks noChangeArrowheads="1"/>
                          </wps:cNvSpPr>
                          <wps:spPr bwMode="auto">
                            <a:xfrm>
                              <a:off x="5588" y="3127"/>
                              <a:ext cx="339" cy="337"/>
                            </a:xfrm>
                            <a:prstGeom prst="rect">
                              <a:avLst/>
                            </a:prstGeom>
                            <a:noFill/>
                            <a:ln>
                              <a:noFill/>
                            </a:ln>
                            <a:extLst/>
                          </wps:spPr>
                          <wps:txbx>
                            <w:txbxContent>
                              <w:p w14:paraId="5C5188AF" w14:textId="77777777" w:rsidR="00960899" w:rsidRDefault="00960899" w:rsidP="009E0CC9">
                                <w:r>
                                  <w:rPr>
                                    <w:rFonts w:ascii="Cambria" w:hAnsi="Cambria" w:cs="Cambria"/>
                                    <w:color w:val="000000"/>
                                    <w:sz w:val="14"/>
                                    <w:szCs w:val="14"/>
                                  </w:rPr>
                                  <w:t>80.54</w:t>
                                </w:r>
                              </w:p>
                            </w:txbxContent>
                          </wps:txbx>
                          <wps:bodyPr rot="0" vert="horz" wrap="square" lIns="0" tIns="0" rIns="0" bIns="0" anchor="t" anchorCtr="0">
                            <a:noAutofit/>
                          </wps:bodyPr>
                        </wps:wsp>
                        <wps:wsp>
                          <wps:cNvPr id="538" name="Rectangle 535"/>
                          <wps:cNvSpPr>
                            <a:spLocks noChangeArrowheads="1"/>
                          </wps:cNvSpPr>
                          <wps:spPr bwMode="auto">
                            <a:xfrm>
                              <a:off x="6566" y="3127"/>
                              <a:ext cx="339" cy="337"/>
                            </a:xfrm>
                            <a:prstGeom prst="rect">
                              <a:avLst/>
                            </a:prstGeom>
                            <a:noFill/>
                            <a:ln>
                              <a:noFill/>
                            </a:ln>
                            <a:extLst/>
                          </wps:spPr>
                          <wps:txbx>
                            <w:txbxContent>
                              <w:p w14:paraId="6A41A68A" w14:textId="77777777" w:rsidR="00960899" w:rsidRDefault="00960899" w:rsidP="009E0CC9">
                                <w:r>
                                  <w:rPr>
                                    <w:rFonts w:ascii="Cambria" w:hAnsi="Cambria" w:cs="Cambria"/>
                                    <w:color w:val="000000"/>
                                    <w:sz w:val="14"/>
                                    <w:szCs w:val="14"/>
                                  </w:rPr>
                                  <w:t>51.88</w:t>
                                </w:r>
                              </w:p>
                            </w:txbxContent>
                          </wps:txbx>
                          <wps:bodyPr rot="0" vert="horz" wrap="square" lIns="0" tIns="0" rIns="0" bIns="0" anchor="t" anchorCtr="0">
                            <a:noAutofit/>
                          </wps:bodyPr>
                        </wps:wsp>
                        <wps:wsp>
                          <wps:cNvPr id="539" name="Rectangle 536"/>
                          <wps:cNvSpPr>
                            <a:spLocks noChangeArrowheads="1"/>
                          </wps:cNvSpPr>
                          <wps:spPr bwMode="auto">
                            <a:xfrm>
                              <a:off x="7635" y="3127"/>
                              <a:ext cx="339" cy="337"/>
                            </a:xfrm>
                            <a:prstGeom prst="rect">
                              <a:avLst/>
                            </a:prstGeom>
                            <a:noFill/>
                            <a:ln>
                              <a:noFill/>
                            </a:ln>
                            <a:extLst/>
                          </wps:spPr>
                          <wps:txbx>
                            <w:txbxContent>
                              <w:p w14:paraId="34014F66" w14:textId="77777777" w:rsidR="00960899" w:rsidRDefault="00960899" w:rsidP="009E0CC9">
                                <w:r>
                                  <w:rPr>
                                    <w:rFonts w:ascii="Cambria" w:hAnsi="Cambria" w:cs="Cambria"/>
                                    <w:color w:val="000000"/>
                                    <w:sz w:val="14"/>
                                    <w:szCs w:val="14"/>
                                  </w:rPr>
                                  <w:t>28.65</w:t>
                                </w:r>
                              </w:p>
                            </w:txbxContent>
                          </wps:txbx>
                          <wps:bodyPr rot="0" vert="horz" wrap="square" lIns="0" tIns="0" rIns="0" bIns="0" anchor="t" anchorCtr="0">
                            <a:noAutofit/>
                          </wps:bodyPr>
                        </wps:wsp>
                        <wps:wsp>
                          <wps:cNvPr id="540" name="Rectangle 537"/>
                          <wps:cNvSpPr>
                            <a:spLocks noChangeArrowheads="1"/>
                          </wps:cNvSpPr>
                          <wps:spPr bwMode="auto">
                            <a:xfrm>
                              <a:off x="8684" y="3127"/>
                              <a:ext cx="339" cy="337"/>
                            </a:xfrm>
                            <a:prstGeom prst="rect">
                              <a:avLst/>
                            </a:prstGeom>
                            <a:noFill/>
                            <a:ln>
                              <a:noFill/>
                            </a:ln>
                            <a:extLst/>
                          </wps:spPr>
                          <wps:txbx>
                            <w:txbxContent>
                              <w:p w14:paraId="5EF0024F" w14:textId="77777777" w:rsidR="00960899" w:rsidRDefault="00960899" w:rsidP="009E0CC9">
                                <w:r>
                                  <w:rPr>
                                    <w:rFonts w:ascii="Cambria" w:hAnsi="Cambria" w:cs="Cambria"/>
                                    <w:color w:val="000000"/>
                                    <w:sz w:val="14"/>
                                    <w:szCs w:val="14"/>
                                  </w:rPr>
                                  <w:t>21.25</w:t>
                                </w:r>
                              </w:p>
                            </w:txbxContent>
                          </wps:txbx>
                          <wps:bodyPr rot="0" vert="horz" wrap="square" lIns="0" tIns="0" rIns="0" bIns="0" anchor="t" anchorCtr="0">
                            <a:noAutofit/>
                          </wps:bodyPr>
                        </wps:wsp>
                        <wps:wsp>
                          <wps:cNvPr id="541" name="Rectangle 538"/>
                          <wps:cNvSpPr>
                            <a:spLocks noChangeArrowheads="1"/>
                          </wps:cNvSpPr>
                          <wps:spPr bwMode="auto">
                            <a:xfrm>
                              <a:off x="2986" y="20"/>
                              <a:ext cx="571" cy="371"/>
                            </a:xfrm>
                            <a:prstGeom prst="rect">
                              <a:avLst/>
                            </a:prstGeom>
                            <a:noFill/>
                            <a:ln>
                              <a:noFill/>
                            </a:ln>
                            <a:extLst/>
                          </wps:spPr>
                          <wps:txbx>
                            <w:txbxContent>
                              <w:p w14:paraId="5B2A1381" w14:textId="77777777" w:rsidR="00960899" w:rsidRDefault="00960899" w:rsidP="009E0CC9">
                                <w:r>
                                  <w:rPr>
                                    <w:rFonts w:ascii="Calibri" w:hAnsi="Calibri" w:cs="Calibri"/>
                                    <w:color w:val="000000"/>
                                    <w:sz w:val="16"/>
                                    <w:szCs w:val="16"/>
                                  </w:rPr>
                                  <w:t>NON IDP</w:t>
                                </w:r>
                              </w:p>
                            </w:txbxContent>
                          </wps:txbx>
                          <wps:bodyPr rot="0" vert="horz" wrap="square" lIns="0" tIns="0" rIns="0" bIns="0" anchor="t" anchorCtr="0">
                            <a:noAutofit/>
                          </wps:bodyPr>
                        </wps:wsp>
                        <wps:wsp>
                          <wps:cNvPr id="542" name="Rectangle 539"/>
                          <wps:cNvSpPr>
                            <a:spLocks noChangeArrowheads="1"/>
                          </wps:cNvSpPr>
                          <wps:spPr bwMode="auto">
                            <a:xfrm>
                              <a:off x="7222" y="20"/>
                              <a:ext cx="222" cy="371"/>
                            </a:xfrm>
                            <a:prstGeom prst="rect">
                              <a:avLst/>
                            </a:prstGeom>
                            <a:noFill/>
                            <a:ln>
                              <a:noFill/>
                            </a:ln>
                            <a:extLst/>
                          </wps:spPr>
                          <wps:txbx>
                            <w:txbxContent>
                              <w:p w14:paraId="10CA48E4" w14:textId="77777777" w:rsidR="00960899" w:rsidRDefault="00960899" w:rsidP="009E0CC9">
                                <w:r>
                                  <w:rPr>
                                    <w:rFonts w:ascii="Calibri" w:hAnsi="Calibri" w:cs="Calibri"/>
                                    <w:color w:val="000000"/>
                                    <w:sz w:val="16"/>
                                    <w:szCs w:val="16"/>
                                  </w:rPr>
                                  <w:t>IDP</w:t>
                                </w:r>
                              </w:p>
                            </w:txbxContent>
                          </wps:txbx>
                          <wps:bodyPr rot="0" vert="horz" wrap="square" lIns="0" tIns="0" rIns="0" bIns="0" anchor="t" anchorCtr="0">
                            <a:noAutofit/>
                          </wps:bodyPr>
                        </wps:wsp>
                        <wps:wsp>
                          <wps:cNvPr id="543" name="Rectangle 540"/>
                          <wps:cNvSpPr>
                            <a:spLocks noChangeArrowheads="1"/>
                          </wps:cNvSpPr>
                          <wps:spPr bwMode="auto">
                            <a:xfrm>
                              <a:off x="30" y="3349"/>
                              <a:ext cx="368" cy="312"/>
                            </a:xfrm>
                            <a:prstGeom prst="rect">
                              <a:avLst/>
                            </a:prstGeom>
                            <a:noFill/>
                            <a:ln>
                              <a:noFill/>
                            </a:ln>
                            <a:extLst/>
                          </wps:spPr>
                          <wps:txbx>
                            <w:txbxContent>
                              <w:p w14:paraId="2CC03F03" w14:textId="77777777" w:rsidR="00960899" w:rsidRDefault="00960899" w:rsidP="009E0CC9">
                                <w:r>
                                  <w:rPr>
                                    <w:rFonts w:ascii="Cambria" w:hAnsi="Cambria" w:cs="Cambria"/>
                                    <w:i/>
                                    <w:iCs/>
                                    <w:color w:val="000000"/>
                                    <w:sz w:val="12"/>
                                    <w:szCs w:val="12"/>
                                  </w:rPr>
                                  <w:t>Source</w:t>
                                </w:r>
                              </w:p>
                            </w:txbxContent>
                          </wps:txbx>
                          <wps:bodyPr rot="0" vert="horz" wrap="square" lIns="0" tIns="0" rIns="0" bIns="0" anchor="t" anchorCtr="0">
                            <a:noAutofit/>
                          </wps:bodyPr>
                        </wps:wsp>
                        <wps:wsp>
                          <wps:cNvPr id="544" name="Rectangle 541"/>
                          <wps:cNvSpPr>
                            <a:spLocks noChangeArrowheads="1"/>
                          </wps:cNvSpPr>
                          <wps:spPr bwMode="auto">
                            <a:xfrm>
                              <a:off x="383" y="3349"/>
                              <a:ext cx="862" cy="312"/>
                            </a:xfrm>
                            <a:prstGeom prst="rect">
                              <a:avLst/>
                            </a:prstGeom>
                            <a:noFill/>
                            <a:ln>
                              <a:noFill/>
                            </a:ln>
                            <a:extLst/>
                          </wps:spPr>
                          <wps:txbx>
                            <w:txbxContent>
                              <w:p w14:paraId="7796F399" w14:textId="77777777" w:rsidR="00960899" w:rsidRDefault="00960899" w:rsidP="009E0CC9">
                                <w:r>
                                  <w:rPr>
                                    <w:rFonts w:ascii="Cambria" w:hAnsi="Cambria" w:cs="Cambria"/>
                                    <w:color w:val="000000"/>
                                    <w:sz w:val="12"/>
                                    <w:szCs w:val="12"/>
                                  </w:rPr>
                                  <w:t xml:space="preserve">: 2011-2013 IHS.  </w:t>
                                </w:r>
                              </w:p>
                            </w:txbxContent>
                          </wps:txbx>
                          <wps:bodyPr rot="0" vert="horz" wrap="square" lIns="0" tIns="0" rIns="0" bIns="0" anchor="t" anchorCtr="0">
                            <a:noAutofit/>
                          </wps:bodyPr>
                        </wps:wsp>
                        <wps:wsp>
                          <wps:cNvPr id="545" name="Rectangle 542"/>
                          <wps:cNvSpPr>
                            <a:spLocks noChangeArrowheads="1"/>
                          </wps:cNvSpPr>
                          <wps:spPr bwMode="auto">
                            <a:xfrm>
                              <a:off x="0" y="0"/>
                              <a:ext cx="10" cy="1"/>
                            </a:xfrm>
                            <a:prstGeom prst="rect">
                              <a:avLst/>
                            </a:prstGeom>
                            <a:solidFill>
                              <a:srgbClr val="D0D7E5"/>
                            </a:solidFill>
                            <a:ln>
                              <a:noFill/>
                            </a:ln>
                            <a:extLst/>
                          </wps:spPr>
                          <wps:bodyPr rot="0" vert="horz" wrap="square" lIns="91440" tIns="45720" rIns="91440" bIns="45720" anchor="t" anchorCtr="0" upright="1">
                            <a:noAutofit/>
                          </wps:bodyPr>
                        </wps:wsp>
                        <wps:wsp>
                          <wps:cNvPr id="546" name="Rectangle 543"/>
                          <wps:cNvSpPr>
                            <a:spLocks noChangeArrowheads="1"/>
                          </wps:cNvSpPr>
                          <wps:spPr bwMode="auto">
                            <a:xfrm>
                              <a:off x="1210" y="0"/>
                              <a:ext cx="10" cy="1"/>
                            </a:xfrm>
                            <a:prstGeom prst="rect">
                              <a:avLst/>
                            </a:prstGeom>
                            <a:solidFill>
                              <a:srgbClr val="D0D7E5"/>
                            </a:solidFill>
                            <a:ln>
                              <a:noFill/>
                            </a:ln>
                            <a:extLst/>
                          </wps:spPr>
                          <wps:bodyPr rot="0" vert="horz" wrap="square" lIns="91440" tIns="45720" rIns="91440" bIns="45720" anchor="t" anchorCtr="0" upright="1">
                            <a:noAutofit/>
                          </wps:bodyPr>
                        </wps:wsp>
                        <wps:wsp>
                          <wps:cNvPr id="547" name="Rectangle 544"/>
                          <wps:cNvSpPr>
                            <a:spLocks noChangeArrowheads="1"/>
                          </wps:cNvSpPr>
                          <wps:spPr bwMode="auto">
                            <a:xfrm>
                              <a:off x="5295" y="0"/>
                              <a:ext cx="10" cy="1"/>
                            </a:xfrm>
                            <a:prstGeom prst="rect">
                              <a:avLst/>
                            </a:prstGeom>
                            <a:solidFill>
                              <a:srgbClr val="D0D7E5"/>
                            </a:solidFill>
                            <a:ln>
                              <a:noFill/>
                            </a:ln>
                            <a:extLst/>
                          </wps:spPr>
                          <wps:bodyPr rot="0" vert="horz" wrap="square" lIns="91440" tIns="45720" rIns="91440" bIns="45720" anchor="t" anchorCtr="0" upright="1">
                            <a:noAutofit/>
                          </wps:bodyPr>
                        </wps:wsp>
                        <wps:wsp>
                          <wps:cNvPr id="548" name="Rectangle 545"/>
                          <wps:cNvSpPr>
                            <a:spLocks noChangeArrowheads="1"/>
                          </wps:cNvSpPr>
                          <wps:spPr bwMode="auto">
                            <a:xfrm>
                              <a:off x="9350" y="0"/>
                              <a:ext cx="10" cy="1"/>
                            </a:xfrm>
                            <a:prstGeom prst="rect">
                              <a:avLst/>
                            </a:prstGeom>
                            <a:solidFill>
                              <a:srgbClr val="D0D7E5"/>
                            </a:solidFill>
                            <a:ln>
                              <a:noFill/>
                            </a:ln>
                            <a:extLst/>
                          </wps:spPr>
                          <wps:bodyPr rot="0" vert="horz" wrap="square" lIns="91440" tIns="45720" rIns="91440" bIns="45720" anchor="t" anchorCtr="0" upright="1">
                            <a:noAutofit/>
                          </wps:bodyPr>
                        </wps:wsp>
                        <wps:wsp>
                          <wps:cNvPr id="549" name="Rectangle 546"/>
                          <wps:cNvSpPr>
                            <a:spLocks noChangeArrowheads="1"/>
                          </wps:cNvSpPr>
                          <wps:spPr bwMode="auto">
                            <a:xfrm>
                              <a:off x="2068" y="0"/>
                              <a:ext cx="10" cy="1"/>
                            </a:xfrm>
                            <a:prstGeom prst="rect">
                              <a:avLst/>
                            </a:prstGeom>
                            <a:solidFill>
                              <a:srgbClr val="D0D7E5"/>
                            </a:solidFill>
                            <a:ln>
                              <a:noFill/>
                            </a:ln>
                            <a:extLst/>
                          </wps:spPr>
                          <wps:bodyPr rot="0" vert="horz" wrap="square" lIns="91440" tIns="45720" rIns="91440" bIns="45720" anchor="t" anchorCtr="0" upright="1">
                            <a:noAutofit/>
                          </wps:bodyPr>
                        </wps:wsp>
                        <wps:wsp>
                          <wps:cNvPr id="550" name="Rectangle 547"/>
                          <wps:cNvSpPr>
                            <a:spLocks noChangeArrowheads="1"/>
                          </wps:cNvSpPr>
                          <wps:spPr bwMode="auto">
                            <a:xfrm>
                              <a:off x="3278" y="0"/>
                              <a:ext cx="10" cy="1"/>
                            </a:xfrm>
                            <a:prstGeom prst="rect">
                              <a:avLst/>
                            </a:prstGeom>
                            <a:solidFill>
                              <a:srgbClr val="D0D7E5"/>
                            </a:solidFill>
                            <a:ln>
                              <a:noFill/>
                            </a:ln>
                            <a:extLst/>
                          </wps:spPr>
                          <wps:bodyPr rot="0" vert="horz" wrap="square" lIns="91440" tIns="45720" rIns="91440" bIns="45720" anchor="t" anchorCtr="0" upright="1">
                            <a:noAutofit/>
                          </wps:bodyPr>
                        </wps:wsp>
                        <wps:wsp>
                          <wps:cNvPr id="551" name="Rectangle 548"/>
                          <wps:cNvSpPr>
                            <a:spLocks noChangeArrowheads="1"/>
                          </wps:cNvSpPr>
                          <wps:spPr bwMode="auto">
                            <a:xfrm>
                              <a:off x="4277" y="0"/>
                              <a:ext cx="10" cy="1"/>
                            </a:xfrm>
                            <a:prstGeom prst="rect">
                              <a:avLst/>
                            </a:prstGeom>
                            <a:solidFill>
                              <a:srgbClr val="D0D7E5"/>
                            </a:solidFill>
                            <a:ln>
                              <a:noFill/>
                            </a:ln>
                            <a:extLst/>
                          </wps:spPr>
                          <wps:bodyPr rot="0" vert="horz" wrap="square" lIns="91440" tIns="45720" rIns="91440" bIns="45720" anchor="t" anchorCtr="0" upright="1">
                            <a:noAutofit/>
                          </wps:bodyPr>
                        </wps:wsp>
                        <wps:wsp>
                          <wps:cNvPr id="552" name="Rectangle 549"/>
                          <wps:cNvSpPr>
                            <a:spLocks noChangeArrowheads="1"/>
                          </wps:cNvSpPr>
                          <wps:spPr bwMode="auto">
                            <a:xfrm>
                              <a:off x="6173" y="0"/>
                              <a:ext cx="10" cy="1"/>
                            </a:xfrm>
                            <a:prstGeom prst="rect">
                              <a:avLst/>
                            </a:prstGeom>
                            <a:solidFill>
                              <a:srgbClr val="D0D7E5"/>
                            </a:solidFill>
                            <a:ln>
                              <a:noFill/>
                            </a:ln>
                            <a:extLst/>
                          </wps:spPr>
                          <wps:bodyPr rot="0" vert="horz" wrap="square" lIns="91440" tIns="45720" rIns="91440" bIns="45720" anchor="t" anchorCtr="0" upright="1">
                            <a:noAutofit/>
                          </wps:bodyPr>
                        </wps:wsp>
                        <wps:wsp>
                          <wps:cNvPr id="553" name="Rectangle 550"/>
                          <wps:cNvSpPr>
                            <a:spLocks noChangeArrowheads="1"/>
                          </wps:cNvSpPr>
                          <wps:spPr bwMode="auto">
                            <a:xfrm>
                              <a:off x="7252" y="0"/>
                              <a:ext cx="10" cy="1"/>
                            </a:xfrm>
                            <a:prstGeom prst="rect">
                              <a:avLst/>
                            </a:prstGeom>
                            <a:solidFill>
                              <a:srgbClr val="D0D7E5"/>
                            </a:solidFill>
                            <a:ln>
                              <a:noFill/>
                            </a:ln>
                            <a:extLst/>
                          </wps:spPr>
                          <wps:bodyPr rot="0" vert="horz" wrap="square" lIns="91440" tIns="45720" rIns="91440" bIns="45720" anchor="t" anchorCtr="0" upright="1">
                            <a:noAutofit/>
                          </wps:bodyPr>
                        </wps:wsp>
                        <wps:wsp>
                          <wps:cNvPr id="554" name="Rectangle 551"/>
                          <wps:cNvSpPr>
                            <a:spLocks noChangeArrowheads="1"/>
                          </wps:cNvSpPr>
                          <wps:spPr bwMode="auto">
                            <a:xfrm>
                              <a:off x="8321" y="0"/>
                              <a:ext cx="10" cy="1"/>
                            </a:xfrm>
                            <a:prstGeom prst="rect">
                              <a:avLst/>
                            </a:prstGeom>
                            <a:solidFill>
                              <a:srgbClr val="D0D7E5"/>
                            </a:solidFill>
                            <a:ln>
                              <a:noFill/>
                            </a:ln>
                            <a:extLst/>
                          </wps:spPr>
                          <wps:bodyPr rot="0" vert="horz" wrap="square" lIns="91440" tIns="45720" rIns="91440" bIns="45720" anchor="t" anchorCtr="0" upright="1">
                            <a:noAutofit/>
                          </wps:bodyPr>
                        </wps:wsp>
                        <wps:wsp>
                          <wps:cNvPr id="555" name="Rectangle 552"/>
                          <wps:cNvSpPr>
                            <a:spLocks noChangeArrowheads="1"/>
                          </wps:cNvSpPr>
                          <wps:spPr bwMode="auto">
                            <a:xfrm>
                              <a:off x="0" y="202"/>
                              <a:ext cx="9360" cy="20"/>
                            </a:xfrm>
                            <a:prstGeom prst="rect">
                              <a:avLst/>
                            </a:prstGeom>
                            <a:solidFill>
                              <a:srgbClr val="000000"/>
                            </a:solidFill>
                            <a:ln>
                              <a:noFill/>
                            </a:ln>
                            <a:extLst/>
                          </wps:spPr>
                          <wps:bodyPr rot="0" vert="horz" wrap="square" lIns="91440" tIns="45720" rIns="91440" bIns="45720" anchor="t" anchorCtr="0" upright="1">
                            <a:noAutofit/>
                          </wps:bodyPr>
                        </wps:wsp>
                        <wps:wsp>
                          <wps:cNvPr id="556" name="Rectangle 553"/>
                          <wps:cNvSpPr>
                            <a:spLocks noChangeArrowheads="1"/>
                          </wps:cNvSpPr>
                          <wps:spPr bwMode="auto">
                            <a:xfrm>
                              <a:off x="0" y="726"/>
                              <a:ext cx="9360" cy="20"/>
                            </a:xfrm>
                            <a:prstGeom prst="rect">
                              <a:avLst/>
                            </a:prstGeom>
                            <a:solidFill>
                              <a:srgbClr val="000000"/>
                            </a:solidFill>
                            <a:ln>
                              <a:noFill/>
                            </a:ln>
                            <a:extLst/>
                          </wps:spPr>
                          <wps:bodyPr rot="0" vert="horz" wrap="square" lIns="91440" tIns="45720" rIns="91440" bIns="45720" anchor="t" anchorCtr="0" upright="1">
                            <a:noAutofit/>
                          </wps:bodyPr>
                        </wps:wsp>
                        <wps:wsp>
                          <wps:cNvPr id="557" name="Rectangle 554"/>
                          <wps:cNvSpPr>
                            <a:spLocks noChangeArrowheads="1"/>
                          </wps:cNvSpPr>
                          <wps:spPr bwMode="auto">
                            <a:xfrm>
                              <a:off x="0" y="3288"/>
                              <a:ext cx="9360" cy="20"/>
                            </a:xfrm>
                            <a:prstGeom prst="rect">
                              <a:avLst/>
                            </a:prstGeom>
                            <a:solidFill>
                              <a:srgbClr val="000000"/>
                            </a:solidFill>
                            <a:ln>
                              <a:noFill/>
                            </a:ln>
                            <a:extLst/>
                          </wps:spPr>
                          <wps:bodyPr rot="0" vert="horz" wrap="square" lIns="91440" tIns="45720" rIns="91440" bIns="45720" anchor="t" anchorCtr="0" upright="1">
                            <a:noAutofit/>
                          </wps:bodyPr>
                        </wps:wsp>
                        <wps:wsp>
                          <wps:cNvPr id="558" name="Rectangle 555"/>
                          <wps:cNvSpPr>
                            <a:spLocks noChangeArrowheads="1"/>
                          </wps:cNvSpPr>
                          <wps:spPr bwMode="auto">
                            <a:xfrm>
                              <a:off x="5285" y="0"/>
                              <a:ext cx="20" cy="3308"/>
                            </a:xfrm>
                            <a:prstGeom prst="rect">
                              <a:avLst/>
                            </a:prstGeom>
                            <a:solidFill>
                              <a:srgbClr val="000000"/>
                            </a:solidFill>
                            <a:ln>
                              <a:noFill/>
                            </a:ln>
                            <a:extLst/>
                          </wps:spPr>
                          <wps:bodyPr rot="0" vert="horz" wrap="square" lIns="91440" tIns="45720" rIns="91440" bIns="45720" anchor="t" anchorCtr="0" upright="1">
                            <a:noAutofit/>
                          </wps:bodyPr>
                        </wps:wsp>
                        <wps:wsp>
                          <wps:cNvPr id="559" name="Line 556"/>
                          <wps:cNvCnPr>
                            <a:cxnSpLocks noChangeShapeType="1"/>
                          </wps:cNvCnPr>
                          <wps:spPr bwMode="auto">
                            <a:xfrm>
                              <a:off x="9360" y="0"/>
                              <a:ext cx="1" cy="1"/>
                            </a:xfrm>
                            <a:prstGeom prst="line">
                              <a:avLst/>
                            </a:prstGeom>
                            <a:noFill/>
                            <a:ln w="0">
                              <a:solidFill>
                                <a:srgbClr val="D0D7E5"/>
                              </a:solidFill>
                              <a:prstDash val="solid"/>
                              <a:round/>
                              <a:headEnd/>
                              <a:tailEnd/>
                            </a:ln>
                            <a:extLst/>
                          </wps:spPr>
                          <wps:bodyPr/>
                        </wps:wsp>
                        <wps:wsp>
                          <wps:cNvPr id="560" name="Rectangle 557"/>
                          <wps:cNvSpPr>
                            <a:spLocks noChangeArrowheads="1"/>
                          </wps:cNvSpPr>
                          <wps:spPr bwMode="auto">
                            <a:xfrm>
                              <a:off x="9360" y="0"/>
                              <a:ext cx="10" cy="10"/>
                            </a:xfrm>
                            <a:prstGeom prst="rect">
                              <a:avLst/>
                            </a:prstGeom>
                            <a:solidFill>
                              <a:srgbClr val="D0D7E5"/>
                            </a:solidFill>
                            <a:ln>
                              <a:noFill/>
                            </a:ln>
                            <a:extLst/>
                          </wps:spPr>
                          <wps:bodyPr rot="0" vert="horz" wrap="square" lIns="91440" tIns="45720" rIns="91440" bIns="45720" anchor="t" anchorCtr="0" upright="1">
                            <a:noAutofit/>
                          </wps:bodyPr>
                        </wps:wsp>
                        <wps:wsp>
                          <wps:cNvPr id="561" name="Line 558"/>
                          <wps:cNvCnPr>
                            <a:cxnSpLocks noChangeShapeType="1"/>
                          </wps:cNvCnPr>
                          <wps:spPr bwMode="auto">
                            <a:xfrm>
                              <a:off x="9360" y="212"/>
                              <a:ext cx="1" cy="1"/>
                            </a:xfrm>
                            <a:prstGeom prst="line">
                              <a:avLst/>
                            </a:prstGeom>
                            <a:noFill/>
                            <a:ln w="0">
                              <a:solidFill>
                                <a:srgbClr val="D0D7E5"/>
                              </a:solidFill>
                              <a:prstDash val="solid"/>
                              <a:round/>
                              <a:headEnd/>
                              <a:tailEnd/>
                            </a:ln>
                            <a:extLst/>
                          </wps:spPr>
                          <wps:bodyPr/>
                        </wps:wsp>
                        <wps:wsp>
                          <wps:cNvPr id="562" name="Rectangle 559"/>
                          <wps:cNvSpPr>
                            <a:spLocks noChangeArrowheads="1"/>
                          </wps:cNvSpPr>
                          <wps:spPr bwMode="auto">
                            <a:xfrm>
                              <a:off x="9360" y="212"/>
                              <a:ext cx="10" cy="10"/>
                            </a:xfrm>
                            <a:prstGeom prst="rect">
                              <a:avLst/>
                            </a:prstGeom>
                            <a:solidFill>
                              <a:srgbClr val="D0D7E5"/>
                            </a:solidFill>
                            <a:ln>
                              <a:noFill/>
                            </a:ln>
                            <a:extLst/>
                          </wps:spPr>
                          <wps:bodyPr rot="0" vert="horz" wrap="square" lIns="91440" tIns="45720" rIns="91440" bIns="45720" anchor="t" anchorCtr="0" upright="1">
                            <a:noAutofit/>
                          </wps:bodyPr>
                        </wps:wsp>
                        <wps:wsp>
                          <wps:cNvPr id="563" name="Line 560"/>
                          <wps:cNvCnPr>
                            <a:cxnSpLocks noChangeShapeType="1"/>
                          </wps:cNvCnPr>
                          <wps:spPr bwMode="auto">
                            <a:xfrm>
                              <a:off x="9360" y="736"/>
                              <a:ext cx="1" cy="1"/>
                            </a:xfrm>
                            <a:prstGeom prst="line">
                              <a:avLst/>
                            </a:prstGeom>
                            <a:noFill/>
                            <a:ln w="0">
                              <a:solidFill>
                                <a:srgbClr val="D0D7E5"/>
                              </a:solidFill>
                              <a:prstDash val="solid"/>
                              <a:round/>
                              <a:headEnd/>
                              <a:tailEnd/>
                            </a:ln>
                            <a:extLst/>
                          </wps:spPr>
                          <wps:bodyPr/>
                        </wps:wsp>
                        <wps:wsp>
                          <wps:cNvPr id="564" name="Rectangle 561"/>
                          <wps:cNvSpPr>
                            <a:spLocks noChangeArrowheads="1"/>
                          </wps:cNvSpPr>
                          <wps:spPr bwMode="auto">
                            <a:xfrm>
                              <a:off x="9360" y="736"/>
                              <a:ext cx="10" cy="10"/>
                            </a:xfrm>
                            <a:prstGeom prst="rect">
                              <a:avLst/>
                            </a:prstGeom>
                            <a:solidFill>
                              <a:srgbClr val="D0D7E5"/>
                            </a:solidFill>
                            <a:ln>
                              <a:noFill/>
                            </a:ln>
                            <a:extLst/>
                          </wps:spPr>
                          <wps:bodyPr rot="0" vert="horz" wrap="square" lIns="91440" tIns="45720" rIns="91440" bIns="45720" anchor="t" anchorCtr="0" upright="1">
                            <a:noAutofit/>
                          </wps:bodyPr>
                        </wps:wsp>
                        <wps:wsp>
                          <wps:cNvPr id="565" name="Line 562"/>
                          <wps:cNvCnPr>
                            <a:cxnSpLocks noChangeShapeType="1"/>
                          </wps:cNvCnPr>
                          <wps:spPr bwMode="auto">
                            <a:xfrm>
                              <a:off x="9360" y="867"/>
                              <a:ext cx="1" cy="1"/>
                            </a:xfrm>
                            <a:prstGeom prst="line">
                              <a:avLst/>
                            </a:prstGeom>
                            <a:noFill/>
                            <a:ln w="0">
                              <a:solidFill>
                                <a:srgbClr val="D0D7E5"/>
                              </a:solidFill>
                              <a:prstDash val="solid"/>
                              <a:round/>
                              <a:headEnd/>
                              <a:tailEnd/>
                            </a:ln>
                            <a:extLst/>
                          </wps:spPr>
                          <wps:bodyPr/>
                        </wps:wsp>
                        <wps:wsp>
                          <wps:cNvPr id="566" name="Rectangle 563"/>
                          <wps:cNvSpPr>
                            <a:spLocks noChangeArrowheads="1"/>
                          </wps:cNvSpPr>
                          <wps:spPr bwMode="auto">
                            <a:xfrm>
                              <a:off x="9360" y="867"/>
                              <a:ext cx="10" cy="10"/>
                            </a:xfrm>
                            <a:prstGeom prst="rect">
                              <a:avLst/>
                            </a:prstGeom>
                            <a:solidFill>
                              <a:srgbClr val="D0D7E5"/>
                            </a:solidFill>
                            <a:ln>
                              <a:noFill/>
                            </a:ln>
                            <a:extLst/>
                          </wps:spPr>
                          <wps:bodyPr rot="0" vert="horz" wrap="square" lIns="91440" tIns="45720" rIns="91440" bIns="45720" anchor="t" anchorCtr="0" upright="1">
                            <a:noAutofit/>
                          </wps:bodyPr>
                        </wps:wsp>
                        <wps:wsp>
                          <wps:cNvPr id="567" name="Line 564"/>
                          <wps:cNvCnPr>
                            <a:cxnSpLocks noChangeShapeType="1"/>
                          </wps:cNvCnPr>
                          <wps:spPr bwMode="auto">
                            <a:xfrm>
                              <a:off x="9360" y="1069"/>
                              <a:ext cx="1" cy="1"/>
                            </a:xfrm>
                            <a:prstGeom prst="line">
                              <a:avLst/>
                            </a:prstGeom>
                            <a:noFill/>
                            <a:ln w="0">
                              <a:solidFill>
                                <a:srgbClr val="D0D7E5"/>
                              </a:solidFill>
                              <a:prstDash val="solid"/>
                              <a:round/>
                              <a:headEnd/>
                              <a:tailEnd/>
                            </a:ln>
                            <a:extLst/>
                          </wps:spPr>
                          <wps:bodyPr/>
                        </wps:wsp>
                        <wps:wsp>
                          <wps:cNvPr id="568" name="Rectangle 565"/>
                          <wps:cNvSpPr>
                            <a:spLocks noChangeArrowheads="1"/>
                          </wps:cNvSpPr>
                          <wps:spPr bwMode="auto">
                            <a:xfrm>
                              <a:off x="9360" y="1069"/>
                              <a:ext cx="10" cy="10"/>
                            </a:xfrm>
                            <a:prstGeom prst="rect">
                              <a:avLst/>
                            </a:prstGeom>
                            <a:solidFill>
                              <a:srgbClr val="D0D7E5"/>
                            </a:solidFill>
                            <a:ln>
                              <a:noFill/>
                            </a:ln>
                            <a:extLst/>
                          </wps:spPr>
                          <wps:bodyPr rot="0" vert="horz" wrap="square" lIns="91440" tIns="45720" rIns="91440" bIns="45720" anchor="t" anchorCtr="0" upright="1">
                            <a:noAutofit/>
                          </wps:bodyPr>
                        </wps:wsp>
                        <wps:wsp>
                          <wps:cNvPr id="569" name="Line 566"/>
                          <wps:cNvCnPr>
                            <a:cxnSpLocks noChangeShapeType="1"/>
                          </wps:cNvCnPr>
                          <wps:spPr bwMode="auto">
                            <a:xfrm>
                              <a:off x="9360" y="1271"/>
                              <a:ext cx="1" cy="1"/>
                            </a:xfrm>
                            <a:prstGeom prst="line">
                              <a:avLst/>
                            </a:prstGeom>
                            <a:noFill/>
                            <a:ln w="0">
                              <a:solidFill>
                                <a:srgbClr val="D0D7E5"/>
                              </a:solidFill>
                              <a:prstDash val="solid"/>
                              <a:round/>
                              <a:headEnd/>
                              <a:tailEnd/>
                            </a:ln>
                            <a:extLst/>
                          </wps:spPr>
                          <wps:bodyPr/>
                        </wps:wsp>
                        <wps:wsp>
                          <wps:cNvPr id="570" name="Rectangle 567"/>
                          <wps:cNvSpPr>
                            <a:spLocks noChangeArrowheads="1"/>
                          </wps:cNvSpPr>
                          <wps:spPr bwMode="auto">
                            <a:xfrm>
                              <a:off x="9360" y="1271"/>
                              <a:ext cx="10" cy="10"/>
                            </a:xfrm>
                            <a:prstGeom prst="rect">
                              <a:avLst/>
                            </a:prstGeom>
                            <a:solidFill>
                              <a:srgbClr val="D0D7E5"/>
                            </a:solidFill>
                            <a:ln>
                              <a:noFill/>
                            </a:ln>
                            <a:extLst/>
                          </wps:spPr>
                          <wps:bodyPr rot="0" vert="horz" wrap="square" lIns="91440" tIns="45720" rIns="91440" bIns="45720" anchor="t" anchorCtr="0" upright="1">
                            <a:noAutofit/>
                          </wps:bodyPr>
                        </wps:wsp>
                        <wps:wsp>
                          <wps:cNvPr id="571" name="Line 568"/>
                          <wps:cNvCnPr>
                            <a:cxnSpLocks noChangeShapeType="1"/>
                          </wps:cNvCnPr>
                          <wps:spPr bwMode="auto">
                            <a:xfrm>
                              <a:off x="9360" y="1473"/>
                              <a:ext cx="1" cy="1"/>
                            </a:xfrm>
                            <a:prstGeom prst="line">
                              <a:avLst/>
                            </a:prstGeom>
                            <a:noFill/>
                            <a:ln w="0">
                              <a:solidFill>
                                <a:srgbClr val="D0D7E5"/>
                              </a:solidFill>
                              <a:prstDash val="solid"/>
                              <a:round/>
                              <a:headEnd/>
                              <a:tailEnd/>
                            </a:ln>
                            <a:extLst/>
                          </wps:spPr>
                          <wps:bodyPr/>
                        </wps:wsp>
                        <wps:wsp>
                          <wps:cNvPr id="572" name="Rectangle 569"/>
                          <wps:cNvSpPr>
                            <a:spLocks noChangeArrowheads="1"/>
                          </wps:cNvSpPr>
                          <wps:spPr bwMode="auto">
                            <a:xfrm>
                              <a:off x="9360" y="1473"/>
                              <a:ext cx="10" cy="10"/>
                            </a:xfrm>
                            <a:prstGeom prst="rect">
                              <a:avLst/>
                            </a:prstGeom>
                            <a:solidFill>
                              <a:srgbClr val="D0D7E5"/>
                            </a:solidFill>
                            <a:ln>
                              <a:noFill/>
                            </a:ln>
                            <a:extLst/>
                          </wps:spPr>
                          <wps:bodyPr rot="0" vert="horz" wrap="square" lIns="91440" tIns="45720" rIns="91440" bIns="45720" anchor="t" anchorCtr="0" upright="1">
                            <a:noAutofit/>
                          </wps:bodyPr>
                        </wps:wsp>
                        <wps:wsp>
                          <wps:cNvPr id="573" name="Line 570"/>
                          <wps:cNvCnPr>
                            <a:cxnSpLocks noChangeShapeType="1"/>
                          </wps:cNvCnPr>
                          <wps:spPr bwMode="auto">
                            <a:xfrm>
                              <a:off x="9360" y="1674"/>
                              <a:ext cx="1" cy="1"/>
                            </a:xfrm>
                            <a:prstGeom prst="line">
                              <a:avLst/>
                            </a:prstGeom>
                            <a:noFill/>
                            <a:ln w="0">
                              <a:solidFill>
                                <a:srgbClr val="D0D7E5"/>
                              </a:solidFill>
                              <a:prstDash val="solid"/>
                              <a:round/>
                              <a:headEnd/>
                              <a:tailEnd/>
                            </a:ln>
                            <a:extLst/>
                          </wps:spPr>
                          <wps:bodyPr/>
                        </wps:wsp>
                        <wps:wsp>
                          <wps:cNvPr id="574" name="Rectangle 571"/>
                          <wps:cNvSpPr>
                            <a:spLocks noChangeArrowheads="1"/>
                          </wps:cNvSpPr>
                          <wps:spPr bwMode="auto">
                            <a:xfrm>
                              <a:off x="9360" y="1674"/>
                              <a:ext cx="10" cy="10"/>
                            </a:xfrm>
                            <a:prstGeom prst="rect">
                              <a:avLst/>
                            </a:prstGeom>
                            <a:solidFill>
                              <a:srgbClr val="D0D7E5"/>
                            </a:solidFill>
                            <a:ln>
                              <a:noFill/>
                            </a:ln>
                            <a:extLst/>
                          </wps:spPr>
                          <wps:bodyPr rot="0" vert="horz" wrap="square" lIns="91440" tIns="45720" rIns="91440" bIns="45720" anchor="t" anchorCtr="0" upright="1">
                            <a:noAutofit/>
                          </wps:bodyPr>
                        </wps:wsp>
                        <wps:wsp>
                          <wps:cNvPr id="575" name="Line 572"/>
                          <wps:cNvCnPr>
                            <a:cxnSpLocks noChangeShapeType="1"/>
                          </wps:cNvCnPr>
                          <wps:spPr bwMode="auto">
                            <a:xfrm>
                              <a:off x="9360" y="1876"/>
                              <a:ext cx="1" cy="1"/>
                            </a:xfrm>
                            <a:prstGeom prst="line">
                              <a:avLst/>
                            </a:prstGeom>
                            <a:noFill/>
                            <a:ln w="0">
                              <a:solidFill>
                                <a:srgbClr val="D0D7E5"/>
                              </a:solidFill>
                              <a:prstDash val="solid"/>
                              <a:round/>
                              <a:headEnd/>
                              <a:tailEnd/>
                            </a:ln>
                            <a:extLst/>
                          </wps:spPr>
                          <wps:bodyPr/>
                        </wps:wsp>
                        <wps:wsp>
                          <wps:cNvPr id="576" name="Rectangle 573"/>
                          <wps:cNvSpPr>
                            <a:spLocks noChangeArrowheads="1"/>
                          </wps:cNvSpPr>
                          <wps:spPr bwMode="auto">
                            <a:xfrm>
                              <a:off x="9360" y="1876"/>
                              <a:ext cx="10" cy="10"/>
                            </a:xfrm>
                            <a:prstGeom prst="rect">
                              <a:avLst/>
                            </a:prstGeom>
                            <a:solidFill>
                              <a:srgbClr val="D0D7E5"/>
                            </a:solidFill>
                            <a:ln>
                              <a:noFill/>
                            </a:ln>
                            <a:extLst/>
                          </wps:spPr>
                          <wps:bodyPr rot="0" vert="horz" wrap="square" lIns="91440" tIns="45720" rIns="91440" bIns="45720" anchor="t" anchorCtr="0" upright="1">
                            <a:noAutofit/>
                          </wps:bodyPr>
                        </wps:wsp>
                        <wps:wsp>
                          <wps:cNvPr id="577" name="Line 574"/>
                          <wps:cNvCnPr>
                            <a:cxnSpLocks noChangeShapeType="1"/>
                          </wps:cNvCnPr>
                          <wps:spPr bwMode="auto">
                            <a:xfrm>
                              <a:off x="9360" y="2078"/>
                              <a:ext cx="1" cy="1"/>
                            </a:xfrm>
                            <a:prstGeom prst="line">
                              <a:avLst/>
                            </a:prstGeom>
                            <a:noFill/>
                            <a:ln w="0">
                              <a:solidFill>
                                <a:srgbClr val="D0D7E5"/>
                              </a:solidFill>
                              <a:prstDash val="solid"/>
                              <a:round/>
                              <a:headEnd/>
                              <a:tailEnd/>
                            </a:ln>
                            <a:extLst/>
                          </wps:spPr>
                          <wps:bodyPr/>
                        </wps:wsp>
                        <wps:wsp>
                          <wps:cNvPr id="578" name="Rectangle 575"/>
                          <wps:cNvSpPr>
                            <a:spLocks noChangeArrowheads="1"/>
                          </wps:cNvSpPr>
                          <wps:spPr bwMode="auto">
                            <a:xfrm>
                              <a:off x="9360" y="2078"/>
                              <a:ext cx="10" cy="10"/>
                            </a:xfrm>
                            <a:prstGeom prst="rect">
                              <a:avLst/>
                            </a:prstGeom>
                            <a:solidFill>
                              <a:srgbClr val="D0D7E5"/>
                            </a:solidFill>
                            <a:ln>
                              <a:noFill/>
                            </a:ln>
                            <a:extLst/>
                          </wps:spPr>
                          <wps:bodyPr rot="0" vert="horz" wrap="square" lIns="91440" tIns="45720" rIns="91440" bIns="45720" anchor="t" anchorCtr="0" upright="1">
                            <a:noAutofit/>
                          </wps:bodyPr>
                        </wps:wsp>
                        <wps:wsp>
                          <wps:cNvPr id="579" name="Line 576"/>
                          <wps:cNvCnPr>
                            <a:cxnSpLocks noChangeShapeType="1"/>
                          </wps:cNvCnPr>
                          <wps:spPr bwMode="auto">
                            <a:xfrm>
                              <a:off x="9360" y="2279"/>
                              <a:ext cx="1" cy="1"/>
                            </a:xfrm>
                            <a:prstGeom prst="line">
                              <a:avLst/>
                            </a:prstGeom>
                            <a:noFill/>
                            <a:ln w="0">
                              <a:solidFill>
                                <a:srgbClr val="D0D7E5"/>
                              </a:solidFill>
                              <a:prstDash val="solid"/>
                              <a:round/>
                              <a:headEnd/>
                              <a:tailEnd/>
                            </a:ln>
                            <a:extLst/>
                          </wps:spPr>
                          <wps:bodyPr/>
                        </wps:wsp>
                        <wps:wsp>
                          <wps:cNvPr id="580" name="Rectangle 577"/>
                          <wps:cNvSpPr>
                            <a:spLocks noChangeArrowheads="1"/>
                          </wps:cNvSpPr>
                          <wps:spPr bwMode="auto">
                            <a:xfrm>
                              <a:off x="9360" y="2279"/>
                              <a:ext cx="10" cy="11"/>
                            </a:xfrm>
                            <a:prstGeom prst="rect">
                              <a:avLst/>
                            </a:prstGeom>
                            <a:solidFill>
                              <a:srgbClr val="D0D7E5"/>
                            </a:solidFill>
                            <a:ln>
                              <a:noFill/>
                            </a:ln>
                            <a:extLst/>
                          </wps:spPr>
                          <wps:bodyPr rot="0" vert="horz" wrap="square" lIns="91440" tIns="45720" rIns="91440" bIns="45720" anchor="t" anchorCtr="0" upright="1">
                            <a:noAutofit/>
                          </wps:bodyPr>
                        </wps:wsp>
                        <wps:wsp>
                          <wps:cNvPr id="581" name="Line 578"/>
                          <wps:cNvCnPr>
                            <a:cxnSpLocks noChangeShapeType="1"/>
                          </wps:cNvCnPr>
                          <wps:spPr bwMode="auto">
                            <a:xfrm>
                              <a:off x="9360" y="2481"/>
                              <a:ext cx="1" cy="1"/>
                            </a:xfrm>
                            <a:prstGeom prst="line">
                              <a:avLst/>
                            </a:prstGeom>
                            <a:noFill/>
                            <a:ln w="0">
                              <a:solidFill>
                                <a:srgbClr val="D0D7E5"/>
                              </a:solidFill>
                              <a:prstDash val="solid"/>
                              <a:round/>
                              <a:headEnd/>
                              <a:tailEnd/>
                            </a:ln>
                            <a:extLst/>
                          </wps:spPr>
                          <wps:bodyPr/>
                        </wps:wsp>
                        <wps:wsp>
                          <wps:cNvPr id="582" name="Rectangle 579"/>
                          <wps:cNvSpPr>
                            <a:spLocks noChangeArrowheads="1"/>
                          </wps:cNvSpPr>
                          <wps:spPr bwMode="auto">
                            <a:xfrm>
                              <a:off x="9360" y="2481"/>
                              <a:ext cx="10" cy="10"/>
                            </a:xfrm>
                            <a:prstGeom prst="rect">
                              <a:avLst/>
                            </a:prstGeom>
                            <a:solidFill>
                              <a:srgbClr val="D0D7E5"/>
                            </a:solidFill>
                            <a:ln>
                              <a:noFill/>
                            </a:ln>
                            <a:extLst/>
                          </wps:spPr>
                          <wps:bodyPr rot="0" vert="horz" wrap="square" lIns="91440" tIns="45720" rIns="91440" bIns="45720" anchor="t" anchorCtr="0" upright="1">
                            <a:noAutofit/>
                          </wps:bodyPr>
                        </wps:wsp>
                      </wpg:wgp>
                      <wps:wsp>
                        <wps:cNvPr id="583" name="Line 581"/>
                        <wps:cNvCnPr>
                          <a:cxnSpLocks noChangeShapeType="1"/>
                        </wps:cNvCnPr>
                        <wps:spPr bwMode="auto">
                          <a:xfrm>
                            <a:off x="5943600" y="1703705"/>
                            <a:ext cx="635" cy="635"/>
                          </a:xfrm>
                          <a:prstGeom prst="line">
                            <a:avLst/>
                          </a:prstGeom>
                          <a:noFill/>
                          <a:ln w="0">
                            <a:solidFill>
                              <a:srgbClr val="D0D7E5"/>
                            </a:solidFill>
                            <a:prstDash val="solid"/>
                            <a:round/>
                            <a:headEnd/>
                            <a:tailEnd/>
                          </a:ln>
                          <a:extLst/>
                        </wps:spPr>
                        <wps:bodyPr/>
                      </wps:wsp>
                      <wps:wsp>
                        <wps:cNvPr id="584" name="Rectangle 582"/>
                        <wps:cNvSpPr>
                          <a:spLocks noChangeArrowheads="1"/>
                        </wps:cNvSpPr>
                        <wps:spPr bwMode="auto">
                          <a:xfrm>
                            <a:off x="5943600" y="1703705"/>
                            <a:ext cx="6350" cy="6350"/>
                          </a:xfrm>
                          <a:prstGeom prst="rect">
                            <a:avLst/>
                          </a:prstGeom>
                          <a:solidFill>
                            <a:srgbClr val="D0D7E5"/>
                          </a:solidFill>
                          <a:ln>
                            <a:noFill/>
                          </a:ln>
                          <a:extLst/>
                        </wps:spPr>
                        <wps:bodyPr rot="0" vert="horz" wrap="square" lIns="91440" tIns="45720" rIns="91440" bIns="45720" anchor="t" anchorCtr="0" upright="1">
                          <a:noAutofit/>
                        </wps:bodyPr>
                      </wps:wsp>
                      <wps:wsp>
                        <wps:cNvPr id="585" name="Line 583"/>
                        <wps:cNvCnPr>
                          <a:cxnSpLocks noChangeShapeType="1"/>
                        </wps:cNvCnPr>
                        <wps:spPr bwMode="auto">
                          <a:xfrm>
                            <a:off x="5943600" y="1831975"/>
                            <a:ext cx="635" cy="635"/>
                          </a:xfrm>
                          <a:prstGeom prst="line">
                            <a:avLst/>
                          </a:prstGeom>
                          <a:noFill/>
                          <a:ln w="0">
                            <a:solidFill>
                              <a:srgbClr val="D0D7E5"/>
                            </a:solidFill>
                            <a:prstDash val="solid"/>
                            <a:round/>
                            <a:headEnd/>
                            <a:tailEnd/>
                          </a:ln>
                          <a:extLst/>
                        </wps:spPr>
                        <wps:bodyPr/>
                      </wps:wsp>
                      <wps:wsp>
                        <wps:cNvPr id="586" name="Rectangle 584"/>
                        <wps:cNvSpPr>
                          <a:spLocks noChangeArrowheads="1"/>
                        </wps:cNvSpPr>
                        <wps:spPr bwMode="auto">
                          <a:xfrm>
                            <a:off x="5943600" y="1831975"/>
                            <a:ext cx="6350" cy="6350"/>
                          </a:xfrm>
                          <a:prstGeom prst="rect">
                            <a:avLst/>
                          </a:prstGeom>
                          <a:solidFill>
                            <a:srgbClr val="D0D7E5"/>
                          </a:solidFill>
                          <a:ln>
                            <a:noFill/>
                          </a:ln>
                          <a:extLst/>
                        </wps:spPr>
                        <wps:bodyPr rot="0" vert="horz" wrap="square" lIns="91440" tIns="45720" rIns="91440" bIns="45720" anchor="t" anchorCtr="0" upright="1">
                          <a:noAutofit/>
                        </wps:bodyPr>
                      </wps:wsp>
                      <wps:wsp>
                        <wps:cNvPr id="587" name="Line 585"/>
                        <wps:cNvCnPr>
                          <a:cxnSpLocks noChangeShapeType="1"/>
                        </wps:cNvCnPr>
                        <wps:spPr bwMode="auto">
                          <a:xfrm>
                            <a:off x="5943600" y="1959610"/>
                            <a:ext cx="635" cy="635"/>
                          </a:xfrm>
                          <a:prstGeom prst="line">
                            <a:avLst/>
                          </a:prstGeom>
                          <a:noFill/>
                          <a:ln w="0">
                            <a:solidFill>
                              <a:srgbClr val="D0D7E5"/>
                            </a:solidFill>
                            <a:prstDash val="solid"/>
                            <a:round/>
                            <a:headEnd/>
                            <a:tailEnd/>
                          </a:ln>
                          <a:extLst/>
                        </wps:spPr>
                        <wps:bodyPr/>
                      </wps:wsp>
                      <wps:wsp>
                        <wps:cNvPr id="588" name="Rectangle 586"/>
                        <wps:cNvSpPr>
                          <a:spLocks noChangeArrowheads="1"/>
                        </wps:cNvSpPr>
                        <wps:spPr bwMode="auto">
                          <a:xfrm>
                            <a:off x="5943600" y="1959610"/>
                            <a:ext cx="6350" cy="6350"/>
                          </a:xfrm>
                          <a:prstGeom prst="rect">
                            <a:avLst/>
                          </a:prstGeom>
                          <a:solidFill>
                            <a:srgbClr val="D0D7E5"/>
                          </a:solidFill>
                          <a:ln>
                            <a:noFill/>
                          </a:ln>
                          <a:extLst/>
                        </wps:spPr>
                        <wps:bodyPr rot="0" vert="horz" wrap="square" lIns="91440" tIns="45720" rIns="91440" bIns="45720" anchor="t" anchorCtr="0" upright="1">
                          <a:noAutofit/>
                        </wps:bodyPr>
                      </wps:wsp>
                      <wps:wsp>
                        <wps:cNvPr id="589" name="Line 587"/>
                        <wps:cNvCnPr>
                          <a:cxnSpLocks noChangeShapeType="1"/>
                        </wps:cNvCnPr>
                        <wps:spPr bwMode="auto">
                          <a:xfrm>
                            <a:off x="5943600" y="2094230"/>
                            <a:ext cx="635" cy="635"/>
                          </a:xfrm>
                          <a:prstGeom prst="line">
                            <a:avLst/>
                          </a:prstGeom>
                          <a:noFill/>
                          <a:ln w="0">
                            <a:solidFill>
                              <a:srgbClr val="D0D7E5"/>
                            </a:solidFill>
                            <a:prstDash val="solid"/>
                            <a:round/>
                            <a:headEnd/>
                            <a:tailEnd/>
                          </a:ln>
                          <a:extLst/>
                        </wps:spPr>
                        <wps:bodyPr/>
                      </wps:wsp>
                      <wps:wsp>
                        <wps:cNvPr id="590" name="Rectangle 588"/>
                        <wps:cNvSpPr>
                          <a:spLocks noChangeArrowheads="1"/>
                        </wps:cNvSpPr>
                        <wps:spPr bwMode="auto">
                          <a:xfrm>
                            <a:off x="5943600" y="2094230"/>
                            <a:ext cx="6350" cy="6350"/>
                          </a:xfrm>
                          <a:prstGeom prst="rect">
                            <a:avLst/>
                          </a:prstGeom>
                          <a:solidFill>
                            <a:srgbClr val="D0D7E5"/>
                          </a:solidFill>
                          <a:ln>
                            <a:noFill/>
                          </a:ln>
                          <a:extLst/>
                        </wps:spPr>
                        <wps:bodyPr rot="0" vert="horz" wrap="square" lIns="91440" tIns="45720" rIns="91440" bIns="45720" anchor="t" anchorCtr="0" upright="1">
                          <a:noAutofit/>
                        </wps:bodyPr>
                      </wps:wsp>
                      <wps:wsp>
                        <wps:cNvPr id="591" name="Line 589"/>
                        <wps:cNvCnPr>
                          <a:cxnSpLocks noChangeShapeType="1"/>
                        </wps:cNvCnPr>
                        <wps:spPr bwMode="auto">
                          <a:xfrm>
                            <a:off x="5943600" y="2222500"/>
                            <a:ext cx="635" cy="635"/>
                          </a:xfrm>
                          <a:prstGeom prst="line">
                            <a:avLst/>
                          </a:prstGeom>
                          <a:noFill/>
                          <a:ln w="0">
                            <a:solidFill>
                              <a:srgbClr val="D0D7E5"/>
                            </a:solidFill>
                            <a:prstDash val="solid"/>
                            <a:round/>
                            <a:headEnd/>
                            <a:tailEnd/>
                          </a:ln>
                          <a:extLst/>
                        </wps:spPr>
                        <wps:bodyPr/>
                      </wps:wsp>
                      <wps:wsp>
                        <wps:cNvPr id="592" name="Rectangle 590"/>
                        <wps:cNvSpPr>
                          <a:spLocks noChangeArrowheads="1"/>
                        </wps:cNvSpPr>
                        <wps:spPr bwMode="auto">
                          <a:xfrm>
                            <a:off x="5943600" y="2222500"/>
                            <a:ext cx="6350" cy="6350"/>
                          </a:xfrm>
                          <a:prstGeom prst="rect">
                            <a:avLst/>
                          </a:prstGeom>
                          <a:solidFill>
                            <a:srgbClr val="D0D7E5"/>
                          </a:solidFill>
                          <a:ln>
                            <a:noFill/>
                          </a:ln>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04B8294" id="Canvas 593" o:spid="_x0000_s1099" editas="canvas" style="position:absolute;margin-left:-10pt;margin-top:16.4pt;width:471.5pt;height:185.6pt;z-index:251653120" coordsize="59880,23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">
                <v:shape id="_x0000_s1100" type="#_x0000_t75" style="position:absolute;width:59880;height:23571;visibility:visible;mso-wrap-style:square">
                  <v:fill o:detectmouseclick="t"/>
                  <v:path o:connecttype="none"/>
                </v:shape>
                <v:group id="Group 580" o:spid="_x0000_s1101" style="position:absolute;left:190;width:59528;height:23526" coordsize="9370,3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3MC8YAAADcAAAADwAAAGRycy9kb3ducmV2LnhtbESPT2vCQBTE74V+h+UV&#10;vNVNlJYQXUVEi4cg1BSKt0f2mQSzb0N2mz/fvisUehxm5jfMejuaRvTUudqygngegSAurK65VPCV&#10;H18TEM4ja2wsk4KJHGw3z09rTLUd+JP6iy9FgLBLUUHlfZtK6YqKDLq5bYmDd7OdQR9kV0rd4RDg&#10;ppGLKHqXBmsOCxW2tK+ouF9+jIKPAYfdMj702f22n6752/k7i0mp2cu4W4HwNPr/8F/7pBUsk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TcwLxgAAANwA&#10;AAAPAAAAAAAAAAAAAAAAAKoCAABkcnMvZG93bnJldi54bWxQSwUGAAAAAAQABAD6AAAAnQMAAAAA&#10;">
                  <v:rect id="Rectangle 380" o:spid="_x0000_s1102" style="position:absolute;width:9360;height: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1T/MUA&#10;AADcAAAADwAAAGRycy9kb3ducmV2LnhtbESPT2sCMRTE74V+h/AKvXWTdu2iq1FKQRC0h2rB62Pz&#10;9g9uXrabqOu3N4LgcZiZ3zCzxWBbcaLeN441vCcKBHHhTMOVhr/d8m0Mwgdkg61j0nAhD4v589MM&#10;c+PO/EunbahEhLDPUUMdQpdL6YuaLPrEdcTRK11vMUTZV9L0eI5w28oPpTJpseG4UGNH3zUVh+3R&#10;asBsZP5/ynSzWx8znFSDWn7uldavL8PXFESgITzC9/bKaEjHKdzOxCM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zVP8xQAAANwAAAAPAAAAAAAAAAAAAAAAAJgCAABkcnMv&#10;ZG93bnJldi54bWxQSwUGAAAAAAQABAD1AAAAigMAAAAA&#10;" stroked="f"/>
                  <v:line id="Line 381" o:spid="_x0000_s1103" style="position:absolute;visibility:visible;mso-wrap-style:square" from="5245,222" to="5295,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ea6cQAAADcAAAADwAAAGRycy9kb3ducmV2LnhtbESPX2vCMBTF34V9h3AHexFN53SUalrG&#10;QBjDB60TXy/NtSk2N6WJ2n37ZSD4eDh/fpxVMdhWXKn3jWMFr9MEBHHldMO1gp/9epKC8AFZY+uY&#10;FPyShyJ/Gq0w0+7GO7qWoRZxhH2GCkwIXSalrwxZ9FPXEUfv5HqLIcq+lrrHWxy3rZwlybu02HAk&#10;GOzo01B1Li82QrCsZxtD2wvi5jtdHxfjw75T6uV5+FiCCDSER/je/tIK3tI5/J+JR0D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t5rpxAAAANwAAAAPAAAAAAAAAAAA&#10;AAAAAKECAABkcnMvZG93bnJldi54bWxQSwUGAAAAAAQABAD5AAAAkgMAAAAA&#10;" strokecolor="red" strokeweight="0"/>
                  <v:rect id="Rectangle 382" o:spid="_x0000_s1104" style="position:absolute;left:5245;top:222;width:5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Z138MA&#10;AADcAAAADwAAAGRycy9kb3ducmV2LnhtbESPS4vCMBSF9wP+h3CF2Y2pj1GpRpEBYbZ2XOjumlzb&#10;YnNTmkxt59dPBMHl4Tw+znrb2Uq01PjSsYLxKAFBrJ0pOVdw/Nl/LEH4gGywckwKevKw3Qze1pga&#10;d+cDtVnIRRxhn6KCIoQ6ldLrgiz6kauJo3d1jcUQZZNL0+A9jttKTpJkLi2WHAkF1vRVkL5lv1bB&#10;eXGsDrr82+X9aaYjpL9kba/U+7DbrUAE6sIr/Gx/GwXT5Sc8zsQj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jZ138MAAADcAAAADwAAAAAAAAAAAAAAAACYAgAAZHJzL2Rv&#10;d25yZXYueG1sUEsFBgAAAAAEAAQA9QAAAIgDAAAAAA==&#10;" fillcolor="red" stroked="f"/>
                  <v:line id="Line 383" o:spid="_x0000_s1105" style="position:absolute;visibility:visible;mso-wrap-style:square" from="5255,232" to="5295,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mhBcIAAADcAAAADwAAAGRycy9kb3ducmV2LnhtbESPzYrCMBSF98K8Q7jCbERTFaVUowyC&#10;MAwuxqq4vTTXptjclCZq5+3NgODycH4+znLd2VrcqfWVYwXjUQKCuHC64lLB8bAdpiB8QNZYOyYF&#10;f+RhvfroLTHT7sF7uuehFHGEfYYKTAhNJqUvDFn0I9cQR+/iWoshyraUusVHHLe1nCTJXFqsOBIM&#10;NrQxVFzzm40QzMvJztDvDXH3k27Ps8Hp0Cj12e++FiACdeEdfrW/tYJpOof/M/EIyN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ymhBcIAAADcAAAADwAAAAAAAAAAAAAA&#10;AAChAgAAZHJzL2Rvd25yZXYueG1sUEsFBgAAAAAEAAQA+QAAAJADAAAAAA==&#10;" strokecolor="red" strokeweight="0"/>
                  <v:rect id="Rectangle 384" o:spid="_x0000_s1106" style="position:absolute;left:5255;top:232;width:4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hOM8MA&#10;AADcAAAADwAAAGRycy9kb3ducmV2LnhtbESPy2rDMBBF94H+g5hCdoncpiTBiRJModCtXS/a3VSa&#10;2ibWyFiqH/n6qFDI8nIfh3s8T7YVA/W+cazgaZ2AINbONFwpKD/eVnsQPiAbbB2Tgpk8nE8PiyOm&#10;xo2c01CESsQR9ikqqEPoUim9rsmiX7uOOHo/rrcYouwraXoc47ht5XOSbKXFhiOhxo5ea9KX4tcq&#10;+NqVba6ba1bNny86QubvYpiVWj5O2QFEoCncw//td6Ngs9/B35l4BOTp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hOM8MAAADcAAAADwAAAAAAAAAAAAAAAACYAgAAZHJzL2Rv&#10;d25yZXYueG1sUEsFBgAAAAAEAAQA9QAAAIgDAAAAAA==&#10;" fillcolor="red" stroked="f"/>
                  <v:line id="Line 385" o:spid="_x0000_s1107" style="position:absolute;visibility:visible;mso-wrap-style:square" from="5265,242" to="5295,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qQ7MEAAADcAAAADwAAAGRycy9kb3ducmV2LnhtbERPTWvCQBC9F/wPywi9lLqp0hKiq4gg&#10;lOKhjS1eh+yYDWZnQ3bV+O+dg9Dj430vVoNv1YX62AQ28DbJQBFXwTZcG/jdb19zUDEhW2wDk4Eb&#10;RVgtR08LLGy48g9dylQrCeFYoAGXUldoHStHHuMkdMTCHUPvMQnsa217vEq4b/U0yz60x4alwWFH&#10;G0fVqTx7KcGynu4cfZ8Rd1/59vD+8rfvjHkeD+s5qERD+hc/3J/WwCyXtXJGjoBe3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pDswQAAANwAAAAPAAAAAAAAAAAAAAAA&#10;AKECAABkcnMvZG93bnJldi54bWxQSwUGAAAAAAQABAD5AAAAjwMAAAAA&#10;" strokecolor="red" strokeweight="0"/>
                  <v:rect id="Rectangle 386" o:spid="_x0000_s1108" style="position:absolute;left:5265;top:242;width:3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t/2sMA&#10;AADcAAAADwAAAGRycy9kb3ducmV2LnhtbESPS4vCMBSF9wP+h3CF2Y2pD0atRpEBYbZ2XOjumlzb&#10;YnNTmkxt59dPBMHl4Tw+znrb2Uq01PjSsYLxKAFBrJ0pOVdw/Nl/LED4gGywckwKevKw3Qze1pga&#10;d+cDtVnIRRxhn6KCIoQ6ldLrgiz6kauJo3d1jcUQZZNL0+A9jttKTpLkU1osORIKrOmrIH3Lfq2C&#10;8/xYHXT5t8v700xHSH/J2l6p92G3W4EI1IVX+Nn+NgqmiyU8zsQj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t/2sMAAADcAAAADwAAAAAAAAAAAAAAAACYAgAAZHJzL2Rv&#10;d25yZXYueG1sUEsFBgAAAAAEAAQA9QAAAIgDAAAAAA==&#10;" fillcolor="red" stroked="f"/>
                  <v:line id="Line 387" o:spid="_x0000_s1109" style="position:absolute;visibility:visible;mso-wrap-style:square" from="5275,252" to="5295,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UKN8EAAADcAAAADwAAAGRycy9kb3ducmV2LnhtbERPTWvCQBC9F/oflin0UnRTRdHUVUpB&#10;KMWDRsXrkJ1mQ7OzIbtq+u+dg+Dx8b4Xq9436kJdrAMbeB9moIjLYGuuDBz268EMVEzIFpvAZOCf&#10;IqyWz08LzG248o4uRaqUhHDM0YBLqc21jqUjj3EYWmLhfkPnMQnsKm07vEq4b/Qoy6baY83S4LCl&#10;L0flX3H2UoJFNdo42p4RNz+z9Wnydty3xry+9J8foBL16SG+u7+tgfFc5ssZOQJ6e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VQo3wQAAANwAAAAPAAAAAAAAAAAAAAAA&#10;AKECAABkcnMvZG93bnJldi54bWxQSwUGAAAAAAQABAD5AAAAjwMAAAAA&#10;" strokecolor="red" strokeweight="0"/>
                  <v:rect id="Rectangle 388" o:spid="_x0000_s1110" style="position:absolute;left:5275;top:252;width:2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TlAcMA&#10;AADcAAAADwAAAGRycy9kb3ducmV2LnhtbESPS4vCMBSF9wP+h3CF2Y2pD0atRpEBYbZ2XOjumlzb&#10;YnNTmkxt59dPBMHl4Tw+znrb2Uq01PjSsYLxKAFBrJ0pOVdw/Nl/LED4gGywckwKevKw3Qze1pga&#10;d+cDtVnIRRxhn6KCIoQ6ldLrgiz6kauJo3d1jcUQZZNL0+A9jttKTpLkU1osORIKrOmrIH3Lfq2C&#10;8/xYHXT5t8v700xHSH/J2l6p92G3W4EI1IVX+Nn+NgqmyzE8zsQj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TlAcMAAADcAAAADwAAAAAAAAAAAAAAAACYAgAAZHJzL2Rv&#10;d25yZXYueG1sUEsFBgAAAAAEAAQA9QAAAIgDAAAAAA==&#10;" fillcolor="red" stroked="f"/>
                  <v:line id="Line 389" o:spid="_x0000_s1111" style="position:absolute;visibility:visible;mso-wrap-style:square" from="5285,262" to="5295,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sx28QAAADcAAAADwAAAGRycy9kb3ducmV2LnhtbESPX2vCMBTF3wW/Q7jCXkRTOxyuayoy&#10;EGT4sFXF10tz15Q1N6WJWr/9Mhj4eDh/fpx8PdhWXKn3jWMFi3kCgrhyuuFawfGwna1A+ICssXVM&#10;Cu7kYV2MRzlm2t34i65lqEUcYZ+hAhNCl0npK0MW/dx1xNH7dr3FEGVfS93jLY7bVqZJ8iItNhwJ&#10;Bjt6N1T9lBcbIVjW6d7Q5wVx/7HanpfT06FT6mkybN5ABBrCI/zf3mkFz68p/J2JR0A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yzHbxAAAANwAAAAPAAAAAAAAAAAA&#10;AAAAAKECAABkcnMvZG93bnJldi54bWxQSwUGAAAAAAQABAD5AAAAkgMAAAAA&#10;" strokecolor="red" strokeweight="0"/>
                  <v:rect id="Rectangle 390" o:spid="_x0000_s1112" style="position:absolute;left:5285;top:262;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re7cQA&#10;AADcAAAADwAAAGRycy9kb3ducmV2LnhtbESPzWrCQBSF90LfYbiF7nTSKlpTJ0EKhW6NWdjddeY2&#10;Cc3cCZlpTPr0HUFweTg/H2eXj7YVA/W+cazgeZGAINbONFwpKI8f81cQPiAbbB2Tgok85NnDbIep&#10;cRc+0FCESsQR9ikqqEPoUim9rsmiX7iOOHrfrrcYouwraXq8xHHbypckWUuLDUdCjR2916R/il+r&#10;4GtTtgfd/O2r6bTSETKdi2FS6ulx3L+BCDSGe/jW/jQKltslXM/EIy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K3u3EAAAA3AAAAA8AAAAAAAAAAAAAAAAAmAIAAGRycy9k&#10;b3ducmV2LnhtbFBLBQYAAAAABAAEAPUAAACJAwAAAAA=&#10;" fillcolor="red" stroked="f"/>
                  <v:rect id="Rectangle 391" o:spid="_x0000_s1113" style="position:absolute;top:736;width:9360;height:29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1dVcUA&#10;AADcAAAADwAAAGRycy9kb3ducmV2LnhtbESPQWvCQBSE70L/w/IKveluNQ01ukoRAoXaQ7Xg9ZF9&#10;JqHZt2l2TdJ/7wpCj8PMfMOst6NtRE+drx1reJ4pEMSFMzWXGr6P+fQVhA/IBhvHpOGPPGw3D5M1&#10;ZsYN/EX9IZQiQthnqKEKoc2k9EVFFv3MtcTRO7vOYoiyK6XpcIhw28i5Uqm0WHNcqLClXUXFz+Fi&#10;NWCamN/P82J//LikuCxHlb+clNZPj+PbCkSgMfyH7+13o2GxTOB2Jh4Bub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V1VxQAAANwAAAAPAAAAAAAAAAAAAAAAAJgCAABkcnMv&#10;ZG93bnJldi54bWxQSwUGAAAAAAQABAD1AAAAigMAAAAA&#10;" stroked="f"/>
                  <v:rect id="Rectangle 392" o:spid="_x0000_s1114" style="position:absolute;left:1281;top:323;width:77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K0tMUA&#10;AADcAAAADwAAAGRycy9kb3ducmV2LnhtbESPT2vCQBTE74V+h+UVvNWNlYqJriJV0WP9A+rtkX0m&#10;wezbkF1N6qd3C4LHYWZ+w4ynrSnFjWpXWFbQ60YgiFOrC84U7HfLzyEI55E1lpZJwR85mE7e38aY&#10;aNvwhm5bn4kAYZeggtz7KpHSpTkZdF1bEQfvbGuDPsg6k7rGJsBNKb+iaCANFhwWcqzoJ6f0sr0a&#10;BathNTuu7b3JysVpdfg9xPNd7JXqfLSzEQhPrX+Fn+21VtCPv+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grS0xQAAANwAAAAPAAAAAAAAAAAAAAAAAJgCAABkcnMv&#10;ZG93bnJldi54bWxQSwUGAAAAAAQABAD1AAAAigMAAAAA&#10;" filled="f" stroked="f">
                    <v:textbox inset="0,0,0,0">
                      <w:txbxContent>
                        <w:p w14:paraId="5DF56383" w14:textId="77777777" w:rsidR="00960899" w:rsidRDefault="00960899" w:rsidP="009E0CC9">
                          <w:r>
                            <w:rPr>
                              <w:rFonts w:ascii="Cambria" w:hAnsi="Cambria" w:cs="Cambria"/>
                              <w:b/>
                              <w:bCs/>
                              <w:color w:val="000000"/>
                              <w:sz w:val="14"/>
                              <w:szCs w:val="14"/>
                            </w:rPr>
                            <w:t xml:space="preserve">Labor Force </w:t>
                          </w:r>
                        </w:p>
                      </w:txbxContent>
                    </v:textbox>
                  </v:rect>
                  <v:rect id="Rectangle 393" o:spid="_x0000_s1115" style="position:absolute;left:1241;top:494;width:849;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Aqw8UA&#10;AADcAAAADwAAAGRycy9kb3ducmV2LnhtbESPT4vCMBTE78J+h/AWvGmqgthqFNl10aN/FtTbo3m2&#10;xealNFlb/fRGEPY4zMxvmNmiNaW4Ue0KywoG/QgEcWp1wZmC38NPbwLCeWSNpWVScCcHi/lHZ4aJ&#10;tg3v6Lb3mQgQdgkqyL2vEildmpNB17cVcfAutjbog6wzqWtsAtyUchhFY2mw4LCQY0VfOaXX/Z9R&#10;sJ5Uy9PGPpqsXJ3Xx+0x/j7EXqnuZ7ucgvDU+v/wu73RCkbx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UCrDxQAAANwAAAAPAAAAAAAAAAAAAAAAAJgCAABkcnMv&#10;ZG93bnJldi54bWxQSwUGAAAAAAQABAD1AAAAigMAAAAA&#10;" filled="f" stroked="f">
                    <v:textbox inset="0,0,0,0">
                      <w:txbxContent>
                        <w:p w14:paraId="16E4C101" w14:textId="77777777" w:rsidR="00960899" w:rsidRDefault="00960899" w:rsidP="009E0CC9">
                          <w:r>
                            <w:rPr>
                              <w:rFonts w:ascii="Cambria" w:hAnsi="Cambria" w:cs="Cambria"/>
                              <w:b/>
                              <w:bCs/>
                              <w:color w:val="000000"/>
                              <w:sz w:val="14"/>
                              <w:szCs w:val="14"/>
                            </w:rPr>
                            <w:t>Participation</w:t>
                          </w:r>
                        </w:p>
                      </w:txbxContent>
                    </v:textbox>
                  </v:rect>
                  <v:rect id="Rectangle 394" o:spid="_x0000_s1116" style="position:absolute;left:2098;top:323;width:1046;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yPWMUA&#10;AADcAAAADwAAAGRycy9kb3ducmV2LnhtbESPT2vCQBTE74V+h+UVvNWNFaqJriJV0WP9A+rtkX0m&#10;wezbkF1N6qd3C4LHYWZ+w4ynrSnFjWpXWFbQ60YgiFOrC84U7HfLzyEI55E1lpZJwR85mE7e38aY&#10;aNvwhm5bn4kAYZeggtz7KpHSpTkZdF1bEQfvbGuDPsg6k7rGJsBNKb+i6FsaLDgs5FjRT07pZXs1&#10;ClbDanZc23uTlYvT6vB7iOe72CvV+WhnIxCeWv8KP9trraAfD+D/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HI9YxQAAANwAAAAPAAAAAAAAAAAAAAAAAJgCAABkcnMv&#10;ZG93bnJldi54bWxQSwUGAAAAAAQABAD1AAAAigMAAAAA&#10;" filled="f" stroked="f">
                    <v:textbox inset="0,0,0,0">
                      <w:txbxContent>
                        <w:p w14:paraId="333D3B3C" w14:textId="77777777" w:rsidR="00960899" w:rsidRDefault="00960899" w:rsidP="009E0CC9">
                          <w:r>
                            <w:rPr>
                              <w:rFonts w:ascii="Cambria" w:hAnsi="Cambria" w:cs="Cambria"/>
                              <w:b/>
                              <w:bCs/>
                              <w:color w:val="000000"/>
                              <w:sz w:val="14"/>
                              <w:szCs w:val="14"/>
                            </w:rPr>
                            <w:t>Employment-to-</w:t>
                          </w:r>
                        </w:p>
                      </w:txbxContent>
                    </v:textbox>
                  </v:rect>
                  <v:rect id="Rectangle 395" o:spid="_x0000_s1117" style="position:absolute;left:2098;top:494;width:1084;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MbKsEA&#10;AADcAAAADwAAAGRycy9kb3ducmV2LnhtbERPy4rCMBTdC/5DuII7TVUQ2zGK+ECXjgo6u0tzpy3T&#10;3JQm2urXm8WAy8N5z5etKcWDaldYVjAaRiCIU6sLzhRczrvBDITzyBpLy6TgSQ6Wi25njom2DX/T&#10;4+QzEULYJagg975KpHRpTgbd0FbEgfu1tUEfYJ1JXWMTwk0px1E0lQYLDg05VrTOKf073Y2C/axa&#10;3Q721WTl9md/PV7jzTn2SvV77eoLhKfWf8T/7oNWMInD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DGyrBAAAA3AAAAA8AAAAAAAAAAAAAAAAAmAIAAGRycy9kb3du&#10;cmV2LnhtbFBLBQYAAAAABAAEAPUAAACGAwAAAAA=&#10;" filled="f" stroked="f">
                    <v:textbox inset="0,0,0,0">
                      <w:txbxContent>
                        <w:p w14:paraId="22256978" w14:textId="77777777" w:rsidR="00960899" w:rsidRDefault="00960899" w:rsidP="009E0CC9">
                          <w:r>
                            <w:rPr>
                              <w:rFonts w:ascii="Cambria" w:hAnsi="Cambria" w:cs="Cambria"/>
                              <w:b/>
                              <w:bCs/>
                              <w:color w:val="000000"/>
                              <w:sz w:val="14"/>
                              <w:szCs w:val="14"/>
                            </w:rPr>
                            <w:t>Population Ratio</w:t>
                          </w:r>
                        </w:p>
                      </w:txbxContent>
                    </v:textbox>
                  </v:rect>
                  <v:rect id="Rectangle 396" o:spid="_x0000_s1118" style="position:absolute;left:3308;top:323;width:994;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scQA&#10;AADcAAAADwAAAGRycy9kb3ducmV2LnhtbESPT4vCMBTE78J+h/AEb5rqwmKrUWR10aP/QL09mmdb&#10;bF5KE23dT2+EhT0OM/MbZjpvTSkeVLvCsoLhIAJBnFpdcKbgePjpj0E4j6yxtEwKnuRgPvvoTDHR&#10;tuEdPfY+EwHCLkEFufdVIqVLczLoBrYiDt7V1gZ9kHUmdY1NgJtSjqLoSxosOCzkWNF3TultfzcK&#10;1uNqcd7Y3yYrV5f1aXuKl4fYK9XrtosJCE+t/w//tTdawWccw/tMO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PvrHEAAAA3AAAAA8AAAAAAAAAAAAAAAAAmAIAAGRycy9k&#10;b3ducmV2LnhtbFBLBQYAAAAABAAEAPUAAACJAwAAAAA=&#10;" filled="f" stroked="f">
                    <v:textbox inset="0,0,0,0">
                      <w:txbxContent>
                        <w:p w14:paraId="4C43B7F9" w14:textId="77777777" w:rsidR="00960899" w:rsidRDefault="00960899" w:rsidP="009E0CC9">
                          <w:r>
                            <w:rPr>
                              <w:rFonts w:ascii="Cambria" w:hAnsi="Cambria" w:cs="Cambria"/>
                              <w:b/>
                              <w:bCs/>
                              <w:color w:val="000000"/>
                              <w:sz w:val="14"/>
                              <w:szCs w:val="14"/>
                            </w:rPr>
                            <w:t xml:space="preserve">Unemployment </w:t>
                          </w:r>
                        </w:p>
                      </w:txbxContent>
                    </v:textbox>
                  </v:rect>
                  <v:rect id="Rectangle 397" o:spid="_x0000_s1119" style="position:absolute;left:3308;top:494;width:293;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VPzsMA&#10;AADcAAAADwAAAGRycy9kb3ducmV2LnhtbERPTWvCQBC9F/wPywi91Y1SisZsRLQlOdZYsN6G7DQJ&#10;zc6G7DZJ++u7B8Hj430nu8m0YqDeNZYVLBcRCOLS6oYrBR/nt6c1COeRNbaWScEvOdils4cEY21H&#10;PtFQ+EqEEHYxKqi972IpXVmTQbewHXHgvmxv0AfYV1L3OIZw08pVFL1Igw2Hhho7OtRUfhc/RkG2&#10;7vafuf0bq/b1ml3eL5vjeeOVepxP+y0IT5O/i2/uXCt4jsL8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VPzsMAAADcAAAADwAAAAAAAAAAAAAAAACYAgAAZHJzL2Rv&#10;d25yZXYueG1sUEsFBgAAAAAEAAQA9QAAAIgDAAAAAA==&#10;" filled="f" stroked="f">
                    <v:textbox inset="0,0,0,0">
                      <w:txbxContent>
                        <w:p w14:paraId="565D4B95" w14:textId="77777777" w:rsidR="00960899" w:rsidRDefault="00960899" w:rsidP="009E0CC9">
                          <w:r>
                            <w:rPr>
                              <w:rFonts w:ascii="Cambria" w:hAnsi="Cambria" w:cs="Cambria"/>
                              <w:b/>
                              <w:bCs/>
                              <w:color w:val="000000"/>
                              <w:sz w:val="14"/>
                              <w:szCs w:val="14"/>
                            </w:rPr>
                            <w:t>Rate</w:t>
                          </w:r>
                        </w:p>
                      </w:txbxContent>
                    </v:textbox>
                  </v:rect>
                  <v:rect id="Rectangle 398" o:spid="_x0000_s1120" style="position:absolute;left:4307;top:323;width:676;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nqVcUA&#10;AADcAAAADwAAAGRycy9kb3ducmV2LnhtbESPQWvCQBSE74L/YXlCb2aTIqKpq4it6LFVIe3tkX1N&#10;gtm3IbtNUn99tyB4HGbmG2a1GUwtOmpdZVlBEsUgiHOrKy4UXM776QKE88gaa8uk4JccbNbj0QpT&#10;bXv+oO7kCxEg7FJUUHrfpFK6vCSDLrINcfC+bWvQB9kWUrfYB7ip5XMcz6XBisNCiQ3tSsqvpx+j&#10;4LBotp9He+uL+u3rkL1ny9fz0iv1NBm2LyA8Df4RvrePWsEsTuD/TDg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GepVxQAAANwAAAAPAAAAAAAAAAAAAAAAAJgCAABkcnMv&#10;ZG93bnJldi54bWxQSwUGAAAAAAQABAD1AAAAigMAAAAA&#10;" filled="f" stroked="f">
                    <v:textbox inset="0,0,0,0">
                      <w:txbxContent>
                        <w:p w14:paraId="5687FDC5" w14:textId="77777777" w:rsidR="00960899" w:rsidRDefault="00960899" w:rsidP="009E0CC9">
                          <w:r>
                            <w:rPr>
                              <w:rFonts w:ascii="Cambria" w:hAnsi="Cambria" w:cs="Cambria"/>
                              <w:b/>
                              <w:bCs/>
                              <w:color w:val="000000"/>
                              <w:sz w:val="14"/>
                              <w:szCs w:val="14"/>
                            </w:rPr>
                            <w:t xml:space="preserve">Long-term </w:t>
                          </w:r>
                        </w:p>
                      </w:txbxContent>
                    </v:textbox>
                  </v:rect>
                  <v:rect id="Rectangle 399" o:spid="_x0000_s1121" style="position:absolute;left:4307;top:494;width:994;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t0IsYA&#10;AADcAAAADwAAAGRycy9kb3ducmV2LnhtbESPT2vCQBTE7wW/w/KE3pqNQYqmriL+QY+tCmlvj+xr&#10;Esy+Ddk1SfvpuwXB4zAzv2EWq8HUoqPWVZYVTKIYBHFudcWFgst5/zID4TyyxtoyKfghB6vl6GmB&#10;qbY9f1B38oUIEHYpKii9b1IpXV6SQRfZhjh437Y16INsC6lb7APc1DKJ41dpsOKwUGJDm5Ly6+lm&#10;FBxmzfrzaH/7ot59HbL3bL49z71Sz+Nh/QbC0+Af4Xv7qBVM4w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t0IsYAAADcAAAADwAAAAAAAAAAAAAAAACYAgAAZHJz&#10;L2Rvd25yZXYueG1sUEsFBgAAAAAEAAQA9QAAAIsDAAAAAA==&#10;" filled="f" stroked="f">
                    <v:textbox inset="0,0,0,0">
                      <w:txbxContent>
                        <w:p w14:paraId="5F711533" w14:textId="77777777" w:rsidR="00960899" w:rsidRDefault="00960899" w:rsidP="009E0CC9">
                          <w:r>
                            <w:rPr>
                              <w:rFonts w:ascii="Cambria" w:hAnsi="Cambria" w:cs="Cambria"/>
                              <w:b/>
                              <w:bCs/>
                              <w:color w:val="000000"/>
                              <w:sz w:val="14"/>
                              <w:szCs w:val="14"/>
                            </w:rPr>
                            <w:t>Unemployment</w:t>
                          </w:r>
                        </w:p>
                      </w:txbxContent>
                    </v:textbox>
                  </v:rect>
                  <v:rect id="Rectangle 400" o:spid="_x0000_s1122" style="position:absolute;left:5376;top:323;width:77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fRucUA&#10;AADcAAAADwAAAGRycy9kb3ducmV2LnhtbESPS4vCQBCE7wv7H4Ze8LZOVmX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h9G5xQAAANwAAAAPAAAAAAAAAAAAAAAAAJgCAABkcnMv&#10;ZG93bnJldi54bWxQSwUGAAAAAAQABAD1AAAAigMAAAAA&#10;" filled="f" stroked="f">
                    <v:textbox inset="0,0,0,0">
                      <w:txbxContent>
                        <w:p w14:paraId="14967ECC" w14:textId="77777777" w:rsidR="00960899" w:rsidRDefault="00960899" w:rsidP="009E0CC9">
                          <w:r>
                            <w:rPr>
                              <w:rFonts w:ascii="Cambria" w:hAnsi="Cambria" w:cs="Cambria"/>
                              <w:b/>
                              <w:bCs/>
                              <w:color w:val="000000"/>
                              <w:sz w:val="14"/>
                              <w:szCs w:val="14"/>
                            </w:rPr>
                            <w:t xml:space="preserve">Labor Force </w:t>
                          </w:r>
                        </w:p>
                      </w:txbxContent>
                    </v:textbox>
                  </v:rect>
                  <v:rect id="Rectangle 401" o:spid="_x0000_s1123" style="position:absolute;left:5336;top:494;width:849;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5JzcUA&#10;AADcAAAADwAAAGRycy9kb3ducmV2LnhtbESPQWvCQBSE7wX/w/KE3pqNJYimriJa0WOrQtrbI/ua&#10;BLNvQ3ZNUn99tyB4HGbmG2axGkwtOmpdZVnBJIpBEOdWV1woOJ92LzMQziNrrC2Tgl9ysFqOnhaY&#10;atvzJ3VHX4gAYZeigtL7JpXS5SUZdJFtiIP3Y1uDPsi2kLrFPsBNLV/jeCoNVhwWSmxoU1J+OV6N&#10;gv2sWX8d7K0v6vfvffaRzbenuVfqeTys30B4GvwjfG8ftIIkTuD/TD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bknNxQAAANwAAAAPAAAAAAAAAAAAAAAAAJgCAABkcnMv&#10;ZG93bnJldi54bWxQSwUGAAAAAAQABAD1AAAAigMAAAAA&#10;" filled="f" stroked="f">
                    <v:textbox inset="0,0,0,0">
                      <w:txbxContent>
                        <w:p w14:paraId="2D456B4B" w14:textId="77777777" w:rsidR="00960899" w:rsidRDefault="00960899" w:rsidP="009E0CC9">
                          <w:r>
                            <w:rPr>
                              <w:rFonts w:ascii="Cambria" w:hAnsi="Cambria" w:cs="Cambria"/>
                              <w:b/>
                              <w:bCs/>
                              <w:color w:val="000000"/>
                              <w:sz w:val="14"/>
                              <w:szCs w:val="14"/>
                            </w:rPr>
                            <w:t>Participation</w:t>
                          </w:r>
                        </w:p>
                      </w:txbxContent>
                    </v:textbox>
                  </v:rect>
                  <v:rect id="Rectangle 402" o:spid="_x0000_s1124" style="position:absolute;left:6203;top:323;width:1046;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LsVsUA&#10;AADcAAAADwAAAGRycy9kb3ducmV2LnhtbESPS4vCQBCE7wv7H4Ze8LZOVnTR6CjiAz36AvXWZNok&#10;bKYnZEYT/fWOsOCxqKqvqNGkMYW4UeVyywp+2hEI4sTqnFMFh/3yuw/CeWSNhWVScCcHk/Hnxwhj&#10;bWve0m3nUxEg7GJUkHlfxlK6JCODrm1L4uBdbGXQB1mlUldYB7gpZCeKfqXBnMNChiXNMkr+dlej&#10;YNUvp6e1fdRpsTivjpvjYL4feKVaX810CMJT49/h//ZaK+hGP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IuxWxQAAANwAAAAPAAAAAAAAAAAAAAAAAJgCAABkcnMv&#10;ZG93bnJldi54bWxQSwUGAAAAAAQABAD1AAAAigMAAAAA&#10;" filled="f" stroked="f">
                    <v:textbox inset="0,0,0,0">
                      <w:txbxContent>
                        <w:p w14:paraId="274A3533" w14:textId="77777777" w:rsidR="00960899" w:rsidRDefault="00960899" w:rsidP="009E0CC9">
                          <w:r>
                            <w:rPr>
                              <w:rFonts w:ascii="Cambria" w:hAnsi="Cambria" w:cs="Cambria"/>
                              <w:b/>
                              <w:bCs/>
                              <w:color w:val="000000"/>
                              <w:sz w:val="14"/>
                              <w:szCs w:val="14"/>
                            </w:rPr>
                            <w:t>Employment-to-</w:t>
                          </w:r>
                        </w:p>
                      </w:txbxContent>
                    </v:textbox>
                  </v:rect>
                  <v:rect id="Rectangle 403" o:spid="_x0000_s1125" style="position:absolute;left:6203;top:494;width:1084;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ByIcUA&#10;AADcAAAADwAAAGRycy9kb3ducmV2LnhtbESPQWvCQBSE74X+h+UVequbliIaswlBW/RoVVBvj+wz&#10;Cc2+Ddmtif56tyB4HGbmGybJBtOIM3WutqzgfRSBIC6srrlUsNt+v01AOI+ssbFMCi7kIEufnxKM&#10;te35h84bX4oAYRejgsr7NpbSFRUZdCPbEgfvZDuDPsiulLrDPsBNIz+iaCwN1hwWKmxpXlHxu/kz&#10;CpaTNj+s7LUvm6/jcr/eTxfbqVfq9WXIZyA8Df4RvrdXWsFnNIb/M+EI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8HIhxQAAANwAAAAPAAAAAAAAAAAAAAAAAJgCAABkcnMv&#10;ZG93bnJldi54bWxQSwUGAAAAAAQABAD1AAAAigMAAAAA&#10;" filled="f" stroked="f">
                    <v:textbox inset="0,0,0,0">
                      <w:txbxContent>
                        <w:p w14:paraId="2771E42C" w14:textId="77777777" w:rsidR="00960899" w:rsidRDefault="00960899" w:rsidP="009E0CC9">
                          <w:r>
                            <w:rPr>
                              <w:rFonts w:ascii="Cambria" w:hAnsi="Cambria" w:cs="Cambria"/>
                              <w:b/>
                              <w:bCs/>
                              <w:color w:val="000000"/>
                              <w:sz w:val="14"/>
                              <w:szCs w:val="14"/>
                            </w:rPr>
                            <w:t>Population Ratio</w:t>
                          </w:r>
                        </w:p>
                      </w:txbxContent>
                    </v:textbox>
                  </v:rect>
                  <v:rect id="Rectangle 404" o:spid="_x0000_s1126" style="position:absolute;left:7282;top:323;width:994;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zXusUA&#10;AADcAAAADwAAAGRycy9kb3ducmV2LnhtbESPS4vCQBCE7wv7H4Ze8LZOVsTV6CjiAz36AvXWZNok&#10;bKYnZEYT/fWOsOCxqKqvqNGkMYW4UeVyywp+2hEI4sTqnFMFh/3yuw/CeWSNhWVScCcHk/Hnxwhj&#10;bWve0m3nUxEg7GJUkHlfxlK6JCODrm1L4uBdbGXQB1mlUldYB7gpZCeKetJgzmEhw5JmGSV/u6tR&#10;sOqX09PaPuq0WJxXx81xMN8PvFKtr2Y6BOGp8e/wf3utFXSjX3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vNe6xQAAANwAAAAPAAAAAAAAAAAAAAAAAJgCAABkcnMv&#10;ZG93bnJldi54bWxQSwUGAAAAAAQABAD1AAAAigMAAAAA&#10;" filled="f" stroked="f">
                    <v:textbox inset="0,0,0,0">
                      <w:txbxContent>
                        <w:p w14:paraId="784200B1" w14:textId="77777777" w:rsidR="00960899" w:rsidRDefault="00960899" w:rsidP="009E0CC9">
                          <w:r>
                            <w:rPr>
                              <w:rFonts w:ascii="Cambria" w:hAnsi="Cambria" w:cs="Cambria"/>
                              <w:b/>
                              <w:bCs/>
                              <w:color w:val="000000"/>
                              <w:sz w:val="14"/>
                              <w:szCs w:val="14"/>
                            </w:rPr>
                            <w:t xml:space="preserve">Unemployment </w:t>
                          </w:r>
                        </w:p>
                      </w:txbxContent>
                    </v:textbox>
                  </v:rect>
                  <v:rect id="Rectangle 405" o:spid="_x0000_s1127" style="position:absolute;left:7282;top:494;width:293;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NDyMMA&#10;AADcAAAADwAAAGRycy9kb3ducmV2LnhtbERPTWvCQBC9F/wPywi91Y1SisZsRLQlOdZYsN6G7DQJ&#10;zc6G7DZJ++u7B8Hj430nu8m0YqDeNZYVLBcRCOLS6oYrBR/nt6c1COeRNbaWScEvOdils4cEY21H&#10;PtFQ+EqEEHYxKqi972IpXVmTQbewHXHgvmxv0AfYV1L3OIZw08pVFL1Igw2Hhho7OtRUfhc/RkG2&#10;7vafuf0bq/b1ml3eL5vjeeOVepxP+y0IT5O/i2/uXCt4jsLa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NDyMMAAADcAAAADwAAAAAAAAAAAAAAAACYAgAAZHJzL2Rv&#10;d25yZXYueG1sUEsFBgAAAAAEAAQA9QAAAIgDAAAAAA==&#10;" filled="f" stroked="f">
                    <v:textbox inset="0,0,0,0">
                      <w:txbxContent>
                        <w:p w14:paraId="7A09ED70" w14:textId="77777777" w:rsidR="00960899" w:rsidRDefault="00960899" w:rsidP="009E0CC9">
                          <w:r>
                            <w:rPr>
                              <w:rFonts w:ascii="Cambria" w:hAnsi="Cambria" w:cs="Cambria"/>
                              <w:b/>
                              <w:bCs/>
                              <w:color w:val="000000"/>
                              <w:sz w:val="14"/>
                              <w:szCs w:val="14"/>
                            </w:rPr>
                            <w:t>Rate</w:t>
                          </w:r>
                        </w:p>
                      </w:txbxContent>
                    </v:textbox>
                  </v:rect>
                  <v:rect id="Rectangle 406" o:spid="_x0000_s1128" style="position:absolute;left:8351;top:323;width:676;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mU8YA&#10;AADcAAAADwAAAGRycy9kb3ducmV2LnhtbESPT2vCQBTE70K/w/KE3nRjKcVE1xD6h+RoVVBvj+wz&#10;CWbfhuzWpP30bqHQ4zAzv2HW6WhacaPeNZYVLOYRCOLS6oYrBYf9x2wJwnlkja1lUvBNDtLNw2SN&#10;ibYDf9Jt5ysRIOwSVFB73yVSurImg25uO+LgXWxv0AfZV1L3OAS4aeVTFL1Igw2HhRo7eq2pvO6+&#10;jIJ82WWnwv4MVft+zo/bY/y2j71Sj9MxW4HwNPr/8F+70Aqeoxh+z4Qj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2/mU8YAAADcAAAADwAAAAAAAAAAAAAAAACYAgAAZHJz&#10;L2Rvd25yZXYueG1sUEsFBgAAAAAEAAQA9QAAAIsDAAAAAA==&#10;" filled="f" stroked="f">
                    <v:textbox inset="0,0,0,0">
                      <w:txbxContent>
                        <w:p w14:paraId="5846E73A" w14:textId="77777777" w:rsidR="00960899" w:rsidRDefault="00960899" w:rsidP="009E0CC9">
                          <w:r>
                            <w:rPr>
                              <w:rFonts w:ascii="Cambria" w:hAnsi="Cambria" w:cs="Cambria"/>
                              <w:b/>
                              <w:bCs/>
                              <w:color w:val="000000"/>
                              <w:sz w:val="14"/>
                              <w:szCs w:val="14"/>
                            </w:rPr>
                            <w:t xml:space="preserve">Long-term </w:t>
                          </w:r>
                        </w:p>
                      </w:txbxContent>
                    </v:textbox>
                  </v:rect>
                  <v:rect id="Rectangle 407" o:spid="_x0000_s1129" style="position:absolute;left:8351;top:494;width:994;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zZE8IA&#10;AADcAAAADwAAAGRycy9kb3ducmV2LnhtbERPTWvCQBC9C/6HZQredGORkkRXEavo0SYF29uQHZPQ&#10;7GzIrib217uHQo+P973aDKYRd+pcbVnBfBaBIC6srrlU8JkfpjEI55E1NpZJwYMcbNbj0QpTbXv+&#10;oHvmSxFC2KWooPK+TaV0RUUG3cy2xIG72s6gD7Arpe6wD+Gmka9R9CYN1hwaKmxpV1Hxk92MgmPc&#10;br9O9rcvm/338XK+JO954pWavAzbJQhPg/8X/7lPWsFiHuaH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jNkTwgAAANwAAAAPAAAAAAAAAAAAAAAAAJgCAABkcnMvZG93&#10;bnJldi54bWxQSwUGAAAAAAQABAD1AAAAhwMAAAAA&#10;" filled="f" stroked="f">
                    <v:textbox inset="0,0,0,0">
                      <w:txbxContent>
                        <w:p w14:paraId="2955B38C" w14:textId="77777777" w:rsidR="00960899" w:rsidRDefault="00960899" w:rsidP="009E0CC9">
                          <w:r>
                            <w:rPr>
                              <w:rFonts w:ascii="Cambria" w:hAnsi="Cambria" w:cs="Cambria"/>
                              <w:b/>
                              <w:bCs/>
                              <w:color w:val="000000"/>
                              <w:sz w:val="14"/>
                              <w:szCs w:val="14"/>
                            </w:rPr>
                            <w:t>Unemployment</w:t>
                          </w:r>
                        </w:p>
                      </w:txbxContent>
                    </v:textbox>
                  </v:rect>
                  <v:rect id="Rectangle 408" o:spid="_x0000_s1130" style="position:absolute;left:30;top:898;width:593;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8iMQA&#10;AADcAAAADwAAAGRycy9kb3ducmV2LnhtbESPQYvCMBSE74L/ITxhb5p2kUWrUcRV9OiqoN4ezbMt&#10;Ni+liba7v94sCB6HmfmGmc5bU4oH1a6wrCAeRCCIU6sLzhQcD+v+CITzyBpLy6TglxzMZ93OFBNt&#10;G/6hx95nIkDYJagg975KpHRpTgbdwFbEwbva2qAPss6krrEJcFPKzyj6kgYLDgs5VrTMKb3t70bB&#10;ZlQtzlv712Tl6rI57U7j78PYK/XRaxcTEJ5a/w6/2lutYBj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AfIjEAAAA3AAAAA8AAAAAAAAAAAAAAAAAmAIAAGRycy9k&#10;b3ducmV2LnhtbFBLBQYAAAAABAAEAPUAAACJAwAAAAA=&#10;" filled="f" stroked="f">
                    <v:textbox inset="0,0,0,0">
                      <w:txbxContent>
                        <w:p w14:paraId="3E46C2A5" w14:textId="77777777" w:rsidR="00960899" w:rsidRDefault="00960899" w:rsidP="009E0CC9">
                          <w:r>
                            <w:rPr>
                              <w:rFonts w:ascii="Cambria" w:hAnsi="Cambria" w:cs="Cambria"/>
                              <w:b/>
                              <w:bCs/>
                              <w:color w:val="000000"/>
                              <w:sz w:val="14"/>
                              <w:szCs w:val="14"/>
                            </w:rPr>
                            <w:t>Total (20</w:t>
                          </w:r>
                        </w:p>
                      </w:txbxContent>
                    </v:textbox>
                  </v:rect>
                  <v:rect id="Rectangle 409" o:spid="_x0000_s1131" style="position:absolute;left:585;top:898;width:71;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Li/8QA&#10;AADcAAAADwAAAGRycy9kb3ducmV2LnhtbESPQYvCMBSE74L/ITxhb5oqIlqNIrqix10rqLdH82yL&#10;zUtpsrbrr98sCB6HmfmGWaxaU4oH1a6wrGA4iEAQp1YXnCk4Jbv+FITzyBpLy6Tglxyslt3OAmNt&#10;G/6mx9FnIkDYxagg976KpXRpTgbdwFbEwbvZ2qAPss6krrEJcFPKURRNpMGCw0KOFW1ySu/HH6Ng&#10;P63Wl4N9Nln5ed2fv86zbTLzSn302vUchKfWv8Ov9kErGA9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S4v/EAAAA3AAAAA8AAAAAAAAAAAAAAAAAmAIAAGRycy9k&#10;b3ducmV2LnhtbFBLBQYAAAAABAAEAPUAAACJAwAAAAA=&#10;" filled="f" stroked="f">
                    <v:textbox inset="0,0,0,0">
                      <w:txbxContent>
                        <w:p w14:paraId="6C51A47D" w14:textId="77777777" w:rsidR="00960899" w:rsidRDefault="00960899" w:rsidP="009E0CC9">
                          <w:r>
                            <w:rPr>
                              <w:rFonts w:ascii="Cambria" w:hAnsi="Cambria" w:cs="Cambria"/>
                              <w:color w:val="000000"/>
                              <w:sz w:val="14"/>
                              <w:szCs w:val="14"/>
                            </w:rPr>
                            <w:t>–</w:t>
                          </w:r>
                        </w:p>
                      </w:txbxContent>
                    </v:textbox>
                  </v:rect>
                  <v:rect id="Rectangle 410" o:spid="_x0000_s1132" style="position:absolute;left:656;top:898;width:223;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5HZMYA&#10;AADcAAAADwAAAGRycy9kb3ducmV2LnhtbESPQWvCQBSE7wX/w/IEb3WjlhJTVxG1mGObCNrbI/ua&#10;hGbfhuzWpP56t1DocZiZb5jVZjCNuFLnassKZtMIBHFhdc2lglP++hiDcB5ZY2OZFPyQg8169LDC&#10;RNue3+ma+VIECLsEFVTet4mUrqjIoJvaljh4n7Yz6IPsSqk77APcNHIeRc/SYM1hocKWdhUVX9m3&#10;UXCM2+0ltbe+bA4fx/PbebnPl16pyXjYvoDwNPj/8F871QqeZgv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15HZMYAAADcAAAADwAAAAAAAAAAAAAAAACYAgAAZHJz&#10;L2Rvd25yZXYueG1sUEsFBgAAAAAEAAQA9QAAAIsDAAAAAA==&#10;" filled="f" stroked="f">
                    <v:textbox inset="0,0,0,0">
                      <w:txbxContent>
                        <w:p w14:paraId="5958EEAE" w14:textId="77777777" w:rsidR="00960899" w:rsidRDefault="00960899" w:rsidP="009E0CC9">
                          <w:r>
                            <w:rPr>
                              <w:rFonts w:ascii="Cambria" w:hAnsi="Cambria" w:cs="Cambria"/>
                              <w:b/>
                              <w:bCs/>
                              <w:color w:val="000000"/>
                              <w:sz w:val="14"/>
                              <w:szCs w:val="14"/>
                            </w:rPr>
                            <w:t>64)</w:t>
                          </w:r>
                        </w:p>
                      </w:txbxContent>
                    </v:textbox>
                  </v:rect>
                  <v:rect id="Rectangle 411" o:spid="_x0000_s1133" style="position:absolute;left:1473;top:908;width:365;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ffEMQA&#10;AADcAAAADwAAAGRycy9kb3ducmV2LnhtbESPQYvCMBSE74L/ITxhb5q6yKJdo4iu6FGtoHt7NM+2&#10;2LyUJtru/nojCB6HmfmGmc5bU4o71a6wrGA4iEAQp1YXnCk4Juv+GITzyBpLy6TgjxzMZ93OFGNt&#10;G97T/eAzESDsYlSQe1/FUro0J4NuYCvi4F1sbdAHWWdS19gEuCnlZxR9SYMFh4UcK1rmlF4PN6Ng&#10;M64W5639b7Ly53dz2p0mq2TilfrotYtvEJ5a/w6/2lutYDQcwf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33xDEAAAA3AAAAA8AAAAAAAAAAAAAAAAAmAIAAGRycy9k&#10;b3ducmV2LnhtbFBLBQYAAAAABAAEAPUAAACJAwAAAAA=&#10;" filled="f" stroked="f">
                    <v:textbox inset="0,0,0,0">
                      <w:txbxContent>
                        <w:p w14:paraId="228D3D01" w14:textId="77777777" w:rsidR="00960899" w:rsidRDefault="00960899" w:rsidP="009E0CC9">
                          <w:r>
                            <w:rPr>
                              <w:rFonts w:ascii="Cambria" w:hAnsi="Cambria" w:cs="Cambria"/>
                              <w:b/>
                              <w:bCs/>
                              <w:color w:val="000000"/>
                              <w:sz w:val="14"/>
                              <w:szCs w:val="14"/>
                            </w:rPr>
                            <w:t>78.62</w:t>
                          </w:r>
                        </w:p>
                      </w:txbxContent>
                    </v:textbox>
                  </v:rect>
                  <v:rect id="Rectangle 412" o:spid="_x0000_s1134" style="position:absolute;left:2501;top:908;width:365;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6i8YA&#10;AADcAAAADwAAAGRycy9kb3ducmV2LnhtbESPQWvCQBSE7wX/w/IEb3Wj2BJTVxG1mGObCNrbI/ua&#10;hGbfhuzWpP56t1DocZiZb5jVZjCNuFLnassKZtMIBHFhdc2lglP++hiDcB5ZY2OZFPyQg8169LDC&#10;RNue3+ma+VIECLsEFVTet4mUrqjIoJvaljh4n7Yz6IPsSqk77APcNHIeRc/SYM1hocKWdhUVX9m3&#10;UXCM2+0ltbe+bA4fx/PbebnPl16pyXjYvoDwNPj/8F871QoWsyf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6i8YAAADcAAAADwAAAAAAAAAAAAAAAACYAgAAZHJz&#10;L2Rvd25yZXYueG1sUEsFBgAAAAAEAAQA9QAAAIsDAAAAAA==&#10;" filled="f" stroked="f">
                    <v:textbox inset="0,0,0,0">
                      <w:txbxContent>
                        <w:p w14:paraId="4542F281" w14:textId="77777777" w:rsidR="00960899" w:rsidRDefault="00960899" w:rsidP="009E0CC9">
                          <w:r>
                            <w:rPr>
                              <w:rFonts w:ascii="Cambria" w:hAnsi="Cambria" w:cs="Cambria"/>
                              <w:b/>
                              <w:bCs/>
                              <w:color w:val="000000"/>
                              <w:sz w:val="14"/>
                              <w:szCs w:val="14"/>
                            </w:rPr>
                            <w:t>66.51</w:t>
                          </w:r>
                        </w:p>
                      </w:txbxContent>
                    </v:textbox>
                  </v:rect>
                  <v:rect id="Rectangle 413" o:spid="_x0000_s1135" style="position:absolute;left:3611;top:908;width:365;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nk/MQA&#10;AADcAAAADwAAAGRycy9kb3ducmV2LnhtbESPQYvCMBSE74L/ITzBm6YuIlqNIrqiR1cF9fZonm2x&#10;eSlNtNVfbxYW9jjMzDfMbNGYQjypcrllBYN+BII4sTrnVMHpuOmNQTiPrLGwTApe5GAxb7dmGGtb&#10;8w89Dz4VAcIuRgWZ92UspUsyMuj6tiQO3s1WBn2QVSp1hXWAm0J+RdFIGsw5LGRY0iqj5H54GAXb&#10;cbm87Oy7Tovv6/a8P0/Wx4lXqttpllMQnhr/H/5r77SC4WAE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p5PzEAAAA3AAAAA8AAAAAAAAAAAAAAAAAmAIAAGRycy9k&#10;b3ducmV2LnhtbFBLBQYAAAAABAAEAPUAAACJAwAAAAA=&#10;" filled="f" stroked="f">
                    <v:textbox inset="0,0,0,0">
                      <w:txbxContent>
                        <w:p w14:paraId="193F9F0E" w14:textId="77777777" w:rsidR="00960899" w:rsidRDefault="00960899" w:rsidP="009E0CC9">
                          <w:r>
                            <w:rPr>
                              <w:rFonts w:ascii="Cambria" w:hAnsi="Cambria" w:cs="Cambria"/>
                              <w:b/>
                              <w:bCs/>
                              <w:color w:val="000000"/>
                              <w:sz w:val="14"/>
                              <w:szCs w:val="14"/>
                            </w:rPr>
                            <w:t>12.11</w:t>
                          </w:r>
                        </w:p>
                      </w:txbxContent>
                    </v:textbox>
                  </v:rect>
                  <v:rect id="Rectangle 414" o:spid="_x0000_s1136" style="position:absolute;left:4660;top:908;width:28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VBZ8YA&#10;AADcAAAADwAAAGRycy9kb3ducmV2LnhtbESPQWvCQBSE7wX/w/IEb3WjSBtTVxG1mGObCNrbI/ua&#10;hGbfhuzWpP56t1DocZiZb5jVZjCNuFLnassKZtMIBHFhdc2lglP++hiDcB5ZY2OZFPyQg8169LDC&#10;RNue3+ma+VIECLsEFVTet4mUrqjIoJvaljh4n7Yz6IPsSqk77APcNHIeRU/SYM1hocKWdhUVX9m3&#10;UXCM2+0ltbe+bA4fx/PbebnPl16pyXjYvoDwNPj/8F871QoWs2f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VBZ8YAAADcAAAADwAAAAAAAAAAAAAAAACYAgAAZHJz&#10;L2Rvd25yZXYueG1sUEsFBgAAAAAEAAQA9QAAAIsDAAAAAA==&#10;" filled="f" stroked="f">
                    <v:textbox inset="0,0,0,0">
                      <w:txbxContent>
                        <w:p w14:paraId="11EA0D68" w14:textId="77777777" w:rsidR="00960899" w:rsidRDefault="00960899" w:rsidP="009E0CC9">
                          <w:r>
                            <w:rPr>
                              <w:rFonts w:ascii="Cambria" w:hAnsi="Cambria" w:cs="Cambria"/>
                              <w:b/>
                              <w:bCs/>
                              <w:color w:val="000000"/>
                              <w:sz w:val="14"/>
                              <w:szCs w:val="14"/>
                            </w:rPr>
                            <w:t>8.42</w:t>
                          </w:r>
                        </w:p>
                      </w:txbxContent>
                    </v:textbox>
                  </v:rect>
                  <v:rect id="Rectangle 415" o:spid="_x0000_s1137" style="position:absolute;left:5568;top:908;width:365;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rVFcIA&#10;AADcAAAADwAAAGRycy9kb3ducmV2LnhtbERPTWvCQBC9C/6HZQredGORkkRXEavo0SYF29uQHZPQ&#10;7GzIrib217uHQo+P973aDKYRd+pcbVnBfBaBIC6srrlU8JkfpjEI55E1NpZJwYMcbNbj0QpTbXv+&#10;oHvmSxFC2KWooPK+TaV0RUUG3cy2xIG72s6gD7Arpe6wD+Gmka9R9CYN1hwaKmxpV1Hxk92MgmPc&#10;br9O9rcvm/338XK+JO954pWavAzbJQhPg/8X/7lPWsFiHtaG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tUVwgAAANwAAAAPAAAAAAAAAAAAAAAAAJgCAABkcnMvZG93&#10;bnJldi54bWxQSwUGAAAAAAQABAD1AAAAhwMAAAAA&#10;" filled="f" stroked="f">
                    <v:textbox inset="0,0,0,0">
                      <w:txbxContent>
                        <w:p w14:paraId="35571DBF" w14:textId="77777777" w:rsidR="00960899" w:rsidRDefault="00960899" w:rsidP="009E0CC9">
                          <w:r>
                            <w:rPr>
                              <w:rFonts w:ascii="Cambria" w:hAnsi="Cambria" w:cs="Cambria"/>
                              <w:b/>
                              <w:bCs/>
                              <w:color w:val="000000"/>
                              <w:sz w:val="14"/>
                              <w:szCs w:val="14"/>
                            </w:rPr>
                            <w:t>67.73</w:t>
                          </w:r>
                        </w:p>
                      </w:txbxContent>
                    </v:textbox>
                  </v:rect>
                  <v:rect id="Rectangle 416" o:spid="_x0000_s1138" style="position:absolute;left:6586;top:908;width:28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ZwjsQA&#10;AADcAAAADwAAAGRycy9kb3ducmV2LnhtbESPQYvCMBSE74L/ITxhb5q6yGKrUcRV9OiqoN4ezbMt&#10;Ni+liba7v94sCB6HmfmGmc5bU4oH1a6wrGA4iEAQp1YXnCk4Htb9MQjnkTWWlknBLzmYz7qdKSba&#10;NvxDj73PRICwS1BB7n2VSOnSnAy6ga2Ig3e1tUEfZJ1JXWMT4KaUn1H0JQ0WHBZyrGiZU3rb342C&#10;zbhanLf2r8nK1WVz2p3i70PslfrotYsJCE+tf4df7a1WMBr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2cI7EAAAA3AAAAA8AAAAAAAAAAAAAAAAAmAIAAGRycy9k&#10;b3ducmV2LnhtbFBLBQYAAAAABAAEAPUAAACJAwAAAAA=&#10;" filled="f" stroked="f">
                    <v:textbox inset="0,0,0,0">
                      <w:txbxContent>
                        <w:p w14:paraId="742DB0C9" w14:textId="77777777" w:rsidR="00960899" w:rsidRDefault="00960899" w:rsidP="009E0CC9">
                          <w:r>
                            <w:rPr>
                              <w:rFonts w:ascii="Cambria" w:hAnsi="Cambria" w:cs="Cambria"/>
                              <w:b/>
                              <w:bCs/>
                              <w:color w:val="000000"/>
                              <w:sz w:val="14"/>
                              <w:szCs w:val="14"/>
                            </w:rPr>
                            <w:t>42.5</w:t>
                          </w:r>
                        </w:p>
                      </w:txbxContent>
                    </v:textbox>
                  </v:rect>
                  <v:rect id="Rectangle 417" o:spid="_x0000_s1139" style="position:absolute;left:7615;top:908;width:365;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ATrsMA&#10;AADcAAAADwAAAGRycy9kb3ducmV2LnhtbERPy2rCQBTdF/yH4Qrd1YlBiomOIj7QZWsK6u6SuSbB&#10;zJ2QGZO0X99ZFLo8nPdyPZhadNS6yrKC6SQCQZxbXXGh4Cs7vM1BOI+ssbZMCr7JwXo1elliqm3P&#10;n9SdfSFCCLsUFZTeN6mULi/JoJvYhjhwd9sa9AG2hdQt9iHc1DKOondpsOLQUGJD25Lyx/lpFBzn&#10;zeZ6sj99Ue9vx8vHJdlliVfqdTxsFiA8Df5f/Oc+aQWzOMwP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ATrsMAAADcAAAADwAAAAAAAAAAAAAAAACYAgAAZHJzL2Rv&#10;d25yZXYueG1sUEsFBgAAAAAEAAQA9QAAAIgDAAAAAA==&#10;" filled="f" stroked="f">
                    <v:textbox inset="0,0,0,0">
                      <w:txbxContent>
                        <w:p w14:paraId="21150775" w14:textId="77777777" w:rsidR="00960899" w:rsidRDefault="00960899" w:rsidP="009E0CC9">
                          <w:r>
                            <w:rPr>
                              <w:rFonts w:ascii="Cambria" w:hAnsi="Cambria" w:cs="Cambria"/>
                              <w:b/>
                              <w:bCs/>
                              <w:color w:val="000000"/>
                              <w:sz w:val="14"/>
                              <w:szCs w:val="14"/>
                            </w:rPr>
                            <w:t>25.23</w:t>
                          </w:r>
                        </w:p>
                      </w:txbxContent>
                    </v:textbox>
                  </v:rect>
                  <v:rect id="Rectangle 418" o:spid="_x0000_s1140" style="position:absolute;left:8664;top:908;width:365;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y2NcQA&#10;AADcAAAADwAAAGRycy9kb3ducmV2LnhtbESPQYvCMBSE74L/ITxhb5oqIlqNIrqix10rqLdH82yL&#10;zUtpsrbrr98sCB6HmfmGWaxaU4oH1a6wrGA4iEAQp1YXnCk4Jbv+FITzyBpLy6Tglxyslt3OAmNt&#10;G/6mx9FnIkDYxagg976KpXRpTgbdwFbEwbvZ2qAPss6krrEJcFPKURRNpMGCw0KOFW1ySu/HH6Ng&#10;P63Wl4N9Nln5ed2fv86zbTLzSn302vUchKfWv8Ov9kErGI+G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stjXEAAAA3AAAAA8AAAAAAAAAAAAAAAAAmAIAAGRycy9k&#10;b3ducmV2LnhtbFBLBQYAAAAABAAEAPUAAACJAwAAAAA=&#10;" filled="f" stroked="f">
                    <v:textbox inset="0,0,0,0">
                      <w:txbxContent>
                        <w:p w14:paraId="2BE7EDFC" w14:textId="77777777" w:rsidR="00960899" w:rsidRDefault="00960899" w:rsidP="009E0CC9">
                          <w:r>
                            <w:rPr>
                              <w:rFonts w:ascii="Cambria" w:hAnsi="Cambria" w:cs="Cambria"/>
                              <w:b/>
                              <w:bCs/>
                              <w:color w:val="000000"/>
                              <w:sz w:val="14"/>
                              <w:szCs w:val="14"/>
                            </w:rPr>
                            <w:t>19.99</w:t>
                          </w:r>
                        </w:p>
                      </w:txbxContent>
                    </v:textbox>
                  </v:rect>
                  <v:rect id="Rectangle 419" o:spid="_x0000_s1141" style="position:absolute;left:30;top:1099;width:596;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4oQsUA&#10;AADcAAAADwAAAGRycy9kb3ducmV2LnhtbESPT4vCMBTE78J+h/AWvGlqWUSrUWTXRY/+WVBvj+bZ&#10;FpuX0kRb/fRGEPY4zMxvmOm8NaW4Ue0KywoG/QgEcWp1wZmCv/1vbwTCeWSNpWVScCcH89lHZ4qJ&#10;tg1v6bbzmQgQdgkqyL2vEildmpNB17cVcfDOtjbog6wzqWtsAtyUMo6ioTRYcFjIsaLvnNLL7moU&#10;rEbV4ri2jyYrl6fVYXMY/+zHXqnuZ7uYgPDU+v/wu73WCr7i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fihCxQAAANwAAAAPAAAAAAAAAAAAAAAAAJgCAABkcnMv&#10;ZG93bnJldi54bWxQSwUGAAAAAAQABAD1AAAAigMAAAAA&#10;" filled="f" stroked="f">
                    <v:textbox inset="0,0,0,0">
                      <w:txbxContent>
                        <w:p w14:paraId="03C53DD3" w14:textId="77777777" w:rsidR="00960899" w:rsidRDefault="00960899" w:rsidP="009E0CC9">
                          <w:r>
                            <w:rPr>
                              <w:rFonts w:ascii="Cambria" w:hAnsi="Cambria" w:cs="Cambria"/>
                              <w:color w:val="000000"/>
                              <w:sz w:val="14"/>
                              <w:szCs w:val="14"/>
                            </w:rPr>
                            <w:t>Youth (15</w:t>
                          </w:r>
                        </w:p>
                      </w:txbxContent>
                    </v:textbox>
                  </v:rect>
                  <v:rect id="Rectangle 420" o:spid="_x0000_s1142" style="position:absolute;left:575;top:1099;width:71;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N2cUA&#10;AADcAAAADwAAAGRycy9kb3ducmV2LnhtbESPT4vCMBTE78J+h/AW9qbpuiJajSKrix79B+rt0Tzb&#10;YvNSmqytfnojCB6HmfkNM542phBXqlxuWcF3JwJBnFidc6pgv/trD0A4j6yxsEwKbuRgOvlojTHW&#10;tuYNXbc+FQHCLkYFmfdlLKVLMjLoOrYkDt7ZVgZ9kFUqdYV1gJtCdqOoLw3mHBYyLOk3o+Sy/TcK&#10;loNydlzZe50Wi9PysD4M57uhV+rrs5mNQHhq/Dv8aq+0gl73B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Mo3ZxQAAANwAAAAPAAAAAAAAAAAAAAAAAJgCAABkcnMv&#10;ZG93bnJldi54bWxQSwUGAAAAAAQABAD1AAAAigMAAAAA&#10;" filled="f" stroked="f">
                    <v:textbox inset="0,0,0,0">
                      <w:txbxContent>
                        <w:p w14:paraId="25B06D7D" w14:textId="77777777" w:rsidR="00960899" w:rsidRDefault="00960899" w:rsidP="009E0CC9">
                          <w:r>
                            <w:rPr>
                              <w:rFonts w:ascii="Cambria" w:hAnsi="Cambria" w:cs="Cambria"/>
                              <w:color w:val="000000"/>
                              <w:sz w:val="14"/>
                              <w:szCs w:val="14"/>
                            </w:rPr>
                            <w:t>–</w:t>
                          </w:r>
                        </w:p>
                      </w:txbxContent>
                    </v:textbox>
                  </v:rect>
                  <v:rect id="Rectangle 421" o:spid="_x0000_s1143" style="position:absolute;left:646;top:1099;width:209;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sVrcYA&#10;AADcAAAADwAAAGRycy9kb3ducmV2LnhtbESPQWvCQBSE74L/YXmF3symIqKpq4itmGObFNLeHtnX&#10;JDT7NmRXk/rruwXB4zAz3zCb3WhacaHeNZYVPEUxCOLS6oYrBR/5cbYC4TyyxtYyKfglB7vtdLLB&#10;RNuB3+mS+UoECLsEFdTed4mUrqzJoItsRxy8b9sb9EH2ldQ9DgFuWjmP46U02HBYqLGjQ03lT3Y2&#10;Ck6rbv+Z2utQta9fp+KtWL/ka6/U48O4fwbhafT38K2dagWL+QL+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sVrcYAAADcAAAADwAAAAAAAAAAAAAAAACYAgAAZHJz&#10;L2Rvd25yZXYueG1sUEsFBgAAAAAEAAQA9QAAAIsDAAAAAA==&#10;" filled="f" stroked="f">
                    <v:textbox inset="0,0,0,0">
                      <w:txbxContent>
                        <w:p w14:paraId="4EE5F35B" w14:textId="77777777" w:rsidR="00960899" w:rsidRDefault="00960899" w:rsidP="009E0CC9">
                          <w:r>
                            <w:rPr>
                              <w:rFonts w:ascii="Cambria" w:hAnsi="Cambria" w:cs="Cambria"/>
                              <w:color w:val="000000"/>
                              <w:sz w:val="14"/>
                              <w:szCs w:val="14"/>
                            </w:rPr>
                            <w:t>24)</w:t>
                          </w:r>
                        </w:p>
                      </w:txbxContent>
                    </v:textbox>
                  </v:rect>
                  <v:rect id="Rectangle 422" o:spid="_x0000_s1144" style="position:absolute;left:1493;top:1109;width:339;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wNsUA&#10;AADcAAAADwAAAGRycy9kb3ducmV2LnhtbESPT4vCMBTE78J+h/AW9qbpyipajSKrix79B+rt0Tzb&#10;YvNSmqytfnojCB6HmfkNM542phBXqlxuWcF3JwJBnFidc6pgv/trD0A4j6yxsEwKbuRgOvlojTHW&#10;tuYNXbc+FQHCLkYFmfdlLKVLMjLoOrYkDt7ZVgZ9kFUqdYV1gJtCdqOoLw3mHBYyLOk3o+Sy/TcK&#10;loNydlzZe50Wi9PysD4M57uhV+rrs5mNQHhq/Dv8aq+0gp9uD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l7A2xQAAANwAAAAPAAAAAAAAAAAAAAAAAJgCAABkcnMv&#10;ZG93bnJldi54bWxQSwUGAAAAAAQABAD1AAAAigMAAAAA&#10;" filled="f" stroked="f">
                    <v:textbox inset="0,0,0,0">
                      <w:txbxContent>
                        <w:p w14:paraId="65EFA2D0" w14:textId="77777777" w:rsidR="00960899" w:rsidRDefault="00960899" w:rsidP="009E0CC9">
                          <w:r>
                            <w:rPr>
                              <w:rFonts w:ascii="Cambria" w:hAnsi="Cambria" w:cs="Cambria"/>
                              <w:color w:val="000000"/>
                              <w:sz w:val="14"/>
                              <w:szCs w:val="14"/>
                            </w:rPr>
                            <w:t>40.44</w:t>
                          </w:r>
                        </w:p>
                      </w:txbxContent>
                    </v:textbox>
                  </v:rect>
                  <v:rect id="Rectangle 423" o:spid="_x0000_s1145" style="position:absolute;left:2522;top:1109;width:339;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UuQcQA&#10;AADcAAAADwAAAGRycy9kb3ducmV2LnhtbESPT4vCMBTE74LfITzBm6aKiFajiLrocf0D6u3RPNti&#10;81KarK1++o2wsMdhZn7DzJeNKcSTKpdbVjDoRyCIE6tzThWcT1+9CQjnkTUWlknBixwsF+3WHGNt&#10;az7Q8+hTESDsYlSQeV/GUrokI4Oub0vi4N1tZdAHWaVSV1gHuCnkMIrG0mDOYSHDktYZJY/jj1Gw&#10;m5Sr696+67TY3naX78t0c5p6pbqdZjUD4anx/+G/9l4rGA3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FLkHEAAAA3AAAAA8AAAAAAAAAAAAAAAAAmAIAAGRycy9k&#10;b3ducmV2LnhtbFBLBQYAAAAABAAEAPUAAACJAwAAAAA=&#10;" filled="f" stroked="f">
                    <v:textbox inset="0,0,0,0">
                      <w:txbxContent>
                        <w:p w14:paraId="55617B09" w14:textId="77777777" w:rsidR="00960899" w:rsidRDefault="00960899" w:rsidP="009E0CC9">
                          <w:r>
                            <w:rPr>
                              <w:rFonts w:ascii="Cambria" w:hAnsi="Cambria" w:cs="Cambria"/>
                              <w:color w:val="000000"/>
                              <w:sz w:val="14"/>
                              <w:szCs w:val="14"/>
                            </w:rPr>
                            <w:t>26.78</w:t>
                          </w:r>
                        </w:p>
                      </w:txbxContent>
                    </v:textbox>
                  </v:rect>
                  <v:rect id="Rectangle 424" o:spid="_x0000_s1146" style="position:absolute;left:3631;top:1109;width:339;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mL2sUA&#10;AADcAAAADwAAAGRycy9kb3ducmV2LnhtbESPS4vCQBCE78L+h6EX9qaTlcVHdBRZXfToC9Rbk2mT&#10;YKYnZGZN9Nc7guCxqKqvqPG0MYW4UuVyywq+OxEI4sTqnFMF+91fewDCeWSNhWVScCMH08lHa4yx&#10;tjVv6Lr1qQgQdjEqyLwvYyldkpFB17ElcfDOtjLog6xSqSusA9wUshtFPWkw57CQYUm/GSWX7b9R&#10;sByUs+PK3uu0WJyWh/VhON8NvVJfn81sBMJT49/hV3ulFfx0+/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CYvaxQAAANwAAAAPAAAAAAAAAAAAAAAAAJgCAABkcnMv&#10;ZG93bnJldi54bWxQSwUGAAAAAAQABAD1AAAAigMAAAAA&#10;" filled="f" stroked="f">
                    <v:textbox inset="0,0,0,0">
                      <w:txbxContent>
                        <w:p w14:paraId="53D5FECE" w14:textId="77777777" w:rsidR="00960899" w:rsidRDefault="00960899" w:rsidP="009E0CC9">
                          <w:r>
                            <w:rPr>
                              <w:rFonts w:ascii="Cambria" w:hAnsi="Cambria" w:cs="Cambria"/>
                              <w:color w:val="000000"/>
                              <w:sz w:val="14"/>
                              <w:szCs w:val="14"/>
                            </w:rPr>
                            <w:t>13.66</w:t>
                          </w:r>
                        </w:p>
                      </w:txbxContent>
                    </v:textbox>
                  </v:rect>
                  <v:rect id="Rectangle 425" o:spid="_x0000_s1147" style="position:absolute;left:4640;top:1109;width:339;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YfqMMA&#10;AADcAAAADwAAAGRycy9kb3ducmV2LnhtbERPy2rCQBTdF/yH4Qrd1YlBiomOIj7QZWsK6u6SuSbB&#10;zJ2QGZO0X99ZFLo8nPdyPZhadNS6yrKC6SQCQZxbXXGh4Cs7vM1BOI+ssbZMCr7JwXo1elliqm3P&#10;n9SdfSFCCLsUFZTeN6mULi/JoJvYhjhwd9sa9AG2hdQt9iHc1DKOondpsOLQUGJD25Lyx/lpFBzn&#10;zeZ6sj99Ue9vx8vHJdlliVfqdTxsFiA8Df5f/Oc+aQWzOKwN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5YfqMMAAADcAAAADwAAAAAAAAAAAAAAAACYAgAAZHJzL2Rv&#10;d25yZXYueG1sUEsFBgAAAAAEAAQA9QAAAIgDAAAAAA==&#10;" filled="f" stroked="f">
                    <v:textbox inset="0,0,0,0">
                      <w:txbxContent>
                        <w:p w14:paraId="4A13B6D0" w14:textId="77777777" w:rsidR="00960899" w:rsidRDefault="00960899" w:rsidP="009E0CC9">
                          <w:r>
                            <w:rPr>
                              <w:rFonts w:ascii="Cambria" w:hAnsi="Cambria" w:cs="Cambria"/>
                              <w:color w:val="000000"/>
                              <w:sz w:val="14"/>
                              <w:szCs w:val="14"/>
                            </w:rPr>
                            <w:t>11.05</w:t>
                          </w:r>
                        </w:p>
                      </w:txbxContent>
                    </v:textbox>
                  </v:rect>
                  <v:rect id="Rectangle 426" o:spid="_x0000_s1148" style="position:absolute;left:5588;top:1109;width:339;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q6M8YA&#10;AADcAAAADwAAAGRycy9kb3ducmV2LnhtbESPQWvCQBSE7wX/w/KE3uqmQYqJriJaSY5tFGxvj+wz&#10;Cc2+DdmtSfvruwXB4zAz3zCrzWhacaXeNZYVPM8iEMSl1Q1XCk7Hw9MChPPIGlvLpOCHHGzWk4cV&#10;ptoO/E7XwlciQNilqKD2vkuldGVNBt3MdsTBu9jeoA+yr6TucQhw08o4il6kwYbDQo0d7Woqv4pv&#10;oyBbdNuP3P4OVfv6mZ3fzsn+mHilHqfjdgnC0+jv4Vs71wrmcQL/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q6M8YAAADcAAAADwAAAAAAAAAAAAAAAACYAgAAZHJz&#10;L2Rvd25yZXYueG1sUEsFBgAAAAAEAAQA9QAAAIsDAAAAAA==&#10;" filled="f" stroked="f">
                    <v:textbox inset="0,0,0,0">
                      <w:txbxContent>
                        <w:p w14:paraId="0165927A" w14:textId="77777777" w:rsidR="00960899" w:rsidRDefault="00960899" w:rsidP="009E0CC9">
                          <w:r>
                            <w:rPr>
                              <w:rFonts w:ascii="Cambria" w:hAnsi="Cambria" w:cs="Cambria"/>
                              <w:color w:val="000000"/>
                              <w:sz w:val="14"/>
                              <w:szCs w:val="14"/>
                            </w:rPr>
                            <w:t>34.53</w:t>
                          </w:r>
                        </w:p>
                      </w:txbxContent>
                    </v:textbox>
                  </v:rect>
                  <v:rect id="Rectangle 427" o:spid="_x0000_s1149" style="position:absolute;left:6566;top:1109;width:339;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mFc8EA&#10;AADcAAAADwAAAGRycy9kb3ducmV2LnhtbERPy4rCMBTdC/5DuII7TR1l0GoUcRRd+gJ1d2mubbG5&#10;KU20nfl6sxhweTjv2aIxhXhR5XLLCgb9CARxYnXOqYLzadMbg3AeWWNhmRT8koPFvN2aYaxtzQd6&#10;HX0qQgi7GBVk3pexlC7JyKDr25I4cHdbGfQBVqnUFdYh3BTyK4q+pcGcQ0OGJa0ySh7Hp1GwHZfL&#10;687+1Wmxvm0v+8vk5zTxSnU7zXIKwlPjP+J/904rGA3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5hXPBAAAA3AAAAA8AAAAAAAAAAAAAAAAAmAIAAGRycy9kb3du&#10;cmV2LnhtbFBLBQYAAAAABAAEAPUAAACGAwAAAAA=&#10;" filled="f" stroked="f">
                    <v:textbox inset="0,0,0,0">
                      <w:txbxContent>
                        <w:p w14:paraId="11AE3AFE" w14:textId="77777777" w:rsidR="00960899" w:rsidRDefault="00960899" w:rsidP="009E0CC9">
                          <w:r>
                            <w:rPr>
                              <w:rFonts w:ascii="Cambria" w:hAnsi="Cambria" w:cs="Cambria"/>
                              <w:color w:val="000000"/>
                              <w:sz w:val="14"/>
                              <w:szCs w:val="14"/>
                            </w:rPr>
                            <w:t>12.27</w:t>
                          </w:r>
                        </w:p>
                      </w:txbxContent>
                    </v:textbox>
                  </v:rect>
                  <v:rect id="Rectangle 428" o:spid="_x0000_s1150" style="position:absolute;left:7635;top:1109;width:339;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Ug6MYA&#10;AADcAAAADwAAAGRycy9kb3ducmV2LnhtbESPQWvCQBSE7wX/w/IEb3WjlhJTVxG1mGObCNrbI/ua&#10;hGbfhuzWpP56t1DocZiZb5jVZjCNuFLnassKZtMIBHFhdc2lglP++hiDcB5ZY2OZFPyQg8169LDC&#10;RNue3+ma+VIECLsEFVTet4mUrqjIoJvaljh4n7Yz6IPsSqk77APcNHIeRc/SYM1hocKWdhUVX9m3&#10;UXCM2+0ltbe+bA4fx/PbebnPl16pyXjYvoDwNPj/8F871QqeFj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Ug6MYAAADcAAAADwAAAAAAAAAAAAAAAACYAgAAZHJz&#10;L2Rvd25yZXYueG1sUEsFBgAAAAAEAAQA9QAAAIsDAAAAAA==&#10;" filled="f" stroked="f">
                    <v:textbox inset="0,0,0,0">
                      <w:txbxContent>
                        <w:p w14:paraId="50B7EB00" w14:textId="77777777" w:rsidR="00960899" w:rsidRDefault="00960899" w:rsidP="009E0CC9">
                          <w:r>
                            <w:rPr>
                              <w:rFonts w:ascii="Cambria" w:hAnsi="Cambria" w:cs="Cambria"/>
                              <w:color w:val="000000"/>
                              <w:sz w:val="14"/>
                              <w:szCs w:val="14"/>
                            </w:rPr>
                            <w:t>22.26</w:t>
                          </w:r>
                        </w:p>
                      </w:txbxContent>
                    </v:textbox>
                  </v:rect>
                  <v:rect id="Rectangle 429" o:spid="_x0000_s1151" style="position:absolute;left:8684;top:1109;width:339;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e+n8UA&#10;AADcAAAADwAAAGRycy9kb3ducmV2LnhtbESPT4vCMBTE78J+h/AW9qbpuiJajSKrix79B+rt0Tzb&#10;YvNSmqytfnojCB6HmfkNM542phBXqlxuWcF3JwJBnFidc6pgv/trD0A4j6yxsEwKbuRgOvlojTHW&#10;tuYNXbc+FQHCLkYFmfdlLKVLMjLoOrYkDt7ZVgZ9kFUqdYV1gJtCdqOoLw3mHBYyLOk3o+Sy/TcK&#10;loNydlzZe50Wi9PysD4M57uhV+rrs5mNQHhq/Dv8aq+0gt5PF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p76fxQAAANwAAAAPAAAAAAAAAAAAAAAAAJgCAABkcnMv&#10;ZG93bnJldi54bWxQSwUGAAAAAAQABAD1AAAAigMAAAAA&#10;" filled="f" stroked="f">
                    <v:textbox inset="0,0,0,0">
                      <w:txbxContent>
                        <w:p w14:paraId="553C3E8B" w14:textId="77777777" w:rsidR="00960899" w:rsidRDefault="00960899" w:rsidP="009E0CC9">
                          <w:r>
                            <w:rPr>
                              <w:rFonts w:ascii="Cambria" w:hAnsi="Cambria" w:cs="Cambria"/>
                              <w:color w:val="000000"/>
                              <w:sz w:val="14"/>
                              <w:szCs w:val="14"/>
                            </w:rPr>
                            <w:t>18.57</w:t>
                          </w:r>
                        </w:p>
                      </w:txbxContent>
                    </v:textbox>
                  </v:rect>
                  <v:rect id="Rectangle 430" o:spid="_x0000_s1152" style="position:absolute;left:30;top:1301;width:674;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sbBMUA&#10;AADcAAAADwAAAGRycy9kb3ducmV2LnhtbESPT4vCMBTE74LfITzBm6auIto1iriKHtc/oHt7NG/b&#10;ss1LaaKtfnqzIHgcZuY3zGzRmELcqHK5ZQWDfgSCOLE651TB6bjpTUA4j6yxsEwK7uRgMW+3Zhhr&#10;W/OebgefigBhF6OCzPsyltIlGRl0fVsSB+/XVgZ9kFUqdYV1gJtCfkTRWBrMOSxkWNIqo+TvcDUK&#10;tpNyednZR50W65/t+fs8/TpOvVLdTrP8BOGp8e/wq73TCkbDI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6xsExQAAANwAAAAPAAAAAAAAAAAAAAAAAJgCAABkcnMv&#10;ZG93bnJldi54bWxQSwUGAAAAAAQABAD1AAAAigMAAAAA&#10;" filled="f" stroked="f">
                    <v:textbox inset="0,0,0,0">
                      <w:txbxContent>
                        <w:p w14:paraId="1FFA24DF" w14:textId="77777777" w:rsidR="00960899" w:rsidRDefault="00960899" w:rsidP="009E0CC9">
                          <w:r>
                            <w:rPr>
                              <w:rFonts w:ascii="Cambria" w:hAnsi="Cambria" w:cs="Cambria"/>
                              <w:color w:val="000000"/>
                              <w:sz w:val="14"/>
                              <w:szCs w:val="14"/>
                            </w:rPr>
                            <w:t>Female (20</w:t>
                          </w:r>
                        </w:p>
                      </w:txbxContent>
                    </v:textbox>
                  </v:rect>
                  <v:rect id="Rectangle 431" o:spid="_x0000_s1153" style="position:absolute;left:656;top:1301;width:71;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KDcMUA&#10;AADcAAAADwAAAGRycy9kb3ducmV2LnhtbESPS4vCQBCE7wv+h6EFb+vEB4tGRxF10aMvUG9Npk2C&#10;mZ6QGU12f/2OsOCxqKqvqOm8MYV4UuVyywp63QgEcWJ1zqmC0/H7cwTCeWSNhWVS8EMO5rPWxxRj&#10;bWve0/PgUxEg7GJUkHlfxlK6JCODrmtL4uDdbGXQB1mlUldYB7gpZD+KvqTBnMNChiUtM0ruh4dR&#10;sBmVi8vW/tZpsb5uzrvzeHUce6U67WYxAeGp8e/wf3urFQwHQ3idCUd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AoNwxQAAANwAAAAPAAAAAAAAAAAAAAAAAJgCAABkcnMv&#10;ZG93bnJldi54bWxQSwUGAAAAAAQABAD1AAAAigMAAAAA&#10;" filled="f" stroked="f">
                    <v:textbox inset="0,0,0,0">
                      <w:txbxContent>
                        <w:p w14:paraId="794017B5" w14:textId="77777777" w:rsidR="00960899" w:rsidRDefault="00960899" w:rsidP="009E0CC9">
                          <w:r>
                            <w:rPr>
                              <w:rFonts w:ascii="Cambria" w:hAnsi="Cambria" w:cs="Cambria"/>
                              <w:color w:val="000000"/>
                              <w:sz w:val="14"/>
                              <w:szCs w:val="14"/>
                            </w:rPr>
                            <w:t>–</w:t>
                          </w:r>
                        </w:p>
                      </w:txbxContent>
                    </v:textbox>
                  </v:rect>
                  <v:rect id="Rectangle 432" o:spid="_x0000_s1154" style="position:absolute;left:726;top:1301;width:209;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4m68cA&#10;AADcAAAADwAAAGRycy9kb3ducmV2LnhtbESPT2vCQBTE7wW/w/KE3uqmVotJXUX8gx5tLKS9PbKv&#10;STD7NmRXk/bTdwuCx2FmfsPMl72pxZVaV1lW8DyKQBDnVldcKPg47Z5mIJxH1lhbJgU/5GC5GDzM&#10;MdG243e6pr4QAcIuQQWl900ipctLMuhGtiEO3rdtDfog20LqFrsAN7UcR9GrNFhxWCixoXVJ+Tm9&#10;GAX7WbP6PNjfrqi3X/vsmMWbU+yVehz2qzcQnnp/D9/aB61g8jKF/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OJuvHAAAA3AAAAA8AAAAAAAAAAAAAAAAAmAIAAGRy&#10;cy9kb3ducmV2LnhtbFBLBQYAAAAABAAEAPUAAACMAwAAAAA=&#10;" filled="f" stroked="f">
                    <v:textbox inset="0,0,0,0">
                      <w:txbxContent>
                        <w:p w14:paraId="1BA30FA2" w14:textId="77777777" w:rsidR="00960899" w:rsidRDefault="00960899" w:rsidP="009E0CC9">
                          <w:r>
                            <w:rPr>
                              <w:rFonts w:ascii="Cambria" w:hAnsi="Cambria" w:cs="Cambria"/>
                              <w:color w:val="000000"/>
                              <w:sz w:val="14"/>
                              <w:szCs w:val="14"/>
                            </w:rPr>
                            <w:t>64)</w:t>
                          </w:r>
                        </w:p>
                      </w:txbxContent>
                    </v:textbox>
                  </v:rect>
                  <v:rect id="Rectangle 433" o:spid="_x0000_s1155" style="position:absolute;left:1493;top:1311;width:339;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y4nMYA&#10;AADcAAAADwAAAGRycy9kb3ducmV2LnhtbESPW2vCQBSE3wv9D8sp9K1ueiFodBXpheRRo6C+HbLH&#10;JJg9G7Jbk/bXu4Lg4zAz3zCzxWAacabO1ZYVvI4iEMSF1TWXCrabn5cxCOeRNTaWScEfOVjMHx9m&#10;mGjb85rOuS9FgLBLUEHlfZtI6YqKDLqRbYmDd7SdQR9kV0rdYR/gppFvURRLgzWHhQpb+qyoOOW/&#10;RkE6bpf7zP73ZfN9SHer3eRrM/FKPT8NyykIT4O/h2/tTCv4eI/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y4nMYAAADcAAAADwAAAAAAAAAAAAAAAACYAgAAZHJz&#10;L2Rvd25yZXYueG1sUEsFBgAAAAAEAAQA9QAAAIsDAAAAAA==&#10;" filled="f" stroked="f">
                    <v:textbox inset="0,0,0,0">
                      <w:txbxContent>
                        <w:p w14:paraId="3A5965B7" w14:textId="77777777" w:rsidR="00960899" w:rsidRDefault="00960899" w:rsidP="009E0CC9">
                          <w:r>
                            <w:rPr>
                              <w:rFonts w:ascii="Cambria" w:hAnsi="Cambria" w:cs="Cambria"/>
                              <w:color w:val="000000"/>
                              <w:sz w:val="14"/>
                              <w:szCs w:val="14"/>
                            </w:rPr>
                            <w:t>68.64</w:t>
                          </w:r>
                        </w:p>
                      </w:txbxContent>
                    </v:textbox>
                  </v:rect>
                  <v:rect id="Rectangle 434" o:spid="_x0000_s1156" style="position:absolute;left:2522;top:1311;width:339;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AdB8cA&#10;AADcAAAADwAAAGRycy9kb3ducmV2LnhtbESPT2vCQBTE7wW/w/KE3uqmVqxJXUX8gx5tLKS9PbKv&#10;STD7NmRXk/bTdwuCx2FmfsPMl72pxZVaV1lW8DyKQBDnVldcKPg47Z5mIJxH1lhbJgU/5GC5GDzM&#10;MdG243e6pr4QAcIuQQWl900ipctLMuhGtiEO3rdtDfog20LqFrsAN7UcR9FUGqw4LJTY0Lqk/Jxe&#10;jIL9rFl9HuxvV9Tbr312zOLNKfZKPQ771RsIT72/h2/tg1YweXmF/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QHQfHAAAA3AAAAA8AAAAAAAAAAAAAAAAAmAIAAGRy&#10;cy9kb3ducmV2LnhtbFBLBQYAAAAABAAEAPUAAACMAwAAAAA=&#10;" filled="f" stroked="f">
                    <v:textbox inset="0,0,0,0">
                      <w:txbxContent>
                        <w:p w14:paraId="1C6D0725" w14:textId="77777777" w:rsidR="00960899" w:rsidRDefault="00960899" w:rsidP="009E0CC9">
                          <w:r>
                            <w:rPr>
                              <w:rFonts w:ascii="Cambria" w:hAnsi="Cambria" w:cs="Cambria"/>
                              <w:color w:val="000000"/>
                              <w:sz w:val="14"/>
                              <w:szCs w:val="14"/>
                            </w:rPr>
                            <w:t>59.18</w:t>
                          </w:r>
                        </w:p>
                      </w:txbxContent>
                    </v:textbox>
                  </v:rect>
                  <v:rect id="Rectangle 435" o:spid="_x0000_s1157" style="position:absolute;left:3661;top:1311;width:26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JdcEA&#10;AADcAAAADwAAAGRycy9kb3ducmV2LnhtbERPy4rCMBTdC/5DuII7TR1l0GoUcRRd+gJ1d2mubbG5&#10;KU20nfl6sxhweTjv2aIxhXhR5XLLCgb9CARxYnXOqYLzadMbg3AeWWNhmRT8koPFvN2aYaxtzQd6&#10;HX0qQgi7GBVk3pexlC7JyKDr25I4cHdbGfQBVqnUFdYh3BTyK4q+pcGcQ0OGJa0ySh7Hp1GwHZfL&#10;687+1Wmxvm0v+8vk5zTxSnU7zXIKwlPjP+J/904rGA3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PiXXBAAAA3AAAAA8AAAAAAAAAAAAAAAAAmAIAAGRycy9kb3du&#10;cmV2LnhtbFBLBQYAAAAABAAEAPUAAACGAwAAAAA=&#10;" filled="f" stroked="f">
                    <v:textbox inset="0,0,0,0">
                      <w:txbxContent>
                        <w:p w14:paraId="33A6B60C" w14:textId="77777777" w:rsidR="00960899" w:rsidRDefault="00960899" w:rsidP="009E0CC9">
                          <w:r>
                            <w:rPr>
                              <w:rFonts w:ascii="Cambria" w:hAnsi="Cambria" w:cs="Cambria"/>
                              <w:color w:val="000000"/>
                              <w:sz w:val="14"/>
                              <w:szCs w:val="14"/>
                            </w:rPr>
                            <w:t>9.47</w:t>
                          </w:r>
                        </w:p>
                      </w:txbxContent>
                    </v:textbox>
                  </v:rect>
                  <v:rect id="Rectangle 436" o:spid="_x0000_s1158" style="position:absolute;left:4670;top:1311;width:26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s7sUA&#10;AADcAAAADwAAAGRycy9kb3ducmV2LnhtbESPT2vCQBTE74V+h+UVvNWNtYiJriJV0WP9A+rtkX0m&#10;wezbkF1N6qd3C4LHYWZ+w4ynrSnFjWpXWFbQ60YgiFOrC84U7HfLzyEI55E1lpZJwR85mE7e38aY&#10;aNvwhm5bn4kAYZeggtz7KpHSpTkZdF1bEQfvbGuDPsg6k7rGJsBNKb+iaCANFhwWcqzoJ6f0sr0a&#10;BathNTuu7b3JysVpdfg9xPNd7JXqfLSzEQhPrX+Fn+21VvDdj+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AyzuxQAAANwAAAAPAAAAAAAAAAAAAAAAAJgCAABkcnMv&#10;ZG93bnJldi54bWxQSwUGAAAAAAQABAD1AAAAigMAAAAA&#10;" filled="f" stroked="f">
                    <v:textbox inset="0,0,0,0">
                      <w:txbxContent>
                        <w:p w14:paraId="05486CFE" w14:textId="77777777" w:rsidR="00960899" w:rsidRDefault="00960899" w:rsidP="009E0CC9">
                          <w:r>
                            <w:rPr>
                              <w:rFonts w:ascii="Cambria" w:hAnsi="Cambria" w:cs="Cambria"/>
                              <w:color w:val="000000"/>
                              <w:sz w:val="14"/>
                              <w:szCs w:val="14"/>
                            </w:rPr>
                            <w:t>7.68</w:t>
                          </w:r>
                        </w:p>
                      </w:txbxContent>
                    </v:textbox>
                  </v:rect>
                  <v:rect id="Rectangle 437" o:spid="_x0000_s1159" style="position:absolute;left:5588;top:1311;width:339;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2DsIA&#10;AADcAAAADwAAAGRycy9kb3ducmV2LnhtbERPy4rCMBTdC/5DuII7TUdk0NpURB106Quc2V2aa1um&#10;uSlNxtb5erMQXB7OO1l2phJ3alxpWcHHOAJBnFldcq7gcv4azUA4j6yxskwKHuRgmfZ7Ccbatnyk&#10;+8nnIoSwi1FB4X0dS+myggy6sa2JA3ezjUEfYJNL3WAbwk0lJ1H0KQ2WHBoKrGldUPZ7+jMKdrN6&#10;9b23/21ebX9218N1vjnPvVLDQbdagPDU+bf45d5rBdNpmB/OhCMg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P/YOwgAAANwAAAAPAAAAAAAAAAAAAAAAAJgCAABkcnMvZG93&#10;bnJldi54bWxQSwUGAAAAAAQABAD1AAAAhwMAAAAA&#10;" filled="f" stroked="f">
                    <v:textbox inset="0,0,0,0">
                      <w:txbxContent>
                        <w:p w14:paraId="367BA20E" w14:textId="77777777" w:rsidR="00960899" w:rsidRDefault="00960899" w:rsidP="009E0CC9">
                          <w:r>
                            <w:rPr>
                              <w:rFonts w:ascii="Cambria" w:hAnsi="Cambria" w:cs="Cambria"/>
                              <w:color w:val="000000"/>
                              <w:sz w:val="14"/>
                              <w:szCs w:val="14"/>
                            </w:rPr>
                            <w:t>56.19</w:t>
                          </w:r>
                        </w:p>
                      </w:txbxContent>
                    </v:textbox>
                  </v:rect>
                  <v:rect id="Rectangle 438" o:spid="_x0000_s1160" style="position:absolute;left:6566;top:1311;width:339;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NTlcQA&#10;AADcAAAADwAAAGRycy9kb3ducmV2LnhtbESPQYvCMBSE74L/ITxhb5q6yKJdo4iu6FGtoHt7NM+2&#10;2LyUJtru/nojCB6HmfmGmc5bU4o71a6wrGA4iEAQp1YXnCk4Juv+GITzyBpLy6TgjxzMZ93OFGNt&#10;G97T/eAzESDsYlSQe1/FUro0J4NuYCvi4F1sbdAHWWdS19gEuCnlZxR9SYMFh4UcK1rmlF4PN6Ng&#10;M64W5639b7Ly53dz2p0mq2TilfrotYtvEJ5a/w6/2lutYDQawv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zU5XEAAAA3AAAAA8AAAAAAAAAAAAAAAAAmAIAAGRycy9k&#10;b3ducmV2LnhtbFBLBQYAAAAABAAEAPUAAACJAwAAAAA=&#10;" filled="f" stroked="f">
                    <v:textbox inset="0,0,0,0">
                      <w:txbxContent>
                        <w:p w14:paraId="0F56BE64" w14:textId="77777777" w:rsidR="00960899" w:rsidRDefault="00960899" w:rsidP="009E0CC9">
                          <w:r>
                            <w:rPr>
                              <w:rFonts w:ascii="Cambria" w:hAnsi="Cambria" w:cs="Cambria"/>
                              <w:color w:val="000000"/>
                              <w:sz w:val="14"/>
                              <w:szCs w:val="14"/>
                            </w:rPr>
                            <w:t>36.67</w:t>
                          </w:r>
                        </w:p>
                      </w:txbxContent>
                    </v:textbox>
                  </v:rect>
                  <v:rect id="Rectangle 439" o:spid="_x0000_s1161" style="position:absolute;left:7635;top:1311;width:339;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HN4sYA&#10;AADcAAAADwAAAGRycy9kb3ducmV2LnhtbESPQWvCQBSE74L/YXmF3symIqKpq4itmGObFNLeHtnX&#10;JDT7NmRXk/rruwXB4zAz3zCb3WhacaHeNZYVPEUxCOLS6oYrBR/5cbYC4TyyxtYyKfglB7vtdLLB&#10;RNuB3+mS+UoECLsEFdTed4mUrqzJoItsRxy8b9sb9EH2ldQ9DgFuWjmP46U02HBYqLGjQ03lT3Y2&#10;Ck6rbv+Z2utQta9fp+KtWL/ka6/U48O4fwbhafT38K2dagWLxRz+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6HN4sYAAADcAAAADwAAAAAAAAAAAAAAAACYAgAAZHJz&#10;L2Rvd25yZXYueG1sUEsFBgAAAAAEAAQA9QAAAIsDAAAAAA==&#10;" filled="f" stroked="f">
                    <v:textbox inset="0,0,0,0">
                      <w:txbxContent>
                        <w:p w14:paraId="67DD4E46" w14:textId="77777777" w:rsidR="00960899" w:rsidRDefault="00960899" w:rsidP="009E0CC9">
                          <w:r>
                            <w:rPr>
                              <w:rFonts w:ascii="Cambria" w:hAnsi="Cambria" w:cs="Cambria"/>
                              <w:color w:val="000000"/>
                              <w:sz w:val="14"/>
                              <w:szCs w:val="14"/>
                            </w:rPr>
                            <w:t>19.52</w:t>
                          </w:r>
                        </w:p>
                      </w:txbxContent>
                    </v:textbox>
                  </v:rect>
                  <v:rect id="Rectangle 440" o:spid="_x0000_s1162" style="position:absolute;left:8684;top:1311;width:339;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1oecUA&#10;AADcAAAADwAAAGRycy9kb3ducmV2LnhtbESPS4vCQBCE7wv+h6EFb+vEB4tGRxF10aMvUG9Npk2C&#10;mZ6QGU12f/2OsOCxqKqvqOm8MYV4UuVyywp63QgEcWJ1zqmC0/H7cwTCeWSNhWVS8EMO5rPWxxRj&#10;bWve0/PgUxEg7GJUkHlfxlK6JCODrmtL4uDdbGXQB1mlUldYB7gpZD+KvqTBnMNChiUtM0ruh4dR&#10;sBmVi8vW/tZpsb5uzrvzeHUce6U67WYxAeGp8e/wf3urFQyHA3idCUd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7Wh5xQAAANwAAAAPAAAAAAAAAAAAAAAAAJgCAABkcnMv&#10;ZG93bnJldi54bWxQSwUGAAAAAAQABAD1AAAAigMAAAAA&#10;" filled="f" stroked="f">
                    <v:textbox inset="0,0,0,0">
                      <w:txbxContent>
                        <w:p w14:paraId="0C918DB2" w14:textId="77777777" w:rsidR="00960899" w:rsidRDefault="00960899" w:rsidP="009E0CC9">
                          <w:r>
                            <w:rPr>
                              <w:rFonts w:ascii="Cambria" w:hAnsi="Cambria" w:cs="Cambria"/>
                              <w:color w:val="000000"/>
                              <w:sz w:val="14"/>
                              <w:szCs w:val="14"/>
                            </w:rPr>
                            <w:t>17.54</w:t>
                          </w:r>
                        </w:p>
                      </w:txbxContent>
                    </v:textbox>
                  </v:rect>
                  <v:rect id="Rectangle 441" o:spid="_x0000_s1163" style="position:absolute;left:30;top:1503;width:529;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TwDcUA&#10;AADcAAAADwAAAGRycy9kb3ducmV2LnhtbESPT4vCMBTE7wt+h/AEb2uqlEWrUcQ/6HFXBfX2aJ5t&#10;sXkpTbR1P/1mQfA4zMxvmOm8NaV4UO0KywoG/QgEcWp1wZmC42HzOQLhPLLG0jIpeJKD+azzMcVE&#10;24Z/6LH3mQgQdgkqyL2vEildmpNB17cVcfCutjbog6wzqWtsAtyUchhFX9JgwWEhx4qWOaW3/d0o&#10;2I6qxXlnf5usXF+2p+/TeHUYe6V63XYxAeGp9e/wq73TCuI4hv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BPANxQAAANwAAAAPAAAAAAAAAAAAAAAAAJgCAABkcnMv&#10;ZG93bnJldi54bWxQSwUGAAAAAAQABAD1AAAAigMAAAAA&#10;" filled="f" stroked="f">
                    <v:textbox inset="0,0,0,0">
                      <w:txbxContent>
                        <w:p w14:paraId="58F21560" w14:textId="77777777" w:rsidR="00960899" w:rsidRDefault="00960899" w:rsidP="009E0CC9">
                          <w:r>
                            <w:rPr>
                              <w:rFonts w:ascii="Cambria" w:hAnsi="Cambria" w:cs="Cambria"/>
                              <w:color w:val="000000"/>
                              <w:sz w:val="14"/>
                              <w:szCs w:val="14"/>
                            </w:rPr>
                            <w:t>Male (20</w:t>
                          </w:r>
                        </w:p>
                      </w:txbxContent>
                    </v:textbox>
                  </v:rect>
                  <v:rect id="Rectangle 442" o:spid="_x0000_s1164" style="position:absolute;left:524;top:1503;width:71;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hVlsUA&#10;AADcAAAADwAAAGRycy9kb3ducmV2LnhtbESPT4vCMBTE74LfITzBm6YuKto1iriKHtc/oHt7NG/b&#10;ss1LaaKtfnqzIHgcZuY3zGzRmELcqHK5ZQWDfgSCOLE651TB6bjpTUA4j6yxsEwK7uRgMW+3Zhhr&#10;W/OebgefigBhF6OCzPsyltIlGRl0fVsSB+/XVgZ9kFUqdYV1gJtCfkTRWBrMOSxkWNIqo+TvcDUK&#10;tpNyednZR50W65/t+fs8/TpOvVLdTrP8BOGp8e/wq73TCobDE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SFWWxQAAANwAAAAPAAAAAAAAAAAAAAAAAJgCAABkcnMv&#10;ZG93bnJldi54bWxQSwUGAAAAAAQABAD1AAAAigMAAAAA&#10;" filled="f" stroked="f">
                    <v:textbox inset="0,0,0,0">
                      <w:txbxContent>
                        <w:p w14:paraId="3BDB8C62" w14:textId="77777777" w:rsidR="00960899" w:rsidRDefault="00960899" w:rsidP="009E0CC9">
                          <w:r>
                            <w:rPr>
                              <w:rFonts w:ascii="Cambria" w:hAnsi="Cambria" w:cs="Cambria"/>
                              <w:color w:val="000000"/>
                              <w:sz w:val="14"/>
                              <w:szCs w:val="14"/>
                            </w:rPr>
                            <w:t>–</w:t>
                          </w:r>
                        </w:p>
                      </w:txbxContent>
                    </v:textbox>
                  </v:rect>
                  <v:rect id="Rectangle 443" o:spid="_x0000_s1165" style="position:absolute;left:595;top:1503;width:209;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rL4cQA&#10;AADcAAAADwAAAGRycy9kb3ducmV2LnhtbESPT4vCMBTE74LfITxhb5oqIlqNIrqLHv0H6u3RPNti&#10;81KarK1+eiMs7HGYmd8ws0VjCvGgyuWWFfR7EQjixOqcUwWn4093DMJ5ZI2FZVLwJAeLebs1w1jb&#10;mvf0OPhUBAi7GBVk3pexlC7JyKDr2ZI4eDdbGfRBVqnUFdYBbgo5iKKRNJhzWMiwpFVGyf3waxRs&#10;xuXysrWvOi2+r5vz7jxZHydeqa9Os5yC8NT4//Bfe6sVDIcj+JwJR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ay+HEAAAA3AAAAA8AAAAAAAAAAAAAAAAAmAIAAGRycy9k&#10;b3ducmV2LnhtbFBLBQYAAAAABAAEAPUAAACJAwAAAAA=&#10;" filled="f" stroked="f">
                    <v:textbox inset="0,0,0,0">
                      <w:txbxContent>
                        <w:p w14:paraId="12C46226" w14:textId="77777777" w:rsidR="00960899" w:rsidRDefault="00960899" w:rsidP="009E0CC9">
                          <w:r>
                            <w:rPr>
                              <w:rFonts w:ascii="Cambria" w:hAnsi="Cambria" w:cs="Cambria"/>
                              <w:color w:val="000000"/>
                              <w:sz w:val="14"/>
                              <w:szCs w:val="14"/>
                            </w:rPr>
                            <w:t>64)</w:t>
                          </w:r>
                        </w:p>
                      </w:txbxContent>
                    </v:textbox>
                  </v:rect>
                  <v:rect id="Rectangle 444" o:spid="_x0000_s1166" style="position:absolute;left:1493;top:1513;width:339;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ZuesUA&#10;AADcAAAADwAAAGRycy9kb3ducmV2LnhtbESPS4vCQBCE74L/YWjBm05cxEfWUcRV9Lg+QPfWZHqT&#10;sJmekBlN9Nc7C4LHoqq+omaLxhTiRpXLLSsY9CMQxInVOacKTsdNbwLCeWSNhWVScCcHi3m7NcNY&#10;25r3dDv4VAQIuxgVZN6XsZQuycig69uSOHi/tjLog6xSqSusA9wU8iOKRtJgzmEhw5JWGSV/h6tR&#10;sJ2Uy8vOPuq0WP9sz9/n6ddx6pXqdprlJwhPjX+HX+2dVjAcjuH/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1m56xQAAANwAAAAPAAAAAAAAAAAAAAAAAJgCAABkcnMv&#10;ZG93bnJldi54bWxQSwUGAAAAAAQABAD1AAAAigMAAAAA&#10;" filled="f" stroked="f">
                    <v:textbox inset="0,0,0,0">
                      <w:txbxContent>
                        <w:p w14:paraId="05F294EE" w14:textId="77777777" w:rsidR="00960899" w:rsidRDefault="00960899" w:rsidP="009E0CC9">
                          <w:r>
                            <w:rPr>
                              <w:rFonts w:ascii="Cambria" w:hAnsi="Cambria" w:cs="Cambria"/>
                              <w:color w:val="000000"/>
                              <w:sz w:val="14"/>
                              <w:szCs w:val="14"/>
                            </w:rPr>
                            <w:t>89.74</w:t>
                          </w:r>
                        </w:p>
                      </w:txbxContent>
                    </v:textbox>
                  </v:rect>
                  <v:rect id="Rectangle 445" o:spid="_x0000_s1167" style="position:absolute;left:2522;top:1513;width:339;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n6CMIA&#10;AADcAAAADwAAAGRycy9kb3ducmV2LnhtbERPy4rCMBTdC/5DuII7TUdk0NpURB106Quc2V2aa1um&#10;uSlNxtb5erMQXB7OO1l2phJ3alxpWcHHOAJBnFldcq7gcv4azUA4j6yxskwKHuRgmfZ7Ccbatnyk&#10;+8nnIoSwi1FB4X0dS+myggy6sa2JA3ezjUEfYJNL3WAbwk0lJ1H0KQ2WHBoKrGldUPZ7+jMKdrN6&#10;9b23/21ebX9218N1vjnPvVLDQbdagPDU+bf45d5rBdNpWBvOhCMg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SfoIwgAAANwAAAAPAAAAAAAAAAAAAAAAAJgCAABkcnMvZG93&#10;bnJldi54bWxQSwUGAAAAAAQABAD1AAAAhwMAAAAA&#10;" filled="f" stroked="f">
                    <v:textbox inset="0,0,0,0">
                      <w:txbxContent>
                        <w:p w14:paraId="5958F9B4" w14:textId="77777777" w:rsidR="00960899" w:rsidRDefault="00960899" w:rsidP="009E0CC9">
                          <w:r>
                            <w:rPr>
                              <w:rFonts w:ascii="Cambria" w:hAnsi="Cambria" w:cs="Cambria"/>
                              <w:color w:val="000000"/>
                              <w:sz w:val="14"/>
                              <w:szCs w:val="14"/>
                            </w:rPr>
                            <w:t>74.68</w:t>
                          </w:r>
                        </w:p>
                      </w:txbxContent>
                    </v:textbox>
                  </v:rect>
                  <v:rect id="Rectangle 446" o:spid="_x0000_s1168" style="position:absolute;left:3631;top:1513;width:339;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Vfk8UA&#10;AADcAAAADwAAAGRycy9kb3ducmV2LnhtbESPT4vCMBTE78J+h/AWvGmqyGKrUWRX0aN/FtTbo3m2&#10;xealNNHW/fRGEPY4zMxvmOm8NaW4U+0KywoG/QgEcWp1wZmC38OqNwbhPLLG0jIpeJCD+eyjM8VE&#10;24Z3dN/7TAQIuwQV5N5XiZQuzcmg69uKOHgXWxv0QdaZ1DU2AW5KOYyiL2mw4LCQY0XfOaXX/c0o&#10;WI+rxWlj/5qsXJ7Xx+0x/jnEXqnuZ7uYgPDU+v/wu73RCkaj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BV+TxQAAANwAAAAPAAAAAAAAAAAAAAAAAJgCAABkcnMv&#10;ZG93bnJldi54bWxQSwUGAAAAAAQABAD1AAAAigMAAAAA&#10;" filled="f" stroked="f">
                    <v:textbox inset="0,0,0,0">
                      <w:txbxContent>
                        <w:p w14:paraId="7EEED858" w14:textId="77777777" w:rsidR="00960899" w:rsidRDefault="00960899" w:rsidP="009E0CC9">
                          <w:r>
                            <w:rPr>
                              <w:rFonts w:ascii="Cambria" w:hAnsi="Cambria" w:cs="Cambria"/>
                              <w:color w:val="000000"/>
                              <w:sz w:val="14"/>
                              <w:szCs w:val="14"/>
                            </w:rPr>
                            <w:t>15.06</w:t>
                          </w:r>
                        </w:p>
                      </w:txbxContent>
                    </v:textbox>
                  </v:rect>
                  <v:rect id="Rectangle 447" o:spid="_x0000_s1169" style="position:absolute;left:4670;top:1513;width:26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Zg08EA&#10;AADcAAAADwAAAGRycy9kb3ducmV2LnhtbERPy4rCMBTdC/5DuII7TR100GoUcRRd+gJ1d2mubbG5&#10;KU20nfl6sxhweTjv2aIxhXhR5XLLCgb9CARxYnXOqYLzadMbg3AeWWNhmRT8koPFvN2aYaxtzQd6&#10;HX0qQgi7GBVk3pexlC7JyKDr25I4cHdbGfQBVqnUFdYh3BTyK4q+pcGcQ0OGJa0ySh7Hp1GwHZfL&#10;687+1Wmxvm0v+8vk5zTxSnU7zXIKwlPjP+J/904rGI7C/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mYNPBAAAA3AAAAA8AAAAAAAAAAAAAAAAAmAIAAGRycy9kb3du&#10;cmV2LnhtbFBLBQYAAAAABAAEAPUAAACGAwAAAAA=&#10;" filled="f" stroked="f">
                    <v:textbox inset="0,0,0,0">
                      <w:txbxContent>
                        <w:p w14:paraId="7DBC3178" w14:textId="77777777" w:rsidR="00960899" w:rsidRDefault="00960899" w:rsidP="009E0CC9">
                          <w:r>
                            <w:rPr>
                              <w:rFonts w:ascii="Cambria" w:hAnsi="Cambria" w:cs="Cambria"/>
                              <w:color w:val="000000"/>
                              <w:sz w:val="14"/>
                              <w:szCs w:val="14"/>
                            </w:rPr>
                            <w:t>9.25</w:t>
                          </w:r>
                        </w:p>
                      </w:txbxContent>
                    </v:textbox>
                  </v:rect>
                  <v:rect id="Rectangle 448" o:spid="_x0000_s1170" style="position:absolute;left:5588;top:1513;width:339;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rFSMYA&#10;AADcAAAADwAAAGRycy9kb3ducmV2LnhtbESPQWvCQBSE7wX/w/IEb3Wj2BJTVxG1mGObCNrbI/ua&#10;hGbfhuzWpP56t1DocZiZb5jVZjCNuFLnassKZtMIBHFhdc2lglP++hiDcB5ZY2OZFPyQg8169LDC&#10;RNue3+ma+VIECLsEFVTet4mUrqjIoJvaljh4n7Yz6IPsSqk77APcNHIeRc/SYM1hocKWdhUVX9m3&#10;UXCM2+0ltbe+bA4fx/PbebnPl16pyXjYvoDwNPj/8F871QoWT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qrFSMYAAADcAAAADwAAAAAAAAAAAAAAAACYAgAAZHJz&#10;L2Rvd25yZXYueG1sUEsFBgAAAAAEAAQA9QAAAIsDAAAAAA==&#10;" filled="f" stroked="f">
                    <v:textbox inset="0,0,0,0">
                      <w:txbxContent>
                        <w:p w14:paraId="465BEEC1" w14:textId="77777777" w:rsidR="00960899" w:rsidRDefault="00960899" w:rsidP="009E0CC9">
                          <w:r>
                            <w:rPr>
                              <w:rFonts w:ascii="Cambria" w:hAnsi="Cambria" w:cs="Cambria"/>
                              <w:color w:val="000000"/>
                              <w:sz w:val="14"/>
                              <w:szCs w:val="14"/>
                            </w:rPr>
                            <w:t>82.39</w:t>
                          </w:r>
                        </w:p>
                      </w:txbxContent>
                    </v:textbox>
                  </v:rect>
                  <v:rect id="Rectangle 449" o:spid="_x0000_s1171" style="position:absolute;left:6596;top:1513;width:26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hbP8UA&#10;AADcAAAADwAAAGRycy9kb3ducmV2LnhtbESPT4vCMBTE78J+h/AW9qbpyipajSKrix79B+rt0Tzb&#10;YvNSmqytfnojCB6HmfkNM542phBXqlxuWcF3JwJBnFidc6pgv/trD0A4j6yxsEwKbuRgOvlojTHW&#10;tuYNXbc+FQHCLkYFmfdlLKVLMjLoOrYkDt7ZVgZ9kFUqdYV1gJtCdqOoLw3mHBYyLOk3o+Sy/TcK&#10;loNydlzZe50Wi9PysD4M57uhV+rrs5mNQHhq/Dv8aq+0gp9eF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eFs/xQAAANwAAAAPAAAAAAAAAAAAAAAAAJgCAABkcnMv&#10;ZG93bnJldi54bWxQSwUGAAAAAAQABAD1AAAAigMAAAAA&#10;" filled="f" stroked="f">
                    <v:textbox inset="0,0,0,0">
                      <w:txbxContent>
                        <w:p w14:paraId="5E2352EB" w14:textId="77777777" w:rsidR="00960899" w:rsidRDefault="00960899" w:rsidP="009E0CC9">
                          <w:r>
                            <w:rPr>
                              <w:rFonts w:ascii="Cambria" w:hAnsi="Cambria" w:cs="Cambria"/>
                              <w:color w:val="000000"/>
                              <w:sz w:val="14"/>
                              <w:szCs w:val="14"/>
                            </w:rPr>
                            <w:t>49.9</w:t>
                          </w:r>
                        </w:p>
                      </w:txbxContent>
                    </v:textbox>
                  </v:rect>
                  <v:rect id="Rectangle 450" o:spid="_x0000_s1172" style="position:absolute;left:7635;top:1513;width:339;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T+pMcA&#10;AADcAAAADwAAAGRycy9kb3ducmV2LnhtbESPT2vCQBTE7wW/w/KE3uqmVotJXUX8gx5tLKS9PbKv&#10;STD7NmRXk/bTdwuCx2FmfsPMl72pxZVaV1lW8DyKQBDnVldcKPg47Z5mIJxH1lhbJgU/5GC5GDzM&#10;MdG243e6pr4QAcIuQQWl900ipctLMuhGtiEO3rdtDfog20LqFrsAN7UcR9GrNFhxWCixoXVJ+Tm9&#10;GAX7WbP6PNjfrqi3X/vsmMWbU+yVehz2qzcQnnp/D9/aB61gMn2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0/qTHAAAA3AAAAA8AAAAAAAAAAAAAAAAAmAIAAGRy&#10;cy9kb3ducmV2LnhtbFBLBQYAAAAABAAEAPUAAACMAwAAAAA=&#10;" filled="f" stroked="f">
                    <v:textbox inset="0,0,0,0">
                      <w:txbxContent>
                        <w:p w14:paraId="4D9DA704" w14:textId="77777777" w:rsidR="00960899" w:rsidRDefault="00960899" w:rsidP="009E0CC9">
                          <w:r>
                            <w:rPr>
                              <w:rFonts w:ascii="Cambria" w:hAnsi="Cambria" w:cs="Cambria"/>
                              <w:color w:val="000000"/>
                              <w:sz w:val="14"/>
                              <w:szCs w:val="14"/>
                            </w:rPr>
                            <w:t>32.49</w:t>
                          </w:r>
                        </w:p>
                      </w:txbxContent>
                    </v:textbox>
                  </v:rect>
                  <v:rect id="Rectangle 451" o:spid="_x0000_s1173" style="position:absolute;left:8725;top:1513;width:26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1m0MUA&#10;AADcAAAADwAAAGRycy9kb3ducmV2LnhtbESPT4vCMBTE74LfITzBm6YuKto1iriKHtc/oHt7NG/b&#10;ss1LaaKtfnqzIHgcZuY3zGzRmELcqHK5ZQWDfgSCOLE651TB6bjpTUA4j6yxsEwK7uRgMW+3Zhhr&#10;W/OebgefigBhF6OCzPsyltIlGRl0fVsSB+/XVgZ9kFUqdYV1gJtCfkTRWBrMOSxkWNIqo+TvcDUK&#10;tpNyednZR50W65/t+fs8/TpOvVLdTrP8BOGp8e/wq73TCoajI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3WbQxQAAANwAAAAPAAAAAAAAAAAAAAAAAJgCAABkcnMv&#10;ZG93bnJldi54bWxQSwUGAAAAAAQABAD1AAAAigMAAAAA&#10;" filled="f" stroked="f">
                    <v:textbox inset="0,0,0,0">
                      <w:txbxContent>
                        <w:p w14:paraId="5C7910E8" w14:textId="77777777" w:rsidR="00960899" w:rsidRDefault="00960899" w:rsidP="009E0CC9">
                          <w:r>
                            <w:rPr>
                              <w:rFonts w:ascii="Cambria" w:hAnsi="Cambria" w:cs="Cambria"/>
                              <w:color w:val="000000"/>
                              <w:sz w:val="14"/>
                              <w:szCs w:val="14"/>
                            </w:rPr>
                            <w:t>23.1</w:t>
                          </w:r>
                        </w:p>
                      </w:txbxContent>
                    </v:textbox>
                  </v:rect>
                  <v:rect id="Rectangle 452" o:spid="_x0000_s1174" style="position:absolute;left:30;top:1705;width:656;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HDS8UA&#10;AADcAAAADwAAAGRycy9kb3ducmV2LnhtbESPT4vCMBTE7wt+h/AEb2uq6KLVKKIuevQfqLdH82yL&#10;zUtpou3up98ICx6HmfkNM503phBPqlxuWUGvG4EgTqzOOVVwOn5/jkA4j6yxsEwKfsjBfNb6mGKs&#10;bc17eh58KgKEXYwKMu/LWEqXZGTQdW1JHLybrQz6IKtU6grrADeF7EfRlzSYc1jIsKRlRsn98DAK&#10;NqNycdna3zot1tfNeXcer45jr1Sn3SwmIDw1/h3+b2+1gsFw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kcNLxQAAANwAAAAPAAAAAAAAAAAAAAAAAJgCAABkcnMv&#10;ZG93bnJldi54bWxQSwUGAAAAAAQABAD1AAAAigMAAAAA&#10;" filled="f" stroked="f">
                    <v:textbox inset="0,0,0,0">
                      <w:txbxContent>
                        <w:p w14:paraId="7C782159" w14:textId="77777777" w:rsidR="00960899" w:rsidRDefault="00960899" w:rsidP="009E0CC9">
                          <w:r>
                            <w:rPr>
                              <w:rFonts w:ascii="Cambria" w:hAnsi="Cambria" w:cs="Cambria"/>
                              <w:b/>
                              <w:bCs/>
                              <w:color w:val="000000"/>
                              <w:sz w:val="14"/>
                              <w:szCs w:val="14"/>
                            </w:rPr>
                            <w:t>Urban (20</w:t>
                          </w:r>
                        </w:p>
                      </w:txbxContent>
                    </v:textbox>
                  </v:rect>
                  <v:rect id="Rectangle 453" o:spid="_x0000_s1175" style="position:absolute;left:656;top:1705;width:71;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NdPMYA&#10;AADcAAAADwAAAGRycy9kb3ducmV2LnhtbESPT2vCQBTE74V+h+UVequbljZodBXpH5KjRkG9PbLP&#10;JJh9G7Jbk/bTu4LgcZiZ3zCzxWAacabO1ZYVvI4iEMSF1TWXCrabn5cxCOeRNTaWScEfOVjMHx9m&#10;mGjb85rOuS9FgLBLUEHlfZtI6YqKDLqRbYmDd7SdQR9kV0rdYR/gppFvURRLgzWHhQpb+qyoOOW/&#10;RkE6bpf7zP73ZfN9SHer3eRrM/FKPT8NyykIT4O/h2/tTCt4/4j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NdPMYAAADcAAAADwAAAAAAAAAAAAAAAACYAgAAZHJz&#10;L2Rvd25yZXYueG1sUEsFBgAAAAAEAAQA9QAAAIsDAAAAAA==&#10;" filled="f" stroked="f">
                    <v:textbox inset="0,0,0,0">
                      <w:txbxContent>
                        <w:p w14:paraId="64EC2EB0" w14:textId="77777777" w:rsidR="00960899" w:rsidRDefault="00960899" w:rsidP="009E0CC9">
                          <w:r>
                            <w:rPr>
                              <w:rFonts w:ascii="Cambria" w:hAnsi="Cambria" w:cs="Cambria"/>
                              <w:color w:val="000000"/>
                              <w:sz w:val="14"/>
                              <w:szCs w:val="14"/>
                            </w:rPr>
                            <w:t>–</w:t>
                          </w:r>
                        </w:p>
                      </w:txbxContent>
                    </v:textbox>
                  </v:rect>
                  <v:rect id="Rectangle 454" o:spid="_x0000_s1176" style="position:absolute;left:726;top:1705;width:223;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4p8cA&#10;AADcAAAADwAAAGRycy9kb3ducmV2LnhtbESPT2vCQBTE7wW/w/KE3uqmUq1JXUX8gx5tLKS9PbKv&#10;STD7NmRXk/bTdwuCx2FmfsPMl72pxZVaV1lW8DyKQBDnVldcKPg47Z5mIJxH1lhbJgU/5GC5GDzM&#10;MdG243e6pr4QAcIuQQWl900ipctLMuhGtiEO3rdtDfog20LqFrsAN7UcR9FUGqw4LJTY0Lqk/Jxe&#10;jIL9rFl9HuxvV9Tbr312zOLNKfZKPQ771RsIT72/h2/tg1bwMnmF/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P+KfHAAAA3AAAAA8AAAAAAAAAAAAAAAAAmAIAAGRy&#10;cy9kb3ducmV2LnhtbFBLBQYAAAAABAAEAPUAAACMAwAAAAA=&#10;" filled="f" stroked="f">
                    <v:textbox inset="0,0,0,0">
                      <w:txbxContent>
                        <w:p w14:paraId="389F92F5" w14:textId="77777777" w:rsidR="00960899" w:rsidRDefault="00960899" w:rsidP="009E0CC9">
                          <w:r>
                            <w:rPr>
                              <w:rFonts w:ascii="Cambria" w:hAnsi="Cambria" w:cs="Cambria"/>
                              <w:b/>
                              <w:bCs/>
                              <w:color w:val="000000"/>
                              <w:sz w:val="14"/>
                              <w:szCs w:val="14"/>
                            </w:rPr>
                            <w:t>64)</w:t>
                          </w:r>
                        </w:p>
                      </w:txbxContent>
                    </v:textbox>
                  </v:rect>
                  <v:rect id="Rectangle 455" o:spid="_x0000_s1177" style="position:absolute;left:1473;top:1715;width:365;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Bs1cEA&#10;AADcAAAADwAAAGRycy9kb3ducmV2LnhtbERPy4rCMBTdC/5DuII7TR100GoUcRRd+gJ1d2mubbG5&#10;KU20nfl6sxhweTjv2aIxhXhR5XLLCgb9CARxYnXOqYLzadMbg3AeWWNhmRT8koPFvN2aYaxtzQd6&#10;HX0qQgi7GBVk3pexlC7JyKDr25I4cHdbGfQBVqnUFdYh3BTyK4q+pcGcQ0OGJa0ySh7Hp1GwHZfL&#10;687+1Wmxvm0v+8vk5zTxSnU7zXIKwlPjP+J/904rGI7C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bNXBAAAA3AAAAA8AAAAAAAAAAAAAAAAAmAIAAGRycy9kb3du&#10;cmV2LnhtbFBLBQYAAAAABAAEAPUAAACGAwAAAAA=&#10;" filled="f" stroked="f">
                    <v:textbox inset="0,0,0,0">
                      <w:txbxContent>
                        <w:p w14:paraId="07AB18C7" w14:textId="77777777" w:rsidR="00960899" w:rsidRDefault="00960899" w:rsidP="009E0CC9">
                          <w:r>
                            <w:rPr>
                              <w:rFonts w:ascii="Cambria" w:hAnsi="Cambria" w:cs="Cambria"/>
                              <w:b/>
                              <w:bCs/>
                              <w:color w:val="000000"/>
                              <w:sz w:val="14"/>
                              <w:szCs w:val="14"/>
                            </w:rPr>
                            <w:t>72.13</w:t>
                          </w:r>
                        </w:p>
                      </w:txbxContent>
                    </v:textbox>
                  </v:rect>
                  <v:rect id="Rectangle 456" o:spid="_x0000_s1178" style="position:absolute;left:2501;top:1715;width:365;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zJTsUA&#10;AADcAAAADwAAAGRycy9kb3ducmV2LnhtbESPT2vCQBTE74V+h+UVvNWNxYqJriJV0WP9A+rtkX0m&#10;wezbkF1N6qd3C4LHYWZ+w4ynrSnFjWpXWFbQ60YgiFOrC84U7HfLzyEI55E1lpZJwR85mE7e38aY&#10;aNvwhm5bn4kAYZeggtz7KpHSpTkZdF1bEQfvbGuDPsg6k7rGJsBNKb+iaCANFhwWcqzoJ6f0sr0a&#10;BathNTuu7b3JysVpdfg9xPNd7JXqfLSzEQhPrX+Fn+21VtD/ju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3MlOxQAAANwAAAAPAAAAAAAAAAAAAAAAAJgCAABkcnMv&#10;ZG93bnJldi54bWxQSwUGAAAAAAQABAD1AAAAigMAAAAA&#10;" filled="f" stroked="f">
                    <v:textbox inset="0,0,0,0">
                      <w:txbxContent>
                        <w:p w14:paraId="062F2E57" w14:textId="77777777" w:rsidR="00960899" w:rsidRDefault="00960899" w:rsidP="009E0CC9">
                          <w:r>
                            <w:rPr>
                              <w:rFonts w:ascii="Cambria" w:hAnsi="Cambria" w:cs="Cambria"/>
                              <w:b/>
                              <w:bCs/>
                              <w:color w:val="000000"/>
                              <w:sz w:val="14"/>
                              <w:szCs w:val="14"/>
                            </w:rPr>
                            <w:t>53.43</w:t>
                          </w:r>
                        </w:p>
                      </w:txbxContent>
                    </v:textbox>
                  </v:rect>
                  <v:rect id="Rectangle 457" o:spid="_x0000_s1179" style="position:absolute;left:3611;top:1715;width:365;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qqbsIA&#10;AADcAAAADwAAAGRycy9kb3ducmV2LnhtbERPy4rCMBTdC/5DuMLsNFUG0dpUxAe6nFFB3V2aa1ts&#10;bkoTbWe+frIYcHk472TZmUq8qHGlZQXjUQSCOLO65FzB+bQbzkA4j6yxskwKfsjBMu33Eoy1bfmb&#10;XkefixDCLkYFhfd1LKXLCjLoRrYmDtzdNgZ9gE0udYNtCDeVnETRVBosOTQUWNO6oOxxfBoF+1m9&#10;uh7sb5tX29v+8nWZb05zr9THoFstQHjq/Fv87z5oBZ/TMD+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qpuwgAAANwAAAAPAAAAAAAAAAAAAAAAAJgCAABkcnMvZG93&#10;bnJldi54bWxQSwUGAAAAAAQABAD1AAAAhwMAAAAA&#10;" filled="f" stroked="f">
                    <v:textbox inset="0,0,0,0">
                      <w:txbxContent>
                        <w:p w14:paraId="45BB3259" w14:textId="77777777" w:rsidR="00960899" w:rsidRDefault="00960899" w:rsidP="009E0CC9">
                          <w:r>
                            <w:rPr>
                              <w:rFonts w:ascii="Cambria" w:hAnsi="Cambria" w:cs="Cambria"/>
                              <w:b/>
                              <w:bCs/>
                              <w:color w:val="000000"/>
                              <w:sz w:val="14"/>
                              <w:szCs w:val="14"/>
                            </w:rPr>
                            <w:t>18.71</w:t>
                          </w:r>
                        </w:p>
                      </w:txbxContent>
                    </v:textbox>
                  </v:rect>
                  <v:rect id="Rectangle 458" o:spid="_x0000_s1180" style="position:absolute;left:4619;top:1715;width:365;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YP9cQA&#10;AADcAAAADwAAAGRycy9kb3ducmV2LnhtbESPQYvCMBSE74L/ITzBm6YuIlqNIrqiR1cF9fZonm2x&#10;eSlNtNVfbxYW9jjMzDfMbNGYQjypcrllBYN+BII4sTrnVMHpuOmNQTiPrLGwTApe5GAxb7dmGGtb&#10;8w89Dz4VAcIuRgWZ92UspUsyMuj6tiQO3s1WBn2QVSp1hXWAm0J+RdFIGsw5LGRY0iqj5H54GAXb&#10;cbm87Oy7Tovv6/a8P0/Wx4lXqttpllMQnhr/H/5r77SC4WgA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GD/XEAAAA3AAAAA8AAAAAAAAAAAAAAAAAmAIAAGRycy9k&#10;b3ducmV2LnhtbFBLBQYAAAAABAAEAPUAAACJAwAAAAA=&#10;" filled="f" stroked="f">
                    <v:textbox inset="0,0,0,0">
                      <w:txbxContent>
                        <w:p w14:paraId="16875396" w14:textId="77777777" w:rsidR="00960899" w:rsidRDefault="00960899" w:rsidP="009E0CC9">
                          <w:r>
                            <w:rPr>
                              <w:rFonts w:ascii="Cambria" w:hAnsi="Cambria" w:cs="Cambria"/>
                              <w:b/>
                              <w:bCs/>
                              <w:color w:val="000000"/>
                              <w:sz w:val="14"/>
                              <w:szCs w:val="14"/>
                            </w:rPr>
                            <w:t>13.29</w:t>
                          </w:r>
                        </w:p>
                      </w:txbxContent>
                    </v:textbox>
                  </v:rect>
                  <v:rect id="Rectangle 459" o:spid="_x0000_s1181" style="position:absolute;left:5568;top:1715;width:365;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SRgsQA&#10;AADcAAAADwAAAGRycy9kb3ducmV2LnhtbESPT4vCMBTE74LfITzBm6aKiFajiLrocf0D6u3RPNti&#10;81KarK1++o2wsMdhZn7DzJeNKcSTKpdbVjDoRyCIE6tzThWcT1+9CQjnkTUWlknBixwsF+3WHGNt&#10;az7Q8+hTESDsYlSQeV/GUrokI4Oub0vi4N1tZdAHWaVSV1gHuCnkMIrG0mDOYSHDktYZJY/jj1Gw&#10;m5Sr696+67TY3naX78t0c5p6pbqdZjUD4anx/+G/9l4rGI2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UkYLEAAAA3AAAAA8AAAAAAAAAAAAAAAAAmAIAAGRycy9k&#10;b3ducmV2LnhtbFBLBQYAAAAABAAEAPUAAACJAwAAAAA=&#10;" filled="f" stroked="f">
                    <v:textbox inset="0,0,0,0">
                      <w:txbxContent>
                        <w:p w14:paraId="346268F3" w14:textId="77777777" w:rsidR="00960899" w:rsidRDefault="00960899" w:rsidP="009E0CC9">
                          <w:r>
                            <w:rPr>
                              <w:rFonts w:ascii="Cambria" w:hAnsi="Cambria" w:cs="Cambria"/>
                              <w:b/>
                              <w:bCs/>
                              <w:color w:val="000000"/>
                              <w:sz w:val="14"/>
                              <w:szCs w:val="14"/>
                            </w:rPr>
                            <w:t>67.08</w:t>
                          </w:r>
                        </w:p>
                      </w:txbxContent>
                    </v:textbox>
                  </v:rect>
                  <v:rect id="Rectangle 460" o:spid="_x0000_s1182" style="position:absolute;left:6546;top:1715;width:365;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g0GcYA&#10;AADcAAAADwAAAGRycy9kb3ducmV2LnhtbESPW2vCQBSE3wv9D8sp9K1ueiFodBXpheRRo6C+HbLH&#10;JJg9G7Jbk/bXu4Lg4zAz3zCzxWAacabO1ZYVvI4iEMSF1TWXCrabn5cxCOeRNTaWScEfOVjMHx9m&#10;mGjb85rOuS9FgLBLUEHlfZtI6YqKDLqRbYmDd7SdQR9kV0rdYR/gppFvURRLgzWHhQpb+qyoOOW/&#10;RkE6bpf7zP73ZfN9SHer3eRrM/FKPT8NyykIT4O/h2/tTCv4iN/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1g0GcYAAADcAAAADwAAAAAAAAAAAAAAAACYAgAAZHJz&#10;L2Rvd25yZXYueG1sUEsFBgAAAAAEAAQA9QAAAIsDAAAAAA==&#10;" filled="f" stroked="f">
                    <v:textbox inset="0,0,0,0">
                      <w:txbxContent>
                        <w:p w14:paraId="29E4660D" w14:textId="77777777" w:rsidR="00960899" w:rsidRDefault="00960899" w:rsidP="009E0CC9">
                          <w:r>
                            <w:rPr>
                              <w:rFonts w:ascii="Cambria" w:hAnsi="Cambria" w:cs="Cambria"/>
                              <w:b/>
                              <w:bCs/>
                              <w:color w:val="000000"/>
                              <w:sz w:val="14"/>
                              <w:szCs w:val="14"/>
                            </w:rPr>
                            <w:t>39.46</w:t>
                          </w:r>
                        </w:p>
                      </w:txbxContent>
                    </v:textbox>
                  </v:rect>
                  <v:rect id="Rectangle 461" o:spid="_x0000_s1183" style="position:absolute;left:7615;top:1715;width:365;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GsbcQA&#10;AADcAAAADwAAAGRycy9kb3ducmV2LnhtbESPT4vCMBTE74LfITxhb5oqIlqNIrqLHv0H6u3RPNti&#10;81KarK1+eiMs7HGYmd8ws0VjCvGgyuWWFfR7EQjixOqcUwWn4093DMJ5ZI2FZVLwJAeLebs1w1jb&#10;mvf0OPhUBAi7GBVk3pexlC7JyKDr2ZI4eDdbGfRBVqnUFdYBbgo5iKKRNJhzWMiwpFVGyf3waxRs&#10;xuXysrWvOi2+r5vz7jxZHydeqa9Os5yC8NT4//Bfe6sVDEdD+JwJR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xrG3EAAAA3AAAAA8AAAAAAAAAAAAAAAAAmAIAAGRycy9k&#10;b3ducmV2LnhtbFBLBQYAAAAABAAEAPUAAACJAwAAAAA=&#10;" filled="f" stroked="f">
                    <v:textbox inset="0,0,0,0">
                      <w:txbxContent>
                        <w:p w14:paraId="3A8A303E" w14:textId="77777777" w:rsidR="00960899" w:rsidRDefault="00960899" w:rsidP="009E0CC9">
                          <w:r>
                            <w:rPr>
                              <w:rFonts w:ascii="Cambria" w:hAnsi="Cambria" w:cs="Cambria"/>
                              <w:b/>
                              <w:bCs/>
                              <w:color w:val="000000"/>
                              <w:sz w:val="14"/>
                              <w:szCs w:val="14"/>
                            </w:rPr>
                            <w:t>27.61</w:t>
                          </w:r>
                        </w:p>
                      </w:txbxContent>
                    </v:textbox>
                  </v:rect>
                  <v:rect id="Rectangle 462" o:spid="_x0000_s1184" style="position:absolute;left:8664;top:1715;width:365;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J9sYA&#10;AADcAAAADwAAAGRycy9kb3ducmV2LnhtbESPT2vCQBTE74V+h+UVequbljZodBXpH5KjRkG9PbLP&#10;JJh9G7Jbk/bTu4LgcZiZ3zCzxWAacabO1ZYVvI4iEMSF1TWXCrabn5cxCOeRNTaWScEfOVjMHx9m&#10;mGjb85rOuS9FgLBLUEHlfZtI6YqKDLqRbYmDd7SdQR9kV0rdYR/gppFvURRLgzWHhQpb+qyoOOW/&#10;RkE6bpf7zP73ZfN9SHer3eRrM/FKPT8NyykIT4O/h2/tTCt4jz/g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0J9sYAAADcAAAADwAAAAAAAAAAAAAAAACYAgAAZHJz&#10;L2Rvd25yZXYueG1sUEsFBgAAAAAEAAQA9QAAAIsDAAAAAA==&#10;" filled="f" stroked="f">
                    <v:textbox inset="0,0,0,0">
                      <w:txbxContent>
                        <w:p w14:paraId="05CCB837" w14:textId="77777777" w:rsidR="00960899" w:rsidRDefault="00960899" w:rsidP="009E0CC9">
                          <w:r>
                            <w:rPr>
                              <w:rFonts w:ascii="Cambria" w:hAnsi="Cambria" w:cs="Cambria"/>
                              <w:b/>
                              <w:bCs/>
                              <w:color w:val="000000"/>
                              <w:sz w:val="14"/>
                              <w:szCs w:val="14"/>
                            </w:rPr>
                            <w:t>21.87</w:t>
                          </w:r>
                        </w:p>
                      </w:txbxContent>
                    </v:textbox>
                  </v:rect>
                  <v:rect id="Rectangle 463" o:spid="_x0000_s1185" style="position:absolute;left:30;top:1906;width:596;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XgcYA&#10;AADcAAAADwAAAGRycy9kb3ducmV2LnhtbESPzWrDMBCE74G+g9hCb4ncUEziRAmmTbGP+SmkvS3W&#10;xja1VsZSbbdPHwUCPQ4z8w2z3o6mET11rras4HkWgSAurK65VPBxep8uQDiPrLGxTAp+ycF28zBZ&#10;Y6LtwAfqj74UAcIuQQWV920ipSsqMuhmtiUO3sV2Bn2QXSl1h0OAm0bOoyiWBmsOCxW29FpR8X38&#10;MQqyRZt+5vZvKJvdV3ben5dvp6VX6ulxTFcgPI3+P3xv51rBSxzD7Uw4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XgcYAAADcAAAADwAAAAAAAAAAAAAAAACYAgAAZHJz&#10;L2Rvd25yZXYueG1sUEsFBgAAAAAEAAQA9QAAAIsDAAAAAA==&#10;" filled="f" stroked="f">
                    <v:textbox inset="0,0,0,0">
                      <w:txbxContent>
                        <w:p w14:paraId="04935C05" w14:textId="77777777" w:rsidR="00960899" w:rsidRDefault="00960899" w:rsidP="009E0CC9">
                          <w:r>
                            <w:rPr>
                              <w:rFonts w:ascii="Cambria" w:hAnsi="Cambria" w:cs="Cambria"/>
                              <w:color w:val="000000"/>
                              <w:sz w:val="14"/>
                              <w:szCs w:val="14"/>
                            </w:rPr>
                            <w:t>Youth (15</w:t>
                          </w:r>
                        </w:p>
                      </w:txbxContent>
                    </v:textbox>
                  </v:rect>
                  <v:rect id="Rectangle 464" o:spid="_x0000_s1186" style="position:absolute;left:575;top:1906;width:71;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MyGsUA&#10;AADcAAAADwAAAGRycy9kb3ducmV2LnhtbESPT4vCMBTE7wt+h/AEb2uqiKvVKKIuevQfqLdH82yL&#10;zUtpou3up98ICx6HmfkNM503phBPqlxuWUGvG4EgTqzOOVVwOn5/jkA4j6yxsEwKfsjBfNb6mGKs&#10;bc17eh58KgKEXYwKMu/LWEqXZGTQdW1JHLybrQz6IKtU6grrADeF7EfRUBrMOSxkWNIyo+R+eBgF&#10;m1G5uGztb50W6+vmvDuPV8exV6rTbhYTEJ4a/w7/t7dawWD4Ba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YzIaxQAAANwAAAAPAAAAAAAAAAAAAAAAAJgCAABkcnMv&#10;ZG93bnJldi54bWxQSwUGAAAAAAQABAD1AAAAigMAAAAA&#10;" filled="f" stroked="f">
                    <v:textbox inset="0,0,0,0">
                      <w:txbxContent>
                        <w:p w14:paraId="7458B5AA" w14:textId="77777777" w:rsidR="00960899" w:rsidRDefault="00960899" w:rsidP="009E0CC9">
                          <w:r>
                            <w:rPr>
                              <w:rFonts w:ascii="Cambria" w:hAnsi="Cambria" w:cs="Cambria"/>
                              <w:color w:val="000000"/>
                              <w:sz w:val="14"/>
                              <w:szCs w:val="14"/>
                            </w:rPr>
                            <w:t>–</w:t>
                          </w:r>
                        </w:p>
                      </w:txbxContent>
                    </v:textbox>
                  </v:rect>
                  <v:rect id="Rectangle 465" o:spid="_x0000_s1187" style="position:absolute;left:646;top:1906;width:209;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ymaMIA&#10;AADcAAAADwAAAGRycy9kb3ducmV2LnhtbERPy4rCMBTdC/5DuMLsNFUG0dpUxAe6nFFB3V2aa1ts&#10;bkoTbWe+frIYcHk472TZmUq8qHGlZQXjUQSCOLO65FzB+bQbzkA4j6yxskwKfsjBMu33Eoy1bfmb&#10;XkefixDCLkYFhfd1LKXLCjLoRrYmDtzdNgZ9gE0udYNtCDeVnETRVBosOTQUWNO6oOxxfBoF+1m9&#10;uh7sb5tX29v+8nWZb05zr9THoFstQHjq/Fv87z5oBZ/TsDa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KZowgAAANwAAAAPAAAAAAAAAAAAAAAAAJgCAABkcnMvZG93&#10;bnJldi54bWxQSwUGAAAAAAQABAD1AAAAhwMAAAAA&#10;" filled="f" stroked="f">
                    <v:textbox inset="0,0,0,0">
                      <w:txbxContent>
                        <w:p w14:paraId="11011A30" w14:textId="77777777" w:rsidR="00960899" w:rsidRDefault="00960899" w:rsidP="009E0CC9">
                          <w:r>
                            <w:rPr>
                              <w:rFonts w:ascii="Cambria" w:hAnsi="Cambria" w:cs="Cambria"/>
                              <w:color w:val="000000"/>
                              <w:sz w:val="14"/>
                              <w:szCs w:val="14"/>
                            </w:rPr>
                            <w:t>24)</w:t>
                          </w:r>
                        </w:p>
                      </w:txbxContent>
                    </v:textbox>
                  </v:rect>
                  <v:rect id="Rectangle 466" o:spid="_x0000_s1188" style="position:absolute;left:1523;top:1916;width:26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AD88UA&#10;AADcAAAADwAAAGRycy9kb3ducmV2LnhtbESPT4vCMBTE78J+h/AWvGmqiNhqFNl10aN/FtTbo3m2&#10;xealNFlb/fRGEPY4zMxvmNmiNaW4Ue0KywoG/QgEcWp1wZmC38NPbwLCeWSNpWVScCcHi/lHZ4aJ&#10;tg3v6Lb3mQgQdgkqyL2vEildmpNB17cVcfAutjbog6wzqWtsAtyUchhFY2mw4LCQY0VfOaXX/Z9R&#10;sJ5Uy9PGPpqsXJ3Xx+0x/j7EXqnuZ7ucgvDU+v/wu73RCkbj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sAPzxQAAANwAAAAPAAAAAAAAAAAAAAAAAJgCAABkcnMv&#10;ZG93bnJldi54bWxQSwUGAAAAAAQABAD1AAAAigMAAAAA&#10;" filled="f" stroked="f">
                    <v:textbox inset="0,0,0,0">
                      <w:txbxContent>
                        <w:p w14:paraId="77032D26" w14:textId="77777777" w:rsidR="00960899" w:rsidRDefault="00960899" w:rsidP="009E0CC9">
                          <w:r>
                            <w:rPr>
                              <w:rFonts w:ascii="Cambria" w:hAnsi="Cambria" w:cs="Cambria"/>
                              <w:color w:val="000000"/>
                              <w:sz w:val="14"/>
                              <w:szCs w:val="14"/>
                            </w:rPr>
                            <w:t>34.7</w:t>
                          </w:r>
                        </w:p>
                      </w:txbxContent>
                    </v:textbox>
                  </v:rect>
                  <v:rect id="Rectangle 467" o:spid="_x0000_s1189" style="position:absolute;left:2522;top:1916;width:339;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8s8EA&#10;AADcAAAADwAAAGRycy9kb3ducmV2LnhtbERPy4rCMBTdC/5DuII7TR3E0WoUcRRd+gJ1d2mubbG5&#10;KU20nfl6sxhweTjv2aIxhXhR5XLLCgb9CARxYnXOqYLzadMbg3AeWWNhmRT8koPFvN2aYaxtzQd6&#10;HX0qQgi7GBVk3pexlC7JyKDr25I4cHdbGfQBVqnUFdYh3BTyK4pG0mDOoSHDklYZJY/j0yjYjsvl&#10;dWf/6rRY37aX/WXyc5p4pbqdZjkF4anxH/G/e6cVDL/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TPLPBAAAA3AAAAA8AAAAAAAAAAAAAAAAAmAIAAGRycy9kb3du&#10;cmV2LnhtbFBLBQYAAAAABAAEAPUAAACGAwAAAAA=&#10;" filled="f" stroked="f">
                    <v:textbox inset="0,0,0,0">
                      <w:txbxContent>
                        <w:p w14:paraId="12A7ECBD" w14:textId="77777777" w:rsidR="00960899" w:rsidRDefault="00960899" w:rsidP="009E0CC9">
                          <w:r>
                            <w:rPr>
                              <w:rFonts w:ascii="Cambria" w:hAnsi="Cambria" w:cs="Cambria"/>
                              <w:color w:val="000000"/>
                              <w:sz w:val="14"/>
                              <w:szCs w:val="14"/>
                            </w:rPr>
                            <w:t>18.04</w:t>
                          </w:r>
                        </w:p>
                      </w:txbxContent>
                    </v:textbox>
                  </v:rect>
                  <v:rect id="Rectangle 468" o:spid="_x0000_s1190" style="position:absolute;left:3631;top:1916;width:339;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ZKMYA&#10;AADcAAAADwAAAGRycy9kb3ducmV2LnhtbESPQWvCQBSE7wX/w/IEb3WjSBtTVxG1mGObCNrbI/ua&#10;hGbfhuzWpP56t1DocZiZb5jVZjCNuFLnassKZtMIBHFhdc2lglP++hiDcB5ZY2OZFPyQg8169LDC&#10;RNue3+ma+VIECLsEFVTet4mUrqjIoJvaljh4n7Yz6IPsSqk77APcNHIeRU/SYM1hocKWdhUVX9m3&#10;UXCM2+0ltbe+bA4fx/PbebnPl16pyXjYvoDwNPj/8F871QoWz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ZKMYAAADcAAAADwAAAAAAAAAAAAAAAACYAgAAZHJz&#10;L2Rvd25yZXYueG1sUEsFBgAAAAAEAAQA9QAAAIsDAAAAAA==&#10;" filled="f" stroked="f">
                    <v:textbox inset="0,0,0,0">
                      <w:txbxContent>
                        <w:p w14:paraId="420E749B" w14:textId="77777777" w:rsidR="00960899" w:rsidRDefault="00960899" w:rsidP="009E0CC9">
                          <w:r>
                            <w:rPr>
                              <w:rFonts w:ascii="Cambria" w:hAnsi="Cambria" w:cs="Cambria"/>
                              <w:color w:val="000000"/>
                              <w:sz w:val="14"/>
                              <w:szCs w:val="14"/>
                            </w:rPr>
                            <w:t>16.67</w:t>
                          </w:r>
                        </w:p>
                      </w:txbxContent>
                    </v:textbox>
                  </v:rect>
                  <v:rect id="Rectangle 469" o:spid="_x0000_s1191" style="position:absolute;left:4640;top:1916;width:339;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0HX8UA&#10;AADcAAAADwAAAGRycy9kb3ducmV2LnhtbESPS4vCQBCE78L+h6EX9qaTlcVHdBRZXfToC9Rbk2mT&#10;YKYnZGZN9Nc7guCxqKqvqPG0MYW4UuVyywq+OxEI4sTqnFMF+91fewDCeWSNhWVScCMH08lHa4yx&#10;tjVv6Lr1qQgQdjEqyLwvYyldkpFB17ElcfDOtjLog6xSqSusA9wUshtFPWkw57CQYUm/GSWX7b9R&#10;sByUs+PK3uu0WJyWh/VhON8NvVJfn81sBMJT49/hV3ulFfz0u/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zQdfxQAAANwAAAAPAAAAAAAAAAAAAAAAAJgCAABkcnMv&#10;ZG93bnJldi54bWxQSwUGAAAAAAQABAD1AAAAigMAAAAA&#10;" filled="f" stroked="f">
                    <v:textbox inset="0,0,0,0">
                      <w:txbxContent>
                        <w:p w14:paraId="641D9E43" w14:textId="77777777" w:rsidR="00960899" w:rsidRDefault="00960899" w:rsidP="009E0CC9">
                          <w:r>
                            <w:rPr>
                              <w:rFonts w:ascii="Cambria" w:hAnsi="Cambria" w:cs="Cambria"/>
                              <w:color w:val="000000"/>
                              <w:sz w:val="14"/>
                              <w:szCs w:val="14"/>
                            </w:rPr>
                            <w:t>13.88</w:t>
                          </w:r>
                        </w:p>
                      </w:txbxContent>
                    </v:textbox>
                  </v:rect>
                  <v:rect id="Rectangle 470" o:spid="_x0000_s1192" style="position:absolute;left:5588;top:1916;width:339;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GixMcA&#10;AADcAAAADwAAAGRycy9kb3ducmV2LnhtbESPT2vCQBTE7wW/w/KE3uqmVqxJXUX8gx5tLKS9PbKv&#10;STD7NmRXk/bTdwuCx2FmfsPMl72pxZVaV1lW8DyKQBDnVldcKPg47Z5mIJxH1lhbJgU/5GC5GDzM&#10;MdG243e6pr4QAcIuQQWl900ipctLMuhGtiEO3rdtDfog20LqFrsAN7UcR9FUGqw4LJTY0Lqk/Jxe&#10;jIL9rFl9HuxvV9Tbr312zOLNKfZKPQ771RsIT72/h2/tg1YweX2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BosTHAAAA3AAAAA8AAAAAAAAAAAAAAAAAmAIAAGRy&#10;cy9kb3ducmV2LnhtbFBLBQYAAAAABAAEAPUAAACMAwAAAAA=&#10;" filled="f" stroked="f">
                    <v:textbox inset="0,0,0,0">
                      <w:txbxContent>
                        <w:p w14:paraId="3839BDCD" w14:textId="77777777" w:rsidR="00960899" w:rsidRDefault="00960899" w:rsidP="009E0CC9">
                          <w:r>
                            <w:rPr>
                              <w:rFonts w:ascii="Cambria" w:hAnsi="Cambria" w:cs="Cambria"/>
                              <w:color w:val="000000"/>
                              <w:sz w:val="14"/>
                              <w:szCs w:val="14"/>
                            </w:rPr>
                            <w:t>34.94</w:t>
                          </w:r>
                        </w:p>
                      </w:txbxContent>
                    </v:textbox>
                  </v:rect>
                  <v:rect id="Rectangle 471" o:spid="_x0000_s1193" style="position:absolute;left:6596;top:1916;width:26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g6sMUA&#10;AADcAAAADwAAAGRycy9kb3ducmV2LnhtbESPS4vCQBCE74L/YWjBm05cxEfWUcRV9Lg+QPfWZHqT&#10;sJmekBlN9Nc7C4LHoqq+omaLxhTiRpXLLSsY9CMQxInVOacKTsdNbwLCeWSNhWVScCcHi3m7NcNY&#10;25r3dDv4VAQIuxgVZN6XsZQuycig69uSOHi/tjLog6xSqSusA9wU8iOKRtJgzmEhw5JWGSV/h6tR&#10;sJ2Uy8vOPuq0WP9sz9/n6ddx6pXqdprlJwhPjX+HX+2dVjAcD+H/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aDqwxQAAANwAAAAPAAAAAAAAAAAAAAAAAJgCAABkcnMv&#10;ZG93bnJldi54bWxQSwUGAAAAAAQABAD1AAAAigMAAAAA&#10;" filled="f" stroked="f">
                    <v:textbox inset="0,0,0,0">
                      <w:txbxContent>
                        <w:p w14:paraId="36978A5A" w14:textId="77777777" w:rsidR="00960899" w:rsidRDefault="00960899" w:rsidP="009E0CC9">
                          <w:r>
                            <w:rPr>
                              <w:rFonts w:ascii="Cambria" w:hAnsi="Cambria" w:cs="Cambria"/>
                              <w:color w:val="000000"/>
                              <w:sz w:val="14"/>
                              <w:szCs w:val="14"/>
                            </w:rPr>
                            <w:t>9.65</w:t>
                          </w:r>
                        </w:p>
                      </w:txbxContent>
                    </v:textbox>
                  </v:rect>
                  <v:rect id="Rectangle 472" o:spid="_x0000_s1194" style="position:absolute;left:7635;top:1916;width:339;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SfK8cA&#10;AADcAAAADwAAAGRycy9kb3ducmV2LnhtbESPT2vCQBTE7wW/w/KE3uqmUq1JXUX8gx5tLKS9PbKv&#10;STD7NmRXk/bTdwuCx2FmfsPMl72pxZVaV1lW8DyKQBDnVldcKPg47Z5mIJxH1lhbJgU/5GC5GDzM&#10;MdG243e6pr4QAcIuQQWl900ipctLMuhGtiEO3rdtDfog20LqFrsAN7UcR9FUGqw4LJTY0Lqk/Jxe&#10;jIL9rFl9HuxvV9Tbr312zOLNKfZKPQ771RsIT72/h2/tg1bw8jq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knyvHAAAA3AAAAA8AAAAAAAAAAAAAAAAAmAIAAGRy&#10;cy9kb3ducmV2LnhtbFBLBQYAAAAABAAEAPUAAACMAwAAAAA=&#10;" filled="f" stroked="f">
                    <v:textbox inset="0,0,0,0">
                      <w:txbxContent>
                        <w:p w14:paraId="109BCE36" w14:textId="77777777" w:rsidR="00960899" w:rsidRDefault="00960899" w:rsidP="009E0CC9">
                          <w:r>
                            <w:rPr>
                              <w:rFonts w:ascii="Cambria" w:hAnsi="Cambria" w:cs="Cambria"/>
                              <w:color w:val="000000"/>
                              <w:sz w:val="14"/>
                              <w:szCs w:val="14"/>
                            </w:rPr>
                            <w:t>25.29</w:t>
                          </w:r>
                        </w:p>
                      </w:txbxContent>
                    </v:textbox>
                  </v:rect>
                  <v:rect id="Rectangle 473" o:spid="_x0000_s1195" style="position:absolute;left:8684;top:1916;width:339;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YBXMUA&#10;AADcAAAADwAAAGRycy9kb3ducmV2LnhtbESPT4vCMBTE7wt+h/AEb2uqiKvVKKIuevQfqLdH82yL&#10;zUtpou3up98ICx6HmfkNM503phBPqlxuWUGvG4EgTqzOOVVwOn5/jkA4j6yxsEwKfsjBfNb6mGKs&#10;bc17eh58KgKEXYwKMu/LWEqXZGTQdW1JHLybrQz6IKtU6grrADeF7EfRUBrMOSxkWNIyo+R+eBgF&#10;m1G5uGztb50W6+vmvDuPV8exV6rTbhYTEJ4a/w7/t7daweBr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9gFcxQAAANwAAAAPAAAAAAAAAAAAAAAAAJgCAABkcnMv&#10;ZG93bnJldi54bWxQSwUGAAAAAAQABAD1AAAAigMAAAAA&#10;" filled="f" stroked="f">
                    <v:textbox inset="0,0,0,0">
                      <w:txbxContent>
                        <w:p w14:paraId="4CEB5337" w14:textId="77777777" w:rsidR="00960899" w:rsidRDefault="00960899" w:rsidP="009E0CC9">
                          <w:r>
                            <w:rPr>
                              <w:rFonts w:ascii="Cambria" w:hAnsi="Cambria" w:cs="Cambria"/>
                              <w:color w:val="000000"/>
                              <w:sz w:val="14"/>
                              <w:szCs w:val="14"/>
                            </w:rPr>
                            <w:t>20.79</w:t>
                          </w:r>
                        </w:p>
                      </w:txbxContent>
                    </v:textbox>
                  </v:rect>
                  <v:rect id="Rectangle 474" o:spid="_x0000_s1196" style="position:absolute;left:30;top:2108;width:674;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qkx8YA&#10;AADcAAAADwAAAGRycy9kb3ducmV2LnhtbESPT2vCQBTE74V+h+UVequbltJodBXpH5KjRkG9PbLP&#10;JJh9G7Jbk/bTu4LgcZiZ3zCzxWAacabO1ZYVvI4iEMSF1TWXCrabn5cxCOeRNTaWScEfOVjMHx9m&#10;mGjb85rOuS9FgLBLUEHlfZtI6YqKDLqRbYmDd7SdQR9kV0rdYR/gppFvUfQhDdYcFips6bOi4pT/&#10;GgXpuF3uM/vfl833Id2tdpOvzcQr9fw0LKcgPA3+Hr61M63gPY7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qkx8YAAADcAAAADwAAAAAAAAAAAAAAAACYAgAAZHJz&#10;L2Rvd25yZXYueG1sUEsFBgAAAAAEAAQA9QAAAIsDAAAAAA==&#10;" filled="f" stroked="f">
                    <v:textbox inset="0,0,0,0">
                      <w:txbxContent>
                        <w:p w14:paraId="229E00B4" w14:textId="77777777" w:rsidR="00960899" w:rsidRDefault="00960899" w:rsidP="009E0CC9">
                          <w:r>
                            <w:rPr>
                              <w:rFonts w:ascii="Cambria" w:hAnsi="Cambria" w:cs="Cambria"/>
                              <w:color w:val="000000"/>
                              <w:sz w:val="14"/>
                              <w:szCs w:val="14"/>
                            </w:rPr>
                            <w:t>Female (20</w:t>
                          </w:r>
                        </w:p>
                      </w:txbxContent>
                    </v:textbox>
                  </v:rect>
                  <v:rect id="Rectangle 475" o:spid="_x0000_s1197" style="position:absolute;left:656;top:2108;width:71;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UwtcEA&#10;AADcAAAADwAAAGRycy9kb3ducmV2LnhtbERPy4rCMBTdC/5DuII7TR3E0WoUcRRd+gJ1d2mubbG5&#10;KU20nfl6sxhweTjv2aIxhXhR5XLLCgb9CARxYnXOqYLzadMbg3AeWWNhmRT8koPFvN2aYaxtzQd6&#10;HX0qQgi7GBVk3pexlC7JyKDr25I4cHdbGfQBVqnUFdYh3BTyK4pG0mDOoSHDklYZJY/j0yjYjsvl&#10;dWf/6rRY37aX/WXyc5p4pbqdZjkF4anxH/G/e6cVDL/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lMLXBAAAA3AAAAA8AAAAAAAAAAAAAAAAAmAIAAGRycy9kb3du&#10;cmV2LnhtbFBLBQYAAAAABAAEAPUAAACGAwAAAAA=&#10;" filled="f" stroked="f">
                    <v:textbox inset="0,0,0,0">
                      <w:txbxContent>
                        <w:p w14:paraId="31F97DA1" w14:textId="77777777" w:rsidR="00960899" w:rsidRDefault="00960899" w:rsidP="009E0CC9">
                          <w:r>
                            <w:rPr>
                              <w:rFonts w:ascii="Cambria" w:hAnsi="Cambria" w:cs="Cambria"/>
                              <w:color w:val="000000"/>
                              <w:sz w:val="14"/>
                              <w:szCs w:val="14"/>
                            </w:rPr>
                            <w:t>–</w:t>
                          </w:r>
                        </w:p>
                      </w:txbxContent>
                    </v:textbox>
                  </v:rect>
                  <v:rect id="Rectangle 476" o:spid="_x0000_s1198" style="position:absolute;left:726;top:2108;width:209;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mVLsUA&#10;AADcAAAADwAAAGRycy9kb3ducmV2LnhtbESPT2vCQBTE74V+h+UVvNWNRaqJriJV0WP9A+rtkX0m&#10;wezbkF1N6qd3C4LHYWZ+w4ynrSnFjWpXWFbQ60YgiFOrC84U7HfLzyEI55E1lpZJwR85mE7e38aY&#10;aNvwhm5bn4kAYZeggtz7KpHSpTkZdF1bEQfvbGuDPsg6k7rGJsBNKb+i6FsaLDgs5FjRT07pZXs1&#10;ClbDanZc23uTlYvT6vB7iOe72CvV+WhnIxCeWv8KP9trraA/iO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aZUuxQAAANwAAAAPAAAAAAAAAAAAAAAAAJgCAABkcnMv&#10;ZG93bnJldi54bWxQSwUGAAAAAAQABAD1AAAAigMAAAAA&#10;" filled="f" stroked="f">
                    <v:textbox inset="0,0,0,0">
                      <w:txbxContent>
                        <w:p w14:paraId="24AB2C61" w14:textId="77777777" w:rsidR="00960899" w:rsidRDefault="00960899" w:rsidP="009E0CC9">
                          <w:r>
                            <w:rPr>
                              <w:rFonts w:ascii="Cambria" w:hAnsi="Cambria" w:cs="Cambria"/>
                              <w:color w:val="000000"/>
                              <w:sz w:val="14"/>
                              <w:szCs w:val="14"/>
                            </w:rPr>
                            <w:t>64)</w:t>
                          </w:r>
                        </w:p>
                      </w:txbxContent>
                    </v:textbox>
                  </v:rect>
                  <v:rect id="Rectangle 477" o:spid="_x0000_s1199" style="position:absolute;left:1493;top:2118;width:339;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ZMlMEA&#10;AADcAAAADwAAAGRycy9kb3ducmV2LnhtbERPy4rCMBTdC/5DuII7TRWR2jGK+ECXjgo6u0tzpy3T&#10;3JQm2urXm8WAy8N5z5etKcWDaldYVjAaRiCIU6sLzhRczrtBDMJ5ZI2lZVLwJAfLRbczx0Tbhr/p&#10;cfKZCCHsElSQe18lUro0J4NuaCviwP3a2qAPsM6krrEJ4aaU4yiaSoMFh4YcK1rnlP6d7kbBPq5W&#10;t4N9NVm5/dlfj9fZ5jzzSvV77eoLhKfWf8T/7oNWMInD/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TJTBAAAA3AAAAA8AAAAAAAAAAAAAAAAAmAIAAGRycy9kb3du&#10;cmV2LnhtbFBLBQYAAAAABAAEAPUAAACGAwAAAAA=&#10;" filled="f" stroked="f">
                    <v:textbox inset="0,0,0,0">
                      <w:txbxContent>
                        <w:p w14:paraId="0245D790" w14:textId="77777777" w:rsidR="00960899" w:rsidRDefault="00960899" w:rsidP="009E0CC9">
                          <w:r>
                            <w:rPr>
                              <w:rFonts w:ascii="Cambria" w:hAnsi="Cambria" w:cs="Cambria"/>
                              <w:color w:val="000000"/>
                              <w:sz w:val="14"/>
                              <w:szCs w:val="14"/>
                            </w:rPr>
                            <w:t>60.68</w:t>
                          </w:r>
                        </w:p>
                      </w:txbxContent>
                    </v:textbox>
                  </v:rect>
                  <v:rect id="Rectangle 478" o:spid="_x0000_s1200" style="position:absolute;left:2522;top:2118;width:339;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rpD8QA&#10;AADcAAAADwAAAGRycy9kb3ducmV2LnhtbESPQYvCMBSE74L/ITxhb5q6yFKrUcRV9OiqoN4ezbMt&#10;Ni+liba7v94sCB6HmfmGmc5bU4oH1a6wrGA4iEAQp1YXnCk4Htb9GITzyBpLy6TglxzMZ93OFBNt&#10;G/6hx95nIkDYJagg975KpHRpTgbdwFbEwbva2qAPss6krrEJcFPKzyj6kgYLDgs5VrTMKb3t70bB&#10;Jq4W5639a7Jyddmcdqfx92HslfrotYsJCE+tf4df7a1WMIq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K6Q/EAAAA3AAAAA8AAAAAAAAAAAAAAAAAmAIAAGRycy9k&#10;b3ducmV2LnhtbFBLBQYAAAAABAAEAPUAAACJAwAAAAA=&#10;" filled="f" stroked="f">
                    <v:textbox inset="0,0,0,0">
                      <w:txbxContent>
                        <w:p w14:paraId="4EB3F151" w14:textId="77777777" w:rsidR="00960899" w:rsidRDefault="00960899" w:rsidP="009E0CC9">
                          <w:r>
                            <w:rPr>
                              <w:rFonts w:ascii="Cambria" w:hAnsi="Cambria" w:cs="Cambria"/>
                              <w:color w:val="000000"/>
                              <w:sz w:val="14"/>
                              <w:szCs w:val="14"/>
                            </w:rPr>
                            <w:t>45.88</w:t>
                          </w:r>
                        </w:p>
                      </w:txbxContent>
                    </v:textbox>
                  </v:rect>
                  <v:rect id="Rectangle 479" o:spid="_x0000_s1201" style="position:absolute;left:3661;top:2118;width:26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h3eMYA&#10;AADcAAAADwAAAGRycy9kb3ducmV2LnhtbESPQWvCQBSE7wX/w/KE3uqmQUqMrhK0Eo+tCra3R/aZ&#10;hGbfhuw2SfvruwXB4zAz3zCrzWga0VPnassKnmcRCOLC6ppLBefT/ikB4TyyxsYyKfghB5v15GGF&#10;qbYDv1N/9KUIEHYpKqi8b1MpXVGRQTezLXHwrrYz6IPsSqk7HALcNDKOohdpsOawUGFL24qKr+O3&#10;UZAnbfZxsL9D2bx+5pe3y2J3WnilHqdjtgThafT38K190ArmS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h3eMYAAADcAAAADwAAAAAAAAAAAAAAAACYAgAAZHJz&#10;L2Rvd25yZXYueG1sUEsFBgAAAAAEAAQA9QAAAIsDAAAAAA==&#10;" filled="f" stroked="f">
                    <v:textbox inset="0,0,0,0">
                      <w:txbxContent>
                        <w:p w14:paraId="1ACBD171" w14:textId="77777777" w:rsidR="00960899" w:rsidRDefault="00960899" w:rsidP="009E0CC9">
                          <w:r>
                            <w:rPr>
                              <w:rFonts w:ascii="Cambria" w:hAnsi="Cambria" w:cs="Cambria"/>
                              <w:color w:val="000000"/>
                              <w:sz w:val="14"/>
                              <w:szCs w:val="14"/>
                            </w:rPr>
                            <w:t>14.8</w:t>
                          </w:r>
                        </w:p>
                      </w:txbxContent>
                    </v:textbox>
                  </v:rect>
                  <v:rect id="Rectangle 480" o:spid="_x0000_s1202" style="position:absolute;left:4640;top:2118;width:339;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TS48YA&#10;AADcAAAADwAAAGRycy9kb3ducmV2LnhtbESPT2vCQBTE74V+h+UVvNWNVUqM2Yj0D3qsUVBvj+wz&#10;CWbfhuzWxH76bqHgcZiZ3zDpcjCNuFLnassKJuMIBHFhdc2lgv3u8zkG4TyyxsYyKbiRg2X2+JBi&#10;om3PW7rmvhQBwi5BBZX3bSKlKyoy6Ma2JQ7e2XYGfZBdKXWHfYCbRr5E0as0WHNYqLClt4qKS/5t&#10;FKzjdnXc2J++bD5O68PXYf6+m3ulRk/DagHC0+Dv4f/2RiuYxV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TS48YAAADcAAAADwAAAAAAAAAAAAAAAACYAgAAZHJz&#10;L2Rvd25yZXYueG1sUEsFBgAAAAAEAAQA9QAAAIsDAAAAAA==&#10;" filled="f" stroked="f">
                    <v:textbox inset="0,0,0,0">
                      <w:txbxContent>
                        <w:p w14:paraId="4C566A73" w14:textId="77777777" w:rsidR="00960899" w:rsidRDefault="00960899" w:rsidP="009E0CC9">
                          <w:r>
                            <w:rPr>
                              <w:rFonts w:ascii="Cambria" w:hAnsi="Cambria" w:cs="Cambria"/>
                              <w:color w:val="000000"/>
                              <w:sz w:val="14"/>
                              <w:szCs w:val="14"/>
                            </w:rPr>
                            <w:t>12.13</w:t>
                          </w:r>
                        </w:p>
                      </w:txbxContent>
                    </v:textbox>
                  </v:rect>
                  <v:rect id="Rectangle 481" o:spid="_x0000_s1203" style="position:absolute;left:5588;top:2118;width:339;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1Kl8YA&#10;AADcAAAADwAAAGRycy9kb3ducmV2LnhtbESPQWvCQBSE7wX/w/KE3ppNi0iM2QTRFj22KtjeHtln&#10;Epp9G7Jbk/rruwXB4zAz3zBZMZpWXKh3jWUFz1EMgri0uuFKwfHw9pSAcB5ZY2uZFPySgyKfPGSY&#10;ajvwB132vhIBwi5FBbX3XSqlK2sy6CLbEQfvbHuDPsi+krrHIcBNK1/ieC4NNhwWauxoXVP5vf8x&#10;CrZJt/rc2etQta9f29P7abE5LLxSj9NxtQThafT38K290wpmyQz+z4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1Kl8YAAADcAAAADwAAAAAAAAAAAAAAAACYAgAAZHJz&#10;L2Rvd25yZXYueG1sUEsFBgAAAAAEAAQA9QAAAIsDAAAAAA==&#10;" filled="f" stroked="f">
                    <v:textbox inset="0,0,0,0">
                      <w:txbxContent>
                        <w:p w14:paraId="3DBE8068" w14:textId="77777777" w:rsidR="00960899" w:rsidRDefault="00960899" w:rsidP="009E0CC9">
                          <w:r>
                            <w:rPr>
                              <w:rFonts w:ascii="Cambria" w:hAnsi="Cambria" w:cs="Cambria"/>
                              <w:color w:val="000000"/>
                              <w:sz w:val="14"/>
                              <w:szCs w:val="14"/>
                            </w:rPr>
                            <w:t>54.01</w:t>
                          </w:r>
                        </w:p>
                      </w:txbxContent>
                    </v:textbox>
                  </v:rect>
                  <v:rect id="Rectangle 482" o:spid="_x0000_s1204" style="position:absolute;left:6566;top:2118;width:339;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vDMYA&#10;AADcAAAADwAAAGRycy9kb3ducmV2LnhtbESPT2vCQBTE74V+h+UVvNWNRUuM2Yj0D3qsUVBvj+wz&#10;CWbfhuzWxH76bqHgcZiZ3zDpcjCNuFLnassKJuMIBHFhdc2lgv3u8zkG4TyyxsYyKbiRg2X2+JBi&#10;om3PW7rmvhQBwi5BBZX3bSKlKyoy6Ma2JQ7e2XYGfZBdKXWHfYCbRr5E0as0WHNYqLClt4qKS/5t&#10;FKzjdnXc2J++bD5O68PXYf6+m3ulRk/DagHC0+Dv4f/2RiuYxj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HvDMYAAADcAAAADwAAAAAAAAAAAAAAAACYAgAAZHJz&#10;L2Rvd25yZXYueG1sUEsFBgAAAAAEAAQA9QAAAIsDAAAAAA==&#10;" filled="f" stroked="f">
                    <v:textbox inset="0,0,0,0">
                      <w:txbxContent>
                        <w:p w14:paraId="4D7847C0" w14:textId="77777777" w:rsidR="00960899" w:rsidRDefault="00960899" w:rsidP="009E0CC9">
                          <w:r>
                            <w:rPr>
                              <w:rFonts w:ascii="Cambria" w:hAnsi="Cambria" w:cs="Cambria"/>
                              <w:color w:val="000000"/>
                              <w:sz w:val="14"/>
                              <w:szCs w:val="14"/>
                            </w:rPr>
                            <w:t>31.33</w:t>
                          </w:r>
                        </w:p>
                      </w:txbxContent>
                    </v:textbox>
                  </v:rect>
                  <v:rect id="Rectangle 483" o:spid="_x0000_s1205" style="position:absolute;left:7635;top:2118;width:339;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Nxe8UA&#10;AADcAAAADwAAAGRycy9kb3ducmV2LnhtbESPT4vCMBTE78J+h/AWvGmqiNRqFNl10aN/FtTbo3m2&#10;xealNFlb/fRGEPY4zMxvmNmiNaW4Ue0KywoG/QgEcWp1wZmC38NPLwbhPLLG0jIpuJODxfyjM8NE&#10;24Z3dNv7TAQIuwQV5N5XiZQuzcmg69uKOHgXWxv0QdaZ1DU2AW5KOYyisTRYcFjIsaKvnNLr/s8o&#10;WMfV8rSxjyYrV+f1cXucfB8mXqnuZ7ucgvDU+v/wu73RCkbx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I3F7xQAAANwAAAAPAAAAAAAAAAAAAAAAAJgCAABkcnMv&#10;ZG93bnJldi54bWxQSwUGAAAAAAQABAD1AAAAigMAAAAA&#10;" filled="f" stroked="f">
                    <v:textbox inset="0,0,0,0">
                      <w:txbxContent>
                        <w:p w14:paraId="40778BDD" w14:textId="77777777" w:rsidR="00960899" w:rsidRDefault="00960899" w:rsidP="009E0CC9">
                          <w:r>
                            <w:rPr>
                              <w:rFonts w:ascii="Cambria" w:hAnsi="Cambria" w:cs="Cambria"/>
                              <w:color w:val="000000"/>
                              <w:sz w:val="14"/>
                              <w:szCs w:val="14"/>
                            </w:rPr>
                            <w:t>22.68</w:t>
                          </w:r>
                        </w:p>
                      </w:txbxContent>
                    </v:textbox>
                  </v:rect>
                  <v:rect id="Rectangle 484" o:spid="_x0000_s1206" style="position:absolute;left:8684;top:2118;width:339;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U4MYA&#10;AADcAAAADwAAAGRycy9kb3ducmV2LnhtbESPT2vCQBTE74V+h+UVvNWNRWyM2Yj0D3qsUVBvj+wz&#10;CWbfhuzWxH76bqHgcZiZ3zDpcjCNuFLnassKJuMIBHFhdc2lgv3u8zkG4TyyxsYyKbiRg2X2+JBi&#10;om3PW7rmvhQBwi5BBZX3bSKlKyoy6Ma2JQ7e2XYGfZBdKXWHfYCbRr5E0UwarDksVNjSW0XFJf82&#10;CtZxuzpu7E9fNh+n9eHrMH/fzb1So6dhtQDhafD38H97oxVM41f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U4MYAAADcAAAADwAAAAAAAAAAAAAAAACYAgAAZHJz&#10;L2Rvd25yZXYueG1sUEsFBgAAAAAEAAQA9QAAAIsDAAAAAA==&#10;" filled="f" stroked="f">
                    <v:textbox inset="0,0,0,0">
                      <w:txbxContent>
                        <w:p w14:paraId="60DC4622" w14:textId="77777777" w:rsidR="00960899" w:rsidRDefault="00960899" w:rsidP="009E0CC9">
                          <w:r>
                            <w:rPr>
                              <w:rFonts w:ascii="Cambria" w:hAnsi="Cambria" w:cs="Cambria"/>
                              <w:color w:val="000000"/>
                              <w:sz w:val="14"/>
                              <w:szCs w:val="14"/>
                            </w:rPr>
                            <w:t>20.41</w:t>
                          </w:r>
                        </w:p>
                      </w:txbxContent>
                    </v:textbox>
                  </v:rect>
                  <v:rect id="Rectangle 485" o:spid="_x0000_s1207" style="position:absolute;left:30;top:2310;width:529;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BAksEA&#10;AADcAAAADwAAAGRycy9kb3ducmV2LnhtbERPy4rCMBTdC/5DuII7TRWR2jGK+ECXjgo6u0tzpy3T&#10;3JQm2urXm8WAy8N5z5etKcWDaldYVjAaRiCIU6sLzhRczrtBDMJ5ZI2lZVLwJAfLRbczx0Tbhr/p&#10;cfKZCCHsElSQe18lUro0J4NuaCviwP3a2qAPsM6krrEJ4aaU4yiaSoMFh4YcK1rnlP6d7kbBPq5W&#10;t4N9NVm5/dlfj9fZ5jzzSvV77eoLhKfWf8T/7oNWMInD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wQJLBAAAA3AAAAA8AAAAAAAAAAAAAAAAAmAIAAGRycy9kb3du&#10;cmV2LnhtbFBLBQYAAAAABAAEAPUAAACGAwAAAAA=&#10;" filled="f" stroked="f">
                    <v:textbox inset="0,0,0,0">
                      <w:txbxContent>
                        <w:p w14:paraId="03EC0988" w14:textId="77777777" w:rsidR="00960899" w:rsidRDefault="00960899" w:rsidP="009E0CC9">
                          <w:r>
                            <w:rPr>
                              <w:rFonts w:ascii="Cambria" w:hAnsi="Cambria" w:cs="Cambria"/>
                              <w:color w:val="000000"/>
                              <w:sz w:val="14"/>
                              <w:szCs w:val="14"/>
                            </w:rPr>
                            <w:t>Male (20</w:t>
                          </w:r>
                        </w:p>
                      </w:txbxContent>
                    </v:textbox>
                  </v:rect>
                  <v:rect id="Rectangle 486" o:spid="_x0000_s1208" style="position:absolute;left:524;top:2310;width:71;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lCcUA&#10;AADcAAAADwAAAGRycy9kb3ducmV2LnhtbESPT2vCQBTE74LfYXmCN90oUpLoKuIf9Gi1YL09sq9J&#10;aPZtyK4m9tO7hUKPw8z8hlmsOlOJBzWutKxgMo5AEGdWl5wr+LjsRzEI55E1VpZJwZMcrJb93gJT&#10;bVt+p8fZ5yJA2KWooPC+TqV0WUEG3djWxMH7so1BH2STS91gG+CmktMoepMGSw4LBda0KSj7Pt+N&#10;gkNcrz+P9qfNq93tcD1dk+0l8UoNB916DsJT5//Df+2jVjCLE/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vOUJxQAAANwAAAAPAAAAAAAAAAAAAAAAAJgCAABkcnMv&#10;ZG93bnJldi54bWxQSwUGAAAAAAQABAD1AAAAigMAAAAA&#10;" filled="f" stroked="f">
                    <v:textbox inset="0,0,0,0">
                      <w:txbxContent>
                        <w:p w14:paraId="6FC3A682" w14:textId="77777777" w:rsidR="00960899" w:rsidRDefault="00960899" w:rsidP="009E0CC9">
                          <w:r>
                            <w:rPr>
                              <w:rFonts w:ascii="Cambria" w:hAnsi="Cambria" w:cs="Cambria"/>
                              <w:color w:val="000000"/>
                              <w:sz w:val="14"/>
                              <w:szCs w:val="14"/>
                            </w:rPr>
                            <w:t>–</w:t>
                          </w:r>
                        </w:p>
                      </w:txbxContent>
                    </v:textbox>
                  </v:rect>
                  <v:rect id="Rectangle 487" o:spid="_x0000_s1209" style="position:absolute;left:595;top:2310;width:209;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aScEA&#10;AADcAAAADwAAAGRycy9kb3ducmV2LnhtbERPy4rCMBTdC/5DuII7TRUR2zGK+ECXjgo6u0tzpy3T&#10;3JQm2urXm8WAy8N5z5etKcWDaldYVjAaRiCIU6sLzhRczrvBDITzyBpLy6TgSQ6Wi25njom2DX/T&#10;4+QzEULYJagg975KpHRpTgbd0FbEgfu1tUEfYJ1JXWMTwk0px1E0lQYLDg05VrTOKf073Y2C/axa&#10;3Q721WTl9md/PV7jzTn2SvV77eoLhKfWf8T/7oNWMInD/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f2knBAAAA3AAAAA8AAAAAAAAAAAAAAAAAmAIAAGRycy9kb3du&#10;cmV2LnhtbFBLBQYAAAAABAAEAPUAAACGAwAAAAA=&#10;" filled="f" stroked="f">
                    <v:textbox inset="0,0,0,0">
                      <w:txbxContent>
                        <w:p w14:paraId="537CDC89" w14:textId="77777777" w:rsidR="00960899" w:rsidRDefault="00960899" w:rsidP="009E0CC9">
                          <w:r>
                            <w:rPr>
                              <w:rFonts w:ascii="Cambria" w:hAnsi="Cambria" w:cs="Cambria"/>
                              <w:color w:val="000000"/>
                              <w:sz w:val="14"/>
                              <w:szCs w:val="14"/>
                            </w:rPr>
                            <w:t>64)</w:t>
                          </w:r>
                        </w:p>
                      </w:txbxContent>
                    </v:textbox>
                  </v:rect>
                  <v:rect id="Rectangle 488" o:spid="_x0000_s1210" style="position:absolute;left:1493;top:2320;width:339;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0sQA&#10;AADcAAAADwAAAGRycy9kb3ducmV2LnhtbESPQYvCMBSE74L/ITxhb5q6yGKrUcRV9OiqoN4ezbMt&#10;Ni+liba7v94sCB6HmfmGmc5bU4oH1a6wrGA4iEAQp1YXnCk4Htb9MQjnkTWWlknBLzmYz7qdKSba&#10;NvxDj73PRICwS1BB7n2VSOnSnAy6ga2Ig3e1tUEfZJ1JXWMT4KaUn1H0JQ0WHBZyrGiZU3rb342C&#10;zbhanLf2r8nK1WVz2p3i70PslfrotYsJCE+tf4df7a1WMIq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Tf9LEAAAA3AAAAA8AAAAAAAAAAAAAAAAAmAIAAGRycy9k&#10;b3ducmV2LnhtbFBLBQYAAAAABAAEAPUAAACJAwAAAAA=&#10;" filled="f" stroked="f">
                    <v:textbox inset="0,0,0,0">
                      <w:txbxContent>
                        <w:p w14:paraId="4C0AB53B" w14:textId="77777777" w:rsidR="00960899" w:rsidRDefault="00960899" w:rsidP="009E0CC9">
                          <w:r>
                            <w:rPr>
                              <w:rFonts w:ascii="Cambria" w:hAnsi="Cambria" w:cs="Cambria"/>
                              <w:color w:val="000000"/>
                              <w:sz w:val="14"/>
                              <w:szCs w:val="14"/>
                            </w:rPr>
                            <w:t>86.08</w:t>
                          </w:r>
                        </w:p>
                      </w:txbxContent>
                    </v:textbox>
                  </v:rect>
                  <v:rect id="Rectangle 489" o:spid="_x0000_s1211" style="position:absolute;left:2522;top:2320;width:339;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HhpcYA&#10;AADcAAAADwAAAGRycy9kb3ducmV2LnhtbESPQWvCQBSE7wX/w/KE3uqmQYqJriJaSY5tFGxvj+wz&#10;Cc2+DdmtSfvruwXB4zAz3zCrzWhacaXeNZYVPM8iEMSl1Q1XCk7Hw9MChPPIGlvLpOCHHGzWk4cV&#10;ptoO/E7XwlciQNilqKD2vkuldGVNBt3MdsTBu9jeoA+yr6TucQhw08o4il6kwYbDQo0d7Woqv4pv&#10;oyBbdNuP3P4OVfv6mZ3fzsn+mHilHqfjdgnC0+jv4Vs71wrmS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HhpcYAAADcAAAADwAAAAAAAAAAAAAAAACYAgAAZHJz&#10;L2Rvd25yZXYueG1sUEsFBgAAAAAEAAQA9QAAAIsDAAAAAA==&#10;" filled="f" stroked="f">
                    <v:textbox inset="0,0,0,0">
                      <w:txbxContent>
                        <w:p w14:paraId="4F1A1231" w14:textId="77777777" w:rsidR="00960899" w:rsidRDefault="00960899" w:rsidP="009E0CC9">
                          <w:r>
                            <w:rPr>
                              <w:rFonts w:ascii="Cambria" w:hAnsi="Cambria" w:cs="Cambria"/>
                              <w:color w:val="000000"/>
                              <w:sz w:val="14"/>
                              <w:szCs w:val="14"/>
                            </w:rPr>
                            <w:t>62.62</w:t>
                          </w:r>
                        </w:p>
                      </w:txbxContent>
                    </v:textbox>
                  </v:rect>
                  <v:rect id="Rectangle 490" o:spid="_x0000_s1212" style="position:absolute;left:3631;top:2320;width:339;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1EPsUA&#10;AADcAAAADwAAAGRycy9kb3ducmV2LnhtbESPT2vCQBTE74V+h+UVvNWNtYiJriJV0WP9A+rtkX0m&#10;wezbkF1N6qd3C4LHYWZ+w4ynrSnFjWpXWFbQ60YgiFOrC84U7HfLzyEI55E1lpZJwR85mE7e38aY&#10;aNvwhm5bn4kAYZeggtz7KpHSpTkZdF1bEQfvbGuDPsg6k7rGJsBNKb+iaCANFhwWcqzoJ6f0sr0a&#10;BathNTuu7b3JysVpdfg9xPNd7JXqfLSzEQhPrX+Fn+21VvAd9+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jUQ+xQAAANwAAAAPAAAAAAAAAAAAAAAAAJgCAABkcnMv&#10;ZG93bnJldi54bWxQSwUGAAAAAAQABAD1AAAAigMAAAAA&#10;" filled="f" stroked="f">
                    <v:textbox inset="0,0,0,0">
                      <w:txbxContent>
                        <w:p w14:paraId="38865FA2" w14:textId="77777777" w:rsidR="00960899" w:rsidRDefault="00960899" w:rsidP="009E0CC9">
                          <w:r>
                            <w:rPr>
                              <w:rFonts w:ascii="Cambria" w:hAnsi="Cambria" w:cs="Cambria"/>
                              <w:color w:val="000000"/>
                              <w:sz w:val="14"/>
                              <w:szCs w:val="14"/>
                            </w:rPr>
                            <w:t>23.46</w:t>
                          </w:r>
                        </w:p>
                      </w:txbxContent>
                    </v:textbox>
                  </v:rect>
                  <v:rect id="Rectangle 491" o:spid="_x0000_s1213" style="position:absolute;left:4640;top:2320;width:339;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TcSsUA&#10;AADcAAAADwAAAGRycy9kb3ducmV2LnhtbESPT4vCMBTE78J+h/AWvGmqyGKrUWRX0aN/FtTbo3m2&#10;xealNNHW/fRGEPY4zMxvmOm8NaW4U+0KywoG/QgEcWp1wZmC38OqNwbhPLLG0jIpeJCD+eyjM8VE&#10;24Z3dN/7TAQIuwQV5N5XiZQuzcmg69uKOHgXWxv0QdaZ1DU2AW5KOYyiL2mw4LCQY0XfOaXX/c0o&#10;WI+rxWlj/5qsXJ7Xx+0x/jnEXqnuZ7uYgPDU+v/wu73RCkbxC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ZNxKxQAAANwAAAAPAAAAAAAAAAAAAAAAAJgCAABkcnMv&#10;ZG93bnJldi54bWxQSwUGAAAAAAQABAD1AAAAigMAAAAA&#10;" filled="f" stroked="f">
                    <v:textbox inset="0,0,0,0">
                      <w:txbxContent>
                        <w:p w14:paraId="6DD173F5" w14:textId="77777777" w:rsidR="00960899" w:rsidRDefault="00960899" w:rsidP="009E0CC9">
                          <w:r>
                            <w:rPr>
                              <w:rFonts w:ascii="Cambria" w:hAnsi="Cambria" w:cs="Cambria"/>
                              <w:color w:val="000000"/>
                              <w:sz w:val="14"/>
                              <w:szCs w:val="14"/>
                            </w:rPr>
                            <w:t>14.71</w:t>
                          </w:r>
                        </w:p>
                      </w:txbxContent>
                    </v:textbox>
                  </v:rect>
                  <v:rect id="Rectangle 492" o:spid="_x0000_s1214" style="position:absolute;left:5588;top:2320;width:339;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h50cUA&#10;AADcAAAADwAAAGRycy9kb3ducmV2LnhtbESPT2vCQBTE74V+h+UVvNWNxYqJriJV0WP9A+rtkX0m&#10;wezbkF1N6qd3C4LHYWZ+w4ynrSnFjWpXWFbQ60YgiFOrC84U7HfLzyEI55E1lpZJwR85mE7e38aY&#10;aNvwhm5bn4kAYZeggtz7KpHSpTkZdF1bEQfvbGuDPsg6k7rGJsBNKb+iaCANFhwWcqzoJ6f0sr0a&#10;BathNTuu7b3JysVpdfg9xPNd7JXqfLSzEQhPrX+Fn+21VtCPv+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KHnRxQAAANwAAAAPAAAAAAAAAAAAAAAAAJgCAABkcnMv&#10;ZG93bnJldi54bWxQSwUGAAAAAAQABAD1AAAAigMAAAAA&#10;" filled="f" stroked="f">
                    <v:textbox inset="0,0,0,0">
                      <w:txbxContent>
                        <w:p w14:paraId="03FF1C25" w14:textId="77777777" w:rsidR="00960899" w:rsidRDefault="00960899" w:rsidP="009E0CC9">
                          <w:r>
                            <w:rPr>
                              <w:rFonts w:ascii="Cambria" w:hAnsi="Cambria" w:cs="Cambria"/>
                              <w:color w:val="000000"/>
                              <w:sz w:val="14"/>
                              <w:szCs w:val="14"/>
                            </w:rPr>
                            <w:t>82.93</w:t>
                          </w:r>
                        </w:p>
                      </w:txbxContent>
                    </v:textbox>
                  </v:rect>
                  <v:rect id="Rectangle 493" o:spid="_x0000_s1215" style="position:absolute;left:6566;top:2320;width:339;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rnpsUA&#10;AADcAAAADwAAAGRycy9kb3ducmV2LnhtbESPT4vCMBTE78J+h/AWvGmqiNhqFNl10aN/FtTbo3m2&#10;xealNFlb/fRGEPY4zMxvmNmiNaW4Ue0KywoG/QgEcWp1wZmC38NPbwLCeWSNpWVScCcHi/lHZ4aJ&#10;tg3v6Lb3mQgQdgkqyL2vEildmpNB17cVcfAutjbog6wzqWtsAtyUchhFY2mw4LCQY0VfOaXX/Z9R&#10;sJ5Uy9PGPpqsXJ3Xx+0x/j7EXqnuZ7ucgvDU+v/wu73RCkbx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uemxQAAANwAAAAPAAAAAAAAAAAAAAAAAJgCAABkcnMv&#10;ZG93bnJldi54bWxQSwUGAAAAAAQABAD1AAAAigMAAAAA&#10;" filled="f" stroked="f">
                    <v:textbox inset="0,0,0,0">
                      <w:txbxContent>
                        <w:p w14:paraId="05622685" w14:textId="77777777" w:rsidR="00960899" w:rsidRDefault="00960899" w:rsidP="009E0CC9">
                          <w:r>
                            <w:rPr>
                              <w:rFonts w:ascii="Cambria" w:hAnsi="Cambria" w:cs="Cambria"/>
                              <w:color w:val="000000"/>
                              <w:sz w:val="14"/>
                              <w:szCs w:val="14"/>
                            </w:rPr>
                            <w:t>49.33</w:t>
                          </w:r>
                        </w:p>
                      </w:txbxContent>
                    </v:textbox>
                  </v:rect>
                  <v:rect id="Rectangle 494" o:spid="_x0000_s1216" style="position:absolute;left:7676;top:2320;width:26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ZCPcUA&#10;AADcAAAADwAAAGRycy9kb3ducmV2LnhtbESPT2vCQBTE74V+h+UVvNWNRaqJriJV0WP9A+rtkX0m&#10;wezbkF1N6qd3C4LHYWZ+w4ynrSnFjWpXWFbQ60YgiFOrC84U7HfLzyEI55E1lpZJwR85mE7e38aY&#10;aNvwhm5bn4kAYZeggtz7KpHSpTkZdF1bEQfvbGuDPsg6k7rGJsBNKb+i6FsaLDgs5FjRT07pZXs1&#10;ClbDanZc23uTlYvT6vB7iOe72CvV+WhnIxCeWv8KP9trraAfD+D/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tkI9xQAAANwAAAAPAAAAAAAAAAAAAAAAAJgCAABkcnMv&#10;ZG93bnJldi54bWxQSwUGAAAAAAQABAD1AAAAigMAAAAA&#10;" filled="f" stroked="f">
                    <v:textbox inset="0,0,0,0">
                      <w:txbxContent>
                        <w:p w14:paraId="595CC128" w14:textId="77777777" w:rsidR="00960899" w:rsidRDefault="00960899" w:rsidP="009E0CC9">
                          <w:r>
                            <w:rPr>
                              <w:rFonts w:ascii="Cambria" w:hAnsi="Cambria" w:cs="Cambria"/>
                              <w:color w:val="000000"/>
                              <w:sz w:val="14"/>
                              <w:szCs w:val="14"/>
                            </w:rPr>
                            <w:t>33.6</w:t>
                          </w:r>
                        </w:p>
                      </w:txbxContent>
                    </v:textbox>
                  </v:rect>
                  <v:rect id="Rectangle 495" o:spid="_x0000_s1217" style="position:absolute;left:8684;top:2320;width:339;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nWT8EA&#10;AADcAAAADwAAAGRycy9kb3ducmV2LnhtbERPy4rCMBTdC/5DuII7TRUR2zGK+ECXjgo6u0tzpy3T&#10;3JQm2urXm8WAy8N5z5etKcWDaldYVjAaRiCIU6sLzhRczrvBDITzyBpLy6TgSQ6Wi25njom2DX/T&#10;4+QzEULYJagg975KpHRpTgbd0FbEgfu1tUEfYJ1JXWMTwk0px1E0lQYLDg05VrTOKf073Y2C/axa&#10;3Q721WTl9md/PV7jzTn2SvV77eoLhKfWf8T/7oNWMInD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p1k/BAAAA3AAAAA8AAAAAAAAAAAAAAAAAmAIAAGRycy9kb3du&#10;cmV2LnhtbFBLBQYAAAAABAAEAPUAAACGAwAAAAA=&#10;" filled="f" stroked="f">
                    <v:textbox inset="0,0,0,0">
                      <w:txbxContent>
                        <w:p w14:paraId="621FFA7D" w14:textId="77777777" w:rsidR="00960899" w:rsidRDefault="00960899" w:rsidP="009E0CC9">
                          <w:r>
                            <w:rPr>
                              <w:rFonts w:ascii="Cambria" w:hAnsi="Cambria" w:cs="Cambria"/>
                              <w:color w:val="000000"/>
                              <w:sz w:val="14"/>
                              <w:szCs w:val="14"/>
                            </w:rPr>
                            <w:t>23.64</w:t>
                          </w:r>
                        </w:p>
                      </w:txbxContent>
                    </v:textbox>
                  </v:rect>
                  <v:rect id="Rectangle 496" o:spid="_x0000_s1218" style="position:absolute;left:30;top:2511;width:883;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Vz1MQA&#10;AADcAAAADwAAAGRycy9kb3ducmV2LnhtbESPT4vCMBTE78J+h/AEb5oqy2KrUWR10aP/QL09mmdb&#10;bF5KE23dT2+EhT0OM/MbZjpvTSkeVLvCsoLhIAJBnFpdcKbgePjpj0E4j6yxtEwKnuRgPvvoTDHR&#10;tuEdPfY+EwHCLkEFufdVIqVLczLoBrYiDt7V1gZ9kHUmdY1NgJtSjqLoSxosOCzkWNF3TultfzcK&#10;1uNqcd7Y3yYrV5f1aXuKl4fYK9XrtosJCE+t/w//tTdawWccw/tMO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lc9TEAAAA3AAAAA8AAAAAAAAAAAAAAAAAmAIAAGRycy9k&#10;b3ducmV2LnhtbFBLBQYAAAAABAAEAPUAAACJAwAAAAA=&#10;" filled="f" stroked="f">
                    <v:textbox inset="0,0,0,0">
                      <w:txbxContent>
                        <w:p w14:paraId="56F55EE6" w14:textId="77777777" w:rsidR="00960899" w:rsidRDefault="00960899" w:rsidP="009E0CC9">
                          <w:r>
                            <w:rPr>
                              <w:rFonts w:ascii="Cambria" w:hAnsi="Cambria" w:cs="Cambria"/>
                              <w:b/>
                              <w:bCs/>
                              <w:color w:val="000000"/>
                              <w:sz w:val="14"/>
                              <w:szCs w:val="14"/>
                            </w:rPr>
                            <w:t>Rural (20-64)</w:t>
                          </w:r>
                        </w:p>
                      </w:txbxContent>
                    </v:textbox>
                  </v:rect>
                  <v:rect id="Rectangle 497" o:spid="_x0000_s1219" style="position:absolute;left:1473;top:2521;width:365;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RAU8MA&#10;AADcAAAADwAAAGRycy9kb3ducmV2LnhtbERPTWvCQBC9F/wPywi91Y1Ci8ZsRLQlOdZYsN6G7DQJ&#10;zc6G7DZJ++u7B8Hj430nu8m0YqDeNZYVLBcRCOLS6oYrBR/nt6c1COeRNbaWScEvOdils4cEY21H&#10;PtFQ+EqEEHYxKqi972IpXVmTQbewHXHgvmxv0AfYV1L3OIZw08pVFL1Igw2Hhho7OtRUfhc/RkG2&#10;7vafuf0bq/b1ml3eL5vjeeOVepxP+y0IT5O/i2/uXCt4jsL8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RAU8MAAADcAAAADwAAAAAAAAAAAAAAAACYAgAAZHJzL2Rv&#10;d25yZXYueG1sUEsFBgAAAAAEAAQA9QAAAIgDAAAAAA==&#10;" filled="f" stroked="f">
                    <v:textbox inset="0,0,0,0">
                      <w:txbxContent>
                        <w:p w14:paraId="100EB2FD" w14:textId="77777777" w:rsidR="00960899" w:rsidRDefault="00960899" w:rsidP="009E0CC9">
                          <w:r>
                            <w:rPr>
                              <w:rFonts w:ascii="Cambria" w:hAnsi="Cambria" w:cs="Cambria"/>
                              <w:b/>
                              <w:bCs/>
                              <w:color w:val="000000"/>
                              <w:sz w:val="14"/>
                              <w:szCs w:val="14"/>
                            </w:rPr>
                            <w:t>84.72</w:t>
                          </w:r>
                        </w:p>
                      </w:txbxContent>
                    </v:textbox>
                  </v:rect>
                  <v:rect id="Rectangle 498" o:spid="_x0000_s1220" style="position:absolute;left:2542;top:2521;width:28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lyMUA&#10;AADcAAAADwAAAGRycy9kb3ducmV2LnhtbESPQWvCQBSE74L/YXlCb2aTgqKpq4it6LFVIe3tkX1N&#10;gtm3IbtNUn99tyB4HGbmG2a1GUwtOmpdZVlBEsUgiHOrKy4UXM776QKE88gaa8uk4JccbNbj0QpT&#10;bXv+oO7kCxEg7FJUUHrfpFK6vCSDLrINcfC+bWvQB9kWUrfYB7ip5XMcz6XBisNCiQ3tSsqvpx+j&#10;4LBotp9He+uL+u3rkL1ny9fz0iv1NBm2LyA8Df4RvrePWsEsTuD/TDg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OXIxQAAANwAAAAPAAAAAAAAAAAAAAAAAJgCAABkcnMv&#10;ZG93bnJldi54bWxQSwUGAAAAAAQABAD1AAAAigMAAAAA&#10;" filled="f" stroked="f">
                    <v:textbox inset="0,0,0,0">
                      <w:txbxContent>
                        <w:p w14:paraId="42BAB2E5" w14:textId="77777777" w:rsidR="00960899" w:rsidRDefault="00960899" w:rsidP="009E0CC9">
                          <w:r>
                            <w:rPr>
                              <w:rFonts w:ascii="Cambria" w:hAnsi="Cambria" w:cs="Cambria"/>
                              <w:b/>
                              <w:bCs/>
                              <w:color w:val="000000"/>
                              <w:sz w:val="14"/>
                              <w:szCs w:val="14"/>
                            </w:rPr>
                            <w:t>78.8</w:t>
                          </w:r>
                        </w:p>
                      </w:txbxContent>
                    </v:textbox>
                  </v:rect>
                  <v:rect id="Rectangle 499" o:spid="_x0000_s1221" style="position:absolute;left:3651;top:2521;width:28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p7v8YA&#10;AADcAAAADwAAAGRycy9kb3ducmV2LnhtbESPT2vCQBTE7wW/w/KE3pqNAYumriL+QY+tCmlvj+xr&#10;Esy+Ddk1SfvpuwXB4zAzv2EWq8HUoqPWVZYVTKIYBHFudcWFgst5/zID4TyyxtoyKfghB6vl6GmB&#10;qbY9f1B38oUIEHYpKii9b1IpXV6SQRfZhjh437Y16INsC6lb7APc1DKJ41dpsOKwUGJDm5Ly6+lm&#10;FBxmzfrzaH/7ot59HbL3bL49z71Sz+Nh/QbC0+Af4Xv7qBVM4w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p7v8YAAADcAAAADwAAAAAAAAAAAAAAAACYAgAAZHJz&#10;L2Rvd25yZXYueG1sUEsFBgAAAAAEAAQA9QAAAIsDAAAAAA==&#10;" filled="f" stroked="f">
                    <v:textbox inset="0,0,0,0">
                      <w:txbxContent>
                        <w:p w14:paraId="04BD5822" w14:textId="77777777" w:rsidR="00960899" w:rsidRDefault="00960899" w:rsidP="009E0CC9">
                          <w:r>
                            <w:rPr>
                              <w:rFonts w:ascii="Cambria" w:hAnsi="Cambria" w:cs="Cambria"/>
                              <w:b/>
                              <w:bCs/>
                              <w:color w:val="000000"/>
                              <w:sz w:val="14"/>
                              <w:szCs w:val="14"/>
                            </w:rPr>
                            <w:t>5.92</w:t>
                          </w:r>
                        </w:p>
                      </w:txbxContent>
                    </v:textbox>
                  </v:rect>
                  <v:rect id="Rectangle 500" o:spid="_x0000_s1222" style="position:absolute;left:4660;top:2521;width:28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eJMUA&#10;AADcAAAADwAAAGRycy9kb3ducmV2LnhtbESPS4vCQBCE7wv7H4Ze8LZOVnH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t4kxQAAANwAAAAPAAAAAAAAAAAAAAAAAJgCAABkcnMv&#10;ZG93bnJldi54bWxQSwUGAAAAAAQABAD1AAAAigMAAAAA&#10;" filled="f" stroked="f">
                    <v:textbox inset="0,0,0,0">
                      <w:txbxContent>
                        <w:p w14:paraId="3E5939D8" w14:textId="77777777" w:rsidR="00960899" w:rsidRDefault="00960899" w:rsidP="009E0CC9">
                          <w:r>
                            <w:rPr>
                              <w:rFonts w:ascii="Cambria" w:hAnsi="Cambria" w:cs="Cambria"/>
                              <w:b/>
                              <w:bCs/>
                              <w:color w:val="000000"/>
                              <w:sz w:val="14"/>
                              <w:szCs w:val="14"/>
                            </w:rPr>
                            <w:t>3.85</w:t>
                          </w:r>
                        </w:p>
                      </w:txbxContent>
                    </v:textbox>
                  </v:rect>
                  <v:rect id="Rectangle 501" o:spid="_x0000_s1223" style="position:absolute;left:5568;top:2521;width:365;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9GUMUA&#10;AADcAAAADwAAAGRycy9kb3ducmV2LnhtbESPS4vCQBCE7wv7H4Ze8LZOVnT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j0ZQxQAAANwAAAAPAAAAAAAAAAAAAAAAAJgCAABkcnMv&#10;ZG93bnJldi54bWxQSwUGAAAAAAQABAD1AAAAigMAAAAA&#10;" filled="f" stroked="f">
                    <v:textbox inset="0,0,0,0">
                      <w:txbxContent>
                        <w:p w14:paraId="0B773BAF" w14:textId="77777777" w:rsidR="00960899" w:rsidRDefault="00960899" w:rsidP="009E0CC9">
                          <w:r>
                            <w:rPr>
                              <w:rFonts w:ascii="Cambria" w:hAnsi="Cambria" w:cs="Cambria"/>
                              <w:b/>
                              <w:bCs/>
                              <w:color w:val="000000"/>
                              <w:sz w:val="14"/>
                              <w:szCs w:val="14"/>
                            </w:rPr>
                            <w:t>69.77</w:t>
                          </w:r>
                        </w:p>
                      </w:txbxContent>
                    </v:textbox>
                  </v:rect>
                  <v:rect id="Rectangle 502" o:spid="_x0000_s1224" style="position:absolute;left:6546;top:2521;width:365;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Pjy8UA&#10;AADcAAAADwAAAGRycy9kb3ducmV2LnhtbESPQWvCQBSE7wX/w/KE3pqNhYimriJa0WOrQtrbI/ua&#10;BLNvQ3ZNUn99tyB4HGbmG2axGkwtOmpdZVnBJIpBEOdWV1woOJ92LzMQziNrrC2Tgl9ysFqOnhaY&#10;atvzJ3VHX4gAYZeigtL7JpXS5SUZdJFtiIP3Y1uDPsi2kLrFPsBNLV/jeCoNVhwWSmxoU1J+OV6N&#10;gv2sWX8d7K0v6vfvffaRzbenuVfqeTys30B4GvwjfG8ftIIkTuD/TD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w+PLxQAAANwAAAAPAAAAAAAAAAAAAAAAAJgCAABkcnMv&#10;ZG93bnJldi54bWxQSwUGAAAAAAQABAD1AAAAigMAAAAA&#10;" filled="f" stroked="f">
                    <v:textbox inset="0,0,0,0">
                      <w:txbxContent>
                        <w:p w14:paraId="4D0E6CB8" w14:textId="77777777" w:rsidR="00960899" w:rsidRDefault="00960899" w:rsidP="009E0CC9">
                          <w:r>
                            <w:rPr>
                              <w:rFonts w:ascii="Cambria" w:hAnsi="Cambria" w:cs="Cambria"/>
                              <w:b/>
                              <w:bCs/>
                              <w:color w:val="000000"/>
                              <w:sz w:val="14"/>
                              <w:szCs w:val="14"/>
                            </w:rPr>
                            <w:t>51.87</w:t>
                          </w:r>
                        </w:p>
                      </w:txbxContent>
                    </v:textbox>
                  </v:rect>
                  <v:rect id="Rectangle 503" o:spid="_x0000_s1225" style="position:absolute;left:7615;top:2521;width:365;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F9vMUA&#10;AADcAAAADwAAAGRycy9kb3ducmV2LnhtbESPQWvCQBSE74X+h+UVequbFioaswlBW/RoVVBvj+wz&#10;Cc2+Ddmtif56tyB4HGbmGybJBtOIM3WutqzgfRSBIC6srrlUsNt+v01AOI+ssbFMCi7kIEufnxKM&#10;te35h84bX4oAYRejgsr7NpbSFRUZdCPbEgfvZDuDPsiulLrDPsBNIz+iaCwN1hwWKmxpXlHxu/kz&#10;CpaTNj+s7LUvm6/jcr/eTxfbqVfq9WXIZyA8Df4RvrdXWsFnNIb/M+EI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EX28xQAAANwAAAAPAAAAAAAAAAAAAAAAAJgCAABkcnMv&#10;ZG93bnJldi54bWxQSwUGAAAAAAQABAD1AAAAigMAAAAA&#10;" filled="f" stroked="f">
                    <v:textbox inset="0,0,0,0">
                      <w:txbxContent>
                        <w:p w14:paraId="35823581" w14:textId="77777777" w:rsidR="00960899" w:rsidRDefault="00960899" w:rsidP="009E0CC9">
                          <w:r>
                            <w:rPr>
                              <w:rFonts w:ascii="Cambria" w:hAnsi="Cambria" w:cs="Cambria"/>
                              <w:b/>
                              <w:bCs/>
                              <w:color w:val="000000"/>
                              <w:sz w:val="14"/>
                              <w:szCs w:val="14"/>
                            </w:rPr>
                            <w:t>17.89</w:t>
                          </w:r>
                        </w:p>
                      </w:txbxContent>
                    </v:textbox>
                  </v:rect>
                  <v:rect id="Rectangle 504" o:spid="_x0000_s1226" style="position:absolute;left:8664;top:2521;width:365;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3YJ8UA&#10;AADcAAAADwAAAGRycy9kb3ducmV2LnhtbESPS4vCQBCE7wv7H4Ze8LZOVtDV6CjiAz36AvXWZNok&#10;bKYnZEYT/fWOsOCxqKqvqNGkMYW4UeVyywp+2hEI4sTqnFMFh/3yuw/CeWSNhWVScCcHk/Hnxwhj&#10;bWve0m3nUxEg7GJUkHlfxlK6JCODrm1L4uBdbGXQB1mlUldYB7gpZCeKetJgzmEhw5JmGSV/u6tR&#10;sOqX09PaPuq0WJxXx81xMN8PvFKtr2Y6BOGp8e/wf3utFXSjX3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XdgnxQAAANwAAAAPAAAAAAAAAAAAAAAAAJgCAABkcnMv&#10;ZG93bnJldi54bWxQSwUGAAAAAAQABAD1AAAAigMAAAAA&#10;" filled="f" stroked="f">
                    <v:textbox inset="0,0,0,0">
                      <w:txbxContent>
                        <w:p w14:paraId="67E74DA7" w14:textId="77777777" w:rsidR="00960899" w:rsidRDefault="00960899" w:rsidP="009E0CC9">
                          <w:r>
                            <w:rPr>
                              <w:rFonts w:ascii="Cambria" w:hAnsi="Cambria" w:cs="Cambria"/>
                              <w:b/>
                              <w:bCs/>
                              <w:color w:val="000000"/>
                              <w:sz w:val="14"/>
                              <w:szCs w:val="14"/>
                            </w:rPr>
                            <w:t>14.18</w:t>
                          </w:r>
                        </w:p>
                      </w:txbxContent>
                    </v:textbox>
                  </v:rect>
                  <v:rect id="Rectangle 505" o:spid="_x0000_s1227" style="position:absolute;left:30;top:2713;width:596;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JMVcMA&#10;AADcAAAADwAAAGRycy9kb3ducmV2LnhtbERPTWvCQBC9F/wPywi91Y1Ci8ZsRLQlOdZYsN6G7DQJ&#10;zc6G7DZJ++u7B8Hj430nu8m0YqDeNZYVLBcRCOLS6oYrBR/nt6c1COeRNbaWScEvOdils4cEY21H&#10;PtFQ+EqEEHYxKqi972IpXVmTQbewHXHgvmxv0AfYV1L3OIZw08pVFL1Igw2Hhho7OtRUfhc/RkG2&#10;7vafuf0bq/b1ml3eL5vjeeOVepxP+y0IT5O/i2/uXCt4jsLa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JMVcMAAADcAAAADwAAAAAAAAAAAAAAAACYAgAAZHJzL2Rv&#10;d25yZXYueG1sUEsFBgAAAAAEAAQA9QAAAIgDAAAAAA==&#10;" filled="f" stroked="f">
                    <v:textbox inset="0,0,0,0">
                      <w:txbxContent>
                        <w:p w14:paraId="6593BF7F" w14:textId="77777777" w:rsidR="00960899" w:rsidRDefault="00960899" w:rsidP="009E0CC9">
                          <w:r>
                            <w:rPr>
                              <w:rFonts w:ascii="Cambria" w:hAnsi="Cambria" w:cs="Cambria"/>
                              <w:color w:val="000000"/>
                              <w:sz w:val="14"/>
                              <w:szCs w:val="14"/>
                            </w:rPr>
                            <w:t>Youth (15</w:t>
                          </w:r>
                        </w:p>
                      </w:txbxContent>
                    </v:textbox>
                  </v:rect>
                  <v:rect id="Rectangle 506" o:spid="_x0000_s1228" style="position:absolute;left:575;top:2713;width:71;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7pzsYA&#10;AADcAAAADwAAAGRycy9kb3ducmV2LnhtbESPT2vCQBTE70K/w/KE3nRjocVE1xD6h+RoVVBvj+wz&#10;CWbfhuzWpP30bqHQ4zAzv2HW6WhacaPeNZYVLOYRCOLS6oYrBYf9x2wJwnlkja1lUvBNDtLNw2SN&#10;ibYDf9Jt5ysRIOwSVFB73yVSurImg25uO+LgXWxv0AfZV1L3OAS4aeVTFL1Igw2HhRo7eq2pvO6+&#10;jIJ82WWnwv4MVft+zo/bY/y2j71Sj9MxW4HwNPr/8F+70Aqeoxh+z4Qj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7pzsYAAADcAAAADwAAAAAAAAAAAAAAAACYAgAAZHJz&#10;L2Rvd25yZXYueG1sUEsFBgAAAAAEAAQA9QAAAIsDAAAAAA==&#10;" filled="f" stroked="f">
                    <v:textbox inset="0,0,0,0">
                      <w:txbxContent>
                        <w:p w14:paraId="09926114" w14:textId="77777777" w:rsidR="00960899" w:rsidRDefault="00960899" w:rsidP="009E0CC9">
                          <w:r>
                            <w:rPr>
                              <w:rFonts w:ascii="Cambria" w:hAnsi="Cambria" w:cs="Cambria"/>
                              <w:color w:val="000000"/>
                              <w:sz w:val="14"/>
                              <w:szCs w:val="14"/>
                            </w:rPr>
                            <w:t>–</w:t>
                          </w:r>
                        </w:p>
                      </w:txbxContent>
                    </v:textbox>
                  </v:rect>
                  <v:rect id="Rectangle 507" o:spid="_x0000_s1229" style="position:absolute;left:646;top:2713;width:209;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3WjsIA&#10;AADcAAAADwAAAGRycy9kb3ducmV2LnhtbERPTWvCQBC9C/6HZQredGPBkkRXEavo0SYF29uQHZPQ&#10;7GzIrib217uHQo+P973aDKYRd+pcbVnBfBaBIC6srrlU8JkfpjEI55E1NpZJwYMcbNbj0QpTbXv+&#10;oHvmSxFC2KWooPK+TaV0RUUG3cy2xIG72s6gD7Arpe6wD+Gmka9R9CYN1hwaKmxpV1Hxk92MgmPc&#10;br9O9rcvm/338XK+JO954pWavAzbJQhPg/8X/7lPWsFiHuaH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bdaOwgAAANwAAAAPAAAAAAAAAAAAAAAAAJgCAABkcnMvZG93&#10;bnJldi54bWxQSwUGAAAAAAQABAD1AAAAhwMAAAAA&#10;" filled="f" stroked="f">
                    <v:textbox inset="0,0,0,0">
                      <w:txbxContent>
                        <w:p w14:paraId="3A160F36" w14:textId="77777777" w:rsidR="00960899" w:rsidRDefault="00960899" w:rsidP="009E0CC9">
                          <w:r>
                            <w:rPr>
                              <w:rFonts w:ascii="Cambria" w:hAnsi="Cambria" w:cs="Cambria"/>
                              <w:color w:val="000000"/>
                              <w:sz w:val="14"/>
                              <w:szCs w:val="14"/>
                            </w:rPr>
                            <w:t>24)</w:t>
                          </w:r>
                        </w:p>
                      </w:txbxContent>
                    </v:textbox>
                  </v:rect>
                  <v:rect id="Rectangle 508" o:spid="_x0000_s1230" style="position:absolute;left:1493;top:2723;width:339;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FzFcQA&#10;AADcAAAADwAAAGRycy9kb3ducmV2LnhtbESPQYvCMBSE74L/ITxhb5p2wUWrUcRV9OiqoN4ezbMt&#10;Ni+liba7v94sCB6HmfmGmc5bU4oH1a6wrCAeRCCIU6sLzhQcD+v+CITzyBpLy6TglxzMZ93OFBNt&#10;G/6hx95nIkDYJagg975KpHRpTgbdwFbEwbva2qAPss6krrEJcFPKzyj6kgYLDgs5VrTMKb3t70bB&#10;ZlQtzlv712Tl6rI57U7j78PYK/XRaxcTEJ5a/w6/2lutYBj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hcxXEAAAA3AAAAA8AAAAAAAAAAAAAAAAAmAIAAGRycy9k&#10;b3ducmV2LnhtbFBLBQYAAAAABAAEAPUAAACJAwAAAAA=&#10;" filled="f" stroked="f">
                    <v:textbox inset="0,0,0,0">
                      <w:txbxContent>
                        <w:p w14:paraId="22A57106" w14:textId="77777777" w:rsidR="00960899" w:rsidRDefault="00960899" w:rsidP="009E0CC9">
                          <w:r>
                            <w:rPr>
                              <w:rFonts w:ascii="Cambria" w:hAnsi="Cambria" w:cs="Cambria"/>
                              <w:color w:val="000000"/>
                              <w:sz w:val="14"/>
                              <w:szCs w:val="14"/>
                            </w:rPr>
                            <w:t>45.72</w:t>
                          </w:r>
                        </w:p>
                      </w:txbxContent>
                    </v:textbox>
                  </v:rect>
                  <v:rect id="Rectangle 509" o:spid="_x0000_s1231" style="position:absolute;left:2522;top:2723;width:339;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PtYsQA&#10;AADcAAAADwAAAGRycy9kb3ducmV2LnhtbESPQYvCMBSE74L/ITxhb5oqKFqNIrqix10rqLdH82yL&#10;zUtpsrbrr98sCB6HmfmGWaxaU4oH1a6wrGA4iEAQp1YXnCk4Jbv+FITzyBpLy6Tglxyslt3OAmNt&#10;G/6mx9FnIkDYxagg976KpXRpTgbdwFbEwbvZ2qAPss6krrEJcFPKURRNpMGCw0KOFW1ySu/HH6Ng&#10;P63Wl4N9Nln5ed2fv86zbTLzSn302vUchKfWv8Ov9kErGA9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z7WLEAAAA3AAAAA8AAAAAAAAAAAAAAAAAmAIAAGRycy9k&#10;b3ducmV2LnhtbFBLBQYAAAAABAAEAPUAAACJAwAAAAA=&#10;" filled="f" stroked="f">
                    <v:textbox inset="0,0,0,0">
                      <w:txbxContent>
                        <w:p w14:paraId="1D24B56D" w14:textId="77777777" w:rsidR="00960899" w:rsidRDefault="00960899" w:rsidP="009E0CC9">
                          <w:r>
                            <w:rPr>
                              <w:rFonts w:ascii="Cambria" w:hAnsi="Cambria" w:cs="Cambria"/>
                              <w:color w:val="000000"/>
                              <w:sz w:val="14"/>
                              <w:szCs w:val="14"/>
                            </w:rPr>
                            <w:t>34.84</w:t>
                          </w:r>
                        </w:p>
                      </w:txbxContent>
                    </v:textbox>
                  </v:rect>
                  <v:rect id="Rectangle 510" o:spid="_x0000_s1232" style="position:absolute;left:3631;top:2723;width:339;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9I+cYA&#10;AADcAAAADwAAAGRycy9kb3ducmV2LnhtbESPQWvCQBSE7wX/w/IEb3Wj0hJTVxG1mGObCNrbI/ua&#10;hGbfhuzWpP56t1DocZiZb5jVZjCNuFLnassKZtMIBHFhdc2lglP++hiDcB5ZY2OZFPyQg8169LDC&#10;RNue3+ma+VIECLsEFVTet4mUrqjIoJvaljh4n7Yz6IPsSqk77APcNHIeRc/SYM1hocKWdhUVX9m3&#10;UXCM2+0ltbe+bA4fx/PbebnPl16pyXjYvoDwNPj/8F871QqeZgv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9I+cYAAADcAAAADwAAAAAAAAAAAAAAAACYAgAAZHJz&#10;L2Rvd25yZXYueG1sUEsFBgAAAAAEAAQA9QAAAIsDAAAAAA==&#10;" filled="f" stroked="f">
                    <v:textbox inset="0,0,0,0">
                      <w:txbxContent>
                        <w:p w14:paraId="4E252161" w14:textId="77777777" w:rsidR="00960899" w:rsidRDefault="00960899" w:rsidP="009E0CC9">
                          <w:r>
                            <w:rPr>
                              <w:rFonts w:ascii="Cambria" w:hAnsi="Cambria" w:cs="Cambria"/>
                              <w:color w:val="000000"/>
                              <w:sz w:val="14"/>
                              <w:szCs w:val="14"/>
                            </w:rPr>
                            <w:t>10.88</w:t>
                          </w:r>
                        </w:p>
                      </w:txbxContent>
                    </v:textbox>
                  </v:rect>
                  <v:rect id="Rectangle 511" o:spid="_x0000_s1233" style="position:absolute;left:4670;top:2723;width:26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bQjcYA&#10;AADcAAAADwAAAGRycy9kb3ducmV2LnhtbESPQWvCQBSE7wX/w/IEb3Wj2BJTVxG1mGObCNrbI/ua&#10;hGbfhuzWpP56t1DocZiZb5jVZjCNuFLnassKZtMIBHFhdc2lglP++hiDcB5ZY2OZFPyQg8169LDC&#10;RNue3+ma+VIECLsEFVTet4mUrqjIoJvaljh4n7Yz6IPsSqk77APcNHIeRc/SYM1hocKWdhUVX9m3&#10;UXCM2+0ltbe+bA4fx/PbebnPl16pyXjYvoDwNPj/8F871QqeZgv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bQjcYAAADcAAAADwAAAAAAAAAAAAAAAACYAgAAZHJz&#10;L2Rvd25yZXYueG1sUEsFBgAAAAAEAAQA9QAAAIsDAAAAAA==&#10;" filled="f" stroked="f">
                    <v:textbox inset="0,0,0,0">
                      <w:txbxContent>
                        <w:p w14:paraId="68D9A9B1" w14:textId="77777777" w:rsidR="00960899" w:rsidRDefault="00960899" w:rsidP="009E0CC9">
                          <w:r>
                            <w:rPr>
                              <w:rFonts w:ascii="Cambria" w:hAnsi="Cambria" w:cs="Cambria"/>
                              <w:color w:val="000000"/>
                              <w:sz w:val="14"/>
                              <w:szCs w:val="14"/>
                            </w:rPr>
                            <w:t>8.44</w:t>
                          </w:r>
                        </w:p>
                      </w:txbxContent>
                    </v:textbox>
                  </v:rect>
                  <v:rect id="Rectangle 512" o:spid="_x0000_s1234" style="position:absolute;left:5618;top:2723;width:26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p1FsQA&#10;AADcAAAADwAAAGRycy9kb3ducmV2LnhtbESPQYvCMBSE74L/ITxhb5q64KJdo4iu6FGtoHt7NM+2&#10;2LyUJtru/nojCB6HmfmGmc5bU4o71a6wrGA4iEAQp1YXnCk4Juv+GITzyBpLy6TgjxzMZ93OFGNt&#10;G97T/eAzESDsYlSQe1/FUro0J4NuYCvi4F1sbdAHWWdS19gEuCnlZxR9SYMFh4UcK1rmlF4PN6Ng&#10;M64W5639b7Ly53dz2p0mq2TilfrotYtvEJ5a/w6/2lutYDQcwf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adRbEAAAA3AAAAA8AAAAAAAAAAAAAAAAAmAIAAGRycy9k&#10;b3ducmV2LnhtbFBLBQYAAAAABAAEAPUAAACJAwAAAAA=&#10;" filled="f" stroked="f">
                    <v:textbox inset="0,0,0,0">
                      <w:txbxContent>
                        <w:p w14:paraId="71E252CF" w14:textId="77777777" w:rsidR="00960899" w:rsidRDefault="00960899" w:rsidP="009E0CC9">
                          <w:r>
                            <w:rPr>
                              <w:rFonts w:ascii="Cambria" w:hAnsi="Cambria" w:cs="Cambria"/>
                              <w:color w:val="000000"/>
                              <w:sz w:val="14"/>
                              <w:szCs w:val="14"/>
                            </w:rPr>
                            <w:t>33.3</w:t>
                          </w:r>
                        </w:p>
                      </w:txbxContent>
                    </v:textbox>
                  </v:rect>
                  <v:rect id="Rectangle 513" o:spid="_x0000_s1235" style="position:absolute;left:6566;top:2723;width:339;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jrYcQA&#10;AADcAAAADwAAAGRycy9kb3ducmV2LnhtbESPQYvCMBSE74L/ITzBm6YuKFqNIrqiR1cF9fZonm2x&#10;eSlNtNVfbxYW9jjMzDfMbNGYQjypcrllBYN+BII4sTrnVMHpuOmNQTiPrLGwTApe5GAxb7dmGGtb&#10;8w89Dz4VAcIuRgWZ92UspUsyMuj6tiQO3s1WBn2QVSp1hXWAm0J+RdFIGsw5LGRY0iqj5H54GAXb&#10;cbm87Oy7Tovv6/a8P0/Wx4lXqttpllMQnhr/H/5r77SC4WAE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I62HEAAAA3AAAAA8AAAAAAAAAAAAAAAAAmAIAAGRycy9k&#10;b3ducmV2LnhtbFBLBQYAAAAABAAEAPUAAACJAwAAAAA=&#10;" filled="f" stroked="f">
                    <v:textbox inset="0,0,0,0">
                      <w:txbxContent>
                        <w:p w14:paraId="2DF58F18" w14:textId="77777777" w:rsidR="00960899" w:rsidRDefault="00960899" w:rsidP="009E0CC9">
                          <w:r>
                            <w:rPr>
                              <w:rFonts w:ascii="Cambria" w:hAnsi="Cambria" w:cs="Cambria"/>
                              <w:color w:val="000000"/>
                              <w:sz w:val="14"/>
                              <w:szCs w:val="14"/>
                            </w:rPr>
                            <w:t>20.33</w:t>
                          </w:r>
                        </w:p>
                      </w:txbxContent>
                    </v:textbox>
                  </v:rect>
                  <v:rect id="Rectangle 514" o:spid="_x0000_s1236" style="position:absolute;left:7635;top:2723;width:339;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RO+sYA&#10;AADcAAAADwAAAGRycy9kb3ducmV2LnhtbESPQWvCQBSE7wX/w/IEb3WjYBtTVxG1mGObCNrbI/ua&#10;hGbfhuzWpP56t1DocZiZb5jVZjCNuFLnassKZtMIBHFhdc2lglP++hiDcB5ZY2OZFPyQg8169LDC&#10;RNue3+ma+VIECLsEFVTet4mUrqjIoJvaljh4n7Yz6IPsSqk77APcNHIeRU/SYM1hocKWdhUVX9m3&#10;UXCM2+0ltbe+bA4fx/PbebnPl16pyXjYvoDwNPj/8F871QoWs2f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oRO+sYAAADcAAAADwAAAAAAAAAAAAAAAACYAgAAZHJz&#10;L2Rvd25yZXYueG1sUEsFBgAAAAAEAAQA9QAAAIsDAAAAAA==&#10;" filled="f" stroked="f">
                    <v:textbox inset="0,0,0,0">
                      <w:txbxContent>
                        <w:p w14:paraId="6EDE795B" w14:textId="77777777" w:rsidR="00960899" w:rsidRDefault="00960899" w:rsidP="009E0CC9">
                          <w:r>
                            <w:rPr>
                              <w:rFonts w:ascii="Cambria" w:hAnsi="Cambria" w:cs="Cambria"/>
                              <w:color w:val="000000"/>
                              <w:sz w:val="14"/>
                              <w:szCs w:val="14"/>
                            </w:rPr>
                            <w:t>12.97</w:t>
                          </w:r>
                        </w:p>
                      </w:txbxContent>
                    </v:textbox>
                  </v:rect>
                  <v:rect id="Rectangle 515" o:spid="_x0000_s1237" style="position:absolute;left:8684;top:2723;width:339;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vaiMIA&#10;AADcAAAADwAAAGRycy9kb3ducmV2LnhtbERPTWvCQBC9C/6HZQredGPBkkRXEavo0SYF29uQHZPQ&#10;7GzIrib217uHQo+P973aDKYRd+pcbVnBfBaBIC6srrlU8JkfpjEI55E1NpZJwYMcbNbj0QpTbXv+&#10;oHvmSxFC2KWooPK+TaV0RUUG3cy2xIG72s6gD7Arpe6wD+Gmka9R9CYN1hwaKmxpV1Hxk92MgmPc&#10;br9O9rcvm/338XK+JO954pWavAzbJQhPg/8X/7lPWsFiHtaG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G9qIwgAAANwAAAAPAAAAAAAAAAAAAAAAAJgCAABkcnMvZG93&#10;bnJldi54bWxQSwUGAAAAAAQABAD1AAAAhwMAAAAA&#10;" filled="f" stroked="f">
                    <v:textbox inset="0,0,0,0">
                      <w:txbxContent>
                        <w:p w14:paraId="79F83FAB" w14:textId="77777777" w:rsidR="00960899" w:rsidRDefault="00960899" w:rsidP="009E0CC9">
                          <w:r>
                            <w:rPr>
                              <w:rFonts w:ascii="Cambria" w:hAnsi="Cambria" w:cs="Cambria"/>
                              <w:color w:val="000000"/>
                              <w:sz w:val="14"/>
                              <w:szCs w:val="14"/>
                            </w:rPr>
                            <w:t>11.77</w:t>
                          </w:r>
                        </w:p>
                      </w:txbxContent>
                    </v:textbox>
                  </v:rect>
                  <v:rect id="Rectangle 516" o:spid="_x0000_s1238" style="position:absolute;left:30;top:2915;width:674;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d/E8QA&#10;AADcAAAADwAAAGRycy9kb3ducmV2LnhtbESPQYvCMBSE74L/ITxhb5q64GKrUcRV9OiqoN4ezbMt&#10;Ni+liba7v94sCB6HmfmGmc5bU4oH1a6wrGA4iEAQp1YXnCk4Htb9MQjnkTWWlknBLzmYz7qdKSba&#10;NvxDj73PRICwS1BB7n2VSOnSnAy6ga2Ig3e1tUEfZJ1JXWMT4KaUn1H0JQ0WHBZyrGiZU3rb342C&#10;zbhanLf2r8nK1WVz2p3i70PslfrotYsJCE+tf4df7a1WMBr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XfxPEAAAA3AAAAA8AAAAAAAAAAAAAAAAAmAIAAGRycy9k&#10;b3ducmV2LnhtbFBLBQYAAAAABAAEAPUAAACJAwAAAAA=&#10;" filled="f" stroked="f">
                    <v:textbox inset="0,0,0,0">
                      <w:txbxContent>
                        <w:p w14:paraId="3ECC7ECB" w14:textId="77777777" w:rsidR="00960899" w:rsidRDefault="00960899" w:rsidP="009E0CC9">
                          <w:r>
                            <w:rPr>
                              <w:rFonts w:ascii="Cambria" w:hAnsi="Cambria" w:cs="Cambria"/>
                              <w:color w:val="000000"/>
                              <w:sz w:val="14"/>
                              <w:szCs w:val="14"/>
                            </w:rPr>
                            <w:t>Female (20</w:t>
                          </w:r>
                        </w:p>
                      </w:txbxContent>
                    </v:textbox>
                  </v:rect>
                  <v:rect id="Rectangle 517" o:spid="_x0000_s1239" style="position:absolute;left:656;top:2915;width:71;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EcM8MA&#10;AADcAAAADwAAAGRycy9kb3ducmV2LnhtbERPy2rCQBTdF/yH4Qrd1YkBi4mOIj7QZWsK6u6SuSbB&#10;zJ2QGZO0X99ZFLo8nPdyPZhadNS6yrKC6SQCQZxbXXGh4Cs7vM1BOI+ssbZMCr7JwXo1elliqm3P&#10;n9SdfSFCCLsUFZTeN6mULi/JoJvYhjhwd9sa9AG2hdQt9iHc1DKOondpsOLQUGJD25Lyx/lpFBzn&#10;zeZ6sj99Ue9vx8vHJdlliVfqdTxsFiA8Df5f/Oc+aQWzOMwP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EcM8MAAADcAAAADwAAAAAAAAAAAAAAAACYAgAAZHJzL2Rv&#10;d25yZXYueG1sUEsFBgAAAAAEAAQA9QAAAIgDAAAAAA==&#10;" filled="f" stroked="f">
                    <v:textbox inset="0,0,0,0">
                      <w:txbxContent>
                        <w:p w14:paraId="30BF5EE1" w14:textId="77777777" w:rsidR="00960899" w:rsidRDefault="00960899" w:rsidP="009E0CC9">
                          <w:r>
                            <w:rPr>
                              <w:rFonts w:ascii="Cambria" w:hAnsi="Cambria" w:cs="Cambria"/>
                              <w:color w:val="000000"/>
                              <w:sz w:val="14"/>
                              <w:szCs w:val="14"/>
                            </w:rPr>
                            <w:t>–</w:t>
                          </w:r>
                        </w:p>
                      </w:txbxContent>
                    </v:textbox>
                  </v:rect>
                  <v:rect id="Rectangle 518" o:spid="_x0000_s1240" style="position:absolute;left:726;top:2915;width:209;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25qMQA&#10;AADcAAAADwAAAGRycy9kb3ducmV2LnhtbESPQYvCMBSE74L/ITxhb5oqKFqNIrqix10rqLdH82yL&#10;zUtpsrbrr98sCB6HmfmGWaxaU4oH1a6wrGA4iEAQp1YXnCk4Jbv+FITzyBpLy6Tglxyslt3OAmNt&#10;G/6mx9FnIkDYxagg976KpXRpTgbdwFbEwbvZ2qAPss6krrEJcFPKURRNpMGCw0KOFW1ySu/HH6Ng&#10;P63Wl4N9Nln5ed2fv86zbTLzSn302vUchKfWv8Ov9kErGI+G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NuajEAAAA3AAAAA8AAAAAAAAAAAAAAAAAmAIAAGRycy9k&#10;b3ducmV2LnhtbFBLBQYAAAAABAAEAPUAAACJAwAAAAA=&#10;" filled="f" stroked="f">
                    <v:textbox inset="0,0,0,0">
                      <w:txbxContent>
                        <w:p w14:paraId="13FB68CC" w14:textId="77777777" w:rsidR="00960899" w:rsidRDefault="00960899" w:rsidP="009E0CC9">
                          <w:r>
                            <w:rPr>
                              <w:rFonts w:ascii="Cambria" w:hAnsi="Cambria" w:cs="Cambria"/>
                              <w:color w:val="000000"/>
                              <w:sz w:val="14"/>
                              <w:szCs w:val="14"/>
                            </w:rPr>
                            <w:t>64)</w:t>
                          </w:r>
                        </w:p>
                      </w:txbxContent>
                    </v:textbox>
                  </v:rect>
                  <v:rect id="Rectangle 519" o:spid="_x0000_s1241" style="position:absolute;left:1493;top:2925;width:339;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8n38UA&#10;AADcAAAADwAAAGRycy9kb3ducmV2LnhtbESPT4vCMBTE78J+h/AWvGlqYUWrUWTXRY/+WVBvj+bZ&#10;FpuX0kRb/fRGEPY4zMxvmOm8NaW4Ue0KywoG/QgEcWp1wZmCv/1vbwTCeWSNpWVScCcH89lHZ4qJ&#10;tg1v6bbzmQgQdgkqyL2vEildmpNB17cVcfDOtjbog6wzqWtsAtyUMo6ioTRYcFjIsaLvnNLL7moU&#10;rEbV4ri2jyYrl6fVYXMY/+zHXqnuZ7uYgPDU+v/wu73WCr7i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nyffxQAAANwAAAAPAAAAAAAAAAAAAAAAAJgCAABkcnMv&#10;ZG93bnJldi54bWxQSwUGAAAAAAQABAD1AAAAigMAAAAA&#10;" filled="f" stroked="f">
                    <v:textbox inset="0,0,0,0">
                      <w:txbxContent>
                        <w:p w14:paraId="49C4AAFC" w14:textId="77777777" w:rsidR="00960899" w:rsidRDefault="00960899" w:rsidP="009E0CC9">
                          <w:r>
                            <w:rPr>
                              <w:rFonts w:ascii="Cambria" w:hAnsi="Cambria" w:cs="Cambria"/>
                              <w:color w:val="000000"/>
                              <w:sz w:val="14"/>
                              <w:szCs w:val="14"/>
                            </w:rPr>
                            <w:t>76.75</w:t>
                          </w:r>
                        </w:p>
                      </w:txbxContent>
                    </v:textbox>
                  </v:rect>
                  <v:rect id="Rectangle 520" o:spid="_x0000_s1242" style="position:absolute;left:2522;top:2925;width:339;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OCRMUA&#10;AADcAAAADwAAAGRycy9kb3ducmV2LnhtbESPT4vCMBTE78J+h/AW9qbpuihajSKrix79B+rt0Tzb&#10;YvNSmqytfnojCB6HmfkNM542phBXqlxuWcF3JwJBnFidc6pgv/trD0A4j6yxsEwKbuRgOvlojTHW&#10;tuYNXbc+FQHCLkYFmfdlLKVLMjLoOrYkDt7ZVgZ9kFUqdYV1gJtCdqOoLw3mHBYyLOk3o+Sy/TcK&#10;loNydlzZe50Wi9PysD4M57uhV+rrs5mNQHhq/Dv8aq+0gl73B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04JExQAAANwAAAAPAAAAAAAAAAAAAAAAAJgCAABkcnMv&#10;ZG93bnJldi54bWxQSwUGAAAAAAQABAD1AAAAigMAAAAA&#10;" filled="f" stroked="f">
                    <v:textbox inset="0,0,0,0">
                      <w:txbxContent>
                        <w:p w14:paraId="71B29667" w14:textId="77777777" w:rsidR="00960899" w:rsidRDefault="00960899" w:rsidP="009E0CC9">
                          <w:r>
                            <w:rPr>
                              <w:rFonts w:ascii="Cambria" w:hAnsi="Cambria" w:cs="Cambria"/>
                              <w:color w:val="000000"/>
                              <w:sz w:val="14"/>
                              <w:szCs w:val="14"/>
                            </w:rPr>
                            <w:t>72.72</w:t>
                          </w:r>
                        </w:p>
                      </w:txbxContent>
                    </v:textbox>
                  </v:rect>
                  <v:rect id="Rectangle 521" o:spid="_x0000_s1243" style="position:absolute;left:3661;top:2925;width:26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oaMMUA&#10;AADcAAAADwAAAGRycy9kb3ducmV2LnhtbESPT4vCMBTE78J+h/AW9qbpyipajSKrix79B+rt0Tzb&#10;YvNSmqytfnojCB6HmfkNM542phBXqlxuWcF3JwJBnFidc6pgv/trD0A4j6yxsEwKbuRgOvlojTHW&#10;tuYNXbc+FQHCLkYFmfdlLKVLMjLoOrYkDt7ZVgZ9kFUqdYV1gJtCdqOoLw3mHBYyLOk3o+Sy/TcK&#10;loNydlzZe50Wi9PysD4M57uhV+rrs5mNQHhq/Dv8aq+0gl73B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OhowxQAAANwAAAAPAAAAAAAAAAAAAAAAAJgCAABkcnMv&#10;ZG93bnJldi54bWxQSwUGAAAAAAQABAD1AAAAigMAAAAA&#10;" filled="f" stroked="f">
                    <v:textbox inset="0,0,0,0">
                      <w:txbxContent>
                        <w:p w14:paraId="338CEE3C" w14:textId="77777777" w:rsidR="00960899" w:rsidRDefault="00960899" w:rsidP="009E0CC9">
                          <w:r>
                            <w:rPr>
                              <w:rFonts w:ascii="Cambria" w:hAnsi="Cambria" w:cs="Cambria"/>
                              <w:color w:val="000000"/>
                              <w:sz w:val="14"/>
                              <w:szCs w:val="14"/>
                            </w:rPr>
                            <w:t>4.04</w:t>
                          </w:r>
                        </w:p>
                      </w:txbxContent>
                    </v:textbox>
                  </v:rect>
                  <v:rect id="Rectangle 522" o:spid="_x0000_s1244" style="position:absolute;left:4670;top:2925;width:26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a/q8YA&#10;AADcAAAADwAAAGRycy9kb3ducmV2LnhtbESPQWvCQBSE74L/YXmF3symgqKpq4itmGObFNLeHtnX&#10;JDT7NmRXk/rruwXB4zAz3zCb3WhacaHeNZYVPEUxCOLS6oYrBR/5cbYC4TyyxtYyKfglB7vtdLLB&#10;RNuB3+mS+UoECLsEFdTed4mUrqzJoItsRxy8b9sb9EH2ldQ9DgFuWjmP46U02HBYqLGjQ03lT3Y2&#10;Ck6rbv+Z2utQta9fp+KtWL/ka6/U48O4fwbhafT38K2dagWL+QL+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3a/q8YAAADcAAAADwAAAAAAAAAAAAAAAACYAgAAZHJz&#10;L2Rvd25yZXYueG1sUEsFBgAAAAAEAAQA9QAAAIsDAAAAAA==&#10;" filled="f" stroked="f">
                    <v:textbox inset="0,0,0,0">
                      <w:txbxContent>
                        <w:p w14:paraId="43A0E2D3" w14:textId="77777777" w:rsidR="00960899" w:rsidRDefault="00960899" w:rsidP="009E0CC9">
                          <w:r>
                            <w:rPr>
                              <w:rFonts w:ascii="Cambria" w:hAnsi="Cambria" w:cs="Cambria"/>
                              <w:color w:val="000000"/>
                              <w:sz w:val="14"/>
                              <w:szCs w:val="14"/>
                            </w:rPr>
                            <w:t>3.15</w:t>
                          </w:r>
                        </w:p>
                      </w:txbxContent>
                    </v:textbox>
                  </v:rect>
                  <v:rect id="Rectangle 523" o:spid="_x0000_s1245" style="position:absolute;left:5588;top:2925;width:339;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Qh3MQA&#10;AADcAAAADwAAAGRycy9kb3ducmV2LnhtbESPT4vCMBTE74LfITzBm6YKilajiLrocf0D6u3RPNti&#10;81KarK1++o2wsMdhZn7DzJeNKcSTKpdbVjDoRyCIE6tzThWcT1+9CQjnkTUWlknBixwsF+3WHGNt&#10;az7Q8+hTESDsYlSQeV/GUrokI4Oub0vi4N1tZdAHWaVSV1gHuCnkMIrG0mDOYSHDktYZJY/jj1Gw&#10;m5Sr696+67TY3naX78t0c5p6pbqdZjUD4anx/+G/9l4rGA3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IdzEAAAA3AAAAA8AAAAAAAAAAAAAAAAAmAIAAGRycy9k&#10;b3ducmV2LnhtbFBLBQYAAAAABAAEAPUAAACJAwAAAAA=&#10;" filled="f" stroked="f">
                    <v:textbox inset="0,0,0,0">
                      <w:txbxContent>
                        <w:p w14:paraId="10431478" w14:textId="77777777" w:rsidR="00960899" w:rsidRDefault="00960899" w:rsidP="009E0CC9">
                          <w:r>
                            <w:rPr>
                              <w:rFonts w:ascii="Cambria" w:hAnsi="Cambria" w:cs="Cambria"/>
                              <w:color w:val="000000"/>
                              <w:sz w:val="14"/>
                              <w:szCs w:val="14"/>
                            </w:rPr>
                            <w:t>62.41</w:t>
                          </w:r>
                        </w:p>
                      </w:txbxContent>
                    </v:textbox>
                  </v:rect>
                  <v:rect id="Rectangle 524" o:spid="_x0000_s1246" style="position:absolute;left:6566;top:2925;width:339;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iER8UA&#10;AADcAAAADwAAAGRycy9kb3ducmV2LnhtbESPS4vCQBCE78L+h6EX9qaTFdZHdBRZXfToC9Rbk2mT&#10;YKYnZGZN9Nc7guCxqKqvqPG0MYW4UuVyywq+OxEI4sTqnFMF+91fewDCeWSNhWVScCMH08lHa4yx&#10;tjVv6Lr1qQgQdjEqyLwvYyldkpFB17ElcfDOtjLog6xSqSusA9wUshtFPWkw57CQYUm/GSWX7b9R&#10;sByUs+PK3uu0WJyWh/VhON8NvVJfn81sBMJT49/hV3ulFfx0+/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6IRHxQAAANwAAAAPAAAAAAAAAAAAAAAAAJgCAABkcnMv&#10;ZG93bnJldi54bWxQSwUGAAAAAAQABAD1AAAAigMAAAAA&#10;" filled="f" stroked="f">
                    <v:textbox inset="0,0,0,0">
                      <w:txbxContent>
                        <w:p w14:paraId="3A3EC3F8" w14:textId="77777777" w:rsidR="00960899" w:rsidRDefault="00960899" w:rsidP="009E0CC9">
                          <w:r>
                            <w:rPr>
                              <w:rFonts w:ascii="Cambria" w:hAnsi="Cambria" w:cs="Cambria"/>
                              <w:color w:val="000000"/>
                              <w:sz w:val="14"/>
                              <w:szCs w:val="14"/>
                            </w:rPr>
                            <w:t>51.87</w:t>
                          </w:r>
                        </w:p>
                      </w:txbxContent>
                    </v:textbox>
                  </v:rect>
                  <v:rect id="Rectangle 525" o:spid="_x0000_s1247" style="position:absolute;left:7635;top:2925;width:339;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cQNcMA&#10;AADcAAAADwAAAGRycy9kb3ducmV2LnhtbERPy2rCQBTdF/yH4Qrd1YkBi4mOIj7QZWsK6u6SuSbB&#10;zJ2QGZO0X99ZFLo8nPdyPZhadNS6yrKC6SQCQZxbXXGh4Cs7vM1BOI+ssbZMCr7JwXo1elliqm3P&#10;n9SdfSFCCLsUFZTeN6mULi/JoJvYhjhwd9sa9AG2hdQt9iHc1DKOondpsOLQUGJD25Lyx/lpFBzn&#10;zeZ6sj99Ue9vx8vHJdlliVfqdTxsFiA8Df5f/Oc+aQWzOKwN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cQNcMAAADcAAAADwAAAAAAAAAAAAAAAACYAgAAZHJzL2Rv&#10;d25yZXYueG1sUEsFBgAAAAAEAAQA9QAAAIgDAAAAAA==&#10;" filled="f" stroked="f">
                    <v:textbox inset="0,0,0,0">
                      <w:txbxContent>
                        <w:p w14:paraId="76E9560C" w14:textId="77777777" w:rsidR="00960899" w:rsidRDefault="00960899" w:rsidP="009E0CC9">
                          <w:r>
                            <w:rPr>
                              <w:rFonts w:ascii="Cambria" w:hAnsi="Cambria" w:cs="Cambria"/>
                              <w:color w:val="000000"/>
                              <w:sz w:val="14"/>
                              <w:szCs w:val="14"/>
                            </w:rPr>
                            <w:t>10.55</w:t>
                          </w:r>
                        </w:p>
                      </w:txbxContent>
                    </v:textbox>
                  </v:rect>
                  <v:rect id="Rectangle 526" o:spid="_x0000_s1248" style="position:absolute;left:8725;top:2925;width:26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u1rsYA&#10;AADcAAAADwAAAGRycy9kb3ducmV2LnhtbESPQWvCQBSE7wX/w/KE3uqmAYuJriJaSY5tFGxvj+wz&#10;Cc2+DdmtSfvruwXB4zAz3zCrzWhacaXeNZYVPM8iEMSl1Q1XCk7Hw9MChPPIGlvLpOCHHGzWk4cV&#10;ptoO/E7XwlciQNilqKD2vkuldGVNBt3MdsTBu9jeoA+yr6TucQhw08o4il6kwYbDQo0d7Woqv4pv&#10;oyBbdNuP3P4OVfv6mZ3fzsn+mHilHqfjdgnC0+jv4Vs71wrmcQL/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u1rsYAAADcAAAADwAAAAAAAAAAAAAAAACYAgAAZHJz&#10;L2Rvd25yZXYueG1sUEsFBgAAAAAEAAQA9QAAAIsDAAAAAA==&#10;" filled="f" stroked="f">
                    <v:textbox inset="0,0,0,0">
                      <w:txbxContent>
                        <w:p w14:paraId="695577E8" w14:textId="77777777" w:rsidR="00960899" w:rsidRDefault="00960899" w:rsidP="009E0CC9">
                          <w:r>
                            <w:rPr>
                              <w:rFonts w:ascii="Cambria" w:hAnsi="Cambria" w:cs="Cambria"/>
                              <w:color w:val="000000"/>
                              <w:sz w:val="14"/>
                              <w:szCs w:val="14"/>
                            </w:rPr>
                            <w:t>9.36</w:t>
                          </w:r>
                        </w:p>
                      </w:txbxContent>
                    </v:textbox>
                  </v:rect>
                  <v:rect id="Rectangle 527" o:spid="_x0000_s1249" style="position:absolute;left:30;top:3106;width:529;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iK7sEA&#10;AADcAAAADwAAAGRycy9kb3ducmV2LnhtbERPy4rCMBTdC/5DuII7TR1x0GoUcRRd+gJ1d2mubbG5&#10;KU20nfl6sxhweTjv2aIxhXhR5XLLCgb9CARxYnXOqYLzadMbg3AeWWNhmRT8koPFvN2aYaxtzQd6&#10;HX0qQgi7GBVk3pexlC7JyKDr25I4cHdbGfQBVqnUFdYh3BTyK4q+pcGcQ0OGJa0ySh7Hp1GwHZfL&#10;687+1Wmxvm0v+8vk5zTxSnU7zXIKwlPjP+J/904rGA3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Yiu7BAAAA3AAAAA8AAAAAAAAAAAAAAAAAmAIAAGRycy9kb3du&#10;cmV2LnhtbFBLBQYAAAAABAAEAPUAAACGAwAAAAA=&#10;" filled="f" stroked="f">
                    <v:textbox inset="0,0,0,0">
                      <w:txbxContent>
                        <w:p w14:paraId="280E4F27" w14:textId="77777777" w:rsidR="00960899" w:rsidRDefault="00960899" w:rsidP="009E0CC9">
                          <w:r>
                            <w:rPr>
                              <w:rFonts w:ascii="Cambria" w:hAnsi="Cambria" w:cs="Cambria"/>
                              <w:color w:val="000000"/>
                              <w:sz w:val="14"/>
                              <w:szCs w:val="14"/>
                            </w:rPr>
                            <w:t>Male (20</w:t>
                          </w:r>
                        </w:p>
                      </w:txbxContent>
                    </v:textbox>
                  </v:rect>
                  <v:rect id="Rectangle 528" o:spid="_x0000_s1250" style="position:absolute;left:524;top:3106;width:71;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QvdcYA&#10;AADcAAAADwAAAGRycy9kb3ducmV2LnhtbESPQWvCQBSE7wX/w/IEb3Wj0hJTVxG1mGObCNrbI/ua&#10;hGbfhuzWpP56t1DocZiZb5jVZjCNuFLnassKZtMIBHFhdc2lglP++hiDcB5ZY2OZFPyQg8169LDC&#10;RNue3+ma+VIECLsEFVTet4mUrqjIoJvaljh4n7Yz6IPsSqk77APcNHIeRc/SYM1hocKWdhUVX9m3&#10;UXCM2+0ltbe+bA4fx/PbebnPl16pyXjYvoDwNPj/8F871QqeFj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QvdcYAAADcAAAADwAAAAAAAAAAAAAAAACYAgAAZHJz&#10;L2Rvd25yZXYueG1sUEsFBgAAAAAEAAQA9QAAAIsDAAAAAA==&#10;" filled="f" stroked="f">
                    <v:textbox inset="0,0,0,0">
                      <w:txbxContent>
                        <w:p w14:paraId="28F2F082" w14:textId="77777777" w:rsidR="00960899" w:rsidRDefault="00960899" w:rsidP="009E0CC9">
                          <w:r>
                            <w:rPr>
                              <w:rFonts w:ascii="Cambria" w:hAnsi="Cambria" w:cs="Cambria"/>
                              <w:color w:val="000000"/>
                              <w:sz w:val="14"/>
                              <w:szCs w:val="14"/>
                            </w:rPr>
                            <w:t>–</w:t>
                          </w:r>
                        </w:p>
                      </w:txbxContent>
                    </v:textbox>
                  </v:rect>
                  <v:rect id="Rectangle 529" o:spid="_x0000_s1251" style="position:absolute;left:595;top:3106;width:209;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axAsUA&#10;AADcAAAADwAAAGRycy9kb3ducmV2LnhtbESPT4vCMBTE78J+h/AW9qbpuihajSKrix79B+rt0Tzb&#10;YvNSmqytfnojCB6HmfkNM542phBXqlxuWcF3JwJBnFidc6pgv/trD0A4j6yxsEwKbuRgOvlojTHW&#10;tuYNXbc+FQHCLkYFmfdlLKVLMjLoOrYkDt7ZVgZ9kFUqdYV1gJtCdqOoLw3mHBYyLOk3o+Sy/TcK&#10;loNydlzZe50Wi9PysD4M57uhV+rrs5mNQHhq/Dv8aq+0gt5PF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RrECxQAAANwAAAAPAAAAAAAAAAAAAAAAAJgCAABkcnMv&#10;ZG93bnJldi54bWxQSwUGAAAAAAQABAD1AAAAigMAAAAA&#10;" filled="f" stroked="f">
                    <v:textbox inset="0,0,0,0">
                      <w:txbxContent>
                        <w:p w14:paraId="516990BB" w14:textId="77777777" w:rsidR="00960899" w:rsidRDefault="00960899" w:rsidP="009E0CC9">
                          <w:r>
                            <w:rPr>
                              <w:rFonts w:ascii="Cambria" w:hAnsi="Cambria" w:cs="Cambria"/>
                              <w:color w:val="000000"/>
                              <w:sz w:val="14"/>
                              <w:szCs w:val="14"/>
                            </w:rPr>
                            <w:t>64)</w:t>
                          </w:r>
                        </w:p>
                      </w:txbxContent>
                    </v:textbox>
                  </v:rect>
                  <v:rect id="Rectangle 530" o:spid="_x0000_s1252" style="position:absolute;left:1493;top:3127;width:339;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oUmcUA&#10;AADcAAAADwAAAGRycy9kb3ducmV2LnhtbESPT4vCMBTE74LfITzBm6auKNo1iriKHtc/oHt7NG/b&#10;ss1LaaKtfnqzIHgcZuY3zGzRmELcqHK5ZQWDfgSCOLE651TB6bjpTUA4j6yxsEwK7uRgMW+3Zhhr&#10;W/OebgefigBhF6OCzPsyltIlGRl0fVsSB+/XVgZ9kFUqdYV1gJtCfkTRWBrMOSxkWNIqo+TvcDUK&#10;tpNyednZR50W65/t+fs8/TpOvVLdTrP8BOGp8e/wq73TCkbDI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ChSZxQAAANwAAAAPAAAAAAAAAAAAAAAAAJgCAABkcnMv&#10;ZG93bnJldi54bWxQSwUGAAAAAAQABAD1AAAAigMAAAAA&#10;" filled="f" stroked="f">
                    <v:textbox inset="0,0,0,0">
                      <w:txbxContent>
                        <w:p w14:paraId="561307CE" w14:textId="77777777" w:rsidR="00960899" w:rsidRDefault="00960899" w:rsidP="009E0CC9">
                          <w:r>
                            <w:rPr>
                              <w:rFonts w:ascii="Cambria" w:hAnsi="Cambria" w:cs="Cambria"/>
                              <w:color w:val="000000"/>
                              <w:sz w:val="14"/>
                              <w:szCs w:val="14"/>
                            </w:rPr>
                            <w:t>92.89</w:t>
                          </w:r>
                        </w:p>
                      </w:txbxContent>
                    </v:textbox>
                  </v:rect>
                  <v:rect id="Rectangle 531" o:spid="_x0000_s1253" style="position:absolute;left:2522;top:3127;width:339;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OM7ccA&#10;AADcAAAADwAAAGRycy9kb3ducmV2LnhtbESPT2vCQBTE7wW/w/KE3uqmVotJXUX8gx5tLKS9PbKv&#10;STD7NmRXk/bTdwuCx2FmfsPMl72pxZVaV1lW8DyKQBDnVldcKPg47Z5mIJxH1lhbJgU/5GC5GDzM&#10;MdG243e6pr4QAcIuQQWl900ipctLMuhGtiEO3rdtDfog20LqFrsAN7UcR9GrNFhxWCixoXVJ+Tm9&#10;GAX7WbP6PNjfrqi3X/vsmMWbU+yVehz2qzcQnnp/D9/aB61g+jK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jjO3HAAAA3AAAAA8AAAAAAAAAAAAAAAAAmAIAAGRy&#10;cy9kb3ducmV2LnhtbFBLBQYAAAAABAAEAPUAAACMAwAAAAA=&#10;" filled="f" stroked="f">
                    <v:textbox inset="0,0,0,0">
                      <w:txbxContent>
                        <w:p w14:paraId="55622841" w14:textId="77777777" w:rsidR="00960899" w:rsidRDefault="00960899" w:rsidP="009E0CC9">
                          <w:r>
                            <w:rPr>
                              <w:rFonts w:ascii="Cambria" w:hAnsi="Cambria" w:cs="Cambria"/>
                              <w:color w:val="000000"/>
                              <w:sz w:val="14"/>
                              <w:szCs w:val="14"/>
                            </w:rPr>
                            <w:t>85.05</w:t>
                          </w:r>
                        </w:p>
                      </w:txbxContent>
                    </v:textbox>
                  </v:rect>
                  <v:rect id="Rectangle 532" o:spid="_x0000_s1254" style="position:absolute;left:3661;top:3127;width:26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8pdsUA&#10;AADcAAAADwAAAGRycy9kb3ducmV2LnhtbESPT4vCMBTE7wt+h/AEb2uq4qLVKKIuevQfqLdH82yL&#10;zUtpou3up98ICx6HmfkNM503phBPqlxuWUGvG4EgTqzOOVVwOn5/jkA4j6yxsEwKfsjBfNb6mGKs&#10;bc17eh58KgKEXYwKMu/LWEqXZGTQdW1JHLybrQz6IKtU6grrADeF7EfRlzSYc1jIsKRlRsn98DAK&#10;NqNycdna3zot1tfNeXcer45jr1Sn3SwmIDw1/h3+b2+1guFg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ryl2xQAAANwAAAAPAAAAAAAAAAAAAAAAAJgCAABkcnMv&#10;ZG93bnJldi54bWxQSwUGAAAAAAQABAD1AAAAigMAAAAA&#10;" filled="f" stroked="f">
                    <v:textbox inset="0,0,0,0">
                      <w:txbxContent>
                        <w:p w14:paraId="28955CF3" w14:textId="77777777" w:rsidR="00960899" w:rsidRDefault="00960899" w:rsidP="009E0CC9">
                          <w:r>
                            <w:rPr>
                              <w:rFonts w:ascii="Cambria" w:hAnsi="Cambria" w:cs="Cambria"/>
                              <w:color w:val="000000"/>
                              <w:sz w:val="14"/>
                              <w:szCs w:val="14"/>
                            </w:rPr>
                            <w:t>7.84</w:t>
                          </w:r>
                        </w:p>
                      </w:txbxContent>
                    </v:textbox>
                  </v:rect>
                  <v:rect id="Rectangle 533" o:spid="_x0000_s1255" style="position:absolute;left:4670;top:3127;width:26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3AcYA&#10;AADcAAAADwAAAGRycy9kb3ducmV2LnhtbESPT2vCQBTE74V+h+UVequbtjRodBXpH5KjRkG9PbLP&#10;JJh9G7Jbk/bTu4LgcZiZ3zCzxWAacabO1ZYVvI4iEMSF1TWXCrabn5cxCOeRNTaWScEfOVjMHx9m&#10;mGjb85rOuS9FgLBLUEHlfZtI6YqKDLqRbYmDd7SdQR9kV0rdYR/gppFvURRLgzWHhQpb+qyoOOW/&#10;RkE6bpf7zP73ZfN9SHer3eRrM/FKPT8NyykIT4O/h2/tTCv4eI/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3AcYAAADcAAAADwAAAAAAAAAAAAAAAACYAgAAZHJz&#10;L2Rvd25yZXYueG1sUEsFBgAAAAAEAAQA9QAAAIsDAAAAAA==&#10;" filled="f" stroked="f">
                    <v:textbox inset="0,0,0,0">
                      <w:txbxContent>
                        <w:p w14:paraId="0F66216C" w14:textId="77777777" w:rsidR="00960899" w:rsidRDefault="00960899" w:rsidP="009E0CC9">
                          <w:r>
                            <w:rPr>
                              <w:rFonts w:ascii="Cambria" w:hAnsi="Cambria" w:cs="Cambria"/>
                              <w:color w:val="000000"/>
                              <w:sz w:val="14"/>
                              <w:szCs w:val="14"/>
                            </w:rPr>
                            <w:t>4.56</w:t>
                          </w:r>
                        </w:p>
                      </w:txbxContent>
                    </v:textbox>
                  </v:rect>
                  <v:rect id="Rectangle 534" o:spid="_x0000_s1256" style="position:absolute;left:5588;top:3127;width:339;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ESmscA&#10;AADcAAAADwAAAGRycy9kb3ducmV2LnhtbESPT2vCQBTE7wW/w/KE3uqmFq1JXUX8gx5tLKS9PbKv&#10;STD7NmRXk/bTdwuCx2FmfsPMl72pxZVaV1lW8DyKQBDnVldcKPg47Z5mIJxH1lhbJgU/5GC5GDzM&#10;MdG243e6pr4QAcIuQQWl900ipctLMuhGtiEO3rdtDfog20LqFrsAN7UcR9FUGqw4LJTY0Lqk/Jxe&#10;jIL9rFl9HuxvV9Tbr312zOLNKfZKPQ771RsIT72/h2/tg1YweXmF/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xEprHAAAA3AAAAA8AAAAAAAAAAAAAAAAAmAIAAGRy&#10;cy9kb3ducmV2LnhtbFBLBQYAAAAABAAEAPUAAACMAwAAAAA=&#10;" filled="f" stroked="f">
                    <v:textbox inset="0,0,0,0">
                      <w:txbxContent>
                        <w:p w14:paraId="5C5188AF" w14:textId="77777777" w:rsidR="00960899" w:rsidRDefault="00960899" w:rsidP="009E0CC9">
                          <w:r>
                            <w:rPr>
                              <w:rFonts w:ascii="Cambria" w:hAnsi="Cambria" w:cs="Cambria"/>
                              <w:color w:val="000000"/>
                              <w:sz w:val="14"/>
                              <w:szCs w:val="14"/>
                            </w:rPr>
                            <w:t>80.54</w:t>
                          </w:r>
                        </w:p>
                      </w:txbxContent>
                    </v:textbox>
                  </v:rect>
                  <v:rect id="Rectangle 535" o:spid="_x0000_s1257" style="position:absolute;left:6566;top:3127;width:339;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6G6MEA&#10;AADcAAAADwAAAGRycy9kb3ducmV2LnhtbERPy4rCMBTdC/5DuII7TR1x0GoUcRRd+gJ1d2mubbG5&#10;KU20nfl6sxhweTjv2aIxhXhR5XLLCgb9CARxYnXOqYLzadMbg3AeWWNhmRT8koPFvN2aYaxtzQd6&#10;HX0qQgi7GBVk3pexlC7JyKDr25I4cHdbGfQBVqnUFdYh3BTyK4q+pcGcQ0OGJa0ySh7Hp1GwHZfL&#10;687+1Wmxvm0v+8vk5zTxSnU7zXIKwlPjP+J/904rGA3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uhujBAAAA3AAAAA8AAAAAAAAAAAAAAAAAmAIAAGRycy9kb3du&#10;cmV2LnhtbFBLBQYAAAAABAAEAPUAAACGAwAAAAA=&#10;" filled="f" stroked="f">
                    <v:textbox inset="0,0,0,0">
                      <w:txbxContent>
                        <w:p w14:paraId="6A41A68A" w14:textId="77777777" w:rsidR="00960899" w:rsidRDefault="00960899" w:rsidP="009E0CC9">
                          <w:r>
                            <w:rPr>
                              <w:rFonts w:ascii="Cambria" w:hAnsi="Cambria" w:cs="Cambria"/>
                              <w:color w:val="000000"/>
                              <w:sz w:val="14"/>
                              <w:szCs w:val="14"/>
                            </w:rPr>
                            <w:t>51.88</w:t>
                          </w:r>
                        </w:p>
                      </w:txbxContent>
                    </v:textbox>
                  </v:rect>
                  <v:rect id="Rectangle 536" o:spid="_x0000_s1258" style="position:absolute;left:7635;top:3127;width:339;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jc8UA&#10;AADcAAAADwAAAGRycy9kb3ducmV2LnhtbESPT2vCQBTE74V+h+UVvNWNlYqJriJV0WP9A+rtkX0m&#10;wezbkF1N6qd3C4LHYWZ+w4ynrSnFjWpXWFbQ60YgiFOrC84U7HfLzyEI55E1lpZJwR85mE7e38aY&#10;aNvwhm5bn4kAYZeggtz7KpHSpTkZdF1bEQfvbGuDPsg6k7rGJsBNKb+iaCANFhwWcqzoJ6f0sr0a&#10;BathNTuu7b3JysVpdfg9xPNd7JXqfLSzEQhPrX+Fn+21VvDdj+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4iNzxQAAANwAAAAPAAAAAAAAAAAAAAAAAJgCAABkcnMv&#10;ZG93bnJldi54bWxQSwUGAAAAAAQABAD1AAAAigMAAAAA&#10;" filled="f" stroked="f">
                    <v:textbox inset="0,0,0,0">
                      <w:txbxContent>
                        <w:p w14:paraId="34014F66" w14:textId="77777777" w:rsidR="00960899" w:rsidRDefault="00960899" w:rsidP="009E0CC9">
                          <w:r>
                            <w:rPr>
                              <w:rFonts w:ascii="Cambria" w:hAnsi="Cambria" w:cs="Cambria"/>
                              <w:color w:val="000000"/>
                              <w:sz w:val="14"/>
                              <w:szCs w:val="14"/>
                            </w:rPr>
                            <w:t>28.65</w:t>
                          </w:r>
                        </w:p>
                      </w:txbxContent>
                    </v:textbox>
                  </v:rect>
                  <v:rect id="Rectangle 537" o:spid="_x0000_s1259" style="position:absolute;left:8684;top:3127;width:339;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75k8EA&#10;AADcAAAADwAAAGRycy9kb3ducmV2LnhtbERPy4rCMBTdC/5DuII7TR100GoUcRRd+gJ1d2mubbG5&#10;KU20nfl6sxhweTjv2aIxhXhR5XLLCgb9CARxYnXOqYLzadMbg3AeWWNhmRT8koPFvN2aYaxtzQd6&#10;HX0qQgi7GBVk3pexlC7JyKDr25I4cHdbGfQBVqnUFdYh3BTyK4q+pcGcQ0OGJa0ySh7Hp1GwHZfL&#10;687+1Wmxvm0v+8vk5zTxSnU7zXIKwlPjP+J/904rGA3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e+ZPBAAAA3AAAAA8AAAAAAAAAAAAAAAAAmAIAAGRycy9kb3du&#10;cmV2LnhtbFBLBQYAAAAABAAEAPUAAACGAwAAAAA=&#10;" filled="f" stroked="f">
                    <v:textbox inset="0,0,0,0">
                      <w:txbxContent>
                        <w:p w14:paraId="5EF0024F" w14:textId="77777777" w:rsidR="00960899" w:rsidRDefault="00960899" w:rsidP="009E0CC9">
                          <w:r>
                            <w:rPr>
                              <w:rFonts w:ascii="Cambria" w:hAnsi="Cambria" w:cs="Cambria"/>
                              <w:color w:val="000000"/>
                              <w:sz w:val="14"/>
                              <w:szCs w:val="14"/>
                            </w:rPr>
                            <w:t>21.25</w:t>
                          </w:r>
                        </w:p>
                      </w:txbxContent>
                    </v:textbox>
                  </v:rect>
                  <v:rect id="Rectangle 538" o:spid="_x0000_s1260" style="position:absolute;left:2986;top:20;width:571;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cCMYA&#10;AADcAAAADwAAAGRycy9kb3ducmV2LnhtbESPQWvCQBSE7wX/w/IEb3Wj2BJTVxG1mGObCNrbI/ua&#10;hGbfhuzWpP56t1DocZiZb5jVZjCNuFLnassKZtMIBHFhdc2lglP++hiDcB5ZY2OZFPyQg8169LDC&#10;RNue3+ma+VIECLsEFVTet4mUrqjIoJvaljh4n7Yz6IPsSqk77APcNHIeRc/SYM1hocKWdhUVX9m3&#10;UXCM2+0ltbe+bA4fx/PbebnPl16pyXjYvoDwNPj/8F871QqeFj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JcCMYAAADcAAAADwAAAAAAAAAAAAAAAACYAgAAZHJz&#10;L2Rvd25yZXYueG1sUEsFBgAAAAAEAAQA9QAAAIsDAAAAAA==&#10;" filled="f" stroked="f">
                    <v:textbox inset="0,0,0,0">
                      <w:txbxContent>
                        <w:p w14:paraId="5B2A1381" w14:textId="77777777" w:rsidR="00960899" w:rsidRDefault="00960899" w:rsidP="009E0CC9">
                          <w:r>
                            <w:rPr>
                              <w:rFonts w:ascii="Calibri" w:hAnsi="Calibri" w:cs="Calibri"/>
                              <w:color w:val="000000"/>
                              <w:sz w:val="16"/>
                              <w:szCs w:val="16"/>
                            </w:rPr>
                            <w:t>NON IDP</w:t>
                          </w:r>
                        </w:p>
                      </w:txbxContent>
                    </v:textbox>
                  </v:rect>
                  <v:rect id="Rectangle 539" o:spid="_x0000_s1261" style="position:absolute;left:7222;top:20;width:222;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DCf8UA&#10;AADcAAAADwAAAGRycy9kb3ducmV2LnhtbESPT4vCMBTE78J+h/AW9qbpyipajSKrix79B+rt0Tzb&#10;YvNSmqytfnojCB6HmfkNM542phBXqlxuWcF3JwJBnFidc6pgv/trD0A4j6yxsEwKbuRgOvlojTHW&#10;tuYNXbc+FQHCLkYFmfdlLKVLMjLoOrYkDt7ZVgZ9kFUqdYV1gJtCdqOoLw3mHBYyLOk3o+Sy/TcK&#10;loNydlzZe50Wi9PysD4M57uhV+rrs5mNQHhq/Dv8aq+0gt5PF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QMJ/xQAAANwAAAAPAAAAAAAAAAAAAAAAAJgCAABkcnMv&#10;ZG93bnJldi54bWxQSwUGAAAAAAQABAD1AAAAigMAAAAA&#10;" filled="f" stroked="f">
                    <v:textbox inset="0,0,0,0">
                      <w:txbxContent>
                        <w:p w14:paraId="10CA48E4" w14:textId="77777777" w:rsidR="00960899" w:rsidRDefault="00960899" w:rsidP="009E0CC9">
                          <w:r>
                            <w:rPr>
                              <w:rFonts w:ascii="Calibri" w:hAnsi="Calibri" w:cs="Calibri"/>
                              <w:color w:val="000000"/>
                              <w:sz w:val="16"/>
                              <w:szCs w:val="16"/>
                            </w:rPr>
                            <w:t>IDP</w:t>
                          </w:r>
                        </w:p>
                      </w:txbxContent>
                    </v:textbox>
                  </v:rect>
                  <v:rect id="Rectangle 540" o:spid="_x0000_s1262" style="position:absolute;left:30;top:3349;width:368;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xn5McA&#10;AADcAAAADwAAAGRycy9kb3ducmV2LnhtbESPT2vCQBTE7wW/w/KE3uqmVotJXUX8gx5tLKS9PbKv&#10;STD7NmRXk/bTdwuCx2FmfsPMl72pxZVaV1lW8DyKQBDnVldcKPg47Z5mIJxH1lhbJgU/5GC5GDzM&#10;MdG243e6pr4QAcIuQQWl900ipctLMuhGtiEO3rdtDfog20LqFrsAN7UcR9GrNFhxWCixoXVJ+Tm9&#10;GAX7WbP6PNjfrqi3X/vsmMWbU+yVehz2qzcQnnp/D9/aB61gOnm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MZ+THAAAA3AAAAA8AAAAAAAAAAAAAAAAAmAIAAGRy&#10;cy9kb3ducmV2LnhtbFBLBQYAAAAABAAEAPUAAACMAwAAAAA=&#10;" filled="f" stroked="f">
                    <v:textbox inset="0,0,0,0">
                      <w:txbxContent>
                        <w:p w14:paraId="2CC03F03" w14:textId="77777777" w:rsidR="00960899" w:rsidRDefault="00960899" w:rsidP="009E0CC9">
                          <w:r>
                            <w:rPr>
                              <w:rFonts w:ascii="Cambria" w:hAnsi="Cambria" w:cs="Cambria"/>
                              <w:i/>
                              <w:iCs/>
                              <w:color w:val="000000"/>
                              <w:sz w:val="12"/>
                              <w:szCs w:val="12"/>
                            </w:rPr>
                            <w:t>Source</w:t>
                          </w:r>
                        </w:p>
                      </w:txbxContent>
                    </v:textbox>
                  </v:rect>
                  <v:rect id="Rectangle 541" o:spid="_x0000_s1263" style="position:absolute;left:383;top:3349;width:862;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X/kMUA&#10;AADcAAAADwAAAGRycy9kb3ducmV2LnhtbESPT4vCMBTE74LfITzBm6YuKto1iriKHtc/oHt7NG/b&#10;ss1LaaKtfnqzIHgcZuY3zGzRmELcqHK5ZQWDfgSCOLE651TB6bjpTUA4j6yxsEwK7uRgMW+3Zhhr&#10;W/OebgefigBhF6OCzPsyltIlGRl0fVsSB+/XVgZ9kFUqdYV1gJtCfkTRWBrMOSxkWNIqo+TvcDUK&#10;tpNyednZR50W65/t+fs8/TpOvVLdTrP8BOGp8e/wq73TCkbDI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5f+QxQAAANwAAAAPAAAAAAAAAAAAAAAAAJgCAABkcnMv&#10;ZG93bnJldi54bWxQSwUGAAAAAAQABAD1AAAAigMAAAAA&#10;" filled="f" stroked="f">
                    <v:textbox inset="0,0,0,0">
                      <w:txbxContent>
                        <w:p w14:paraId="7796F399" w14:textId="77777777" w:rsidR="00960899" w:rsidRDefault="00960899" w:rsidP="009E0CC9">
                          <w:r>
                            <w:rPr>
                              <w:rFonts w:ascii="Cambria" w:hAnsi="Cambria" w:cs="Cambria"/>
                              <w:color w:val="000000"/>
                              <w:sz w:val="12"/>
                              <w:szCs w:val="12"/>
                            </w:rPr>
                            <w:t xml:space="preserve">: 2011-2013 IHS.  </w:t>
                          </w:r>
                        </w:p>
                      </w:txbxContent>
                    </v:textbox>
                  </v:rect>
                  <v:rect id="Rectangle 542" o:spid="_x0000_s1264" style="position:absolute;width:1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nI48UA&#10;AADcAAAADwAAAGRycy9kb3ducmV2LnhtbESPS4vCQBCE7wv7H4YWvIhOfEQk6yiLKHhy8YF6bDK9&#10;STDTEzJjjP/eWVjwWFTVV9R82ZpSNFS7wrKC4SACQZxaXXCm4HTc9GcgnEfWWFomBU9ysFx8fswx&#10;0fbBe2oOPhMBwi5BBbn3VSKlS3My6Aa2Ig7er60N+iDrTOoaHwFuSjmKoqk0WHBYyLGiVU7p7XA3&#10;Cno/96Zd02rCl2d8Hvey6246tEp1O+33FwhPrX+H/9tbrSCexPB3JhwBuX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cjjxQAAANwAAAAPAAAAAAAAAAAAAAAAAJgCAABkcnMv&#10;ZG93bnJldi54bWxQSwUGAAAAAAQABAD1AAAAigMAAAAA&#10;" fillcolor="#d0d7e5" stroked="f"/>
                  <v:rect id="Rectangle 543" o:spid="_x0000_s1265" style="position:absolute;left:1210;width:1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tWlMUA&#10;AADcAAAADwAAAGRycy9kb3ducmV2LnhtbESPS4vCQBCE7wv7H4YWvIhOfAXJOsoiCp5cfKAem0xv&#10;Esz0hMwY4793FhY8FlX1FTVftqYUDdWusKxgOIhAEKdWF5wpOB03/RkI55E1lpZJwZMcLBefH3NM&#10;tH3wnpqDz0SAsEtQQe59lUjp0pwMuoGtiIP3a2uDPsg6k7rGR4CbUo6iKJYGCw4LOVa0yim9He5G&#10;Qe/n3rRrWk348pyex73suouHVqlup/3+AuGp9e/wf3urFUwnMfydCUdAL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e1aUxQAAANwAAAAPAAAAAAAAAAAAAAAAAJgCAABkcnMv&#10;ZG93bnJldi54bWxQSwUGAAAAAAQABAD1AAAAigMAAAAA&#10;" fillcolor="#d0d7e5" stroked="f"/>
                  <v:rect id="Rectangle 544" o:spid="_x0000_s1266" style="position:absolute;left:5295;width:1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fzD8YA&#10;AADcAAAADwAAAGRycy9kb3ducmV2LnhtbESPS2vDMBCE74X+B7GBXkIip3kVN4oppoGcWpqGJMfF&#10;2tim1spY8iP/vgoUehxm5htmkwymEh01rrSsYDaNQBBnVpecKzh+7yYvIJxH1lhZJgU3cpBsHx82&#10;GGvb8xd1B5+LAGEXo4LC+zqW0mUFGXRTWxMH72obgz7IJpe6wT7ATSWfo2glDZYcFgqsKS0o+zm0&#10;RsH4s+2Gd0oXfL4tT/NxfvlYzaxST6Ph7RWEp8H/h//ae61guVjD/Uw4AnL7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fzD8YAAADcAAAADwAAAAAAAAAAAAAAAACYAgAAZHJz&#10;L2Rvd25yZXYueG1sUEsFBgAAAAAEAAQA9QAAAIsDAAAAAA==&#10;" fillcolor="#d0d7e5" stroked="f"/>
                  <v:rect id="Rectangle 545" o:spid="_x0000_s1267" style="position:absolute;left:9350;width:1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hnfcMA&#10;AADcAAAADwAAAGRycy9kb3ducmV2LnhtbERPTWvCQBC9F/oflin0IrpJ1VCim1CkhZ4spsV6HLLT&#10;JDQ7G7JrTP69exA8Pt73Nh9NKwbqXWNZQbyIQBCXVjdcKfj5/pi/gnAeWWNrmRRM5CDPHh+2mGp7&#10;4QMNha9ECGGXooLa+y6V0pU1GXQL2xEH7s/2Bn2AfSV1j5cQblr5EkWJNNhwaKixo11N5X9xNgpm&#10;X+dhfKfdin+n9XE5q077JLZKPT+NbxsQnkZ/F9/cn1rBehXWhjPhCMj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qhnfcMAAADcAAAADwAAAAAAAAAAAAAAAACYAgAAZHJzL2Rv&#10;d25yZXYueG1sUEsFBgAAAAAEAAQA9QAAAIgDAAAAAA==&#10;" fillcolor="#d0d7e5" stroked="f"/>
                  <v:rect id="Rectangle 546" o:spid="_x0000_s1268" style="position:absolute;left:2068;width:1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TC5scA&#10;AADcAAAADwAAAGRycy9kb3ducmV2LnhtbESPW2vCQBSE3wv9D8sR+iK6sV6wqWsooYJPLbWiPh6y&#10;xyQ0ezZkNxf/fVco9HGYmW+YTTKYSnTUuNKygtk0AkGcWV1yruD4vZusQTiPrLGyTApu5CDZPj5s&#10;MNa25y/qDj4XAcIuRgWF93UspcsKMuimtiYO3tU2Bn2QTS51g32Am0o+R9FKGiw5LBRYU1pQ9nNo&#10;jYLxZ9sN75Qu+Hxbnubj/PKxmlmlnkbD2ysIT4P/D/+191rBcvEC9zPhCM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kwubHAAAA3AAAAA8AAAAAAAAAAAAAAAAAmAIAAGRy&#10;cy9kb3ducmV2LnhtbFBLBQYAAAAABAAEAPUAAACMAwAAAAA=&#10;" fillcolor="#d0d7e5" stroked="f"/>
                  <v:rect id="Rectangle 547" o:spid="_x0000_s1269" style="position:absolute;left:3278;width:1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f9psEA&#10;AADcAAAADwAAAGRycy9kb3ducmV2LnhtbERPy4rCMBTdC/5DuMJsRFNnrEg1isgMzErxgbq8NNe2&#10;2NyUJtb692YhuDyc93zZmlI0VLvCsoLRMAJBnFpdcKbgePgbTEE4j6yxtEwKnuRgueh25pho++Ad&#10;NXufiRDCLkEFufdVIqVLczLohrYiDtzV1gZ9gHUmdY2PEG5K+R1FE2mw4NCQY0XrnNLb/m4U9Lf3&#10;pv2l9ZjPz/j0088um8nIKvXVa1czEJ5a/xG/3f9aQRyH+eFMO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H/abBAAAA3AAAAA8AAAAAAAAAAAAAAAAAmAIAAGRycy9kb3du&#10;cmV2LnhtbFBLBQYAAAAABAAEAPUAAACGAwAAAAA=&#10;" fillcolor="#d0d7e5" stroked="f"/>
                  <v:rect id="Rectangle 548" o:spid="_x0000_s1270" style="position:absolute;left:4277;width:1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YPcUA&#10;AADcAAAADwAAAGRycy9kb3ducmV2LnhtbESPQWvCQBSE70L/w/IKXkQ3sUZKzEZEFDxZaov1+Mi+&#10;JqHZtyG7xvjvu0Khx2FmvmGy9WAa0VPnassK4lkEgriwuuZSwefHfvoKwnlkjY1lUnAnB+v8aZRh&#10;qu2N36k/+VIECLsUFVTet6mUrqjIoJvZljh437Yz6IPsSqk7vAW4aeQ8ipbSYM1hocKWthUVP6er&#10;UTB5u/bDjrYL/ron55dJeTkuY6vU+HnYrEB4Gvx/+K990AqSJIbHmXAE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S1g9xQAAANwAAAAPAAAAAAAAAAAAAAAAAJgCAABkcnMv&#10;ZG93bnJldi54bWxQSwUGAAAAAAQABAD1AAAAigMAAAAA&#10;" fillcolor="#d0d7e5" stroked="f"/>
                  <v:rect id="Rectangle 549" o:spid="_x0000_s1271" style="position:absolute;left:6173;width:1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nGSsYA&#10;AADcAAAADwAAAGRycy9kb3ducmV2LnhtbESPT2vCQBTE7wW/w/IKvUjdmDZSoquItNCTRS3a4yP7&#10;TEKzb0N28+/bd4WCx2FmfsOsNoOpREeNKy0rmM8iEMSZ1SXnCr5PH89vIJxH1lhZJgUjOdisJw8r&#10;TLXt+UDd0eciQNilqKDwvk6ldFlBBt3M1sTBu9rGoA+yyaVusA9wU8k4ihbSYMlhocCadgVlv8fW&#10;KJh+td3wTrtXvozJ+WWa/+wXc6vU0+OwXYLwNPh7+L/9qRUkSQy3M+EI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nGSsYAAADcAAAADwAAAAAAAAAAAAAAAACYAgAAZHJz&#10;L2Rvd25yZXYueG1sUEsFBgAAAAAEAAQA9QAAAIsDAAAAAA==&#10;" fillcolor="#d0d7e5" stroked="f"/>
                  <v:rect id="Rectangle 550" o:spid="_x0000_s1272" style="position:absolute;left:7252;width:1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Vj0cYA&#10;AADcAAAADwAAAGRycy9kb3ducmV2LnhtbESPT2vCQBTE7wW/w/IKvUjdpDZSoqtIaKEni1q0x0f2&#10;mYRm34bs5o/fvisUPA4z8xtmtRlNLXpqXWVZQTyLQBDnVldcKPg+fjy/gXAeWWNtmRRcycFmPXlY&#10;YartwHvqD74QAcIuRQWl900qpctLMuhmtiEO3sW2Bn2QbSF1i0OAm1q+RNFCGqw4LJTYUFZS/nvo&#10;jILpV9eP75S98vmanObT4me3iK1ST4/jdgnC0+jv4f/2p1aQJHO4nQ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Vj0cYAAADcAAAADwAAAAAAAAAAAAAAAACYAgAAZHJz&#10;L2Rvd25yZXYueG1sUEsFBgAAAAAEAAQA9QAAAIsDAAAAAA==&#10;" fillcolor="#d0d7e5" stroked="f"/>
                  <v:rect id="Rectangle 551" o:spid="_x0000_s1273" style="position:absolute;left:8321;width:1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z7pcUA&#10;AADcAAAADwAAAGRycy9kb3ducmV2LnhtbESPS4vCQBCE7wv7H4YWvIhOfEQk6yiLKHhy8YF6bDK9&#10;STDTEzJjjP/eWVjwWFTVV9R82ZpSNFS7wrKC4SACQZxaXXCm4HTc9GcgnEfWWFomBU9ysFx8fswx&#10;0fbBe2oOPhMBwi5BBbn3VSKlS3My6Aa2Ig7er60N+iDrTOoaHwFuSjmKoqk0WHBYyLGiVU7p7XA3&#10;Cno/96Zd02rCl2d8Hvey6246tEp1O+33FwhPrX+H/9tbrSCOJ/B3JhwBuX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PPulxQAAANwAAAAPAAAAAAAAAAAAAAAAAJgCAABkcnMv&#10;ZG93bnJldi54bWxQSwUGAAAAAAQABAD1AAAAigMAAAAA&#10;" fillcolor="#d0d7e5" stroked="f"/>
                  <v:rect id="Rectangle 552" o:spid="_x0000_s1274" style="position:absolute;top:202;width:936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ZzsccA&#10;AADcAAAADwAAAGRycy9kb3ducmV2LnhtbESPT2vCQBTE7wW/w/IK3uqmYsSmbkQLQi+F+udQb8/s&#10;axKSfZvurpr207sFweMwM79h5ovetOJMzteWFTyPEhDEhdU1lwr2u/XTDIQPyBpby6Tglzws8sHD&#10;HDNtL7yh8zaUIkLYZ6igCqHLpPRFRQb9yHbE0fu2zmCI0pVSO7xEuGnlOEmm0mDNcaHCjt4qKprt&#10;yShYvcxWP58T/vjbHA90+Do26dglSg0f++UriEB9uIdv7XetIE1T+D8Tj4DM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mc7HHAAAA3AAAAA8AAAAAAAAAAAAAAAAAmAIAAGRy&#10;cy9kb3ducmV2LnhtbFBLBQYAAAAABAAEAPUAAACMAwAAAAA=&#10;" fillcolor="black" stroked="f"/>
                  <v:rect id="Rectangle 553" o:spid="_x0000_s1275" style="position:absolute;top:726;width:936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TtxsYA&#10;AADcAAAADwAAAGRycy9kb3ducmV2LnhtbESPT2sCMRTE74V+h/AK3mq24oquRtFCoRfBPz3U23Pz&#10;uru4eVmTVFc/vREEj8PM/IaZzFpTixM5X1lW8NFNQBDnVldcKPjZfr0PQfiArLG2TAou5GE2fX2Z&#10;YKbtmdd02oRCRAj7DBWUITSZlD4vyaDv2oY4en/WGQxRukJqh+cIN7XsJclAGqw4LpTY0GdJ+WHz&#10;bxQsRsPFcdXn5XW939Hud39Iey5RqvPWzscgArXhGX60v7WCNB3A/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TtxsYAAADcAAAADwAAAAAAAAAAAAAAAACYAgAAZHJz&#10;L2Rvd25yZXYueG1sUEsFBgAAAAAEAAQA9QAAAIsDAAAAAA==&#10;" fillcolor="black" stroked="f"/>
                  <v:rect id="Rectangle 554" o:spid="_x0000_s1276" style="position:absolute;top:3288;width:936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hIXccA&#10;AADcAAAADwAAAGRycy9kb3ducmV2LnhtbESPT2sCMRTE7wW/Q3iCt5pV3KqrUbRQ6KVQ/xz09tw8&#10;dxc3L9sk1W0/fSMUPA4z8xtmvmxNLa7kfGVZwaCfgCDOra64ULDfvT1PQPiArLG2TAp+yMNy0Xma&#10;Y6btjTd03YZCRAj7DBWUITSZlD4vyaDv24Y4emfrDIYoXSG1w1uEm1oOk+RFGqw4LpTY0GtJ+WX7&#10;bRSsp5P11+eIP343pyMdD6dLOnSJUr1uu5qBCNSGR/i//a4VpOkY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4SF3HAAAA3AAAAA8AAAAAAAAAAAAAAAAAmAIAAGRy&#10;cy9kb3ducmV2LnhtbFBLBQYAAAAABAAEAPUAAACMAwAAAAA=&#10;" fillcolor="black" stroked="f"/>
                  <v:rect id="Rectangle 555" o:spid="_x0000_s1277" style="position:absolute;left:5285;width:20;height:3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fcL8MA&#10;AADcAAAADwAAAGRycy9kb3ducmV2LnhtbERPz2vCMBS+C/sfwhO8aapYcdUocyB4EabbYd6ezbMt&#10;Ni9dErX61y8HwePH93u+bE0truR8ZVnBcJCAIM6trrhQ8PO97k9B+ICssbZMCu7kYbl468wx0/bG&#10;O7ruQyFiCPsMFZQhNJmUPi/JoB/YhjhyJ+sMhghdIbXDWww3tRwlyUQarDg2lNjQZ0n5eX8xClbv&#10;09Xf15i3j93xQIff4zkduUSpXrf9mIEI1IaX+OneaAVpGtfGM/E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fcL8MAAADcAAAADwAAAAAAAAAAAAAAAACYAgAAZHJzL2Rv&#10;d25yZXYueG1sUEsFBgAAAAAEAAQA9QAAAIgDAAAAAA==&#10;" fillcolor="black" stroked="f"/>
                  <v:line id="Line 556" o:spid="_x0000_s1278" style="position:absolute;visibility:visible;mso-wrap-style:square" from="9360,0" to="93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EtcMAAADcAAAADwAAAGRycy9kb3ducmV2LnhtbESP0YrCMBRE34X9h3AX9k1TxYpWoyyC&#10;sPogWPcDLs3dttrcdJvY1r83guDjMDNnmNWmN5VoqXGlZQXjUQSCOLO65FzB73k3nINwHlljZZkU&#10;3MnBZv0xWGGibccnalOfiwBhl6CCwvs6kdJlBRl0I1sTB+/PNgZ9kE0udYNdgJtKTqJoJg2WHBYK&#10;rGlbUHZNb0aB3W//r900Pp5vi2l7IOku48op9fXZfy9BeOr9O/xq/2gFcbyA55lwBOT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IBLXDAAAA3AAAAA8AAAAAAAAAAAAA&#10;AAAAoQIAAGRycy9kb3ducmV2LnhtbFBLBQYAAAAABAAEAPkAAACRAwAAAAA=&#10;" strokecolor="#d0d7e5" strokeweight="0"/>
                  <v:rect id="Rectangle 557" o:spid="_x0000_s1279" style="position:absolute;left:936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s3G8EA&#10;AADcAAAADwAAAGRycy9kb3ducmV2LnhtbERPTYvCMBC9C/6HMIIXWVNXLVKNIrKCJ0Vddj0OzdgW&#10;m0lpYq3/3hwEj4/3vVi1phQN1a6wrGA0jEAQp1YXnCn4PW+/ZiCcR9ZYWiYFT3KwWnY7C0y0ffCR&#10;mpPPRAhhl6CC3PsqkdKlORl0Q1sRB+5qa4M+wDqTusZHCDel/I6iWBosODTkWNEmp/R2uhsFg8O9&#10;aX9oM+H/5/RvPMgu+3hkler32vUchKfWf8Rv904rmMZhfjgTjoB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rNxvBAAAA3AAAAA8AAAAAAAAAAAAAAAAAmAIAAGRycy9kb3du&#10;cmV2LnhtbFBLBQYAAAAABAAEAPUAAACGAwAAAAA=&#10;" fillcolor="#d0d7e5" stroked="f"/>
                  <v:line id="Line 558" o:spid="_x0000_s1280" style="position:absolute;visibility:visible;mso-wrap-style:square" from="9360,212" to="9361,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LCDsMAAADcAAAADwAAAGRycy9kb3ducmV2LnhtbESP3YrCMBSE7wXfIRxh7zStqGg1igiC&#10;68WCPw9waI5ttTmpTWy7b78RFrwcZuYbZrXpTCkaql1hWUE8ikAQp1YXnCm4XvbDOQjnkTWWlknB&#10;LznYrPu9FSbatnyi5uwzESDsElSQe18lUro0J4NuZCvi4N1sbdAHWWdS19gGuCnlOIpm0mDBYSHH&#10;inY5pY/zyyiw37vno51Mfy6vxaQ5knT3uHRKfQ267RKEp85/wv/tg1YwncXwPhOO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Swg7DAAAA3AAAAA8AAAAAAAAAAAAA&#10;AAAAoQIAAGRycy9kb3ducmV2LnhtbFBLBQYAAAAABAAEAPkAAACRAwAAAAA=&#10;" strokecolor="#d0d7e5" strokeweight="0"/>
                  <v:rect id="Rectangle 559" o:spid="_x0000_s1281" style="position:absolute;left:9360;top:212;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UM98YA&#10;AADcAAAADwAAAGRycy9kb3ducmV2LnhtbESPQWvCQBSE7wX/w/IKvUjdmDahRFeR0EJPFrVoj4/s&#10;MwnNvg3ZNSb/visUPA4z8w2zXA+mET11rrasYD6LQBAXVtdcKvg+fDy/gXAeWWNjmRSM5GC9mjws&#10;MdP2yjvq974UAcIuQwWV920mpSsqMuhmtiUO3tl2Bn2QXSl1h9cAN42MoyiVBmsOCxW2lFdU/O4v&#10;RsH069IP75S/8mlMji/T8mebzq1ST4/DZgHC0+Dv4f/2p1aQpDHczoQj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UM98YAAADcAAAADwAAAAAAAAAAAAAAAACYAgAAZHJz&#10;L2Rvd25yZXYueG1sUEsFBgAAAAAEAAQA9QAAAIsDAAAAAA==&#10;" fillcolor="#d0d7e5" stroked="f"/>
                  <v:line id="Line 560" o:spid="_x0000_s1282" style="position:absolute;visibility:visible;mso-wrap-style:square" from="9360,736" to="9361,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z54sUAAADcAAAADwAAAGRycy9kb3ducmV2LnhtbESP3WrCQBSE74W+w3IKvTMb2yg1uooI&#10;hbYXQpM+wCF7TKLZszG7+enbdwtCL4eZ+YbZ7ifTiIE6V1tWsIhiEMSF1TWXCr7zt/krCOeRNTaW&#10;ScEPOdjvHmZbTLUd+YuGzJciQNilqKDyvk2ldEVFBl1kW+LgnW1n0AfZlVJ3OAa4aeRzHK+kwZrD&#10;QoUtHSsqrllvFNiP4+06JstT3q+T4ZOkuywap9TT43TYgPA0+f/wvf2uFSxXL/B3JhwBu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z54sUAAADcAAAADwAAAAAAAAAA&#10;AAAAAAChAgAAZHJzL2Rvd25yZXYueG1sUEsFBgAAAAAEAAQA+QAAAJMDAAAAAA==&#10;" strokecolor="#d0d7e5" strokeweight="0"/>
                  <v:rect id="Rectangle 561" o:spid="_x0000_s1283" style="position:absolute;left:9360;top:73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AxGMUA&#10;AADcAAAADwAAAGRycy9kb3ducmV2LnhtbESPS4vCQBCE7wv7H4YWvIhOfAXJOsoiCp5cfKAem0xv&#10;Esz0hMwY4793FhY8FlX1FTVftqYUDdWusKxgOIhAEKdWF5wpOB03/RkI55E1lpZJwZMcLBefH3NM&#10;tH3wnpqDz0SAsEtQQe59lUjp0pwMuoGtiIP3a2uDPsg6k7rGR4CbUo6iKJYGCw4LOVa0yim9He5G&#10;Qe/n3rRrWk348pyex73suouHVqlup/3+AuGp9e/wf3urFUzjCfydCUdAL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UDEYxQAAANwAAAAPAAAAAAAAAAAAAAAAAJgCAABkcnMv&#10;ZG93bnJldi54bWxQSwUGAAAAAAQABAD1AAAAigMAAAAA&#10;" fillcolor="#d0d7e5" stroked="f"/>
                  <v:line id="Line 562" o:spid="_x0000_s1284" style="position:absolute;visibility:visible;mso-wrap-style:square" from="9360,867" to="9361,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nEDcUAAADcAAAADwAAAGRycy9kb3ducmV2LnhtbESP3WrCQBSE74W+w3KE3ukmJRGbukoJ&#10;CLYXBbUPcMieJtHs2TS7+fHt3ULBy2FmvmE2u8k0YqDO1ZYVxMsIBHFhdc2lgu/zfrEG4TyyxsYy&#10;KbiRg932abbBTNuRjzScfCkChF2GCirv20xKV1Rk0C1tSxy8H9sZ9EF2pdQdjgFuGvkSRStpsOaw&#10;UGFLeUXF9dQbBfYj/72OSfp17l+T4ZOku8SNU+p5Pr2/gfA0+Uf4v33QCtJVCn9nwhGQ2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nEDcUAAADcAAAADwAAAAAAAAAA&#10;AAAAAAChAgAAZHJzL2Rvd25yZXYueG1sUEsFBgAAAAAEAAQA+QAAAJMDAAAAAA==&#10;" strokecolor="#d0d7e5" strokeweight="0"/>
                  <v:rect id="Rectangle 563" o:spid="_x0000_s1285" style="position:absolute;left:9360;top:867;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4K9MQA&#10;AADcAAAADwAAAGRycy9kb3ducmV2LnhtbESPT4vCMBTE74LfITzBi6yp/8pSjSKi4MllVXY9Pppn&#10;W2xeShNr/fZGWNjjMDO/YRar1pSiodoVlhWMhhEI4tTqgjMF59Pu4xOE88gaS8uk4EkOVstuZ4GJ&#10;tg/+puboMxEg7BJUkHtfJVK6NCeDbmgr4uBdbW3QB1lnUtf4CHBTynEUxdJgwWEhx4o2OaW3490o&#10;GHzdm3ZLmyn/Pmc/k0F2OcQjq1S/167nIDy1/j/8195rBbM4hveZcATk8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OCvTEAAAA3AAAAA8AAAAAAAAAAAAAAAAAmAIAAGRycy9k&#10;b3ducmV2LnhtbFBLBQYAAAAABAAEAPUAAACJAwAAAAA=&#10;" fillcolor="#d0d7e5" stroked="f"/>
                  <v:line id="Line 564" o:spid="_x0000_s1286" style="position:absolute;visibility:visible;mso-wrap-style:square" from="9360,1069" to="9361,1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f/4cUAAADcAAAADwAAAGRycy9kb3ducmV2LnhtbESP0WrCQBRE34X+w3ILfdNNiolt6kZE&#10;KNQ+CMZ+wCV7m6Rm78bsmsS/7xYKPg4zc4ZZbybTioF611hWEC8iEMSl1Q1XCr5O7/MXEM4ja2wt&#10;k4IbOdjkD7M1ZtqOfKSh8JUIEHYZKqi97zIpXVmTQbewHXHwvm1v0AfZV1L3OAa4aeVzFKXSYMNh&#10;ocaOdjWV5+JqFNj97nIel8nhdH1dDp8k3U/cOqWeHqftGwhPk7+H/9sfWkGSruDvTDgCMv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3f/4cUAAADcAAAADwAAAAAAAAAA&#10;AAAAAAChAgAAZHJzL2Rvd25yZXYueG1sUEsFBgAAAAAEAAQA+QAAAJMDAAAAAA==&#10;" strokecolor="#d0d7e5" strokeweight="0"/>
                  <v:rect id="Rectangle 565" o:spid="_x0000_s1287" style="position:absolute;left:9360;top:106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07HcEA&#10;AADcAAAADwAAAGRycy9kb3ducmV2LnhtbERPTYvCMBC9C/6HMIIXWVNXLVKNIrKCJ0Vddj0OzdgW&#10;m0lpYq3/3hwEj4/3vVi1phQN1a6wrGA0jEAQp1YXnCn4PW+/ZiCcR9ZYWiYFT3KwWnY7C0y0ffCR&#10;mpPPRAhhl6CC3PsqkdKlORl0Q1sRB+5qa4M+wDqTusZHCDel/I6iWBosODTkWNEmp/R2uhsFg8O9&#10;aX9oM+H/5/RvPMgu+3hkler32vUchKfWf8Rv904rmMZhbTgTjoB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dOx3BAAAA3AAAAA8AAAAAAAAAAAAAAAAAmAIAAGRycy9kb3du&#10;cmV2LnhtbFBLBQYAAAAABAAEAPUAAACGAwAAAAA=&#10;" fillcolor="#d0d7e5" stroked="f"/>
                  <v:line id="Line 566" o:spid="_x0000_s1288" style="position:absolute;visibility:visible;mso-wrap-style:square" from="9360,1271" to="9361,1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TOCMUAAADcAAAADwAAAGRycy9kb3ducmV2LnhtbESP0WqDQBRE3wv5h+UW8tasliiNdROC&#10;EEj6UGjSD7i4t2p171p3o+bvs4VCH4eZOcPku9l0YqTBNZYVxKsIBHFpdcOVgs/L4ekFhPPIGjvL&#10;pOBGDnbbxUOOmbYTf9B49pUIEHYZKqi97zMpXVmTQbeyPXHwvuxg0Ac5VFIPOAW46eRzFKXSYMNh&#10;ocaeiprK9nw1Cuyp+GmndfJ+uW7W4xtJ9x13Tqnl47x/BeFp9v/hv/ZRK0jSDfyeCUdAb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aTOCMUAAADcAAAADwAAAAAAAAAA&#10;AAAAAAChAgAAZHJzL2Rvd25yZXYueG1sUEsFBgAAAAAEAAQA+QAAAJMDAAAAAA==&#10;" strokecolor="#d0d7e5" strokeweight="0"/>
                  <v:rect id="Rectangle 567" o:spid="_x0000_s1289" style="position:absolute;left:9360;top:127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KhxsMA&#10;AADcAAAADwAAAGRycy9kb3ducmV2LnhtbERPy2rCQBTdC/7DcAU3UifamkrqKEUUurI0FevykrlN&#10;QjN3Qmby8O+dRcHl4bw3u8FUoqPGlZYVLOYRCOLM6pJzBefv49MahPPIGivLpOBGDnbb8WiDibY9&#10;f1GX+lyEEHYJKii8rxMpXVaQQTe3NXHgfm1j0AfY5FI32IdwU8llFMXSYMmhocCa9gVlf2lrFMw+&#10;22440P6Ff26ry/Msv57ihVVqOhne30B4GvxD/O/+0ApWr2F+OBOOgN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rKhxsMAAADcAAAADwAAAAAAAAAAAAAAAACYAgAAZHJzL2Rv&#10;d25yZXYueG1sUEsFBgAAAAAEAAQA9QAAAIgDAAAAAA==&#10;" fillcolor="#d0d7e5" stroked="f"/>
                  <v:line id="Line 568" o:spid="_x0000_s1290" style="position:absolute;visibility:visible;mso-wrap-style:square" from="9360,1473" to="9361,1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tU08MAAADcAAAADwAAAGRycy9kb3ducmV2LnhtbESP0YrCMBRE3wX/IdyFfdO0oq5Wo4iw&#10;sPogqPsBl+badm1uahPb7t8bQfBxmJkzzHLdmVI0VLvCsoJ4GIEgTq0uOFPwe/4ezEA4j6yxtEwK&#10;/snBetXvLTHRtuUjNSefiQBhl6CC3PsqkdKlORl0Q1sRB+9ia4M+yDqTusY2wE0pR1E0lQYLDgs5&#10;VrTNKb2e7kaB3W1v13Y8OZzv83GzJ+n+4tIp9fnRbRYgPHX+HX61f7SCyVcMzzPhCMjV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4LVNPDAAAA3AAAAA8AAAAAAAAAAAAA&#10;AAAAoQIAAGRycy9kb3ducmV2LnhtbFBLBQYAAAAABAAEAPkAAACRAwAAAAA=&#10;" strokecolor="#d0d7e5" strokeweight="0"/>
                  <v:rect id="Rectangle 569" o:spid="_x0000_s1291" style="position:absolute;left:9360;top:147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yaKsQA&#10;AADcAAAADwAAAGRycy9kb3ducmV2LnhtbESPT4vCMBTE78J+h/AEL6Kp/5euUUQUPCnrinp8NM+2&#10;bPNSmljrt98sCB6HmfkNM182phA1VS63rGDQj0AQJ1bnnCo4/Wx7nyCcR9ZYWCYFT3KwXHy05hhr&#10;++Bvqo8+FQHCLkYFmfdlLKVLMjLo+rYkDt7NVgZ9kFUqdYWPADeFHEbRVBrMOSxkWNI6o+T3eDcK&#10;uod73WxoPebLc3IeddPrfjqwSnXazeoLhKfGv8Ov9k4rmMyG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smirEAAAA3AAAAA8AAAAAAAAAAAAAAAAAmAIAAGRycy9k&#10;b3ducmV2LnhtbFBLBQYAAAAABAAEAPUAAACJAwAAAAA=&#10;" fillcolor="#d0d7e5" stroked="f"/>
                  <v:line id="Line 570" o:spid="_x0000_s1292" style="position:absolute;visibility:visible;mso-wrap-style:square" from="9360,1674" to="9361,1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VvP8UAAADcAAAADwAAAGRycy9kb3ducmV2LnhtbESP0WrCQBRE3wv+w3KFvpmNNtE2ZpUi&#10;FGwfCtV+wCV7m0Szd2N2TeLfdwtCH4eZOcPk29E0oqfO1ZYVzKMYBHFhdc2lgu/j2+wZhPPIGhvL&#10;pOBGDrabyUOOmbYDf1F/8KUIEHYZKqi8bzMpXVGRQRfZljh4P7Yz6IPsSqk7HALcNHIRx0tpsOaw&#10;UGFLu4qK8+FqFNj33eU8JOnn8fqS9B8k3WneOKUep+PrGoSn0f+H7+29VpCunuDvTDg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ZVvP8UAAADcAAAADwAAAAAAAAAA&#10;AAAAAAChAgAAZHJzL2Rvd25yZXYueG1sUEsFBgAAAAAEAAQA+QAAAJMDAAAAAA==&#10;" strokecolor="#d0d7e5" strokeweight="0"/>
                  <v:rect id="Rectangle 571" o:spid="_x0000_s1293" style="position:absolute;left:9360;top:1674;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mnxcYA&#10;AADcAAAADwAAAGRycy9kb3ducmV2LnhtbESPS2vDMBCE74X+B7GBXkIip3kVN4oppoGcWpqGJMfF&#10;2tim1spY8iP/vgoUehxm5htmkwymEh01rrSsYDaNQBBnVpecKzh+7yYvIJxH1lhZJgU3cpBsHx82&#10;GGvb8xd1B5+LAGEXo4LC+zqW0mUFGXRTWxMH72obgz7IJpe6wT7ATSWfo2glDZYcFgqsKS0o+zm0&#10;RsH4s+2Gd0oXfL4tT/NxfvlYzaxST6Ph7RWEp8H/h//ae61guV7A/Uw4AnL7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mnxcYAAADcAAAADwAAAAAAAAAAAAAAAACYAgAAZHJz&#10;L2Rvd25yZXYueG1sUEsFBgAAAAAEAAQA9QAAAIsDAAAAAA==&#10;" fillcolor="#d0d7e5" stroked="f"/>
                  <v:line id="Line 572" o:spid="_x0000_s1294" style="position:absolute;visibility:visible;mso-wrap-style:square" from="9360,1876" to="9361,1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BS0MQAAADcAAAADwAAAGRycy9kb3ducmV2LnhtbESP3YrCMBSE7wXfIRzBO01drD/VKIsg&#10;uHux4M8DHJpjW21OahPb+vabhQUvh5n5hllvO1OKhmpXWFYwGUcgiFOrC84UXM770QKE88gaS8uk&#10;4EUOtpt+b42Jti0fqTn5TAQIuwQV5N5XiZQuzcmgG9uKOHhXWxv0QdaZ1DW2AW5K+RFFM2mw4LCQ&#10;Y0W7nNL76WkU2K/d495O45/zczltvkm626R0Sg0H3ecKhKfOv8P/7YNWEM9j+DsTjoD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MFLQxAAAANwAAAAPAAAAAAAAAAAA&#10;AAAAAKECAABkcnMvZG93bnJldi54bWxQSwUGAAAAAAQABAD5AAAAkgMAAAAA&#10;" strokecolor="#d0d7e5" strokeweight="0"/>
                  <v:rect id="Rectangle 573" o:spid="_x0000_s1295" style="position:absolute;left:9360;top:187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ecKcYA&#10;AADcAAAADwAAAGRycy9kb3ducmV2LnhtbESPQWvCQBSE70L/w/IKXkQ3sRpL6kaKtNCT0ija4yP7&#10;moRm34bsGuO/7xaEHoeZ+YZZbwbTiJ46V1tWEM8iEMSF1TWXCo6H9+kzCOeRNTaWScGNHGyyh9Ea&#10;U22v/El97ksRIOxSVFB536ZSuqIig25mW+LgfdvOoA+yK6Xu8BrgppHzKEqkwZrDQoUtbSsqfvKL&#10;UTDZX/rhjbYLPt+Wp6dJ+bVLYqvU+HF4fQHhafD/4Xv7QytYrhL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ecKcYAAADcAAAADwAAAAAAAAAAAAAAAACYAgAAZHJz&#10;L2Rvd25yZXYueG1sUEsFBgAAAAAEAAQA9QAAAIsDAAAAAA==&#10;" fillcolor="#d0d7e5" stroked="f"/>
                  <v:line id="Line 574" o:spid="_x0000_s1296" style="position:absolute;visibility:visible;mso-wrap-style:square" from="9360,2078" to="9361,2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5pPMUAAADcAAAADwAAAGRycy9kb3ducmV2LnhtbESP0WrCQBRE34X+w3ILfdNNijFt6kZE&#10;KNQ+CMZ+wCV7m6Rm78bsmsS/7xYKPg4zc4ZZbybTioF611hWEC8iEMSl1Q1XCr5O7/MXEM4ja2wt&#10;k4IbOdjkD7M1ZtqOfKSh8JUIEHYZKqi97zIpXVmTQbewHXHwvm1v0AfZV1L3OAa4aeVzFK2kwYbD&#10;Qo0d7Woqz8XVKLD73eU8LpPD6fq6HD5Jup+4dUo9PU7bNxCeJn8P/7c/tIIkTeHvTDgCMv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q5pPMUAAADcAAAADwAAAAAAAAAA&#10;AAAAAAChAgAAZHJzL2Rvd25yZXYueG1sUEsFBgAAAAAEAAQA+QAAAJMDAAAAAA==&#10;" strokecolor="#d0d7e5" strokeweight="0"/>
                  <v:rect id="Rectangle 575" o:spid="_x0000_s1297" style="position:absolute;left:9360;top:2078;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StwMMA&#10;AADcAAAADwAAAGRycy9kb3ducmV2LnhtbERPy2rCQBTdC/7DcAU3UifamkrqKEUUurI0FevykrlN&#10;QjN3Qmby8O+dRcHl4bw3u8FUoqPGlZYVLOYRCOLM6pJzBefv49MahPPIGivLpOBGDnbb8WiDibY9&#10;f1GX+lyEEHYJKii8rxMpXVaQQTe3NXHgfm1j0AfY5FI32IdwU8llFMXSYMmhocCa9gVlf2lrFMw+&#10;22440P6Ff26ry/Msv57ihVVqOhne30B4GvxD/O/+0ApWr2FtOBOOgN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StwMMAAADcAAAADwAAAAAAAAAAAAAAAACYAgAAZHJzL2Rv&#10;d25yZXYueG1sUEsFBgAAAAAEAAQA9QAAAIgDAAAAAA==&#10;" fillcolor="#d0d7e5" stroked="f"/>
                  <v:line id="Line 576" o:spid="_x0000_s1298" style="position:absolute;visibility:visible;mso-wrap-style:square" from="9360,2279" to="9361,2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1Y1cMAAADcAAAADwAAAGRycy9kb3ducmV2LnhtbESP3YrCMBSE7xd8h3AE7zR18bcaZREE&#10;9WLBnwc4NMe22pzUJrb17Y2wsJfDzHzDLNetKURNlcstKxgOIhDEidU5pwou521/BsJ5ZI2FZVLw&#10;IgfrVedribG2DR+pPvlUBAi7GBVk3pexlC7JyKAb2JI4eFdbGfRBVqnUFTYBbgr5HUUTaTDnsJBh&#10;SZuMkvvpaRTY/eZxb0bj3/NzPqoPJN1tWDilet32ZwHCU+v/w3/tnVYwns7hcyYcAbl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B9WNXDAAAA3AAAAA8AAAAAAAAAAAAA&#10;AAAAoQIAAGRycy9kb3ducmV2LnhtbFBLBQYAAAAABAAEAPkAAACRAwAAAAA=&#10;" strokecolor="#d0d7e5" strokeweight="0"/>
                  <v:rect id="Rectangle 577" o:spid="_x0000_s1299" style="position:absolute;left:9360;top:2279;width:10;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fR4cMA&#10;AADcAAAADwAAAGRycy9kb3ducmV2LnhtbERPTWvCQBC9F/wPyxR6CbrRNiIxG5FgoacWbbE9Dtkx&#10;Cc3Ohuwmxn/fPRQ8Pt53tptMK0bqXWNZwXIRgyAurW64UvD1+TrfgHAeWWNrmRTcyMEunz1kmGp7&#10;5SONJ1+JEMIuRQW1910qpStrMugWtiMO3MX2Bn2AfSV1j9cQblq5iuO1NNhwaKixo6Km8vc0GAXR&#10;xzBOBype+PuWnJ+j6ud9vbRKPT1O+y0IT5O/i//db1pBsgnzw5lwBG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2fR4cMAAADcAAAADwAAAAAAAAAAAAAAAACYAgAAZHJzL2Rv&#10;d25yZXYueG1sUEsFBgAAAAAEAAQA9QAAAIgDAAAAAA==&#10;" fillcolor="#d0d7e5" stroked="f"/>
                  <v:line id="Line 578" o:spid="_x0000_s1300" style="position:absolute;visibility:visible;mso-wrap-style:square" from="9360,2481" to="9361,2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4k9MUAAADcAAAADwAAAGRycy9kb3ducmV2LnhtbESPzWrDMBCE74G+g9hCb4ns4oTUiRJK&#10;oNDmUIiTB1isreXEWrmW/NO3jwqFHoeZ+YbZ7ifbiIE6XztWkC4SEMSl0zVXCi7nt/kahA/IGhvH&#10;pOCHPOx3D7Mt5tqNfKKhCJWIEPY5KjAhtLmUvjRk0S9cSxy9L9dZDFF2ldQdjhFuG/mcJCtpsea4&#10;YLClg6HyVvRWgfs4fN/GbPl57l+y4UjSX9PGK/X0OL1uQASawn/4r/2uFSzXKfyeiUdA7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94k9MUAAADcAAAADwAAAAAAAAAA&#10;AAAAAAChAgAAZHJzL2Rvd25yZXYueG1sUEsFBgAAAAAEAAQA+QAAAJMDAAAAAA==&#10;" strokecolor="#d0d7e5" strokeweight="0"/>
                  <v:rect id="Rectangle 579" o:spid="_x0000_s1301" style="position:absolute;left:9360;top:248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nqDcQA&#10;AADcAAAADwAAAGRycy9kb3ducmV2LnhtbESPQYvCMBSE7wv+h/AEL7KmuqtINYqIgqcVq6weH82z&#10;LTYvpYm1/vvNguBxmJlvmPmyNaVoqHaFZQXDQQSCOLW64EzB6bj9nIJwHlljaZkUPMnBctH5mGOs&#10;7YMP1CQ+EwHCLkYFufdVLKVLczLoBrYiDt7V1gZ9kHUmdY2PADelHEXRRBosOCzkWNE6p/SW3I2C&#10;/v7etBtaf/P5Of796meXn8nQKtXrtqsZCE+tf4df7Z1WMJ6O4P9MO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56g3EAAAA3AAAAA8AAAAAAAAAAAAAAAAAmAIAAGRycy9k&#10;b3ducmV2LnhtbFBLBQYAAAAABAAEAPUAAACJAwAAAAA=&#10;" fillcolor="#d0d7e5" stroked="f"/>
                </v:group>
                <v:line id="Line 581" o:spid="_x0000_s1302" style="position:absolute;visibility:visible;mso-wrap-style:square" from="59436,17037" to="59442,17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AfGMMAAADcAAAADwAAAGRycy9kb3ducmV2LnhtbESP0YrCMBRE3wX/IVzBN01dddFqlEUQ&#10;dB+EVT/g0lzbanNTm9jWv98Igo/DzJxhluvWFKKmyuWWFYyGEQjixOqcUwXn03YwA+E8ssbCMil4&#10;koP1qttZYqxtw39UH30qAoRdjAoy78tYSpdkZNANbUkcvIutDPogq1TqCpsAN4X8iqJvaTDnsJBh&#10;SZuMktvxYRTY/eZ+aybTw+kxn9S/JN11VDil+r32ZwHCU+s/4Xd7pxVMZ2N4nQlH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AHxjDAAAA3AAAAA8AAAAAAAAAAAAA&#10;AAAAoQIAAGRycy9kb3ducmV2LnhtbFBLBQYAAAAABAAEAPkAAACRAwAAAAA=&#10;" strokecolor="#d0d7e5" strokeweight="0"/>
                <v:rect id="Rectangle 582" o:spid="_x0000_s1303" style="position:absolute;left:59436;top:17037;width:63;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zX4sYA&#10;AADcAAAADwAAAGRycy9kb3ducmV2LnhtbESPQWvCQBSE74X+h+UJXkLdqIlI6ipFFDxZakvb4yP7&#10;mgSzb0N2TeK/dwWhx2FmvmFWm8HUoqPWVZYVTCcxCOLc6ooLBV+f+5clCOeRNdaWScGVHGzWz08r&#10;zLTt+YO6ky9EgLDLUEHpfZNJ6fKSDLqJbYiD92dbgz7ItpC6xT7ATS1ncbyQBisOCyU2tC0pP58u&#10;RkH0fumGHW0T/rmm3/Oo+D0uplap8Wh4ewXhafD/4Uf7oBWkywTuZ8IR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zX4sYAAADcAAAADwAAAAAAAAAAAAAAAACYAgAAZHJz&#10;L2Rvd25yZXYueG1sUEsFBgAAAAAEAAQA9QAAAIsDAAAAAA==&#10;" fillcolor="#d0d7e5" stroked="f"/>
                <v:line id="Line 583" o:spid="_x0000_s1304" style="position:absolute;visibility:visible;mso-wrap-style:square" from="59436,18319" to="59442,18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Ui98MAAADcAAAADwAAAGRycy9kb3ducmV2LnhtbESP0YrCMBRE34X9h3AX9k1TxYpbjbII&#10;wuqDYPUDLs3dttrcdJvY1r83guDjMDNnmOW6N5VoqXGlZQXjUQSCOLO65FzB+bQdzkE4j6yxskwK&#10;7uRgvfoYLDHRtuMjtanPRYCwS1BB4X2dSOmyggy6ka2Jg/dnG4M+yCaXusEuwE0lJ1E0kwZLDgsF&#10;1rQpKLumN6PA7jb/124aH06372m7J+ku48op9fXZ/yxAeOr9O/xq/2oF8TyG55lwBOTq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TlIvfDAAAA3AAAAA8AAAAAAAAAAAAA&#10;AAAAoQIAAGRycy9kb3ducmV2LnhtbFBLBQYAAAAABAAEAPkAAACRAwAAAAA=&#10;" strokecolor="#d0d7e5" strokeweight="0"/>
                <v:rect id="Rectangle 584" o:spid="_x0000_s1305" style="position:absolute;left:59436;top:18319;width:63;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LsDsYA&#10;AADcAAAADwAAAGRycy9kb3ducmV2LnhtbESPT2vCQBTE7wW/w/KEXqRubGsIqasUaaEni7Foj4/s&#10;Mwlm34bs5o/fvisUPA4z8xtmtRlNLXpqXWVZwWIegSDOra64UPBz+HxKQDiPrLG2TAqu5GCznjys&#10;MNV24D31mS9EgLBLUUHpfZNK6fKSDLq5bYiDd7atQR9kW0jd4hDgppbPURRLgxWHhRIb2paUX7LO&#10;KJh9d/34QdtXPl2Xx5dZ8buLF1apx+n4/gbC0+jv4f/2l1awTGK4nQ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8LsDsYAAADcAAAADwAAAAAAAAAAAAAAAACYAgAAZHJz&#10;L2Rvd25yZXYueG1sUEsFBgAAAAAEAAQA9QAAAIsDAAAAAA==&#10;" fillcolor="#d0d7e5" stroked="f"/>
                <v:line id="Line 585" o:spid="_x0000_s1306" style="position:absolute;visibility:visible;mso-wrap-style:square" from="59436,19596" to="59442,19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sZG8UAAADcAAAADwAAAGRycy9kb3ducmV2LnhtbESP0WrCQBRE3wX/YblC3+pGSdo0dRUR&#10;Cm0fhCb9gEv2Nolm78bsmqR/3y0IPg4zc4bZ7CbTioF611hWsFpGIIhLqxuuFHwXb48pCOeRNbaW&#10;ScEvOdht57MNZtqO/EVD7isRIOwyVFB732VSurImg25pO+Lg/djeoA+yr6TucQxw08p1FD1Jgw2H&#10;hRo7OtRUnvOrUWA/DpfzGCfH4voSD58k3WnVOqUeFtP+FYSnyd/Dt/a7VpCkz/B/JhwBu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3sZG8UAAADcAAAADwAAAAAAAAAA&#10;AAAAAAChAgAAZHJzL2Rvd25yZXYueG1sUEsFBgAAAAAEAAQA+QAAAJMDAAAAAA==&#10;" strokecolor="#d0d7e5" strokeweight="0"/>
                <v:rect id="Rectangle 586" o:spid="_x0000_s1307" style="position:absolute;left:59436;top:19596;width:63;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Hd58MA&#10;AADcAAAADwAAAGRycy9kb3ducmV2LnhtbERPTWvCQBC9F/wPyxR6CbrRNiIxG5FgoacWbbE9Dtkx&#10;Cc3Ohuwmxn/fPRQ8Pt53tptMK0bqXWNZwXIRgyAurW64UvD1+TrfgHAeWWNrmRTcyMEunz1kmGp7&#10;5SONJ1+JEMIuRQW1910qpStrMugWtiMO3MX2Bn2AfSV1j9cQblq5iuO1NNhwaKixo6Km8vc0GAXR&#10;xzBOBype+PuWnJ+j6ud9vbRKPT1O+y0IT5O/i//db1pBsglrw5lwBG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Hd58MAAADcAAAADwAAAAAAAAAAAAAAAACYAgAAZHJzL2Rv&#10;d25yZXYueG1sUEsFBgAAAAAEAAQA9QAAAIgDAAAAAA==&#10;" fillcolor="#d0d7e5" stroked="f"/>
                <v:line id="Line 587" o:spid="_x0000_s1308" style="position:absolute;visibility:visible;mso-wrap-style:square" from="59436,20942" to="59442,20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go8sMAAADcAAAADwAAAGRycy9kb3ducmV2LnhtbESP0YrCMBRE3xf8h3AF37apoovWRhFB&#10;0H0QVv2AS3Ntq81NbWJb/34jLOzjMDNnmHTdm0q01LjSsoJxFIMgzqwuOVdwOe8+5yCcR9ZYWSYF&#10;L3KwXg0+Uky07fiH2pPPRYCwS1BB4X2dSOmyggy6yNbEwbvaxqAPssmlbrALcFPJSRx/SYMlh4UC&#10;a9oWlN1PT6PAHraPezedHc/PxbT9Julu48opNRr2myUIT73/D/+191rBbL6A95lwBO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WoKPLDAAAA3AAAAA8AAAAAAAAAAAAA&#10;AAAAoQIAAGRycy9kb3ducmV2LnhtbFBLBQYAAAAABAAEAPkAAACRAwAAAAA=&#10;" strokecolor="#d0d7e5" strokeweight="0"/>
                <v:rect id="Rectangle 588" o:spid="_x0000_s1309" style="position:absolute;left:59436;top:20942;width:63;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5HPMMA&#10;AADcAAAADwAAAGRycy9kb3ducmV2LnhtbERPy2rCQBTdC/7DcAU3UifaGmrqKEUUurI0FevykrlN&#10;QjN3Qmby8O+dRcHl4bw3u8FUoqPGlZYVLOYRCOLM6pJzBefv49MrCOeRNVaWScGNHOy249EGE217&#10;/qIu9bkIIewSVFB4XydSuqwgg25ua+LA/drGoA+wyaVusA/hppLLKIqlwZJDQ4E17QvK/tLWKJh9&#10;tt1woP0L/9xWl+dZfj3FC6vUdDK8v4HwNPiH+N/9oRWs1mF+OBOOgN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5HPMMAAADcAAAADwAAAAAAAAAAAAAAAACYAgAAZHJzL2Rv&#10;d25yZXYueG1sUEsFBgAAAAAEAAQA9QAAAIgDAAAAAA==&#10;" fillcolor="#d0d7e5" stroked="f"/>
                <v:line id="Line 589" o:spid="_x0000_s1310" style="position:absolute;visibility:visible;mso-wrap-style:square" from="59436,22225" to="59442,22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yKcUAAADcAAAADwAAAGRycy9kb3ducmV2LnhtbESPzWrDMBCE74G+g9hCb4ns4oTEiRJK&#10;oNDmUIjTB1isreXEWrmW/NO3jwqFHoeZ+YbZHSbbiIE6XztWkC4SEMSl0zVXCj4vr/M1CB+QNTaO&#10;ScEPeTjsH2Y7zLUb+UxDESoRIexzVGBCaHMpfWnIol+4ljh6X66zGKLsKqk7HCPcNvI5SVbSYs1x&#10;wWBLR0PlreitAvd+/L6N2fLj0m+y4UTSX9PGK/X0OL1sQQSawn/4r/2mFSw3KfyeiUdA7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eyKcUAAADcAAAADwAAAAAAAAAA&#10;AAAAAAChAgAAZHJzL2Rvd25yZXYueG1sUEsFBgAAAAAEAAQA+QAAAJMDAAAAAA==&#10;" strokecolor="#d0d7e5" strokeweight="0"/>
                <v:rect id="Rectangle 590" o:spid="_x0000_s1311" style="position:absolute;left:59436;top:22225;width:63;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B80MQA&#10;AADcAAAADwAAAGRycy9kb3ducmV2LnhtbESPT4vCMBTE78J+h/AEL6Kpf3G7RhFR8KSsK+rx0Tzb&#10;ss1LaWKt336zIHgcZuY3zHzZmELUVLncsoJBPwJBnFidc6rg9LPtzUA4j6yxsEwKnuRgufhozTHW&#10;9sHfVB99KgKEXYwKMu/LWEqXZGTQ9W1JHLybrQz6IKtU6gofAW4KOYyiqTSYc1jIsKR1Rsnv8W4U&#10;dA/3utnQesyX5+Q86qbX/XRgleq0m9UXCE+Nf4df7Z1WMPkcwv+Zc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gfNDEAAAA3AAAAA8AAAAAAAAAAAAAAAAAmAIAAGRycy9k&#10;b3ducmV2LnhtbFBLBQYAAAAABAAEAPUAAACJAwAAAAA=&#10;" fillcolor="#d0d7e5" stroked="f"/>
              </v:group>
            </w:pict>
          </mc:Fallback>
        </mc:AlternateContent>
      </w:r>
      <w:r w:rsidR="008E4AA8">
        <w:rPr>
          <w:rFonts w:eastAsiaTheme="minorEastAsia" w:cs="Times New Roman"/>
          <w:bCs/>
          <w:i/>
        </w:rPr>
        <w:t>l</w:t>
      </w:r>
      <w:r w:rsidR="00D74970">
        <w:rPr>
          <w:rFonts w:eastAsiaTheme="minorEastAsia" w:cs="Times New Roman"/>
          <w:bCs/>
          <w:i/>
        </w:rPr>
        <w:t>)</w:t>
      </w:r>
    </w:p>
    <w:p w14:paraId="48EF07BC" w14:textId="77777777" w:rsidR="000944EF" w:rsidRDefault="000944EF" w:rsidP="00C43C1E">
      <w:pPr>
        <w:spacing w:line="276" w:lineRule="auto"/>
        <w:jc w:val="left"/>
        <w:rPr>
          <w:rFonts w:eastAsiaTheme="minorEastAsia" w:cs="Times New Roman"/>
          <w:bCs/>
        </w:rPr>
      </w:pPr>
    </w:p>
    <w:p w14:paraId="1508859A" w14:textId="77777777" w:rsidR="000944EF" w:rsidRDefault="000944EF" w:rsidP="00C43C1E">
      <w:pPr>
        <w:spacing w:line="276" w:lineRule="auto"/>
        <w:jc w:val="left"/>
        <w:rPr>
          <w:rFonts w:eastAsiaTheme="minorEastAsia" w:cs="Times New Roman"/>
          <w:bCs/>
        </w:rPr>
      </w:pPr>
    </w:p>
    <w:p w14:paraId="02FA114F" w14:textId="77777777" w:rsidR="000944EF" w:rsidRDefault="000944EF" w:rsidP="00C43C1E">
      <w:pPr>
        <w:spacing w:line="276" w:lineRule="auto"/>
        <w:jc w:val="left"/>
        <w:rPr>
          <w:rFonts w:eastAsiaTheme="minorEastAsia" w:cs="Times New Roman"/>
          <w:bCs/>
        </w:rPr>
      </w:pPr>
    </w:p>
    <w:p w14:paraId="4E76A531" w14:textId="77777777" w:rsidR="000944EF" w:rsidRDefault="000944EF" w:rsidP="00C43C1E">
      <w:pPr>
        <w:spacing w:line="276" w:lineRule="auto"/>
        <w:jc w:val="left"/>
        <w:rPr>
          <w:rFonts w:eastAsiaTheme="minorEastAsia" w:cs="Times New Roman"/>
          <w:bCs/>
        </w:rPr>
      </w:pPr>
    </w:p>
    <w:p w14:paraId="38AC2A10" w14:textId="77777777" w:rsidR="000944EF" w:rsidRPr="00C43C1E" w:rsidRDefault="000944EF" w:rsidP="00C43C1E">
      <w:pPr>
        <w:spacing w:line="276" w:lineRule="auto"/>
        <w:jc w:val="left"/>
        <w:rPr>
          <w:rFonts w:eastAsiaTheme="minorEastAsia" w:cs="Times New Roman"/>
          <w:bCs/>
        </w:rPr>
      </w:pPr>
    </w:p>
    <w:p w14:paraId="3FD66973" w14:textId="77777777" w:rsidR="009E0CC9" w:rsidRPr="002162A4" w:rsidRDefault="009E0CC9" w:rsidP="000944EF">
      <w:pPr>
        <w:tabs>
          <w:tab w:val="left" w:pos="5372"/>
        </w:tabs>
        <w:jc w:val="left"/>
        <w:rPr>
          <w:rFonts w:ascii="Times New Roman" w:eastAsiaTheme="minorEastAsia" w:hAnsi="Times New Roman" w:cs="Times New Roman"/>
          <w:bCs/>
          <w:sz w:val="24"/>
          <w:szCs w:val="24"/>
        </w:rPr>
      </w:pPr>
      <w:r>
        <w:rPr>
          <w:rFonts w:ascii="Cambria" w:eastAsiaTheme="minorEastAsia" w:hAnsi="Cambria" w:cs="Times New Roman"/>
          <w:bCs/>
          <w:sz w:val="20"/>
          <w:szCs w:val="20"/>
        </w:rPr>
        <w:tab/>
      </w:r>
    </w:p>
    <w:p w14:paraId="1F983F1D" w14:textId="77777777" w:rsidR="009E0CC9" w:rsidRPr="002162A4" w:rsidRDefault="009E0CC9" w:rsidP="009E0CC9">
      <w:pPr>
        <w:jc w:val="left"/>
        <w:rPr>
          <w:rFonts w:ascii="Times New Roman" w:eastAsiaTheme="minorEastAsia" w:hAnsi="Times New Roman" w:cs="Times New Roman"/>
          <w:bCs/>
          <w:sz w:val="24"/>
          <w:szCs w:val="24"/>
        </w:rPr>
      </w:pPr>
    </w:p>
    <w:p w14:paraId="2EBA0950" w14:textId="77777777" w:rsidR="009E0CC9" w:rsidRPr="002162A4" w:rsidRDefault="009E0CC9" w:rsidP="009E0CC9">
      <w:pPr>
        <w:jc w:val="left"/>
        <w:rPr>
          <w:rFonts w:ascii="Times New Roman" w:eastAsiaTheme="minorEastAsia" w:hAnsi="Times New Roman" w:cs="Times New Roman"/>
          <w:bCs/>
          <w:sz w:val="24"/>
          <w:szCs w:val="24"/>
        </w:rPr>
      </w:pPr>
    </w:p>
    <w:p w14:paraId="32040A5F" w14:textId="77777777" w:rsidR="009E0CC9" w:rsidRPr="002162A4" w:rsidRDefault="009E0CC9" w:rsidP="009E0CC9">
      <w:pPr>
        <w:jc w:val="left"/>
        <w:rPr>
          <w:rFonts w:ascii="Times New Roman" w:eastAsiaTheme="minorEastAsia" w:hAnsi="Times New Roman" w:cs="Times New Roman"/>
          <w:bCs/>
          <w:sz w:val="24"/>
          <w:szCs w:val="24"/>
        </w:rPr>
      </w:pPr>
    </w:p>
    <w:p w14:paraId="2BA435D5" w14:textId="17E6D6E5" w:rsidR="00C34B82" w:rsidRDefault="00534D9C" w:rsidP="00FA4F8D">
      <w:pPr>
        <w:pStyle w:val="ListParagraph"/>
        <w:numPr>
          <w:ilvl w:val="0"/>
          <w:numId w:val="1"/>
        </w:numPr>
        <w:spacing w:after="0" w:line="276" w:lineRule="auto"/>
      </w:pPr>
      <w:r w:rsidRPr="003D304C">
        <w:rPr>
          <w:rFonts w:cs="Times New Roman"/>
          <w:b/>
        </w:rPr>
        <w:t>A recent World Bank study</w:t>
      </w:r>
      <w:r w:rsidRPr="003D304C">
        <w:rPr>
          <w:rStyle w:val="FootnoteReference"/>
          <w:rFonts w:cs="Times New Roman"/>
          <w:b/>
        </w:rPr>
        <w:footnoteReference w:id="82"/>
      </w:r>
      <w:r w:rsidRPr="003D304C">
        <w:rPr>
          <w:rFonts w:cs="Times New Roman"/>
          <w:b/>
        </w:rPr>
        <w:t xml:space="preserve"> on IDP livelihoods noted the presence of extremely vulnerable IDPs (EVIDPs) who are classified as living in extreme poverty or extreme vulnerability.</w:t>
      </w:r>
      <w:r w:rsidRPr="003D304C">
        <w:rPr>
          <w:rFonts w:cs="Times New Roman"/>
        </w:rPr>
        <w:t xml:space="preserve"> These IDPs spend their days meeting their many challenges including growing/searching for food, looking for low-paid temporary jobs, repairing low-quality shelter, caring for children, and travelling to obtain government subsidies.</w:t>
      </w:r>
      <w:r w:rsidRPr="003D304C">
        <w:rPr>
          <w:rStyle w:val="FootnoteReference"/>
          <w:rFonts w:cs="Times New Roman"/>
        </w:rPr>
        <w:footnoteReference w:id="83"/>
      </w:r>
      <w:r w:rsidRPr="003D304C">
        <w:rPr>
          <w:rFonts w:cs="Times New Roman"/>
        </w:rPr>
        <w:t xml:space="preserve"> They hardly have any time to engage in profitable work, or to take simple risks in developing new livelihoods. In addition, they are often unable to benefit from livelihood support.</w:t>
      </w:r>
      <w:r w:rsidRPr="003D304C">
        <w:rPr>
          <w:rStyle w:val="FootnoteReference"/>
          <w:rFonts w:cs="Times New Roman"/>
        </w:rPr>
        <w:footnoteReference w:id="84"/>
      </w:r>
      <w:r w:rsidRPr="003D304C">
        <w:rPr>
          <w:rFonts w:cs="Times New Roman"/>
        </w:rPr>
        <w:t xml:space="preserve"> When faced with a financial shock, such as a medical emergency, they often opt to sell or consume any livelihood assistance that they have received (such as selling off equipment or slaughtering livestock). Many EVIDPs consist of female single-headed households, widows, IDPs with disabilities, and youth.</w:t>
      </w:r>
      <w:r w:rsidRPr="003D304C">
        <w:rPr>
          <w:rStyle w:val="FootnoteReference"/>
          <w:rFonts w:cs="Times New Roman"/>
        </w:rPr>
        <w:footnoteReference w:id="85"/>
      </w:r>
      <w:r w:rsidR="004026C1">
        <w:rPr>
          <w:rFonts w:cs="Times New Roman"/>
        </w:rPr>
        <w:t xml:space="preserve"> </w:t>
      </w:r>
    </w:p>
    <w:p w14:paraId="55B1EFAA" w14:textId="77777777" w:rsidR="00C34B82" w:rsidRDefault="00C34B82" w:rsidP="00FA4F8D">
      <w:pPr>
        <w:pStyle w:val="ListParagraph"/>
        <w:spacing w:after="0" w:line="276" w:lineRule="auto"/>
        <w:ind w:left="360"/>
        <w:rPr>
          <w:rFonts w:cs="Times New Roman"/>
          <w:b/>
        </w:rPr>
      </w:pPr>
    </w:p>
    <w:p w14:paraId="26442AF2" w14:textId="3D0775C2" w:rsidR="002879FC" w:rsidRPr="003D304C" w:rsidRDefault="00AE5E64" w:rsidP="00C43C1E">
      <w:pPr>
        <w:pStyle w:val="ListParagraph"/>
        <w:numPr>
          <w:ilvl w:val="0"/>
          <w:numId w:val="1"/>
        </w:numPr>
        <w:spacing w:after="0" w:line="276" w:lineRule="auto"/>
        <w:rPr>
          <w:rFonts w:cs="Times New Roman"/>
          <w:b/>
        </w:rPr>
      </w:pPr>
      <w:r w:rsidRPr="003D304C">
        <w:rPr>
          <w:rFonts w:cs="Times New Roman"/>
          <w:b/>
        </w:rPr>
        <w:t xml:space="preserve">Despite free access to education, extremely vulnerable IDPs are likely to face additional constraints. </w:t>
      </w:r>
      <w:r w:rsidRPr="003D304C">
        <w:rPr>
          <w:rFonts w:cs="Times New Roman"/>
        </w:rPr>
        <w:t xml:space="preserve">Interviews with officials from the UN and its NGO partners revealed that extremely vulnerable IDPs often find it difficult to afford all the required school supplies. Any additional “tuition fees” that may </w:t>
      </w:r>
      <w:r w:rsidRPr="003D304C">
        <w:rPr>
          <w:rFonts w:cs="Times New Roman"/>
        </w:rPr>
        <w:lastRenderedPageBreak/>
        <w:t xml:space="preserve">be required to support the schools are sometimes beyond the reach of extremely vulnerable IDPs. </w:t>
      </w:r>
      <w:r w:rsidR="00BD2FCF">
        <w:rPr>
          <w:rFonts w:cs="Times New Roman"/>
        </w:rPr>
        <w:t>C</w:t>
      </w:r>
      <w:r w:rsidRPr="003D304C">
        <w:rPr>
          <w:rFonts w:cs="Times New Roman"/>
        </w:rPr>
        <w:t>rowd</w:t>
      </w:r>
      <w:r w:rsidR="00BD2FCF">
        <w:rPr>
          <w:rFonts w:cs="Times New Roman"/>
        </w:rPr>
        <w:t>ed living conditions may be a source of</w:t>
      </w:r>
      <w:r w:rsidRPr="003D304C">
        <w:rPr>
          <w:rFonts w:cs="Times New Roman"/>
        </w:rPr>
        <w:t xml:space="preserve"> psychosocial distress </w:t>
      </w:r>
      <w:r w:rsidR="00BD2FCF">
        <w:rPr>
          <w:rFonts w:cs="Times New Roman"/>
        </w:rPr>
        <w:t>and</w:t>
      </w:r>
      <w:r w:rsidRPr="003D304C">
        <w:rPr>
          <w:rFonts w:cs="Times New Roman"/>
        </w:rPr>
        <w:t xml:space="preserve"> pose a barrier to IDP children succeeding in their studies. In addition, the large expenses associated with moving to large urban areas for higher education may pose a significant challenge to poor </w:t>
      </w:r>
      <w:r w:rsidR="0042009C">
        <w:rPr>
          <w:rFonts w:cs="Times New Roman"/>
        </w:rPr>
        <w:t xml:space="preserve">rural </w:t>
      </w:r>
      <w:r w:rsidRPr="003D304C">
        <w:rPr>
          <w:rFonts w:cs="Times New Roman"/>
        </w:rPr>
        <w:t xml:space="preserve">IDP families. </w:t>
      </w:r>
    </w:p>
    <w:p w14:paraId="203045C1" w14:textId="77777777" w:rsidR="002879FC" w:rsidRPr="003D304C" w:rsidRDefault="002879FC" w:rsidP="00C43C1E">
      <w:pPr>
        <w:pStyle w:val="ListParagraph"/>
        <w:spacing w:line="276" w:lineRule="auto"/>
        <w:rPr>
          <w:rFonts w:cs="Times New Roman"/>
          <w:b/>
          <w:bCs/>
        </w:rPr>
      </w:pPr>
    </w:p>
    <w:p w14:paraId="76F0CDA8" w14:textId="79219733" w:rsidR="00090E69" w:rsidRPr="003D304C" w:rsidRDefault="00AE5E64" w:rsidP="00700CAB">
      <w:pPr>
        <w:pStyle w:val="ListParagraph"/>
        <w:numPr>
          <w:ilvl w:val="0"/>
          <w:numId w:val="1"/>
        </w:numPr>
        <w:spacing w:after="0" w:line="276" w:lineRule="auto"/>
        <w:rPr>
          <w:rFonts w:cs="Times New Roman"/>
          <w:b/>
        </w:rPr>
      </w:pPr>
      <w:r w:rsidRPr="003D304C">
        <w:rPr>
          <w:rFonts w:cs="Times New Roman"/>
          <w:b/>
          <w:bCs/>
        </w:rPr>
        <w:t xml:space="preserve">IDPs </w:t>
      </w:r>
      <w:r w:rsidR="00FB07A6" w:rsidRPr="003D304C">
        <w:rPr>
          <w:rFonts w:cs="Times New Roman"/>
          <w:b/>
          <w:bCs/>
        </w:rPr>
        <w:t xml:space="preserve">in returnee districts such as Gali, Ochamchire and Tkvarcheli </w:t>
      </w:r>
      <w:r w:rsidRPr="003D304C">
        <w:rPr>
          <w:rFonts w:cs="Times New Roman"/>
          <w:b/>
          <w:bCs/>
        </w:rPr>
        <w:t>are subject to intimidation, threats, and significant challenges to their livelihoods</w:t>
      </w:r>
      <w:r w:rsidRPr="003D304C">
        <w:rPr>
          <w:rFonts w:cs="Times New Roman"/>
          <w:b/>
        </w:rPr>
        <w:t>.</w:t>
      </w:r>
      <w:r w:rsidRPr="003D304C">
        <w:rPr>
          <w:vertAlign w:val="superscript"/>
        </w:rPr>
        <w:footnoteReference w:id="86"/>
      </w:r>
      <w:r w:rsidRPr="003D304C">
        <w:rPr>
          <w:rFonts w:cs="Times New Roman"/>
        </w:rPr>
        <w:t xml:space="preserve"> </w:t>
      </w:r>
      <w:r w:rsidR="00FB07A6" w:rsidRPr="003D304C">
        <w:rPr>
          <w:rFonts w:cs="Times New Roman"/>
        </w:rPr>
        <w:t>There are high levels of poverty among IDPs in these districts, and active barriers prevent IDPs from improving their livelihoods. For example, a</w:t>
      </w:r>
      <w:r w:rsidRPr="003D304C">
        <w:rPr>
          <w:rFonts w:cs="Times New Roman"/>
        </w:rPr>
        <w:t xml:space="preserve">lthough a banking sector exists in </w:t>
      </w:r>
      <w:r w:rsidR="00AE393B">
        <w:rPr>
          <w:rFonts w:cs="Times New Roman"/>
        </w:rPr>
        <w:t xml:space="preserve">the </w:t>
      </w:r>
      <w:r w:rsidRPr="003D304C">
        <w:rPr>
          <w:rFonts w:cs="Times New Roman"/>
        </w:rPr>
        <w:t>Abkhazia</w:t>
      </w:r>
      <w:r w:rsidR="00AE393B">
        <w:rPr>
          <w:rFonts w:cs="Times New Roman"/>
        </w:rPr>
        <w:t>n Autonomous Republic</w:t>
      </w:r>
      <w:r w:rsidRPr="003D304C">
        <w:rPr>
          <w:rFonts w:cs="Times New Roman"/>
        </w:rPr>
        <w:t>, it is not readily available to people of Georgian ethnicity</w:t>
      </w:r>
      <w:r w:rsidR="00FB07A6" w:rsidRPr="003D304C">
        <w:rPr>
          <w:rFonts w:cs="Times New Roman"/>
        </w:rPr>
        <w:t xml:space="preserve">, as </w:t>
      </w:r>
      <w:r w:rsidRPr="003D304C">
        <w:rPr>
          <w:rFonts w:cs="Times New Roman"/>
        </w:rPr>
        <w:t>an Abkhaz ID indicating Abkhaz “citizenship” is required to open a bank account.</w:t>
      </w:r>
      <w:r w:rsidRPr="003D304C">
        <w:rPr>
          <w:vertAlign w:val="superscript"/>
        </w:rPr>
        <w:footnoteReference w:id="87"/>
      </w:r>
      <w:r w:rsidRPr="003D304C">
        <w:rPr>
          <w:rFonts w:cs="Times New Roman"/>
        </w:rPr>
        <w:t xml:space="preserve"> Financial institutions in other parts of Georgia are unable to lend to clients in </w:t>
      </w:r>
      <w:r w:rsidR="00FB07A6" w:rsidRPr="003D304C">
        <w:rPr>
          <w:rFonts w:cs="Times New Roman"/>
        </w:rPr>
        <w:t>these districts</w:t>
      </w:r>
      <w:r w:rsidRPr="003D304C">
        <w:rPr>
          <w:rFonts w:cs="Times New Roman"/>
        </w:rPr>
        <w:t xml:space="preserve"> because of a lack of Georgian jurisdiction in </w:t>
      </w:r>
      <w:r w:rsidR="00AE393B">
        <w:rPr>
          <w:rFonts w:cs="Times New Roman"/>
        </w:rPr>
        <w:t xml:space="preserve">the </w:t>
      </w:r>
      <w:r w:rsidRPr="003D304C">
        <w:rPr>
          <w:rFonts w:cs="Times New Roman"/>
        </w:rPr>
        <w:t>A</w:t>
      </w:r>
      <w:r w:rsidR="00AE393B">
        <w:rPr>
          <w:rFonts w:cs="Times New Roman"/>
        </w:rPr>
        <w:t>AR</w:t>
      </w:r>
      <w:r w:rsidRPr="003D304C">
        <w:rPr>
          <w:rFonts w:cs="Times New Roman"/>
        </w:rPr>
        <w:t>.</w:t>
      </w:r>
      <w:r w:rsidRPr="003D304C">
        <w:rPr>
          <w:vertAlign w:val="superscript"/>
        </w:rPr>
        <w:footnoteReference w:id="88"/>
      </w:r>
      <w:r w:rsidRPr="003D304C">
        <w:rPr>
          <w:rFonts w:cs="Times New Roman"/>
        </w:rPr>
        <w:t xml:space="preserve"> </w:t>
      </w:r>
      <w:r w:rsidR="002879FC" w:rsidRPr="003D304C">
        <w:rPr>
          <w:rFonts w:cs="Times New Roman"/>
        </w:rPr>
        <w:t>Another stark challenge among IDPs in returnee districts is in the education sector, where t</w:t>
      </w:r>
      <w:r w:rsidR="00FB07A6" w:rsidRPr="003D304C">
        <w:rPr>
          <w:rFonts w:cs="Times New Roman"/>
        </w:rPr>
        <w:t>he use of Abkhazian and Russian languages for instruction in many schools effectively excludes ethnic Georgians from fully participating in the education system.</w:t>
      </w:r>
      <w:r w:rsidR="00FB07A6" w:rsidRPr="003D304C">
        <w:rPr>
          <w:rStyle w:val="FootnoteReference"/>
          <w:rFonts w:cs="Times New Roman"/>
          <w:b/>
        </w:rPr>
        <w:t xml:space="preserve"> </w:t>
      </w:r>
      <w:r w:rsidR="00FB07A6" w:rsidRPr="003D304C">
        <w:rPr>
          <w:rStyle w:val="FootnoteReference"/>
          <w:rFonts w:cs="Times New Roman"/>
          <w:b/>
        </w:rPr>
        <w:footnoteReference w:id="89"/>
      </w:r>
      <w:r w:rsidR="00FB07A6" w:rsidRPr="003D304C">
        <w:rPr>
          <w:rFonts w:cs="Times New Roman"/>
        </w:rPr>
        <w:t xml:space="preserve"> This not only presents learning difficulties for returnee children, but is likely to affect their access to higher education or employment.</w:t>
      </w:r>
      <w:r w:rsidR="00FB07A6" w:rsidRPr="003D304C">
        <w:rPr>
          <w:rStyle w:val="FootnoteReference"/>
          <w:rFonts w:cs="Times New Roman"/>
        </w:rPr>
        <w:footnoteReference w:id="90"/>
      </w:r>
      <w:r w:rsidR="00FB07A6" w:rsidRPr="003D304C">
        <w:rPr>
          <w:rFonts w:cs="Times New Roman"/>
        </w:rPr>
        <w:t xml:space="preserve"> Schools in these districts also tend to be in very poor condition, with very poor access as transportation is scarce. </w:t>
      </w:r>
    </w:p>
    <w:p w14:paraId="0F0EB05A" w14:textId="77777777" w:rsidR="00232273" w:rsidRPr="00FB07A6" w:rsidRDefault="00232273" w:rsidP="00FB07A6">
      <w:pPr>
        <w:spacing w:after="0" w:line="276" w:lineRule="auto"/>
      </w:pPr>
    </w:p>
    <w:p w14:paraId="7ACFD5C1" w14:textId="77777777" w:rsidR="002C4394" w:rsidRDefault="002C4394" w:rsidP="00C1253B">
      <w:pPr>
        <w:spacing w:after="200" w:line="276" w:lineRule="auto"/>
        <w:jc w:val="left"/>
      </w:pPr>
    </w:p>
    <w:p w14:paraId="7B023AD5" w14:textId="512B4877" w:rsidR="001B2715" w:rsidRDefault="001B2715" w:rsidP="001B2715">
      <w:pPr>
        <w:pStyle w:val="Heading2"/>
        <w:spacing w:before="0" w:line="276" w:lineRule="auto"/>
        <w:rPr>
          <w:rFonts w:asciiTheme="minorHAnsi" w:hAnsiTheme="minorHAnsi"/>
          <w:color w:val="002060"/>
          <w:sz w:val="24"/>
          <w:szCs w:val="24"/>
        </w:rPr>
      </w:pPr>
      <w:bookmarkStart w:id="12" w:name="_Toc424902009"/>
      <w:bookmarkStart w:id="13" w:name="_Toc443046833"/>
      <w:r w:rsidRPr="000B6E00">
        <w:rPr>
          <w:rFonts w:asciiTheme="minorHAnsi" w:hAnsiTheme="minorHAnsi"/>
          <w:color w:val="002060"/>
          <w:sz w:val="24"/>
          <w:szCs w:val="24"/>
          <w:u w:val="single"/>
        </w:rPr>
        <w:t xml:space="preserve">Key Finding </w:t>
      </w:r>
      <w:r>
        <w:rPr>
          <w:rFonts w:asciiTheme="minorHAnsi" w:hAnsiTheme="minorHAnsi"/>
          <w:color w:val="002060"/>
          <w:sz w:val="24"/>
          <w:szCs w:val="24"/>
          <w:u w:val="single"/>
        </w:rPr>
        <w:t>4</w:t>
      </w:r>
      <w:r w:rsidRPr="000B6E00">
        <w:rPr>
          <w:rFonts w:asciiTheme="minorHAnsi" w:hAnsiTheme="minorHAnsi"/>
          <w:color w:val="002060"/>
          <w:sz w:val="24"/>
          <w:szCs w:val="24"/>
          <w:u w:val="single"/>
        </w:rPr>
        <w:t>:</w:t>
      </w:r>
      <w:r w:rsidRPr="00CF52CF">
        <w:rPr>
          <w:rFonts w:asciiTheme="minorHAnsi" w:hAnsiTheme="minorHAnsi"/>
          <w:color w:val="002060"/>
          <w:sz w:val="24"/>
          <w:szCs w:val="24"/>
        </w:rPr>
        <w:t xml:space="preserve"> </w:t>
      </w:r>
      <w:r w:rsidR="002C36AA">
        <w:rPr>
          <w:rFonts w:asciiTheme="minorHAnsi" w:hAnsiTheme="minorHAnsi"/>
          <w:color w:val="002060"/>
          <w:sz w:val="24"/>
          <w:szCs w:val="24"/>
        </w:rPr>
        <w:t>The IDP benefit offers income security that may be lost with alternative forms of social assistance</w:t>
      </w:r>
      <w:bookmarkEnd w:id="13"/>
    </w:p>
    <w:p w14:paraId="1F97F950" w14:textId="77777777" w:rsidR="001B2715" w:rsidRDefault="001B2715" w:rsidP="001B2715"/>
    <w:p w14:paraId="24443653" w14:textId="5AB75971" w:rsidR="001B2715" w:rsidRDefault="00BD2FCF" w:rsidP="002C36AA">
      <w:pPr>
        <w:pStyle w:val="ListParagraph"/>
        <w:numPr>
          <w:ilvl w:val="0"/>
          <w:numId w:val="1"/>
        </w:numPr>
        <w:spacing w:after="0" w:line="276" w:lineRule="auto"/>
      </w:pPr>
      <w:bookmarkStart w:id="14" w:name="_Toc424742580"/>
      <w:bookmarkStart w:id="15" w:name="_Toc424742810"/>
      <w:r>
        <w:rPr>
          <w:b/>
        </w:rPr>
        <w:t>Qualitative research suggests that one of the greatest perceived value</w:t>
      </w:r>
      <w:r w:rsidR="00BD5D73">
        <w:rPr>
          <w:b/>
        </w:rPr>
        <w:t xml:space="preserve"> of the IDP allowance is that it</w:t>
      </w:r>
      <w:r>
        <w:rPr>
          <w:b/>
        </w:rPr>
        <w:t xml:space="preserve"> </w:t>
      </w:r>
      <w:r w:rsidR="001B2715" w:rsidRPr="005D04EE">
        <w:rPr>
          <w:b/>
        </w:rPr>
        <w:t xml:space="preserve">represents </w:t>
      </w:r>
      <w:r>
        <w:rPr>
          <w:b/>
        </w:rPr>
        <w:t>a</w:t>
      </w:r>
      <w:r w:rsidR="001B2715" w:rsidRPr="005D04EE">
        <w:rPr>
          <w:b/>
        </w:rPr>
        <w:t xml:space="preserve"> regular and stable source of income.</w:t>
      </w:r>
      <w:r w:rsidR="001B2715" w:rsidRPr="005D04EE">
        <w:rPr>
          <w:rFonts w:cs="Times New Roman"/>
        </w:rPr>
        <w:t xml:space="preserve"> </w:t>
      </w:r>
      <w:r w:rsidR="001B2715" w:rsidRPr="00723BE9">
        <w:rPr>
          <w:rFonts w:eastAsiaTheme="minorEastAsia" w:cs="Times New Roman"/>
        </w:rPr>
        <w:t>The actual amount of the monthly allowance</w:t>
      </w:r>
      <w:r w:rsidR="001B2715" w:rsidRPr="00723BE9">
        <w:rPr>
          <w:vertAlign w:val="superscript"/>
        </w:rPr>
        <w:footnoteReference w:id="91"/>
      </w:r>
      <w:r w:rsidR="00C0373D">
        <w:rPr>
          <w:rFonts w:eastAsiaTheme="minorEastAsia" w:cs="Times New Roman"/>
        </w:rPr>
        <w:t xml:space="preserve"> is small (</w:t>
      </w:r>
      <w:r w:rsidR="001B2715" w:rsidRPr="00723BE9">
        <w:rPr>
          <w:rFonts w:eastAsiaTheme="minorEastAsia" w:cs="Times New Roman"/>
        </w:rPr>
        <w:t>45 GEL per person</w:t>
      </w:r>
      <w:r w:rsidR="00C0373D">
        <w:rPr>
          <w:rFonts w:eastAsiaTheme="minorEastAsia" w:cs="Times New Roman"/>
        </w:rPr>
        <w:t>)</w:t>
      </w:r>
      <w:r w:rsidR="001B2715">
        <w:rPr>
          <w:rFonts w:eastAsiaTheme="minorEastAsia" w:cs="Times New Roman"/>
        </w:rPr>
        <w:t>,</w:t>
      </w:r>
      <w:r w:rsidR="001B2715" w:rsidRPr="00723BE9">
        <w:rPr>
          <w:rFonts w:eastAsiaTheme="minorEastAsia" w:cs="Times New Roman"/>
        </w:rPr>
        <w:t xml:space="preserve"> yet deemed an important contribution to household income. </w:t>
      </w:r>
      <w:r w:rsidR="001B2715">
        <w:t xml:space="preserve">This is especially the case for poor and vulnerable IDPs working in the informal economy without stable incomes. </w:t>
      </w:r>
      <w:r w:rsidR="001B2715">
        <w:rPr>
          <w:rFonts w:eastAsiaTheme="minorEastAsia" w:cs="Times New Roman"/>
          <w:bCs/>
        </w:rPr>
        <w:t xml:space="preserve">As such, </w:t>
      </w:r>
      <w:r w:rsidR="001B2715">
        <w:t>t</w:t>
      </w:r>
      <w:r w:rsidR="001B2715" w:rsidRPr="005D04EE">
        <w:t xml:space="preserve">he </w:t>
      </w:r>
      <w:r w:rsidR="001B2715">
        <w:t>stability of the</w:t>
      </w:r>
      <w:r w:rsidR="001B2715" w:rsidRPr="005D04EE">
        <w:t xml:space="preserve"> social transfer </w:t>
      </w:r>
      <w:r w:rsidR="001B2715">
        <w:t>has been an important buffer against poverty for many</w:t>
      </w:r>
      <w:r w:rsidR="001B2715" w:rsidRPr="005D04EE">
        <w:t xml:space="preserve">. </w:t>
      </w:r>
      <w:bookmarkEnd w:id="14"/>
      <w:bookmarkEnd w:id="15"/>
      <w:r w:rsidR="00C0373D" w:rsidRPr="002C36AA">
        <w:t xml:space="preserve">Focus group discussions confirm that one of the most valued aspects of the benefit is being a secure and reliable source of income.  </w:t>
      </w:r>
    </w:p>
    <w:p w14:paraId="1459F4B8" w14:textId="77777777" w:rsidR="001B2715" w:rsidRPr="006F4BE0" w:rsidRDefault="001B2715" w:rsidP="001B2715">
      <w:pPr>
        <w:spacing w:after="0" w:line="276" w:lineRule="auto"/>
        <w:jc w:val="left"/>
        <w:rPr>
          <w:rFonts w:cs="Times New Roman"/>
        </w:rPr>
      </w:pPr>
    </w:p>
    <w:p w14:paraId="5A0DED04" w14:textId="025B090B" w:rsidR="001B2715" w:rsidRDefault="001B2715" w:rsidP="001B2715">
      <w:pPr>
        <w:pStyle w:val="Normail1"/>
        <w:numPr>
          <w:ilvl w:val="0"/>
          <w:numId w:val="1"/>
        </w:numPr>
        <w:shd w:val="clear" w:color="auto" w:fill="FFFFFF" w:themeFill="background1"/>
        <w:tabs>
          <w:tab w:val="left" w:pos="360"/>
        </w:tabs>
        <w:spacing w:after="0" w:line="276" w:lineRule="auto"/>
        <w:rPr>
          <w:rFonts w:asciiTheme="minorHAnsi" w:hAnsiTheme="minorHAnsi"/>
          <w:sz w:val="22"/>
          <w:szCs w:val="22"/>
        </w:rPr>
      </w:pPr>
      <w:r w:rsidRPr="00875978">
        <w:rPr>
          <w:rFonts w:asciiTheme="minorHAnsi" w:hAnsiTheme="minorHAnsi"/>
          <w:b/>
          <w:sz w:val="22"/>
          <w:szCs w:val="22"/>
        </w:rPr>
        <w:t xml:space="preserve">Without </w:t>
      </w:r>
      <w:r w:rsidRPr="00EC72EE">
        <w:rPr>
          <w:rFonts w:asciiTheme="minorHAnsi" w:hAnsiTheme="minorHAnsi"/>
          <w:b/>
          <w:sz w:val="22"/>
          <w:szCs w:val="22"/>
        </w:rPr>
        <w:t>goo</w:t>
      </w:r>
      <w:r>
        <w:rPr>
          <w:rFonts w:asciiTheme="minorHAnsi" w:hAnsiTheme="minorHAnsi"/>
          <w:b/>
          <w:sz w:val="22"/>
          <w:szCs w:val="22"/>
        </w:rPr>
        <w:t xml:space="preserve">d baseline data and an effective </w:t>
      </w:r>
      <w:r w:rsidRPr="00EC72EE">
        <w:rPr>
          <w:rFonts w:asciiTheme="minorHAnsi" w:hAnsiTheme="minorHAnsi"/>
          <w:b/>
          <w:sz w:val="22"/>
          <w:szCs w:val="22"/>
        </w:rPr>
        <w:t>monitoring system in place</w:t>
      </w:r>
      <w:r w:rsidRPr="00875978">
        <w:rPr>
          <w:rFonts w:asciiTheme="minorHAnsi" w:hAnsiTheme="minorHAnsi"/>
          <w:b/>
          <w:sz w:val="22"/>
          <w:szCs w:val="22"/>
        </w:rPr>
        <w:t>, it is likely that attempts to target the IDP allowance would increase vulnerability among some IDPs.</w:t>
      </w:r>
      <w:r>
        <w:rPr>
          <w:rFonts w:asciiTheme="minorHAnsi" w:hAnsiTheme="minorHAnsi"/>
          <w:sz w:val="22"/>
          <w:szCs w:val="22"/>
        </w:rPr>
        <w:t xml:space="preserve"> </w:t>
      </w:r>
      <w:r w:rsidRPr="00AE61DD">
        <w:rPr>
          <w:rFonts w:asciiTheme="minorHAnsi" w:hAnsiTheme="minorHAnsi"/>
          <w:sz w:val="22"/>
          <w:szCs w:val="22"/>
        </w:rPr>
        <w:t xml:space="preserve">Initially, data on IDPs in Georgia was scarce and did not allow for sophisticated/refined targeting. Despite greater access to </w:t>
      </w:r>
      <w:r w:rsidRPr="00AE61DD">
        <w:rPr>
          <w:rFonts w:asciiTheme="minorHAnsi" w:hAnsiTheme="minorHAnsi"/>
          <w:sz w:val="22"/>
          <w:szCs w:val="22"/>
        </w:rPr>
        <w:lastRenderedPageBreak/>
        <w:t xml:space="preserve">data on IDPs, challenges continue to exist in collecting information from what is sometimes a hidden population, particularly those living in private accommodation, and/or in remote locations. Proper targeting would require comprehensive data, and is a complex and arduous process. It also </w:t>
      </w:r>
      <w:r w:rsidR="00B23792">
        <w:rPr>
          <w:rFonts w:asciiTheme="minorHAnsi" w:hAnsiTheme="minorHAnsi"/>
          <w:sz w:val="22"/>
          <w:szCs w:val="22"/>
        </w:rPr>
        <w:t xml:space="preserve">would </w:t>
      </w:r>
      <w:r w:rsidRPr="00AE61DD">
        <w:rPr>
          <w:rFonts w:asciiTheme="minorHAnsi" w:hAnsiTheme="minorHAnsi"/>
          <w:sz w:val="22"/>
          <w:szCs w:val="22"/>
        </w:rPr>
        <w:t>require regular updates and consistent monitoring to ensure that spillover to the non-poor is minimalized and that the poor are effectively targeted</w:t>
      </w:r>
      <w:r>
        <w:rPr>
          <w:rFonts w:asciiTheme="minorHAnsi" w:hAnsiTheme="minorHAnsi"/>
          <w:sz w:val="22"/>
          <w:szCs w:val="22"/>
        </w:rPr>
        <w:t>.</w:t>
      </w:r>
      <w:r w:rsidRPr="00AE61DD">
        <w:rPr>
          <w:rFonts w:asciiTheme="minorHAnsi" w:hAnsiTheme="minorHAnsi"/>
          <w:sz w:val="22"/>
          <w:szCs w:val="22"/>
        </w:rPr>
        <w:t xml:space="preserve"> </w:t>
      </w:r>
    </w:p>
    <w:p w14:paraId="634A98CE" w14:textId="77777777" w:rsidR="001B2715" w:rsidRPr="00AE61DD" w:rsidRDefault="001B2715" w:rsidP="001B2715">
      <w:pPr>
        <w:pStyle w:val="Normail1"/>
        <w:shd w:val="clear" w:color="auto" w:fill="FFFFFF" w:themeFill="background1"/>
        <w:tabs>
          <w:tab w:val="left" w:pos="360"/>
        </w:tabs>
        <w:spacing w:after="0" w:line="276" w:lineRule="auto"/>
        <w:rPr>
          <w:rFonts w:asciiTheme="minorHAnsi" w:hAnsiTheme="minorHAnsi"/>
          <w:sz w:val="22"/>
          <w:szCs w:val="22"/>
        </w:rPr>
      </w:pPr>
    </w:p>
    <w:p w14:paraId="3C35E796" w14:textId="58A85928" w:rsidR="001B2715" w:rsidRDefault="001B2715" w:rsidP="0036006E">
      <w:pPr>
        <w:pStyle w:val="Normail1"/>
        <w:numPr>
          <w:ilvl w:val="0"/>
          <w:numId w:val="1"/>
        </w:numPr>
        <w:shd w:val="clear" w:color="auto" w:fill="FFFFFF" w:themeFill="background1"/>
        <w:tabs>
          <w:tab w:val="left" w:pos="360"/>
        </w:tabs>
        <w:spacing w:after="0" w:line="276" w:lineRule="auto"/>
      </w:pPr>
      <w:r>
        <w:rPr>
          <w:rFonts w:asciiTheme="minorHAnsi" w:hAnsiTheme="minorHAnsi"/>
          <w:b/>
          <w:sz w:val="22"/>
          <w:szCs w:val="22"/>
        </w:rPr>
        <w:t>Successful t</w:t>
      </w:r>
      <w:r w:rsidRPr="00230D84">
        <w:rPr>
          <w:rFonts w:asciiTheme="minorHAnsi" w:hAnsiTheme="minorHAnsi"/>
          <w:b/>
          <w:sz w:val="22"/>
          <w:szCs w:val="22"/>
        </w:rPr>
        <w:t xml:space="preserve">argeting of social assistance to </w:t>
      </w:r>
      <w:r>
        <w:rPr>
          <w:rFonts w:asciiTheme="minorHAnsi" w:hAnsiTheme="minorHAnsi"/>
          <w:b/>
          <w:sz w:val="22"/>
          <w:szCs w:val="22"/>
        </w:rPr>
        <w:t xml:space="preserve">poor </w:t>
      </w:r>
      <w:r w:rsidRPr="00230D84">
        <w:rPr>
          <w:rFonts w:asciiTheme="minorHAnsi" w:hAnsiTheme="minorHAnsi"/>
          <w:b/>
          <w:sz w:val="22"/>
          <w:szCs w:val="22"/>
        </w:rPr>
        <w:t xml:space="preserve">IDPs would </w:t>
      </w:r>
      <w:r>
        <w:rPr>
          <w:rFonts w:asciiTheme="minorHAnsi" w:hAnsiTheme="minorHAnsi"/>
          <w:b/>
          <w:sz w:val="22"/>
          <w:szCs w:val="22"/>
        </w:rPr>
        <w:t xml:space="preserve">require </w:t>
      </w:r>
      <w:r w:rsidR="00B23792">
        <w:rPr>
          <w:rFonts w:asciiTheme="minorHAnsi" w:hAnsiTheme="minorHAnsi"/>
          <w:b/>
          <w:sz w:val="22"/>
          <w:szCs w:val="22"/>
        </w:rPr>
        <w:t xml:space="preserve">a </w:t>
      </w:r>
      <w:r>
        <w:rPr>
          <w:rFonts w:asciiTheme="minorHAnsi" w:hAnsiTheme="minorHAnsi"/>
          <w:b/>
          <w:sz w:val="22"/>
          <w:szCs w:val="22"/>
        </w:rPr>
        <w:t xml:space="preserve">substantial administrative cost and capacity building at the local level to inform and integrate IDPs in the targeted program.  </w:t>
      </w:r>
      <w:r w:rsidRPr="00230D84">
        <w:rPr>
          <w:rFonts w:asciiTheme="minorHAnsi" w:hAnsiTheme="minorHAnsi"/>
          <w:b/>
          <w:sz w:val="22"/>
          <w:szCs w:val="22"/>
        </w:rPr>
        <w:t xml:space="preserve"> </w:t>
      </w:r>
      <w:r>
        <w:rPr>
          <w:rFonts w:asciiTheme="minorHAnsi" w:hAnsiTheme="minorHAnsi"/>
          <w:sz w:val="22"/>
          <w:szCs w:val="22"/>
        </w:rPr>
        <w:t>With high reliance on remittances and informal employment</w:t>
      </w:r>
      <w:r w:rsidR="00B23792">
        <w:rPr>
          <w:rFonts w:asciiTheme="minorHAnsi" w:hAnsiTheme="minorHAnsi"/>
          <w:sz w:val="22"/>
          <w:szCs w:val="22"/>
        </w:rPr>
        <w:t>,</w:t>
      </w:r>
      <w:r>
        <w:rPr>
          <w:rFonts w:asciiTheme="minorHAnsi" w:hAnsiTheme="minorHAnsi"/>
          <w:sz w:val="22"/>
          <w:szCs w:val="22"/>
        </w:rPr>
        <w:t xml:space="preserve"> </w:t>
      </w:r>
      <w:r w:rsidRPr="005D04EE">
        <w:rPr>
          <w:rFonts w:asciiTheme="minorHAnsi" w:hAnsiTheme="minorHAnsi"/>
          <w:sz w:val="22"/>
          <w:szCs w:val="22"/>
        </w:rPr>
        <w:t xml:space="preserve">identifying precisely who is poor and avoiding leakage by reaching only poor IDPs </w:t>
      </w:r>
      <w:r>
        <w:rPr>
          <w:rFonts w:asciiTheme="minorHAnsi" w:hAnsiTheme="minorHAnsi"/>
          <w:sz w:val="22"/>
          <w:szCs w:val="22"/>
        </w:rPr>
        <w:t>might</w:t>
      </w:r>
      <w:r w:rsidRPr="005D04EE">
        <w:rPr>
          <w:rFonts w:asciiTheme="minorHAnsi" w:hAnsiTheme="minorHAnsi"/>
          <w:sz w:val="22"/>
          <w:szCs w:val="22"/>
        </w:rPr>
        <w:t xml:space="preserve"> be difficult</w:t>
      </w:r>
      <w:r>
        <w:rPr>
          <w:rFonts w:asciiTheme="minorHAnsi" w:hAnsiTheme="minorHAnsi"/>
          <w:sz w:val="22"/>
          <w:szCs w:val="22"/>
        </w:rPr>
        <w:t>. This is</w:t>
      </w:r>
      <w:r w:rsidRPr="005D04EE">
        <w:rPr>
          <w:rFonts w:asciiTheme="minorHAnsi" w:hAnsiTheme="minorHAnsi"/>
          <w:sz w:val="22"/>
          <w:szCs w:val="22"/>
        </w:rPr>
        <w:t xml:space="preserve"> especially </w:t>
      </w:r>
      <w:r>
        <w:rPr>
          <w:rFonts w:asciiTheme="minorHAnsi" w:hAnsiTheme="minorHAnsi"/>
          <w:sz w:val="22"/>
          <w:szCs w:val="22"/>
        </w:rPr>
        <w:t xml:space="preserve">the case </w:t>
      </w:r>
      <w:r w:rsidRPr="005D04EE">
        <w:rPr>
          <w:rFonts w:asciiTheme="minorHAnsi" w:hAnsiTheme="minorHAnsi"/>
          <w:sz w:val="22"/>
          <w:szCs w:val="22"/>
        </w:rPr>
        <w:t xml:space="preserve">in rural areas, where accurate information on incomes is lacking. </w:t>
      </w:r>
      <w:r>
        <w:rPr>
          <w:rFonts w:asciiTheme="minorHAnsi" w:hAnsiTheme="minorHAnsi"/>
          <w:sz w:val="22"/>
          <w:szCs w:val="22"/>
        </w:rPr>
        <w:t xml:space="preserve">In addition, implementation </w:t>
      </w:r>
      <w:r w:rsidR="00B23792">
        <w:rPr>
          <w:rFonts w:asciiTheme="minorHAnsi" w:hAnsiTheme="minorHAnsi"/>
          <w:sz w:val="22"/>
          <w:szCs w:val="22"/>
        </w:rPr>
        <w:t xml:space="preserve">would </w:t>
      </w:r>
      <w:r>
        <w:rPr>
          <w:rFonts w:asciiTheme="minorHAnsi" w:hAnsiTheme="minorHAnsi"/>
          <w:sz w:val="22"/>
          <w:szCs w:val="22"/>
        </w:rPr>
        <w:t xml:space="preserve">likely be </w:t>
      </w:r>
      <w:r w:rsidR="00B23792">
        <w:rPr>
          <w:rFonts w:asciiTheme="minorHAnsi" w:hAnsiTheme="minorHAnsi"/>
          <w:sz w:val="22"/>
          <w:szCs w:val="22"/>
        </w:rPr>
        <w:t xml:space="preserve">challenging for </w:t>
      </w:r>
      <w:r>
        <w:rPr>
          <w:rFonts w:asciiTheme="minorHAnsi" w:hAnsiTheme="minorHAnsi"/>
          <w:sz w:val="22"/>
          <w:szCs w:val="22"/>
        </w:rPr>
        <w:t xml:space="preserve">local level institutions that have limited resources and capacity to manage the process. Whereas the </w:t>
      </w:r>
      <w:r w:rsidRPr="005D04EE">
        <w:rPr>
          <w:rFonts w:asciiTheme="minorHAnsi" w:hAnsiTheme="minorHAnsi"/>
          <w:sz w:val="22"/>
          <w:szCs w:val="22"/>
        </w:rPr>
        <w:t xml:space="preserve">Government has revised the targeting methodology to include </w:t>
      </w:r>
      <w:r>
        <w:rPr>
          <w:rFonts w:asciiTheme="minorHAnsi" w:hAnsiTheme="minorHAnsi"/>
          <w:sz w:val="22"/>
          <w:szCs w:val="22"/>
        </w:rPr>
        <w:t>l</w:t>
      </w:r>
      <w:r w:rsidRPr="005D04EE">
        <w:rPr>
          <w:rFonts w:asciiTheme="minorHAnsi" w:hAnsiTheme="minorHAnsi"/>
          <w:sz w:val="22"/>
          <w:szCs w:val="22"/>
        </w:rPr>
        <w:t>ocal authorities in the identification of poor households</w:t>
      </w:r>
      <w:r>
        <w:rPr>
          <w:rFonts w:asciiTheme="minorHAnsi" w:hAnsiTheme="minorHAnsi"/>
          <w:sz w:val="22"/>
          <w:szCs w:val="22"/>
        </w:rPr>
        <w:t>,</w:t>
      </w:r>
      <w:r w:rsidRPr="005D04EE">
        <w:rPr>
          <w:rFonts w:asciiTheme="minorHAnsi" w:hAnsiTheme="minorHAnsi"/>
          <w:sz w:val="22"/>
          <w:szCs w:val="22"/>
        </w:rPr>
        <w:t xml:space="preserve"> </w:t>
      </w:r>
      <w:r>
        <w:rPr>
          <w:rFonts w:asciiTheme="minorHAnsi" w:hAnsiTheme="minorHAnsi"/>
          <w:sz w:val="22"/>
          <w:szCs w:val="22"/>
        </w:rPr>
        <w:t xml:space="preserve">their </w:t>
      </w:r>
      <w:r w:rsidRPr="005D04EE">
        <w:rPr>
          <w:rFonts w:asciiTheme="minorHAnsi" w:hAnsiTheme="minorHAnsi"/>
          <w:sz w:val="22"/>
          <w:szCs w:val="22"/>
        </w:rPr>
        <w:t>success rates vary and there are no objective parameters of success in this regard.</w:t>
      </w:r>
    </w:p>
    <w:p w14:paraId="398C56E2" w14:textId="77777777" w:rsidR="002C36AA" w:rsidRPr="002C36AA" w:rsidRDefault="002C36AA" w:rsidP="002C36AA"/>
    <w:p w14:paraId="1FD060F2" w14:textId="423B5932" w:rsidR="002A603D" w:rsidRDefault="0051547C" w:rsidP="0051547C">
      <w:pPr>
        <w:pStyle w:val="Heading2"/>
        <w:spacing w:before="0" w:line="276" w:lineRule="auto"/>
        <w:rPr>
          <w:rFonts w:asciiTheme="minorHAnsi" w:hAnsiTheme="minorHAnsi"/>
          <w:color w:val="002060"/>
          <w:sz w:val="24"/>
          <w:szCs w:val="24"/>
        </w:rPr>
      </w:pPr>
      <w:bookmarkStart w:id="16" w:name="_Toc443046834"/>
      <w:r w:rsidRPr="00CF52CF">
        <w:rPr>
          <w:rFonts w:asciiTheme="minorHAnsi" w:hAnsiTheme="minorHAnsi"/>
          <w:color w:val="002060"/>
          <w:sz w:val="24"/>
          <w:szCs w:val="24"/>
          <w:u w:val="single"/>
        </w:rPr>
        <w:t xml:space="preserve">Key Finding </w:t>
      </w:r>
      <w:r w:rsidR="005D04EE">
        <w:rPr>
          <w:rFonts w:asciiTheme="minorHAnsi" w:hAnsiTheme="minorHAnsi"/>
          <w:color w:val="002060"/>
          <w:sz w:val="24"/>
          <w:szCs w:val="24"/>
          <w:u w:val="single"/>
        </w:rPr>
        <w:t>5</w:t>
      </w:r>
      <w:r w:rsidRPr="00CF52CF">
        <w:rPr>
          <w:rFonts w:asciiTheme="minorHAnsi" w:hAnsiTheme="minorHAnsi"/>
          <w:color w:val="002060"/>
          <w:sz w:val="24"/>
          <w:szCs w:val="24"/>
          <w:u w:val="single"/>
        </w:rPr>
        <w:t>:</w:t>
      </w:r>
      <w:r w:rsidRPr="00CF52CF">
        <w:rPr>
          <w:rFonts w:asciiTheme="minorHAnsi" w:hAnsiTheme="minorHAnsi"/>
          <w:color w:val="002060"/>
          <w:sz w:val="24"/>
          <w:szCs w:val="24"/>
        </w:rPr>
        <w:t xml:space="preserve"> </w:t>
      </w:r>
      <w:bookmarkEnd w:id="12"/>
      <w:r w:rsidR="002A603D">
        <w:rPr>
          <w:rFonts w:asciiTheme="minorHAnsi" w:hAnsiTheme="minorHAnsi"/>
          <w:color w:val="002060"/>
          <w:sz w:val="24"/>
          <w:szCs w:val="24"/>
        </w:rPr>
        <w:t>The IDP benefit carries a strong political and symbolic value as recognition of IDP status and the Government’s commitment to territorial reintegration.</w:t>
      </w:r>
      <w:bookmarkEnd w:id="16"/>
      <w:r w:rsidR="002A603D">
        <w:rPr>
          <w:rFonts w:asciiTheme="minorHAnsi" w:hAnsiTheme="minorHAnsi"/>
          <w:color w:val="002060"/>
          <w:sz w:val="24"/>
          <w:szCs w:val="24"/>
        </w:rPr>
        <w:t xml:space="preserve"> </w:t>
      </w:r>
    </w:p>
    <w:p w14:paraId="52FAF4F7" w14:textId="09EC3E65" w:rsidR="0051547C" w:rsidRPr="00843898" w:rsidRDefault="00843898" w:rsidP="0051547C">
      <w:pPr>
        <w:pStyle w:val="Heading2"/>
        <w:spacing w:before="0" w:line="276" w:lineRule="auto"/>
        <w:rPr>
          <w:rFonts w:asciiTheme="minorHAnsi" w:hAnsiTheme="minorHAnsi"/>
          <w:color w:val="002060"/>
          <w:sz w:val="24"/>
          <w:szCs w:val="24"/>
          <w:u w:val="single"/>
        </w:rPr>
      </w:pPr>
      <w:r>
        <w:rPr>
          <w:b w:val="0"/>
          <w:bCs w:val="0"/>
          <w:color w:val="1F497D" w:themeColor="text2"/>
          <w:sz w:val="24"/>
          <w:szCs w:val="24"/>
        </w:rPr>
        <w:t xml:space="preserve"> </w:t>
      </w:r>
    </w:p>
    <w:p w14:paraId="009479EE" w14:textId="565E288E" w:rsidR="003810A7" w:rsidRPr="00E5381D" w:rsidRDefault="003810A7" w:rsidP="003810A7">
      <w:pPr>
        <w:pStyle w:val="Caption"/>
        <w:numPr>
          <w:ilvl w:val="0"/>
          <w:numId w:val="1"/>
        </w:numPr>
        <w:tabs>
          <w:tab w:val="left" w:pos="360"/>
        </w:tabs>
        <w:spacing w:after="200" w:line="276" w:lineRule="auto"/>
        <w:jc w:val="both"/>
        <w:rPr>
          <w:b w:val="0"/>
          <w:bCs w:val="0"/>
          <w:szCs w:val="22"/>
        </w:rPr>
      </w:pPr>
      <w:r w:rsidRPr="00E5381D">
        <w:rPr>
          <w:bCs w:val="0"/>
          <w:szCs w:val="22"/>
        </w:rPr>
        <w:t xml:space="preserve">IDP status has </w:t>
      </w:r>
      <w:r w:rsidR="002C4394">
        <w:rPr>
          <w:bCs w:val="0"/>
          <w:szCs w:val="22"/>
        </w:rPr>
        <w:t xml:space="preserve">a </w:t>
      </w:r>
      <w:r w:rsidRPr="00E5381D">
        <w:rPr>
          <w:bCs w:val="0"/>
          <w:szCs w:val="22"/>
        </w:rPr>
        <w:t xml:space="preserve">strong symbolic value for displaced people in Georgia, and many wish to retain this status. </w:t>
      </w:r>
      <w:r w:rsidRPr="00E5381D">
        <w:rPr>
          <w:b w:val="0"/>
          <w:bCs w:val="0"/>
          <w:szCs w:val="22"/>
        </w:rPr>
        <w:t>On the one hand, the symbolic value of this status is linked to an emotional attachment to areas of displacement. It provides an assurance to displaced people that the country has not forgotten the occupied territories. On the other hand, IDP status provides an important psychological guarantee that the plight of IDPs remain</w:t>
      </w:r>
      <w:r w:rsidR="00FC3E7C">
        <w:rPr>
          <w:b w:val="0"/>
          <w:bCs w:val="0"/>
          <w:szCs w:val="22"/>
        </w:rPr>
        <w:t>s</w:t>
      </w:r>
      <w:r w:rsidRPr="00E5381D">
        <w:rPr>
          <w:b w:val="0"/>
          <w:bCs w:val="0"/>
          <w:szCs w:val="22"/>
        </w:rPr>
        <w:t xml:space="preserve"> relevant to the state.</w:t>
      </w:r>
      <w:r w:rsidR="001F1D19" w:rsidRPr="00E5381D">
        <w:rPr>
          <w:b w:val="0"/>
          <w:bCs w:val="0"/>
          <w:szCs w:val="22"/>
        </w:rPr>
        <w:t xml:space="preserve"> Many Georgians in the non-IDP population also believe that recognition of IDP status is important in showing the Government’s commitment to reintegrating occupied territories. </w:t>
      </w:r>
    </w:p>
    <w:p w14:paraId="5B165CE7" w14:textId="77777777" w:rsidR="001F1D19" w:rsidRPr="007D7424" w:rsidRDefault="001F1D19" w:rsidP="001F1D19">
      <w:pPr>
        <w:tabs>
          <w:tab w:val="left" w:pos="0"/>
          <w:tab w:val="left" w:pos="360"/>
        </w:tabs>
        <w:spacing w:after="200" w:line="276" w:lineRule="auto"/>
        <w:ind w:left="720"/>
        <w:rPr>
          <w:rFonts w:cs="Times New Roman"/>
          <w:i/>
        </w:rPr>
      </w:pPr>
      <w:r w:rsidRPr="007D7424">
        <w:rPr>
          <w:rFonts w:cs="Times New Roman"/>
          <w:i/>
          <w:lang w:val="ka-GE"/>
        </w:rPr>
        <w:t>“</w:t>
      </w:r>
      <w:r w:rsidRPr="007D7424">
        <w:rPr>
          <w:rFonts w:cs="Times New Roman"/>
          <w:i/>
        </w:rPr>
        <w:t>It is a hope for us, especially for those who never lived</w:t>
      </w:r>
      <w:r w:rsidR="003F28B0">
        <w:rPr>
          <w:rFonts w:cs="Times New Roman"/>
          <w:i/>
        </w:rPr>
        <w:t xml:space="preserve"> </w:t>
      </w:r>
      <w:r>
        <w:rPr>
          <w:rFonts w:cs="Times New Roman"/>
          <w:i/>
        </w:rPr>
        <w:t xml:space="preserve">in the occupied </w:t>
      </w:r>
      <w:r w:rsidR="003F28B0">
        <w:rPr>
          <w:rFonts w:cs="Times New Roman"/>
          <w:i/>
        </w:rPr>
        <w:t>territories</w:t>
      </w:r>
      <w:r>
        <w:rPr>
          <w:rFonts w:cs="Times New Roman"/>
          <w:i/>
        </w:rPr>
        <w:t>.</w:t>
      </w:r>
      <w:r w:rsidRPr="007D7424">
        <w:rPr>
          <w:rFonts w:cs="Times New Roman"/>
          <w:i/>
        </w:rPr>
        <w:t xml:space="preserve"> </w:t>
      </w:r>
      <w:r>
        <w:rPr>
          <w:rFonts w:cs="Times New Roman"/>
          <w:i/>
        </w:rPr>
        <w:t xml:space="preserve">They are part of our </w:t>
      </w:r>
      <w:r w:rsidRPr="007D7424">
        <w:rPr>
          <w:rFonts w:cs="Times New Roman"/>
          <w:i/>
        </w:rPr>
        <w:t xml:space="preserve">history, </w:t>
      </w:r>
      <w:r>
        <w:rPr>
          <w:rFonts w:cs="Times New Roman"/>
          <w:i/>
        </w:rPr>
        <w:t>and</w:t>
      </w:r>
      <w:r w:rsidRPr="007D7424">
        <w:rPr>
          <w:rFonts w:cs="Times New Roman"/>
          <w:i/>
        </w:rPr>
        <w:t xml:space="preserve"> we all want to go back</w:t>
      </w:r>
      <w:r>
        <w:rPr>
          <w:rFonts w:cs="Times New Roman"/>
          <w:i/>
        </w:rPr>
        <w:t>.</w:t>
      </w:r>
      <w:r w:rsidRPr="007D7424">
        <w:rPr>
          <w:rFonts w:cs="Times New Roman"/>
          <w:i/>
        </w:rPr>
        <w:t xml:space="preserve"> </w:t>
      </w:r>
      <w:r>
        <w:rPr>
          <w:rFonts w:cs="Times New Roman"/>
          <w:i/>
        </w:rPr>
        <w:t>S</w:t>
      </w:r>
      <w:r w:rsidRPr="007D7424">
        <w:rPr>
          <w:rFonts w:cs="Times New Roman"/>
          <w:i/>
        </w:rPr>
        <w:t>o this status should be maintained.”</w:t>
      </w:r>
      <w:r w:rsidRPr="007D7424">
        <w:rPr>
          <w:rStyle w:val="FootnoteReference"/>
          <w:rFonts w:cs="Times New Roman"/>
          <w:i/>
        </w:rPr>
        <w:footnoteReference w:id="92"/>
      </w:r>
    </w:p>
    <w:p w14:paraId="03F6E1AA" w14:textId="77777777" w:rsidR="00D156FD" w:rsidRPr="007D7424" w:rsidRDefault="00D156FD" w:rsidP="00D156FD">
      <w:pPr>
        <w:tabs>
          <w:tab w:val="left" w:pos="360"/>
        </w:tabs>
        <w:spacing w:after="200" w:line="276" w:lineRule="auto"/>
        <w:ind w:left="720"/>
        <w:rPr>
          <w:rFonts w:cs="Times New Roman"/>
          <w:i/>
        </w:rPr>
      </w:pPr>
      <w:r w:rsidRPr="007D7424">
        <w:rPr>
          <w:rFonts w:cs="Times New Roman"/>
          <w:i/>
        </w:rPr>
        <w:t>“It has political meaning. If all are deprived of the status we should never pretend to return to Abkhazia some day.”</w:t>
      </w:r>
      <w:r w:rsidRPr="007D7424">
        <w:rPr>
          <w:rStyle w:val="FootnoteReference"/>
          <w:rFonts w:cs="Times New Roman"/>
          <w:i/>
        </w:rPr>
        <w:footnoteReference w:id="93"/>
      </w:r>
    </w:p>
    <w:p w14:paraId="313BEA3C" w14:textId="77777777" w:rsidR="00D156FD" w:rsidRPr="007D7424" w:rsidRDefault="00D156FD" w:rsidP="00D156FD">
      <w:pPr>
        <w:tabs>
          <w:tab w:val="left" w:pos="360"/>
        </w:tabs>
        <w:spacing w:after="200" w:line="276" w:lineRule="auto"/>
        <w:ind w:left="720"/>
        <w:rPr>
          <w:rFonts w:cs="Times New Roman"/>
          <w:i/>
        </w:rPr>
      </w:pPr>
      <w:r w:rsidRPr="007D7424">
        <w:rPr>
          <w:rFonts w:cs="Times New Roman"/>
          <w:i/>
        </w:rPr>
        <w:t>“Somehow we still feel ourselves being Abkhazians</w:t>
      </w:r>
      <w:r>
        <w:rPr>
          <w:rFonts w:cs="Times New Roman"/>
          <w:i/>
        </w:rPr>
        <w:t>.</w:t>
      </w:r>
      <w:r w:rsidRPr="007D7424">
        <w:rPr>
          <w:rFonts w:cs="Times New Roman"/>
          <w:i/>
        </w:rPr>
        <w:t xml:space="preserve"> Abkhazia is my homeland and whatever palaces I have here I still miss Abkhazia. If there is no status I will become an ordinary citizen and lose Abkhazia.” </w:t>
      </w:r>
      <w:r w:rsidRPr="007D7424">
        <w:rPr>
          <w:rStyle w:val="FootnoteReference"/>
          <w:rFonts w:cs="Times New Roman"/>
          <w:i/>
        </w:rPr>
        <w:footnoteReference w:id="94"/>
      </w:r>
    </w:p>
    <w:p w14:paraId="6295D178" w14:textId="77777777" w:rsidR="00D156FD" w:rsidRPr="007D7424" w:rsidRDefault="00D156FD" w:rsidP="00D156FD">
      <w:pPr>
        <w:pStyle w:val="NoSpacing"/>
        <w:tabs>
          <w:tab w:val="left" w:pos="360"/>
        </w:tabs>
        <w:spacing w:after="200" w:line="276" w:lineRule="auto"/>
        <w:ind w:left="720"/>
        <w:jc w:val="both"/>
        <w:rPr>
          <w:rFonts w:cs="Times New Roman"/>
          <w:i/>
          <w:sz w:val="22"/>
          <w:szCs w:val="22"/>
        </w:rPr>
      </w:pPr>
      <w:r w:rsidRPr="007D7424">
        <w:rPr>
          <w:rFonts w:cs="Times New Roman"/>
          <w:i/>
          <w:sz w:val="22"/>
          <w:szCs w:val="22"/>
        </w:rPr>
        <w:t>“We have this status and we should keep this status, till we go back to our homes.”</w:t>
      </w:r>
      <w:r w:rsidRPr="007D7424">
        <w:rPr>
          <w:rStyle w:val="FootnoteReference"/>
          <w:rFonts w:cs="Times New Roman"/>
          <w:i/>
          <w:sz w:val="22"/>
          <w:szCs w:val="22"/>
        </w:rPr>
        <w:footnoteReference w:id="95"/>
      </w:r>
    </w:p>
    <w:p w14:paraId="2891C1FC" w14:textId="77777777" w:rsidR="00D156FD" w:rsidRPr="007D7424" w:rsidRDefault="00D156FD" w:rsidP="00D156FD">
      <w:pPr>
        <w:pStyle w:val="NoSpacing"/>
        <w:tabs>
          <w:tab w:val="left" w:pos="360"/>
        </w:tabs>
        <w:spacing w:after="200" w:line="276" w:lineRule="auto"/>
        <w:ind w:left="720"/>
        <w:jc w:val="both"/>
        <w:rPr>
          <w:rFonts w:cs="Times New Roman"/>
          <w:i/>
          <w:sz w:val="22"/>
          <w:szCs w:val="22"/>
        </w:rPr>
      </w:pPr>
      <w:r w:rsidRPr="007D7424" w:rsidDel="00B74044">
        <w:rPr>
          <w:rFonts w:cs="Times New Roman"/>
          <w:i/>
          <w:sz w:val="22"/>
          <w:szCs w:val="22"/>
        </w:rPr>
        <w:lastRenderedPageBreak/>
        <w:t xml:space="preserve"> </w:t>
      </w:r>
      <w:r w:rsidRPr="007D7424">
        <w:rPr>
          <w:rFonts w:cs="Times New Roman"/>
          <w:sz w:val="22"/>
          <w:szCs w:val="22"/>
        </w:rPr>
        <w:t>“</w:t>
      </w:r>
      <w:r w:rsidRPr="007D7424">
        <w:rPr>
          <w:rFonts w:cs="Times New Roman"/>
          <w:i/>
          <w:sz w:val="22"/>
          <w:szCs w:val="22"/>
        </w:rPr>
        <w:t>If I won’t be able to go back to my home, my children will</w:t>
      </w:r>
      <w:r>
        <w:rPr>
          <w:rFonts w:cs="Times New Roman"/>
          <w:i/>
          <w:sz w:val="22"/>
          <w:szCs w:val="22"/>
        </w:rPr>
        <w:t>.</w:t>
      </w:r>
      <w:r w:rsidRPr="007D7424">
        <w:rPr>
          <w:rFonts w:cs="Times New Roman"/>
          <w:i/>
          <w:sz w:val="22"/>
          <w:szCs w:val="22"/>
        </w:rPr>
        <w:t xml:space="preserve"> </w:t>
      </w:r>
      <w:r>
        <w:rPr>
          <w:rFonts w:cs="Times New Roman"/>
          <w:i/>
          <w:sz w:val="22"/>
          <w:szCs w:val="22"/>
        </w:rPr>
        <w:t>T</w:t>
      </w:r>
      <w:r w:rsidRPr="007D7424">
        <w:rPr>
          <w:rFonts w:cs="Times New Roman"/>
          <w:i/>
          <w:sz w:val="22"/>
          <w:szCs w:val="22"/>
        </w:rPr>
        <w:t>his status is a reminder.”</w:t>
      </w:r>
      <w:r w:rsidRPr="007D7424">
        <w:rPr>
          <w:rStyle w:val="FootnoteReference"/>
          <w:rFonts w:cs="Times New Roman"/>
          <w:i/>
          <w:sz w:val="22"/>
          <w:szCs w:val="22"/>
        </w:rPr>
        <w:footnoteReference w:id="96"/>
      </w:r>
    </w:p>
    <w:p w14:paraId="7ACBAEC5" w14:textId="77777777" w:rsidR="001F1D19" w:rsidRPr="00D156FD" w:rsidRDefault="00D156FD" w:rsidP="00D156FD">
      <w:pPr>
        <w:tabs>
          <w:tab w:val="left" w:pos="360"/>
        </w:tabs>
        <w:spacing w:after="200" w:line="276" w:lineRule="auto"/>
        <w:ind w:left="720" w:right="-57"/>
        <w:rPr>
          <w:rFonts w:cs="Times New Roman"/>
          <w:i/>
        </w:rPr>
      </w:pPr>
      <w:r w:rsidRPr="007D7424">
        <w:rPr>
          <w:rFonts w:cs="Times New Roman"/>
          <w:lang w:val="ka-GE"/>
        </w:rPr>
        <w:t>“</w:t>
      </w:r>
      <w:r w:rsidRPr="007D7424">
        <w:rPr>
          <w:rFonts w:cs="Times New Roman"/>
          <w:i/>
        </w:rPr>
        <w:t>They miss their home, and want to go back</w:t>
      </w:r>
      <w:r>
        <w:rPr>
          <w:rFonts w:cs="Times New Roman"/>
          <w:i/>
        </w:rPr>
        <w:t>.</w:t>
      </w:r>
      <w:r w:rsidRPr="007D7424">
        <w:rPr>
          <w:rFonts w:cs="Times New Roman"/>
          <w:i/>
        </w:rPr>
        <w:t xml:space="preserve"> </w:t>
      </w:r>
      <w:r>
        <w:rPr>
          <w:rFonts w:cs="Times New Roman"/>
          <w:i/>
        </w:rPr>
        <w:t>If they lose</w:t>
      </w:r>
      <w:r w:rsidRPr="007D7424">
        <w:rPr>
          <w:rFonts w:cs="Times New Roman"/>
          <w:i/>
        </w:rPr>
        <w:t xml:space="preserve"> the status, they will lose hope.”</w:t>
      </w:r>
      <w:r w:rsidRPr="007D7424">
        <w:rPr>
          <w:rStyle w:val="FootnoteReference"/>
          <w:rFonts w:cs="Times New Roman"/>
          <w:i/>
        </w:rPr>
        <w:footnoteReference w:id="97"/>
      </w:r>
    </w:p>
    <w:p w14:paraId="72FCADAE" w14:textId="75B88A5C" w:rsidR="00BF606B" w:rsidRDefault="00FF5EF1" w:rsidP="00012005">
      <w:pPr>
        <w:pStyle w:val="ListParagraph"/>
        <w:numPr>
          <w:ilvl w:val="0"/>
          <w:numId w:val="1"/>
        </w:numPr>
        <w:spacing w:line="276" w:lineRule="auto"/>
      </w:pPr>
      <w:r>
        <w:rPr>
          <w:b/>
        </w:rPr>
        <w:t>Among displaced persons, t</w:t>
      </w:r>
      <w:r w:rsidR="002C4394">
        <w:rPr>
          <w:b/>
        </w:rPr>
        <w:t xml:space="preserve">here is a strong association between the IDP status and the IDP </w:t>
      </w:r>
      <w:r>
        <w:rPr>
          <w:b/>
        </w:rPr>
        <w:t xml:space="preserve">benefit. </w:t>
      </w:r>
      <w:r w:rsidR="003810A7">
        <w:t xml:space="preserve">The benefits reinforce the idea of having </w:t>
      </w:r>
      <w:r w:rsidR="002C4394">
        <w:t xml:space="preserve">an </w:t>
      </w:r>
      <w:r w:rsidR="003810A7">
        <w:t xml:space="preserve">“IDP Status” </w:t>
      </w:r>
      <w:r w:rsidR="002C4394">
        <w:t>and even</w:t>
      </w:r>
      <w:r w:rsidR="00BF606B">
        <w:t xml:space="preserve"> wealthier IDPs </w:t>
      </w:r>
      <w:r w:rsidR="002C4394">
        <w:t>have a sense of entitlement to the benefit</w:t>
      </w:r>
      <w:r w:rsidR="00BF606B">
        <w:t xml:space="preserve">.  </w:t>
      </w:r>
      <w:r w:rsidR="002C4394">
        <w:t>It is viewed as a form of assurance</w:t>
      </w:r>
      <w:r w:rsidR="00BF606B">
        <w:t xml:space="preserve"> of continued engagement by the state in resolving </w:t>
      </w:r>
      <w:r w:rsidR="001E2671">
        <w:t>their plight</w:t>
      </w:r>
      <w:r w:rsidR="00BF606B">
        <w:t xml:space="preserve">, and reclaiming lost territories. </w:t>
      </w:r>
      <w:r w:rsidR="002C4394">
        <w:t>The benefit</w:t>
      </w:r>
      <w:r w:rsidR="000A5387">
        <w:t xml:space="preserve"> serve</w:t>
      </w:r>
      <w:r w:rsidR="002C4394">
        <w:t>s</w:t>
      </w:r>
      <w:r w:rsidR="000A5387">
        <w:t xml:space="preserve"> as </w:t>
      </w:r>
      <w:r w:rsidR="002C4394">
        <w:t>a tangible expression and recognition of this</w:t>
      </w:r>
      <w:r w:rsidR="000A5387">
        <w:t xml:space="preserve"> s</w:t>
      </w:r>
      <w:r w:rsidR="002C4394">
        <w:t>tatus by the Government</w:t>
      </w:r>
      <w:r w:rsidR="000A5387">
        <w:t xml:space="preserve">. </w:t>
      </w:r>
      <w:r w:rsidR="001E2671">
        <w:t xml:space="preserve">Therefore, attempts at </w:t>
      </w:r>
      <w:r w:rsidR="000A5387">
        <w:t xml:space="preserve">changing or </w:t>
      </w:r>
      <w:r w:rsidR="001E2671">
        <w:t>removing current benefits might be perceived as equivalent to removing “status.”</w:t>
      </w:r>
    </w:p>
    <w:p w14:paraId="629FDEA0" w14:textId="77777777" w:rsidR="00BF606B" w:rsidRDefault="00BF606B" w:rsidP="001E2671">
      <w:pPr>
        <w:pStyle w:val="ListParagraph"/>
        <w:spacing w:line="276" w:lineRule="auto"/>
        <w:ind w:left="360"/>
      </w:pPr>
    </w:p>
    <w:p w14:paraId="2A2C880D" w14:textId="77777777" w:rsidR="001E2671" w:rsidRPr="007D7424" w:rsidRDefault="001E2671" w:rsidP="001E2671">
      <w:pPr>
        <w:tabs>
          <w:tab w:val="left" w:pos="0"/>
          <w:tab w:val="left" w:pos="360"/>
        </w:tabs>
        <w:spacing w:after="200" w:line="276" w:lineRule="auto"/>
        <w:ind w:left="720"/>
        <w:rPr>
          <w:rFonts w:cs="Times New Roman"/>
          <w:i/>
        </w:rPr>
      </w:pPr>
      <w:r w:rsidRPr="007D7424">
        <w:rPr>
          <w:rFonts w:cs="Times New Roman"/>
          <w:i/>
          <w:lang w:val="ka-GE"/>
        </w:rPr>
        <w:t>“</w:t>
      </w:r>
      <w:r w:rsidR="00D156FD">
        <w:rPr>
          <w:rFonts w:cs="Times New Roman"/>
          <w:i/>
        </w:rPr>
        <w:t xml:space="preserve">Even more important than the money, is the moral significance. </w:t>
      </w:r>
      <w:r w:rsidR="000A5387">
        <w:rPr>
          <w:rFonts w:cs="Times New Roman"/>
          <w:i/>
        </w:rPr>
        <w:t>P</w:t>
      </w:r>
      <w:r w:rsidRPr="007D7424">
        <w:rPr>
          <w:rFonts w:cs="Times New Roman"/>
          <w:i/>
          <w:lang w:val="ka-GE"/>
        </w:rPr>
        <w:t>eople lost everything and had to start from nothing</w:t>
      </w:r>
      <w:r w:rsidR="000A5387">
        <w:rPr>
          <w:rFonts w:ascii="Sylfaen" w:hAnsi="Sylfaen" w:cs="Times New Roman"/>
          <w:i/>
        </w:rPr>
        <w:t>.</w:t>
      </w:r>
      <w:r w:rsidRPr="007D7424">
        <w:rPr>
          <w:rFonts w:cs="Times New Roman"/>
          <w:i/>
          <w:lang w:val="ka-GE"/>
        </w:rPr>
        <w:t xml:space="preserve"> </w:t>
      </w:r>
      <w:r w:rsidR="001F1D19">
        <w:rPr>
          <w:rFonts w:cs="Times New Roman"/>
          <w:i/>
        </w:rPr>
        <w:t>T</w:t>
      </w:r>
      <w:r w:rsidRPr="007D7424">
        <w:rPr>
          <w:rFonts w:cs="Times New Roman"/>
          <w:i/>
          <w:lang w:val="ka-GE"/>
        </w:rPr>
        <w:t xml:space="preserve">he amount is so little, I think it should not be removed, </w:t>
      </w:r>
      <w:r w:rsidR="000A5387">
        <w:rPr>
          <w:rFonts w:cs="Times New Roman"/>
          <w:i/>
        </w:rPr>
        <w:t xml:space="preserve">as </w:t>
      </w:r>
      <w:r w:rsidRPr="007D7424">
        <w:rPr>
          <w:rFonts w:cs="Times New Roman"/>
          <w:i/>
          <w:lang w:val="ka-GE"/>
        </w:rPr>
        <w:t xml:space="preserve">this is an </w:t>
      </w:r>
      <w:r w:rsidR="000A5387">
        <w:rPr>
          <w:rFonts w:cs="Times New Roman"/>
          <w:i/>
        </w:rPr>
        <w:t>o</w:t>
      </w:r>
      <w:r w:rsidRPr="007D7424">
        <w:rPr>
          <w:rFonts w:cs="Times New Roman"/>
          <w:i/>
          <w:lang w:val="ka-GE"/>
        </w:rPr>
        <w:t xml:space="preserve">bligation of </w:t>
      </w:r>
      <w:r w:rsidR="001F1D19">
        <w:rPr>
          <w:rFonts w:cs="Times New Roman"/>
          <w:i/>
        </w:rPr>
        <w:t xml:space="preserve">the </w:t>
      </w:r>
      <w:r w:rsidRPr="007D7424">
        <w:rPr>
          <w:rFonts w:cs="Times New Roman"/>
          <w:i/>
          <w:lang w:val="ka-GE"/>
        </w:rPr>
        <w:t>government.</w:t>
      </w:r>
      <w:r w:rsidRPr="007D7424">
        <w:rPr>
          <w:rFonts w:cs="Times New Roman"/>
          <w:i/>
        </w:rPr>
        <w:t xml:space="preserve"> All people who have this status should receive the benefits </w:t>
      </w:r>
      <w:r w:rsidR="001F1D19">
        <w:rPr>
          <w:rFonts w:cs="Times New Roman"/>
          <w:i/>
        </w:rPr>
        <w:t>throughout their lives</w:t>
      </w:r>
      <w:r w:rsidRPr="007D7424">
        <w:rPr>
          <w:rFonts w:cs="Times New Roman"/>
          <w:i/>
        </w:rPr>
        <w:t>.”</w:t>
      </w:r>
      <w:r w:rsidRPr="007D7424">
        <w:rPr>
          <w:rStyle w:val="FootnoteReference"/>
          <w:rFonts w:cs="Times New Roman"/>
          <w:i/>
        </w:rPr>
        <w:footnoteReference w:id="98"/>
      </w:r>
    </w:p>
    <w:p w14:paraId="096C3218" w14:textId="77777777" w:rsidR="001E2671" w:rsidRPr="007D7424" w:rsidRDefault="001E2671" w:rsidP="001E2671">
      <w:pPr>
        <w:tabs>
          <w:tab w:val="left" w:pos="360"/>
        </w:tabs>
        <w:spacing w:after="200" w:line="276" w:lineRule="auto"/>
        <w:ind w:left="720"/>
        <w:rPr>
          <w:rFonts w:cs="Times New Roman"/>
          <w:i/>
        </w:rPr>
      </w:pPr>
      <w:r w:rsidRPr="007D7424">
        <w:rPr>
          <w:rFonts w:cs="Times New Roman"/>
          <w:i/>
        </w:rPr>
        <w:t>“I personally, no matter how much I earn, will not give it up</w:t>
      </w:r>
      <w:r w:rsidR="000A5387">
        <w:rPr>
          <w:rFonts w:cs="Times New Roman"/>
          <w:i/>
        </w:rPr>
        <w:t>.</w:t>
      </w:r>
      <w:r w:rsidRPr="007D7424">
        <w:rPr>
          <w:rFonts w:cs="Times New Roman"/>
          <w:i/>
        </w:rPr>
        <w:t xml:space="preserve"> </w:t>
      </w:r>
      <w:r w:rsidR="000A5387">
        <w:rPr>
          <w:rFonts w:cs="Times New Roman"/>
          <w:i/>
        </w:rPr>
        <w:t xml:space="preserve">I </w:t>
      </w:r>
      <w:r w:rsidRPr="007D7424">
        <w:rPr>
          <w:rFonts w:cs="Times New Roman"/>
          <w:i/>
        </w:rPr>
        <w:t>once left my home and lost too much there.”</w:t>
      </w:r>
      <w:r w:rsidRPr="007D7424">
        <w:rPr>
          <w:rStyle w:val="FootnoteReference"/>
          <w:rFonts w:cs="Times New Roman"/>
          <w:i/>
        </w:rPr>
        <w:footnoteReference w:id="99"/>
      </w:r>
      <w:r w:rsidRPr="007D7424">
        <w:rPr>
          <w:rFonts w:cs="Times New Roman"/>
          <w:i/>
        </w:rPr>
        <w:t xml:space="preserve"> </w:t>
      </w:r>
    </w:p>
    <w:p w14:paraId="16CA6E41" w14:textId="77777777" w:rsidR="001E2671" w:rsidRDefault="001E2671" w:rsidP="001E2671">
      <w:pPr>
        <w:tabs>
          <w:tab w:val="left" w:pos="360"/>
        </w:tabs>
        <w:spacing w:after="200" w:line="276" w:lineRule="auto"/>
        <w:ind w:left="720"/>
        <w:rPr>
          <w:rFonts w:cs="Times New Roman"/>
          <w:i/>
        </w:rPr>
      </w:pPr>
      <w:r w:rsidRPr="007D7424" w:rsidDel="00B74044">
        <w:rPr>
          <w:rFonts w:cs="Times New Roman"/>
          <w:i/>
        </w:rPr>
        <w:t xml:space="preserve"> </w:t>
      </w:r>
      <w:r w:rsidRPr="007D7424">
        <w:rPr>
          <w:rFonts w:cs="Times New Roman"/>
          <w:i/>
        </w:rPr>
        <w:t>“Those</w:t>
      </w:r>
      <w:r w:rsidR="000A5387">
        <w:rPr>
          <w:rFonts w:cs="Times New Roman"/>
          <w:i/>
        </w:rPr>
        <w:t xml:space="preserve"> in</w:t>
      </w:r>
      <w:r w:rsidRPr="007D7424">
        <w:rPr>
          <w:rFonts w:cs="Times New Roman"/>
          <w:i/>
        </w:rPr>
        <w:t xml:space="preserve"> </w:t>
      </w:r>
      <w:r w:rsidR="000A5387">
        <w:rPr>
          <w:rFonts w:cs="Times New Roman"/>
          <w:i/>
        </w:rPr>
        <w:t xml:space="preserve">financially </w:t>
      </w:r>
      <w:r w:rsidRPr="007D7424">
        <w:rPr>
          <w:rFonts w:cs="Times New Roman"/>
          <w:i/>
        </w:rPr>
        <w:t xml:space="preserve">disadvantaged positions should be given more, but not </w:t>
      </w:r>
      <w:r w:rsidR="000A5387">
        <w:rPr>
          <w:rFonts w:cs="Times New Roman"/>
          <w:i/>
        </w:rPr>
        <w:t>at</w:t>
      </w:r>
      <w:r w:rsidRPr="007D7424">
        <w:rPr>
          <w:rFonts w:cs="Times New Roman"/>
          <w:i/>
        </w:rPr>
        <w:t xml:space="preserve"> the expense of others. If the ministry of IDPs does anything they shouldn’t do it </w:t>
      </w:r>
      <w:r w:rsidR="000A5387">
        <w:rPr>
          <w:rFonts w:cs="Times New Roman"/>
          <w:i/>
        </w:rPr>
        <w:t>at the</w:t>
      </w:r>
      <w:r w:rsidRPr="007D7424">
        <w:rPr>
          <w:rFonts w:cs="Times New Roman"/>
          <w:i/>
        </w:rPr>
        <w:t xml:space="preserve"> expense of other</w:t>
      </w:r>
      <w:r w:rsidR="000A5387">
        <w:rPr>
          <w:rFonts w:cs="Times New Roman"/>
          <w:i/>
        </w:rPr>
        <w:t>s</w:t>
      </w:r>
      <w:r w:rsidRPr="007D7424">
        <w:rPr>
          <w:rFonts w:cs="Times New Roman"/>
          <w:i/>
        </w:rPr>
        <w:t xml:space="preserve">. I have </w:t>
      </w:r>
      <w:r w:rsidR="00D156FD">
        <w:rPr>
          <w:rFonts w:cs="Times New Roman"/>
          <w:i/>
        </w:rPr>
        <w:t xml:space="preserve">a salary of </w:t>
      </w:r>
      <w:r w:rsidRPr="007D7424">
        <w:rPr>
          <w:rFonts w:cs="Times New Roman"/>
          <w:i/>
        </w:rPr>
        <w:t>2000 lari and so what? If I have status I should also be given allowance.”</w:t>
      </w:r>
      <w:r w:rsidRPr="007D7424">
        <w:rPr>
          <w:rStyle w:val="FootnoteReference"/>
          <w:rFonts w:cs="Times New Roman"/>
          <w:i/>
        </w:rPr>
        <w:footnoteReference w:id="100"/>
      </w:r>
    </w:p>
    <w:p w14:paraId="6EF47B8B" w14:textId="00E1A8B3" w:rsidR="008C30BD" w:rsidRPr="00952DDA" w:rsidRDefault="002C4394" w:rsidP="008C30BD">
      <w:pPr>
        <w:pStyle w:val="ListParagraph"/>
        <w:numPr>
          <w:ilvl w:val="0"/>
          <w:numId w:val="1"/>
        </w:numPr>
        <w:spacing w:after="0" w:line="276" w:lineRule="auto"/>
        <w:rPr>
          <w:rFonts w:eastAsiaTheme="minorEastAsia" w:cs="Times New Roman"/>
        </w:rPr>
      </w:pPr>
      <w:r>
        <w:rPr>
          <w:rFonts w:eastAsiaTheme="minorEastAsia" w:cs="Times New Roman"/>
          <w:b/>
        </w:rPr>
        <w:t>In 2014</w:t>
      </w:r>
      <w:r w:rsidR="008C30BD" w:rsidRPr="000F75D0">
        <w:rPr>
          <w:rFonts w:eastAsiaTheme="minorEastAsia" w:cs="Times New Roman"/>
          <w:b/>
        </w:rPr>
        <w:t xml:space="preserve"> the Government cancelled the IDP allowance for households with an income above 1</w:t>
      </w:r>
      <w:r>
        <w:rPr>
          <w:rFonts w:eastAsiaTheme="minorEastAsia" w:cs="Times New Roman"/>
          <w:b/>
        </w:rPr>
        <w:t>,</w:t>
      </w:r>
      <w:r w:rsidR="008C30BD" w:rsidRPr="000F75D0">
        <w:rPr>
          <w:rFonts w:eastAsiaTheme="minorEastAsia" w:cs="Times New Roman"/>
          <w:b/>
        </w:rPr>
        <w:t>250 GEL/month.</w:t>
      </w:r>
      <w:r w:rsidR="008C30BD" w:rsidRPr="000F75D0">
        <w:rPr>
          <w:rFonts w:eastAsiaTheme="minorEastAsia" w:cs="Times New Roman"/>
        </w:rPr>
        <w:t xml:space="preserve"> There are mixed attitudes towards this policy change. On the one hand, it is well accepted by some IDPs</w:t>
      </w:r>
      <w:r w:rsidR="008C30BD">
        <w:rPr>
          <w:rFonts w:eastAsiaTheme="minorEastAsia" w:cs="Times New Roman"/>
        </w:rPr>
        <w:t xml:space="preserve"> and non-IDPs</w:t>
      </w:r>
      <w:r w:rsidR="008C30BD" w:rsidRPr="000F75D0">
        <w:rPr>
          <w:rFonts w:eastAsiaTheme="minorEastAsia" w:cs="Times New Roman"/>
        </w:rPr>
        <w:t xml:space="preserve"> that there is merit in differentiating assistance by need. On the other hand, this threshold is viewed as problematic because it </w:t>
      </w:r>
      <w:r w:rsidR="008C30BD">
        <w:rPr>
          <w:rFonts w:eastAsiaTheme="minorEastAsia" w:cs="Times New Roman"/>
        </w:rPr>
        <w:t xml:space="preserve">does not take into </w:t>
      </w:r>
      <w:r>
        <w:rPr>
          <w:rFonts w:eastAsiaTheme="minorEastAsia" w:cs="Times New Roman"/>
        </w:rPr>
        <w:t xml:space="preserve">account </w:t>
      </w:r>
      <w:r w:rsidR="008C30BD">
        <w:rPr>
          <w:rFonts w:eastAsiaTheme="minorEastAsia" w:cs="Times New Roman"/>
        </w:rPr>
        <w:t>broader vulnerabilities that are associated with being an IDP</w:t>
      </w:r>
      <w:r w:rsidR="008C30BD" w:rsidRPr="000F75D0">
        <w:rPr>
          <w:rFonts w:eastAsiaTheme="minorEastAsia" w:cs="Times New Roman"/>
        </w:rPr>
        <w:t xml:space="preserve">. </w:t>
      </w:r>
      <w:r w:rsidR="008C30BD" w:rsidRPr="000F75D0">
        <w:t xml:space="preserve"> </w:t>
      </w:r>
    </w:p>
    <w:p w14:paraId="01D69E48" w14:textId="77777777" w:rsidR="008C30BD" w:rsidRPr="000F75D0" w:rsidRDefault="008C30BD" w:rsidP="008C30BD">
      <w:pPr>
        <w:spacing w:after="0" w:line="276" w:lineRule="auto"/>
        <w:rPr>
          <w:rFonts w:eastAsiaTheme="minorEastAsia" w:cs="Times New Roman"/>
        </w:rPr>
      </w:pPr>
    </w:p>
    <w:p w14:paraId="2182CF1B" w14:textId="77777777" w:rsidR="008C30BD" w:rsidRDefault="008C30BD" w:rsidP="008C30BD">
      <w:pPr>
        <w:spacing w:after="0" w:line="276" w:lineRule="auto"/>
        <w:ind w:left="720"/>
        <w:rPr>
          <w:i/>
        </w:rPr>
      </w:pPr>
      <w:r>
        <w:rPr>
          <w:i/>
        </w:rPr>
        <w:t>“Being an IDP shouldn’t be the only thing that matters. If a socially vulnerable person gets a job and is able to support himself, then there is no problem if he loses his aid. You may still retain your status as an IDP, for the state to know where you are from. No one knows what the future holds and if we will return to Abkhazia.</w:t>
      </w:r>
      <w:r w:rsidRPr="000F75D0">
        <w:rPr>
          <w:i/>
        </w:rPr>
        <w:t xml:space="preserve">” </w:t>
      </w:r>
      <w:r w:rsidRPr="000F75D0">
        <w:rPr>
          <w:rStyle w:val="FootnoteReference"/>
          <w:i/>
        </w:rPr>
        <w:footnoteReference w:id="101"/>
      </w:r>
    </w:p>
    <w:p w14:paraId="324FF2F6" w14:textId="77777777" w:rsidR="008C30BD" w:rsidRDefault="008C30BD" w:rsidP="008C30BD">
      <w:pPr>
        <w:spacing w:after="0" w:line="276" w:lineRule="auto"/>
        <w:ind w:left="720"/>
        <w:rPr>
          <w:i/>
        </w:rPr>
      </w:pPr>
    </w:p>
    <w:p w14:paraId="4028A208" w14:textId="77777777" w:rsidR="008C30BD" w:rsidRPr="00952DDA" w:rsidRDefault="008C30BD" w:rsidP="008C30BD">
      <w:pPr>
        <w:tabs>
          <w:tab w:val="left" w:pos="360"/>
        </w:tabs>
        <w:spacing w:after="200" w:line="276" w:lineRule="auto"/>
        <w:ind w:left="720"/>
        <w:rPr>
          <w:rFonts w:cs="Times New Roman"/>
          <w:i/>
        </w:rPr>
      </w:pPr>
      <w:r w:rsidRPr="0051547C">
        <w:rPr>
          <w:rFonts w:cs="Times New Roman"/>
          <w:i/>
        </w:rPr>
        <w:t xml:space="preserve">“There are some people who live in Abkhazia for example, </w:t>
      </w:r>
      <w:r>
        <w:rPr>
          <w:rFonts w:cs="Times New Roman"/>
          <w:i/>
        </w:rPr>
        <w:t xml:space="preserve">who </w:t>
      </w:r>
      <w:r w:rsidRPr="0051547C">
        <w:rPr>
          <w:rFonts w:cs="Times New Roman"/>
          <w:i/>
        </w:rPr>
        <w:t xml:space="preserve">are registered as IDPs here, and come to this side </w:t>
      </w:r>
      <w:r>
        <w:rPr>
          <w:rFonts w:cs="Times New Roman"/>
          <w:i/>
        </w:rPr>
        <w:t xml:space="preserve">only </w:t>
      </w:r>
      <w:r w:rsidRPr="0051547C">
        <w:rPr>
          <w:rFonts w:cs="Times New Roman"/>
          <w:i/>
        </w:rPr>
        <w:t xml:space="preserve">to get the allowance and then go back. Of course this should be changed. Some people have the latest Mercedes model and receive 45 GEL allowance and some have no </w:t>
      </w:r>
      <w:r w:rsidRPr="0051547C">
        <w:rPr>
          <w:rFonts w:cs="Times New Roman"/>
          <w:i/>
        </w:rPr>
        <w:lastRenderedPageBreak/>
        <w:t>money for bread, and receive 45 GEL. I think no one will be against it if needs were to be assessed in giving assistance. Of course they (rich IDPs) should keep the status, but 45 GEL means nothing to them, while for someone else it is really important.”</w:t>
      </w:r>
      <w:r w:rsidRPr="0051547C">
        <w:rPr>
          <w:rStyle w:val="FootnoteReference"/>
          <w:rFonts w:cs="Times New Roman"/>
          <w:i/>
        </w:rPr>
        <w:footnoteReference w:id="102"/>
      </w:r>
    </w:p>
    <w:p w14:paraId="71DCDE80" w14:textId="77777777" w:rsidR="008C30BD" w:rsidRPr="00952DDA" w:rsidRDefault="008C30BD" w:rsidP="008C30BD">
      <w:pPr>
        <w:pStyle w:val="ListParagraph"/>
        <w:spacing w:line="276" w:lineRule="auto"/>
        <w:rPr>
          <w:i/>
        </w:rPr>
      </w:pPr>
      <w:r w:rsidRPr="00843898">
        <w:rPr>
          <w:i/>
        </w:rPr>
        <w:t xml:space="preserve">“If you study the expenditures for many with an income above 1250 GEL/month, </w:t>
      </w:r>
      <w:r>
        <w:rPr>
          <w:i/>
        </w:rPr>
        <w:t xml:space="preserve">you would </w:t>
      </w:r>
      <w:r w:rsidR="00007C58">
        <w:rPr>
          <w:i/>
        </w:rPr>
        <w:t xml:space="preserve">see </w:t>
      </w:r>
      <w:r w:rsidR="00007C58" w:rsidRPr="00843898">
        <w:rPr>
          <w:i/>
        </w:rPr>
        <w:t>that</w:t>
      </w:r>
      <w:r w:rsidRPr="00843898">
        <w:rPr>
          <w:i/>
        </w:rPr>
        <w:t xml:space="preserve"> their expenditures are much higher than 1250 GEL, because of spending on things such as </w:t>
      </w:r>
      <w:r>
        <w:rPr>
          <w:i/>
        </w:rPr>
        <w:t>healthcare, rent and education. You would see that the allowance has to be maintained.</w:t>
      </w:r>
      <w:r w:rsidRPr="00952DDA">
        <w:rPr>
          <w:i/>
        </w:rPr>
        <w:t>”</w:t>
      </w:r>
      <w:r w:rsidRPr="00952DDA">
        <w:rPr>
          <w:rStyle w:val="FootnoteReference"/>
          <w:i/>
        </w:rPr>
        <w:footnoteReference w:id="103"/>
      </w:r>
    </w:p>
    <w:p w14:paraId="4150CD49" w14:textId="77777777" w:rsidR="008C30BD" w:rsidRPr="003C76E7" w:rsidRDefault="008C30BD" w:rsidP="008C30BD">
      <w:pPr>
        <w:rPr>
          <w:b/>
        </w:rPr>
      </w:pPr>
    </w:p>
    <w:p w14:paraId="24BC2296" w14:textId="43A0DD2A" w:rsidR="00683140" w:rsidRPr="00AA05AE" w:rsidRDefault="008C30BD" w:rsidP="0036006E">
      <w:pPr>
        <w:pStyle w:val="Normail1"/>
        <w:numPr>
          <w:ilvl w:val="0"/>
          <w:numId w:val="1"/>
        </w:numPr>
        <w:shd w:val="clear" w:color="auto" w:fill="FFFFFF" w:themeFill="background1"/>
        <w:tabs>
          <w:tab w:val="left" w:pos="360"/>
        </w:tabs>
        <w:spacing w:after="200" w:line="276" w:lineRule="auto"/>
        <w:rPr>
          <w:rFonts w:asciiTheme="minorHAnsi" w:eastAsiaTheme="minorHAnsi" w:hAnsiTheme="minorHAnsi"/>
          <w:bCs w:val="0"/>
          <w:sz w:val="22"/>
          <w:szCs w:val="22"/>
        </w:rPr>
      </w:pPr>
      <w:r>
        <w:rPr>
          <w:rFonts w:asciiTheme="minorHAnsi" w:eastAsiaTheme="minorHAnsi" w:hAnsiTheme="minorHAnsi"/>
          <w:b/>
          <w:bCs w:val="0"/>
          <w:sz w:val="22"/>
          <w:szCs w:val="22"/>
        </w:rPr>
        <w:t xml:space="preserve">It is evident that Georgian IDPs as a whole have a strong emotional attachment to government subsidies and benefits, and that some among this population also have a strong financial reliance on the benefits.  </w:t>
      </w:r>
      <w:r w:rsidR="008B0C37">
        <w:rPr>
          <w:rFonts w:asciiTheme="minorHAnsi" w:eastAsiaTheme="minorHAnsi" w:hAnsiTheme="minorHAnsi"/>
          <w:bCs w:val="0"/>
          <w:sz w:val="22"/>
          <w:szCs w:val="22"/>
        </w:rPr>
        <w:t>The risk of long-term economic and psychological dependency on the state benefit should be explored further</w:t>
      </w:r>
      <w:r w:rsidRPr="0051547C">
        <w:rPr>
          <w:rFonts w:asciiTheme="minorHAnsi" w:eastAsiaTheme="minorHAnsi" w:hAnsiTheme="minorHAnsi"/>
          <w:bCs w:val="0"/>
          <w:sz w:val="22"/>
          <w:szCs w:val="22"/>
        </w:rPr>
        <w:t xml:space="preserve">. </w:t>
      </w:r>
      <w:r w:rsidR="008B0C37">
        <w:rPr>
          <w:rFonts w:asciiTheme="minorHAnsi" w:eastAsiaTheme="minorHAnsi" w:hAnsiTheme="minorHAnsi"/>
          <w:bCs w:val="0"/>
          <w:sz w:val="22"/>
          <w:szCs w:val="22"/>
        </w:rPr>
        <w:t xml:space="preserve">In re-designing the IDP benefit programs authorities should also examine any potential disincentives to work and set appropriate levels of aid. </w:t>
      </w:r>
    </w:p>
    <w:p w14:paraId="6E1951C6" w14:textId="77777777" w:rsidR="00B23792" w:rsidRDefault="00B23792" w:rsidP="0036006E">
      <w:pPr>
        <w:pStyle w:val="Normail1"/>
        <w:shd w:val="clear" w:color="auto" w:fill="FFFFFF" w:themeFill="background1"/>
        <w:tabs>
          <w:tab w:val="left" w:pos="360"/>
        </w:tabs>
        <w:spacing w:after="200" w:line="276" w:lineRule="auto"/>
      </w:pPr>
    </w:p>
    <w:p w14:paraId="5C630F3D" w14:textId="77777777" w:rsidR="00B23792" w:rsidRPr="005D04EE" w:rsidRDefault="00B23792" w:rsidP="005D04EE">
      <w:pPr>
        <w:spacing w:line="276" w:lineRule="auto"/>
      </w:pPr>
    </w:p>
    <w:p w14:paraId="12F2329B" w14:textId="28D35BF9" w:rsidR="004C7718" w:rsidRDefault="004C7718" w:rsidP="004C7718">
      <w:pPr>
        <w:rPr>
          <w:rFonts w:eastAsiaTheme="majorEastAsia" w:cstheme="majorBidi"/>
          <w:b/>
          <w:bCs/>
          <w:color w:val="002060"/>
          <w:sz w:val="24"/>
          <w:szCs w:val="24"/>
        </w:rPr>
      </w:pPr>
      <w:r w:rsidRPr="00167864">
        <w:rPr>
          <w:rFonts w:eastAsiaTheme="majorEastAsia" w:cstheme="majorBidi"/>
          <w:b/>
          <w:bCs/>
          <w:color w:val="002060"/>
          <w:sz w:val="24"/>
          <w:szCs w:val="24"/>
          <w:u w:val="single"/>
        </w:rPr>
        <w:t xml:space="preserve">Key Finding </w:t>
      </w:r>
      <w:r w:rsidR="001B2715" w:rsidRPr="00167864">
        <w:rPr>
          <w:rFonts w:eastAsiaTheme="majorEastAsia" w:cstheme="majorBidi"/>
          <w:b/>
          <w:bCs/>
          <w:color w:val="002060"/>
          <w:sz w:val="24"/>
          <w:szCs w:val="24"/>
          <w:u w:val="single"/>
        </w:rPr>
        <w:t>6</w:t>
      </w:r>
      <w:r w:rsidRPr="00A63701">
        <w:rPr>
          <w:rFonts w:eastAsiaTheme="majorEastAsia" w:cstheme="majorBidi"/>
          <w:b/>
          <w:bCs/>
          <w:color w:val="002060"/>
          <w:sz w:val="24"/>
          <w:szCs w:val="24"/>
        </w:rPr>
        <w:t xml:space="preserve">: </w:t>
      </w:r>
      <w:r w:rsidR="00E0727C">
        <w:rPr>
          <w:rFonts w:eastAsiaTheme="majorEastAsia" w:cstheme="majorBidi"/>
          <w:b/>
          <w:bCs/>
          <w:color w:val="002060"/>
          <w:sz w:val="24"/>
          <w:szCs w:val="24"/>
        </w:rPr>
        <w:t xml:space="preserve">IDPs have incomplete and contradictory information on their rights and on </w:t>
      </w:r>
      <w:r w:rsidR="001B3159">
        <w:rPr>
          <w:rFonts w:eastAsiaTheme="majorEastAsia" w:cstheme="majorBidi"/>
          <w:b/>
          <w:bCs/>
          <w:color w:val="002060"/>
          <w:sz w:val="24"/>
          <w:szCs w:val="24"/>
        </w:rPr>
        <w:t xml:space="preserve">the </w:t>
      </w:r>
      <w:r w:rsidR="00E0727C">
        <w:rPr>
          <w:rFonts w:eastAsiaTheme="majorEastAsia" w:cstheme="majorBidi"/>
          <w:b/>
          <w:bCs/>
          <w:color w:val="002060"/>
          <w:sz w:val="24"/>
          <w:szCs w:val="24"/>
        </w:rPr>
        <w:t xml:space="preserve">benefits they can expect to receive. This lack of information reduces trust in the government and its institutions. </w:t>
      </w:r>
    </w:p>
    <w:p w14:paraId="708C17A2" w14:textId="77777777" w:rsidR="00F64C6B" w:rsidRDefault="00F64C6B" w:rsidP="004C7718">
      <w:pPr>
        <w:rPr>
          <w:rFonts w:eastAsiaTheme="majorEastAsia" w:cstheme="majorBidi"/>
          <w:b/>
          <w:bCs/>
          <w:color w:val="002060"/>
          <w:sz w:val="24"/>
          <w:szCs w:val="24"/>
        </w:rPr>
      </w:pPr>
    </w:p>
    <w:p w14:paraId="49738BF3" w14:textId="5F4C902B" w:rsidR="004B345E" w:rsidRPr="004B345E" w:rsidRDefault="00082428" w:rsidP="002A2E28">
      <w:pPr>
        <w:pStyle w:val="ListParagraph"/>
        <w:numPr>
          <w:ilvl w:val="0"/>
          <w:numId w:val="1"/>
        </w:numPr>
        <w:spacing w:line="276" w:lineRule="auto"/>
        <w:rPr>
          <w:rFonts w:eastAsiaTheme="majorEastAsia" w:cstheme="majorBidi"/>
          <w:bCs/>
          <w:color w:val="002060"/>
        </w:rPr>
      </w:pPr>
      <w:r w:rsidRPr="002A2E28">
        <w:rPr>
          <w:rFonts w:eastAsiaTheme="majorEastAsia" w:cstheme="majorBidi"/>
          <w:b/>
          <w:bCs/>
        </w:rPr>
        <w:t xml:space="preserve">Focus group interviews with IDPs revealed that many lack basic information about their rights, the benefits that they are entitled to, and the appropriate avenues for addressing their needs. </w:t>
      </w:r>
      <w:r w:rsidRPr="002A2E28">
        <w:rPr>
          <w:rFonts w:eastAsiaTheme="majorEastAsia" w:cstheme="majorBidi"/>
          <w:bCs/>
        </w:rPr>
        <w:t>Many have little awareness about</w:t>
      </w:r>
      <w:r w:rsidR="00726F81" w:rsidRPr="002A2E28">
        <w:rPr>
          <w:rFonts w:eastAsiaTheme="majorEastAsia" w:cstheme="majorBidi"/>
          <w:bCs/>
        </w:rPr>
        <w:t xml:space="preserve"> eligibility and the services provided by the</w:t>
      </w:r>
      <w:r w:rsidRPr="002A2E28">
        <w:rPr>
          <w:rFonts w:eastAsiaTheme="majorEastAsia" w:cstheme="majorBidi"/>
          <w:bCs/>
        </w:rPr>
        <w:t xml:space="preserve"> universal health insurance scheme. </w:t>
      </w:r>
      <w:r w:rsidR="00726F81" w:rsidRPr="002A2E28">
        <w:rPr>
          <w:rFonts w:eastAsiaTheme="majorEastAsia" w:cstheme="majorBidi"/>
          <w:bCs/>
        </w:rPr>
        <w:t>A large number of IDPs also</w:t>
      </w:r>
      <w:r w:rsidR="00167864">
        <w:rPr>
          <w:rFonts w:eastAsiaTheme="majorEastAsia" w:cstheme="majorBidi"/>
          <w:bCs/>
        </w:rPr>
        <w:t xml:space="preserve"> complained</w:t>
      </w:r>
      <w:r w:rsidRPr="002A2E28">
        <w:rPr>
          <w:rFonts w:eastAsiaTheme="majorEastAsia" w:cstheme="majorBidi"/>
          <w:bCs/>
        </w:rPr>
        <w:t xml:space="preserve"> about </w:t>
      </w:r>
      <w:r w:rsidR="00726F81" w:rsidRPr="002A2E28">
        <w:rPr>
          <w:rFonts w:eastAsiaTheme="majorEastAsia" w:cstheme="majorBidi"/>
          <w:bCs/>
        </w:rPr>
        <w:t>limited information</w:t>
      </w:r>
      <w:r w:rsidRPr="002A2E28">
        <w:rPr>
          <w:rFonts w:eastAsiaTheme="majorEastAsia" w:cstheme="majorBidi"/>
          <w:bCs/>
        </w:rPr>
        <w:t xml:space="preserve"> on the availability of employment opportunities. In addition, </w:t>
      </w:r>
      <w:r w:rsidR="00726F81" w:rsidRPr="002A2E28">
        <w:rPr>
          <w:rFonts w:eastAsiaTheme="majorEastAsia" w:cstheme="majorBidi"/>
          <w:bCs/>
        </w:rPr>
        <w:t xml:space="preserve">many </w:t>
      </w:r>
      <w:r w:rsidRPr="002A2E28">
        <w:rPr>
          <w:rFonts w:eastAsiaTheme="majorEastAsia" w:cstheme="majorBidi"/>
          <w:bCs/>
        </w:rPr>
        <w:t>IDPs are poorly informed about housing guidelines, renovation and privatization procedures, and</w:t>
      </w:r>
      <w:r w:rsidR="004C5FB3" w:rsidRPr="002A2E28">
        <w:rPr>
          <w:rFonts w:eastAsiaTheme="majorEastAsia" w:cstheme="majorBidi"/>
          <w:bCs/>
        </w:rPr>
        <w:t xml:space="preserve"> the overall plans by the Government in addressing their housing needs. </w:t>
      </w:r>
      <w:r w:rsidR="00DA002C" w:rsidRPr="002A2E28">
        <w:rPr>
          <w:rFonts w:eastAsia="Times New Roman" w:cs="Times New Roman"/>
        </w:rPr>
        <w:t xml:space="preserve">A lack of access to credible and accurate information and limited awareness of rights is especially acute in rural and remote locations. </w:t>
      </w:r>
      <w:r w:rsidR="00167864">
        <w:rPr>
          <w:rFonts w:eastAsia="Times New Roman" w:cs="Times New Roman"/>
        </w:rPr>
        <w:t>This problem is compounded</w:t>
      </w:r>
      <w:r w:rsidR="00000B84" w:rsidRPr="002A2E28">
        <w:rPr>
          <w:rFonts w:eastAsia="Times New Roman" w:cs="Times New Roman"/>
        </w:rPr>
        <w:t xml:space="preserve"> </w:t>
      </w:r>
      <w:r w:rsidR="00B23792">
        <w:rPr>
          <w:rFonts w:eastAsia="Times New Roman" w:cs="Times New Roman"/>
        </w:rPr>
        <w:t xml:space="preserve">by </w:t>
      </w:r>
      <w:r w:rsidR="00000B84" w:rsidRPr="002A2E28">
        <w:rPr>
          <w:rFonts w:eastAsia="Times New Roman" w:cs="Times New Roman"/>
        </w:rPr>
        <w:t xml:space="preserve">lack of clarity on the responsibilities of various </w:t>
      </w:r>
      <w:r w:rsidR="00167864">
        <w:rPr>
          <w:rFonts w:eastAsia="Times New Roman" w:cs="Times New Roman"/>
        </w:rPr>
        <w:t>institutions with regard to</w:t>
      </w:r>
      <w:r w:rsidR="00000B84" w:rsidRPr="002A2E28">
        <w:rPr>
          <w:rFonts w:eastAsia="Times New Roman" w:cs="Times New Roman"/>
        </w:rPr>
        <w:t xml:space="preserve"> IDP </w:t>
      </w:r>
      <w:r w:rsidR="00167864">
        <w:rPr>
          <w:rFonts w:eastAsia="Times New Roman" w:cs="Times New Roman"/>
        </w:rPr>
        <w:t>entitlements and services</w:t>
      </w:r>
      <w:r w:rsidR="00000B84" w:rsidRPr="002A2E28">
        <w:rPr>
          <w:rFonts w:eastAsia="Times New Roman" w:cs="Times New Roman"/>
        </w:rPr>
        <w:t xml:space="preserve">. </w:t>
      </w:r>
    </w:p>
    <w:p w14:paraId="70CCCAE8" w14:textId="77777777" w:rsidR="004B345E" w:rsidRPr="004B345E" w:rsidRDefault="004B345E" w:rsidP="004B345E">
      <w:pPr>
        <w:pStyle w:val="ListParagraph"/>
        <w:spacing w:line="276" w:lineRule="auto"/>
        <w:ind w:left="360"/>
        <w:rPr>
          <w:rFonts w:eastAsiaTheme="majorEastAsia" w:cstheme="majorBidi"/>
          <w:bCs/>
          <w:color w:val="002060"/>
        </w:rPr>
      </w:pPr>
    </w:p>
    <w:p w14:paraId="7B911A1E" w14:textId="77777777" w:rsidR="004C5FB3" w:rsidRPr="002A2E28" w:rsidRDefault="00DB1D53" w:rsidP="002A2E28">
      <w:pPr>
        <w:pStyle w:val="ListParagraph"/>
        <w:numPr>
          <w:ilvl w:val="0"/>
          <w:numId w:val="1"/>
        </w:numPr>
        <w:spacing w:line="276" w:lineRule="auto"/>
        <w:rPr>
          <w:rFonts w:eastAsiaTheme="majorEastAsia" w:cstheme="majorBidi"/>
          <w:bCs/>
          <w:color w:val="002060"/>
        </w:rPr>
      </w:pPr>
      <w:r w:rsidRPr="00167864">
        <w:rPr>
          <w:rFonts w:eastAsiaTheme="majorEastAsia" w:cstheme="majorBidi"/>
          <w:b/>
          <w:bCs/>
        </w:rPr>
        <w:t xml:space="preserve">Durable housing </w:t>
      </w:r>
      <w:r w:rsidR="00C9430E" w:rsidRPr="00167864">
        <w:rPr>
          <w:rFonts w:eastAsiaTheme="majorEastAsia" w:cstheme="majorBidi"/>
          <w:b/>
          <w:bCs/>
        </w:rPr>
        <w:t xml:space="preserve">is a prominent concern among IDPs, and yet many expressed frustration at a lack of information and consultation about the government’s housing plans, as well as conflicting perceptions about the plans. </w:t>
      </w:r>
      <w:r w:rsidR="00C9430E" w:rsidRPr="002A2E28">
        <w:rPr>
          <w:rFonts w:eastAsia="Times New Roman" w:cs="Times New Roman"/>
        </w:rPr>
        <w:t xml:space="preserve">Among IDPs living in collective centers, there appeared to be a lack of information with regard to rehabilitation of the centers, and the privatization process. Conflicting information about durable housing was also evident. Among IDP respondents from Telavi, some thought that the government is currently building houses for IDPs, after which it will distribute a one-time benefit and eliminate the regular IDP benefit. Others expected that the Government will provide </w:t>
      </w:r>
      <w:r w:rsidR="00C9430E" w:rsidRPr="002A2E28">
        <w:rPr>
          <w:rFonts w:eastAsia="Times New Roman" w:cs="Times New Roman"/>
        </w:rPr>
        <w:lastRenderedPageBreak/>
        <w:t>funding to IDPs to purchase a private home, and require that IDPs negotiate directly with potential sellers. The conflicting information even among residents from the same area reveals an information gap between IDPs and relevant institutions.</w:t>
      </w:r>
    </w:p>
    <w:p w14:paraId="08A3EA36" w14:textId="77777777" w:rsidR="004C5FB3" w:rsidRPr="004B345E" w:rsidRDefault="004C5FB3" w:rsidP="002A2E28">
      <w:pPr>
        <w:pStyle w:val="NoSpacing"/>
        <w:tabs>
          <w:tab w:val="left" w:pos="360"/>
        </w:tabs>
        <w:spacing w:after="200" w:line="276" w:lineRule="auto"/>
        <w:ind w:left="720"/>
        <w:jc w:val="both"/>
        <w:rPr>
          <w:rFonts w:cs="Times New Roman"/>
          <w:i/>
          <w:sz w:val="22"/>
          <w:szCs w:val="22"/>
        </w:rPr>
      </w:pPr>
      <w:r w:rsidRPr="004B345E">
        <w:rPr>
          <w:rFonts w:cs="Times New Roman"/>
          <w:i/>
          <w:sz w:val="22"/>
          <w:szCs w:val="22"/>
        </w:rPr>
        <w:t xml:space="preserve">“I have heard that </w:t>
      </w:r>
      <w:r w:rsidR="00A655C5" w:rsidRPr="004B345E">
        <w:rPr>
          <w:rFonts w:cs="Times New Roman"/>
          <w:i/>
          <w:sz w:val="22"/>
          <w:szCs w:val="22"/>
        </w:rPr>
        <w:t xml:space="preserve">the </w:t>
      </w:r>
      <w:r w:rsidRPr="004B345E">
        <w:rPr>
          <w:rFonts w:cs="Times New Roman"/>
          <w:i/>
          <w:sz w:val="22"/>
          <w:szCs w:val="22"/>
        </w:rPr>
        <w:t>government is building apartments for IDPs, tha</w:t>
      </w:r>
      <w:r w:rsidR="00A655C5" w:rsidRPr="004B345E">
        <w:rPr>
          <w:rFonts w:cs="Times New Roman"/>
          <w:i/>
          <w:sz w:val="22"/>
          <w:szCs w:val="22"/>
        </w:rPr>
        <w:t>t</w:t>
      </w:r>
      <w:r w:rsidRPr="004B345E">
        <w:rPr>
          <w:rFonts w:cs="Times New Roman"/>
          <w:i/>
          <w:sz w:val="22"/>
          <w:szCs w:val="22"/>
        </w:rPr>
        <w:t xml:space="preserve"> all IDPs will </w:t>
      </w:r>
      <w:r w:rsidR="00A655C5" w:rsidRPr="004B345E">
        <w:rPr>
          <w:rFonts w:cs="Times New Roman"/>
          <w:i/>
          <w:sz w:val="22"/>
          <w:szCs w:val="22"/>
        </w:rPr>
        <w:t>own</w:t>
      </w:r>
      <w:r w:rsidRPr="004B345E">
        <w:rPr>
          <w:rFonts w:cs="Times New Roman"/>
          <w:i/>
          <w:sz w:val="22"/>
          <w:szCs w:val="22"/>
        </w:rPr>
        <w:t xml:space="preserve"> property, and </w:t>
      </w:r>
      <w:r w:rsidR="00A655C5" w:rsidRPr="004B345E">
        <w:rPr>
          <w:rFonts w:cs="Times New Roman"/>
          <w:i/>
          <w:sz w:val="22"/>
          <w:szCs w:val="22"/>
        </w:rPr>
        <w:t xml:space="preserve">that </w:t>
      </w:r>
      <w:r w:rsidRPr="004B345E">
        <w:rPr>
          <w:rFonts w:cs="Times New Roman"/>
          <w:i/>
          <w:sz w:val="22"/>
          <w:szCs w:val="22"/>
        </w:rPr>
        <w:t xml:space="preserve">the government will issue </w:t>
      </w:r>
      <w:r w:rsidR="00A655C5" w:rsidRPr="004B345E">
        <w:rPr>
          <w:rFonts w:cs="Times New Roman"/>
          <w:i/>
          <w:sz w:val="22"/>
          <w:szCs w:val="22"/>
        </w:rPr>
        <w:t>a one-time 500 GEL cash</w:t>
      </w:r>
      <w:r w:rsidRPr="004B345E">
        <w:rPr>
          <w:rFonts w:cs="Times New Roman"/>
          <w:i/>
          <w:sz w:val="22"/>
          <w:szCs w:val="22"/>
        </w:rPr>
        <w:t xml:space="preserve"> assistance for every family member</w:t>
      </w:r>
      <w:r w:rsidR="00A655C5" w:rsidRPr="004B345E">
        <w:rPr>
          <w:rFonts w:cs="Times New Roman"/>
          <w:i/>
          <w:sz w:val="22"/>
          <w:szCs w:val="22"/>
        </w:rPr>
        <w:t>. A</w:t>
      </w:r>
      <w:r w:rsidRPr="004B345E">
        <w:rPr>
          <w:rFonts w:cs="Times New Roman"/>
          <w:i/>
          <w:sz w:val="22"/>
          <w:szCs w:val="22"/>
        </w:rPr>
        <w:t xml:space="preserve">fter this the IDP status </w:t>
      </w:r>
      <w:r w:rsidR="00A655C5" w:rsidRPr="004B345E">
        <w:rPr>
          <w:rFonts w:cs="Times New Roman"/>
          <w:i/>
          <w:sz w:val="22"/>
          <w:szCs w:val="22"/>
        </w:rPr>
        <w:t>and the monthly</w:t>
      </w:r>
      <w:r w:rsidRPr="004B345E">
        <w:rPr>
          <w:rFonts w:cs="Times New Roman"/>
          <w:i/>
          <w:sz w:val="22"/>
          <w:szCs w:val="22"/>
        </w:rPr>
        <w:t xml:space="preserve"> allowance will be cancelled”</w:t>
      </w:r>
      <w:r w:rsidRPr="004B345E">
        <w:rPr>
          <w:rStyle w:val="FootnoteReference"/>
          <w:rFonts w:cs="Times New Roman"/>
          <w:i/>
          <w:sz w:val="22"/>
          <w:szCs w:val="22"/>
        </w:rPr>
        <w:footnoteReference w:id="104"/>
      </w:r>
    </w:p>
    <w:p w14:paraId="135CD018" w14:textId="77777777" w:rsidR="00F64C6B" w:rsidRPr="004B345E" w:rsidRDefault="004C5FB3" w:rsidP="002A2E28">
      <w:pPr>
        <w:tabs>
          <w:tab w:val="left" w:pos="360"/>
        </w:tabs>
        <w:spacing w:after="200" w:line="276" w:lineRule="auto"/>
        <w:ind w:left="720"/>
        <w:rPr>
          <w:rFonts w:eastAsia="Times New Roman" w:cs="Times New Roman"/>
        </w:rPr>
      </w:pPr>
      <w:r w:rsidRPr="004B345E" w:rsidDel="00630C40">
        <w:rPr>
          <w:rFonts w:cs="Times New Roman"/>
          <w:i/>
        </w:rPr>
        <w:t xml:space="preserve"> </w:t>
      </w:r>
      <w:r w:rsidRPr="004B345E">
        <w:rPr>
          <w:rFonts w:cs="Times New Roman"/>
          <w:i/>
        </w:rPr>
        <w:t>“</w:t>
      </w:r>
      <w:r w:rsidR="007E2202" w:rsidRPr="004B345E">
        <w:rPr>
          <w:rFonts w:cs="Times New Roman"/>
          <w:i/>
        </w:rPr>
        <w:t>I have heard that you</w:t>
      </w:r>
      <w:r w:rsidRPr="004B345E">
        <w:rPr>
          <w:rFonts w:cs="Times New Roman"/>
          <w:i/>
        </w:rPr>
        <w:t xml:space="preserve"> should make a </w:t>
      </w:r>
      <w:r w:rsidR="007E2202" w:rsidRPr="004B345E">
        <w:rPr>
          <w:rFonts w:cs="Times New Roman"/>
          <w:i/>
        </w:rPr>
        <w:t xml:space="preserve">direct </w:t>
      </w:r>
      <w:r w:rsidRPr="004B345E">
        <w:rPr>
          <w:rFonts w:cs="Times New Roman"/>
          <w:i/>
        </w:rPr>
        <w:t xml:space="preserve">agreement </w:t>
      </w:r>
      <w:r w:rsidR="007E2202" w:rsidRPr="004B345E">
        <w:rPr>
          <w:rFonts w:cs="Times New Roman"/>
          <w:i/>
        </w:rPr>
        <w:t xml:space="preserve">with the person that you are buying an apartment from, </w:t>
      </w:r>
      <w:r w:rsidRPr="004B345E">
        <w:rPr>
          <w:rFonts w:cs="Times New Roman"/>
          <w:i/>
        </w:rPr>
        <w:t xml:space="preserve">and </w:t>
      </w:r>
      <w:r w:rsidR="007E2202" w:rsidRPr="004B345E">
        <w:rPr>
          <w:rFonts w:cs="Times New Roman"/>
          <w:i/>
        </w:rPr>
        <w:t>that the government will reimburse</w:t>
      </w:r>
      <w:r w:rsidRPr="004B345E">
        <w:rPr>
          <w:rFonts w:cs="Times New Roman"/>
          <w:i/>
        </w:rPr>
        <w:t xml:space="preserve"> this person.”</w:t>
      </w:r>
      <w:r w:rsidRPr="004B345E">
        <w:rPr>
          <w:rStyle w:val="FootnoteReference"/>
          <w:rFonts w:cs="Times New Roman"/>
          <w:i/>
        </w:rPr>
        <w:footnoteReference w:id="105"/>
      </w:r>
    </w:p>
    <w:p w14:paraId="6AA7DE37" w14:textId="1199092B" w:rsidR="002771B9" w:rsidRPr="002A2E28" w:rsidRDefault="00490FE5" w:rsidP="002A2E28">
      <w:pPr>
        <w:pStyle w:val="ListParagraph"/>
        <w:numPr>
          <w:ilvl w:val="0"/>
          <w:numId w:val="1"/>
        </w:numPr>
        <w:spacing w:after="0" w:line="276" w:lineRule="auto"/>
        <w:rPr>
          <w:rFonts w:cs="Times New Roman"/>
        </w:rPr>
      </w:pPr>
      <w:r w:rsidRPr="002A2E28">
        <w:rPr>
          <w:rFonts w:cs="Times New Roman"/>
          <w:b/>
        </w:rPr>
        <w:t>Minimal</w:t>
      </w:r>
      <w:r w:rsidR="002771B9" w:rsidRPr="002A2E28">
        <w:rPr>
          <w:rFonts w:cs="Times New Roman"/>
          <w:b/>
        </w:rPr>
        <w:t xml:space="preserve"> consultation with I</w:t>
      </w:r>
      <w:r w:rsidR="00584884" w:rsidRPr="002A2E28">
        <w:rPr>
          <w:rFonts w:cs="Times New Roman"/>
          <w:b/>
        </w:rPr>
        <w:t xml:space="preserve">DPs was of particular concern in past </w:t>
      </w:r>
      <w:r w:rsidR="002771B9" w:rsidRPr="002A2E28">
        <w:rPr>
          <w:rFonts w:cs="Times New Roman"/>
          <w:b/>
        </w:rPr>
        <w:t xml:space="preserve">resettlement policies under the Action Plans, which have since been reversed by the government. </w:t>
      </w:r>
      <w:r w:rsidR="002771B9" w:rsidRPr="002A2E28">
        <w:rPr>
          <w:rFonts w:cs="Times New Roman"/>
        </w:rPr>
        <w:t xml:space="preserve">Under these policies, IDPs were to be resettled away from the capital, and out of accommodations that the government intended to remodel for </w:t>
      </w:r>
      <w:r w:rsidR="00584884" w:rsidRPr="002A2E28">
        <w:rPr>
          <w:rFonts w:cs="Times New Roman"/>
        </w:rPr>
        <w:t>different uses</w:t>
      </w:r>
      <w:r w:rsidR="002771B9" w:rsidRPr="002A2E28">
        <w:rPr>
          <w:rFonts w:cs="Times New Roman"/>
        </w:rPr>
        <w:t xml:space="preserve">. </w:t>
      </w:r>
      <w:r w:rsidR="00584884" w:rsidRPr="002A2E28">
        <w:rPr>
          <w:rFonts w:cs="Times New Roman"/>
        </w:rPr>
        <w:t xml:space="preserve">The August 2010 eviction of IDPs who occupied government buildings in Tbilisi </w:t>
      </w:r>
      <w:r w:rsidRPr="002A2E28">
        <w:rPr>
          <w:rFonts w:cs="Times New Roman"/>
        </w:rPr>
        <w:t xml:space="preserve">are described as involving inadequate consultations on the location of </w:t>
      </w:r>
      <w:r w:rsidR="00584884" w:rsidRPr="002A2E28">
        <w:rPr>
          <w:rFonts w:cs="Times New Roman"/>
        </w:rPr>
        <w:t>new set</w:t>
      </w:r>
      <w:r w:rsidRPr="002A2E28">
        <w:rPr>
          <w:rFonts w:cs="Times New Roman"/>
        </w:rPr>
        <w:t>tlements, or the set-up of the new</w:t>
      </w:r>
      <w:r w:rsidR="00584884" w:rsidRPr="002A2E28">
        <w:rPr>
          <w:rFonts w:cs="Times New Roman"/>
        </w:rPr>
        <w:t xml:space="preserve"> facilities.</w:t>
      </w:r>
      <w:r w:rsidR="00DA002C" w:rsidRPr="002A2E28">
        <w:rPr>
          <w:rStyle w:val="FootnoteReference"/>
          <w:rFonts w:cs="Times New Roman"/>
        </w:rPr>
        <w:footnoteReference w:id="106"/>
      </w:r>
      <w:r w:rsidRPr="002A2E28">
        <w:rPr>
          <w:rFonts w:cs="Times New Roman"/>
        </w:rPr>
        <w:t xml:space="preserve"> Displaced people from urban areas, especially those from </w:t>
      </w:r>
      <w:r w:rsidR="00AE393B">
        <w:rPr>
          <w:rFonts w:cs="Times New Roman"/>
        </w:rPr>
        <w:t xml:space="preserve">the </w:t>
      </w:r>
      <w:r w:rsidRPr="002A2E28">
        <w:rPr>
          <w:rFonts w:cs="Times New Roman"/>
        </w:rPr>
        <w:t>Abkhazia</w:t>
      </w:r>
      <w:r w:rsidR="00AE393B">
        <w:rPr>
          <w:rFonts w:cs="Times New Roman"/>
        </w:rPr>
        <w:t>n AR</w:t>
      </w:r>
      <w:r w:rsidRPr="002A2E28">
        <w:rPr>
          <w:rFonts w:cs="Times New Roman"/>
        </w:rPr>
        <w:t xml:space="preserve">, were strongly resistant to the idea of being relocated from the capital because of limited employment opportunities elsewhere, and many soon re-emigrated back to the capital in search for employment. </w:t>
      </w:r>
    </w:p>
    <w:p w14:paraId="4504D858" w14:textId="77777777" w:rsidR="00000B84" w:rsidRPr="002A2E28" w:rsidRDefault="00000B84" w:rsidP="002A2E28">
      <w:pPr>
        <w:pStyle w:val="ListParagraph"/>
        <w:spacing w:after="0" w:line="276" w:lineRule="auto"/>
        <w:ind w:left="360"/>
        <w:rPr>
          <w:rFonts w:cs="Times New Roman"/>
        </w:rPr>
      </w:pPr>
    </w:p>
    <w:p w14:paraId="65EC852D" w14:textId="00E6E125" w:rsidR="00010CE5" w:rsidRPr="004B345E" w:rsidRDefault="00010CE5" w:rsidP="002A2E28">
      <w:pPr>
        <w:pStyle w:val="ListParagraph"/>
        <w:numPr>
          <w:ilvl w:val="0"/>
          <w:numId w:val="1"/>
        </w:numPr>
        <w:spacing w:after="0" w:line="276" w:lineRule="auto"/>
        <w:rPr>
          <w:rFonts w:cs="Times New Roman"/>
        </w:rPr>
      </w:pPr>
      <w:r w:rsidRPr="004B345E">
        <w:rPr>
          <w:rFonts w:cs="Times New Roman"/>
          <w:b/>
        </w:rPr>
        <w:t xml:space="preserve">Our qualitative research revealed discontent among IDPs who find the </w:t>
      </w:r>
      <w:r w:rsidR="002771B9" w:rsidRPr="004B345E">
        <w:rPr>
          <w:rFonts w:cs="Times New Roman"/>
          <w:b/>
        </w:rPr>
        <w:t>TSA program</w:t>
      </w:r>
      <w:r w:rsidRPr="004B345E">
        <w:rPr>
          <w:rFonts w:cs="Times New Roman"/>
          <w:b/>
        </w:rPr>
        <w:t xml:space="preserve"> as </w:t>
      </w:r>
      <w:r w:rsidR="00000B84" w:rsidRPr="004B345E">
        <w:rPr>
          <w:rFonts w:cs="Times New Roman"/>
          <w:b/>
        </w:rPr>
        <w:t>currently</w:t>
      </w:r>
      <w:r w:rsidRPr="004B345E">
        <w:rPr>
          <w:rFonts w:cs="Times New Roman"/>
          <w:b/>
        </w:rPr>
        <w:t xml:space="preserve"> imp</w:t>
      </w:r>
      <w:r w:rsidR="00DE3271">
        <w:rPr>
          <w:rFonts w:cs="Times New Roman"/>
          <w:b/>
        </w:rPr>
        <w:t xml:space="preserve">lemented to be </w:t>
      </w:r>
      <w:r w:rsidRPr="004B345E">
        <w:rPr>
          <w:rFonts w:cs="Times New Roman"/>
          <w:b/>
        </w:rPr>
        <w:t xml:space="preserve">overly complicated, and </w:t>
      </w:r>
      <w:r w:rsidR="00DE3271">
        <w:rPr>
          <w:rFonts w:cs="Times New Roman"/>
          <w:b/>
        </w:rPr>
        <w:t xml:space="preserve">with high risk of excluding needy households. </w:t>
      </w:r>
      <w:r w:rsidR="00000B84" w:rsidRPr="004B345E">
        <w:rPr>
          <w:rFonts w:cs="Times New Roman"/>
        </w:rPr>
        <w:t>The program has attempted to address these concerns by, for example, eliminating obsolete parameters centered around asset ownership as primary welfare measures</w:t>
      </w:r>
      <w:r w:rsidR="00000B84" w:rsidRPr="004B345E">
        <w:rPr>
          <w:rFonts w:eastAsiaTheme="minorEastAsia" w:cs="Times New Roman"/>
          <w:b/>
        </w:rPr>
        <w:t xml:space="preserve">. </w:t>
      </w:r>
      <w:r w:rsidR="00000B84" w:rsidRPr="004B345E">
        <w:rPr>
          <w:rFonts w:eastAsiaTheme="minorEastAsia" w:cs="Times New Roman"/>
        </w:rPr>
        <w:t>However, equally important is the need to</w:t>
      </w:r>
      <w:r w:rsidR="00370527" w:rsidRPr="004B345E">
        <w:rPr>
          <w:rFonts w:eastAsiaTheme="minorEastAsia" w:cs="Times New Roman"/>
        </w:rPr>
        <w:t xml:space="preserve"> undertake clear communication with beneficiaries, providing guidance in the application process and ensuring transparency at all stages. </w:t>
      </w:r>
    </w:p>
    <w:p w14:paraId="3DBE0E0D" w14:textId="77777777" w:rsidR="00C34B82" w:rsidRDefault="00C34B82" w:rsidP="00FA4F8D">
      <w:pPr>
        <w:autoSpaceDE w:val="0"/>
        <w:autoSpaceDN w:val="0"/>
        <w:adjustRightInd w:val="0"/>
        <w:spacing w:after="0" w:line="276" w:lineRule="auto"/>
        <w:jc w:val="left"/>
        <w:rPr>
          <w:rFonts w:cs="AmnestyTradeGothic"/>
        </w:rPr>
      </w:pPr>
    </w:p>
    <w:p w14:paraId="3F2DE87B" w14:textId="77777777" w:rsidR="00370527" w:rsidRPr="00D80F20" w:rsidRDefault="00370527" w:rsidP="004B345E">
      <w:pPr>
        <w:pStyle w:val="ListParagraph"/>
        <w:numPr>
          <w:ilvl w:val="0"/>
          <w:numId w:val="1"/>
        </w:numPr>
        <w:autoSpaceDE w:val="0"/>
        <w:autoSpaceDN w:val="0"/>
        <w:adjustRightInd w:val="0"/>
        <w:spacing w:after="0" w:line="276" w:lineRule="auto"/>
        <w:rPr>
          <w:rFonts w:cs="Times New Roman"/>
        </w:rPr>
      </w:pPr>
      <w:r w:rsidRPr="002A2E28">
        <w:rPr>
          <w:rFonts w:cs="AmnestyTradeGothic"/>
          <w:b/>
        </w:rPr>
        <w:t>Inadequate information and consultation with IDPs not only affects the effectiveness of IDP programs, but also deepens their sense of isolation, and reinforces their dependence on the state.</w:t>
      </w:r>
      <w:r w:rsidR="002A2E28" w:rsidRPr="002A2E28">
        <w:rPr>
          <w:rStyle w:val="FootnoteReference"/>
          <w:rFonts w:cs="AmnestyTradeGothic"/>
          <w:b/>
        </w:rPr>
        <w:footnoteReference w:id="107"/>
      </w:r>
      <w:r w:rsidRPr="002A2E28">
        <w:rPr>
          <w:rFonts w:cs="AmnestyTradeGothic"/>
          <w:b/>
        </w:rPr>
        <w:t xml:space="preserve"> </w:t>
      </w:r>
      <w:r w:rsidR="002A2E28" w:rsidRPr="002A2E28">
        <w:rPr>
          <w:rFonts w:cs="AmnestyTradeGothic"/>
        </w:rPr>
        <w:t xml:space="preserve">IDPs might be reluctant to comply with state programs that they do not fully understand. In addition, it might be difficult for them to make long-term livelihood decisions without adequate knowledge of their options, resources, and procedures required in securing their benefits. Finally, without full knowledge of their rights and benefits, IDPs are likely to find it difficult to fully integrate with their host communities and with the broader Georgian society. </w:t>
      </w:r>
    </w:p>
    <w:p w14:paraId="6274CFEA" w14:textId="77777777" w:rsidR="00DA23D6" w:rsidRPr="00DA23D6" w:rsidRDefault="00DA23D6" w:rsidP="00FA4F8D">
      <w:pPr>
        <w:autoSpaceDE w:val="0"/>
        <w:autoSpaceDN w:val="0"/>
        <w:adjustRightInd w:val="0"/>
        <w:spacing w:after="0" w:line="276" w:lineRule="auto"/>
        <w:rPr>
          <w:rFonts w:cs="Times New Roman"/>
        </w:rPr>
      </w:pPr>
    </w:p>
    <w:p w14:paraId="78835C32" w14:textId="77777777" w:rsidR="00DA23D6" w:rsidRDefault="00DA23D6" w:rsidP="00FA4F8D">
      <w:pPr>
        <w:pStyle w:val="ListParagraph"/>
        <w:autoSpaceDE w:val="0"/>
        <w:autoSpaceDN w:val="0"/>
        <w:adjustRightInd w:val="0"/>
        <w:spacing w:after="0" w:line="276" w:lineRule="auto"/>
        <w:ind w:left="360"/>
        <w:rPr>
          <w:rFonts w:cs="Times New Roman"/>
        </w:rPr>
      </w:pPr>
    </w:p>
    <w:p w14:paraId="46420B5C" w14:textId="0EAFD6F1" w:rsidR="00DA23D6" w:rsidRPr="0036006E" w:rsidRDefault="00DA23D6" w:rsidP="0036006E">
      <w:pPr>
        <w:spacing w:after="200" w:line="276" w:lineRule="auto"/>
        <w:jc w:val="left"/>
        <w:rPr>
          <w:rFonts w:cs="Times New Roman"/>
        </w:rPr>
      </w:pPr>
    </w:p>
    <w:p w14:paraId="5F3C95C4" w14:textId="5A2AD095" w:rsidR="006632D1" w:rsidRPr="00C11C4E" w:rsidRDefault="00DA23D6" w:rsidP="006632D1">
      <w:pPr>
        <w:pStyle w:val="Heading1"/>
        <w:pBdr>
          <w:bottom w:val="single" w:sz="18" w:space="1" w:color="17365D" w:themeColor="text2" w:themeShade="BF"/>
        </w:pBdr>
        <w:spacing w:after="200"/>
        <w:rPr>
          <w:bCs w:val="0"/>
          <w:color w:val="17365D" w:themeColor="text2" w:themeShade="BF"/>
          <w:sz w:val="40"/>
          <w:szCs w:val="40"/>
        </w:rPr>
      </w:pPr>
      <w:bookmarkStart w:id="17" w:name="_Toc423624993"/>
      <w:bookmarkStart w:id="18" w:name="_Toc424902038"/>
      <w:bookmarkStart w:id="19" w:name="_Toc423361450"/>
      <w:bookmarkStart w:id="20" w:name="_Toc443046835"/>
      <w:r>
        <w:rPr>
          <w:bCs w:val="0"/>
          <w:color w:val="17365D" w:themeColor="text2" w:themeShade="BF"/>
          <w:sz w:val="40"/>
          <w:szCs w:val="40"/>
        </w:rPr>
        <w:t xml:space="preserve">Conclusions </w:t>
      </w:r>
      <w:r w:rsidR="00916835">
        <w:rPr>
          <w:bCs w:val="0"/>
          <w:color w:val="17365D" w:themeColor="text2" w:themeShade="BF"/>
          <w:sz w:val="40"/>
          <w:szCs w:val="40"/>
        </w:rPr>
        <w:t>and Recommendations</w:t>
      </w:r>
      <w:bookmarkEnd w:id="17"/>
      <w:bookmarkEnd w:id="18"/>
      <w:bookmarkEnd w:id="19"/>
      <w:bookmarkEnd w:id="20"/>
    </w:p>
    <w:p w14:paraId="571D69FB" w14:textId="77777777" w:rsidR="00D80F20" w:rsidRPr="0036006E" w:rsidRDefault="00D80F20" w:rsidP="0036006E">
      <w:pPr>
        <w:rPr>
          <w:rFonts w:cs="Times New Roman"/>
        </w:rPr>
      </w:pPr>
    </w:p>
    <w:p w14:paraId="7094D6E0" w14:textId="202605C4" w:rsidR="00D80F20" w:rsidRDefault="00D80F20" w:rsidP="00D80F20">
      <w:pPr>
        <w:pStyle w:val="ListParagraph"/>
        <w:numPr>
          <w:ilvl w:val="0"/>
          <w:numId w:val="1"/>
        </w:numPr>
        <w:autoSpaceDE w:val="0"/>
        <w:autoSpaceDN w:val="0"/>
        <w:adjustRightInd w:val="0"/>
        <w:spacing w:after="0" w:line="276" w:lineRule="auto"/>
        <w:rPr>
          <w:rFonts w:cs="Times New Roman"/>
        </w:rPr>
      </w:pPr>
      <w:r w:rsidRPr="000B1E3F">
        <w:rPr>
          <w:rFonts w:cs="Times New Roman"/>
          <w:b/>
        </w:rPr>
        <w:t xml:space="preserve">Over twenty years have passed since the first wave of internal displacement in Georgia, and over seven years since the second big wave of IDPs. Reintegration of the country remains a high priority for the Government, but so does ensuring the well-being of all Georgian citizens including those who are currently displaced. </w:t>
      </w:r>
      <w:r w:rsidR="00FA59F6" w:rsidRPr="00FA59F6">
        <w:rPr>
          <w:rFonts w:cs="Times New Roman"/>
        </w:rPr>
        <w:t xml:space="preserve">Global </w:t>
      </w:r>
      <w:r w:rsidR="00FA59F6">
        <w:rPr>
          <w:rFonts w:cs="Times New Roman"/>
        </w:rPr>
        <w:t>research on forced displacement shows that</w:t>
      </w:r>
      <w:r w:rsidR="00603EAB">
        <w:rPr>
          <w:rFonts w:cs="Times New Roman"/>
        </w:rPr>
        <w:t xml:space="preserve"> </w:t>
      </w:r>
      <w:r w:rsidR="00C7700E">
        <w:rPr>
          <w:rFonts w:cs="Times New Roman"/>
        </w:rPr>
        <w:t>providing durable solutions for IDPs is both a necessary target, and a long-term process. From a development perspective, “displacement only ends when (former) IDPs or refugees no longer have needs that are specifically linked to their having been displaced.”</w:t>
      </w:r>
      <w:r w:rsidR="00CD080A">
        <w:rPr>
          <w:rStyle w:val="FootnoteReference"/>
          <w:rFonts w:cs="Times New Roman"/>
        </w:rPr>
        <w:footnoteReference w:id="108"/>
      </w:r>
      <w:r w:rsidR="00C7700E">
        <w:rPr>
          <w:rFonts w:cs="Times New Roman"/>
        </w:rPr>
        <w:t xml:space="preserve"> The </w:t>
      </w:r>
      <w:r>
        <w:rPr>
          <w:rFonts w:cs="Times New Roman"/>
        </w:rPr>
        <w:t xml:space="preserve">Government </w:t>
      </w:r>
      <w:r w:rsidR="00C7700E">
        <w:rPr>
          <w:rFonts w:cs="Times New Roman"/>
        </w:rPr>
        <w:t xml:space="preserve">of Georgia has gone a long way to establish a legal framework for IDP assistance and integration that is consistent with best international practices. </w:t>
      </w:r>
      <w:r w:rsidR="00CD080A">
        <w:rPr>
          <w:rFonts w:cs="Times New Roman"/>
        </w:rPr>
        <w:t>In recent years the</w:t>
      </w:r>
      <w:r w:rsidR="00E3428F">
        <w:rPr>
          <w:rFonts w:cs="Times New Roman"/>
        </w:rPr>
        <w:t xml:space="preserve"> </w:t>
      </w:r>
      <w:r>
        <w:rPr>
          <w:rFonts w:cs="Times New Roman"/>
        </w:rPr>
        <w:t>policy supports provision of all opportunities and support to IDPs to be meaningfully integrated in social and economic life wherever their current place of residence is.</w:t>
      </w:r>
    </w:p>
    <w:p w14:paraId="1E779428" w14:textId="19044FE1" w:rsidR="00D80F20" w:rsidRDefault="00D80F20" w:rsidP="00D80F20">
      <w:pPr>
        <w:pStyle w:val="ListParagraph"/>
        <w:autoSpaceDE w:val="0"/>
        <w:autoSpaceDN w:val="0"/>
        <w:adjustRightInd w:val="0"/>
        <w:spacing w:after="0" w:line="276" w:lineRule="auto"/>
        <w:ind w:left="360"/>
        <w:rPr>
          <w:rFonts w:cs="Times New Roman"/>
        </w:rPr>
      </w:pPr>
      <w:r>
        <w:rPr>
          <w:rFonts w:cs="Times New Roman"/>
        </w:rPr>
        <w:t xml:space="preserve">  </w:t>
      </w:r>
    </w:p>
    <w:p w14:paraId="4E62325D" w14:textId="77777777" w:rsidR="000B1E3F" w:rsidRDefault="00D80F20" w:rsidP="00D80F20">
      <w:pPr>
        <w:pStyle w:val="ListParagraph"/>
        <w:numPr>
          <w:ilvl w:val="0"/>
          <w:numId w:val="1"/>
        </w:numPr>
        <w:autoSpaceDE w:val="0"/>
        <w:autoSpaceDN w:val="0"/>
        <w:adjustRightInd w:val="0"/>
        <w:spacing w:after="0" w:line="276" w:lineRule="auto"/>
        <w:rPr>
          <w:rFonts w:cs="Times New Roman"/>
        </w:rPr>
      </w:pPr>
      <w:r w:rsidRPr="000B1E3F">
        <w:rPr>
          <w:rFonts w:cs="Times New Roman"/>
          <w:b/>
        </w:rPr>
        <w:t>Maintaining the IDP status benefit has raised questions of equity and efficient use of financial resources.</w:t>
      </w:r>
      <w:r>
        <w:rPr>
          <w:rFonts w:cs="Times New Roman"/>
        </w:rPr>
        <w:t xml:space="preserve"> There is wide heterogeneity among IDPs with some having successfully integrated and having incomes at or above the average Georgian household. Yet others continue to face difficulties and are strongly reliant on the benefit for income security. </w:t>
      </w:r>
    </w:p>
    <w:p w14:paraId="475CBFEA" w14:textId="77777777" w:rsidR="000B1E3F" w:rsidRPr="000B1E3F" w:rsidRDefault="000B1E3F" w:rsidP="000B1E3F">
      <w:pPr>
        <w:pStyle w:val="ListParagraph"/>
        <w:rPr>
          <w:rFonts w:cs="Times New Roman"/>
        </w:rPr>
      </w:pPr>
    </w:p>
    <w:p w14:paraId="69E4260E" w14:textId="7C5C7A47" w:rsidR="00D80F20" w:rsidRDefault="0042009C" w:rsidP="00D80F20">
      <w:pPr>
        <w:pStyle w:val="ListParagraph"/>
        <w:numPr>
          <w:ilvl w:val="0"/>
          <w:numId w:val="1"/>
        </w:numPr>
        <w:autoSpaceDE w:val="0"/>
        <w:autoSpaceDN w:val="0"/>
        <w:adjustRightInd w:val="0"/>
        <w:spacing w:after="0" w:line="276" w:lineRule="auto"/>
        <w:rPr>
          <w:rFonts w:cs="Times New Roman"/>
        </w:rPr>
      </w:pPr>
      <w:r>
        <w:rPr>
          <w:rFonts w:cs="Times New Roman"/>
          <w:b/>
        </w:rPr>
        <w:t>Removal</w:t>
      </w:r>
      <w:r w:rsidR="00D80F20" w:rsidRPr="000B1E3F">
        <w:rPr>
          <w:rFonts w:cs="Times New Roman"/>
          <w:b/>
        </w:rPr>
        <w:t xml:space="preserve"> of </w:t>
      </w:r>
      <w:r>
        <w:rPr>
          <w:rFonts w:cs="Times New Roman"/>
          <w:b/>
        </w:rPr>
        <w:t xml:space="preserve">the </w:t>
      </w:r>
      <w:r w:rsidR="00D80F20" w:rsidRPr="000B1E3F">
        <w:rPr>
          <w:rFonts w:cs="Times New Roman"/>
          <w:b/>
        </w:rPr>
        <w:t xml:space="preserve">IDP benefit would require a strong system of targeting and support for vulnerable IDPs to be able to access other available forms of </w:t>
      </w:r>
      <w:r w:rsidR="00271BCD">
        <w:rPr>
          <w:rFonts w:cs="Times New Roman"/>
          <w:b/>
        </w:rPr>
        <w:t>social protection</w:t>
      </w:r>
      <w:r w:rsidR="00D80F20" w:rsidRPr="000B1E3F">
        <w:rPr>
          <w:rFonts w:cs="Times New Roman"/>
          <w:b/>
        </w:rPr>
        <w:t xml:space="preserve">, such as targeted social assistance, </w:t>
      </w:r>
      <w:r w:rsidR="00E3428F">
        <w:rPr>
          <w:rFonts w:cs="Times New Roman"/>
        </w:rPr>
        <w:t>as well as</w:t>
      </w:r>
      <w:r w:rsidR="00E3428F" w:rsidRPr="00E3428F">
        <w:rPr>
          <w:rFonts w:cs="Times New Roman"/>
        </w:rPr>
        <w:t xml:space="preserve"> </w:t>
      </w:r>
      <w:r w:rsidR="00D80F20" w:rsidRPr="00E3428F">
        <w:rPr>
          <w:rFonts w:cs="Times New Roman"/>
        </w:rPr>
        <w:t>other social services</w:t>
      </w:r>
      <w:r w:rsidR="00B23792" w:rsidRPr="00E3428F">
        <w:rPr>
          <w:rFonts w:cs="Times New Roman"/>
        </w:rPr>
        <w:t>,</w:t>
      </w:r>
      <w:r w:rsidR="000B1E3F" w:rsidRPr="00E3428F">
        <w:rPr>
          <w:rFonts w:cs="Times New Roman"/>
        </w:rPr>
        <w:t xml:space="preserve"> e</w:t>
      </w:r>
      <w:r w:rsidR="000B1E3F">
        <w:rPr>
          <w:rFonts w:cs="Times New Roman"/>
        </w:rPr>
        <w:t>.g.</w:t>
      </w:r>
      <w:r w:rsidR="00B23792">
        <w:rPr>
          <w:rFonts w:cs="Times New Roman"/>
        </w:rPr>
        <w:t>,</w:t>
      </w:r>
      <w:r w:rsidR="00D80F20">
        <w:rPr>
          <w:rFonts w:cs="Times New Roman"/>
        </w:rPr>
        <w:t xml:space="preserve"> for disability, housing</w:t>
      </w:r>
      <w:r w:rsidR="00E3428F">
        <w:rPr>
          <w:rFonts w:cs="Times New Roman"/>
        </w:rPr>
        <w:t xml:space="preserve"> benefits, health insurance, livelihood and employment programs</w:t>
      </w:r>
      <w:r w:rsidR="00D80F20">
        <w:rPr>
          <w:rFonts w:cs="Times New Roman"/>
        </w:rPr>
        <w:t xml:space="preserve">. </w:t>
      </w:r>
      <w:r w:rsidR="00F208AB">
        <w:rPr>
          <w:rFonts w:cs="Times New Roman"/>
        </w:rPr>
        <w:t>S</w:t>
      </w:r>
      <w:r>
        <w:rPr>
          <w:rFonts w:cs="Times New Roman"/>
        </w:rPr>
        <w:t>upport</w:t>
      </w:r>
      <w:r w:rsidR="00D80F20">
        <w:rPr>
          <w:rFonts w:cs="Times New Roman"/>
        </w:rPr>
        <w:t xml:space="preserve"> to IDPs at the national level has been coordinated by a </w:t>
      </w:r>
      <w:r w:rsidR="00F208AB">
        <w:rPr>
          <w:rFonts w:cs="Times New Roman"/>
        </w:rPr>
        <w:t>dedicated</w:t>
      </w:r>
      <w:r>
        <w:rPr>
          <w:rFonts w:cs="Times New Roman"/>
        </w:rPr>
        <w:t xml:space="preserve"> </w:t>
      </w:r>
      <w:r w:rsidR="00D80F20">
        <w:rPr>
          <w:rFonts w:cs="Times New Roman"/>
        </w:rPr>
        <w:t>entity</w:t>
      </w:r>
      <w:r w:rsidR="00F208AB">
        <w:rPr>
          <w:rFonts w:cs="Times New Roman"/>
        </w:rPr>
        <w:t>, the MRA. Enhancing awareness among IDPs of other available channels for support and their access to them would require a significant effort of inter-agency cooperation, and capacity-building at the local level</w:t>
      </w:r>
      <w:r>
        <w:rPr>
          <w:rFonts w:cs="Times New Roman"/>
        </w:rPr>
        <w:t>.  D</w:t>
      </w:r>
      <w:r w:rsidR="000B1E3F">
        <w:rPr>
          <w:rFonts w:cs="Times New Roman"/>
        </w:rPr>
        <w:t>iscussions with IDPs themselves give reason to believe that poor IDPs would face additional obstacles in registering for and accessing social</w:t>
      </w:r>
      <w:r w:rsidR="00D80F20">
        <w:rPr>
          <w:rFonts w:cs="Times New Roman"/>
        </w:rPr>
        <w:t xml:space="preserve"> </w:t>
      </w:r>
      <w:r w:rsidR="000B1E3F">
        <w:rPr>
          <w:rFonts w:cs="Times New Roman"/>
        </w:rPr>
        <w:t xml:space="preserve">programs outside the IDP benefit system. </w:t>
      </w:r>
      <w:r w:rsidR="00F208AB">
        <w:rPr>
          <w:rFonts w:cs="Times New Roman"/>
        </w:rPr>
        <w:t>The c</w:t>
      </w:r>
      <w:r w:rsidR="000B1E3F">
        <w:rPr>
          <w:rFonts w:cs="Times New Roman"/>
        </w:rPr>
        <w:t xml:space="preserve">apacity of the social service agency would need to be strengthened to absorb a wave of additional applicants. At the same time, awareness raising, legal and administrative help </w:t>
      </w:r>
      <w:r w:rsidR="00B23792">
        <w:rPr>
          <w:rFonts w:cs="Times New Roman"/>
        </w:rPr>
        <w:t xml:space="preserve">would </w:t>
      </w:r>
      <w:r w:rsidR="000B1E3F">
        <w:rPr>
          <w:rFonts w:cs="Times New Roman"/>
        </w:rPr>
        <w:t xml:space="preserve">need to be directed </w:t>
      </w:r>
      <w:r w:rsidR="00B23792">
        <w:rPr>
          <w:rFonts w:cs="Times New Roman"/>
        </w:rPr>
        <w:t>to</w:t>
      </w:r>
      <w:r w:rsidR="000B1E3F">
        <w:rPr>
          <w:rFonts w:cs="Times New Roman"/>
        </w:rPr>
        <w:t xml:space="preserve"> IDP communities to ensure that they can indeed access alternative sources of support.</w:t>
      </w:r>
    </w:p>
    <w:p w14:paraId="1E623129" w14:textId="77777777" w:rsidR="00315DA5" w:rsidRPr="00315DA5" w:rsidRDefault="00315DA5" w:rsidP="00315DA5">
      <w:pPr>
        <w:pStyle w:val="ListParagraph"/>
        <w:rPr>
          <w:rFonts w:cs="Times New Roman"/>
        </w:rPr>
      </w:pPr>
    </w:p>
    <w:p w14:paraId="3D9BD5B4" w14:textId="6E0E025C" w:rsidR="00315DA5" w:rsidRDefault="00315DA5" w:rsidP="00D80F20">
      <w:pPr>
        <w:pStyle w:val="ListParagraph"/>
        <w:numPr>
          <w:ilvl w:val="0"/>
          <w:numId w:val="1"/>
        </w:numPr>
        <w:autoSpaceDE w:val="0"/>
        <w:autoSpaceDN w:val="0"/>
        <w:adjustRightInd w:val="0"/>
        <w:spacing w:after="0" w:line="276" w:lineRule="auto"/>
        <w:rPr>
          <w:rFonts w:cs="Times New Roman"/>
        </w:rPr>
      </w:pPr>
      <w:r w:rsidRPr="00315DA5">
        <w:rPr>
          <w:rFonts w:cs="Times New Roman"/>
          <w:b/>
        </w:rPr>
        <w:t xml:space="preserve">Integrating vulnerable IDPs into other state social assistance programs would also require close monitoring and integration of data on IDPs into social assistance registries. </w:t>
      </w:r>
      <w:r>
        <w:rPr>
          <w:rFonts w:cs="Times New Roman"/>
        </w:rPr>
        <w:t xml:space="preserve"> This effort would entail collecting more detailed household level data on IDPs. In addition, it would require harmonization of database</w:t>
      </w:r>
      <w:r w:rsidR="0042009C">
        <w:rPr>
          <w:rFonts w:cs="Times New Roman"/>
        </w:rPr>
        <w:t>s</w:t>
      </w:r>
      <w:r>
        <w:rPr>
          <w:rFonts w:cs="Times New Roman"/>
        </w:rPr>
        <w:t xml:space="preserve"> across IDP benefit and social assistance registries. Some new case load IDPs have already </w:t>
      </w:r>
      <w:r>
        <w:rPr>
          <w:rFonts w:cs="Times New Roman"/>
        </w:rPr>
        <w:lastRenderedPageBreak/>
        <w:t xml:space="preserve">been given the option to register into other social assistance programs. However, many old case load IDPs have never had contact with the social assistance network beyond the IDP benefit and their integration would require targeted outreach, human and financial resources.  </w:t>
      </w:r>
      <w:r w:rsidR="002C36AA">
        <w:rPr>
          <w:rFonts w:cs="Times New Roman"/>
        </w:rPr>
        <w:t xml:space="preserve">The administrative cost of this effort needs to be examined further. </w:t>
      </w:r>
      <w:r>
        <w:rPr>
          <w:rFonts w:cs="Times New Roman"/>
        </w:rPr>
        <w:t xml:space="preserve"> </w:t>
      </w:r>
    </w:p>
    <w:p w14:paraId="32C3F3F0" w14:textId="77777777" w:rsidR="000B1E3F" w:rsidRPr="000B1E3F" w:rsidRDefault="000B1E3F" w:rsidP="000B1E3F">
      <w:pPr>
        <w:pStyle w:val="ListParagraph"/>
        <w:rPr>
          <w:rFonts w:cs="Times New Roman"/>
        </w:rPr>
      </w:pPr>
    </w:p>
    <w:p w14:paraId="69A63C22" w14:textId="327E6D7B" w:rsidR="00EC5832" w:rsidRPr="00414E94" w:rsidRDefault="00C303D8" w:rsidP="00EB3382">
      <w:pPr>
        <w:pStyle w:val="ListParagraph"/>
        <w:numPr>
          <w:ilvl w:val="0"/>
          <w:numId w:val="1"/>
        </w:numPr>
        <w:autoSpaceDE w:val="0"/>
        <w:autoSpaceDN w:val="0"/>
        <w:adjustRightInd w:val="0"/>
        <w:spacing w:after="0" w:line="276" w:lineRule="auto"/>
      </w:pPr>
      <w:r>
        <w:rPr>
          <w:rFonts w:cs="Times New Roman"/>
          <w:b/>
        </w:rPr>
        <w:t xml:space="preserve">Because IDPs are more reliant on state assistance and remittances and not on employment or self-employment, removing or limiting the IDP benefit could have a greater than expected negative impact on IDP lives. </w:t>
      </w:r>
      <w:r w:rsidR="000B1E3F" w:rsidRPr="00576616">
        <w:rPr>
          <w:rFonts w:cs="Times New Roman"/>
        </w:rPr>
        <w:t>Distinct obstacles facing IDPs are often not directly related to cash income but rather to sources of income, assets, and living conditions.</w:t>
      </w:r>
      <w:r w:rsidR="000B1E3F" w:rsidRPr="00890293">
        <w:rPr>
          <w:rFonts w:cs="Times New Roman"/>
        </w:rPr>
        <w:t xml:space="preserve"> Even if average incomes and poverty levels of IDPs are similar to those of non-IDPs at the national level, a closer examination of income sources reveals a higher dependence of IDPs on state assistance and remittances. Due to lack of land ownership in their places of residence, rural IDPs are more likely to work as seasonal lower paid workers in the agricultural sector. Lack of formal housing ownership also prevents IDPs from taking credit or star</w:t>
      </w:r>
      <w:r w:rsidR="00DA11F4">
        <w:rPr>
          <w:rFonts w:cs="Times New Roman"/>
        </w:rPr>
        <w:t>t</w:t>
      </w:r>
      <w:r w:rsidR="000B1E3F" w:rsidRPr="00890293">
        <w:rPr>
          <w:rFonts w:cs="Times New Roman"/>
        </w:rPr>
        <w:t>ing a small business. Un</w:t>
      </w:r>
      <w:r w:rsidR="00890293" w:rsidRPr="00890293">
        <w:rPr>
          <w:rFonts w:cs="Times New Roman"/>
        </w:rPr>
        <w:t>employment is a key need identified by both IDPs and non-IDPs; yet IDPs have less flexibility to start their own business</w:t>
      </w:r>
      <w:r w:rsidR="00DA11F4">
        <w:rPr>
          <w:rFonts w:cs="Times New Roman"/>
        </w:rPr>
        <w:t>es</w:t>
      </w:r>
      <w:r w:rsidR="00890293" w:rsidRPr="00890293">
        <w:rPr>
          <w:rFonts w:cs="Times New Roman"/>
        </w:rPr>
        <w:t xml:space="preserve"> as evidenced by their lower rates of self-employment. </w:t>
      </w:r>
      <w:r w:rsidR="00890293">
        <w:rPr>
          <w:rFonts w:cs="Times New Roman"/>
        </w:rPr>
        <w:t xml:space="preserve">In this regard, the security that the IDP benefit </w:t>
      </w:r>
      <w:r w:rsidR="0042009C">
        <w:rPr>
          <w:rFonts w:cs="Times New Roman"/>
        </w:rPr>
        <w:t xml:space="preserve">provides, </w:t>
      </w:r>
      <w:r w:rsidR="00890293">
        <w:rPr>
          <w:rFonts w:cs="Times New Roman"/>
        </w:rPr>
        <w:t xml:space="preserve">albeit with a small sum, should not be underestimated. And efforts to remove it should be mitigated with targeted programs to support livelihoods, access to land and finance, </w:t>
      </w:r>
      <w:r w:rsidR="00DA11F4">
        <w:rPr>
          <w:rFonts w:cs="Times New Roman"/>
        </w:rPr>
        <w:t xml:space="preserve">and </w:t>
      </w:r>
      <w:r w:rsidR="00890293">
        <w:rPr>
          <w:rFonts w:cs="Times New Roman"/>
        </w:rPr>
        <w:t xml:space="preserve">comprehensive support for IDP entrepreneurs and job seekers.   </w:t>
      </w:r>
    </w:p>
    <w:p w14:paraId="0379A651" w14:textId="77777777" w:rsidR="00414E94" w:rsidRPr="00414E94" w:rsidRDefault="00414E94" w:rsidP="00C1253B">
      <w:pPr>
        <w:pStyle w:val="ListParagraph"/>
        <w:autoSpaceDE w:val="0"/>
        <w:autoSpaceDN w:val="0"/>
        <w:adjustRightInd w:val="0"/>
        <w:spacing w:after="0" w:line="276" w:lineRule="auto"/>
        <w:ind w:left="360"/>
      </w:pPr>
    </w:p>
    <w:p w14:paraId="3A30F6D2" w14:textId="64A65505" w:rsidR="00414E94" w:rsidRPr="00890293" w:rsidRDefault="005E54F7" w:rsidP="00EB3382">
      <w:pPr>
        <w:pStyle w:val="ListParagraph"/>
        <w:numPr>
          <w:ilvl w:val="0"/>
          <w:numId w:val="1"/>
        </w:numPr>
        <w:autoSpaceDE w:val="0"/>
        <w:autoSpaceDN w:val="0"/>
        <w:adjustRightInd w:val="0"/>
        <w:spacing w:after="0" w:line="276" w:lineRule="auto"/>
      </w:pPr>
      <w:r>
        <w:rPr>
          <w:b/>
        </w:rPr>
        <w:t>Overall, any refor</w:t>
      </w:r>
      <w:r w:rsidR="0036006E">
        <w:rPr>
          <w:b/>
        </w:rPr>
        <w:t>ms concerning adjustments to the</w:t>
      </w:r>
      <w:r>
        <w:rPr>
          <w:b/>
        </w:rPr>
        <w:t xml:space="preserve"> assistance </w:t>
      </w:r>
      <w:r w:rsidR="0036006E">
        <w:rPr>
          <w:b/>
        </w:rPr>
        <w:t xml:space="preserve">of IDP households </w:t>
      </w:r>
      <w:r>
        <w:rPr>
          <w:b/>
        </w:rPr>
        <w:t xml:space="preserve">should have the ultimate goal of reducing </w:t>
      </w:r>
      <w:r w:rsidR="0036006E">
        <w:rPr>
          <w:b/>
        </w:rPr>
        <w:t xml:space="preserve">their </w:t>
      </w:r>
      <w:r>
        <w:rPr>
          <w:b/>
        </w:rPr>
        <w:t xml:space="preserve">economic dependence on the state. </w:t>
      </w:r>
      <w:r w:rsidR="00414E94" w:rsidRPr="005E54F7">
        <w:t xml:space="preserve">Reducing dependence on state benefits is important from the perspective of economic integration, but also </w:t>
      </w:r>
      <w:r w:rsidR="004F00AB" w:rsidRPr="005E54F7">
        <w:t xml:space="preserve">from the perspective of </w:t>
      </w:r>
      <w:r w:rsidR="00414E94" w:rsidRPr="005E54F7">
        <w:t xml:space="preserve">social inclusion and empowerment. </w:t>
      </w:r>
      <w:r w:rsidRPr="005E54F7">
        <w:t>A</w:t>
      </w:r>
      <w:r>
        <w:t xml:space="preserve">s long as IDP incomes and housing are strongly tied to </w:t>
      </w:r>
      <w:r w:rsidR="00D43631">
        <w:t xml:space="preserve">IDP </w:t>
      </w:r>
      <w:r>
        <w:t xml:space="preserve">status, IDPs may also experience lower motivation and confidence to make independent choices in terms of place of living, income-generating activities, etc. </w:t>
      </w:r>
      <w:r w:rsidR="002775FB">
        <w:t>This issue is especially pronounced for old case load IDPs and economically inactive IDPs who may face greater obstacles to integrat</w:t>
      </w:r>
      <w:r w:rsidR="00A26805">
        <w:t>ion</w:t>
      </w:r>
      <w:r w:rsidR="002775FB">
        <w:t xml:space="preserve">. </w:t>
      </w:r>
    </w:p>
    <w:p w14:paraId="05E601A4" w14:textId="77777777" w:rsidR="00890293" w:rsidRDefault="00890293" w:rsidP="00890293">
      <w:pPr>
        <w:pStyle w:val="ListParagraph"/>
      </w:pPr>
    </w:p>
    <w:p w14:paraId="113DAB6C" w14:textId="18FA0145" w:rsidR="00890293" w:rsidRPr="00890293" w:rsidRDefault="00C303D8" w:rsidP="00EB3382">
      <w:pPr>
        <w:pStyle w:val="ListParagraph"/>
        <w:numPr>
          <w:ilvl w:val="0"/>
          <w:numId w:val="1"/>
        </w:numPr>
        <w:autoSpaceDE w:val="0"/>
        <w:autoSpaceDN w:val="0"/>
        <w:adjustRightInd w:val="0"/>
        <w:spacing w:after="0" w:line="276" w:lineRule="auto"/>
      </w:pPr>
      <w:r>
        <w:rPr>
          <w:b/>
        </w:rPr>
        <w:t xml:space="preserve">Addressing housing conditions is essential to prevent negative impacts of removing or targeting benefits </w:t>
      </w:r>
      <w:r w:rsidR="00D2145C">
        <w:rPr>
          <w:b/>
        </w:rPr>
        <w:t>for</w:t>
      </w:r>
      <w:r>
        <w:rPr>
          <w:b/>
        </w:rPr>
        <w:t xml:space="preserve"> a large number of IDPs. </w:t>
      </w:r>
      <w:r w:rsidR="002C36AA">
        <w:t>Currently, t</w:t>
      </w:r>
      <w:r w:rsidR="00890293" w:rsidRPr="002C36AA">
        <w:t xml:space="preserve">he quality and tenure of housing </w:t>
      </w:r>
      <w:r w:rsidR="00D2145C">
        <w:t>are</w:t>
      </w:r>
      <w:r w:rsidR="00890293" w:rsidRPr="002C36AA">
        <w:t xml:space="preserve"> </w:t>
      </w:r>
      <w:r w:rsidR="00D2145C">
        <w:t>s</w:t>
      </w:r>
      <w:r w:rsidR="00890293" w:rsidRPr="002C36AA">
        <w:t>o</w:t>
      </w:r>
      <w:r w:rsidR="00D2145C">
        <w:t>m</w:t>
      </w:r>
      <w:r w:rsidR="00890293" w:rsidRPr="002C36AA">
        <w:t>e of the most prominent and persisting differences between IDPs and non-IDPs.</w:t>
      </w:r>
      <w:r w:rsidR="00890293">
        <w:t xml:space="preserve"> An effort to reform IDP assistance policies should be accompanied or preceded by scaling up efforts to implement the stages of housing support committed under the Government’s latest Action Plan for IDPs.  Specifically, this includes providing financial support and housing alternatives to IDPs living in collective centers; monitoring housing transition</w:t>
      </w:r>
      <w:r w:rsidR="00D2145C">
        <w:t>,</w:t>
      </w:r>
      <w:r w:rsidR="00890293">
        <w:t xml:space="preserve"> and ensuring its sustainability, i.e.</w:t>
      </w:r>
      <w:r w:rsidR="00D2145C">
        <w:t>,</w:t>
      </w:r>
      <w:r w:rsidR="00890293">
        <w:t xml:space="preserve"> that IDPs are able to maintain and provide for all related costs of private housing such as connection to basic utilities, necessary renovations</w:t>
      </w:r>
      <w:r w:rsidR="0042009C">
        <w:t>,</w:t>
      </w:r>
      <w:r w:rsidR="00890293">
        <w:t xml:space="preserve"> etc. </w:t>
      </w:r>
    </w:p>
    <w:p w14:paraId="5AE24A42" w14:textId="77777777" w:rsidR="00890293" w:rsidRDefault="00890293" w:rsidP="00890293">
      <w:pPr>
        <w:pStyle w:val="ListParagraph"/>
      </w:pPr>
    </w:p>
    <w:p w14:paraId="394B4082" w14:textId="5636281F" w:rsidR="00315DA5" w:rsidRDefault="00315DA5" w:rsidP="008D2E3F">
      <w:pPr>
        <w:pStyle w:val="ListParagraph"/>
        <w:numPr>
          <w:ilvl w:val="0"/>
          <w:numId w:val="1"/>
        </w:numPr>
        <w:autoSpaceDE w:val="0"/>
        <w:autoSpaceDN w:val="0"/>
        <w:adjustRightInd w:val="0"/>
        <w:spacing w:after="0" w:line="276" w:lineRule="auto"/>
      </w:pPr>
      <w:r w:rsidRPr="00315DA5">
        <w:rPr>
          <w:b/>
        </w:rPr>
        <w:t>The political and social significance of the IDP benefit is an important aspect</w:t>
      </w:r>
      <w:r w:rsidR="00C83AA4">
        <w:rPr>
          <w:b/>
        </w:rPr>
        <w:t>,</w:t>
      </w:r>
      <w:r w:rsidRPr="00315DA5">
        <w:rPr>
          <w:b/>
        </w:rPr>
        <w:t xml:space="preserve"> and possible roadblock</w:t>
      </w:r>
      <w:r w:rsidR="00C83AA4">
        <w:rPr>
          <w:b/>
        </w:rPr>
        <w:t>,</w:t>
      </w:r>
      <w:r w:rsidRPr="00315DA5">
        <w:rPr>
          <w:b/>
        </w:rPr>
        <w:t xml:space="preserve"> to reforming IDP assistance.</w:t>
      </w:r>
      <w:r w:rsidR="00C83AA4">
        <w:t xml:space="preserve"> The rationale for such</w:t>
      </w:r>
      <w:r>
        <w:t xml:space="preserve"> reform should be communicated appropriately in a way that does not compromise the Government’s commitment to reintegration. </w:t>
      </w:r>
      <w:r w:rsidR="00C83AA4">
        <w:t>A communication strategy needs to include steps taken to mitigate negative economic consequence</w:t>
      </w:r>
      <w:r w:rsidR="00D2145C">
        <w:t>s</w:t>
      </w:r>
      <w:r w:rsidR="00C83AA4">
        <w:t xml:space="preserve">, </w:t>
      </w:r>
      <w:r w:rsidR="00C83AA4">
        <w:lastRenderedPageBreak/>
        <w:t xml:space="preserve">particularly on income security of IDPs, but also concrete and tangible measures to prove that the Government would continue recognizing IDPs’ status even without the same monetary support to all IDPs. </w:t>
      </w:r>
    </w:p>
    <w:p w14:paraId="16F69837" w14:textId="77777777" w:rsidR="00315DA5" w:rsidRDefault="00315DA5" w:rsidP="00315DA5">
      <w:pPr>
        <w:pStyle w:val="ListParagraph"/>
      </w:pPr>
    </w:p>
    <w:p w14:paraId="6B32398E" w14:textId="23A0E56F" w:rsidR="00156633" w:rsidRDefault="00C83AA4" w:rsidP="008D2E3F">
      <w:pPr>
        <w:pStyle w:val="ListParagraph"/>
        <w:numPr>
          <w:ilvl w:val="0"/>
          <w:numId w:val="1"/>
        </w:numPr>
        <w:autoSpaceDE w:val="0"/>
        <w:autoSpaceDN w:val="0"/>
        <w:adjustRightInd w:val="0"/>
        <w:spacing w:after="0" w:line="276" w:lineRule="auto"/>
      </w:pPr>
      <w:r w:rsidRPr="00C83AA4">
        <w:rPr>
          <w:b/>
        </w:rPr>
        <w:t>Based on the findings of this</w:t>
      </w:r>
      <w:r w:rsidR="00E50C9F" w:rsidRPr="00C83AA4">
        <w:rPr>
          <w:b/>
        </w:rPr>
        <w:t xml:space="preserve"> study, a</w:t>
      </w:r>
      <w:r w:rsidR="00156633" w:rsidRPr="00C83AA4">
        <w:rPr>
          <w:b/>
        </w:rPr>
        <w:t xml:space="preserve"> comprehensive way forward</w:t>
      </w:r>
      <w:r w:rsidR="00E50C9F" w:rsidRPr="00C83AA4">
        <w:rPr>
          <w:b/>
        </w:rPr>
        <w:t xml:space="preserve"> </w:t>
      </w:r>
      <w:r w:rsidRPr="00C83AA4">
        <w:rPr>
          <w:b/>
        </w:rPr>
        <w:t>towards reforming</w:t>
      </w:r>
      <w:r w:rsidR="00E50C9F" w:rsidRPr="00C83AA4">
        <w:rPr>
          <w:b/>
        </w:rPr>
        <w:t xml:space="preserve"> the IDP benefit, would involve the following steps</w:t>
      </w:r>
      <w:r w:rsidR="00E50C9F">
        <w:t>:</w:t>
      </w:r>
    </w:p>
    <w:p w14:paraId="62F056E6" w14:textId="77777777" w:rsidR="00E50C9F" w:rsidRDefault="00E50C9F" w:rsidP="00E50C9F">
      <w:pPr>
        <w:autoSpaceDE w:val="0"/>
        <w:autoSpaceDN w:val="0"/>
        <w:adjustRightInd w:val="0"/>
        <w:spacing w:after="0" w:line="276" w:lineRule="auto"/>
      </w:pPr>
    </w:p>
    <w:p w14:paraId="4E01B764" w14:textId="6553E30A" w:rsidR="003E007E" w:rsidRDefault="009728D4" w:rsidP="00C1253B">
      <w:pPr>
        <w:pStyle w:val="ListParagraph"/>
        <w:numPr>
          <w:ilvl w:val="0"/>
          <w:numId w:val="32"/>
        </w:numPr>
        <w:spacing w:after="160" w:line="256" w:lineRule="auto"/>
      </w:pPr>
      <w:r>
        <w:rPr>
          <w:b/>
        </w:rPr>
        <w:t xml:space="preserve"> </w:t>
      </w:r>
      <w:r w:rsidR="005E0917" w:rsidRPr="00A636FF">
        <w:rPr>
          <w:b/>
        </w:rPr>
        <w:t>Address d</w:t>
      </w:r>
      <w:r w:rsidR="00E54A52" w:rsidRPr="00A636FF">
        <w:rPr>
          <w:b/>
        </w:rPr>
        <w:t>ata gaps</w:t>
      </w:r>
      <w:r w:rsidR="00E54A52">
        <w:t xml:space="preserve">:  </w:t>
      </w:r>
      <w:r w:rsidR="00156633">
        <w:t>Collect household level data on vulnerability that would allow the government to understand household-by-household vulnerability. In particular, collect information on type of housing, employment status of different household members, education levels and skills,</w:t>
      </w:r>
      <w:r w:rsidR="00A26805">
        <w:t xml:space="preserve"> and</w:t>
      </w:r>
      <w:r w:rsidR="00156633">
        <w:t xml:space="preserve"> health conditions.</w:t>
      </w:r>
      <w:r w:rsidR="00C83AA4">
        <w:t xml:space="preserve"> Ensure that information on IDPs can be easily accessed and used by other social service agencies. </w:t>
      </w:r>
      <w:r>
        <w:t xml:space="preserve">While a large volume of research has already been produced, it is still necessary to obtain </w:t>
      </w:r>
      <w:r w:rsidR="00A26805">
        <w:t xml:space="preserve">a </w:t>
      </w:r>
      <w:r>
        <w:t>more precise profile of IDPs, basic and measurable baseline data on socio-economic indicators for IDPs, and data on levels of coverage by different public services. At the moment this information is still not consolidated to enable monitoring of a more comprehensive IDP livelihood strategy. The newly established policy and analytical unit within MRA is coordinating efforts of the Government and all development partners to address data and evidence gaps.</w:t>
      </w:r>
    </w:p>
    <w:p w14:paraId="32E5566A" w14:textId="2623FAFC" w:rsidR="003E007E" w:rsidRDefault="003E007E" w:rsidP="00C1253B"/>
    <w:p w14:paraId="5B4032E6" w14:textId="258245F1" w:rsidR="005E0917" w:rsidRPr="009728D4" w:rsidRDefault="005E0917" w:rsidP="00C1253B">
      <w:pPr>
        <w:pStyle w:val="ListParagraph"/>
        <w:numPr>
          <w:ilvl w:val="0"/>
          <w:numId w:val="32"/>
        </w:numPr>
        <w:rPr>
          <w:b/>
        </w:rPr>
      </w:pPr>
      <w:r w:rsidRPr="009728D4">
        <w:rPr>
          <w:b/>
        </w:rPr>
        <w:t>Adopt a phased approach to removing the IDP benefit</w:t>
      </w:r>
      <w:r w:rsidR="00E50C9F" w:rsidRPr="009728D4">
        <w:rPr>
          <w:b/>
        </w:rPr>
        <w:t xml:space="preserve">: </w:t>
      </w:r>
      <w:r w:rsidR="00C83AA4">
        <w:t>The government has already taken a first step in phasing out IDP assistance by restri</w:t>
      </w:r>
      <w:r w:rsidR="0042009C">
        <w:t>cti</w:t>
      </w:r>
      <w:r w:rsidR="00C83AA4">
        <w:t>ng it to households with income of less than 1,250 GEL/month. The Government c</w:t>
      </w:r>
      <w:r w:rsidR="00B575C6">
        <w:t>ould</w:t>
      </w:r>
      <w:r w:rsidR="00C83AA4">
        <w:t xml:space="preserve"> communicate a longer-term program of phasing out the IDP benefit</w:t>
      </w:r>
      <w:r w:rsidR="00873402">
        <w:t>,</w:t>
      </w:r>
      <w:r w:rsidR="00C83AA4">
        <w:t xml:space="preserve"> e.g.</w:t>
      </w:r>
      <w:r w:rsidR="006712A0">
        <w:t xml:space="preserve">, removing the benefit for persons who are employed or have been employed for a certain period of time, </w:t>
      </w:r>
      <w:r w:rsidR="00C83AA4">
        <w:t xml:space="preserve">as an additional stage. Phasing out of the benefit </w:t>
      </w:r>
      <w:r w:rsidR="00FD5E18">
        <w:t xml:space="preserve">should </w:t>
      </w:r>
      <w:r w:rsidR="00873402">
        <w:t xml:space="preserve">be </w:t>
      </w:r>
      <w:r w:rsidR="00FD5E18">
        <w:t xml:space="preserve">accompanied by clear communication on what steps are taken to support IDP economic integration such as through housing support and alternative livelihood programs. </w:t>
      </w:r>
    </w:p>
    <w:p w14:paraId="36D9C3FB" w14:textId="77777777" w:rsidR="005E0917" w:rsidRDefault="005E0917" w:rsidP="00A636FF">
      <w:pPr>
        <w:spacing w:after="0" w:line="276" w:lineRule="auto"/>
      </w:pPr>
    </w:p>
    <w:p w14:paraId="36999B5E" w14:textId="56CC6F6B" w:rsidR="00E50C9F" w:rsidRDefault="00F621C6" w:rsidP="00C1253B">
      <w:pPr>
        <w:pStyle w:val="ListParagraph"/>
        <w:numPr>
          <w:ilvl w:val="0"/>
          <w:numId w:val="32"/>
        </w:numPr>
        <w:spacing w:after="0" w:line="276" w:lineRule="auto"/>
      </w:pPr>
      <w:r w:rsidRPr="00276075">
        <w:rPr>
          <w:b/>
        </w:rPr>
        <w:t>Scale</w:t>
      </w:r>
      <w:r w:rsidR="00E50C9F" w:rsidRPr="00AF0019">
        <w:rPr>
          <w:b/>
        </w:rPr>
        <w:t xml:space="preserve"> up housing transition support to IDPs</w:t>
      </w:r>
      <w:r w:rsidR="009728D4" w:rsidRPr="00AF0019">
        <w:rPr>
          <w:b/>
        </w:rPr>
        <w:t xml:space="preserve"> with stronger encouragement of IDP participation and spatial desegregation</w:t>
      </w:r>
      <w:r w:rsidR="00E50C9F" w:rsidRPr="003E007E">
        <w:rPr>
          <w:b/>
        </w:rPr>
        <w:t>:</w:t>
      </w:r>
      <w:r w:rsidR="00E50C9F">
        <w:t xml:space="preserve"> </w:t>
      </w:r>
      <w:r w:rsidR="00FD5E18">
        <w:t>Housing is one of the key expectations that IDPs have with regard to</w:t>
      </w:r>
      <w:r w:rsidR="00873402">
        <w:t xml:space="preserve"> the</w:t>
      </w:r>
      <w:r w:rsidR="00FD5E18">
        <w:t xml:space="preserve"> responsibility of the state towards them. Hence, a successful completion of the housing support that has been committed under the Government’s Action Plan is essential for the success of IDP </w:t>
      </w:r>
      <w:r w:rsidR="00EA3550">
        <w:t xml:space="preserve">benefit </w:t>
      </w:r>
      <w:r w:rsidR="00FD5E18">
        <w:t>reform. Transitional housing support should receive adequate resources and incorporate a strong monitoring component. Benchmarks for completing housing transitions c</w:t>
      </w:r>
      <w:r w:rsidR="00EA3550">
        <w:t>ould</w:t>
      </w:r>
      <w:r w:rsidR="00FD5E18">
        <w:t xml:space="preserve"> be linked to phases in the IDP </w:t>
      </w:r>
      <w:r w:rsidR="0034415C">
        <w:t xml:space="preserve">assistance </w:t>
      </w:r>
      <w:r w:rsidR="00FD5E18">
        <w:t xml:space="preserve">reform. </w:t>
      </w:r>
      <w:r w:rsidR="009728D4">
        <w:t xml:space="preserve">It is important that housing support does not </w:t>
      </w:r>
      <w:r w:rsidR="0034415C">
        <w:t xml:space="preserve">encourage further segregation and that IDP households are encouraged to make choices on their place of living.  </w:t>
      </w:r>
    </w:p>
    <w:p w14:paraId="16D6CA98" w14:textId="77777777" w:rsidR="00FD5E18" w:rsidRPr="00E50C9F" w:rsidRDefault="00FD5E18" w:rsidP="00FD5E18">
      <w:pPr>
        <w:spacing w:after="0" w:line="276" w:lineRule="auto"/>
      </w:pPr>
    </w:p>
    <w:p w14:paraId="5082BCF2" w14:textId="2F7BCBC5" w:rsidR="005E0917" w:rsidRPr="00276075" w:rsidRDefault="00F621C6" w:rsidP="00C1253B">
      <w:pPr>
        <w:pStyle w:val="ListParagraph"/>
        <w:numPr>
          <w:ilvl w:val="0"/>
          <w:numId w:val="32"/>
        </w:numPr>
        <w:spacing w:after="0" w:line="276" w:lineRule="auto"/>
        <w:rPr>
          <w:rFonts w:cs="Times New Roman"/>
        </w:rPr>
      </w:pPr>
      <w:r w:rsidRPr="00276075">
        <w:rPr>
          <w:b/>
        </w:rPr>
        <w:t>Facilitate</w:t>
      </w:r>
      <w:r w:rsidR="003B1A27" w:rsidRPr="00AF0019">
        <w:rPr>
          <w:b/>
        </w:rPr>
        <w:t xml:space="preserve"> access of IDPs to </w:t>
      </w:r>
      <w:r w:rsidR="0042009C" w:rsidRPr="00AF0019">
        <w:rPr>
          <w:b/>
        </w:rPr>
        <w:t xml:space="preserve">a </w:t>
      </w:r>
      <w:r w:rsidR="003B1A27" w:rsidRPr="00AF0019">
        <w:rPr>
          <w:b/>
        </w:rPr>
        <w:t>wider variety of state services</w:t>
      </w:r>
      <w:r w:rsidR="003B1A27">
        <w:t xml:space="preserve">: </w:t>
      </w:r>
      <w:r w:rsidR="007C467A">
        <w:t>IDPs</w:t>
      </w:r>
      <w:r w:rsidR="0042009C">
        <w:t>’</w:t>
      </w:r>
      <w:r w:rsidR="007C467A">
        <w:t xml:space="preserve"> knowledge and ability to access services outside those targeted by IDP status varies widely. Qualitative data suggests that new caseload IDPs may be better informed about state support available beyond </w:t>
      </w:r>
      <w:r w:rsidR="00AB00BB">
        <w:t xml:space="preserve">the </w:t>
      </w:r>
      <w:r w:rsidR="007C467A">
        <w:t xml:space="preserve">IDP benefit, while many old case load IDPs have no such information.  The levels of information also vary by location with rural IDPs being less informed. In order to facilitate successful </w:t>
      </w:r>
      <w:r w:rsidR="007C467A">
        <w:lastRenderedPageBreak/>
        <w:t xml:space="preserve">transition of assistance to poor IDPs, </w:t>
      </w:r>
      <w:r w:rsidR="0042009C">
        <w:t xml:space="preserve">the </w:t>
      </w:r>
      <w:r w:rsidR="007C467A">
        <w:t xml:space="preserve">capacity of local level service agencies should be strengthened, </w:t>
      </w:r>
      <w:r w:rsidR="0042009C">
        <w:t xml:space="preserve">as should </w:t>
      </w:r>
      <w:r w:rsidR="007C467A">
        <w:t xml:space="preserve">the capacity of IDPs to access these institutions. The former may involve additional human and financial resources to local branches of social service </w:t>
      </w:r>
      <w:r w:rsidR="0042009C">
        <w:t xml:space="preserve">agencies </w:t>
      </w:r>
      <w:r w:rsidR="007C467A">
        <w:t xml:space="preserve">serving </w:t>
      </w:r>
      <w:r w:rsidR="0042009C">
        <w:t xml:space="preserve">the </w:t>
      </w:r>
      <w:r w:rsidR="007C467A">
        <w:t xml:space="preserve">larger population of IDPs, and support with an outreach campaign. The latter may involve free legal and administrative assistance to </w:t>
      </w:r>
      <w:r w:rsidR="00E54A52" w:rsidRPr="00276075">
        <w:rPr>
          <w:rFonts w:cs="Times New Roman"/>
        </w:rPr>
        <w:t>IDPs</w:t>
      </w:r>
      <w:r w:rsidR="007C467A" w:rsidRPr="00AF0019">
        <w:rPr>
          <w:rFonts w:cs="Times New Roman"/>
        </w:rPr>
        <w:t>, e.g.</w:t>
      </w:r>
      <w:r w:rsidR="00AB00BB">
        <w:rPr>
          <w:rFonts w:cs="Times New Roman"/>
        </w:rPr>
        <w:t>,</w:t>
      </w:r>
      <w:r w:rsidR="007C467A" w:rsidRPr="00AF0019">
        <w:rPr>
          <w:rFonts w:cs="Times New Roman"/>
        </w:rPr>
        <w:t xml:space="preserve"> </w:t>
      </w:r>
      <w:r w:rsidR="00E54A52" w:rsidRPr="00AF0019">
        <w:rPr>
          <w:rFonts w:cs="Times New Roman"/>
        </w:rPr>
        <w:t>outsourced to local authorities or NGOs</w:t>
      </w:r>
      <w:r w:rsidR="007C467A" w:rsidRPr="00AF0019">
        <w:rPr>
          <w:rFonts w:cs="Times New Roman"/>
        </w:rPr>
        <w:t>, to help them access alternative</w:t>
      </w:r>
      <w:r w:rsidR="007C467A" w:rsidRPr="003E007E">
        <w:rPr>
          <w:rFonts w:cs="Times New Roman"/>
        </w:rPr>
        <w:t xml:space="preserve"> services. The reliability</w:t>
      </w:r>
      <w:r w:rsidR="005E0917">
        <w:t xml:space="preserve"> and quality of information for IDPs</w:t>
      </w:r>
      <w:r w:rsidR="00A636FF">
        <w:t xml:space="preserve"> to access all available </w:t>
      </w:r>
      <w:r>
        <w:t>support programs should be ensured.</w:t>
      </w:r>
    </w:p>
    <w:p w14:paraId="21902F0E" w14:textId="77777777" w:rsidR="00E54A52" w:rsidRDefault="00E54A52" w:rsidP="00E54A52">
      <w:pPr>
        <w:pStyle w:val="ListParagraph"/>
        <w:spacing w:after="0" w:line="276" w:lineRule="auto"/>
        <w:ind w:left="1440"/>
      </w:pPr>
    </w:p>
    <w:p w14:paraId="441D0653" w14:textId="3B4520B1" w:rsidR="00156633" w:rsidRDefault="00F621C6" w:rsidP="00C1253B">
      <w:pPr>
        <w:pStyle w:val="ListParagraph"/>
        <w:numPr>
          <w:ilvl w:val="0"/>
          <w:numId w:val="32"/>
        </w:numPr>
        <w:spacing w:after="0" w:line="276" w:lineRule="auto"/>
      </w:pPr>
      <w:r w:rsidRPr="00276075">
        <w:rPr>
          <w:b/>
        </w:rPr>
        <w:t>Provide</w:t>
      </w:r>
      <w:r w:rsidR="003B1A27" w:rsidRPr="00AF0019">
        <w:rPr>
          <w:b/>
        </w:rPr>
        <w:t xml:space="preserve"> </w:t>
      </w:r>
      <w:r w:rsidR="00156633" w:rsidRPr="00AF0019">
        <w:rPr>
          <w:b/>
        </w:rPr>
        <w:t xml:space="preserve">livelihoods </w:t>
      </w:r>
      <w:r w:rsidR="003B1A27" w:rsidRPr="00AF0019">
        <w:rPr>
          <w:b/>
        </w:rPr>
        <w:t>support for IDPs based on their distinct needs</w:t>
      </w:r>
      <w:r w:rsidR="003B1A27">
        <w:t>:</w:t>
      </w:r>
      <w:r>
        <w:t xml:space="preserve"> With the support of NGOs, donors, or existing state programs, the Government should create or expand additional opportunities for livelihood support for IDPs. This is important given that one of the greatest values of the IDP benefit is providing </w:t>
      </w:r>
      <w:r w:rsidR="0040244E">
        <w:t xml:space="preserve">monthly </w:t>
      </w:r>
      <w:r>
        <w:t xml:space="preserve">income security. </w:t>
      </w:r>
      <w:r w:rsidR="0040244E">
        <w:t xml:space="preserve">Some priority areas to be explored for livelihood support include skilled job opportunities for men and women; access to land for IDPs with demonstrated agricultural skills; </w:t>
      </w:r>
      <w:r w:rsidR="00AB00BB">
        <w:t xml:space="preserve">and </w:t>
      </w:r>
      <w:r w:rsidR="0040244E">
        <w:t xml:space="preserve">access to credit for small business financing, among others. </w:t>
      </w:r>
    </w:p>
    <w:p w14:paraId="1DBEDF2A" w14:textId="77777777" w:rsidR="00E54A52" w:rsidRDefault="00E54A52" w:rsidP="00E54A52">
      <w:pPr>
        <w:pStyle w:val="ListParagraph"/>
        <w:spacing w:after="0" w:line="276" w:lineRule="auto"/>
        <w:ind w:left="2160"/>
      </w:pPr>
    </w:p>
    <w:p w14:paraId="3E83FED0" w14:textId="52C31F1F" w:rsidR="00E54A52" w:rsidRDefault="00010CE5" w:rsidP="00C1253B">
      <w:pPr>
        <w:pStyle w:val="ListParagraph"/>
        <w:numPr>
          <w:ilvl w:val="0"/>
          <w:numId w:val="32"/>
        </w:numPr>
        <w:spacing w:after="0" w:line="276" w:lineRule="auto"/>
      </w:pPr>
      <w:r w:rsidRPr="00276075">
        <w:rPr>
          <w:b/>
        </w:rPr>
        <w:t>Develop</w:t>
      </w:r>
      <w:r w:rsidR="00E50C9F" w:rsidRPr="00AF0019">
        <w:rPr>
          <w:b/>
        </w:rPr>
        <w:t>ing</w:t>
      </w:r>
      <w:r w:rsidRPr="00AF0019">
        <w:rPr>
          <w:b/>
        </w:rPr>
        <w:t xml:space="preserve"> a strategy to de-link status from benefit</w:t>
      </w:r>
      <w:r w:rsidR="00A636FF">
        <w:t xml:space="preserve">: </w:t>
      </w:r>
      <w:r w:rsidR="0040244E">
        <w:t xml:space="preserve">As noted above, it is important that phasing out of the benefit </w:t>
      </w:r>
      <w:r w:rsidR="00AB00BB">
        <w:t>be</w:t>
      </w:r>
      <w:r w:rsidR="0040244E">
        <w:t xml:space="preserve"> accompanied by a strong communications campaign. This campaign should demonstrate concrete measures to preserve and recognize IDP status irrespective of the monetary benefit.</w:t>
      </w:r>
      <w:r w:rsidR="0034415C">
        <w:t xml:space="preserve"> For example, it should highlight that changes to IDP assistance are aimed at providing comprehensive and long-term social and economic opportunities, and at using resources in a pro-poor manner</w:t>
      </w:r>
      <w:r w:rsidR="009C6BA6">
        <w:t>.</w:t>
      </w:r>
      <w:r w:rsidR="0034415C">
        <w:t xml:space="preserve"> </w:t>
      </w:r>
      <w:r w:rsidR="0040244E">
        <w:t xml:space="preserve"> A participatory approach c</w:t>
      </w:r>
      <w:r w:rsidR="00AB00BB">
        <w:t>ould</w:t>
      </w:r>
      <w:r w:rsidR="0040244E">
        <w:t xml:space="preserve"> be launched to help the Government identify such measures. </w:t>
      </w:r>
    </w:p>
    <w:p w14:paraId="79CB8DCA" w14:textId="77777777" w:rsidR="00E54A52" w:rsidRDefault="00E54A52" w:rsidP="00FD5E18">
      <w:pPr>
        <w:spacing w:after="0" w:line="276" w:lineRule="auto"/>
      </w:pPr>
    </w:p>
    <w:p w14:paraId="5E6B2D22" w14:textId="18631036" w:rsidR="00010CE5" w:rsidRDefault="00E54A52" w:rsidP="00C1253B">
      <w:pPr>
        <w:pStyle w:val="ListParagraph"/>
        <w:numPr>
          <w:ilvl w:val="0"/>
          <w:numId w:val="32"/>
        </w:numPr>
        <w:spacing w:after="0" w:line="276" w:lineRule="auto"/>
      </w:pPr>
      <w:r w:rsidRPr="00276075">
        <w:rPr>
          <w:b/>
        </w:rPr>
        <w:t>Conduct</w:t>
      </w:r>
      <w:r w:rsidR="00E50C9F" w:rsidRPr="00AF0019">
        <w:rPr>
          <w:b/>
        </w:rPr>
        <w:t>ing</w:t>
      </w:r>
      <w:r w:rsidRPr="00AF0019">
        <w:rPr>
          <w:b/>
        </w:rPr>
        <w:t xml:space="preserve"> more detailed </w:t>
      </w:r>
      <w:r w:rsidR="00E50C9F" w:rsidRPr="00AF0019">
        <w:rPr>
          <w:b/>
        </w:rPr>
        <w:t xml:space="preserve">fiscal and </w:t>
      </w:r>
      <w:r w:rsidR="003B1A27" w:rsidRPr="003E007E">
        <w:rPr>
          <w:b/>
        </w:rPr>
        <w:t>cost-</w:t>
      </w:r>
      <w:r w:rsidRPr="003E007E">
        <w:rPr>
          <w:b/>
        </w:rPr>
        <w:t>benefit analysis</w:t>
      </w:r>
      <w:r w:rsidR="00E50C9F" w:rsidRPr="003E007E">
        <w:rPr>
          <w:b/>
        </w:rPr>
        <w:t xml:space="preserve"> of alternatives to the IDP benefit program: </w:t>
      </w:r>
      <w:r>
        <w:t xml:space="preserve"> </w:t>
      </w:r>
      <w:r w:rsidR="0040244E">
        <w:t xml:space="preserve">Last but not least, the decision to phase out </w:t>
      </w:r>
      <w:r w:rsidR="000F4480">
        <w:t xml:space="preserve">the </w:t>
      </w:r>
      <w:r w:rsidR="0040244E">
        <w:t xml:space="preserve">IDP benefit should be supported by a rigorous fiscal analysis of the cost of the program versus alternatives, including the administrative cost of integrating poor and vulnerable IDPs into the targeted social assistance program, and the cost of all mitigation measures listed above. </w:t>
      </w:r>
    </w:p>
    <w:p w14:paraId="50AF6BA2" w14:textId="77777777" w:rsidR="00C34B82" w:rsidRDefault="00C34B82" w:rsidP="00FA4F8D">
      <w:pPr>
        <w:spacing w:after="0" w:line="276" w:lineRule="auto"/>
      </w:pPr>
    </w:p>
    <w:p w14:paraId="2DA1DE01" w14:textId="77777777" w:rsidR="00C34B82" w:rsidRDefault="00C34B82" w:rsidP="00FA4F8D">
      <w:pPr>
        <w:spacing w:after="0" w:line="276" w:lineRule="auto"/>
      </w:pPr>
    </w:p>
    <w:p w14:paraId="35CEA381" w14:textId="77777777" w:rsidR="00C34B82" w:rsidRDefault="00C34B82" w:rsidP="00FA4F8D">
      <w:pPr>
        <w:spacing w:after="0" w:line="276" w:lineRule="auto"/>
      </w:pPr>
    </w:p>
    <w:p w14:paraId="28AE8BA4" w14:textId="77777777" w:rsidR="00C34B82" w:rsidRDefault="00C34B82" w:rsidP="00FA4F8D">
      <w:pPr>
        <w:spacing w:after="0" w:line="276" w:lineRule="auto"/>
        <w:rPr>
          <w:b/>
        </w:rPr>
      </w:pPr>
    </w:p>
    <w:p w14:paraId="62E3466C" w14:textId="77777777" w:rsidR="00916835" w:rsidRDefault="00916835" w:rsidP="00FA4F8D">
      <w:pPr>
        <w:spacing w:after="0" w:line="276" w:lineRule="auto"/>
        <w:rPr>
          <w:b/>
        </w:rPr>
      </w:pPr>
    </w:p>
    <w:p w14:paraId="44117F3E" w14:textId="77777777" w:rsidR="00916835" w:rsidRDefault="00916835" w:rsidP="00FA4F8D">
      <w:pPr>
        <w:spacing w:after="0" w:line="276" w:lineRule="auto"/>
        <w:rPr>
          <w:b/>
        </w:rPr>
      </w:pPr>
    </w:p>
    <w:p w14:paraId="6E4B377A" w14:textId="77777777" w:rsidR="00916835" w:rsidRDefault="00916835" w:rsidP="00FA4F8D">
      <w:pPr>
        <w:spacing w:after="0" w:line="276" w:lineRule="auto"/>
        <w:rPr>
          <w:b/>
        </w:rPr>
      </w:pPr>
    </w:p>
    <w:p w14:paraId="569C27DF" w14:textId="77777777" w:rsidR="00916835" w:rsidRDefault="00916835" w:rsidP="00FA4F8D">
      <w:pPr>
        <w:spacing w:after="0" w:line="276" w:lineRule="auto"/>
        <w:rPr>
          <w:b/>
        </w:rPr>
      </w:pPr>
    </w:p>
    <w:p w14:paraId="3FB28D39" w14:textId="77777777" w:rsidR="00916835" w:rsidRDefault="00916835" w:rsidP="00FA4F8D">
      <w:pPr>
        <w:spacing w:after="0" w:line="276" w:lineRule="auto"/>
        <w:rPr>
          <w:b/>
        </w:rPr>
      </w:pPr>
    </w:p>
    <w:p w14:paraId="3FE09D2C" w14:textId="77777777" w:rsidR="00916835" w:rsidRDefault="00916835" w:rsidP="00FA4F8D">
      <w:pPr>
        <w:spacing w:after="0" w:line="276" w:lineRule="auto"/>
        <w:rPr>
          <w:b/>
        </w:rPr>
      </w:pPr>
    </w:p>
    <w:p w14:paraId="26FA762E" w14:textId="71948A57" w:rsidR="00916835" w:rsidRDefault="00916835">
      <w:pPr>
        <w:spacing w:after="200" w:line="276" w:lineRule="auto"/>
        <w:jc w:val="left"/>
        <w:rPr>
          <w:b/>
        </w:rPr>
      </w:pPr>
      <w:r>
        <w:rPr>
          <w:b/>
        </w:rPr>
        <w:br w:type="page"/>
      </w:r>
    </w:p>
    <w:p w14:paraId="6A8C1E52" w14:textId="77777777" w:rsidR="00916835" w:rsidRDefault="00916835" w:rsidP="00FA4F8D">
      <w:pPr>
        <w:spacing w:after="0" w:line="276" w:lineRule="auto"/>
        <w:rPr>
          <w:bCs/>
        </w:rPr>
      </w:pPr>
    </w:p>
    <w:p w14:paraId="04CAA1DF" w14:textId="12F9923E" w:rsidR="00C34B82" w:rsidRDefault="00916835" w:rsidP="00916835">
      <w:pPr>
        <w:pStyle w:val="Heading1"/>
      </w:pPr>
      <w:bookmarkStart w:id="21" w:name="_Toc443046836"/>
      <w:r>
        <w:t>References</w:t>
      </w:r>
      <w:bookmarkEnd w:id="21"/>
    </w:p>
    <w:p w14:paraId="5503E321" w14:textId="77777777" w:rsidR="00916835" w:rsidRDefault="00916835" w:rsidP="00FA4F8D">
      <w:pPr>
        <w:spacing w:after="0" w:line="276" w:lineRule="auto"/>
      </w:pPr>
    </w:p>
    <w:p w14:paraId="5E7A61BA" w14:textId="6C5AA1FF" w:rsidR="003C4A34" w:rsidRPr="003C4A34" w:rsidRDefault="003C4A34" w:rsidP="001248D8">
      <w:pPr>
        <w:pStyle w:val="FootnoteText"/>
        <w:rPr>
          <w:rFonts w:asciiTheme="minorHAnsi" w:hAnsiTheme="minorHAnsi"/>
          <w:sz w:val="22"/>
          <w:szCs w:val="22"/>
        </w:rPr>
      </w:pPr>
      <w:r>
        <w:rPr>
          <w:rFonts w:asciiTheme="minorHAnsi" w:hAnsiTheme="minorHAnsi"/>
          <w:sz w:val="22"/>
          <w:szCs w:val="22"/>
        </w:rPr>
        <w:t xml:space="preserve">Christensen, Asger and Niels Harild. 2009. </w:t>
      </w:r>
      <w:r>
        <w:rPr>
          <w:rFonts w:asciiTheme="minorHAnsi" w:hAnsiTheme="minorHAnsi"/>
          <w:i/>
          <w:sz w:val="22"/>
          <w:szCs w:val="22"/>
        </w:rPr>
        <w:t xml:space="preserve">Forced Displacement – The Development Challenge. </w:t>
      </w:r>
      <w:r>
        <w:rPr>
          <w:rFonts w:asciiTheme="minorHAnsi" w:hAnsiTheme="minorHAnsi"/>
          <w:sz w:val="22"/>
          <w:szCs w:val="22"/>
        </w:rPr>
        <w:t>World Bank, Washington DC</w:t>
      </w:r>
    </w:p>
    <w:p w14:paraId="18040FE3" w14:textId="77777777" w:rsidR="003C4A34" w:rsidRDefault="003C4A34" w:rsidP="001248D8">
      <w:pPr>
        <w:pStyle w:val="FootnoteText"/>
        <w:rPr>
          <w:rFonts w:asciiTheme="minorHAnsi" w:hAnsiTheme="minorHAnsi"/>
          <w:sz w:val="22"/>
          <w:szCs w:val="22"/>
        </w:rPr>
      </w:pPr>
    </w:p>
    <w:p w14:paraId="5C2C5C88" w14:textId="77777777" w:rsidR="001248D8" w:rsidRDefault="001248D8" w:rsidP="001248D8">
      <w:pPr>
        <w:pStyle w:val="FootnoteText"/>
        <w:rPr>
          <w:rFonts w:asciiTheme="minorHAnsi" w:hAnsiTheme="minorHAnsi"/>
          <w:sz w:val="22"/>
          <w:szCs w:val="22"/>
        </w:rPr>
      </w:pPr>
      <w:r>
        <w:rPr>
          <w:rFonts w:asciiTheme="minorHAnsi" w:hAnsiTheme="minorHAnsi"/>
          <w:sz w:val="22"/>
          <w:szCs w:val="22"/>
        </w:rPr>
        <w:t xml:space="preserve">Government of Georgia. Law on IDPs. </w:t>
      </w:r>
      <w:hyperlink r:id="rId20" w:history="1">
        <w:r>
          <w:rPr>
            <w:rStyle w:val="Hyperlink"/>
            <w:rFonts w:asciiTheme="minorHAnsi" w:hAnsiTheme="minorHAnsi"/>
            <w:sz w:val="22"/>
            <w:szCs w:val="22"/>
          </w:rPr>
          <w:t>http://mra.gov.ge/res/docs/201406171444442634.pdf</w:t>
        </w:r>
      </w:hyperlink>
    </w:p>
    <w:p w14:paraId="2CE6B40F" w14:textId="77777777" w:rsidR="001248D8" w:rsidRDefault="001248D8" w:rsidP="001248D8">
      <w:pPr>
        <w:pStyle w:val="FootnoteText"/>
        <w:rPr>
          <w:rFonts w:asciiTheme="minorHAnsi" w:hAnsiTheme="minorHAnsi"/>
          <w:sz w:val="22"/>
          <w:szCs w:val="22"/>
        </w:rPr>
      </w:pPr>
    </w:p>
    <w:p w14:paraId="29967772" w14:textId="77777777" w:rsidR="001248D8" w:rsidRDefault="001248D8" w:rsidP="001248D8">
      <w:r>
        <w:t xml:space="preserve">Government of the Georgia. </w:t>
      </w:r>
      <w:r>
        <w:rPr>
          <w:i/>
        </w:rPr>
        <w:t>Social Assistance Law</w:t>
      </w:r>
      <w:r>
        <w:t>.</w:t>
      </w:r>
    </w:p>
    <w:p w14:paraId="0C711BA5" w14:textId="77777777" w:rsidR="001248D8" w:rsidRDefault="001248D8" w:rsidP="001248D8">
      <w:pPr>
        <w:pStyle w:val="FootnoteText"/>
        <w:jc w:val="left"/>
        <w:rPr>
          <w:rStyle w:val="Hyperlink"/>
          <w:rFonts w:asciiTheme="minorHAnsi" w:hAnsiTheme="minorHAnsi"/>
          <w:sz w:val="22"/>
          <w:szCs w:val="22"/>
        </w:rPr>
      </w:pPr>
      <w:r>
        <w:rPr>
          <w:rFonts w:asciiTheme="minorHAnsi" w:hAnsiTheme="minorHAnsi"/>
          <w:sz w:val="22"/>
          <w:szCs w:val="22"/>
        </w:rPr>
        <w:t xml:space="preserve">Government of Georgia. 2007. </w:t>
      </w:r>
      <w:r>
        <w:rPr>
          <w:rFonts w:asciiTheme="minorHAnsi" w:hAnsiTheme="minorHAnsi"/>
          <w:i/>
          <w:sz w:val="22"/>
          <w:szCs w:val="22"/>
        </w:rPr>
        <w:t>State Strategy on Internally Displaced Persons-Persecuted</w:t>
      </w:r>
      <w:r>
        <w:rPr>
          <w:rFonts w:asciiTheme="minorHAnsi" w:hAnsiTheme="minorHAnsi"/>
          <w:sz w:val="22"/>
          <w:szCs w:val="22"/>
        </w:rPr>
        <w:t xml:space="preserve"> </w:t>
      </w:r>
      <w:hyperlink r:id="rId21" w:history="1">
        <w:r>
          <w:rPr>
            <w:rStyle w:val="Hyperlink"/>
            <w:rFonts w:asciiTheme="minorHAnsi" w:hAnsiTheme="minorHAnsi"/>
            <w:sz w:val="22"/>
            <w:szCs w:val="22"/>
          </w:rPr>
          <w:t>http://chca.org.ge/itst/_FILES/Legislation/3%20Eng.pdf</w:t>
        </w:r>
      </w:hyperlink>
    </w:p>
    <w:p w14:paraId="6A3E4A80" w14:textId="77777777" w:rsidR="001248D8" w:rsidRDefault="001248D8" w:rsidP="001248D8">
      <w:pPr>
        <w:pStyle w:val="FootnoteText"/>
        <w:jc w:val="left"/>
      </w:pPr>
    </w:p>
    <w:p w14:paraId="72BD0E3A" w14:textId="77777777" w:rsidR="001248D8" w:rsidRDefault="001248D8" w:rsidP="001248D8">
      <w:pPr>
        <w:rPr>
          <w:rFonts w:cs="Times New Roman"/>
        </w:rPr>
      </w:pPr>
      <w:r>
        <w:rPr>
          <w:rFonts w:cs="Times New Roman"/>
        </w:rPr>
        <w:t xml:space="preserve">Government of Georgia. February 2009. </w:t>
      </w:r>
      <w:r>
        <w:rPr>
          <w:rFonts w:cs="Times New Roman"/>
          <w:i/>
        </w:rPr>
        <w:t>Decree No. 33 on Approval of targeted state program to support covering population with the voluntary health insurance</w:t>
      </w:r>
      <w:r>
        <w:rPr>
          <w:rFonts w:cs="Times New Roman"/>
        </w:rPr>
        <w:t>.</w:t>
      </w:r>
    </w:p>
    <w:p w14:paraId="59D7BF54" w14:textId="77777777" w:rsidR="001248D8" w:rsidRDefault="001248D8" w:rsidP="001248D8">
      <w:pPr>
        <w:pStyle w:val="FootnoteText"/>
        <w:jc w:val="left"/>
        <w:rPr>
          <w:rFonts w:asciiTheme="minorHAnsi" w:hAnsiTheme="minorHAnsi"/>
          <w:sz w:val="22"/>
          <w:szCs w:val="22"/>
        </w:rPr>
      </w:pPr>
      <w:r>
        <w:rPr>
          <w:rFonts w:asciiTheme="minorHAnsi" w:hAnsiTheme="minorHAnsi"/>
          <w:sz w:val="22"/>
          <w:szCs w:val="22"/>
        </w:rPr>
        <w:t xml:space="preserve">Government of Georgia. 2010. Action Plan for the Implementation of the State Strategy on IDPs during 2009-2012. </w:t>
      </w:r>
      <w:hyperlink r:id="rId22" w:history="1">
        <w:r>
          <w:rPr>
            <w:rStyle w:val="Hyperlink"/>
            <w:rFonts w:asciiTheme="minorHAnsi" w:hAnsiTheme="minorHAnsi"/>
            <w:sz w:val="22"/>
            <w:szCs w:val="22"/>
          </w:rPr>
          <w:t>http://www.europarl.europa.eu/meetdocs/2009_2014/documents/dsca/dv/dsca_20110315_14/dsca_20110315_14en.pdf</w:t>
        </w:r>
      </w:hyperlink>
    </w:p>
    <w:p w14:paraId="44D3E7E3" w14:textId="77777777" w:rsidR="001248D8" w:rsidRDefault="001248D8" w:rsidP="001248D8">
      <w:pPr>
        <w:pStyle w:val="NoSpacing"/>
        <w:rPr>
          <w:rFonts w:cs="Times New Roman"/>
          <w:sz w:val="22"/>
          <w:szCs w:val="22"/>
        </w:rPr>
      </w:pPr>
    </w:p>
    <w:p w14:paraId="1073B84C" w14:textId="77777777" w:rsidR="001248D8" w:rsidRDefault="001248D8" w:rsidP="001248D8">
      <w:pPr>
        <w:pStyle w:val="NoSpacing"/>
        <w:rPr>
          <w:rFonts w:cs="Times New Roman"/>
          <w:sz w:val="22"/>
          <w:szCs w:val="22"/>
        </w:rPr>
      </w:pPr>
      <w:r>
        <w:rPr>
          <w:rFonts w:cs="Times New Roman"/>
          <w:sz w:val="22"/>
          <w:szCs w:val="22"/>
        </w:rPr>
        <w:t xml:space="preserve">Government of Georgia, Ministry of Refugees and Accommodation. 2010. </w:t>
      </w:r>
      <w:r>
        <w:rPr>
          <w:rFonts w:cs="Times New Roman"/>
          <w:i/>
          <w:sz w:val="22"/>
          <w:szCs w:val="22"/>
        </w:rPr>
        <w:t>IDP Housing Strategy and Working Plan</w:t>
      </w:r>
      <w:r>
        <w:rPr>
          <w:rFonts w:cs="Times New Roman"/>
          <w:sz w:val="22"/>
          <w:szCs w:val="22"/>
        </w:rPr>
        <w:t xml:space="preserve">. </w:t>
      </w:r>
      <w:hyperlink r:id="rId23" w:history="1">
        <w:r>
          <w:rPr>
            <w:rStyle w:val="Hyperlink"/>
            <w:sz w:val="22"/>
            <w:szCs w:val="22"/>
          </w:rPr>
          <w:t>http://transparency.ge/sites/default/files/post_attachments/2010%20-%20MRA_Housing_Strategy_and_Work_Plan_ENG_0.pdf</w:t>
        </w:r>
      </w:hyperlink>
    </w:p>
    <w:p w14:paraId="4272045D" w14:textId="77777777" w:rsidR="001248D8" w:rsidRDefault="001248D8" w:rsidP="001248D8">
      <w:pPr>
        <w:rPr>
          <w:rStyle w:val="Hyperlink"/>
        </w:rPr>
      </w:pPr>
    </w:p>
    <w:p w14:paraId="2B1E4BF0" w14:textId="77777777" w:rsidR="001248D8" w:rsidRDefault="001248D8" w:rsidP="001248D8">
      <w:pPr>
        <w:pStyle w:val="FootnoteText"/>
        <w:rPr>
          <w:rFonts w:asciiTheme="minorHAnsi" w:hAnsiTheme="minorHAnsi"/>
          <w:sz w:val="22"/>
          <w:szCs w:val="22"/>
        </w:rPr>
      </w:pPr>
      <w:r>
        <w:rPr>
          <w:rFonts w:asciiTheme="minorHAnsi" w:hAnsiTheme="minorHAnsi"/>
          <w:sz w:val="22"/>
          <w:szCs w:val="22"/>
        </w:rPr>
        <w:t xml:space="preserve">Johns Hopkins Bloomberg School of Public Health and the Institute for Policy Studies. 2012. </w:t>
      </w:r>
      <w:r>
        <w:rPr>
          <w:rFonts w:asciiTheme="minorHAnsi" w:hAnsiTheme="minorHAnsi"/>
          <w:i/>
          <w:sz w:val="22"/>
          <w:szCs w:val="22"/>
        </w:rPr>
        <w:t>Aging in Displacement: Assessing Health Status of Displaced Older Adults in the Republic of Georgia</w:t>
      </w:r>
      <w:r>
        <w:rPr>
          <w:rFonts w:asciiTheme="minorHAnsi" w:hAnsiTheme="minorHAnsi"/>
          <w:sz w:val="22"/>
          <w:szCs w:val="22"/>
        </w:rPr>
        <w:t>.</w:t>
      </w:r>
    </w:p>
    <w:p w14:paraId="4453FC18" w14:textId="77777777" w:rsidR="001248D8" w:rsidRDefault="001248D8" w:rsidP="001248D8">
      <w:pPr>
        <w:pStyle w:val="FootnoteText"/>
        <w:rPr>
          <w:rFonts w:asciiTheme="minorHAnsi" w:hAnsiTheme="minorHAnsi"/>
          <w:sz w:val="22"/>
          <w:szCs w:val="22"/>
        </w:rPr>
      </w:pPr>
    </w:p>
    <w:p w14:paraId="64FB109D" w14:textId="77777777" w:rsidR="001248D8" w:rsidRDefault="001248D8" w:rsidP="001248D8">
      <w:pPr>
        <w:spacing w:after="0" w:line="276" w:lineRule="auto"/>
      </w:pPr>
      <w:r>
        <w:t xml:space="preserve">National Statistics Office of Georgia, GEOSTAT. Integrated Household Survey (2011-2013) </w:t>
      </w:r>
      <w:hyperlink r:id="rId24" w:history="1">
        <w:r>
          <w:rPr>
            <w:rStyle w:val="Hyperlink"/>
          </w:rPr>
          <w:t>http://www.geostat.ge/?action=meurneoba&amp;mpid=1&amp;lang=eng</w:t>
        </w:r>
      </w:hyperlink>
    </w:p>
    <w:p w14:paraId="0EB94675" w14:textId="77777777" w:rsidR="001248D8" w:rsidRDefault="001248D8" w:rsidP="001248D8">
      <w:pPr>
        <w:spacing w:after="0" w:line="276" w:lineRule="auto"/>
      </w:pPr>
    </w:p>
    <w:p w14:paraId="74D0ADCC" w14:textId="77777777" w:rsidR="001248D8" w:rsidRDefault="001248D8" w:rsidP="001248D8">
      <w:pPr>
        <w:pStyle w:val="FootnoteText"/>
        <w:rPr>
          <w:rFonts w:asciiTheme="minorHAnsi" w:hAnsiTheme="minorHAnsi"/>
          <w:i/>
          <w:sz w:val="22"/>
          <w:szCs w:val="22"/>
        </w:rPr>
      </w:pPr>
      <w:bookmarkStart w:id="22" w:name="_Toc308032470"/>
      <w:r>
        <w:rPr>
          <w:rFonts w:asciiTheme="minorHAnsi" w:hAnsiTheme="minorHAnsi"/>
          <w:sz w:val="22"/>
          <w:szCs w:val="22"/>
        </w:rPr>
        <w:t xml:space="preserve">Transparency International Georgia. 2010. </w:t>
      </w:r>
      <w:r>
        <w:rPr>
          <w:rFonts w:asciiTheme="minorHAnsi" w:hAnsiTheme="minorHAnsi"/>
          <w:i/>
          <w:sz w:val="22"/>
          <w:szCs w:val="22"/>
        </w:rPr>
        <w:t xml:space="preserve">Concept Note: The Role of TI Georgia on the MRA Steering Committee for IDP Issues. </w:t>
      </w:r>
    </w:p>
    <w:p w14:paraId="04A86D44" w14:textId="77777777" w:rsidR="001248D8" w:rsidRDefault="00960899" w:rsidP="001248D8">
      <w:hyperlink r:id="rId25" w:history="1">
        <w:r w:rsidR="001248D8">
          <w:rPr>
            <w:rStyle w:val="Hyperlink"/>
          </w:rPr>
          <w:t>http://www.transparency.ge/sites/default/files/post_attachments/Concept_TI_Georgias_role_on_MRA_Steering_Committee_ENG.pdf</w:t>
        </w:r>
      </w:hyperlink>
    </w:p>
    <w:p w14:paraId="4C746A72" w14:textId="77777777" w:rsidR="001248D8" w:rsidRDefault="001248D8" w:rsidP="001248D8">
      <w:r>
        <w:t xml:space="preserve">UNDP and National Statistics Office of Georgia. 2011. </w:t>
      </w:r>
      <w:r>
        <w:rPr>
          <w:i/>
        </w:rPr>
        <w:t>Economic and Social Vulnerability in Georgia Household Survey</w:t>
      </w:r>
      <w:bookmarkEnd w:id="22"/>
      <w:r>
        <w:t>.</w:t>
      </w:r>
    </w:p>
    <w:p w14:paraId="29247FB7" w14:textId="77777777" w:rsidR="001248D8" w:rsidRDefault="001248D8" w:rsidP="001248D8">
      <w:pPr>
        <w:autoSpaceDE w:val="0"/>
        <w:autoSpaceDN w:val="0"/>
        <w:adjustRightInd w:val="0"/>
        <w:spacing w:after="0"/>
        <w:rPr>
          <w:rFonts w:cs="Times New Roman"/>
        </w:rPr>
      </w:pPr>
      <w:r>
        <w:rPr>
          <w:rFonts w:cs="Times New Roman"/>
        </w:rPr>
        <w:t xml:space="preserve">UNHCR. 2009. </w:t>
      </w:r>
      <w:r>
        <w:rPr>
          <w:rFonts w:cs="Times New Roman"/>
          <w:iCs/>
        </w:rPr>
        <w:t>Protection of IDPs in Georgia: A Gap Analysis</w:t>
      </w:r>
      <w:r>
        <w:rPr>
          <w:rFonts w:cs="Times New Roman"/>
        </w:rPr>
        <w:t xml:space="preserve">. Geneva: UNHCR. </w:t>
      </w:r>
      <w:hyperlink r:id="rId26" w:history="1">
        <w:r>
          <w:rPr>
            <w:rStyle w:val="Hyperlink"/>
            <w:rFonts w:cs="Times New Roman"/>
          </w:rPr>
          <w:t>http://www.unhcr.org/4ad827f59.pdf</w:t>
        </w:r>
      </w:hyperlink>
      <w:r>
        <w:rPr>
          <w:rFonts w:cs="Times New Roman"/>
        </w:rPr>
        <w:t>.</w:t>
      </w:r>
    </w:p>
    <w:p w14:paraId="78446352" w14:textId="77777777" w:rsidR="001248D8" w:rsidRDefault="001248D8" w:rsidP="001248D8">
      <w:pPr>
        <w:rPr>
          <w:b/>
        </w:rPr>
      </w:pPr>
    </w:p>
    <w:p w14:paraId="72A34ACE" w14:textId="77777777" w:rsidR="001248D8" w:rsidRDefault="001248D8" w:rsidP="00C1253B">
      <w:pPr>
        <w:jc w:val="left"/>
      </w:pPr>
      <w:r>
        <w:t xml:space="preserve">UNHCR. 2010. </w:t>
      </w:r>
      <w:r>
        <w:rPr>
          <w:i/>
        </w:rPr>
        <w:t xml:space="preserve">Universal Periodic Review for Georgia. </w:t>
      </w:r>
      <w:hyperlink r:id="rId27" w:history="1">
        <w:r>
          <w:rPr>
            <w:rStyle w:val="Hyperlink"/>
          </w:rPr>
          <w:t>http://lib.ohchr.org/HRBodies/UPR/Documents/Session10/GE/UNHCR_UNHighCommissionerforRefugees-eng.pdf</w:t>
        </w:r>
      </w:hyperlink>
      <w:r>
        <w:t xml:space="preserve"> </w:t>
      </w:r>
    </w:p>
    <w:p w14:paraId="7D79B126" w14:textId="3641CFC1" w:rsidR="001248D8" w:rsidRDefault="001248D8" w:rsidP="001248D8">
      <w:pPr>
        <w:spacing w:after="0" w:line="276" w:lineRule="auto"/>
      </w:pPr>
      <w:r>
        <w:t>UNHCR. 201</w:t>
      </w:r>
      <w:r w:rsidR="00BD2FCF">
        <w:t>5</w:t>
      </w:r>
      <w:r>
        <w:t xml:space="preserve">. </w:t>
      </w:r>
      <w:r>
        <w:rPr>
          <w:i/>
        </w:rPr>
        <w:t xml:space="preserve">Intentions Survey on Durable </w:t>
      </w:r>
      <w:r w:rsidR="00D52A56">
        <w:rPr>
          <w:i/>
        </w:rPr>
        <w:t>Solutions among IDPs in Georgia</w:t>
      </w:r>
      <w:r>
        <w:rPr>
          <w:i/>
        </w:rPr>
        <w:t xml:space="preserve">: Voices </w:t>
      </w:r>
      <w:r w:rsidR="009728D4">
        <w:rPr>
          <w:i/>
        </w:rPr>
        <w:t>o</w:t>
      </w:r>
      <w:r>
        <w:rPr>
          <w:i/>
        </w:rPr>
        <w:t xml:space="preserve">f Internally Displaced Persons </w:t>
      </w:r>
      <w:r w:rsidR="00BD2FCF">
        <w:rPr>
          <w:i/>
        </w:rPr>
        <w:t>i</w:t>
      </w:r>
      <w:r>
        <w:rPr>
          <w:i/>
        </w:rPr>
        <w:t>n Georgia</w:t>
      </w:r>
      <w:r>
        <w:t xml:space="preserve">. </w:t>
      </w:r>
      <w:r w:rsidR="00BD2FCF">
        <w:t xml:space="preserve">Tbilisi, Georgia. </w:t>
      </w:r>
    </w:p>
    <w:p w14:paraId="408E09CC" w14:textId="77777777" w:rsidR="001248D8" w:rsidRDefault="001248D8" w:rsidP="001248D8">
      <w:pPr>
        <w:pStyle w:val="FootnoteText"/>
        <w:jc w:val="left"/>
        <w:rPr>
          <w:rFonts w:asciiTheme="minorHAnsi" w:hAnsiTheme="minorHAnsi"/>
          <w:sz w:val="22"/>
          <w:szCs w:val="22"/>
        </w:rPr>
      </w:pPr>
    </w:p>
    <w:p w14:paraId="241AAEDA" w14:textId="77777777" w:rsidR="001248D8" w:rsidRDefault="001248D8" w:rsidP="001248D8">
      <w:pPr>
        <w:pStyle w:val="FootnoteText"/>
        <w:jc w:val="left"/>
        <w:rPr>
          <w:rFonts w:asciiTheme="minorHAnsi" w:hAnsiTheme="minorHAnsi"/>
          <w:bCs/>
          <w:sz w:val="22"/>
          <w:szCs w:val="22"/>
        </w:rPr>
      </w:pPr>
      <w:r>
        <w:rPr>
          <w:rFonts w:asciiTheme="minorHAnsi" w:hAnsiTheme="minorHAnsi"/>
          <w:sz w:val="22"/>
          <w:szCs w:val="22"/>
        </w:rPr>
        <w:t>United Nations News Centre. 2008</w:t>
      </w:r>
      <w:r>
        <w:rPr>
          <w:rFonts w:asciiTheme="minorHAnsi" w:hAnsiTheme="minorHAnsi"/>
          <w:i/>
          <w:sz w:val="22"/>
          <w:szCs w:val="22"/>
        </w:rPr>
        <w:t>. Revised UN Estimates Show 192,000 Uprooted During Georgia Conflict</w:t>
      </w:r>
      <w:r>
        <w:rPr>
          <w:rFonts w:asciiTheme="minorHAnsi" w:hAnsiTheme="minorHAnsi"/>
          <w:sz w:val="22"/>
          <w:szCs w:val="22"/>
        </w:rPr>
        <w:t xml:space="preserve"> </w:t>
      </w:r>
      <w:hyperlink r:id="rId28" w:anchor=".VYMxco53kvw" w:history="1">
        <w:r>
          <w:rPr>
            <w:rStyle w:val="Hyperlink"/>
            <w:rFonts w:asciiTheme="minorHAnsi" w:hAnsiTheme="minorHAnsi"/>
            <w:bCs/>
            <w:sz w:val="22"/>
            <w:szCs w:val="22"/>
          </w:rPr>
          <w:t>http://www.un.org/apps/news/story.asp?NewsID=28032#.VYMxco53kvw</w:t>
        </w:r>
      </w:hyperlink>
    </w:p>
    <w:p w14:paraId="2EB2AF92" w14:textId="77777777" w:rsidR="001248D8" w:rsidRDefault="001248D8" w:rsidP="001248D8">
      <w:pPr>
        <w:spacing w:after="0" w:line="276" w:lineRule="auto"/>
      </w:pPr>
    </w:p>
    <w:p w14:paraId="18064DBB" w14:textId="77777777" w:rsidR="001248D8" w:rsidRDefault="001248D8" w:rsidP="001248D8">
      <w:pPr>
        <w:pStyle w:val="FootnoteText"/>
        <w:jc w:val="left"/>
        <w:rPr>
          <w:rFonts w:asciiTheme="minorHAnsi" w:hAnsiTheme="minorHAnsi"/>
          <w:sz w:val="22"/>
          <w:szCs w:val="22"/>
        </w:rPr>
      </w:pPr>
      <w:r>
        <w:rPr>
          <w:rFonts w:asciiTheme="minorHAnsi" w:hAnsiTheme="minorHAnsi"/>
          <w:sz w:val="22"/>
          <w:szCs w:val="22"/>
        </w:rPr>
        <w:t xml:space="preserve">UN OHCHR. </w:t>
      </w:r>
      <w:r>
        <w:rPr>
          <w:rFonts w:asciiTheme="minorHAnsi" w:hAnsiTheme="minorHAnsi"/>
          <w:i/>
          <w:sz w:val="22"/>
          <w:szCs w:val="22"/>
        </w:rPr>
        <w:t>Guiding Principles on Internal Displacement.</w:t>
      </w:r>
      <w:r>
        <w:rPr>
          <w:rFonts w:asciiTheme="minorHAnsi" w:hAnsiTheme="minorHAnsi"/>
          <w:sz w:val="22"/>
          <w:szCs w:val="22"/>
        </w:rPr>
        <w:t xml:space="preserve"> </w:t>
      </w:r>
      <w:hyperlink r:id="rId29" w:history="1">
        <w:r>
          <w:rPr>
            <w:rStyle w:val="Hyperlink"/>
            <w:rFonts w:asciiTheme="minorHAnsi" w:hAnsiTheme="minorHAnsi"/>
            <w:sz w:val="22"/>
            <w:szCs w:val="22"/>
          </w:rPr>
          <w:t>http://www.ohchr.org/EN/Issues/IDPersons/Pages/Standards.aspx</w:t>
        </w:r>
      </w:hyperlink>
      <w:r>
        <w:rPr>
          <w:rFonts w:asciiTheme="minorHAnsi" w:hAnsiTheme="minorHAnsi"/>
          <w:sz w:val="22"/>
          <w:szCs w:val="22"/>
        </w:rPr>
        <w:t xml:space="preserve"> </w:t>
      </w:r>
    </w:p>
    <w:p w14:paraId="44E0C2AB" w14:textId="77777777" w:rsidR="001248D8" w:rsidRDefault="001248D8" w:rsidP="001248D8"/>
    <w:p w14:paraId="7D98FBC0" w14:textId="77777777" w:rsidR="001248D8" w:rsidRDefault="001248D8" w:rsidP="001248D8">
      <w:pPr>
        <w:pStyle w:val="FootnoteText"/>
        <w:jc w:val="left"/>
        <w:rPr>
          <w:rFonts w:asciiTheme="minorHAnsi" w:hAnsiTheme="minorHAnsi"/>
          <w:sz w:val="22"/>
          <w:szCs w:val="22"/>
        </w:rPr>
      </w:pPr>
      <w:r>
        <w:rPr>
          <w:rFonts w:asciiTheme="minorHAnsi" w:hAnsiTheme="minorHAnsi"/>
          <w:sz w:val="22"/>
          <w:szCs w:val="22"/>
        </w:rPr>
        <w:t xml:space="preserve">World Bank. 2013. </w:t>
      </w:r>
      <w:r>
        <w:rPr>
          <w:rFonts w:asciiTheme="minorHAnsi" w:hAnsiTheme="minorHAnsi"/>
          <w:i/>
          <w:sz w:val="22"/>
          <w:szCs w:val="22"/>
        </w:rPr>
        <w:t>Supporting the livelihoods of Internally Displaced Persons in Georgia.</w:t>
      </w:r>
      <w:r>
        <w:rPr>
          <w:rFonts w:asciiTheme="minorHAnsi" w:hAnsiTheme="minorHAnsi"/>
          <w:sz w:val="22"/>
          <w:szCs w:val="22"/>
        </w:rPr>
        <w:t xml:space="preserve"> </w:t>
      </w:r>
      <w:hyperlink r:id="rId30" w:history="1">
        <w:r>
          <w:rPr>
            <w:rStyle w:val="Hyperlink"/>
            <w:rFonts w:asciiTheme="minorHAnsi" w:hAnsiTheme="minorHAnsi"/>
            <w:sz w:val="22"/>
            <w:szCs w:val="22"/>
          </w:rPr>
          <w:t>http://imagebank.worldbank.org/servlet/WDSContentServer/IW3P/IB/2013/07/03/000333037_20130703101637/Rendered/PDF/791740WP0Georg0Box0377356B00PUBLIC0.pdf</w:t>
        </w:r>
      </w:hyperlink>
    </w:p>
    <w:p w14:paraId="70FEE896" w14:textId="77777777" w:rsidR="001248D8" w:rsidRDefault="001248D8" w:rsidP="001248D8">
      <w:pPr>
        <w:pStyle w:val="FootnoteText"/>
        <w:rPr>
          <w:rFonts w:asciiTheme="minorHAnsi" w:hAnsiTheme="minorHAnsi"/>
          <w:sz w:val="22"/>
          <w:szCs w:val="22"/>
        </w:rPr>
      </w:pPr>
    </w:p>
    <w:p w14:paraId="7E2DBBCC" w14:textId="77777777" w:rsidR="001248D8" w:rsidRDefault="001248D8" w:rsidP="001248D8">
      <w:pPr>
        <w:pStyle w:val="FootnoteText"/>
        <w:rPr>
          <w:rFonts w:asciiTheme="minorHAnsi" w:hAnsiTheme="minorHAnsi"/>
          <w:sz w:val="22"/>
          <w:szCs w:val="22"/>
        </w:rPr>
      </w:pPr>
      <w:r>
        <w:rPr>
          <w:rFonts w:asciiTheme="minorHAnsi" w:hAnsiTheme="minorHAnsi"/>
          <w:sz w:val="22"/>
          <w:szCs w:val="22"/>
        </w:rPr>
        <w:t xml:space="preserve">World Bank. 2014. </w:t>
      </w:r>
      <w:r>
        <w:rPr>
          <w:rFonts w:asciiTheme="minorHAnsi" w:hAnsiTheme="minorHAnsi"/>
          <w:i/>
          <w:sz w:val="22"/>
          <w:szCs w:val="22"/>
        </w:rPr>
        <w:t>Georgia: Country Partnership Strategy 2014-2017</w:t>
      </w:r>
      <w:r>
        <w:rPr>
          <w:rFonts w:asciiTheme="minorHAnsi" w:hAnsiTheme="minorHAnsi"/>
          <w:sz w:val="22"/>
          <w:szCs w:val="22"/>
        </w:rPr>
        <w:t xml:space="preserve">. </w:t>
      </w:r>
    </w:p>
    <w:p w14:paraId="3B8A844F" w14:textId="77777777" w:rsidR="001248D8" w:rsidRDefault="001248D8" w:rsidP="001248D8"/>
    <w:p w14:paraId="71EBDCD0" w14:textId="77777777" w:rsidR="00C34B82" w:rsidRDefault="00C34B82" w:rsidP="00FA4F8D">
      <w:pPr>
        <w:pStyle w:val="Heading1"/>
        <w:spacing w:before="0" w:after="0"/>
        <w:textAlignment w:val="baseline"/>
      </w:pPr>
    </w:p>
    <w:p w14:paraId="1C740D3A" w14:textId="77777777" w:rsidR="00916835" w:rsidRDefault="00916835" w:rsidP="00916835"/>
    <w:p w14:paraId="2B2C30F4" w14:textId="77777777" w:rsidR="00916835" w:rsidRDefault="00916835" w:rsidP="00916835"/>
    <w:p w14:paraId="595ED409" w14:textId="77777777" w:rsidR="00916835" w:rsidRDefault="00916835" w:rsidP="00916835"/>
    <w:p w14:paraId="25F93D7B" w14:textId="77777777" w:rsidR="00916835" w:rsidRDefault="00916835" w:rsidP="00916835"/>
    <w:p w14:paraId="65B853D9" w14:textId="77777777" w:rsidR="00916835" w:rsidRDefault="00916835" w:rsidP="00916835"/>
    <w:p w14:paraId="6B75A690" w14:textId="77777777" w:rsidR="00916835" w:rsidRDefault="00916835" w:rsidP="00916835"/>
    <w:p w14:paraId="1B83D062" w14:textId="77777777" w:rsidR="00916835" w:rsidRDefault="00916835" w:rsidP="00916835"/>
    <w:p w14:paraId="2ADE1300" w14:textId="77777777" w:rsidR="00916835" w:rsidRDefault="00916835" w:rsidP="00916835"/>
    <w:p w14:paraId="248BA0D9" w14:textId="1BA66101" w:rsidR="00916835" w:rsidRDefault="00916835">
      <w:pPr>
        <w:spacing w:after="200" w:line="276" w:lineRule="auto"/>
        <w:jc w:val="left"/>
      </w:pPr>
      <w:r>
        <w:br w:type="page"/>
      </w:r>
    </w:p>
    <w:p w14:paraId="50AF4533" w14:textId="7DBD08AE" w:rsidR="00672E6F" w:rsidRPr="00672E6F" w:rsidRDefault="00916835" w:rsidP="00672E6F">
      <w:pPr>
        <w:pStyle w:val="Heading1"/>
      </w:pPr>
      <w:bookmarkStart w:id="23" w:name="_Toc443046837"/>
      <w:r>
        <w:lastRenderedPageBreak/>
        <w:t>Annex I: Policy and Institutional Review</w:t>
      </w:r>
      <w:bookmarkEnd w:id="23"/>
    </w:p>
    <w:p w14:paraId="6EFE84B9" w14:textId="77777777" w:rsidR="00672E6F" w:rsidRPr="00866AF4" w:rsidRDefault="00672E6F" w:rsidP="00672E6F">
      <w:pPr>
        <w:pStyle w:val="NoSpacing"/>
        <w:jc w:val="both"/>
        <w:rPr>
          <w:rFonts w:asciiTheme="majorHAnsi" w:hAnsiTheme="majorHAnsi" w:cs="Times New Roman"/>
          <w:sz w:val="22"/>
          <w:szCs w:val="22"/>
        </w:rPr>
      </w:pPr>
    </w:p>
    <w:p w14:paraId="3536AD2F" w14:textId="77777777" w:rsidR="00672E6F" w:rsidRPr="00866AF4" w:rsidRDefault="00672E6F" w:rsidP="00672E6F">
      <w:pPr>
        <w:pStyle w:val="NoSpacing"/>
        <w:jc w:val="both"/>
        <w:rPr>
          <w:rFonts w:asciiTheme="majorHAnsi" w:hAnsiTheme="majorHAnsi" w:cs="Times New Roman"/>
          <w:sz w:val="22"/>
          <w:szCs w:val="22"/>
        </w:rPr>
      </w:pPr>
    </w:p>
    <w:p w14:paraId="0D9EC735" w14:textId="77777777" w:rsidR="00672E6F" w:rsidRPr="00672E6F" w:rsidRDefault="00672E6F" w:rsidP="00672E6F">
      <w:pPr>
        <w:pStyle w:val="NoSpacing"/>
        <w:jc w:val="both"/>
        <w:rPr>
          <w:rFonts w:cs="Times New Roman"/>
          <w:sz w:val="22"/>
          <w:szCs w:val="22"/>
        </w:rPr>
      </w:pPr>
      <w:r w:rsidRPr="00672E6F">
        <w:rPr>
          <w:rFonts w:cs="Times New Roman"/>
          <w:sz w:val="22"/>
          <w:szCs w:val="22"/>
        </w:rPr>
        <w:t>The Constitution of Georgia</w:t>
      </w:r>
      <w:r w:rsidRPr="00672E6F">
        <w:rPr>
          <w:rStyle w:val="FootnoteReference"/>
          <w:rFonts w:cs="Times New Roman"/>
          <w:sz w:val="22"/>
          <w:szCs w:val="22"/>
        </w:rPr>
        <w:footnoteReference w:id="109"/>
      </w:r>
      <w:r w:rsidRPr="00672E6F">
        <w:rPr>
          <w:rFonts w:cs="Times New Roman"/>
          <w:sz w:val="22"/>
          <w:szCs w:val="22"/>
        </w:rPr>
        <w:t xml:space="preserve">stipulates that Georgian legislation is to be aligned with universally recognized principles and rules of international law. Unless it contradicts the Constitution, an international treaty takes precedence over domestic laws.  Consequently, Georgia is party to almost all major international treaties of human rights, humanitarian law, and the Rome Statute. It is further a member state of the Council of Europe and it has recognized the jurisdiction of the European Court of Human Rights.  </w:t>
      </w:r>
    </w:p>
    <w:p w14:paraId="1F4CFBA5" w14:textId="77777777" w:rsidR="00672E6F" w:rsidRPr="00672E6F" w:rsidRDefault="00672E6F" w:rsidP="00672E6F">
      <w:pPr>
        <w:pStyle w:val="NoSpacing"/>
        <w:jc w:val="both"/>
        <w:rPr>
          <w:rFonts w:cs="Times New Roman"/>
          <w:sz w:val="22"/>
          <w:szCs w:val="22"/>
        </w:rPr>
      </w:pPr>
    </w:p>
    <w:p w14:paraId="675EB60A" w14:textId="341C9DFC" w:rsidR="00672E6F" w:rsidRPr="00672E6F" w:rsidRDefault="00672E6F" w:rsidP="00672E6F">
      <w:pPr>
        <w:pStyle w:val="NoSpacing"/>
        <w:jc w:val="both"/>
        <w:rPr>
          <w:rFonts w:cs="Times New Roman"/>
          <w:sz w:val="22"/>
          <w:szCs w:val="22"/>
        </w:rPr>
      </w:pPr>
      <w:r w:rsidRPr="00672E6F">
        <w:rPr>
          <w:rFonts w:cs="Times New Roman"/>
          <w:sz w:val="22"/>
          <w:szCs w:val="22"/>
        </w:rPr>
        <w:t xml:space="preserve">In practice, however, only the Constitutional court has been directly applying international norms and standards in its decision-making processes.  For the local courts, there are many opportunities to increase direct application of the treaties, as noted in the combined fourth and fifth periodic reports of Georgia by the UN Committee on the Elimination of Discrimination against Women.  </w:t>
      </w:r>
    </w:p>
    <w:p w14:paraId="377A9A50" w14:textId="77777777" w:rsidR="00672E6F" w:rsidRPr="00672E6F" w:rsidRDefault="00672E6F" w:rsidP="00672E6F">
      <w:pPr>
        <w:pStyle w:val="NoSpacing"/>
        <w:jc w:val="both"/>
        <w:rPr>
          <w:rFonts w:cs="Times New Roman"/>
          <w:sz w:val="22"/>
          <w:szCs w:val="22"/>
        </w:rPr>
      </w:pPr>
    </w:p>
    <w:p w14:paraId="757ED27D" w14:textId="4186C46A" w:rsidR="00672E6F" w:rsidRPr="00672E6F" w:rsidRDefault="00AF18A2" w:rsidP="00672E6F">
      <w:pPr>
        <w:pStyle w:val="NoSpacing"/>
        <w:jc w:val="both"/>
        <w:rPr>
          <w:rFonts w:cs="Times New Roman"/>
          <w:sz w:val="22"/>
          <w:szCs w:val="22"/>
        </w:rPr>
      </w:pPr>
      <w:r>
        <w:rPr>
          <w:rFonts w:cs="Times New Roman"/>
          <w:sz w:val="22"/>
          <w:szCs w:val="22"/>
        </w:rPr>
        <w:t xml:space="preserve">Legislation in </w:t>
      </w:r>
      <w:r w:rsidR="00672E6F" w:rsidRPr="00672E6F">
        <w:rPr>
          <w:rFonts w:cs="Times New Roman"/>
          <w:sz w:val="22"/>
          <w:szCs w:val="22"/>
        </w:rPr>
        <w:t xml:space="preserve">Georgia defines, creates and regulates rights, freedoms and obligations of internally displaced persons in two ways: 1) laws that specifically target IDPs; and 2) laws that apply to all citizens, including IDPs.  For both groups, the caveat in implementation is that Georgia does not have effective control over </w:t>
      </w:r>
      <w:r w:rsidR="00AE393B">
        <w:rPr>
          <w:rFonts w:cs="Times New Roman"/>
          <w:sz w:val="22"/>
          <w:szCs w:val="22"/>
        </w:rPr>
        <w:t xml:space="preserve">the </w:t>
      </w:r>
      <w:r w:rsidR="00672E6F" w:rsidRPr="00672E6F">
        <w:rPr>
          <w:rFonts w:cs="Times New Roman"/>
          <w:sz w:val="22"/>
          <w:szCs w:val="22"/>
        </w:rPr>
        <w:t>Abkhazia</w:t>
      </w:r>
      <w:r w:rsidR="00AE393B">
        <w:rPr>
          <w:rFonts w:cs="Times New Roman"/>
          <w:sz w:val="22"/>
          <w:szCs w:val="22"/>
        </w:rPr>
        <w:t>n AR</w:t>
      </w:r>
      <w:r>
        <w:rPr>
          <w:rFonts w:cs="Times New Roman"/>
          <w:sz w:val="22"/>
          <w:szCs w:val="22"/>
        </w:rPr>
        <w:t xml:space="preserve"> and </w:t>
      </w:r>
      <w:r w:rsidR="00AE393B">
        <w:rPr>
          <w:rFonts w:cs="Times New Roman"/>
          <w:sz w:val="22"/>
          <w:szCs w:val="22"/>
        </w:rPr>
        <w:t xml:space="preserve">the </w:t>
      </w:r>
      <w:r>
        <w:rPr>
          <w:rFonts w:cs="Times New Roman"/>
          <w:sz w:val="22"/>
          <w:szCs w:val="22"/>
        </w:rPr>
        <w:t xml:space="preserve">Tshkhinvali region - </w:t>
      </w:r>
      <w:r w:rsidR="00AE393B">
        <w:rPr>
          <w:rFonts w:cs="Times New Roman"/>
          <w:sz w:val="22"/>
          <w:szCs w:val="22"/>
        </w:rPr>
        <w:t>South Ossetia</w:t>
      </w:r>
      <w:r w:rsidR="00672E6F" w:rsidRPr="00672E6F">
        <w:rPr>
          <w:rFonts w:cs="Times New Roman"/>
          <w:sz w:val="22"/>
          <w:szCs w:val="22"/>
        </w:rPr>
        <w:t xml:space="preserve">. Therefore, while Georgia is committed to ensure the implementation of domestic laws throughout its territory, full implementation of legislation in these two territories remains a challenge.  Full implementation is further hampered by lack of resources and poor visibility of newly adopted legal acts and policies. </w:t>
      </w:r>
    </w:p>
    <w:p w14:paraId="1D5E070A" w14:textId="77777777" w:rsidR="00672E6F" w:rsidRPr="00672E6F" w:rsidRDefault="00672E6F" w:rsidP="00672E6F">
      <w:pPr>
        <w:pStyle w:val="NoSpacing"/>
        <w:jc w:val="both"/>
        <w:rPr>
          <w:rFonts w:cs="Times New Roman"/>
          <w:sz w:val="22"/>
          <w:szCs w:val="22"/>
        </w:rPr>
      </w:pPr>
    </w:p>
    <w:p w14:paraId="3B40C766" w14:textId="2FE1AE89" w:rsidR="00672E6F" w:rsidRPr="00672E6F" w:rsidRDefault="00672E6F" w:rsidP="00672E6F">
      <w:pPr>
        <w:pStyle w:val="SingleTxt"/>
        <w:tabs>
          <w:tab w:val="clear" w:pos="1267"/>
          <w:tab w:val="left" w:pos="0"/>
        </w:tabs>
        <w:spacing w:after="0" w:line="240" w:lineRule="auto"/>
        <w:ind w:left="0" w:right="0"/>
        <w:rPr>
          <w:rFonts w:asciiTheme="minorHAnsi" w:hAnsiTheme="minorHAnsi"/>
          <w:sz w:val="22"/>
          <w:szCs w:val="22"/>
          <w:lang w:val="en-US"/>
        </w:rPr>
      </w:pPr>
      <w:r w:rsidRPr="00672E6F">
        <w:rPr>
          <w:rFonts w:asciiTheme="minorHAnsi" w:hAnsiTheme="minorHAnsi"/>
          <w:sz w:val="22"/>
          <w:szCs w:val="22"/>
          <w:lang w:val="en-US"/>
        </w:rPr>
        <w:t xml:space="preserve">This legal and policy review provides an analytic summary of key IDP-specific policies followed by a summary of policies in the following sectors: housing, land, education, employment, and human rights. </w:t>
      </w:r>
    </w:p>
    <w:p w14:paraId="3F2E79CF" w14:textId="77777777" w:rsidR="00672E6F" w:rsidRPr="00672E6F" w:rsidRDefault="00672E6F" w:rsidP="00672E6F">
      <w:pPr>
        <w:rPr>
          <w:rFonts w:cs="Times New Roman"/>
        </w:rPr>
      </w:pPr>
    </w:p>
    <w:p w14:paraId="7503C74C" w14:textId="77777777" w:rsidR="00672E6F" w:rsidRPr="00672E6F" w:rsidRDefault="00672E6F" w:rsidP="00672E6F">
      <w:pPr>
        <w:pStyle w:val="ListParagraph"/>
        <w:numPr>
          <w:ilvl w:val="0"/>
          <w:numId w:val="23"/>
        </w:numPr>
        <w:spacing w:after="0"/>
        <w:rPr>
          <w:rFonts w:cs="Times New Roman"/>
          <w:b/>
        </w:rPr>
      </w:pPr>
      <w:r w:rsidRPr="00672E6F">
        <w:rPr>
          <w:rFonts w:cs="Times New Roman"/>
          <w:b/>
        </w:rPr>
        <w:t xml:space="preserve">IDP-specific laws and policies </w:t>
      </w:r>
    </w:p>
    <w:p w14:paraId="2D01AB4B" w14:textId="77777777" w:rsidR="00672E6F" w:rsidRPr="00672E6F" w:rsidRDefault="00672E6F" w:rsidP="00672E6F">
      <w:pPr>
        <w:rPr>
          <w:rFonts w:cs="Times New Roman"/>
          <w:b/>
        </w:rPr>
      </w:pPr>
    </w:p>
    <w:p w14:paraId="2878ED54" w14:textId="345F24A0" w:rsidR="00672E6F" w:rsidRPr="00672E6F" w:rsidRDefault="00672E6F" w:rsidP="004D4F1A">
      <w:pPr>
        <w:rPr>
          <w:rFonts w:cs="Times New Roman"/>
        </w:rPr>
      </w:pPr>
      <w:r w:rsidRPr="00672E6F">
        <w:rPr>
          <w:rFonts w:cs="Times New Roman"/>
          <w:b/>
        </w:rPr>
        <w:t xml:space="preserve">The Law of Georgia on Internally Displaced Persons – Persecuted from the Occupied Territories of Georgia, The State Strategy on Internally Displaced Persons (and its Action Plans). </w:t>
      </w:r>
      <w:r w:rsidRPr="00672E6F">
        <w:rPr>
          <w:rFonts w:cs="Times New Roman"/>
        </w:rPr>
        <w:t>This is the main legal act that regulates rights and obligations of IDPs.  It was adopted in 1996, and amended in 2001, 2005, 2006, and most recently in 2014.</w:t>
      </w:r>
      <w:r w:rsidRPr="00672E6F">
        <w:rPr>
          <w:rFonts w:cs="Times New Roman"/>
          <w:b/>
        </w:rPr>
        <w:t xml:space="preserve"> </w:t>
      </w:r>
      <w:r w:rsidRPr="00672E6F">
        <w:rPr>
          <w:rFonts w:cs="Times New Roman"/>
        </w:rPr>
        <w:t>The Law</w:t>
      </w:r>
      <w:r w:rsidRPr="00672E6F">
        <w:rPr>
          <w:rFonts w:cs="Times New Roman"/>
          <w:b/>
        </w:rPr>
        <w:t xml:space="preserve"> </w:t>
      </w:r>
      <w:r w:rsidRPr="00672E6F">
        <w:rPr>
          <w:rFonts w:cs="Times New Roman"/>
        </w:rPr>
        <w:t>aims at protecting citizens, ensuring emergency assistance in case of forceful displacement and protecting the rights of IDPs during the entire period of displacement. Article 2 of the Law</w:t>
      </w:r>
      <w:r w:rsidRPr="00672E6F">
        <w:rPr>
          <w:rStyle w:val="FootnoteReference"/>
          <w:rFonts w:cs="Times New Roman"/>
        </w:rPr>
        <w:footnoteReference w:id="110"/>
      </w:r>
      <w:r w:rsidRPr="00672E6F">
        <w:rPr>
          <w:rFonts w:cs="Times New Roman"/>
        </w:rPr>
        <w:t xml:space="preserve"> regulates IDP legal status, grounds and rules for granting, terminating, cancelling and restoring of IDP status, legal, economic and social guarantees to IDPs and the related rights and obligations. The law, both, sets out guarantees for restitution of property left on the place of permanent residence and IDPs integration in other parts of the country. </w:t>
      </w:r>
    </w:p>
    <w:p w14:paraId="42356C22" w14:textId="77777777" w:rsidR="00672E6F" w:rsidRPr="00672E6F" w:rsidRDefault="00672E6F" w:rsidP="00672E6F">
      <w:pPr>
        <w:widowControl w:val="0"/>
        <w:autoSpaceDE w:val="0"/>
        <w:autoSpaceDN w:val="0"/>
        <w:adjustRightInd w:val="0"/>
        <w:rPr>
          <w:rFonts w:cs="Times New Roman"/>
        </w:rPr>
      </w:pPr>
      <w:r w:rsidRPr="00672E6F">
        <w:rPr>
          <w:rFonts w:cs="Times New Roman"/>
        </w:rPr>
        <w:t xml:space="preserve">The law designates the Ministry of Internally Displaced Persons from the Occupied Territories, Accommodation and Refugees of Georgia as the responsible department to decide applications, the suspension and loss of IDP status, as well as other obligations with regard to IDPs. </w:t>
      </w:r>
    </w:p>
    <w:p w14:paraId="16822C2C" w14:textId="77777777" w:rsidR="00672E6F" w:rsidRPr="00672E6F" w:rsidRDefault="00672E6F" w:rsidP="00672E6F">
      <w:pPr>
        <w:widowControl w:val="0"/>
        <w:autoSpaceDE w:val="0"/>
        <w:autoSpaceDN w:val="0"/>
        <w:adjustRightInd w:val="0"/>
        <w:rPr>
          <w:rFonts w:cs="Times New Roman"/>
        </w:rPr>
      </w:pPr>
    </w:p>
    <w:p w14:paraId="1AE542F8" w14:textId="77777777" w:rsidR="00672E6F" w:rsidRPr="00672E6F" w:rsidRDefault="00672E6F" w:rsidP="00672E6F">
      <w:pPr>
        <w:rPr>
          <w:rFonts w:eastAsia="Times New Roman" w:cs="Times New Roman"/>
        </w:rPr>
      </w:pPr>
      <w:r w:rsidRPr="00672E6F">
        <w:rPr>
          <w:rFonts w:cs="Times New Roman"/>
        </w:rPr>
        <w:lastRenderedPageBreak/>
        <w:t>The most recent changes of the Law on IDPs that came into force on March 1, 2014 include the following:</w:t>
      </w:r>
      <w:r w:rsidRPr="00672E6F">
        <w:rPr>
          <w:rStyle w:val="FootnoteReference"/>
          <w:rFonts w:cs="Times New Roman"/>
        </w:rPr>
        <w:footnoteReference w:id="111"/>
      </w:r>
    </w:p>
    <w:p w14:paraId="6846D34C" w14:textId="77777777" w:rsidR="00672E6F" w:rsidRPr="00672E6F" w:rsidRDefault="00672E6F" w:rsidP="00672E6F">
      <w:pPr>
        <w:rPr>
          <w:rFonts w:eastAsia="Times New Roman" w:cs="Times New Roman"/>
        </w:rPr>
      </w:pPr>
    </w:p>
    <w:p w14:paraId="0024F516" w14:textId="77777777" w:rsidR="00672E6F" w:rsidRPr="00672E6F" w:rsidRDefault="00672E6F" w:rsidP="00672E6F">
      <w:pPr>
        <w:pStyle w:val="ListParagraph"/>
        <w:numPr>
          <w:ilvl w:val="0"/>
          <w:numId w:val="4"/>
        </w:numPr>
        <w:spacing w:after="0"/>
        <w:rPr>
          <w:rFonts w:eastAsia="Times New Roman" w:cs="Times New Roman"/>
        </w:rPr>
      </w:pPr>
      <w:r w:rsidRPr="00672E6F">
        <w:rPr>
          <w:rFonts w:eastAsia="Times New Roman" w:cs="Times New Roman"/>
        </w:rPr>
        <w:t>Increase in IDP monthly allowance to GEL 45.</w:t>
      </w:r>
    </w:p>
    <w:p w14:paraId="24DB04BE" w14:textId="77777777" w:rsidR="00672E6F" w:rsidRPr="00672E6F" w:rsidRDefault="00672E6F" w:rsidP="00672E6F">
      <w:pPr>
        <w:pStyle w:val="ListParagraph"/>
        <w:numPr>
          <w:ilvl w:val="0"/>
          <w:numId w:val="4"/>
        </w:numPr>
        <w:spacing w:after="0"/>
        <w:rPr>
          <w:rFonts w:eastAsia="Times New Roman" w:cs="Times New Roman"/>
        </w:rPr>
      </w:pPr>
      <w:r w:rsidRPr="00672E6F">
        <w:rPr>
          <w:rFonts w:eastAsia="Times New Roman" w:cs="Times New Roman"/>
        </w:rPr>
        <w:t xml:space="preserve">Suspension of IDP allowance if a taxable income of an IDP amounts to 1,250 GEL and more. </w:t>
      </w:r>
    </w:p>
    <w:p w14:paraId="0151A5E6" w14:textId="77777777" w:rsidR="00672E6F" w:rsidRPr="00672E6F" w:rsidRDefault="00672E6F" w:rsidP="00672E6F">
      <w:pPr>
        <w:pStyle w:val="ListParagraph"/>
        <w:numPr>
          <w:ilvl w:val="0"/>
          <w:numId w:val="4"/>
        </w:numPr>
        <w:spacing w:after="0"/>
        <w:rPr>
          <w:rFonts w:eastAsia="Times New Roman" w:cs="Times New Roman"/>
        </w:rPr>
      </w:pPr>
      <w:r w:rsidRPr="00672E6F">
        <w:rPr>
          <w:rFonts w:eastAsia="Times New Roman" w:cs="Times New Roman"/>
        </w:rPr>
        <w:t>Equalization of housing allowance for IDPs and abolishing the differentiation between IDPs living in ‘compact’ and ‘private’ accommodation.</w:t>
      </w:r>
    </w:p>
    <w:p w14:paraId="3456253F" w14:textId="77777777" w:rsidR="00672E6F" w:rsidRPr="00672E6F" w:rsidRDefault="00672E6F" w:rsidP="00672E6F">
      <w:pPr>
        <w:pStyle w:val="ListParagraph"/>
        <w:numPr>
          <w:ilvl w:val="0"/>
          <w:numId w:val="4"/>
        </w:numPr>
        <w:spacing w:after="0"/>
        <w:rPr>
          <w:rFonts w:eastAsia="Times New Roman" w:cs="Times New Roman"/>
        </w:rPr>
      </w:pPr>
      <w:r w:rsidRPr="00672E6F">
        <w:rPr>
          <w:rFonts w:eastAsia="Times New Roman" w:cs="Times New Roman"/>
        </w:rPr>
        <w:t xml:space="preserve">Guaranteeing integration of IDPs into other parts of the country before returning to their places of permanent residence. </w:t>
      </w:r>
    </w:p>
    <w:p w14:paraId="67DFC0AC" w14:textId="77777777" w:rsidR="00672E6F" w:rsidRPr="00672E6F" w:rsidRDefault="00672E6F" w:rsidP="00672E6F">
      <w:pPr>
        <w:pStyle w:val="ListParagraph"/>
        <w:numPr>
          <w:ilvl w:val="0"/>
          <w:numId w:val="4"/>
        </w:numPr>
        <w:spacing w:after="0"/>
        <w:rPr>
          <w:rFonts w:eastAsia="Times New Roman" w:cs="Times New Roman"/>
        </w:rPr>
      </w:pPr>
      <w:r w:rsidRPr="00672E6F">
        <w:rPr>
          <w:rFonts w:eastAsia="Times New Roman" w:cs="Times New Roman"/>
        </w:rPr>
        <w:t>Full protection of IDPs from eviction in premises under their legal ownership.</w:t>
      </w:r>
    </w:p>
    <w:p w14:paraId="0DEF6336" w14:textId="77777777" w:rsidR="00672E6F" w:rsidRPr="00672E6F" w:rsidRDefault="00672E6F" w:rsidP="00672E6F">
      <w:pPr>
        <w:pStyle w:val="ListParagraph"/>
        <w:numPr>
          <w:ilvl w:val="0"/>
          <w:numId w:val="4"/>
        </w:numPr>
        <w:spacing w:after="0"/>
        <w:rPr>
          <w:rFonts w:eastAsia="Times New Roman" w:cs="Times New Roman"/>
        </w:rPr>
      </w:pPr>
      <w:r w:rsidRPr="00672E6F">
        <w:rPr>
          <w:rFonts w:eastAsia="Times New Roman" w:cs="Times New Roman"/>
        </w:rPr>
        <w:t xml:space="preserve">Abolishing suspension of IDP allowance for IDPs who leave the country for more than two months, for business trips, study or medical treatment provided that they informed the Ministry prior to their travel. </w:t>
      </w:r>
    </w:p>
    <w:p w14:paraId="33BDCCCF" w14:textId="77777777" w:rsidR="00672E6F" w:rsidRPr="00672E6F" w:rsidRDefault="00672E6F" w:rsidP="00672E6F">
      <w:pPr>
        <w:pStyle w:val="ListParagraph"/>
        <w:numPr>
          <w:ilvl w:val="0"/>
          <w:numId w:val="4"/>
        </w:numPr>
        <w:spacing w:after="0"/>
        <w:rPr>
          <w:rFonts w:eastAsia="Times New Roman" w:cs="Times New Roman"/>
        </w:rPr>
      </w:pPr>
      <w:r w:rsidRPr="00672E6F">
        <w:rPr>
          <w:rFonts w:eastAsia="Times New Roman" w:cs="Times New Roman"/>
        </w:rPr>
        <w:t xml:space="preserve">Simplification of registration for IDP status. </w:t>
      </w:r>
    </w:p>
    <w:p w14:paraId="1366F1E6" w14:textId="77777777" w:rsidR="00672E6F" w:rsidRPr="00672E6F" w:rsidRDefault="00672E6F" w:rsidP="00672E6F">
      <w:pPr>
        <w:pStyle w:val="ListParagraph"/>
        <w:numPr>
          <w:ilvl w:val="0"/>
          <w:numId w:val="4"/>
        </w:numPr>
        <w:spacing w:after="0"/>
        <w:rPr>
          <w:rFonts w:eastAsia="Times New Roman" w:cs="Times New Roman"/>
        </w:rPr>
      </w:pPr>
      <w:r w:rsidRPr="00672E6F">
        <w:rPr>
          <w:rFonts w:eastAsia="Times New Roman" w:cs="Times New Roman"/>
        </w:rPr>
        <w:t>Respect for family unity right based on clear definition of the term ‘family’.</w:t>
      </w:r>
    </w:p>
    <w:p w14:paraId="6F5AD014" w14:textId="77777777" w:rsidR="00672E6F" w:rsidRPr="00672E6F" w:rsidRDefault="00672E6F" w:rsidP="00672E6F">
      <w:pPr>
        <w:pStyle w:val="ListParagraph"/>
        <w:numPr>
          <w:ilvl w:val="0"/>
          <w:numId w:val="4"/>
        </w:numPr>
        <w:spacing w:after="0"/>
        <w:rPr>
          <w:rFonts w:eastAsia="Times New Roman" w:cs="Times New Roman"/>
        </w:rPr>
      </w:pPr>
      <w:r w:rsidRPr="00672E6F">
        <w:rPr>
          <w:rFonts w:eastAsia="Times New Roman" w:cs="Times New Roman"/>
        </w:rPr>
        <w:t>Restitution of IDP property in the occupied territory and right to inheritance recognized.</w:t>
      </w:r>
    </w:p>
    <w:p w14:paraId="09ED9311" w14:textId="77777777" w:rsidR="00672E6F" w:rsidRPr="00672E6F" w:rsidRDefault="00672E6F" w:rsidP="00672E6F">
      <w:pPr>
        <w:pStyle w:val="ListParagraph"/>
        <w:numPr>
          <w:ilvl w:val="0"/>
          <w:numId w:val="4"/>
        </w:numPr>
        <w:spacing w:after="0"/>
        <w:rPr>
          <w:rFonts w:eastAsia="Times New Roman" w:cs="Times New Roman"/>
        </w:rPr>
      </w:pPr>
      <w:r w:rsidRPr="00672E6F">
        <w:rPr>
          <w:rFonts w:eastAsia="Times New Roman" w:cs="Times New Roman"/>
        </w:rPr>
        <w:t xml:space="preserve">Abolishing the exemption from the land taxes on agricultural land plots temporarily allocated to IDPs. </w:t>
      </w:r>
    </w:p>
    <w:p w14:paraId="7A2FBA21" w14:textId="77777777" w:rsidR="00672E6F" w:rsidRPr="00672E6F" w:rsidRDefault="00672E6F" w:rsidP="00672E6F">
      <w:pPr>
        <w:rPr>
          <w:rFonts w:cs="Times New Roman"/>
        </w:rPr>
      </w:pPr>
    </w:p>
    <w:p w14:paraId="140484B8" w14:textId="17D7D355" w:rsidR="00672E6F" w:rsidRPr="00672E6F" w:rsidRDefault="00672E6F" w:rsidP="00672E6F">
      <w:pPr>
        <w:rPr>
          <w:rFonts w:cs="Times New Roman"/>
        </w:rPr>
      </w:pPr>
      <w:r w:rsidRPr="00672E6F">
        <w:rPr>
          <w:rFonts w:cs="Times New Roman"/>
          <w:b/>
        </w:rPr>
        <w:t>The State Strategy for Internally Displaced Persons</w:t>
      </w:r>
      <w:r w:rsidRPr="00672E6F">
        <w:rPr>
          <w:rStyle w:val="FootnoteReference"/>
          <w:rFonts w:cs="Times New Roman"/>
        </w:rPr>
        <w:footnoteReference w:id="112"/>
      </w:r>
      <w:r w:rsidRPr="00672E6F">
        <w:rPr>
          <w:rFonts w:cs="Times New Roman"/>
        </w:rPr>
        <w:t xml:space="preserve"> (and its Action Plans) was adopted in 2007. There were two action plans resulting from the strategy, one for 2009 – 2012 and a subsequent one for 2012 – 2014.  These were the framing Government policy documents in meeting the needs of the internally displaced persons. </w:t>
      </w:r>
    </w:p>
    <w:p w14:paraId="0C643CB8" w14:textId="77777777" w:rsidR="00672E6F" w:rsidRPr="00672E6F" w:rsidRDefault="00672E6F" w:rsidP="00672E6F">
      <w:pPr>
        <w:widowControl w:val="0"/>
        <w:autoSpaceDE w:val="0"/>
        <w:autoSpaceDN w:val="0"/>
        <w:adjustRightInd w:val="0"/>
        <w:rPr>
          <w:rFonts w:cs="Times New Roman"/>
        </w:rPr>
      </w:pPr>
    </w:p>
    <w:p w14:paraId="7C7A2952" w14:textId="77777777" w:rsidR="00672E6F" w:rsidRPr="00672E6F" w:rsidRDefault="00672E6F" w:rsidP="00672E6F">
      <w:pPr>
        <w:rPr>
          <w:rFonts w:cs="Times New Roman"/>
        </w:rPr>
      </w:pPr>
      <w:r w:rsidRPr="00672E6F">
        <w:rPr>
          <w:rFonts w:cs="Times New Roman"/>
        </w:rPr>
        <w:t xml:space="preserve">The State Strategy on IDPs sets two main goals for the state: </w:t>
      </w:r>
    </w:p>
    <w:p w14:paraId="75901DC1" w14:textId="77777777" w:rsidR="00672E6F" w:rsidRPr="00672E6F" w:rsidRDefault="00672E6F" w:rsidP="00672E6F">
      <w:pPr>
        <w:pStyle w:val="ListParagraph"/>
        <w:numPr>
          <w:ilvl w:val="0"/>
          <w:numId w:val="5"/>
        </w:numPr>
        <w:spacing w:after="0"/>
        <w:rPr>
          <w:rFonts w:cs="Times New Roman"/>
        </w:rPr>
      </w:pPr>
      <w:r w:rsidRPr="00672E6F">
        <w:rPr>
          <w:rFonts w:cs="Times New Roman"/>
        </w:rPr>
        <w:t>To create conditions for the dignified and safe return of IDPs</w:t>
      </w:r>
    </w:p>
    <w:p w14:paraId="34D275C4" w14:textId="77777777" w:rsidR="00672E6F" w:rsidRPr="00672E6F" w:rsidRDefault="00672E6F" w:rsidP="00672E6F">
      <w:pPr>
        <w:pStyle w:val="ListParagraph"/>
        <w:numPr>
          <w:ilvl w:val="0"/>
          <w:numId w:val="5"/>
        </w:numPr>
        <w:spacing w:after="0"/>
        <w:rPr>
          <w:rFonts w:cs="Times New Roman"/>
        </w:rPr>
      </w:pPr>
      <w:r w:rsidRPr="00672E6F">
        <w:rPr>
          <w:rFonts w:cs="Times New Roman"/>
        </w:rPr>
        <w:t>To support decent living conditions for the displaced population and their participation in society</w:t>
      </w:r>
    </w:p>
    <w:p w14:paraId="08FCB566" w14:textId="77777777" w:rsidR="00672E6F" w:rsidRPr="00672E6F" w:rsidRDefault="00672E6F" w:rsidP="00672E6F">
      <w:pPr>
        <w:rPr>
          <w:rFonts w:cs="Times New Roman"/>
        </w:rPr>
      </w:pPr>
      <w:r w:rsidRPr="00672E6F">
        <w:rPr>
          <w:rFonts w:cs="Times New Roman"/>
        </w:rPr>
        <w:t xml:space="preserve"> </w:t>
      </w:r>
    </w:p>
    <w:p w14:paraId="61C7D1AF" w14:textId="2C3FA43E" w:rsidR="00672E6F" w:rsidRPr="00672E6F" w:rsidRDefault="00672E6F" w:rsidP="00672E6F">
      <w:pPr>
        <w:tabs>
          <w:tab w:val="left" w:pos="540"/>
        </w:tabs>
        <w:spacing w:after="200" w:line="276" w:lineRule="auto"/>
        <w:rPr>
          <w:rFonts w:cs="Times New Roman"/>
          <w:bCs/>
        </w:rPr>
      </w:pPr>
      <w:r w:rsidRPr="00672E6F">
        <w:rPr>
          <w:rFonts w:cs="Times New Roman"/>
          <w:b/>
          <w:bCs/>
        </w:rPr>
        <w:t xml:space="preserve">The Strategy for Livelihood Access to Internally Displaced Persons – Persecuted </w:t>
      </w:r>
      <w:r w:rsidR="00180261">
        <w:rPr>
          <w:rFonts w:cs="Times New Roman"/>
          <w:b/>
          <w:bCs/>
        </w:rPr>
        <w:t xml:space="preserve">Persons </w:t>
      </w:r>
      <w:r w:rsidRPr="00672E6F">
        <w:rPr>
          <w:rFonts w:cs="Times New Roman"/>
          <w:b/>
          <w:bCs/>
        </w:rPr>
        <w:t xml:space="preserve">and its Action Plan.  </w:t>
      </w:r>
      <w:r w:rsidRPr="00672E6F">
        <w:rPr>
          <w:rFonts w:cs="Times New Roman"/>
        </w:rPr>
        <w:t xml:space="preserve">The Strategy prioritizes opportunities that fulfill not only potential of IDPs for social and economic growth, but also their local host communities. The related Action Plan is in compliance with other strategies and action plans, such as </w:t>
      </w:r>
      <w:r w:rsidRPr="00672E6F">
        <w:rPr>
          <w:rFonts w:cs="Times New Roman"/>
          <w:bCs/>
        </w:rPr>
        <w:t xml:space="preserve">Governmental Program of Georgia </w:t>
      </w:r>
      <w:r w:rsidRPr="00672E6F">
        <w:rPr>
          <w:rFonts w:cs="Times New Roman"/>
          <w:bCs/>
          <w:i/>
        </w:rPr>
        <w:t>For Strong, Democratic and United Georgia</w:t>
      </w:r>
      <w:r w:rsidRPr="00672E6F">
        <w:rPr>
          <w:rFonts w:cs="Times New Roman"/>
          <w:bCs/>
        </w:rPr>
        <w:t xml:space="preserve">, State Strategy for Internally Displaced Persons - Persecuted and the Action Plan for its implementation for 2015-2016 and National Action Plan for 2012-2015 for implementation of UN Security Council Resolutions NN1325, 1820, 1888, 1889 and 1960 on </w:t>
      </w:r>
      <w:r w:rsidRPr="00672E6F">
        <w:rPr>
          <w:rFonts w:cs="Times New Roman"/>
          <w:bCs/>
          <w:i/>
        </w:rPr>
        <w:t>Women, Peace and Security</w:t>
      </w:r>
      <w:r w:rsidRPr="00672E6F">
        <w:rPr>
          <w:rFonts w:cs="Times New Roman"/>
          <w:bCs/>
        </w:rPr>
        <w:t>.</w:t>
      </w:r>
      <w:r w:rsidRPr="00672E6F">
        <w:rPr>
          <w:rStyle w:val="FootnoteReference"/>
          <w:rFonts w:cs="Times New Roman"/>
          <w:bCs/>
        </w:rPr>
        <w:footnoteReference w:id="113"/>
      </w:r>
      <w:r w:rsidRPr="00672E6F">
        <w:rPr>
          <w:rFonts w:cs="Times New Roman"/>
          <w:bCs/>
        </w:rPr>
        <w:t xml:space="preserve"> A further strength of the Action Plan is the integration of gender equality and non-discrimination principles. It also </w:t>
      </w:r>
      <w:r w:rsidRPr="00672E6F">
        <w:rPr>
          <w:rFonts w:cs="Times New Roman"/>
          <w:bCs/>
        </w:rPr>
        <w:lastRenderedPageBreak/>
        <w:t>envisages IDPs involvement in the processes of planning, monitoring and evaluation of activities affecting lives of IDPs.</w:t>
      </w:r>
    </w:p>
    <w:p w14:paraId="49C4194A" w14:textId="77777777" w:rsidR="00672E6F" w:rsidRPr="00672E6F" w:rsidRDefault="00672E6F" w:rsidP="00672E6F">
      <w:pPr>
        <w:pStyle w:val="ListParagraph"/>
        <w:numPr>
          <w:ilvl w:val="0"/>
          <w:numId w:val="23"/>
        </w:numPr>
        <w:spacing w:after="0"/>
        <w:rPr>
          <w:rFonts w:cs="Times New Roman"/>
          <w:b/>
        </w:rPr>
      </w:pPr>
      <w:r w:rsidRPr="00672E6F">
        <w:rPr>
          <w:rFonts w:cs="Times New Roman"/>
          <w:b/>
        </w:rPr>
        <w:t xml:space="preserve">General laws and strategies impacting IDPs in key sectors: housing, property and land; education; employment; health; and human rights and prohibition of discrimination </w:t>
      </w:r>
    </w:p>
    <w:p w14:paraId="030B093F" w14:textId="77777777" w:rsidR="00672E6F" w:rsidRPr="00672E6F" w:rsidRDefault="00672E6F" w:rsidP="00672E6F">
      <w:pPr>
        <w:pStyle w:val="ListParagraph"/>
        <w:rPr>
          <w:rFonts w:cs="Times New Roman"/>
          <w:b/>
        </w:rPr>
      </w:pPr>
      <w:r w:rsidRPr="00672E6F">
        <w:rPr>
          <w:rFonts w:cs="Times New Roman"/>
          <w:b/>
        </w:rPr>
        <w:t xml:space="preserve"> </w:t>
      </w:r>
    </w:p>
    <w:p w14:paraId="596E75CD" w14:textId="77777777" w:rsidR="00672E6F" w:rsidRPr="00672E6F" w:rsidRDefault="00672E6F" w:rsidP="00672E6F">
      <w:pPr>
        <w:rPr>
          <w:rFonts w:cs="Times New Roman"/>
          <w:b/>
          <w:u w:val="single"/>
        </w:rPr>
      </w:pPr>
      <w:r w:rsidRPr="00672E6F">
        <w:rPr>
          <w:rFonts w:cs="Times New Roman"/>
          <w:b/>
          <w:u w:val="single"/>
        </w:rPr>
        <w:t>Housing, Property and Land</w:t>
      </w:r>
    </w:p>
    <w:p w14:paraId="7DAA10FD" w14:textId="77777777" w:rsidR="00672E6F" w:rsidRPr="00672E6F" w:rsidRDefault="00672E6F" w:rsidP="00672E6F">
      <w:pPr>
        <w:rPr>
          <w:rFonts w:cs="Times New Roman"/>
        </w:rPr>
      </w:pPr>
    </w:p>
    <w:p w14:paraId="005AB0C0" w14:textId="77777777" w:rsidR="00672E6F" w:rsidRPr="00672E6F" w:rsidRDefault="00672E6F" w:rsidP="00672E6F">
      <w:pPr>
        <w:rPr>
          <w:rFonts w:cs="Times New Roman"/>
        </w:rPr>
      </w:pPr>
      <w:r w:rsidRPr="00672E6F">
        <w:rPr>
          <w:rFonts w:cs="Times New Roman"/>
          <w:b/>
        </w:rPr>
        <w:t>The Law of Georgia on Forcibly Displaced Persons – Persecuted</w:t>
      </w:r>
      <w:r w:rsidRPr="00672E6F">
        <w:rPr>
          <w:rFonts w:cs="Times New Roman"/>
        </w:rPr>
        <w:t xml:space="preserve"> (Articles 12, 13,14, and 15) defines rights and obligations of IDPs and their descendants with regard to housing and property. IDPs are entitled to adequate housing in Georgia until they can return to places of permanent residence or until durable housing solutions are in place. </w:t>
      </w:r>
    </w:p>
    <w:p w14:paraId="323B6C86" w14:textId="77777777" w:rsidR="00672E6F" w:rsidRPr="00672E6F" w:rsidRDefault="00672E6F" w:rsidP="00672E6F">
      <w:pPr>
        <w:rPr>
          <w:rFonts w:cs="Times New Roman"/>
        </w:rPr>
      </w:pPr>
      <w:r w:rsidRPr="00672E6F">
        <w:rPr>
          <w:rFonts w:cs="Times New Roman"/>
        </w:rPr>
        <w:t>According to the latest Action Plan (2012- 2014), durable housing plans for IDPs are implemented in three groups: 1) IDPs living in collective centers, who are in need of durable housing and for whom the government provided their current accommodation; 2) IDPs in collective centers who were not provided accommodation by the government because it was run down, not habitable and rehabilitation of those buildings would be too expensive.  In the same groups are IDPs who have been living in private accommodation, but are still in need of a durable housing solution; and 3) IDPs who for some reason have refused offers from the government. The aim for this group is to examine other possibilities for durable housing solutions.</w:t>
      </w:r>
    </w:p>
    <w:p w14:paraId="2CBF220E" w14:textId="77777777" w:rsidR="00672E6F" w:rsidRPr="00672E6F" w:rsidRDefault="00672E6F" w:rsidP="00672E6F">
      <w:pPr>
        <w:rPr>
          <w:rFonts w:cs="Times New Roman"/>
        </w:rPr>
      </w:pPr>
    </w:p>
    <w:p w14:paraId="3B8A3EFD" w14:textId="77777777" w:rsidR="00672E6F" w:rsidRPr="00672E6F" w:rsidRDefault="00672E6F" w:rsidP="00672E6F">
      <w:pPr>
        <w:rPr>
          <w:rFonts w:cs="Times New Roman"/>
        </w:rPr>
      </w:pPr>
      <w:r w:rsidRPr="00672E6F">
        <w:rPr>
          <w:rFonts w:cs="Times New Roman"/>
        </w:rPr>
        <w:t xml:space="preserve">In 2013, the MRA made substantive changes in their approach towards durable housing solutions.  It now targets both the IDPs in private accommodation and those in collective centers. This has effectively prevented further discrimination of IDPs residing in private accommodation, but still in need of a durable housing solution. </w:t>
      </w:r>
    </w:p>
    <w:p w14:paraId="419F49D3" w14:textId="77777777" w:rsidR="00672E6F" w:rsidRPr="00672E6F" w:rsidRDefault="00672E6F" w:rsidP="00672E6F">
      <w:pPr>
        <w:rPr>
          <w:rFonts w:cs="Times New Roman"/>
        </w:rPr>
      </w:pPr>
    </w:p>
    <w:p w14:paraId="16DFFC4C" w14:textId="77777777" w:rsidR="00672E6F" w:rsidRPr="00672E6F" w:rsidRDefault="00672E6F" w:rsidP="00672E6F">
      <w:pPr>
        <w:rPr>
          <w:rFonts w:cs="Times New Roman"/>
        </w:rPr>
      </w:pPr>
      <w:r w:rsidRPr="00672E6F">
        <w:rPr>
          <w:rFonts w:cs="Times New Roman"/>
          <w:b/>
        </w:rPr>
        <w:t>The Standard Operational Procedures (SOP) for Eviction of IDPs and Provision of Durable Housing</w:t>
      </w:r>
      <w:r w:rsidRPr="00672E6F">
        <w:rPr>
          <w:rFonts w:cs="Times New Roman"/>
        </w:rPr>
        <w:t xml:space="preserve"> stipulate rules and regulation with regard to resettlement procedure.  The SOP was developed in collaboration with international and national actors including UNHCR, the EU and Ombudsman’s Office of Georgia. </w:t>
      </w:r>
    </w:p>
    <w:p w14:paraId="29DE9E84" w14:textId="77777777" w:rsidR="00672E6F" w:rsidRPr="00672E6F" w:rsidRDefault="00672E6F" w:rsidP="00672E6F">
      <w:pPr>
        <w:rPr>
          <w:rFonts w:cs="Times New Roman"/>
        </w:rPr>
      </w:pPr>
    </w:p>
    <w:p w14:paraId="5C73FC8D" w14:textId="77777777" w:rsidR="00672E6F" w:rsidRPr="00672E6F" w:rsidRDefault="00672E6F" w:rsidP="00672E6F">
      <w:pPr>
        <w:rPr>
          <w:rFonts w:cs="Times New Roman"/>
        </w:rPr>
      </w:pPr>
      <w:r w:rsidRPr="00672E6F">
        <w:rPr>
          <w:rFonts w:cs="Times New Roman"/>
        </w:rPr>
        <w:t xml:space="preserve">Whereas Georgian legislation regarding ownership and use of both agricultural and nonagricultural land is comprehensive, it does not foresee any specific rights for IDPs. </w:t>
      </w:r>
      <w:r w:rsidRPr="00672E6F">
        <w:rPr>
          <w:rFonts w:cs="Times New Roman"/>
          <w:b/>
        </w:rPr>
        <w:t xml:space="preserve">The Law of Georgia on Occupied Territories, </w:t>
      </w:r>
      <w:r w:rsidRPr="00672E6F">
        <w:rPr>
          <w:rFonts w:cs="Times New Roman"/>
        </w:rPr>
        <w:t>Articles 3-6, regulate the legal regime of the occupied territories, including restricting free movement, economic activities, and forbidding any transaction of real property within the occupied territories. The law further stipulates criminal responsibility for violation of the law.  Thus, it prevents IDPs from freely disposing of their land, including for sustainable income-generating opportunities and livelihood measures.</w:t>
      </w:r>
    </w:p>
    <w:p w14:paraId="68AC9BD1" w14:textId="77777777" w:rsidR="00672E6F" w:rsidRPr="00672E6F" w:rsidRDefault="00672E6F" w:rsidP="00672E6F">
      <w:pPr>
        <w:rPr>
          <w:rFonts w:cs="Times New Roman"/>
          <w:b/>
        </w:rPr>
      </w:pPr>
    </w:p>
    <w:p w14:paraId="40E27EA9" w14:textId="77777777" w:rsidR="00672E6F" w:rsidRPr="00672E6F" w:rsidRDefault="00672E6F" w:rsidP="00672E6F">
      <w:pPr>
        <w:rPr>
          <w:rFonts w:cs="Times New Roman"/>
        </w:rPr>
      </w:pPr>
      <w:r w:rsidRPr="00672E6F">
        <w:rPr>
          <w:rFonts w:cs="Times New Roman"/>
        </w:rPr>
        <w:t>Selection and allocation of land plots is not properly regulated by law.  As a result, it is often left at the discretion of local authorities and there are significant differences in interpretation and implementation of the law.</w:t>
      </w:r>
    </w:p>
    <w:p w14:paraId="4C21FC26" w14:textId="77777777" w:rsidR="00672E6F" w:rsidRPr="00672E6F" w:rsidRDefault="00672E6F" w:rsidP="00672E6F">
      <w:pPr>
        <w:rPr>
          <w:rFonts w:cs="Times New Roman"/>
        </w:rPr>
      </w:pPr>
    </w:p>
    <w:p w14:paraId="4ED32714" w14:textId="77777777" w:rsidR="00672E6F" w:rsidRPr="00672E6F" w:rsidRDefault="00672E6F" w:rsidP="00672E6F">
      <w:pPr>
        <w:rPr>
          <w:rFonts w:cs="Times New Roman"/>
        </w:rPr>
      </w:pPr>
      <w:r w:rsidRPr="00672E6F">
        <w:rPr>
          <w:rFonts w:cs="Times New Roman"/>
          <w:b/>
        </w:rPr>
        <w:t xml:space="preserve">The Tax Code of Georgia </w:t>
      </w:r>
      <w:r w:rsidRPr="00672E6F">
        <w:rPr>
          <w:rFonts w:cs="Times New Roman"/>
        </w:rPr>
        <w:t>sets forth the general principles of formation and operation of the tax system of Georgia.  The Code determines the type of taxes as well as conditions for appealing wrongful implementation of the tax system.</w:t>
      </w:r>
      <w:r w:rsidRPr="00672E6F">
        <w:rPr>
          <w:rStyle w:val="FootnoteReference"/>
          <w:rFonts w:cs="Times New Roman"/>
        </w:rPr>
        <w:footnoteReference w:id="114"/>
      </w:r>
      <w:r w:rsidRPr="00672E6F">
        <w:rPr>
          <w:rFonts w:cs="Times New Roman"/>
        </w:rPr>
        <w:t xml:space="preserve"> IDPs are exempt from taxes for the property received from the State and from income on the initial sale of that property.</w:t>
      </w:r>
      <w:r w:rsidRPr="00672E6F">
        <w:rPr>
          <w:rStyle w:val="FootnoteReference"/>
          <w:rFonts w:cs="Times New Roman"/>
        </w:rPr>
        <w:footnoteReference w:id="115"/>
      </w:r>
      <w:r w:rsidRPr="00672E6F">
        <w:rPr>
          <w:rFonts w:cs="Times New Roman"/>
        </w:rPr>
        <w:t xml:space="preserve"> Tax exemption is also foreseen for owners whose property is used as a dwelling for IDPs or has been registered as a unit of organized accommodation for IDPs.</w:t>
      </w:r>
      <w:r w:rsidRPr="00672E6F">
        <w:rPr>
          <w:rStyle w:val="FootnoteReference"/>
          <w:rFonts w:cs="Times New Roman"/>
        </w:rPr>
        <w:footnoteReference w:id="116"/>
      </w:r>
    </w:p>
    <w:p w14:paraId="2BCB23E7" w14:textId="2CBC1BFA" w:rsidR="00672E6F" w:rsidRPr="00672E6F" w:rsidRDefault="00672E6F" w:rsidP="00672E6F">
      <w:pPr>
        <w:rPr>
          <w:rFonts w:cs="Times New Roman"/>
        </w:rPr>
      </w:pPr>
      <w:r w:rsidRPr="00672E6F">
        <w:rPr>
          <w:rFonts w:cs="Times New Roman"/>
        </w:rPr>
        <w:t xml:space="preserve">  </w:t>
      </w:r>
    </w:p>
    <w:p w14:paraId="7DBB4D6A" w14:textId="3B5AFD81" w:rsidR="00672E6F" w:rsidRPr="00672E6F" w:rsidRDefault="00672E6F" w:rsidP="00672E6F">
      <w:pPr>
        <w:rPr>
          <w:rFonts w:cs="Times New Roman"/>
          <w:b/>
          <w:u w:val="single"/>
        </w:rPr>
      </w:pPr>
      <w:r w:rsidRPr="00672E6F">
        <w:rPr>
          <w:rFonts w:cs="Times New Roman"/>
          <w:b/>
          <w:u w:val="single"/>
        </w:rPr>
        <w:t>Main policy flaws that affect IDPs:</w:t>
      </w:r>
    </w:p>
    <w:p w14:paraId="1595DB7D" w14:textId="014FF3E7" w:rsidR="00672E6F" w:rsidRPr="00672E6F" w:rsidRDefault="00672E6F" w:rsidP="00672E6F">
      <w:pPr>
        <w:pStyle w:val="ListParagraph"/>
        <w:numPr>
          <w:ilvl w:val="0"/>
          <w:numId w:val="28"/>
        </w:numPr>
        <w:spacing w:after="0"/>
        <w:rPr>
          <w:rFonts w:cs="Times New Roman"/>
        </w:rPr>
      </w:pPr>
      <w:r w:rsidRPr="00672E6F">
        <w:rPr>
          <w:rFonts w:cs="Times New Roman"/>
        </w:rPr>
        <w:t>Land policies are not favorable to IDP population.</w:t>
      </w:r>
    </w:p>
    <w:p w14:paraId="3112072E" w14:textId="77777777" w:rsidR="00672E6F" w:rsidRPr="00672E6F" w:rsidRDefault="00672E6F" w:rsidP="00672E6F">
      <w:pPr>
        <w:pStyle w:val="ListParagraph"/>
        <w:numPr>
          <w:ilvl w:val="0"/>
          <w:numId w:val="28"/>
        </w:numPr>
        <w:spacing w:after="0"/>
        <w:rPr>
          <w:rFonts w:cs="Times New Roman"/>
        </w:rPr>
      </w:pPr>
      <w:r w:rsidRPr="00672E6F">
        <w:rPr>
          <w:rFonts w:cs="Times New Roman"/>
        </w:rPr>
        <w:t>There are no mechanisms in place for IDPs to recover or get compensation for their houses and land in places of origin.  What is more, IDPs are not even allowed to make use of their land in the occupied territories.</w:t>
      </w:r>
    </w:p>
    <w:p w14:paraId="1BAA2F1A" w14:textId="77777777" w:rsidR="00672E6F" w:rsidRPr="00672E6F" w:rsidRDefault="00672E6F" w:rsidP="00672E6F">
      <w:pPr>
        <w:pStyle w:val="ListParagraph"/>
        <w:numPr>
          <w:ilvl w:val="0"/>
          <w:numId w:val="28"/>
        </w:numPr>
        <w:spacing w:after="0"/>
        <w:rPr>
          <w:rFonts w:cs="Times New Roman"/>
        </w:rPr>
      </w:pPr>
      <w:r w:rsidRPr="00672E6F">
        <w:rPr>
          <w:rFonts w:cs="Times New Roman"/>
        </w:rPr>
        <w:t xml:space="preserve">No land tax exemption for temporary use by IDPs after adoption of Amendments to the Law on IDPs from 2014. </w:t>
      </w:r>
    </w:p>
    <w:p w14:paraId="6ADDC58B" w14:textId="77777777" w:rsidR="00672E6F" w:rsidRPr="00672E6F" w:rsidRDefault="00672E6F" w:rsidP="00672E6F">
      <w:pPr>
        <w:rPr>
          <w:rFonts w:cs="Times New Roman"/>
        </w:rPr>
      </w:pPr>
      <w:r w:rsidRPr="00672E6F">
        <w:rPr>
          <w:rFonts w:cs="Times New Roman"/>
        </w:rPr>
        <w:t xml:space="preserve">Ways forward: </w:t>
      </w:r>
    </w:p>
    <w:p w14:paraId="58F0622D" w14:textId="77777777" w:rsidR="00672E6F" w:rsidRPr="00672E6F" w:rsidRDefault="00672E6F" w:rsidP="00672E6F">
      <w:pPr>
        <w:pStyle w:val="ListParagraph"/>
        <w:numPr>
          <w:ilvl w:val="0"/>
          <w:numId w:val="27"/>
        </w:numPr>
        <w:spacing w:after="0"/>
        <w:rPr>
          <w:rFonts w:cs="Times New Roman"/>
        </w:rPr>
      </w:pPr>
      <w:r w:rsidRPr="00672E6F">
        <w:rPr>
          <w:rFonts w:cs="Times New Roman"/>
        </w:rPr>
        <w:t>Strengthen existing policy framework, primarily through policies regulating livelihood solutions;</w:t>
      </w:r>
    </w:p>
    <w:p w14:paraId="18F33BC8" w14:textId="77777777" w:rsidR="00672E6F" w:rsidRPr="00672E6F" w:rsidRDefault="00672E6F" w:rsidP="00672E6F">
      <w:pPr>
        <w:pStyle w:val="ListParagraph"/>
        <w:numPr>
          <w:ilvl w:val="0"/>
          <w:numId w:val="27"/>
        </w:numPr>
        <w:spacing w:after="0"/>
        <w:rPr>
          <w:rFonts w:cs="Times New Roman"/>
        </w:rPr>
      </w:pPr>
      <w:r w:rsidRPr="00672E6F">
        <w:rPr>
          <w:rFonts w:cs="Times New Roman"/>
        </w:rPr>
        <w:t xml:space="preserve">Exempt IDPs from administrative fees and other related costs for disputes with regard to living space/housing, and land; </w:t>
      </w:r>
    </w:p>
    <w:p w14:paraId="46491C8E" w14:textId="77777777" w:rsidR="00672E6F" w:rsidRPr="00672E6F" w:rsidRDefault="00672E6F" w:rsidP="00672E6F">
      <w:pPr>
        <w:pStyle w:val="ListParagraph"/>
        <w:numPr>
          <w:ilvl w:val="0"/>
          <w:numId w:val="27"/>
        </w:numPr>
        <w:spacing w:after="0"/>
        <w:rPr>
          <w:rFonts w:cs="Times New Roman"/>
        </w:rPr>
      </w:pPr>
      <w:r w:rsidRPr="00672E6F">
        <w:rPr>
          <w:rFonts w:cs="Times New Roman"/>
        </w:rPr>
        <w:t>Properly assist IDPs and establish protection mechanisms for IDPs engaging in the land rental market.</w:t>
      </w:r>
    </w:p>
    <w:p w14:paraId="7DD95690" w14:textId="77777777" w:rsidR="00672E6F" w:rsidRPr="00672E6F" w:rsidRDefault="00672E6F" w:rsidP="00672E6F">
      <w:pPr>
        <w:pStyle w:val="ListParagraph"/>
        <w:numPr>
          <w:ilvl w:val="0"/>
          <w:numId w:val="27"/>
        </w:numPr>
        <w:spacing w:after="0"/>
        <w:rPr>
          <w:rFonts w:cs="Times New Roman"/>
        </w:rPr>
      </w:pPr>
      <w:r w:rsidRPr="00672E6F">
        <w:rPr>
          <w:rFonts w:cs="Times New Roman"/>
        </w:rPr>
        <w:t xml:space="preserve">Adjust the Tax law to incorporate tax exemption for temporary land use by IDPs. </w:t>
      </w:r>
    </w:p>
    <w:p w14:paraId="15DAD07F" w14:textId="77777777" w:rsidR="00672E6F" w:rsidRPr="00672E6F" w:rsidRDefault="00672E6F" w:rsidP="00672E6F">
      <w:pPr>
        <w:rPr>
          <w:rFonts w:cs="Times New Roman"/>
          <w:b/>
          <w:u w:val="single"/>
        </w:rPr>
      </w:pPr>
    </w:p>
    <w:p w14:paraId="067D471F" w14:textId="77777777" w:rsidR="00672E6F" w:rsidRPr="00672E6F" w:rsidRDefault="00672E6F" w:rsidP="00672E6F">
      <w:pPr>
        <w:rPr>
          <w:rFonts w:cs="Times New Roman"/>
          <w:b/>
          <w:u w:val="single"/>
        </w:rPr>
      </w:pPr>
    </w:p>
    <w:p w14:paraId="0F1E1F78" w14:textId="77777777" w:rsidR="00672E6F" w:rsidRPr="00672E6F" w:rsidRDefault="00672E6F" w:rsidP="00672E6F">
      <w:pPr>
        <w:rPr>
          <w:rFonts w:cs="Times New Roman"/>
          <w:b/>
          <w:u w:val="single"/>
        </w:rPr>
      </w:pPr>
      <w:r w:rsidRPr="00672E6F">
        <w:rPr>
          <w:rFonts w:cs="Times New Roman"/>
          <w:b/>
          <w:u w:val="single"/>
        </w:rPr>
        <w:t>Employment</w:t>
      </w:r>
    </w:p>
    <w:p w14:paraId="11AA02B5" w14:textId="77777777" w:rsidR="00672E6F" w:rsidRPr="00672E6F" w:rsidRDefault="00672E6F" w:rsidP="00672E6F">
      <w:pPr>
        <w:rPr>
          <w:rFonts w:cs="Times New Roman"/>
          <w:b/>
          <w:u w:val="single"/>
        </w:rPr>
      </w:pPr>
    </w:p>
    <w:p w14:paraId="42369180" w14:textId="77777777" w:rsidR="00672E6F" w:rsidRPr="00672E6F" w:rsidRDefault="00672E6F" w:rsidP="00672E6F">
      <w:pPr>
        <w:rPr>
          <w:rFonts w:cs="Times New Roman"/>
        </w:rPr>
      </w:pPr>
      <w:r w:rsidRPr="00672E6F">
        <w:rPr>
          <w:rFonts w:cs="Times New Roman"/>
          <w:b/>
        </w:rPr>
        <w:t xml:space="preserve">The Labor Code of Georgia </w:t>
      </w:r>
      <w:r w:rsidRPr="00672E6F">
        <w:rPr>
          <w:rFonts w:cs="Times New Roman"/>
        </w:rPr>
        <w:t>is in accordance with the highest international standards.  For IDPs, a concern remains that the law does not stipulate protection from discrimination based on internal displacement. According to the Law of Georgia on Internally Displaced Persons – Persecuted, the MRA, together with other executive and relevant local authorities, shall help IDPs find jobs according to their professional qualifications, ensure their constitutional right to education, and allow their autonomy for decisions on pension-related issues.  In reality, however, there is an insufficient job creation to respond to general unemployment levels and IDPs are facing greater difficulties in accessing jobs.</w:t>
      </w:r>
    </w:p>
    <w:p w14:paraId="4278BABC" w14:textId="77777777" w:rsidR="00672E6F" w:rsidRPr="00672E6F" w:rsidRDefault="00672E6F" w:rsidP="00672E6F">
      <w:pPr>
        <w:rPr>
          <w:rFonts w:cs="Times New Roman"/>
        </w:rPr>
      </w:pPr>
    </w:p>
    <w:p w14:paraId="2CA092F8" w14:textId="77777777" w:rsidR="00672E6F" w:rsidRPr="00672E6F" w:rsidRDefault="00672E6F" w:rsidP="00672E6F">
      <w:pPr>
        <w:rPr>
          <w:rFonts w:cs="Times New Roman"/>
        </w:rPr>
      </w:pPr>
      <w:r w:rsidRPr="00672E6F">
        <w:rPr>
          <w:rFonts w:cs="Times New Roman"/>
        </w:rPr>
        <w:t>Key employment policy flaws that affect IDPs:</w:t>
      </w:r>
    </w:p>
    <w:p w14:paraId="2732F150" w14:textId="77777777" w:rsidR="00672E6F" w:rsidRPr="00672E6F" w:rsidRDefault="00672E6F" w:rsidP="00672E6F">
      <w:pPr>
        <w:pStyle w:val="ListParagraph"/>
        <w:numPr>
          <w:ilvl w:val="0"/>
          <w:numId w:val="25"/>
        </w:numPr>
        <w:spacing w:after="0"/>
        <w:rPr>
          <w:rFonts w:cs="Times New Roman"/>
        </w:rPr>
      </w:pPr>
      <w:r w:rsidRPr="00672E6F">
        <w:t xml:space="preserve">The Labor Code </w:t>
      </w:r>
      <w:r w:rsidRPr="00672E6F">
        <w:rPr>
          <w:rFonts w:cs="Times New Roman"/>
        </w:rPr>
        <w:t>does not stipulate protection from discrimination based on internal displacement</w:t>
      </w:r>
      <w:r w:rsidRPr="00672E6F">
        <w:rPr>
          <w:rFonts w:cs="Times New Roman"/>
        </w:rPr>
        <w:tab/>
        <w:t xml:space="preserve"> </w:t>
      </w:r>
    </w:p>
    <w:p w14:paraId="68604CE5" w14:textId="77777777" w:rsidR="00672E6F" w:rsidRPr="00672E6F" w:rsidRDefault="00672E6F" w:rsidP="00672E6F">
      <w:pPr>
        <w:pStyle w:val="ListParagraph"/>
        <w:numPr>
          <w:ilvl w:val="0"/>
          <w:numId w:val="25"/>
        </w:numPr>
        <w:spacing w:after="0"/>
        <w:rPr>
          <w:rFonts w:cs="Times New Roman"/>
        </w:rPr>
      </w:pPr>
      <w:r w:rsidRPr="00672E6F">
        <w:rPr>
          <w:rFonts w:cs="Times New Roman"/>
        </w:rPr>
        <w:t xml:space="preserve">Available employment measures do not sufficiently and adequately respond to the needs of the unemployed, including IDPs  </w:t>
      </w:r>
    </w:p>
    <w:p w14:paraId="5172EE4B" w14:textId="77777777" w:rsidR="00672E6F" w:rsidRPr="00672E6F" w:rsidRDefault="00672E6F" w:rsidP="00672E6F">
      <w:pPr>
        <w:rPr>
          <w:rFonts w:cs="Times New Roman"/>
        </w:rPr>
      </w:pPr>
    </w:p>
    <w:p w14:paraId="412C8BD0" w14:textId="77777777" w:rsidR="00672E6F" w:rsidRPr="00672E6F" w:rsidRDefault="00672E6F" w:rsidP="00672E6F">
      <w:pPr>
        <w:rPr>
          <w:rFonts w:cs="Times New Roman"/>
        </w:rPr>
      </w:pPr>
      <w:r w:rsidRPr="00672E6F">
        <w:rPr>
          <w:rFonts w:cs="Times New Roman"/>
        </w:rPr>
        <w:t xml:space="preserve">Ways forward: </w:t>
      </w:r>
    </w:p>
    <w:p w14:paraId="64FC78DC" w14:textId="77777777" w:rsidR="00672E6F" w:rsidRPr="00672E6F" w:rsidRDefault="00672E6F" w:rsidP="00672E6F">
      <w:pPr>
        <w:pStyle w:val="ListParagraph"/>
        <w:numPr>
          <w:ilvl w:val="0"/>
          <w:numId w:val="24"/>
        </w:numPr>
        <w:spacing w:after="0"/>
        <w:rPr>
          <w:rFonts w:cs="Times New Roman"/>
          <w:b/>
        </w:rPr>
      </w:pPr>
      <w:r w:rsidRPr="00672E6F">
        <w:rPr>
          <w:rFonts w:cs="Times New Roman"/>
        </w:rPr>
        <w:t xml:space="preserve">Stronger links between education and employment policy </w:t>
      </w:r>
    </w:p>
    <w:p w14:paraId="44B58902" w14:textId="77777777" w:rsidR="00672E6F" w:rsidRPr="00672E6F" w:rsidRDefault="00672E6F" w:rsidP="00672E6F">
      <w:pPr>
        <w:pStyle w:val="ListParagraph"/>
        <w:numPr>
          <w:ilvl w:val="0"/>
          <w:numId w:val="24"/>
        </w:numPr>
        <w:spacing w:after="0"/>
        <w:rPr>
          <w:rFonts w:cs="Times New Roman"/>
        </w:rPr>
      </w:pPr>
      <w:r w:rsidRPr="00672E6F">
        <w:rPr>
          <w:rFonts w:cs="Times New Roman"/>
        </w:rPr>
        <w:t xml:space="preserve">Better information on operation of gray economy that involves a good portion of the unemployed IDPs, better operating environment for small businesses and better protection of labor rights </w:t>
      </w:r>
    </w:p>
    <w:p w14:paraId="0355D996" w14:textId="77777777" w:rsidR="00672E6F" w:rsidRPr="00672E6F" w:rsidRDefault="00672E6F" w:rsidP="00672E6F">
      <w:pPr>
        <w:rPr>
          <w:rFonts w:cs="Times New Roman"/>
        </w:rPr>
      </w:pPr>
    </w:p>
    <w:p w14:paraId="0F890A64" w14:textId="77777777" w:rsidR="00672E6F" w:rsidRPr="00672E6F" w:rsidRDefault="00672E6F" w:rsidP="00672E6F">
      <w:pPr>
        <w:rPr>
          <w:rFonts w:cs="Times New Roman"/>
          <w:b/>
          <w:u w:val="single"/>
        </w:rPr>
      </w:pPr>
      <w:r w:rsidRPr="00672E6F">
        <w:rPr>
          <w:rFonts w:cs="Times New Roman"/>
          <w:b/>
          <w:u w:val="single"/>
        </w:rPr>
        <w:t>Social assistance, education and health</w:t>
      </w:r>
    </w:p>
    <w:p w14:paraId="176048F7" w14:textId="77777777" w:rsidR="00672E6F" w:rsidRPr="00672E6F" w:rsidRDefault="00672E6F" w:rsidP="00672E6F">
      <w:pPr>
        <w:rPr>
          <w:rFonts w:cs="Times New Roman"/>
          <w:b/>
          <w:u w:val="single"/>
        </w:rPr>
      </w:pPr>
    </w:p>
    <w:p w14:paraId="63DBECC4" w14:textId="77777777" w:rsidR="00672E6F" w:rsidRPr="00672E6F" w:rsidRDefault="00672E6F" w:rsidP="00672E6F">
      <w:pPr>
        <w:rPr>
          <w:rFonts w:cs="Times New Roman"/>
        </w:rPr>
      </w:pPr>
      <w:r w:rsidRPr="00672E6F">
        <w:rPr>
          <w:rFonts w:cs="Times New Roman"/>
        </w:rPr>
        <w:t>IDPs in Georgia are entitled to social assistance equally with other citizens upon fulfilling the legally prescribed requirements. Additionally, assistance only reserved to IDPs is stipulated in the Law on IDPs, including the right to receive an allowance of 45 GEL and social and other types of assistance in accordance with the rules and conditions established by the Georgian legislation</w:t>
      </w:r>
      <w:r w:rsidRPr="00672E6F">
        <w:rPr>
          <w:rStyle w:val="FootnoteReference"/>
          <w:rFonts w:cs="Times New Roman"/>
        </w:rPr>
        <w:footnoteReference w:id="117"/>
      </w:r>
      <w:r w:rsidRPr="00672E6F">
        <w:rPr>
          <w:rFonts w:cs="Times New Roman"/>
        </w:rPr>
        <w:t>. One of the reasons for suspension of IDP allowance is taxable income of 1,250 GEL or above</w:t>
      </w:r>
      <w:r w:rsidRPr="00672E6F">
        <w:rPr>
          <w:rStyle w:val="FootnoteReference"/>
          <w:rFonts w:cs="Times New Roman"/>
        </w:rPr>
        <w:footnoteReference w:id="118"/>
      </w:r>
      <w:r w:rsidRPr="00672E6F">
        <w:rPr>
          <w:rFonts w:cs="Times New Roman"/>
        </w:rPr>
        <w:t>.</w:t>
      </w:r>
    </w:p>
    <w:p w14:paraId="07170E86" w14:textId="77777777" w:rsidR="00672E6F" w:rsidRPr="00672E6F" w:rsidRDefault="00672E6F" w:rsidP="00672E6F">
      <w:pPr>
        <w:rPr>
          <w:rFonts w:cs="Times New Roman"/>
        </w:rPr>
      </w:pPr>
    </w:p>
    <w:p w14:paraId="1A94CCB3" w14:textId="77777777" w:rsidR="00672E6F" w:rsidRPr="00672E6F" w:rsidRDefault="00672E6F" w:rsidP="00672E6F">
      <w:pPr>
        <w:rPr>
          <w:rFonts w:cs="Times New Roman"/>
        </w:rPr>
      </w:pPr>
      <w:r w:rsidRPr="00672E6F">
        <w:rPr>
          <w:rFonts w:cs="Times New Roman"/>
        </w:rPr>
        <w:t xml:space="preserve">In January 2015, Georgia introduced changes in its social assistance program aiming to better address the needs of vulnerable families. The new methodology for assessment of the social – economic condition of socially vulnerable families (households) focuses on income or any income-generating property. Household appliances are no longer a factor affecting the score, nor is the scoring determined by the subjective views of the social workers. </w:t>
      </w:r>
    </w:p>
    <w:p w14:paraId="597DB456" w14:textId="77777777" w:rsidR="00672E6F" w:rsidRPr="00672E6F" w:rsidRDefault="00672E6F" w:rsidP="00672E6F">
      <w:pPr>
        <w:rPr>
          <w:rFonts w:cs="Times New Roman"/>
        </w:rPr>
      </w:pPr>
    </w:p>
    <w:p w14:paraId="467C21C1" w14:textId="77777777" w:rsidR="00672E6F" w:rsidRPr="00672E6F" w:rsidRDefault="00672E6F" w:rsidP="00672E6F">
      <w:pPr>
        <w:rPr>
          <w:rFonts w:cs="Times New Roman"/>
        </w:rPr>
      </w:pPr>
      <w:r w:rsidRPr="00672E6F">
        <w:rPr>
          <w:rFonts w:cs="Times New Roman"/>
          <w:b/>
        </w:rPr>
        <w:t>The Law on Public Health of Georgia and The National Healthcare Strategy 2011-2015</w:t>
      </w:r>
      <w:r w:rsidRPr="00672E6F">
        <w:rPr>
          <w:rFonts w:cs="Times New Roman"/>
        </w:rPr>
        <w:t xml:space="preserve"> intend to support and improve population’s health and healthy lifestyle, the quality of life, safe environment, reproductive health, and to prevent of communicable and non-communicable diseases.</w:t>
      </w:r>
    </w:p>
    <w:p w14:paraId="2327D324" w14:textId="77777777" w:rsidR="00672E6F" w:rsidRPr="00672E6F" w:rsidRDefault="00672E6F" w:rsidP="00672E6F">
      <w:pPr>
        <w:rPr>
          <w:rFonts w:cs="Times New Roman"/>
        </w:rPr>
      </w:pPr>
    </w:p>
    <w:p w14:paraId="49DBC061" w14:textId="77777777" w:rsidR="00672E6F" w:rsidRPr="00672E6F" w:rsidRDefault="00672E6F" w:rsidP="00672E6F">
      <w:pPr>
        <w:rPr>
          <w:rFonts w:cs="Times New Roman"/>
        </w:rPr>
      </w:pPr>
      <w:r w:rsidRPr="00672E6F">
        <w:rPr>
          <w:rFonts w:cs="Times New Roman"/>
        </w:rPr>
        <w:t xml:space="preserve"> “According to the data of April, 2014 all citizens of Georgia are provided with the basic healthcare, among them, approximately 3.4 million people are included in the Universal Health Care Program, 560 thousand people are beneficiaries of State Health Insurance Program, about 546 thousand people have a private or corporate insurance.”</w:t>
      </w:r>
      <w:r w:rsidRPr="00672E6F">
        <w:rPr>
          <w:rStyle w:val="FootnoteReference"/>
          <w:rFonts w:cs="Times New Roman"/>
        </w:rPr>
        <w:footnoteReference w:id="119"/>
      </w:r>
      <w:r w:rsidRPr="00672E6F">
        <w:rPr>
          <w:rFonts w:cs="Times New Roman"/>
        </w:rPr>
        <w:t xml:space="preserve"> </w:t>
      </w:r>
    </w:p>
    <w:p w14:paraId="0E701AD7" w14:textId="77777777" w:rsidR="00672E6F" w:rsidRPr="00672E6F" w:rsidRDefault="00672E6F" w:rsidP="00672E6F">
      <w:pPr>
        <w:rPr>
          <w:rFonts w:cs="Times New Roman"/>
        </w:rPr>
      </w:pPr>
    </w:p>
    <w:p w14:paraId="7DC25629" w14:textId="77777777" w:rsidR="00672E6F" w:rsidRPr="00672E6F" w:rsidRDefault="00672E6F" w:rsidP="00672E6F">
      <w:pPr>
        <w:rPr>
          <w:rFonts w:cs="Times New Roman"/>
        </w:rPr>
      </w:pPr>
      <w:r w:rsidRPr="00672E6F">
        <w:rPr>
          <w:rFonts w:cs="Times New Roman"/>
        </w:rPr>
        <w:t>Medical expenses of IDPs and their IDP families registered in the database of socially vulnerable families are covered either by state funded healthcare programs or through particular insurance programs</w:t>
      </w:r>
      <w:r w:rsidRPr="00672E6F">
        <w:rPr>
          <w:rStyle w:val="FootnoteReference"/>
          <w:rFonts w:cs="Times New Roman"/>
        </w:rPr>
        <w:footnoteReference w:id="120"/>
      </w:r>
      <w:r w:rsidRPr="00672E6F">
        <w:rPr>
          <w:rFonts w:cs="Times New Roman"/>
        </w:rPr>
        <w:t xml:space="preserve">. </w:t>
      </w:r>
    </w:p>
    <w:p w14:paraId="23705B9B" w14:textId="77777777" w:rsidR="00672E6F" w:rsidRPr="00672E6F" w:rsidRDefault="00672E6F" w:rsidP="00672E6F">
      <w:pPr>
        <w:rPr>
          <w:rFonts w:cs="Times New Roman"/>
        </w:rPr>
      </w:pPr>
    </w:p>
    <w:p w14:paraId="287714C3" w14:textId="77777777" w:rsidR="00672E6F" w:rsidRPr="00672E6F" w:rsidRDefault="00672E6F" w:rsidP="00672E6F">
      <w:pPr>
        <w:rPr>
          <w:rFonts w:cs="Times New Roman"/>
        </w:rPr>
      </w:pPr>
      <w:r w:rsidRPr="00672E6F">
        <w:rPr>
          <w:rFonts w:cs="Times New Roman"/>
          <w:b/>
        </w:rPr>
        <w:t>The Law of Georgia on General Education</w:t>
      </w:r>
      <w:r w:rsidRPr="00672E6F">
        <w:rPr>
          <w:rFonts w:cs="Times New Roman"/>
        </w:rPr>
        <w:t xml:space="preserve"> regulates the field of general education and guarantees equal access to general education for everyone, right to education in an educational institution as near as possible to the place of residence get general education as near as the place of residence, and education in pupil’s native language. “Everyone has an equal right to get full general education in order to fully </w:t>
      </w:r>
      <w:r w:rsidRPr="00672E6F">
        <w:rPr>
          <w:rFonts w:cs="Times New Roman"/>
        </w:rPr>
        <w:lastRenderedPageBreak/>
        <w:t>develop their personality and obtain the knowledge and skills that are necessary for equal opportunities of achieving success in private and public life. Receiving primary and basic education is mandatory.</w:t>
      </w:r>
      <w:r w:rsidRPr="00672E6F">
        <w:rPr>
          <w:rStyle w:val="FootnoteReference"/>
          <w:rFonts w:cs="Times New Roman"/>
        </w:rPr>
        <w:footnoteReference w:id="121"/>
      </w:r>
      <w:r w:rsidRPr="00672E6F">
        <w:rPr>
          <w:rFonts w:cs="Times New Roman"/>
        </w:rPr>
        <w:t xml:space="preserve">” </w:t>
      </w:r>
    </w:p>
    <w:p w14:paraId="7B64534E" w14:textId="77777777" w:rsidR="00672E6F" w:rsidRPr="00672E6F" w:rsidRDefault="00672E6F" w:rsidP="00672E6F">
      <w:pPr>
        <w:rPr>
          <w:rFonts w:cs="Times New Roman"/>
        </w:rPr>
      </w:pPr>
    </w:p>
    <w:p w14:paraId="52DCC8B4" w14:textId="77777777" w:rsidR="00672E6F" w:rsidRPr="00672E6F" w:rsidRDefault="00672E6F" w:rsidP="00672E6F">
      <w:pPr>
        <w:rPr>
          <w:rFonts w:cs="Times New Roman"/>
        </w:rPr>
      </w:pPr>
      <w:r w:rsidRPr="00672E6F">
        <w:rPr>
          <w:rFonts w:cs="Times New Roman"/>
          <w:b/>
        </w:rPr>
        <w:t>The Law of Georgia on Social Protection of Persons with Disabilities</w:t>
      </w:r>
      <w:r w:rsidRPr="00672E6F">
        <w:rPr>
          <w:rFonts w:cs="Times New Roman"/>
        </w:rPr>
        <w:t xml:space="preserve"> aims to ensure equal enjoyment of rights, favorable conditions and equal participation in the economic and political activities for the people with disabilities.</w:t>
      </w:r>
    </w:p>
    <w:p w14:paraId="7B0C747C" w14:textId="77777777" w:rsidR="00672E6F" w:rsidRPr="00672E6F" w:rsidRDefault="00672E6F" w:rsidP="00672E6F">
      <w:pPr>
        <w:rPr>
          <w:rFonts w:cs="Times New Roman"/>
        </w:rPr>
      </w:pPr>
    </w:p>
    <w:p w14:paraId="27DDA3BF" w14:textId="77777777" w:rsidR="00672E6F" w:rsidRPr="00672E6F" w:rsidRDefault="00672E6F" w:rsidP="00672E6F">
      <w:pPr>
        <w:rPr>
          <w:rFonts w:cs="Times New Roman"/>
        </w:rPr>
      </w:pPr>
      <w:r w:rsidRPr="00672E6F">
        <w:rPr>
          <w:rFonts w:cs="Times New Roman"/>
        </w:rPr>
        <w:t>Key social assistance, education and health policy flaws that affect IDPs:</w:t>
      </w:r>
    </w:p>
    <w:p w14:paraId="7CDFA309" w14:textId="77777777" w:rsidR="00672E6F" w:rsidRPr="00672E6F" w:rsidRDefault="00672E6F" w:rsidP="00672E6F">
      <w:pPr>
        <w:pStyle w:val="ListParagraph"/>
        <w:numPr>
          <w:ilvl w:val="0"/>
          <w:numId w:val="26"/>
        </w:numPr>
        <w:spacing w:after="0"/>
        <w:rPr>
          <w:rFonts w:cs="Times New Roman"/>
        </w:rPr>
      </w:pPr>
      <w:r w:rsidRPr="00672E6F">
        <w:rPr>
          <w:rFonts w:cs="Times New Roman"/>
        </w:rPr>
        <w:t>The new scoring system doesn’t take into account specific vulnerabilities connected to internal displacement.</w:t>
      </w:r>
    </w:p>
    <w:p w14:paraId="2A7E8981" w14:textId="77777777" w:rsidR="00672E6F" w:rsidRPr="00672E6F" w:rsidRDefault="00672E6F" w:rsidP="00672E6F">
      <w:pPr>
        <w:pStyle w:val="ListParagraph"/>
        <w:numPr>
          <w:ilvl w:val="0"/>
          <w:numId w:val="26"/>
        </w:numPr>
        <w:spacing w:after="0"/>
        <w:rPr>
          <w:rFonts w:cs="Times New Roman"/>
        </w:rPr>
      </w:pPr>
      <w:r w:rsidRPr="00672E6F">
        <w:rPr>
          <w:rFonts w:cs="Times New Roman"/>
        </w:rPr>
        <w:t xml:space="preserve"> “…the number of risks covered by the system of social security is inadequate; the minimum of old age benefits is inadequate; the minimum level of maternity benefit is inadequate and that it has not been established that measures are taken to encourage individuals and voluntary organizations to participate in the establishment and running of social welfare.</w:t>
      </w:r>
      <w:r w:rsidRPr="00672E6F">
        <w:rPr>
          <w:rStyle w:val="FootnoteReference"/>
          <w:rFonts w:cs="Times New Roman"/>
        </w:rPr>
        <w:footnoteReference w:id="122"/>
      </w:r>
      <w:r w:rsidRPr="00672E6F">
        <w:rPr>
          <w:rFonts w:cs="Times New Roman"/>
        </w:rPr>
        <w:t>”</w:t>
      </w:r>
    </w:p>
    <w:p w14:paraId="536DEFCE" w14:textId="77777777" w:rsidR="00672E6F" w:rsidRPr="00672E6F" w:rsidRDefault="00672E6F" w:rsidP="00672E6F">
      <w:pPr>
        <w:rPr>
          <w:rFonts w:cs="Times New Roman"/>
        </w:rPr>
      </w:pPr>
      <w:r w:rsidRPr="00672E6F">
        <w:rPr>
          <w:rFonts w:cs="Times New Roman"/>
        </w:rPr>
        <w:t xml:space="preserve">Ways forward: </w:t>
      </w:r>
    </w:p>
    <w:p w14:paraId="3B9598CA" w14:textId="77777777" w:rsidR="00672E6F" w:rsidRPr="00672E6F" w:rsidRDefault="00672E6F" w:rsidP="00672E6F">
      <w:pPr>
        <w:pStyle w:val="ListParagraph"/>
        <w:numPr>
          <w:ilvl w:val="0"/>
          <w:numId w:val="26"/>
        </w:numPr>
        <w:spacing w:after="0"/>
        <w:rPr>
          <w:rFonts w:cs="Times New Roman"/>
          <w:b/>
        </w:rPr>
      </w:pPr>
      <w:r w:rsidRPr="00672E6F">
        <w:rPr>
          <w:rFonts w:cs="Times New Roman"/>
        </w:rPr>
        <w:t>TSA eligibility criteria and the offered services must respond to specific (and changing) needs of the IDP population if the transition to TSA is to succeed fully.  This means that its design needs to be flexible to ensure that the requisite changes can be made after regular reviews of service effectiveness.</w:t>
      </w:r>
      <w:r w:rsidRPr="00672E6F">
        <w:rPr>
          <w:rFonts w:cs="Times New Roman"/>
          <w:b/>
        </w:rPr>
        <w:t xml:space="preserve">  </w:t>
      </w:r>
    </w:p>
    <w:p w14:paraId="751346E2" w14:textId="77777777" w:rsidR="00672E6F" w:rsidRPr="00672E6F" w:rsidRDefault="00672E6F" w:rsidP="00672E6F">
      <w:pPr>
        <w:pStyle w:val="ListParagraph"/>
        <w:numPr>
          <w:ilvl w:val="0"/>
          <w:numId w:val="26"/>
        </w:numPr>
        <w:spacing w:after="0"/>
        <w:jc w:val="left"/>
        <w:rPr>
          <w:rFonts w:cs="Times New Roman"/>
        </w:rPr>
      </w:pPr>
      <w:r w:rsidRPr="00672E6F">
        <w:rPr>
          <w:rFonts w:cs="Times New Roman"/>
        </w:rPr>
        <w:t xml:space="preserve">The IDP status is granted universally to all registered and eligible individuals. The status is tied to various benefits, including a monthly allowance for the registered IDPs and one-off cash assistance for the newly displaced population.  Transfer to TSA ought to take into account some of the needs covered from the IDP allowance. </w:t>
      </w:r>
    </w:p>
    <w:p w14:paraId="33E1ECAA" w14:textId="77777777" w:rsidR="00672E6F" w:rsidRPr="00672E6F" w:rsidRDefault="00672E6F" w:rsidP="00672E6F">
      <w:pPr>
        <w:rPr>
          <w:rFonts w:cs="Times New Roman"/>
          <w:b/>
        </w:rPr>
      </w:pPr>
    </w:p>
    <w:p w14:paraId="7D410135" w14:textId="77777777" w:rsidR="00672E6F" w:rsidRPr="00672E6F" w:rsidRDefault="00672E6F" w:rsidP="00672E6F">
      <w:pPr>
        <w:rPr>
          <w:rFonts w:cs="Times New Roman"/>
          <w:b/>
          <w:u w:val="single"/>
        </w:rPr>
      </w:pPr>
      <w:r w:rsidRPr="00672E6F">
        <w:rPr>
          <w:rFonts w:cs="Times New Roman"/>
          <w:b/>
          <w:u w:val="single"/>
        </w:rPr>
        <w:t>Human Rights and Prohibition of Discrimination</w:t>
      </w:r>
    </w:p>
    <w:p w14:paraId="41D84B16" w14:textId="77777777" w:rsidR="00672E6F" w:rsidRPr="00672E6F" w:rsidRDefault="00672E6F" w:rsidP="00672E6F">
      <w:pPr>
        <w:rPr>
          <w:rFonts w:cs="Times New Roman"/>
          <w:b/>
        </w:rPr>
      </w:pPr>
    </w:p>
    <w:p w14:paraId="21C55626" w14:textId="19E37A84" w:rsidR="00672E6F" w:rsidRPr="00672E6F" w:rsidRDefault="00672E6F" w:rsidP="00672E6F">
      <w:pPr>
        <w:widowControl w:val="0"/>
        <w:autoSpaceDE w:val="0"/>
        <w:autoSpaceDN w:val="0"/>
        <w:adjustRightInd w:val="0"/>
        <w:rPr>
          <w:rFonts w:cs="Times New Roman"/>
          <w:b/>
        </w:rPr>
      </w:pPr>
      <w:r w:rsidRPr="00672E6F">
        <w:rPr>
          <w:rFonts w:cs="Times New Roman"/>
        </w:rPr>
        <w:t>Civil, political, social, economic, and cultural human rights are regulated by international and national legislation. IDPs should enjoy all rights guaranteed in t</w:t>
      </w:r>
      <w:r w:rsidR="00A67311">
        <w:rPr>
          <w:rFonts w:cs="Times New Roman"/>
        </w:rPr>
        <w:t xml:space="preserve">he Constitution </w:t>
      </w:r>
      <w:r w:rsidRPr="00672E6F">
        <w:rPr>
          <w:rFonts w:cs="Times New Roman"/>
        </w:rPr>
        <w:t xml:space="preserve">of Georgia and major international human rights conventions. Additionally, they are entitled to special rights as long as they have status of an internally displaced person, or as long as their needs are tied to the fact of displacement. </w:t>
      </w:r>
    </w:p>
    <w:p w14:paraId="2A86AA66" w14:textId="77777777" w:rsidR="00672E6F" w:rsidRPr="00672E6F" w:rsidRDefault="00672E6F" w:rsidP="00672E6F">
      <w:pPr>
        <w:widowControl w:val="0"/>
        <w:autoSpaceDE w:val="0"/>
        <w:autoSpaceDN w:val="0"/>
        <w:adjustRightInd w:val="0"/>
        <w:rPr>
          <w:rFonts w:cs="Times New Roman"/>
          <w:b/>
        </w:rPr>
      </w:pPr>
    </w:p>
    <w:p w14:paraId="0B43E68C" w14:textId="77777777" w:rsidR="00672E6F" w:rsidRPr="00672E6F" w:rsidRDefault="00672E6F" w:rsidP="00672E6F">
      <w:pPr>
        <w:widowControl w:val="0"/>
        <w:autoSpaceDE w:val="0"/>
        <w:autoSpaceDN w:val="0"/>
        <w:adjustRightInd w:val="0"/>
        <w:rPr>
          <w:rFonts w:cs="Times New Roman"/>
        </w:rPr>
      </w:pPr>
      <w:r w:rsidRPr="00672E6F">
        <w:rPr>
          <w:rFonts w:cs="Times New Roman"/>
          <w:b/>
        </w:rPr>
        <w:t>The National Human Rights Strategy and Action Plan for 2014 – 2020</w:t>
      </w:r>
      <w:r w:rsidRPr="00672E6F">
        <w:rPr>
          <w:rStyle w:val="FootnoteReference"/>
          <w:rFonts w:cs="Times New Roman"/>
          <w:b/>
        </w:rPr>
        <w:footnoteReference w:id="123"/>
      </w:r>
      <w:r w:rsidRPr="00672E6F">
        <w:rPr>
          <w:rFonts w:cs="Times New Roman"/>
          <w:b/>
          <w:i/>
        </w:rPr>
        <w:t xml:space="preserve"> </w:t>
      </w:r>
      <w:r w:rsidRPr="00672E6F">
        <w:rPr>
          <w:rFonts w:cs="Times New Roman"/>
        </w:rPr>
        <w:t>aims to promote and protect human rights of all citizens of Georgia, including IDPs. The Strategy sets long-term goals of the government and aims to ensure human rights protection and promotion in everyday life through multi-sector cooperation and consistent government policies.</w:t>
      </w:r>
      <w:r w:rsidRPr="00672E6F">
        <w:rPr>
          <w:rStyle w:val="FootnoteReference"/>
          <w:rFonts w:cs="Times New Roman"/>
        </w:rPr>
        <w:footnoteReference w:id="124"/>
      </w:r>
      <w:r w:rsidRPr="00672E6F">
        <w:rPr>
          <w:rFonts w:cs="Times New Roman"/>
        </w:rPr>
        <w:t xml:space="preserve"> Article 16 of the Strategy clarifies objectives and tasks with regard to Internally Displaced Persons. It elaborates that improvements are needed in the living conditions, social provisions, and inclusion of IDPs living near borders of occupied territories.</w:t>
      </w:r>
    </w:p>
    <w:p w14:paraId="46F03405" w14:textId="77777777" w:rsidR="00672E6F" w:rsidRPr="00672E6F" w:rsidRDefault="00672E6F" w:rsidP="00672E6F">
      <w:pPr>
        <w:widowControl w:val="0"/>
        <w:autoSpaceDE w:val="0"/>
        <w:autoSpaceDN w:val="0"/>
        <w:adjustRightInd w:val="0"/>
        <w:rPr>
          <w:rFonts w:cs="Times New Roman"/>
        </w:rPr>
      </w:pPr>
      <w:r w:rsidRPr="00672E6F">
        <w:rPr>
          <w:rFonts w:cs="Times New Roman"/>
        </w:rPr>
        <w:t xml:space="preserve"> </w:t>
      </w:r>
    </w:p>
    <w:p w14:paraId="08086F46" w14:textId="77777777" w:rsidR="00672E6F" w:rsidRPr="00672E6F" w:rsidRDefault="00672E6F" w:rsidP="00672E6F">
      <w:pPr>
        <w:widowControl w:val="0"/>
        <w:autoSpaceDE w:val="0"/>
        <w:autoSpaceDN w:val="0"/>
        <w:adjustRightInd w:val="0"/>
        <w:rPr>
          <w:rFonts w:cs="Times New Roman"/>
        </w:rPr>
      </w:pPr>
      <w:r w:rsidRPr="00672E6F">
        <w:rPr>
          <w:rFonts w:cs="Times New Roman"/>
        </w:rPr>
        <w:lastRenderedPageBreak/>
        <w:t>In section 15, the Strategy outlines its aims to strengthen the legal and social rights of IDPs through policy formation, provide legal and social protection of displaced persons as a result of natural or human-made disasters, and to realize the rights of repatriates forcefully exiled by the former USSR from the former Soviet Socialist Republic of Georgia in the 1940s.</w:t>
      </w:r>
    </w:p>
    <w:p w14:paraId="46A18089" w14:textId="77777777" w:rsidR="00672E6F" w:rsidRPr="00672E6F" w:rsidRDefault="00672E6F" w:rsidP="00672E6F">
      <w:pPr>
        <w:widowControl w:val="0"/>
        <w:autoSpaceDE w:val="0"/>
        <w:autoSpaceDN w:val="0"/>
        <w:adjustRightInd w:val="0"/>
        <w:rPr>
          <w:rFonts w:cs="Times New Roman"/>
        </w:rPr>
      </w:pPr>
    </w:p>
    <w:p w14:paraId="3CCCD2C6" w14:textId="77777777" w:rsidR="00672E6F" w:rsidRPr="00672E6F" w:rsidRDefault="00672E6F" w:rsidP="00672E6F">
      <w:pPr>
        <w:rPr>
          <w:rFonts w:eastAsia="Times New Roman" w:cs="Times New Roman"/>
        </w:rPr>
      </w:pPr>
      <w:r w:rsidRPr="00672E6F">
        <w:rPr>
          <w:rFonts w:cs="Times New Roman"/>
        </w:rPr>
        <w:t>The Action Plan that backs the Strategy provides more detailed description of actions and measures to be taken, and sets timeframe and assessment indicators. T</w:t>
      </w:r>
      <w:r w:rsidRPr="00672E6F">
        <w:rPr>
          <w:rFonts w:eastAsia="Times New Roman" w:cs="Times New Roman"/>
        </w:rPr>
        <w:t xml:space="preserve">he Action Plan Interagency Coordination Council for Human Rights headed by the Prime Minister of Georgia is responsible for the implementation of the Action Plan. </w:t>
      </w:r>
    </w:p>
    <w:p w14:paraId="18BEC8F4" w14:textId="77777777" w:rsidR="00672E6F" w:rsidRPr="00672E6F" w:rsidRDefault="00672E6F" w:rsidP="00672E6F">
      <w:pPr>
        <w:rPr>
          <w:rFonts w:cs="Times New Roman"/>
          <w:b/>
        </w:rPr>
      </w:pPr>
    </w:p>
    <w:p w14:paraId="6A2FF601" w14:textId="77777777" w:rsidR="00672E6F" w:rsidRPr="00672E6F" w:rsidRDefault="00672E6F" w:rsidP="00672E6F">
      <w:pPr>
        <w:widowControl w:val="0"/>
        <w:autoSpaceDE w:val="0"/>
        <w:autoSpaceDN w:val="0"/>
        <w:adjustRightInd w:val="0"/>
        <w:rPr>
          <w:rFonts w:cs="Times New Roman"/>
        </w:rPr>
      </w:pPr>
      <w:r w:rsidRPr="00672E6F">
        <w:rPr>
          <w:rFonts w:cs="Times New Roman"/>
          <w:b/>
        </w:rPr>
        <w:t>The Law of Georgia on Gender Equality</w:t>
      </w:r>
      <w:r w:rsidRPr="00672E6F">
        <w:rPr>
          <w:rStyle w:val="FootnoteReference"/>
          <w:rFonts w:cs="Times New Roman"/>
          <w:b/>
        </w:rPr>
        <w:footnoteReference w:id="125"/>
      </w:r>
      <w:r w:rsidRPr="00672E6F">
        <w:rPr>
          <w:rFonts w:cs="Times New Roman"/>
        </w:rPr>
        <w:t xml:space="preserve"> ensures that there is no discrimination in any sphere of public life against women and that all rights, freedoms and opportunities provided for in the Constitution of Georgia are equally accessible to both men and women. The Law is of special importance for internally displaced women who are often victims of multiple incidents of discrimination and social exclusion in political, economic, social, and cultural life. According to the Law, local self-government units shall develop the budget, programs, and plans in ways that preclude any type of gender inequality (Article 13). </w:t>
      </w:r>
    </w:p>
    <w:p w14:paraId="4CFD7B80" w14:textId="77777777" w:rsidR="00672E6F" w:rsidRPr="00672E6F" w:rsidRDefault="00672E6F" w:rsidP="00672E6F">
      <w:pPr>
        <w:rPr>
          <w:rFonts w:cs="Times New Roman"/>
          <w:b/>
        </w:rPr>
      </w:pPr>
    </w:p>
    <w:p w14:paraId="3377AFFF" w14:textId="77777777" w:rsidR="00672E6F" w:rsidRPr="00672E6F" w:rsidRDefault="00672E6F" w:rsidP="00672E6F">
      <w:pPr>
        <w:widowControl w:val="0"/>
        <w:autoSpaceDE w:val="0"/>
        <w:autoSpaceDN w:val="0"/>
        <w:adjustRightInd w:val="0"/>
        <w:rPr>
          <w:rFonts w:cs="Times New Roman"/>
        </w:rPr>
      </w:pPr>
      <w:r w:rsidRPr="00672E6F">
        <w:rPr>
          <w:rFonts w:cs="Times New Roman"/>
          <w:b/>
        </w:rPr>
        <w:t>The Election Code of Georgia</w:t>
      </w:r>
      <w:r w:rsidRPr="00672E6F">
        <w:rPr>
          <w:rStyle w:val="FootnoteReference"/>
          <w:rFonts w:cs="Times New Roman"/>
          <w:b/>
        </w:rPr>
        <w:footnoteReference w:id="126"/>
      </w:r>
      <w:r w:rsidRPr="00672E6F">
        <w:rPr>
          <w:rFonts w:cs="Times New Roman"/>
        </w:rPr>
        <w:t xml:space="preserve"> regulates and establishes the rights and procedures with regard to elections, plebiscites, and referenda. The Code defines the procedure for the establishment of the Electoral Administration of Georgia and the procedure for resolution of disputes (Article 1).</w:t>
      </w:r>
      <w:r w:rsidRPr="00672E6F">
        <w:rPr>
          <w:rStyle w:val="FootnoteReference"/>
          <w:rFonts w:cs="Times New Roman"/>
        </w:rPr>
        <w:footnoteReference w:id="127"/>
      </w:r>
      <w:r w:rsidRPr="00672E6F">
        <w:rPr>
          <w:rFonts w:cs="Times New Roman"/>
        </w:rPr>
        <w:t xml:space="preserve"> The Code stipulates that a unified list of voters shall be, at least in part, created from the data communicated by the MAR and/or its territorial agencies. The amended code abolished the norms that had prevented IDPs from voting and participating fully on all levels in public and political affairs.</w:t>
      </w:r>
    </w:p>
    <w:p w14:paraId="11A7A2F4" w14:textId="77777777" w:rsidR="00672E6F" w:rsidRPr="00672E6F" w:rsidRDefault="00672E6F" w:rsidP="00672E6F">
      <w:pPr>
        <w:rPr>
          <w:rFonts w:cs="Times New Roman"/>
        </w:rPr>
      </w:pPr>
    </w:p>
    <w:p w14:paraId="672331E5" w14:textId="77777777" w:rsidR="00672E6F" w:rsidRPr="00672E6F" w:rsidRDefault="00672E6F" w:rsidP="00672E6F">
      <w:pPr>
        <w:widowControl w:val="0"/>
        <w:autoSpaceDE w:val="0"/>
        <w:autoSpaceDN w:val="0"/>
        <w:adjustRightInd w:val="0"/>
        <w:rPr>
          <w:rFonts w:cs="Times New Roman"/>
        </w:rPr>
      </w:pPr>
      <w:r w:rsidRPr="00672E6F">
        <w:rPr>
          <w:rFonts w:cs="Times New Roman"/>
          <w:b/>
        </w:rPr>
        <w:t>The Law on Elimination of all Forms of Discrimination</w:t>
      </w:r>
      <w:r w:rsidRPr="00672E6F">
        <w:rPr>
          <w:rStyle w:val="FootnoteReference"/>
          <w:rFonts w:cs="Times New Roman"/>
          <w:b/>
        </w:rPr>
        <w:footnoteReference w:id="128"/>
      </w:r>
      <w:r w:rsidRPr="00672E6F">
        <w:rPr>
          <w:rFonts w:cs="Times New Roman"/>
          <w:b/>
        </w:rPr>
        <w:t xml:space="preserve"> </w:t>
      </w:r>
      <w:r w:rsidRPr="00672E6F">
        <w:rPr>
          <w:rFonts w:cs="Times New Roman"/>
        </w:rPr>
        <w:t>is yet another important law for IDPs in Georgia. The newly adopted Law expands protection in Georgian anti-discrimination legislation. It includes protected groups that are not included, for example, in the article 7 of the Law on IDPs that has closed list of protected grounds. The Law on elimination of all Forms of Discrimination includes   ‘sexual orientation’ and ‘gender identity and expression’ as protected grounds. T</w:t>
      </w:r>
      <w:r w:rsidRPr="00672E6F">
        <w:rPr>
          <w:rFonts w:eastAsia="Times New Roman" w:cs="Times New Roman"/>
        </w:rPr>
        <w:t xml:space="preserve">his law is not limited to protection for IDPs and instead covers all citizens against discrimination. </w:t>
      </w:r>
      <w:r w:rsidRPr="00672E6F">
        <w:rPr>
          <w:rFonts w:cs="Times New Roman"/>
        </w:rPr>
        <w:t>The Office of the Public Defender holds responsibility for the implementation of this law.</w:t>
      </w:r>
    </w:p>
    <w:p w14:paraId="4C3E146E" w14:textId="77777777" w:rsidR="00672E6F" w:rsidRPr="00672E6F" w:rsidRDefault="00672E6F" w:rsidP="00672E6F">
      <w:pPr>
        <w:rPr>
          <w:rFonts w:cs="Times New Roman"/>
        </w:rPr>
      </w:pPr>
    </w:p>
    <w:p w14:paraId="04A28B91" w14:textId="77777777" w:rsidR="00672E6F" w:rsidRPr="00672E6F" w:rsidRDefault="00672E6F" w:rsidP="00672E6F">
      <w:pPr>
        <w:rPr>
          <w:rFonts w:cs="Times New Roman"/>
        </w:rPr>
      </w:pPr>
      <w:r w:rsidRPr="00672E6F">
        <w:rPr>
          <w:rFonts w:cs="Times New Roman"/>
          <w:b/>
        </w:rPr>
        <w:t xml:space="preserve">The Labor Code of Georgia </w:t>
      </w:r>
      <w:r w:rsidRPr="00672E6F">
        <w:rPr>
          <w:rFonts w:cs="Times New Roman"/>
        </w:rPr>
        <w:t>does not stipulate protection from discrimination based on internal displacement. Additionally, the prohibition of discrimination and related protections are not unified and differ between the constitution and the various laws.</w:t>
      </w:r>
    </w:p>
    <w:p w14:paraId="6AD0F7B7" w14:textId="77777777" w:rsidR="00672E6F" w:rsidRPr="00672E6F" w:rsidRDefault="00672E6F" w:rsidP="00672E6F">
      <w:pPr>
        <w:pStyle w:val="NormalWeb"/>
        <w:jc w:val="both"/>
        <w:rPr>
          <w:rFonts w:asciiTheme="minorHAnsi" w:hAnsiTheme="minorHAnsi"/>
          <w:b/>
          <w:sz w:val="22"/>
          <w:szCs w:val="22"/>
        </w:rPr>
      </w:pPr>
      <w:r w:rsidRPr="00672E6F">
        <w:rPr>
          <w:rFonts w:asciiTheme="minorHAnsi" w:hAnsiTheme="minorHAnsi"/>
          <w:b/>
          <w:sz w:val="22"/>
          <w:szCs w:val="22"/>
        </w:rPr>
        <w:t xml:space="preserve">The National Action Plan 2014-2016 for the Equal Opportunities for the People with Disabilities </w:t>
      </w:r>
      <w:r w:rsidRPr="00672E6F">
        <w:rPr>
          <w:rFonts w:asciiTheme="minorHAnsi" w:hAnsiTheme="minorHAnsi"/>
          <w:sz w:val="22"/>
          <w:szCs w:val="22"/>
        </w:rPr>
        <w:t xml:space="preserve">aims inclusion of persons with disabilities in decision-making processes. In this way the government of Georgia </w:t>
      </w:r>
      <w:r w:rsidRPr="00672E6F">
        <w:rPr>
          <w:rFonts w:asciiTheme="minorHAnsi" w:hAnsiTheme="minorHAnsi"/>
          <w:sz w:val="22"/>
          <w:szCs w:val="22"/>
        </w:rPr>
        <w:lastRenderedPageBreak/>
        <w:t xml:space="preserve">aims to include voices of persons with disabilities in strategies, action plans and other programs that have impact on this part of the population. </w:t>
      </w:r>
    </w:p>
    <w:p w14:paraId="6DBC109A" w14:textId="77777777" w:rsidR="00672E6F" w:rsidRPr="00672E6F" w:rsidRDefault="00672E6F" w:rsidP="00672E6F">
      <w:pPr>
        <w:pStyle w:val="NormalWeb"/>
        <w:jc w:val="both"/>
        <w:rPr>
          <w:rFonts w:asciiTheme="minorHAnsi" w:hAnsiTheme="minorHAnsi"/>
          <w:sz w:val="22"/>
          <w:szCs w:val="22"/>
        </w:rPr>
      </w:pPr>
      <w:r w:rsidRPr="00672E6F">
        <w:rPr>
          <w:rFonts w:asciiTheme="minorHAnsi" w:hAnsiTheme="minorHAnsi"/>
          <w:sz w:val="22"/>
          <w:szCs w:val="22"/>
        </w:rPr>
        <w:t xml:space="preserve"> “This Action Plan is extremely important for IDPs since </w:t>
      </w:r>
      <w:r w:rsidRPr="00672E6F">
        <w:rPr>
          <w:rFonts w:asciiTheme="minorHAnsi" w:hAnsiTheme="minorHAnsi"/>
          <w:bCs/>
          <w:sz w:val="22"/>
          <w:szCs w:val="22"/>
        </w:rPr>
        <w:t>the percentage of people with disabilities is also considerably higher among IDPs than among non IDPs. According to the HIS for 2011 to 2013 the percentage of people with disabilities among IDPs was 8.56% and among non IDPs 6.8%. According to the information reported in the UNDP 2011 Survey, this difference is even higher, since the percentage of people with disabilities among IDPs is 19.7% and among non IDPs is 6.96%.”</w:t>
      </w:r>
      <w:r w:rsidRPr="00672E6F">
        <w:rPr>
          <w:rStyle w:val="FootnoteReference"/>
          <w:rFonts w:asciiTheme="minorHAnsi" w:hAnsiTheme="minorHAnsi"/>
          <w:bCs/>
          <w:sz w:val="22"/>
          <w:szCs w:val="22"/>
        </w:rPr>
        <w:footnoteReference w:id="129"/>
      </w:r>
    </w:p>
    <w:p w14:paraId="62D5DE27" w14:textId="77777777" w:rsidR="00672E6F" w:rsidRPr="00672E6F" w:rsidRDefault="00672E6F" w:rsidP="00672E6F">
      <w:pPr>
        <w:widowControl w:val="0"/>
        <w:autoSpaceDE w:val="0"/>
        <w:autoSpaceDN w:val="0"/>
        <w:adjustRightInd w:val="0"/>
        <w:rPr>
          <w:rFonts w:cs="Times New Roman"/>
        </w:rPr>
      </w:pPr>
    </w:p>
    <w:tbl>
      <w:tblPr>
        <w:tblStyle w:val="TableGrid"/>
        <w:tblW w:w="10260" w:type="dxa"/>
        <w:tblInd w:w="108" w:type="dxa"/>
        <w:tblLook w:val="0000" w:firstRow="0" w:lastRow="0" w:firstColumn="0" w:lastColumn="0" w:noHBand="0" w:noVBand="0"/>
      </w:tblPr>
      <w:tblGrid>
        <w:gridCol w:w="8730"/>
        <w:gridCol w:w="1530"/>
      </w:tblGrid>
      <w:tr w:rsidR="00672E6F" w:rsidRPr="00672E6F" w14:paraId="1857BA04" w14:textId="77777777" w:rsidTr="00D46076">
        <w:trPr>
          <w:trHeight w:val="280"/>
        </w:trPr>
        <w:tc>
          <w:tcPr>
            <w:tcW w:w="8730" w:type="dxa"/>
          </w:tcPr>
          <w:p w14:paraId="41B861E6" w14:textId="77777777" w:rsidR="00672E6F" w:rsidRPr="00672E6F" w:rsidRDefault="00672E6F" w:rsidP="00D46076">
            <w:pPr>
              <w:widowControl w:val="0"/>
              <w:autoSpaceDE w:val="0"/>
              <w:autoSpaceDN w:val="0"/>
              <w:adjustRightInd w:val="0"/>
              <w:rPr>
                <w:rFonts w:cs="Times New Roman"/>
                <w:b/>
                <w:lang w:val="en-US"/>
              </w:rPr>
            </w:pPr>
            <w:r w:rsidRPr="00672E6F">
              <w:rPr>
                <w:rFonts w:cs="Times New Roman"/>
                <w:b/>
                <w:lang w:val="en-US"/>
              </w:rPr>
              <w:t>List of Relevant International Instruments to which Georgia is a Party:</w:t>
            </w:r>
            <w:r w:rsidRPr="00672E6F">
              <w:rPr>
                <w:rStyle w:val="FootnoteReference"/>
                <w:rFonts w:cs="Times New Roman"/>
                <w:b/>
                <w:lang w:val="en-US"/>
              </w:rPr>
              <w:footnoteReference w:id="130"/>
            </w:r>
          </w:p>
        </w:tc>
        <w:tc>
          <w:tcPr>
            <w:tcW w:w="1530" w:type="dxa"/>
          </w:tcPr>
          <w:p w14:paraId="59908553" w14:textId="77777777" w:rsidR="00672E6F" w:rsidRPr="00672E6F" w:rsidRDefault="00672E6F" w:rsidP="00D46076">
            <w:pPr>
              <w:widowControl w:val="0"/>
              <w:autoSpaceDE w:val="0"/>
              <w:autoSpaceDN w:val="0"/>
              <w:adjustRightInd w:val="0"/>
              <w:jc w:val="center"/>
              <w:rPr>
                <w:rFonts w:cs="Times New Roman"/>
                <w:b/>
                <w:lang w:val="en-US"/>
              </w:rPr>
            </w:pPr>
            <w:r w:rsidRPr="00672E6F">
              <w:rPr>
                <w:rFonts w:cs="Times New Roman"/>
                <w:b/>
                <w:lang w:val="en-US"/>
              </w:rPr>
              <w:t>Date of Ratification</w:t>
            </w:r>
          </w:p>
        </w:tc>
      </w:tr>
      <w:tr w:rsidR="00672E6F" w:rsidRPr="00672E6F" w14:paraId="3DBD6695" w14:textId="77777777" w:rsidTr="00D46076">
        <w:tblPrEx>
          <w:tblLook w:val="04A0" w:firstRow="1" w:lastRow="0" w:firstColumn="1" w:lastColumn="0" w:noHBand="0" w:noVBand="1"/>
        </w:tblPrEx>
        <w:tc>
          <w:tcPr>
            <w:tcW w:w="8730" w:type="dxa"/>
          </w:tcPr>
          <w:p w14:paraId="7887DE67" w14:textId="77777777" w:rsidR="00672E6F" w:rsidRPr="00672E6F" w:rsidRDefault="00672E6F" w:rsidP="00672E6F">
            <w:pPr>
              <w:pStyle w:val="ListParagraph"/>
              <w:widowControl w:val="0"/>
              <w:numPr>
                <w:ilvl w:val="0"/>
                <w:numId w:val="21"/>
              </w:numPr>
              <w:autoSpaceDE w:val="0"/>
              <w:autoSpaceDN w:val="0"/>
              <w:adjustRightInd w:val="0"/>
              <w:spacing w:after="0"/>
              <w:rPr>
                <w:rFonts w:cs="Times New Roman"/>
                <w:lang w:val="en-US"/>
              </w:rPr>
            </w:pPr>
            <w:r w:rsidRPr="00672E6F">
              <w:rPr>
                <w:rFonts w:cs="Times New Roman"/>
                <w:lang w:val="en-US"/>
              </w:rPr>
              <w:t xml:space="preserve">International Covenant on Economic, Social and Cultural Rights (1966) </w:t>
            </w:r>
          </w:p>
        </w:tc>
        <w:tc>
          <w:tcPr>
            <w:tcW w:w="1530" w:type="dxa"/>
            <w:shd w:val="clear" w:color="auto" w:fill="auto"/>
          </w:tcPr>
          <w:p w14:paraId="0F6C030B" w14:textId="77777777" w:rsidR="00672E6F" w:rsidRPr="00672E6F" w:rsidRDefault="00672E6F" w:rsidP="00D46076">
            <w:pPr>
              <w:rPr>
                <w:rFonts w:cs="Times New Roman"/>
                <w:lang w:val="en-US"/>
              </w:rPr>
            </w:pPr>
            <w:r w:rsidRPr="00672E6F">
              <w:rPr>
                <w:rFonts w:cs="Times New Roman"/>
                <w:lang w:val="en-US"/>
              </w:rPr>
              <w:t>3 May 1994</w:t>
            </w:r>
          </w:p>
        </w:tc>
      </w:tr>
      <w:tr w:rsidR="00672E6F" w:rsidRPr="00672E6F" w14:paraId="49A0544C" w14:textId="77777777" w:rsidTr="00D46076">
        <w:tblPrEx>
          <w:tblLook w:val="04A0" w:firstRow="1" w:lastRow="0" w:firstColumn="1" w:lastColumn="0" w:noHBand="0" w:noVBand="1"/>
        </w:tblPrEx>
        <w:tc>
          <w:tcPr>
            <w:tcW w:w="8730" w:type="dxa"/>
          </w:tcPr>
          <w:p w14:paraId="261534B4" w14:textId="77777777" w:rsidR="00672E6F" w:rsidRPr="00672E6F" w:rsidRDefault="00672E6F" w:rsidP="00672E6F">
            <w:pPr>
              <w:pStyle w:val="ListParagraph"/>
              <w:widowControl w:val="0"/>
              <w:numPr>
                <w:ilvl w:val="0"/>
                <w:numId w:val="21"/>
              </w:numPr>
              <w:autoSpaceDE w:val="0"/>
              <w:autoSpaceDN w:val="0"/>
              <w:adjustRightInd w:val="0"/>
              <w:spacing w:after="0"/>
              <w:rPr>
                <w:rFonts w:cs="Times New Roman"/>
                <w:lang w:val="en-US"/>
              </w:rPr>
            </w:pPr>
            <w:r w:rsidRPr="00672E6F">
              <w:rPr>
                <w:rFonts w:cs="Times New Roman"/>
                <w:lang w:val="en-US"/>
              </w:rPr>
              <w:t xml:space="preserve">International Covenant on Civil and Political Rights (1966) </w:t>
            </w:r>
          </w:p>
          <w:p w14:paraId="16939750" w14:textId="77777777" w:rsidR="00672E6F" w:rsidRPr="00672E6F" w:rsidRDefault="00672E6F" w:rsidP="00672E6F">
            <w:pPr>
              <w:pStyle w:val="ListParagraph"/>
              <w:widowControl w:val="0"/>
              <w:numPr>
                <w:ilvl w:val="0"/>
                <w:numId w:val="21"/>
              </w:numPr>
              <w:autoSpaceDE w:val="0"/>
              <w:autoSpaceDN w:val="0"/>
              <w:adjustRightInd w:val="0"/>
              <w:spacing w:after="0"/>
              <w:rPr>
                <w:rFonts w:cs="Times New Roman"/>
                <w:lang w:val="en-US"/>
              </w:rPr>
            </w:pPr>
            <w:r w:rsidRPr="00672E6F">
              <w:rPr>
                <w:rFonts w:cs="Times New Roman"/>
                <w:lang w:val="en-US"/>
              </w:rPr>
              <w:t xml:space="preserve">Optional Protocol (1966) </w:t>
            </w:r>
          </w:p>
          <w:p w14:paraId="37209B33" w14:textId="77777777" w:rsidR="00672E6F" w:rsidRPr="00672E6F" w:rsidRDefault="00672E6F" w:rsidP="00672E6F">
            <w:pPr>
              <w:pStyle w:val="ListParagraph"/>
              <w:widowControl w:val="0"/>
              <w:numPr>
                <w:ilvl w:val="0"/>
                <w:numId w:val="21"/>
              </w:numPr>
              <w:autoSpaceDE w:val="0"/>
              <w:autoSpaceDN w:val="0"/>
              <w:adjustRightInd w:val="0"/>
              <w:spacing w:after="0"/>
              <w:rPr>
                <w:rFonts w:cs="Times New Roman"/>
                <w:lang w:val="en-US"/>
              </w:rPr>
            </w:pPr>
            <w:r w:rsidRPr="00672E6F">
              <w:rPr>
                <w:rFonts w:cs="Times New Roman"/>
                <w:lang w:val="en-US"/>
              </w:rPr>
              <w:t>Second Optional Protocol aimed at the abolition of the Death Penalty</w:t>
            </w:r>
          </w:p>
        </w:tc>
        <w:tc>
          <w:tcPr>
            <w:tcW w:w="1530" w:type="dxa"/>
            <w:shd w:val="clear" w:color="auto" w:fill="auto"/>
          </w:tcPr>
          <w:p w14:paraId="78EEC3C6" w14:textId="77777777" w:rsidR="00672E6F" w:rsidRPr="00672E6F" w:rsidRDefault="00672E6F" w:rsidP="00D46076">
            <w:pPr>
              <w:rPr>
                <w:rFonts w:cs="Times New Roman"/>
                <w:lang w:val="en-US"/>
              </w:rPr>
            </w:pPr>
            <w:r w:rsidRPr="00672E6F">
              <w:rPr>
                <w:rFonts w:cs="Times New Roman"/>
                <w:lang w:val="en-US"/>
              </w:rPr>
              <w:t>3 May 1994</w:t>
            </w:r>
          </w:p>
          <w:p w14:paraId="7AD9715F" w14:textId="77777777" w:rsidR="00672E6F" w:rsidRPr="00672E6F" w:rsidRDefault="00672E6F" w:rsidP="00D46076">
            <w:pPr>
              <w:rPr>
                <w:rFonts w:cs="Times New Roman"/>
                <w:lang w:val="en-US"/>
              </w:rPr>
            </w:pPr>
            <w:r w:rsidRPr="00672E6F">
              <w:rPr>
                <w:rFonts w:cs="Times New Roman"/>
                <w:lang w:val="en-US"/>
              </w:rPr>
              <w:t>3 May 1994</w:t>
            </w:r>
          </w:p>
          <w:p w14:paraId="02DF3FD4" w14:textId="77777777" w:rsidR="00672E6F" w:rsidRPr="00672E6F" w:rsidRDefault="00672E6F" w:rsidP="00D46076">
            <w:pPr>
              <w:rPr>
                <w:rFonts w:cs="Times New Roman"/>
                <w:lang w:val="en-US"/>
              </w:rPr>
            </w:pPr>
            <w:r w:rsidRPr="00672E6F">
              <w:rPr>
                <w:rFonts w:cs="Times New Roman"/>
                <w:lang w:val="en-US"/>
              </w:rPr>
              <w:t>22 Mar 1999</w:t>
            </w:r>
          </w:p>
        </w:tc>
      </w:tr>
      <w:tr w:rsidR="00672E6F" w:rsidRPr="00672E6F" w14:paraId="42787F76" w14:textId="77777777" w:rsidTr="00D46076">
        <w:tblPrEx>
          <w:tblLook w:val="04A0" w:firstRow="1" w:lastRow="0" w:firstColumn="1" w:lastColumn="0" w:noHBand="0" w:noVBand="1"/>
        </w:tblPrEx>
        <w:tc>
          <w:tcPr>
            <w:tcW w:w="8730" w:type="dxa"/>
          </w:tcPr>
          <w:p w14:paraId="26CECEDD" w14:textId="77777777" w:rsidR="00672E6F" w:rsidRPr="00672E6F" w:rsidRDefault="00672E6F" w:rsidP="00672E6F">
            <w:pPr>
              <w:pStyle w:val="ListParagraph"/>
              <w:widowControl w:val="0"/>
              <w:numPr>
                <w:ilvl w:val="0"/>
                <w:numId w:val="21"/>
              </w:numPr>
              <w:autoSpaceDE w:val="0"/>
              <w:autoSpaceDN w:val="0"/>
              <w:adjustRightInd w:val="0"/>
              <w:spacing w:after="0"/>
              <w:rPr>
                <w:rFonts w:cs="Times New Roman"/>
                <w:lang w:val="en-US"/>
              </w:rPr>
            </w:pPr>
            <w:r w:rsidRPr="00672E6F">
              <w:rPr>
                <w:rFonts w:cs="Times New Roman"/>
                <w:lang w:val="en-US"/>
              </w:rPr>
              <w:t xml:space="preserve">Convention on the Rights of the Child (1990) </w:t>
            </w:r>
          </w:p>
          <w:p w14:paraId="66E2CA4D" w14:textId="77777777" w:rsidR="00672E6F" w:rsidRPr="00672E6F" w:rsidRDefault="00672E6F" w:rsidP="00672E6F">
            <w:pPr>
              <w:pStyle w:val="ListParagraph"/>
              <w:widowControl w:val="0"/>
              <w:numPr>
                <w:ilvl w:val="0"/>
                <w:numId w:val="21"/>
              </w:numPr>
              <w:autoSpaceDE w:val="0"/>
              <w:autoSpaceDN w:val="0"/>
              <w:adjustRightInd w:val="0"/>
              <w:spacing w:after="0"/>
              <w:rPr>
                <w:rFonts w:cs="Times New Roman"/>
                <w:lang w:val="en-US"/>
              </w:rPr>
            </w:pPr>
            <w:r w:rsidRPr="00672E6F">
              <w:rPr>
                <w:rFonts w:cs="Times New Roman"/>
                <w:lang w:val="en-US"/>
              </w:rPr>
              <w:t xml:space="preserve">Optional Protocol on the Rights of the Child on the involvement of children in armed conflict (2000) </w:t>
            </w:r>
          </w:p>
          <w:p w14:paraId="2577D9E5" w14:textId="77777777" w:rsidR="00672E6F" w:rsidRPr="00672E6F" w:rsidRDefault="00672E6F" w:rsidP="00672E6F">
            <w:pPr>
              <w:pStyle w:val="ListParagraph"/>
              <w:widowControl w:val="0"/>
              <w:numPr>
                <w:ilvl w:val="0"/>
                <w:numId w:val="21"/>
              </w:numPr>
              <w:autoSpaceDE w:val="0"/>
              <w:autoSpaceDN w:val="0"/>
              <w:adjustRightInd w:val="0"/>
              <w:spacing w:after="0"/>
              <w:rPr>
                <w:rFonts w:cs="Times New Roman"/>
                <w:lang w:val="en-US"/>
              </w:rPr>
            </w:pPr>
            <w:r w:rsidRPr="00672E6F">
              <w:rPr>
                <w:rFonts w:cs="Times New Roman"/>
                <w:lang w:val="en-US"/>
              </w:rPr>
              <w:t>Optional Protocol on the Rights of the Child on the Sale of Children, Child prostitution and Child Pornography (2000)</w:t>
            </w:r>
          </w:p>
        </w:tc>
        <w:tc>
          <w:tcPr>
            <w:tcW w:w="1530" w:type="dxa"/>
            <w:shd w:val="clear" w:color="auto" w:fill="auto"/>
          </w:tcPr>
          <w:p w14:paraId="01EEEB94" w14:textId="77777777" w:rsidR="00672E6F" w:rsidRPr="00672E6F" w:rsidRDefault="00672E6F" w:rsidP="00D46076">
            <w:pPr>
              <w:rPr>
                <w:rFonts w:cs="Times New Roman"/>
                <w:lang w:val="en-US"/>
              </w:rPr>
            </w:pPr>
            <w:r w:rsidRPr="00672E6F">
              <w:rPr>
                <w:rFonts w:cs="Times New Roman"/>
                <w:lang w:val="en-US"/>
              </w:rPr>
              <w:t xml:space="preserve"> 2 Jun 1994</w:t>
            </w:r>
          </w:p>
          <w:p w14:paraId="45D047E2" w14:textId="77777777" w:rsidR="00672E6F" w:rsidRPr="00672E6F" w:rsidRDefault="00672E6F" w:rsidP="00D46076">
            <w:pPr>
              <w:rPr>
                <w:rFonts w:cs="Times New Roman"/>
                <w:lang w:val="en-US"/>
              </w:rPr>
            </w:pPr>
          </w:p>
          <w:p w14:paraId="62628F01" w14:textId="77777777" w:rsidR="00672E6F" w:rsidRPr="00672E6F" w:rsidRDefault="00672E6F" w:rsidP="00D46076">
            <w:pPr>
              <w:rPr>
                <w:rFonts w:cs="Times New Roman"/>
                <w:lang w:val="en-US"/>
              </w:rPr>
            </w:pPr>
            <w:r w:rsidRPr="00672E6F">
              <w:rPr>
                <w:rFonts w:cs="Times New Roman"/>
                <w:lang w:val="en-US"/>
              </w:rPr>
              <w:t>3 Aug 2010</w:t>
            </w:r>
          </w:p>
          <w:p w14:paraId="7A150B67" w14:textId="77777777" w:rsidR="00672E6F" w:rsidRPr="00672E6F" w:rsidRDefault="00672E6F" w:rsidP="00D46076">
            <w:pPr>
              <w:rPr>
                <w:rFonts w:cs="Times New Roman"/>
                <w:lang w:val="en-US"/>
              </w:rPr>
            </w:pPr>
          </w:p>
          <w:p w14:paraId="146359CB" w14:textId="77777777" w:rsidR="00672E6F" w:rsidRPr="00672E6F" w:rsidRDefault="00672E6F" w:rsidP="00D46076">
            <w:pPr>
              <w:rPr>
                <w:rFonts w:cs="Times New Roman"/>
                <w:lang w:val="en-US"/>
              </w:rPr>
            </w:pPr>
            <w:r w:rsidRPr="00672E6F">
              <w:rPr>
                <w:rFonts w:cs="Times New Roman"/>
                <w:lang w:val="en-US"/>
              </w:rPr>
              <w:t>28 Jun 2005</w:t>
            </w:r>
          </w:p>
        </w:tc>
      </w:tr>
      <w:tr w:rsidR="00672E6F" w:rsidRPr="00672E6F" w14:paraId="23060721" w14:textId="77777777" w:rsidTr="00D46076">
        <w:tblPrEx>
          <w:tblLook w:val="04A0" w:firstRow="1" w:lastRow="0" w:firstColumn="1" w:lastColumn="0" w:noHBand="0" w:noVBand="1"/>
        </w:tblPrEx>
        <w:tc>
          <w:tcPr>
            <w:tcW w:w="8730" w:type="dxa"/>
          </w:tcPr>
          <w:p w14:paraId="23BEACFB" w14:textId="77777777" w:rsidR="00672E6F" w:rsidRPr="00672E6F" w:rsidRDefault="00672E6F" w:rsidP="00672E6F">
            <w:pPr>
              <w:pStyle w:val="ListParagraph"/>
              <w:widowControl w:val="0"/>
              <w:numPr>
                <w:ilvl w:val="0"/>
                <w:numId w:val="21"/>
              </w:numPr>
              <w:autoSpaceDE w:val="0"/>
              <w:autoSpaceDN w:val="0"/>
              <w:adjustRightInd w:val="0"/>
              <w:spacing w:after="0"/>
              <w:rPr>
                <w:rFonts w:cs="Times New Roman"/>
                <w:lang w:val="en-US"/>
              </w:rPr>
            </w:pPr>
            <w:r w:rsidRPr="00672E6F">
              <w:rPr>
                <w:rFonts w:cs="Times New Roman"/>
                <w:lang w:val="en-US"/>
              </w:rPr>
              <w:t>Geneva Conventions (1949)</w:t>
            </w:r>
          </w:p>
        </w:tc>
        <w:tc>
          <w:tcPr>
            <w:tcW w:w="1530" w:type="dxa"/>
            <w:shd w:val="clear" w:color="auto" w:fill="auto"/>
          </w:tcPr>
          <w:p w14:paraId="64FEEE3A" w14:textId="77777777" w:rsidR="00672E6F" w:rsidRPr="00672E6F" w:rsidRDefault="00672E6F" w:rsidP="00D46076">
            <w:pPr>
              <w:rPr>
                <w:rFonts w:cs="Times New Roman"/>
                <w:lang w:val="en-US"/>
              </w:rPr>
            </w:pPr>
          </w:p>
        </w:tc>
      </w:tr>
      <w:tr w:rsidR="00672E6F" w:rsidRPr="00672E6F" w14:paraId="731B9A18" w14:textId="77777777" w:rsidTr="00D46076">
        <w:tblPrEx>
          <w:tblLook w:val="04A0" w:firstRow="1" w:lastRow="0" w:firstColumn="1" w:lastColumn="0" w:noHBand="0" w:noVBand="1"/>
        </w:tblPrEx>
        <w:tc>
          <w:tcPr>
            <w:tcW w:w="8730" w:type="dxa"/>
          </w:tcPr>
          <w:p w14:paraId="394C5195" w14:textId="77777777" w:rsidR="00672E6F" w:rsidRPr="00672E6F" w:rsidRDefault="00672E6F" w:rsidP="00672E6F">
            <w:pPr>
              <w:pStyle w:val="ListParagraph"/>
              <w:widowControl w:val="0"/>
              <w:numPr>
                <w:ilvl w:val="0"/>
                <w:numId w:val="21"/>
              </w:numPr>
              <w:autoSpaceDE w:val="0"/>
              <w:autoSpaceDN w:val="0"/>
              <w:adjustRightInd w:val="0"/>
              <w:spacing w:after="0"/>
              <w:rPr>
                <w:rFonts w:cs="Times New Roman"/>
                <w:lang w:val="en-US"/>
              </w:rPr>
            </w:pPr>
            <w:r w:rsidRPr="00672E6F">
              <w:rPr>
                <w:rFonts w:cs="Times New Roman"/>
                <w:lang w:val="en-US"/>
              </w:rPr>
              <w:t xml:space="preserve">Convention relating to the Status of Refugees (1951) </w:t>
            </w:r>
          </w:p>
          <w:p w14:paraId="3FE29DBE" w14:textId="77777777" w:rsidR="00672E6F" w:rsidRPr="00672E6F" w:rsidRDefault="00672E6F" w:rsidP="00672E6F">
            <w:pPr>
              <w:pStyle w:val="ListParagraph"/>
              <w:widowControl w:val="0"/>
              <w:numPr>
                <w:ilvl w:val="0"/>
                <w:numId w:val="21"/>
              </w:numPr>
              <w:autoSpaceDE w:val="0"/>
              <w:autoSpaceDN w:val="0"/>
              <w:adjustRightInd w:val="0"/>
              <w:spacing w:after="0"/>
              <w:rPr>
                <w:rFonts w:cs="Times New Roman"/>
                <w:lang w:val="en-US"/>
              </w:rPr>
            </w:pPr>
            <w:r w:rsidRPr="00672E6F">
              <w:rPr>
                <w:rFonts w:cs="Times New Roman"/>
                <w:lang w:val="en-US"/>
              </w:rPr>
              <w:t>Protocol to the 1951 Convention relating to the Status of Refugees (1967)</w:t>
            </w:r>
          </w:p>
        </w:tc>
        <w:tc>
          <w:tcPr>
            <w:tcW w:w="1530" w:type="dxa"/>
            <w:shd w:val="clear" w:color="auto" w:fill="auto"/>
          </w:tcPr>
          <w:p w14:paraId="73CA48FA" w14:textId="77777777" w:rsidR="00672E6F" w:rsidRPr="00672E6F" w:rsidRDefault="00672E6F" w:rsidP="00D46076">
            <w:pPr>
              <w:rPr>
                <w:rFonts w:cs="Times New Roman"/>
                <w:lang w:val="en-US"/>
              </w:rPr>
            </w:pPr>
            <w:r w:rsidRPr="00672E6F">
              <w:rPr>
                <w:rFonts w:cs="Times New Roman"/>
                <w:lang w:val="en-US"/>
              </w:rPr>
              <w:t>9 Aug 1999</w:t>
            </w:r>
          </w:p>
          <w:p w14:paraId="325E9F8C" w14:textId="77777777" w:rsidR="00672E6F" w:rsidRPr="00672E6F" w:rsidRDefault="00672E6F" w:rsidP="00D46076">
            <w:pPr>
              <w:rPr>
                <w:rFonts w:cs="Times New Roman"/>
                <w:lang w:val="en-US"/>
              </w:rPr>
            </w:pPr>
            <w:r w:rsidRPr="00672E6F">
              <w:rPr>
                <w:rFonts w:cs="Times New Roman"/>
                <w:lang w:val="en-US"/>
              </w:rPr>
              <w:t>9 Aug 1999</w:t>
            </w:r>
          </w:p>
        </w:tc>
      </w:tr>
      <w:tr w:rsidR="00672E6F" w:rsidRPr="00672E6F" w14:paraId="38A1DC5A" w14:textId="77777777" w:rsidTr="00D46076">
        <w:tblPrEx>
          <w:tblLook w:val="04A0" w:firstRow="1" w:lastRow="0" w:firstColumn="1" w:lastColumn="0" w:noHBand="0" w:noVBand="1"/>
        </w:tblPrEx>
        <w:tc>
          <w:tcPr>
            <w:tcW w:w="8730" w:type="dxa"/>
          </w:tcPr>
          <w:p w14:paraId="04F37B91" w14:textId="77777777" w:rsidR="00672E6F" w:rsidRPr="00672E6F" w:rsidRDefault="00672E6F" w:rsidP="00672E6F">
            <w:pPr>
              <w:pStyle w:val="ListParagraph"/>
              <w:widowControl w:val="0"/>
              <w:numPr>
                <w:ilvl w:val="0"/>
                <w:numId w:val="21"/>
              </w:numPr>
              <w:autoSpaceDE w:val="0"/>
              <w:autoSpaceDN w:val="0"/>
              <w:adjustRightInd w:val="0"/>
              <w:spacing w:after="0"/>
              <w:rPr>
                <w:rFonts w:cs="Times New Roman"/>
                <w:lang w:val="en-US"/>
              </w:rPr>
            </w:pPr>
            <w:r w:rsidRPr="00672E6F">
              <w:rPr>
                <w:rFonts w:cs="Times New Roman"/>
                <w:lang w:val="en-US"/>
              </w:rPr>
              <w:t xml:space="preserve">Convention on the Elimination of All forms of Discrimination against Women (1979) </w:t>
            </w:r>
          </w:p>
          <w:p w14:paraId="0BD80C12" w14:textId="77777777" w:rsidR="00672E6F" w:rsidRPr="00672E6F" w:rsidRDefault="00672E6F" w:rsidP="00672E6F">
            <w:pPr>
              <w:pStyle w:val="ListParagraph"/>
              <w:widowControl w:val="0"/>
              <w:numPr>
                <w:ilvl w:val="0"/>
                <w:numId w:val="21"/>
              </w:numPr>
              <w:autoSpaceDE w:val="0"/>
              <w:autoSpaceDN w:val="0"/>
              <w:adjustRightInd w:val="0"/>
              <w:spacing w:after="0"/>
              <w:rPr>
                <w:rFonts w:cs="Times New Roman"/>
                <w:lang w:val="en-US"/>
              </w:rPr>
            </w:pPr>
            <w:r w:rsidRPr="00672E6F">
              <w:rPr>
                <w:rFonts w:cs="Times New Roman"/>
                <w:lang w:val="en-US"/>
              </w:rPr>
              <w:t>Optional Protocol (1999)</w:t>
            </w:r>
          </w:p>
        </w:tc>
        <w:tc>
          <w:tcPr>
            <w:tcW w:w="1530" w:type="dxa"/>
            <w:shd w:val="clear" w:color="auto" w:fill="auto"/>
          </w:tcPr>
          <w:p w14:paraId="7A53D053" w14:textId="77777777" w:rsidR="00672E6F" w:rsidRPr="00672E6F" w:rsidRDefault="00672E6F" w:rsidP="00D46076">
            <w:pPr>
              <w:rPr>
                <w:rFonts w:cs="Times New Roman"/>
                <w:lang w:val="en-US"/>
              </w:rPr>
            </w:pPr>
            <w:r w:rsidRPr="00672E6F">
              <w:rPr>
                <w:rFonts w:cs="Times New Roman"/>
                <w:lang w:val="en-US"/>
              </w:rPr>
              <w:t>26 Oct 1994</w:t>
            </w:r>
          </w:p>
          <w:p w14:paraId="7C6BEC6C" w14:textId="77777777" w:rsidR="00672E6F" w:rsidRPr="00672E6F" w:rsidRDefault="00672E6F" w:rsidP="00D46076">
            <w:pPr>
              <w:rPr>
                <w:rFonts w:cs="Times New Roman"/>
                <w:lang w:val="en-US"/>
              </w:rPr>
            </w:pPr>
          </w:p>
          <w:p w14:paraId="5359D735" w14:textId="77777777" w:rsidR="00672E6F" w:rsidRPr="00672E6F" w:rsidRDefault="00672E6F" w:rsidP="00D46076">
            <w:pPr>
              <w:rPr>
                <w:rFonts w:cs="Times New Roman"/>
                <w:lang w:val="en-US"/>
              </w:rPr>
            </w:pPr>
            <w:r w:rsidRPr="00672E6F">
              <w:rPr>
                <w:rFonts w:cs="Times New Roman"/>
                <w:lang w:val="en-US"/>
              </w:rPr>
              <w:t>1 Aug 2002</w:t>
            </w:r>
          </w:p>
        </w:tc>
      </w:tr>
      <w:tr w:rsidR="00672E6F" w:rsidRPr="00672E6F" w14:paraId="0620BFB7" w14:textId="77777777" w:rsidTr="00D46076">
        <w:tblPrEx>
          <w:tblLook w:val="04A0" w:firstRow="1" w:lastRow="0" w:firstColumn="1" w:lastColumn="0" w:noHBand="0" w:noVBand="1"/>
        </w:tblPrEx>
        <w:tc>
          <w:tcPr>
            <w:tcW w:w="8730" w:type="dxa"/>
          </w:tcPr>
          <w:p w14:paraId="348F4934" w14:textId="77777777" w:rsidR="00672E6F" w:rsidRPr="00672E6F" w:rsidRDefault="00672E6F" w:rsidP="00672E6F">
            <w:pPr>
              <w:pStyle w:val="ListParagraph"/>
              <w:widowControl w:val="0"/>
              <w:numPr>
                <w:ilvl w:val="0"/>
                <w:numId w:val="21"/>
              </w:numPr>
              <w:autoSpaceDE w:val="0"/>
              <w:autoSpaceDN w:val="0"/>
              <w:adjustRightInd w:val="0"/>
              <w:spacing w:after="0"/>
              <w:rPr>
                <w:rFonts w:cs="Times New Roman"/>
                <w:lang w:val="en-US"/>
              </w:rPr>
            </w:pPr>
            <w:r w:rsidRPr="00672E6F">
              <w:rPr>
                <w:rFonts w:cs="Times New Roman"/>
                <w:lang w:val="en-US"/>
              </w:rPr>
              <w:t xml:space="preserve">Convention relating to the Status of Stateless Persons (1954) </w:t>
            </w:r>
          </w:p>
        </w:tc>
        <w:tc>
          <w:tcPr>
            <w:tcW w:w="1530" w:type="dxa"/>
            <w:shd w:val="clear" w:color="auto" w:fill="auto"/>
          </w:tcPr>
          <w:p w14:paraId="77F827EE" w14:textId="77777777" w:rsidR="00672E6F" w:rsidRPr="00672E6F" w:rsidRDefault="00672E6F" w:rsidP="00D46076">
            <w:pPr>
              <w:rPr>
                <w:rFonts w:cs="Times New Roman"/>
                <w:lang w:val="en-US"/>
              </w:rPr>
            </w:pPr>
            <w:r w:rsidRPr="00672E6F">
              <w:rPr>
                <w:rFonts w:cs="Times New Roman"/>
                <w:lang w:val="en-US"/>
              </w:rPr>
              <w:t xml:space="preserve">   2011</w:t>
            </w:r>
          </w:p>
        </w:tc>
      </w:tr>
      <w:tr w:rsidR="00672E6F" w:rsidRPr="00672E6F" w14:paraId="4511404B" w14:textId="77777777" w:rsidTr="00D46076">
        <w:tblPrEx>
          <w:tblLook w:val="04A0" w:firstRow="1" w:lastRow="0" w:firstColumn="1" w:lastColumn="0" w:noHBand="0" w:noVBand="1"/>
        </w:tblPrEx>
        <w:tc>
          <w:tcPr>
            <w:tcW w:w="8730" w:type="dxa"/>
          </w:tcPr>
          <w:p w14:paraId="31677279" w14:textId="77777777" w:rsidR="00672E6F" w:rsidRPr="00672E6F" w:rsidRDefault="00672E6F" w:rsidP="00672E6F">
            <w:pPr>
              <w:pStyle w:val="ListParagraph"/>
              <w:widowControl w:val="0"/>
              <w:numPr>
                <w:ilvl w:val="0"/>
                <w:numId w:val="21"/>
              </w:numPr>
              <w:autoSpaceDE w:val="0"/>
              <w:autoSpaceDN w:val="0"/>
              <w:adjustRightInd w:val="0"/>
              <w:spacing w:after="0"/>
              <w:rPr>
                <w:rFonts w:cs="Times New Roman"/>
                <w:lang w:val="en-US"/>
              </w:rPr>
            </w:pPr>
            <w:r w:rsidRPr="00672E6F">
              <w:rPr>
                <w:rFonts w:cs="Times New Roman"/>
                <w:lang w:val="en-US"/>
              </w:rPr>
              <w:t xml:space="preserve">Convention on the Reduction of Statelessness (1961) </w:t>
            </w:r>
          </w:p>
        </w:tc>
        <w:tc>
          <w:tcPr>
            <w:tcW w:w="1530" w:type="dxa"/>
            <w:shd w:val="clear" w:color="auto" w:fill="auto"/>
          </w:tcPr>
          <w:p w14:paraId="689F5F20" w14:textId="77777777" w:rsidR="00672E6F" w:rsidRPr="00672E6F" w:rsidRDefault="00672E6F" w:rsidP="00D46076">
            <w:pPr>
              <w:rPr>
                <w:rFonts w:cs="Times New Roman"/>
                <w:lang w:val="en-US"/>
              </w:rPr>
            </w:pPr>
            <w:r w:rsidRPr="00672E6F">
              <w:rPr>
                <w:rFonts w:cs="Times New Roman"/>
                <w:lang w:val="en-US"/>
              </w:rPr>
              <w:t>1 July 2014</w:t>
            </w:r>
          </w:p>
        </w:tc>
      </w:tr>
      <w:tr w:rsidR="00672E6F" w:rsidRPr="00672E6F" w14:paraId="1E009E68" w14:textId="77777777" w:rsidTr="00D46076">
        <w:tblPrEx>
          <w:tblLook w:val="04A0" w:firstRow="1" w:lastRow="0" w:firstColumn="1" w:lastColumn="0" w:noHBand="0" w:noVBand="1"/>
        </w:tblPrEx>
        <w:tc>
          <w:tcPr>
            <w:tcW w:w="8730" w:type="dxa"/>
          </w:tcPr>
          <w:p w14:paraId="41DC45C7" w14:textId="77777777" w:rsidR="00672E6F" w:rsidRPr="00672E6F" w:rsidRDefault="00672E6F" w:rsidP="00672E6F">
            <w:pPr>
              <w:pStyle w:val="ListParagraph"/>
              <w:widowControl w:val="0"/>
              <w:numPr>
                <w:ilvl w:val="0"/>
                <w:numId w:val="21"/>
              </w:numPr>
              <w:autoSpaceDE w:val="0"/>
              <w:autoSpaceDN w:val="0"/>
              <w:adjustRightInd w:val="0"/>
              <w:spacing w:after="0"/>
              <w:rPr>
                <w:rFonts w:cs="Times New Roman"/>
                <w:lang w:val="en-US"/>
              </w:rPr>
            </w:pPr>
            <w:r w:rsidRPr="00672E6F">
              <w:rPr>
                <w:rFonts w:cs="Times New Roman"/>
                <w:bCs/>
                <w:color w:val="000000"/>
                <w:lang w:val="en-US"/>
              </w:rPr>
              <w:t>Convention on the Rights of Persons with Disabilities</w:t>
            </w:r>
            <w:r w:rsidRPr="00672E6F">
              <w:rPr>
                <w:rFonts w:cs="Times New Roman"/>
                <w:b/>
                <w:bCs/>
                <w:color w:val="000000"/>
                <w:lang w:val="en-US"/>
              </w:rPr>
              <w:t xml:space="preserve"> </w:t>
            </w:r>
          </w:p>
        </w:tc>
        <w:tc>
          <w:tcPr>
            <w:tcW w:w="1530" w:type="dxa"/>
            <w:shd w:val="clear" w:color="auto" w:fill="auto"/>
          </w:tcPr>
          <w:p w14:paraId="3A6DB68A" w14:textId="77777777" w:rsidR="00672E6F" w:rsidRPr="00672E6F" w:rsidRDefault="00672E6F" w:rsidP="00D46076">
            <w:pPr>
              <w:rPr>
                <w:rFonts w:cs="Times New Roman"/>
                <w:lang w:val="en-US"/>
              </w:rPr>
            </w:pPr>
            <w:r w:rsidRPr="00672E6F">
              <w:rPr>
                <w:rFonts w:cs="Times New Roman"/>
                <w:lang w:val="en-US"/>
              </w:rPr>
              <w:t>13 Mar 2014</w:t>
            </w:r>
          </w:p>
        </w:tc>
      </w:tr>
      <w:tr w:rsidR="00672E6F" w:rsidRPr="00672E6F" w14:paraId="18FA5CFD" w14:textId="77777777" w:rsidTr="00D46076">
        <w:tblPrEx>
          <w:tblLook w:val="04A0" w:firstRow="1" w:lastRow="0" w:firstColumn="1" w:lastColumn="0" w:noHBand="0" w:noVBand="1"/>
        </w:tblPrEx>
        <w:tc>
          <w:tcPr>
            <w:tcW w:w="8730" w:type="dxa"/>
          </w:tcPr>
          <w:p w14:paraId="18C9C032" w14:textId="77777777" w:rsidR="00672E6F" w:rsidRPr="00672E6F" w:rsidRDefault="00672E6F" w:rsidP="00672E6F">
            <w:pPr>
              <w:pStyle w:val="ListParagraph"/>
              <w:widowControl w:val="0"/>
              <w:numPr>
                <w:ilvl w:val="0"/>
                <w:numId w:val="21"/>
              </w:numPr>
              <w:autoSpaceDE w:val="0"/>
              <w:autoSpaceDN w:val="0"/>
              <w:adjustRightInd w:val="0"/>
              <w:spacing w:after="0"/>
              <w:rPr>
                <w:rFonts w:cs="Times New Roman"/>
                <w:lang w:val="en-US"/>
              </w:rPr>
            </w:pPr>
            <w:r w:rsidRPr="00672E6F">
              <w:rPr>
                <w:rFonts w:cs="Times New Roman"/>
                <w:lang w:val="en-US"/>
              </w:rPr>
              <w:t>Convention on the Prevention and the Punishment of the Crime of Genocide (1948)</w:t>
            </w:r>
          </w:p>
        </w:tc>
        <w:tc>
          <w:tcPr>
            <w:tcW w:w="1530" w:type="dxa"/>
            <w:shd w:val="clear" w:color="auto" w:fill="auto"/>
          </w:tcPr>
          <w:p w14:paraId="0EDEEB6D" w14:textId="77777777" w:rsidR="00672E6F" w:rsidRPr="00672E6F" w:rsidRDefault="00672E6F" w:rsidP="00D46076">
            <w:pPr>
              <w:rPr>
                <w:rFonts w:cs="Times New Roman"/>
                <w:lang w:val="en-US"/>
              </w:rPr>
            </w:pPr>
            <w:r w:rsidRPr="00672E6F">
              <w:rPr>
                <w:rFonts w:cs="Times New Roman"/>
                <w:lang w:val="en-US"/>
              </w:rPr>
              <w:t>11 Oct 1993</w:t>
            </w:r>
          </w:p>
        </w:tc>
      </w:tr>
      <w:tr w:rsidR="00672E6F" w:rsidRPr="00672E6F" w14:paraId="37EABDF6" w14:textId="77777777" w:rsidTr="00D46076">
        <w:tblPrEx>
          <w:tblLook w:val="04A0" w:firstRow="1" w:lastRow="0" w:firstColumn="1" w:lastColumn="0" w:noHBand="0" w:noVBand="1"/>
        </w:tblPrEx>
        <w:trPr>
          <w:trHeight w:val="638"/>
        </w:trPr>
        <w:tc>
          <w:tcPr>
            <w:tcW w:w="8730" w:type="dxa"/>
          </w:tcPr>
          <w:p w14:paraId="57CE05B7" w14:textId="77777777" w:rsidR="00672E6F" w:rsidRPr="00672E6F" w:rsidRDefault="00672E6F" w:rsidP="00672E6F">
            <w:pPr>
              <w:pStyle w:val="ListParagraph"/>
              <w:widowControl w:val="0"/>
              <w:numPr>
                <w:ilvl w:val="0"/>
                <w:numId w:val="21"/>
              </w:numPr>
              <w:autoSpaceDE w:val="0"/>
              <w:autoSpaceDN w:val="0"/>
              <w:adjustRightInd w:val="0"/>
              <w:spacing w:after="0"/>
              <w:rPr>
                <w:rFonts w:cs="Times New Roman"/>
                <w:lang w:val="en-US"/>
              </w:rPr>
            </w:pPr>
            <w:r w:rsidRPr="00672E6F">
              <w:rPr>
                <w:rFonts w:cs="Times New Roman"/>
                <w:lang w:val="en-US"/>
              </w:rPr>
              <w:t xml:space="preserve">International Convention on the Suppression and the Punishment of the Crime of Apartheid (1973) </w:t>
            </w:r>
          </w:p>
        </w:tc>
        <w:tc>
          <w:tcPr>
            <w:tcW w:w="1530" w:type="dxa"/>
            <w:shd w:val="clear" w:color="auto" w:fill="auto"/>
          </w:tcPr>
          <w:p w14:paraId="15BE12FA" w14:textId="77777777" w:rsidR="00672E6F" w:rsidRPr="00672E6F" w:rsidRDefault="00672E6F" w:rsidP="00D46076">
            <w:pPr>
              <w:rPr>
                <w:rFonts w:cs="Times New Roman"/>
                <w:lang w:val="en-US"/>
              </w:rPr>
            </w:pPr>
            <w:r w:rsidRPr="00672E6F">
              <w:rPr>
                <w:rFonts w:cs="Times New Roman"/>
                <w:lang w:val="en-US"/>
              </w:rPr>
              <w:t>13 Mar 2014</w:t>
            </w:r>
          </w:p>
        </w:tc>
      </w:tr>
      <w:tr w:rsidR="00672E6F" w:rsidRPr="00672E6F" w14:paraId="1EB68B3E" w14:textId="77777777" w:rsidTr="00D46076">
        <w:tblPrEx>
          <w:tblLook w:val="04A0" w:firstRow="1" w:lastRow="0" w:firstColumn="1" w:lastColumn="0" w:noHBand="0" w:noVBand="1"/>
        </w:tblPrEx>
        <w:trPr>
          <w:trHeight w:val="611"/>
        </w:trPr>
        <w:tc>
          <w:tcPr>
            <w:tcW w:w="8730" w:type="dxa"/>
            <w:tcBorders>
              <w:bottom w:val="single" w:sz="4" w:space="0" w:color="auto"/>
            </w:tcBorders>
          </w:tcPr>
          <w:p w14:paraId="43866899" w14:textId="77777777" w:rsidR="00672E6F" w:rsidRPr="00672E6F" w:rsidRDefault="00672E6F" w:rsidP="00672E6F">
            <w:pPr>
              <w:pStyle w:val="ListParagraph"/>
              <w:widowControl w:val="0"/>
              <w:numPr>
                <w:ilvl w:val="0"/>
                <w:numId w:val="21"/>
              </w:numPr>
              <w:autoSpaceDE w:val="0"/>
              <w:autoSpaceDN w:val="0"/>
              <w:adjustRightInd w:val="0"/>
              <w:spacing w:after="0"/>
              <w:rPr>
                <w:rFonts w:cs="Times New Roman"/>
                <w:lang w:val="en-US"/>
              </w:rPr>
            </w:pPr>
            <w:r w:rsidRPr="00672E6F">
              <w:rPr>
                <w:rFonts w:cs="Times New Roman"/>
                <w:lang w:val="en-US"/>
              </w:rPr>
              <w:t>Convention on the non-applicability of Statutory Limitations to War Crimes and Crimes against Humanity (1968)</w:t>
            </w:r>
          </w:p>
        </w:tc>
        <w:tc>
          <w:tcPr>
            <w:tcW w:w="1530" w:type="dxa"/>
            <w:tcBorders>
              <w:bottom w:val="single" w:sz="4" w:space="0" w:color="auto"/>
            </w:tcBorders>
            <w:shd w:val="clear" w:color="auto" w:fill="auto"/>
          </w:tcPr>
          <w:p w14:paraId="16679472" w14:textId="77777777" w:rsidR="00672E6F" w:rsidRPr="00672E6F" w:rsidRDefault="00672E6F" w:rsidP="00D46076">
            <w:pPr>
              <w:rPr>
                <w:rFonts w:cs="Times New Roman"/>
                <w:lang w:val="en-US"/>
              </w:rPr>
            </w:pPr>
            <w:r w:rsidRPr="00672E6F">
              <w:rPr>
                <w:rFonts w:cs="Times New Roman"/>
                <w:lang w:val="en-US"/>
              </w:rPr>
              <w:t>31 Mar 1995</w:t>
            </w:r>
          </w:p>
        </w:tc>
      </w:tr>
      <w:tr w:rsidR="00672E6F" w:rsidRPr="00672E6F" w14:paraId="152D3798" w14:textId="77777777" w:rsidTr="00D46076">
        <w:tblPrEx>
          <w:tblLook w:val="04A0" w:firstRow="1" w:lastRow="0" w:firstColumn="1" w:lastColumn="0" w:noHBand="0" w:noVBand="1"/>
        </w:tblPrEx>
        <w:tc>
          <w:tcPr>
            <w:tcW w:w="8730" w:type="dxa"/>
          </w:tcPr>
          <w:p w14:paraId="5C089B58" w14:textId="77777777" w:rsidR="00672E6F" w:rsidRPr="00672E6F" w:rsidRDefault="00672E6F" w:rsidP="00672E6F">
            <w:pPr>
              <w:pStyle w:val="ListParagraph"/>
              <w:widowControl w:val="0"/>
              <w:numPr>
                <w:ilvl w:val="0"/>
                <w:numId w:val="21"/>
              </w:numPr>
              <w:autoSpaceDE w:val="0"/>
              <w:autoSpaceDN w:val="0"/>
              <w:adjustRightInd w:val="0"/>
              <w:spacing w:after="0"/>
              <w:rPr>
                <w:rFonts w:cs="Times New Roman"/>
                <w:lang w:val="en-US"/>
              </w:rPr>
            </w:pPr>
            <w:r w:rsidRPr="00672E6F">
              <w:rPr>
                <w:rFonts w:cs="Times New Roman"/>
                <w:lang w:val="en-US"/>
              </w:rPr>
              <w:lastRenderedPageBreak/>
              <w:t>International Convention on the Elimination of all forms of Racial Discrimination (1965)</w:t>
            </w:r>
          </w:p>
        </w:tc>
        <w:tc>
          <w:tcPr>
            <w:tcW w:w="1530" w:type="dxa"/>
            <w:shd w:val="clear" w:color="auto" w:fill="auto"/>
          </w:tcPr>
          <w:p w14:paraId="513C664B" w14:textId="77777777" w:rsidR="00672E6F" w:rsidRPr="00672E6F" w:rsidRDefault="00672E6F" w:rsidP="00D46076">
            <w:pPr>
              <w:rPr>
                <w:rFonts w:cs="Times New Roman"/>
                <w:lang w:val="en-US"/>
              </w:rPr>
            </w:pPr>
            <w:r w:rsidRPr="00672E6F">
              <w:rPr>
                <w:rFonts w:cs="Times New Roman"/>
                <w:lang w:val="en-US"/>
              </w:rPr>
              <w:t>2 Jun 1999</w:t>
            </w:r>
          </w:p>
        </w:tc>
      </w:tr>
      <w:tr w:rsidR="00672E6F" w:rsidRPr="00672E6F" w14:paraId="370B52CE" w14:textId="77777777" w:rsidTr="00D46076">
        <w:tblPrEx>
          <w:tblLook w:val="04A0" w:firstRow="1" w:lastRow="0" w:firstColumn="1" w:lastColumn="0" w:noHBand="0" w:noVBand="1"/>
        </w:tblPrEx>
        <w:tc>
          <w:tcPr>
            <w:tcW w:w="8730" w:type="dxa"/>
          </w:tcPr>
          <w:p w14:paraId="02BA8EB9" w14:textId="77777777" w:rsidR="00672E6F" w:rsidRPr="00672E6F" w:rsidRDefault="00672E6F" w:rsidP="00672E6F">
            <w:pPr>
              <w:pStyle w:val="ListParagraph"/>
              <w:widowControl w:val="0"/>
              <w:numPr>
                <w:ilvl w:val="0"/>
                <w:numId w:val="21"/>
              </w:numPr>
              <w:autoSpaceDE w:val="0"/>
              <w:autoSpaceDN w:val="0"/>
              <w:adjustRightInd w:val="0"/>
              <w:spacing w:after="0"/>
              <w:rPr>
                <w:rFonts w:cs="Times New Roman"/>
                <w:lang w:val="en-US"/>
              </w:rPr>
            </w:pPr>
            <w:r w:rsidRPr="00672E6F">
              <w:rPr>
                <w:rFonts w:cs="Times New Roman"/>
                <w:lang w:val="en-US"/>
              </w:rPr>
              <w:t xml:space="preserve">Convention against torture and other cruel, inhuman or degrading treatment or punishment (1984) </w:t>
            </w:r>
          </w:p>
          <w:p w14:paraId="4A021424" w14:textId="77777777" w:rsidR="00672E6F" w:rsidRPr="00672E6F" w:rsidRDefault="00672E6F" w:rsidP="00672E6F">
            <w:pPr>
              <w:pStyle w:val="ListParagraph"/>
              <w:widowControl w:val="0"/>
              <w:numPr>
                <w:ilvl w:val="0"/>
                <w:numId w:val="21"/>
              </w:numPr>
              <w:autoSpaceDE w:val="0"/>
              <w:autoSpaceDN w:val="0"/>
              <w:adjustRightInd w:val="0"/>
              <w:spacing w:after="0"/>
              <w:rPr>
                <w:rFonts w:cs="Times New Roman"/>
                <w:lang w:val="en-US"/>
              </w:rPr>
            </w:pPr>
            <w:r w:rsidRPr="00672E6F">
              <w:rPr>
                <w:rFonts w:cs="Times New Roman"/>
                <w:lang w:val="en-US"/>
              </w:rPr>
              <w:t>Optional Protocol (1992)</w:t>
            </w:r>
          </w:p>
        </w:tc>
        <w:tc>
          <w:tcPr>
            <w:tcW w:w="1530" w:type="dxa"/>
            <w:shd w:val="clear" w:color="auto" w:fill="auto"/>
          </w:tcPr>
          <w:p w14:paraId="4CCB871D" w14:textId="77777777" w:rsidR="00672E6F" w:rsidRPr="00672E6F" w:rsidRDefault="00672E6F" w:rsidP="00D46076">
            <w:pPr>
              <w:rPr>
                <w:rFonts w:cs="Times New Roman"/>
                <w:lang w:val="en-US"/>
              </w:rPr>
            </w:pPr>
            <w:r w:rsidRPr="00672E6F">
              <w:rPr>
                <w:rFonts w:cs="Times New Roman"/>
                <w:lang w:val="en-US"/>
              </w:rPr>
              <w:t>26 Oct 1994</w:t>
            </w:r>
          </w:p>
        </w:tc>
      </w:tr>
      <w:tr w:rsidR="00672E6F" w:rsidRPr="00672E6F" w14:paraId="76BA0877" w14:textId="77777777" w:rsidTr="00D46076">
        <w:tblPrEx>
          <w:tblLook w:val="04A0" w:firstRow="1" w:lastRow="0" w:firstColumn="1" w:lastColumn="0" w:noHBand="0" w:noVBand="1"/>
        </w:tblPrEx>
        <w:tc>
          <w:tcPr>
            <w:tcW w:w="8730" w:type="dxa"/>
          </w:tcPr>
          <w:p w14:paraId="4874788F" w14:textId="77777777" w:rsidR="00672E6F" w:rsidRPr="00672E6F" w:rsidRDefault="00672E6F" w:rsidP="00672E6F">
            <w:pPr>
              <w:pStyle w:val="ListParagraph"/>
              <w:widowControl w:val="0"/>
              <w:numPr>
                <w:ilvl w:val="0"/>
                <w:numId w:val="21"/>
              </w:numPr>
              <w:autoSpaceDE w:val="0"/>
              <w:autoSpaceDN w:val="0"/>
              <w:adjustRightInd w:val="0"/>
              <w:spacing w:after="0"/>
              <w:rPr>
                <w:rFonts w:cs="Times New Roman"/>
                <w:lang w:val="en-US"/>
              </w:rPr>
            </w:pPr>
            <w:r w:rsidRPr="00672E6F">
              <w:rPr>
                <w:rFonts w:cs="Times New Roman"/>
                <w:lang w:val="en-US"/>
              </w:rPr>
              <w:t>The 1950 European Convention for the Protection of Human Rights and Fundamental Freedoms (ECHR). Also ratified Protocols No. 1, 4, 6, 7, 12, 13, and 14 to the ECHR and has recognized the jurisdiction of the European Court of Human Rights.</w:t>
            </w:r>
          </w:p>
        </w:tc>
        <w:tc>
          <w:tcPr>
            <w:tcW w:w="1530" w:type="dxa"/>
            <w:shd w:val="clear" w:color="auto" w:fill="auto"/>
          </w:tcPr>
          <w:p w14:paraId="3741E9FB" w14:textId="77777777" w:rsidR="00672E6F" w:rsidRPr="00672E6F" w:rsidRDefault="00672E6F" w:rsidP="00D46076">
            <w:pPr>
              <w:rPr>
                <w:rFonts w:cs="Times New Roman"/>
                <w:lang w:val="en-US"/>
              </w:rPr>
            </w:pPr>
            <w:r w:rsidRPr="00672E6F">
              <w:rPr>
                <w:rFonts w:cs="Times New Roman"/>
                <w:lang w:val="en-US"/>
              </w:rPr>
              <w:t>1999</w:t>
            </w:r>
          </w:p>
        </w:tc>
      </w:tr>
      <w:tr w:rsidR="00672E6F" w:rsidRPr="00672E6F" w14:paraId="2F96702E" w14:textId="77777777" w:rsidTr="00D46076">
        <w:tblPrEx>
          <w:tblLook w:val="04A0" w:firstRow="1" w:lastRow="0" w:firstColumn="1" w:lastColumn="0" w:noHBand="0" w:noVBand="1"/>
        </w:tblPrEx>
        <w:tc>
          <w:tcPr>
            <w:tcW w:w="8730" w:type="dxa"/>
          </w:tcPr>
          <w:p w14:paraId="59E3A59B" w14:textId="77777777" w:rsidR="00672E6F" w:rsidRPr="00672E6F" w:rsidRDefault="00672E6F" w:rsidP="00672E6F">
            <w:pPr>
              <w:pStyle w:val="ListParagraph"/>
              <w:widowControl w:val="0"/>
              <w:numPr>
                <w:ilvl w:val="0"/>
                <w:numId w:val="21"/>
              </w:numPr>
              <w:autoSpaceDE w:val="0"/>
              <w:autoSpaceDN w:val="0"/>
              <w:adjustRightInd w:val="0"/>
              <w:spacing w:after="0"/>
              <w:rPr>
                <w:rFonts w:cs="Times New Roman"/>
                <w:lang w:val="en-US"/>
              </w:rPr>
            </w:pPr>
            <w:r w:rsidRPr="00672E6F">
              <w:rPr>
                <w:rFonts w:cs="Times New Roman"/>
                <w:bCs/>
                <w:color w:val="000000"/>
                <w:lang w:val="en-US"/>
              </w:rPr>
              <w:t>Council of Europe Convention on the Protection of Children against Sexual Exploitation and Sexual Abuse. (2010)</w:t>
            </w:r>
          </w:p>
        </w:tc>
        <w:tc>
          <w:tcPr>
            <w:tcW w:w="1530" w:type="dxa"/>
            <w:shd w:val="clear" w:color="auto" w:fill="auto"/>
          </w:tcPr>
          <w:p w14:paraId="0D550633" w14:textId="77777777" w:rsidR="00672E6F" w:rsidRPr="00672E6F" w:rsidRDefault="00672E6F" w:rsidP="00D46076">
            <w:pPr>
              <w:rPr>
                <w:rFonts w:cs="Times New Roman"/>
                <w:lang w:val="en-US"/>
              </w:rPr>
            </w:pPr>
            <w:r w:rsidRPr="00672E6F">
              <w:rPr>
                <w:rFonts w:cs="Times New Roman"/>
                <w:lang w:val="en-US"/>
              </w:rPr>
              <w:t>23 Sep 2014</w:t>
            </w:r>
          </w:p>
          <w:p w14:paraId="11DB92AB" w14:textId="77777777" w:rsidR="00672E6F" w:rsidRPr="00672E6F" w:rsidRDefault="00672E6F" w:rsidP="00D46076">
            <w:pPr>
              <w:rPr>
                <w:rFonts w:cs="Times New Roman"/>
                <w:lang w:val="en-US"/>
              </w:rPr>
            </w:pPr>
            <w:r w:rsidRPr="00672E6F">
              <w:rPr>
                <w:rFonts w:cs="Times New Roman"/>
                <w:lang w:val="en-US"/>
              </w:rPr>
              <w:t>Entry into force 1 Jan 2015</w:t>
            </w:r>
          </w:p>
        </w:tc>
      </w:tr>
      <w:tr w:rsidR="00672E6F" w:rsidRPr="00672E6F" w14:paraId="404549E0" w14:textId="77777777" w:rsidTr="00D46076">
        <w:tblPrEx>
          <w:tblLook w:val="04A0" w:firstRow="1" w:lastRow="0" w:firstColumn="1" w:lastColumn="0" w:noHBand="0" w:noVBand="1"/>
        </w:tblPrEx>
        <w:tc>
          <w:tcPr>
            <w:tcW w:w="8730" w:type="dxa"/>
          </w:tcPr>
          <w:p w14:paraId="395A682F" w14:textId="77777777" w:rsidR="00672E6F" w:rsidRPr="00672E6F" w:rsidRDefault="00672E6F" w:rsidP="00672E6F">
            <w:pPr>
              <w:pStyle w:val="ListParagraph"/>
              <w:numPr>
                <w:ilvl w:val="0"/>
                <w:numId w:val="21"/>
              </w:numPr>
              <w:spacing w:after="0"/>
              <w:jc w:val="left"/>
              <w:rPr>
                <w:rFonts w:eastAsia="Times New Roman" w:cs="Times New Roman"/>
                <w:lang w:val="en-US"/>
              </w:rPr>
            </w:pPr>
            <w:r w:rsidRPr="00672E6F">
              <w:rPr>
                <w:rFonts w:eastAsia="Times New Roman" w:cs="Times New Roman"/>
                <w:lang w:val="en-US"/>
              </w:rPr>
              <w:t>European Convention for the Prevention of Torture and Inhuman or Degrading Treatment or Punishment</w:t>
            </w:r>
          </w:p>
        </w:tc>
        <w:tc>
          <w:tcPr>
            <w:tcW w:w="1530" w:type="dxa"/>
            <w:shd w:val="clear" w:color="auto" w:fill="auto"/>
          </w:tcPr>
          <w:p w14:paraId="5C5B93E3" w14:textId="77777777" w:rsidR="00672E6F" w:rsidRPr="00672E6F" w:rsidRDefault="00672E6F" w:rsidP="00D46076">
            <w:pPr>
              <w:rPr>
                <w:rFonts w:eastAsia="Times New Roman" w:cs="Times New Roman"/>
                <w:lang w:val="en-US"/>
              </w:rPr>
            </w:pPr>
            <w:r w:rsidRPr="00672E6F">
              <w:rPr>
                <w:rFonts w:eastAsia="Times New Roman" w:cs="Times New Roman"/>
                <w:lang w:val="en-US"/>
              </w:rPr>
              <w:t>20 Jun 2000</w:t>
            </w:r>
          </w:p>
        </w:tc>
      </w:tr>
      <w:tr w:rsidR="00672E6F" w:rsidRPr="00672E6F" w14:paraId="4625A27E" w14:textId="77777777" w:rsidTr="00D46076">
        <w:tblPrEx>
          <w:tblLook w:val="04A0" w:firstRow="1" w:lastRow="0" w:firstColumn="1" w:lastColumn="0" w:noHBand="0" w:noVBand="1"/>
        </w:tblPrEx>
        <w:tc>
          <w:tcPr>
            <w:tcW w:w="8730" w:type="dxa"/>
          </w:tcPr>
          <w:p w14:paraId="3D2FEB1F" w14:textId="77777777" w:rsidR="00672E6F" w:rsidRPr="00672E6F" w:rsidRDefault="00672E6F" w:rsidP="00672E6F">
            <w:pPr>
              <w:pStyle w:val="ListParagraph"/>
              <w:numPr>
                <w:ilvl w:val="0"/>
                <w:numId w:val="21"/>
              </w:numPr>
              <w:spacing w:after="0"/>
              <w:jc w:val="left"/>
              <w:rPr>
                <w:rFonts w:eastAsia="Times New Roman" w:cs="Times New Roman"/>
                <w:lang w:val="en-US"/>
              </w:rPr>
            </w:pPr>
            <w:r w:rsidRPr="00672E6F">
              <w:rPr>
                <w:rFonts w:eastAsia="Times New Roman" w:cs="Times New Roman"/>
                <w:lang w:val="en-US"/>
              </w:rPr>
              <w:t>Framework Convention for the Protection of National Minorities</w:t>
            </w:r>
          </w:p>
        </w:tc>
        <w:tc>
          <w:tcPr>
            <w:tcW w:w="1530" w:type="dxa"/>
            <w:shd w:val="clear" w:color="auto" w:fill="auto"/>
          </w:tcPr>
          <w:p w14:paraId="725BC872" w14:textId="77777777" w:rsidR="00672E6F" w:rsidRPr="00672E6F" w:rsidRDefault="00672E6F" w:rsidP="00D46076">
            <w:pPr>
              <w:rPr>
                <w:rFonts w:eastAsia="Times New Roman" w:cs="Times New Roman"/>
                <w:lang w:val="en-US"/>
              </w:rPr>
            </w:pPr>
            <w:r w:rsidRPr="00672E6F">
              <w:rPr>
                <w:rFonts w:eastAsia="Times New Roman" w:cs="Times New Roman"/>
                <w:lang w:val="en-US"/>
              </w:rPr>
              <w:t>22 Dec 2005</w:t>
            </w:r>
          </w:p>
        </w:tc>
      </w:tr>
      <w:tr w:rsidR="00672E6F" w:rsidRPr="00672E6F" w14:paraId="26A4602D" w14:textId="77777777" w:rsidTr="00D46076">
        <w:tblPrEx>
          <w:tblLook w:val="04A0" w:firstRow="1" w:lastRow="0" w:firstColumn="1" w:lastColumn="0" w:noHBand="0" w:noVBand="1"/>
        </w:tblPrEx>
        <w:tc>
          <w:tcPr>
            <w:tcW w:w="8730" w:type="dxa"/>
          </w:tcPr>
          <w:p w14:paraId="2CD796F6" w14:textId="77777777" w:rsidR="00672E6F" w:rsidRPr="00672E6F" w:rsidRDefault="00672E6F" w:rsidP="00672E6F">
            <w:pPr>
              <w:pStyle w:val="ListParagraph"/>
              <w:numPr>
                <w:ilvl w:val="0"/>
                <w:numId w:val="21"/>
              </w:numPr>
              <w:spacing w:after="0"/>
              <w:jc w:val="left"/>
              <w:rPr>
                <w:rFonts w:eastAsia="Times New Roman" w:cs="Times New Roman"/>
                <w:lang w:val="en-US"/>
              </w:rPr>
            </w:pPr>
            <w:r w:rsidRPr="00672E6F">
              <w:rPr>
                <w:rFonts w:eastAsia="Times New Roman" w:cs="Times New Roman"/>
                <w:lang w:val="en-US"/>
              </w:rPr>
              <w:t>European Social Charter (accepted 63 of the revised charter’s 98 paragraphs!!!)</w:t>
            </w:r>
          </w:p>
        </w:tc>
        <w:tc>
          <w:tcPr>
            <w:tcW w:w="1530" w:type="dxa"/>
            <w:shd w:val="clear" w:color="auto" w:fill="auto"/>
          </w:tcPr>
          <w:p w14:paraId="65C73761" w14:textId="77777777" w:rsidR="00672E6F" w:rsidRPr="00672E6F" w:rsidRDefault="00672E6F" w:rsidP="00D46076">
            <w:pPr>
              <w:rPr>
                <w:rFonts w:eastAsia="Times New Roman" w:cs="Times New Roman"/>
                <w:lang w:val="en-US"/>
              </w:rPr>
            </w:pPr>
            <w:r w:rsidRPr="00672E6F">
              <w:rPr>
                <w:rFonts w:eastAsia="Times New Roman" w:cs="Times New Roman"/>
                <w:lang w:val="en-US"/>
              </w:rPr>
              <w:t>22 Aug 2005</w:t>
            </w:r>
          </w:p>
        </w:tc>
      </w:tr>
      <w:tr w:rsidR="00672E6F" w:rsidRPr="00672E6F" w14:paraId="57B777AB" w14:textId="77777777" w:rsidTr="00D46076">
        <w:tblPrEx>
          <w:tblLook w:val="04A0" w:firstRow="1" w:lastRow="0" w:firstColumn="1" w:lastColumn="0" w:noHBand="0" w:noVBand="1"/>
        </w:tblPrEx>
        <w:tc>
          <w:tcPr>
            <w:tcW w:w="8730" w:type="dxa"/>
          </w:tcPr>
          <w:p w14:paraId="0B0A7352" w14:textId="77777777" w:rsidR="00672E6F" w:rsidRPr="00672E6F" w:rsidRDefault="00672E6F" w:rsidP="00672E6F">
            <w:pPr>
              <w:pStyle w:val="ListParagraph"/>
              <w:widowControl w:val="0"/>
              <w:numPr>
                <w:ilvl w:val="0"/>
                <w:numId w:val="21"/>
              </w:numPr>
              <w:autoSpaceDE w:val="0"/>
              <w:autoSpaceDN w:val="0"/>
              <w:adjustRightInd w:val="0"/>
              <w:spacing w:after="0"/>
              <w:rPr>
                <w:rFonts w:cs="Times New Roman"/>
                <w:lang w:val="en-US"/>
              </w:rPr>
            </w:pPr>
            <w:r w:rsidRPr="00672E6F">
              <w:rPr>
                <w:rFonts w:cs="Times New Roman"/>
                <w:bCs/>
                <w:color w:val="000000"/>
                <w:lang w:val="en-US"/>
              </w:rPr>
              <w:t>Statute of the International Criminal Court</w:t>
            </w:r>
          </w:p>
        </w:tc>
        <w:tc>
          <w:tcPr>
            <w:tcW w:w="1530" w:type="dxa"/>
            <w:shd w:val="clear" w:color="auto" w:fill="auto"/>
          </w:tcPr>
          <w:p w14:paraId="2AF6C384" w14:textId="77777777" w:rsidR="00672E6F" w:rsidRPr="00672E6F" w:rsidRDefault="00672E6F" w:rsidP="00D46076">
            <w:pPr>
              <w:rPr>
                <w:rFonts w:cs="Times New Roman"/>
                <w:lang w:val="en-US"/>
              </w:rPr>
            </w:pPr>
            <w:r w:rsidRPr="00672E6F">
              <w:rPr>
                <w:rFonts w:cs="Times New Roman"/>
                <w:lang w:val="en-US"/>
              </w:rPr>
              <w:t>5 Sep 2003</w:t>
            </w:r>
          </w:p>
        </w:tc>
      </w:tr>
    </w:tbl>
    <w:p w14:paraId="3476B75C" w14:textId="77777777" w:rsidR="00672E6F" w:rsidRPr="00672E6F" w:rsidRDefault="00672E6F" w:rsidP="00672E6F">
      <w:pPr>
        <w:widowControl w:val="0"/>
        <w:autoSpaceDE w:val="0"/>
        <w:autoSpaceDN w:val="0"/>
        <w:adjustRightInd w:val="0"/>
        <w:rPr>
          <w:rFonts w:cs="Times New Roman"/>
          <w:b/>
        </w:rPr>
      </w:pPr>
    </w:p>
    <w:p w14:paraId="49650EE6" w14:textId="77777777" w:rsidR="00672E6F" w:rsidRPr="00672E6F" w:rsidRDefault="00672E6F" w:rsidP="00672E6F">
      <w:pPr>
        <w:widowControl w:val="0"/>
        <w:autoSpaceDE w:val="0"/>
        <w:autoSpaceDN w:val="0"/>
        <w:adjustRightInd w:val="0"/>
        <w:rPr>
          <w:rFonts w:cs="Times New Roman"/>
          <w:b/>
        </w:rPr>
      </w:pPr>
      <w:r w:rsidRPr="00672E6F">
        <w:rPr>
          <w:rFonts w:cs="Times New Roman"/>
          <w:b/>
        </w:rPr>
        <w:t>Non-Binding Documents</w:t>
      </w:r>
    </w:p>
    <w:p w14:paraId="44F97C86" w14:textId="77777777" w:rsidR="00672E6F" w:rsidRPr="00672E6F" w:rsidRDefault="00672E6F" w:rsidP="00672E6F">
      <w:pPr>
        <w:widowControl w:val="0"/>
        <w:autoSpaceDE w:val="0"/>
        <w:autoSpaceDN w:val="0"/>
        <w:adjustRightInd w:val="0"/>
        <w:ind w:left="360"/>
        <w:rPr>
          <w:rFonts w:cs="Times New Roman"/>
        </w:rPr>
      </w:pPr>
    </w:p>
    <w:p w14:paraId="322AFAE5" w14:textId="77777777" w:rsidR="00672E6F" w:rsidRPr="00672E6F" w:rsidRDefault="00672E6F" w:rsidP="00672E6F">
      <w:pPr>
        <w:pStyle w:val="ListParagraph"/>
        <w:widowControl w:val="0"/>
        <w:numPr>
          <w:ilvl w:val="0"/>
          <w:numId w:val="22"/>
        </w:numPr>
        <w:autoSpaceDE w:val="0"/>
        <w:autoSpaceDN w:val="0"/>
        <w:adjustRightInd w:val="0"/>
        <w:spacing w:after="0"/>
        <w:rPr>
          <w:rFonts w:cs="Times New Roman"/>
        </w:rPr>
      </w:pPr>
      <w:r w:rsidRPr="00672E6F">
        <w:rPr>
          <w:rFonts w:cs="Times New Roman"/>
        </w:rPr>
        <w:t>United Nations Guiding Principles on Internal Displacement</w:t>
      </w:r>
    </w:p>
    <w:p w14:paraId="35E7F158" w14:textId="77777777" w:rsidR="00672E6F" w:rsidRPr="00672E6F" w:rsidRDefault="00672E6F" w:rsidP="00672E6F">
      <w:pPr>
        <w:pStyle w:val="ListParagraph"/>
        <w:widowControl w:val="0"/>
        <w:numPr>
          <w:ilvl w:val="0"/>
          <w:numId w:val="22"/>
        </w:numPr>
        <w:autoSpaceDE w:val="0"/>
        <w:autoSpaceDN w:val="0"/>
        <w:adjustRightInd w:val="0"/>
        <w:spacing w:after="0"/>
        <w:rPr>
          <w:rFonts w:cs="Times New Roman"/>
          <w:b/>
        </w:rPr>
      </w:pPr>
      <w:r w:rsidRPr="00672E6F">
        <w:rPr>
          <w:rFonts w:cs="Times New Roman"/>
          <w:bCs/>
        </w:rPr>
        <w:t xml:space="preserve">Recommendation Rec (2006) 6 </w:t>
      </w:r>
      <w:r w:rsidRPr="00672E6F">
        <w:rPr>
          <w:rFonts w:ascii="MS Gothic" w:eastAsia="MS Gothic" w:hAnsi="MS Gothic" w:cs="MS Gothic" w:hint="eastAsia"/>
        </w:rPr>
        <w:t> </w:t>
      </w:r>
      <w:r w:rsidRPr="00672E6F">
        <w:rPr>
          <w:rFonts w:cs="Times New Roman"/>
          <w:bCs/>
        </w:rPr>
        <w:t xml:space="preserve">of the Committee of Ministers to member states </w:t>
      </w:r>
      <w:r w:rsidRPr="00672E6F">
        <w:rPr>
          <w:rFonts w:ascii="MS Gothic" w:eastAsia="MS Gothic" w:hAnsi="MS Gothic" w:cs="MS Gothic" w:hint="eastAsia"/>
        </w:rPr>
        <w:t> </w:t>
      </w:r>
      <w:r w:rsidRPr="00672E6F">
        <w:rPr>
          <w:rFonts w:cs="Times New Roman"/>
          <w:bCs/>
        </w:rPr>
        <w:t>on internally displaced persons, Council of Europe</w:t>
      </w:r>
    </w:p>
    <w:p w14:paraId="2CD89937" w14:textId="77777777" w:rsidR="00672E6F" w:rsidRDefault="00672E6F" w:rsidP="00672E6F">
      <w:pPr>
        <w:rPr>
          <w:rFonts w:asciiTheme="majorHAnsi" w:hAnsiTheme="majorHAnsi"/>
        </w:rPr>
      </w:pPr>
    </w:p>
    <w:p w14:paraId="0BFEF085" w14:textId="6C85A3C2" w:rsidR="00343E77" w:rsidRPr="00C1253B" w:rsidRDefault="00B000A8" w:rsidP="00672E6F">
      <w:pPr>
        <w:rPr>
          <w:b/>
        </w:rPr>
      </w:pPr>
      <w:r w:rsidRPr="00276075">
        <w:rPr>
          <w:b/>
        </w:rPr>
        <w:t>Stakeholder</w:t>
      </w:r>
      <w:r w:rsidR="00343E77" w:rsidRPr="00C1253B">
        <w:rPr>
          <w:b/>
        </w:rPr>
        <w:t xml:space="preserve"> </w:t>
      </w:r>
      <w:r w:rsidR="001B5B18" w:rsidRPr="00C1253B">
        <w:rPr>
          <w:b/>
        </w:rPr>
        <w:t>Mapping</w:t>
      </w:r>
    </w:p>
    <w:p w14:paraId="404E73B8" w14:textId="6CAEB03A" w:rsidR="001B5B18" w:rsidRDefault="001B5B18" w:rsidP="00DD1BBD">
      <w:r w:rsidRPr="00C1253B">
        <w:t xml:space="preserve">This section presents </w:t>
      </w:r>
      <w:r w:rsidR="00942760">
        <w:t xml:space="preserve">a </w:t>
      </w:r>
      <w:r w:rsidR="00B00D21">
        <w:t xml:space="preserve">mapping of the key stakeholders in the IDP benefit reform process and their formal and informal roles and influence in policy decisions </w:t>
      </w:r>
      <w:r w:rsidR="00A65436">
        <w:t>concerning IDP assistance and</w:t>
      </w:r>
      <w:r w:rsidR="00A26805">
        <w:t>,</w:t>
      </w:r>
      <w:r w:rsidR="00A65436">
        <w:t xml:space="preserve"> more broadly</w:t>
      </w:r>
      <w:r w:rsidR="00A26805">
        <w:t>,</w:t>
      </w:r>
      <w:r w:rsidR="00A65436">
        <w:t xml:space="preserve"> representation of IDP interests. </w:t>
      </w:r>
    </w:p>
    <w:p w14:paraId="79709AAD" w14:textId="77777777" w:rsidR="00B000A8" w:rsidRPr="00C1253B" w:rsidRDefault="00B000A8" w:rsidP="00DD1BBD"/>
    <w:p w14:paraId="2C827854" w14:textId="77777777" w:rsidR="007E6668" w:rsidRPr="00C1253B" w:rsidRDefault="001B5B18" w:rsidP="00C1253B">
      <w:pPr>
        <w:rPr>
          <w:b/>
          <w:u w:val="single"/>
        </w:rPr>
      </w:pPr>
      <w:r w:rsidRPr="00C1253B">
        <w:rPr>
          <w:b/>
          <w:u w:val="single"/>
        </w:rPr>
        <w:t>IDP Communities</w:t>
      </w:r>
      <w:r w:rsidR="007E6668" w:rsidRPr="00C1253B">
        <w:rPr>
          <w:b/>
          <w:u w:val="single"/>
        </w:rPr>
        <w:t xml:space="preserve"> </w:t>
      </w:r>
    </w:p>
    <w:p w14:paraId="63779145" w14:textId="749FCD5E" w:rsidR="0005026B" w:rsidRPr="00C87511" w:rsidRDefault="001B5B18" w:rsidP="00DD1BBD">
      <w:pPr>
        <w:rPr>
          <w:b/>
        </w:rPr>
      </w:pPr>
      <w:r w:rsidRPr="00C1253B">
        <w:t xml:space="preserve">IDPs are most directly concerned with and affected by this intervention as their monthly allowances depend on it.  Local interlocutors claim that the worth of these allowances transcends their financial value and that they constitute a psychosocial guarantee for traumatized people, as well as their sustained connections with </w:t>
      </w:r>
      <w:r w:rsidR="00C87511">
        <w:t>their home regions</w:t>
      </w:r>
      <w:r w:rsidRPr="00C1253B">
        <w:t xml:space="preserve">.  IDPs are likely to be concerned about both – loss of financial support and loss of social recognition and solidarity with plight. IDPs constitute roughly 6% of the Georgian population and they have significant political leverage.  Typically, IDPs are very active in elections. </w:t>
      </w:r>
    </w:p>
    <w:p w14:paraId="6FEAE305" w14:textId="77777777" w:rsidR="00B000A8" w:rsidRPr="00C1253B" w:rsidRDefault="00B000A8" w:rsidP="00DD1BBD"/>
    <w:p w14:paraId="70DA9784" w14:textId="7551DAB1" w:rsidR="00942760" w:rsidRPr="00C1253B" w:rsidRDefault="00942760" w:rsidP="00C1253B">
      <w:pPr>
        <w:rPr>
          <w:b/>
          <w:u w:val="single"/>
        </w:rPr>
      </w:pPr>
      <w:r w:rsidRPr="00C1253B">
        <w:rPr>
          <w:b/>
          <w:u w:val="single"/>
        </w:rPr>
        <w:t xml:space="preserve">IDP Organizations </w:t>
      </w:r>
    </w:p>
    <w:p w14:paraId="6B2E4E85" w14:textId="77777777" w:rsidR="00EA56CE" w:rsidRPr="00C1253B" w:rsidRDefault="00942760" w:rsidP="00C1253B">
      <w:r w:rsidRPr="00C1253B">
        <w:t xml:space="preserve">The Georgian IDP community is not strongly organized. However, there are a number of recognized non-governmental organizations advocating for IDP interests: Mama Saxlisis, the Abkhaz Government-in-Exile, European Democrats of Georgia, and various smaller CSOs. </w:t>
      </w:r>
    </w:p>
    <w:p w14:paraId="0CF3856A" w14:textId="6A873A1A" w:rsidR="00942760" w:rsidRPr="00C1253B" w:rsidRDefault="00942760" w:rsidP="00C1253B">
      <w:r w:rsidRPr="00C1253B">
        <w:rPr>
          <w:b/>
        </w:rPr>
        <w:lastRenderedPageBreak/>
        <w:t>Mama Saxlisis</w:t>
      </w:r>
      <w:r w:rsidRPr="00C1253B">
        <w:t xml:space="preserve"> (</w:t>
      </w:r>
      <w:r w:rsidR="00EA56CE" w:rsidRPr="00C1253B">
        <w:t>meaning “</w:t>
      </w:r>
      <w:r w:rsidRPr="00C1253B">
        <w:t>community representatives</w:t>
      </w:r>
      <w:r w:rsidR="00EA56CE" w:rsidRPr="00C1253B">
        <w:t>”</w:t>
      </w:r>
      <w:r w:rsidRPr="00C1253B">
        <w:t xml:space="preserve"> in Georgian)</w:t>
      </w:r>
      <w:r w:rsidR="00EA56CE" w:rsidRPr="00C1253B">
        <w:t xml:space="preserve"> is a grassroots organization. Each IDP settlement</w:t>
      </w:r>
      <w:r w:rsidRPr="00C1253B">
        <w:t xml:space="preserve"> usually has its own Mama Saxlisi. They are either elected by the IDPs living in the </w:t>
      </w:r>
      <w:r w:rsidR="00EA56CE" w:rsidRPr="00C1253B">
        <w:t>settlement</w:t>
      </w:r>
      <w:r w:rsidRPr="00C1253B">
        <w:t xml:space="preserve"> or appointed by the MRA. Their primary role is to act as a link of communication between the IDPs and the Ministry, more specifically the local MRA department. The Mama Saxlisis are considered to be IDP spokespersons/mouthpieces, but their loyalty </w:t>
      </w:r>
      <w:r w:rsidR="00EA56CE" w:rsidRPr="00C1253B">
        <w:t>can also sometimes be</w:t>
      </w:r>
      <w:r w:rsidRPr="00C1253B">
        <w:t xml:space="preserve"> questioned by the IDPs. The Mama Saxlisis appointed by the MRA receive small salaries for their services, creating confusion among the IDPs as to whether their leaders are representing their interests or </w:t>
      </w:r>
      <w:r w:rsidR="00EA56CE" w:rsidRPr="00C1253B">
        <w:t>are official representatives</w:t>
      </w:r>
      <w:r w:rsidRPr="00C1253B">
        <w:t xml:space="preserve"> of the Government. </w:t>
      </w:r>
      <w:r w:rsidR="00EA56CE" w:rsidRPr="00C1253B">
        <w:t>Some i</w:t>
      </w:r>
      <w:r w:rsidRPr="00C1253B">
        <w:t>nterlocutors have claimed that as long as the Mama Saxlisis continued to receive salaries from the MRA, the IDPs could not expect fair representation of their interests, but continued bias in favor of Government interests.</w:t>
      </w:r>
    </w:p>
    <w:p w14:paraId="41B94E2C" w14:textId="76E4B6E0" w:rsidR="00EA56CE" w:rsidRPr="00D06BD1" w:rsidRDefault="00EA56CE" w:rsidP="00C1253B">
      <w:r w:rsidRPr="00C1253B">
        <w:rPr>
          <w:b/>
        </w:rPr>
        <w:t>The Abkhaz G</w:t>
      </w:r>
      <w:r w:rsidRPr="00276075">
        <w:rPr>
          <w:b/>
        </w:rPr>
        <w:t>overnment in-</w:t>
      </w:r>
      <w:r w:rsidRPr="00C1253B">
        <w:rPr>
          <w:b/>
        </w:rPr>
        <w:t>Exile</w:t>
      </w:r>
      <w:r w:rsidRPr="00276075">
        <w:t xml:space="preserve"> </w:t>
      </w:r>
      <w:r w:rsidRPr="00AF0019">
        <w:t>is another o</w:t>
      </w:r>
      <w:r w:rsidRPr="00D06BD1">
        <w:t>rganization advocating IDP interests. They championed IDP rights immediately after their displacement. However, the Shevardnadze administration downsized the Government-in-Exile substantially in 1999, cutting both their funding and number of employees. The role of the Government-in-Exile consequently has gradually diminished as an interlocutor with policy makers on IDP issues. “We should be the spokesperson, but we are not. In reality we are a puppet government that only hands out small-scale things, such as TVs. It is only for show, we are not making any decisions” (</w:t>
      </w:r>
      <w:r w:rsidRPr="00C1253B">
        <w:rPr>
          <w:i/>
        </w:rPr>
        <w:t>Government-in-Exile representative</w:t>
      </w:r>
      <w:r w:rsidRPr="00276075">
        <w:t xml:space="preserve">). </w:t>
      </w:r>
      <w:r w:rsidR="00E51317" w:rsidRPr="00AF0019">
        <w:t>The Government</w:t>
      </w:r>
      <w:r w:rsidR="004C4093" w:rsidRPr="00D06BD1">
        <w:t>-</w:t>
      </w:r>
      <w:r w:rsidR="00E51317" w:rsidRPr="00D06BD1">
        <w:t xml:space="preserve">in-Exile is more inclined to oppose changes to IDP assistance perceiving these as diminishing political will to pursue IDPs’ return in occupied territories.  </w:t>
      </w:r>
    </w:p>
    <w:p w14:paraId="0ADB7857" w14:textId="3EFEED41" w:rsidR="00A65436" w:rsidRPr="00D06BD1" w:rsidRDefault="00A65436" w:rsidP="00C1253B">
      <w:r w:rsidRPr="00C1253B">
        <w:rPr>
          <w:b/>
        </w:rPr>
        <w:t>The IDP Party European Democrats of Georgia</w:t>
      </w:r>
      <w:r w:rsidRPr="00276075">
        <w:t xml:space="preserve"> </w:t>
      </w:r>
      <w:r w:rsidRPr="00AF0019">
        <w:t xml:space="preserve">– In 2006, Paata Davitaia, the former Minister of Justice in the Abkhaz Government-in-Exile and an IDP from </w:t>
      </w:r>
      <w:r w:rsidR="00214511">
        <w:t xml:space="preserve">the </w:t>
      </w:r>
      <w:r w:rsidRPr="00AF0019">
        <w:t>Abkhazia</w:t>
      </w:r>
      <w:r w:rsidR="00214511">
        <w:t xml:space="preserve"> AR</w:t>
      </w:r>
      <w:r w:rsidRPr="00AF0019">
        <w:t>, formed a political party focusing exclusively on the rights of Georgian IDPs.</w:t>
      </w:r>
      <w:r w:rsidRPr="00D06BD1">
        <w:t xml:space="preserve"> He began in 2005 by establishing an NGO called “Chven Tviton” (We, Ourselves). In 2006, the NGO reregistered as a political party calling itself the European Democrats of Georgia. The party ran in two elections and won one seat in Parliament. Even though the NGO transformed into a political party, the Charter remained the same, focusing primarily on the rights of IDPs. “Sixty percent of our members are IDPs, and our main priority is to facilitate and promote IDP related issues. We are trying to direct </w:t>
      </w:r>
      <w:r w:rsidR="00E67360" w:rsidRPr="00D06BD1">
        <w:t>[the Government’s]</w:t>
      </w:r>
      <w:r w:rsidRPr="00D06BD1">
        <w:t xml:space="preserve"> focus to the fact that 90 percent of all IDPs are unemployed. We also focus on the lack of IDP access to healthcare and on their right to return to Abkhazia.” (Davitaia, March 9</w:t>
      </w:r>
      <w:r w:rsidRPr="00D06BD1">
        <w:rPr>
          <w:vertAlign w:val="superscript"/>
        </w:rPr>
        <w:t>th</w:t>
      </w:r>
      <w:r w:rsidRPr="00D06BD1">
        <w:t xml:space="preserve">, 2012) </w:t>
      </w:r>
    </w:p>
    <w:p w14:paraId="22A08033" w14:textId="47151AFB" w:rsidR="003F3AB7" w:rsidRPr="00C1253B" w:rsidRDefault="00E67360" w:rsidP="00C1253B">
      <w:r w:rsidRPr="00C1253B">
        <w:rPr>
          <w:b/>
        </w:rPr>
        <w:t>Smaller informal IDP CSOs</w:t>
      </w:r>
      <w:r w:rsidRPr="00276075">
        <w:t xml:space="preserve"> </w:t>
      </w:r>
      <w:r w:rsidRPr="00AF0019">
        <w:t>constitute other channels o</w:t>
      </w:r>
      <w:r w:rsidRPr="00D06BD1">
        <w:t>f mobilization.</w:t>
      </w:r>
      <w:r w:rsidR="0068021E" w:rsidRPr="00D06BD1">
        <w:t xml:space="preserve"> Such groups mostly organize on an ad hoc basis to protest a certain government decision, or attract media attention on a particular issue.</w:t>
      </w:r>
    </w:p>
    <w:p w14:paraId="70E9892A" w14:textId="77777777" w:rsidR="00D06BD1" w:rsidRDefault="00D06BD1" w:rsidP="00C1253B">
      <w:pPr>
        <w:rPr>
          <w:b/>
          <w:u w:val="single"/>
        </w:rPr>
      </w:pPr>
    </w:p>
    <w:p w14:paraId="0262F155" w14:textId="28D10453" w:rsidR="003F3AB7" w:rsidRPr="00C1253B" w:rsidRDefault="003F3AB7" w:rsidP="00C1253B">
      <w:pPr>
        <w:rPr>
          <w:b/>
          <w:u w:val="single"/>
        </w:rPr>
      </w:pPr>
      <w:r w:rsidRPr="00C1253B">
        <w:rPr>
          <w:b/>
          <w:u w:val="single"/>
        </w:rPr>
        <w:t>Government</w:t>
      </w:r>
    </w:p>
    <w:p w14:paraId="5EA2C415" w14:textId="77777777" w:rsidR="008E263C" w:rsidRPr="00693879" w:rsidRDefault="0068021E" w:rsidP="008E263C">
      <w:pPr>
        <w:rPr>
          <w:rFonts w:cs="Times New Roman"/>
          <w:noProof/>
        </w:rPr>
      </w:pPr>
      <w:r w:rsidRPr="00C1253B">
        <w:rPr>
          <w:b/>
        </w:rPr>
        <w:t>The Prime Minister’s Cabinet</w:t>
      </w:r>
      <w:r w:rsidRPr="00C1253B">
        <w:t xml:space="preserve"> – The Prime Minister’s Cabinet is the most influential political actor regarding discussions on displacement and assistance to IDPs</w:t>
      </w:r>
      <w:r w:rsidRPr="008E263C">
        <w:t>.</w:t>
      </w:r>
      <w:r w:rsidR="008E263C" w:rsidRPr="008E263C">
        <w:t xml:space="preserve"> </w:t>
      </w:r>
      <w:r w:rsidR="008E263C" w:rsidRPr="00693879">
        <w:rPr>
          <w:rFonts w:cs="Times New Roman"/>
          <w:noProof/>
        </w:rPr>
        <w:t xml:space="preserve">The Prime Minister’s Cabinet has four staff members charged with overseeing this coordination. However, it has no dedicated budget for coordination with the MRA, which presents a significant constraint in carrying out its mandate.  </w:t>
      </w:r>
    </w:p>
    <w:p w14:paraId="254952B7" w14:textId="77777777" w:rsidR="008E263C" w:rsidRPr="009905F7" w:rsidRDefault="008E263C" w:rsidP="008E263C">
      <w:pPr>
        <w:rPr>
          <w:rFonts w:ascii="Times New Roman" w:hAnsi="Times New Roman" w:cs="Times New Roman"/>
          <w:noProof/>
        </w:rPr>
      </w:pPr>
    </w:p>
    <w:p w14:paraId="74F89F71" w14:textId="545BBE5C" w:rsidR="00A94728" w:rsidRDefault="00A94728" w:rsidP="00C1253B"/>
    <w:p w14:paraId="6C2A4DE1" w14:textId="464554A7" w:rsidR="00F83D60" w:rsidRPr="00C1253B" w:rsidRDefault="0068021E" w:rsidP="00C1253B">
      <w:r w:rsidRPr="00C1253B">
        <w:t xml:space="preserve"> </w:t>
      </w:r>
    </w:p>
    <w:p w14:paraId="67F86F88" w14:textId="40DB9EBB" w:rsidR="007E6668" w:rsidRDefault="00F83D60" w:rsidP="00C1253B">
      <w:r w:rsidRPr="00C1253B">
        <w:rPr>
          <w:b/>
        </w:rPr>
        <w:t xml:space="preserve">The Ministry of Displaced Persons from the Occupied Territories, Accommodation and Refugees (MRA) </w:t>
      </w:r>
      <w:r w:rsidRPr="00C1253B">
        <w:t xml:space="preserve">is the main Government authority with explicitly designated responsibility for IDP-related issues. The MRA is open and receptive to a constructive dialogue on how to improve support for IDPs. Stakeholders note </w:t>
      </w:r>
      <w:r w:rsidRPr="00C1253B">
        <w:lastRenderedPageBreak/>
        <w:t xml:space="preserve">that, whereas at times they would like the Ministry to be stronger than it is, it is also clear that the MRA is the “champion promoting IDP issues in the Government”. </w:t>
      </w:r>
    </w:p>
    <w:p w14:paraId="543538B0" w14:textId="225ED679" w:rsidR="008E263C" w:rsidRPr="00693879" w:rsidRDefault="008E263C" w:rsidP="00C1253B">
      <w:pPr>
        <w:rPr>
          <w:rFonts w:ascii="Times New Roman" w:hAnsi="Times New Roman" w:cs="Times New Roman"/>
          <w:bCs/>
          <w:noProof/>
        </w:rPr>
      </w:pPr>
      <w:r w:rsidRPr="00693879">
        <w:rPr>
          <w:b/>
        </w:rPr>
        <w:t>MRA Steering Committee (SC)</w:t>
      </w:r>
      <w:r>
        <w:t xml:space="preserve"> - </w:t>
      </w:r>
      <w:r w:rsidRPr="00C1253B">
        <w:t>At the policy and technical</w:t>
      </w:r>
      <w:r>
        <w:t>,</w:t>
      </w:r>
      <w:r w:rsidRPr="00C1253B">
        <w:t xml:space="preserve"> level discussions take place in the inter-agency Steering Committee which</w:t>
      </w:r>
      <w:r>
        <w:t>,</w:t>
      </w:r>
      <w:r w:rsidRPr="00C1253B">
        <w:t xml:space="preserve"> in turn</w:t>
      </w:r>
      <w:r>
        <w:t>,</w:t>
      </w:r>
      <w:r w:rsidRPr="00C1253B">
        <w:t xml:space="preserve"> supports the MRA in pursuing the agenda. </w:t>
      </w:r>
      <w:r w:rsidRPr="00693879">
        <w:rPr>
          <w:rFonts w:cs="Times New Roman"/>
          <w:noProof/>
        </w:rPr>
        <w:t>The Steering Committee is an MRA-led decision making body tasked with the coordination and strategic alignment of joint efforts by the Government of Georgia and international organizations in operationalizing and implementing the IDP State Strategy and its Action Plan.</w:t>
      </w:r>
      <w:r w:rsidRPr="00693879">
        <w:rPr>
          <w:rFonts w:eastAsia="MS Mincho" w:cs="Times New Roman"/>
          <w:b/>
          <w:noProof/>
        </w:rPr>
        <w:t xml:space="preserve"> </w:t>
      </w:r>
      <w:r>
        <w:rPr>
          <w:rFonts w:cs="Times New Roman"/>
          <w:bCs/>
          <w:noProof/>
        </w:rPr>
        <w:t>The SC</w:t>
      </w:r>
      <w:r w:rsidRPr="006455AE">
        <w:rPr>
          <w:rFonts w:cs="Times New Roman"/>
          <w:bCs/>
          <w:noProof/>
        </w:rPr>
        <w:t xml:space="preserve"> fulfills a triple role: decision-making, technical advisory and communication role.</w:t>
      </w:r>
      <w:r>
        <w:rPr>
          <w:rFonts w:cs="Times New Roman"/>
          <w:bCs/>
          <w:noProof/>
        </w:rPr>
        <w:t xml:space="preserve"> </w:t>
      </w:r>
      <w:r w:rsidRPr="00693879">
        <w:rPr>
          <w:rFonts w:cs="Times New Roman"/>
          <w:noProof/>
        </w:rPr>
        <w:t xml:space="preserve">The SC </w:t>
      </w:r>
      <w:r w:rsidRPr="008E263C">
        <w:rPr>
          <w:rFonts w:cs="Times New Roman"/>
          <w:noProof/>
        </w:rPr>
        <w:t>comprises</w:t>
      </w:r>
      <w:r w:rsidRPr="00693879">
        <w:rPr>
          <w:rFonts w:cs="Times New Roman"/>
          <w:noProof/>
        </w:rPr>
        <w:t xml:space="preserve"> 37 representatives of line ministries, donors, international and local non-governmental organizations</w:t>
      </w:r>
      <w:r>
        <w:rPr>
          <w:rFonts w:cs="Times New Roman"/>
          <w:noProof/>
        </w:rPr>
        <w:t>, which work in thematic expert groups</w:t>
      </w:r>
      <w:r w:rsidRPr="00693879">
        <w:rPr>
          <w:rStyle w:val="FootnoteReference"/>
          <w:rFonts w:cs="Times New Roman"/>
          <w:noProof/>
        </w:rPr>
        <w:footnoteReference w:id="131"/>
      </w:r>
      <w:r w:rsidRPr="00693879">
        <w:rPr>
          <w:rFonts w:cs="Times New Roman"/>
          <w:noProof/>
        </w:rPr>
        <w:t>.</w:t>
      </w:r>
      <w:r w:rsidRPr="00693879">
        <w:rPr>
          <w:rFonts w:cs="Times New Roman"/>
          <w:bCs/>
          <w:noProof/>
        </w:rPr>
        <w:t xml:space="preserve">  </w:t>
      </w:r>
      <w:r w:rsidRPr="00693879">
        <w:rPr>
          <w:rFonts w:cs="Times New Roman"/>
          <w:noProof/>
        </w:rPr>
        <w:t xml:space="preserve">The SC-appointed </w:t>
      </w:r>
      <w:r>
        <w:rPr>
          <w:rFonts w:cs="Times New Roman"/>
          <w:noProof/>
        </w:rPr>
        <w:t xml:space="preserve">Technical </w:t>
      </w:r>
      <w:r w:rsidRPr="00693879">
        <w:rPr>
          <w:rFonts w:cs="Times New Roman"/>
          <w:noProof/>
        </w:rPr>
        <w:t xml:space="preserve">Expert Groups </w:t>
      </w:r>
      <w:r>
        <w:rPr>
          <w:rFonts w:cs="Times New Roman"/>
          <w:noProof/>
        </w:rPr>
        <w:t xml:space="preserve">(TEGs) </w:t>
      </w:r>
      <w:r w:rsidRPr="00693879">
        <w:rPr>
          <w:rFonts w:cs="Times New Roman"/>
          <w:noProof/>
        </w:rPr>
        <w:t>provide technical assistance and address specific time-bound tasks in the Action Plans. (e.g elaboration of standards, legal issues etc.). Each Expert Group comprises r</w:t>
      </w:r>
      <w:r w:rsidRPr="00693879">
        <w:rPr>
          <w:rFonts w:cs="Times New Roman"/>
          <w:bCs/>
          <w:noProof/>
        </w:rPr>
        <w:t>epresentatives of the MRA, other relevant GoG agencies and a minimum of three and a maximum of five organizations with expertise relevant to the assigned task.</w:t>
      </w:r>
      <w:r w:rsidRPr="000C7E9F">
        <w:rPr>
          <w:rFonts w:ascii="Times New Roman" w:hAnsi="Times New Roman" w:cs="Times New Roman"/>
          <w:bCs/>
          <w:noProof/>
        </w:rPr>
        <w:t xml:space="preserve">  </w:t>
      </w:r>
      <w:r w:rsidRPr="00C1253B">
        <w:t xml:space="preserve">Greater engagement of development partners in the work of the Steering Committee and its temporary working groups </w:t>
      </w:r>
      <w:r>
        <w:t>is an</w:t>
      </w:r>
      <w:r w:rsidRPr="00C1253B">
        <w:t xml:space="preserve"> effective way to provide </w:t>
      </w:r>
      <w:r>
        <w:t xml:space="preserve">coordinated </w:t>
      </w:r>
      <w:r w:rsidRPr="00C1253B">
        <w:t>input</w:t>
      </w:r>
      <w:r>
        <w:t>s</w:t>
      </w:r>
      <w:r w:rsidRPr="00C1253B">
        <w:t xml:space="preserve"> in the policy debate on displacement. Two new development organizations (Sida and KfW) have recently been added to the list of permanent members of the Steering Committee, which indicates increased international attention to – and engagement with - the issue. </w:t>
      </w:r>
    </w:p>
    <w:p w14:paraId="18CCA6FC" w14:textId="77777777" w:rsidR="008E263C" w:rsidRPr="00C1253B" w:rsidRDefault="008E263C" w:rsidP="00C1253B"/>
    <w:p w14:paraId="7EFDC195" w14:textId="63415BE6" w:rsidR="007E6668" w:rsidRPr="00C1253B" w:rsidRDefault="00F83D60" w:rsidP="00C1253B">
      <w:r w:rsidRPr="00C1253B">
        <w:rPr>
          <w:b/>
        </w:rPr>
        <w:t>Other line Ministries</w:t>
      </w:r>
      <w:r w:rsidRPr="00C1253B">
        <w:t xml:space="preserve"> - </w:t>
      </w:r>
      <w:r w:rsidRPr="00C1253B">
        <w:rPr>
          <w:b/>
        </w:rPr>
        <w:t>the Ministry of Agriculture (MoA), the Ministry of Education and Science (MoES), Ministry of Labor, Health and Social Affairs (MoLHSA)</w:t>
      </w:r>
      <w:r w:rsidRPr="00C1253B">
        <w:t xml:space="preserve"> are also involved in assisting IDPs as part of their mainstream services to the Georgian population. The distribution of responsibilities among the various levels and branches of Government addressing internal displacement </w:t>
      </w:r>
      <w:r w:rsidR="000819D6">
        <w:t>is</w:t>
      </w:r>
      <w:r w:rsidR="000819D6" w:rsidRPr="00C1253B">
        <w:t xml:space="preserve"> </w:t>
      </w:r>
      <w:r w:rsidRPr="00C1253B">
        <w:t xml:space="preserve">unclear and therefore cooperation between </w:t>
      </w:r>
      <w:r w:rsidR="000819D6">
        <w:t xml:space="preserve">them </w:t>
      </w:r>
      <w:r w:rsidRPr="00C1253B">
        <w:t xml:space="preserve">on focusing attention to IDP needs has so far been suboptimal. </w:t>
      </w:r>
    </w:p>
    <w:p w14:paraId="5501E2D3" w14:textId="77777777" w:rsidR="00E96C23" w:rsidRDefault="00F83D60" w:rsidP="00C1253B">
      <w:r w:rsidRPr="00C1253B">
        <w:rPr>
          <w:b/>
        </w:rPr>
        <w:t>The Social Service Agency</w:t>
      </w:r>
      <w:r w:rsidRPr="00C1253B">
        <w:t xml:space="preserve"> is an important player in the process of transition to needs-based assistance. Representatives of the Agency have expressed negative views of the transition since there is no clear path for its implementation. Furthermore, they have just completed the reform of the social welfare system in cooperation with UNICEF and a new reform or additional influx of beneficiaries is likely to further strain the capacity of the agency. </w:t>
      </w:r>
    </w:p>
    <w:p w14:paraId="23C404FB" w14:textId="3139F06E" w:rsidR="00E96C23" w:rsidRDefault="003B6D00" w:rsidP="00C1253B">
      <w:r w:rsidRPr="00C1253B">
        <w:rPr>
          <w:b/>
        </w:rPr>
        <w:t>Local governments</w:t>
      </w:r>
      <w:r w:rsidRPr="00C1253B">
        <w:t xml:space="preserve"> receive two-thirds of their revenues in the form of grants from the national budget. Given that local governments are not resp</w:t>
      </w:r>
      <w:r w:rsidRPr="00DD1BBD">
        <w:t>onsible for social services</w:t>
      </w:r>
      <w:r w:rsidR="000819D6">
        <w:t>,</w:t>
      </w:r>
      <w:r w:rsidRPr="00DD1BBD">
        <w:t xml:space="preserve"> such as</w:t>
      </w:r>
      <w:r w:rsidRPr="00C1253B">
        <w:t xml:space="preserve"> basic education and healthcare, which are significant in budgetary terms, the current level of transfer dependence of the subnational governments (SNGs) in Georgia stands out in comparison to other decentralized countries. It also makes it difficult to hold SNGs accountable for revenue performance. </w:t>
      </w:r>
      <w:r w:rsidRPr="00DD1BBD">
        <w:t>Even though local government</w:t>
      </w:r>
      <w:r w:rsidRPr="009728D4">
        <w:t xml:space="preserve">s </w:t>
      </w:r>
      <w:r w:rsidRPr="00C1253B">
        <w:t>are primarily responsible for the provision of housing, utility and communal services,</w:t>
      </w:r>
      <w:r w:rsidRPr="00DD1BBD">
        <w:t xml:space="preserve"> due to the high </w:t>
      </w:r>
      <w:r w:rsidRPr="009728D4">
        <w:t xml:space="preserve">spatial </w:t>
      </w:r>
      <w:r w:rsidRPr="00276075">
        <w:t>concentration of IDPs in selecte</w:t>
      </w:r>
      <w:r w:rsidRPr="00AF0019">
        <w:t xml:space="preserve">d regions, their housing needs have remained </w:t>
      </w:r>
      <w:r w:rsidR="000819D6">
        <w:t xml:space="preserve">a </w:t>
      </w:r>
      <w:r w:rsidRPr="00AF0019">
        <w:t>central Government responsibi</w:t>
      </w:r>
      <w:r w:rsidRPr="00B86058">
        <w:t xml:space="preserve">lity taking up </w:t>
      </w:r>
      <w:r w:rsidRPr="00C1253B">
        <w:t>a majority of the MRA’s budget.</w:t>
      </w:r>
      <w:r w:rsidRPr="00DD1BBD">
        <w:t xml:space="preserve"> This, however, has implications on the extent to which IDPs can expect attention or </w:t>
      </w:r>
      <w:r w:rsidRPr="009728D4">
        <w:t xml:space="preserve">seek </w:t>
      </w:r>
      <w:r w:rsidRPr="00276075">
        <w:t xml:space="preserve">accountability from </w:t>
      </w:r>
      <w:r w:rsidRPr="00AF0019">
        <w:t xml:space="preserve">their local authorities if the </w:t>
      </w:r>
      <w:r w:rsidRPr="00B86058">
        <w:t>primary authority responsible for their needs remains concentrated in a central Gove</w:t>
      </w:r>
      <w:r w:rsidRPr="00C1253B">
        <w:t xml:space="preserve">rnment institution. </w:t>
      </w:r>
    </w:p>
    <w:p w14:paraId="41BA18EC" w14:textId="77777777" w:rsidR="00E96C23" w:rsidRDefault="00E96C23" w:rsidP="00C1253B"/>
    <w:p w14:paraId="1B5AE456" w14:textId="77777777" w:rsidR="00E96C23" w:rsidRPr="00C1253B" w:rsidRDefault="00FD06E3" w:rsidP="00C1253B">
      <w:pPr>
        <w:rPr>
          <w:b/>
          <w:u w:val="single"/>
        </w:rPr>
      </w:pPr>
      <w:r w:rsidRPr="00C1253B">
        <w:rPr>
          <w:b/>
          <w:u w:val="single"/>
        </w:rPr>
        <w:t>Host Communities/ Non-IDP Population</w:t>
      </w:r>
      <w:r w:rsidR="00E96C23" w:rsidRPr="00C1253B">
        <w:rPr>
          <w:b/>
          <w:u w:val="single"/>
        </w:rPr>
        <w:t xml:space="preserve"> </w:t>
      </w:r>
    </w:p>
    <w:p w14:paraId="655D34AC" w14:textId="08F67F7A" w:rsidR="00FD06E3" w:rsidRDefault="00FD06E3" w:rsidP="00C1253B">
      <w:r w:rsidRPr="00DD1BBD">
        <w:t xml:space="preserve">Potential for conflict between IDPs and non-IDPs due to transition from status-based to needs-based assistance has not been anticipated. </w:t>
      </w:r>
      <w:r>
        <w:t xml:space="preserve">On the whole host communities have welcomed IDPs, and are </w:t>
      </w:r>
      <w:r>
        <w:lastRenderedPageBreak/>
        <w:t xml:space="preserve">sympathetic to them having special status. Some non-IDPs would consider IDPs economically privileged due to their benefit; while others believe that this benefit should be maintained. Reactions from the non-IDP population on this topic mostly concern the social and political implications that may occur to ‘IDP status’ and whether such policies will have a consequence on the Government’s commitment towards occupied territories. </w:t>
      </w:r>
    </w:p>
    <w:p w14:paraId="2D97D983" w14:textId="77777777" w:rsidR="00E96C23" w:rsidRPr="00C1253B" w:rsidRDefault="00E96C23" w:rsidP="00C1253B"/>
    <w:p w14:paraId="185C677C" w14:textId="43BAA90A" w:rsidR="00FD06E3" w:rsidRPr="00C1253B" w:rsidRDefault="00FD06E3" w:rsidP="00C1253B">
      <w:pPr>
        <w:rPr>
          <w:b/>
          <w:u w:val="single"/>
        </w:rPr>
      </w:pPr>
      <w:r w:rsidRPr="00C1253B">
        <w:rPr>
          <w:b/>
          <w:u w:val="single"/>
        </w:rPr>
        <w:t>Georgian NGO Community</w:t>
      </w:r>
    </w:p>
    <w:p w14:paraId="4AE2D791" w14:textId="1E595306" w:rsidR="00FD06E3" w:rsidRPr="00C1253B" w:rsidRDefault="00FD06E3" w:rsidP="00C1253B">
      <w:r w:rsidRPr="00C1253B">
        <w:t xml:space="preserve">There is a considerable number of national NGOs working with IDPs. Most of them are based in Western Georgia, where most of the IDPs are living, and in Tbilisi, the country’s capital. Some areas with IDP populations, particularly the breakaway regions and rural areas, are underserved by NGOs. NGO capacity varies considerably and coordination could be improved to limit duplication of efforts and ensure that IDPs have access to the same information about their rights and aid. </w:t>
      </w:r>
    </w:p>
    <w:p w14:paraId="7B74C1B8" w14:textId="083D7F68" w:rsidR="00FD06E3" w:rsidRPr="00C1253B" w:rsidRDefault="00FD06E3" w:rsidP="00C1253B">
      <w:r w:rsidRPr="00C1253B">
        <w:t xml:space="preserve">NGOs have advocated for piloting the new social system to help develop capacities to reach out to and identify different vulnerable groups effectively. They </w:t>
      </w:r>
      <w:r w:rsidR="00E96C23">
        <w:t>are further concerned that</w:t>
      </w:r>
      <w:r w:rsidRPr="00C1253B">
        <w:t xml:space="preserve"> vulnerability criteria have not been publicly discussed and that they are not widely accessible and transparent. NGOs further fear that IDPs will not apply for livelihood projects lest they lose their social assistance.  They are, therefore, suggesting that provision be made that social assistance is not automatically cancelled as soon as a person is awarded a grant or finds a job. The rationale is that only time can tell whether that step towards self-reliance has been successful and that a period of approximately 6 months is required in order to monitor the adjustment and performance before revoking social assistance.</w:t>
      </w:r>
    </w:p>
    <w:p w14:paraId="5B3C8A7D" w14:textId="77777777" w:rsidR="00E96C23" w:rsidRDefault="00E96C23" w:rsidP="00C1253B">
      <w:r w:rsidRPr="00C1253B">
        <w:rPr>
          <w:b/>
        </w:rPr>
        <w:t>Caucasian Refugee and IDP NGO Network (CRINGO)</w:t>
      </w:r>
      <w:r>
        <w:t xml:space="preserve"> - </w:t>
      </w:r>
      <w:r w:rsidRPr="00C1253B">
        <w:t xml:space="preserve">In 2001, the Danish Refugee Council (DRC) established the Caucasian Refugee and IDP NGO Network (CRINGO), a network of NGOs in the Caucasus. CRINGO coordinated civil society input to the Georgian National IDP Strategy and IDP Action Plan. </w:t>
      </w:r>
    </w:p>
    <w:p w14:paraId="05B4EA76" w14:textId="72CF849F" w:rsidR="00E96C23" w:rsidRPr="00C1253B" w:rsidRDefault="00E96C23" w:rsidP="00C1253B">
      <w:pPr>
        <w:rPr>
          <w:b/>
        </w:rPr>
      </w:pPr>
      <w:r w:rsidRPr="00C1253B">
        <w:t>A number of national NGOs have also developed credible advocacy initiatives to raise awareness about IDPs. Legal aid NGOs, such as the Georgian Young Lawyers’ Association (GYLA) and Norwegian Refugee Council’s ICLA partners, have successfully defended IDP rights, including in court. Not all NGOs are, however, neutral, given the politicization of the IDP issue. Numerous NGOs could benefit from capacity building to strengthen their research, reporting and advocacy efforts. Local NGOs implement a range of programs, including legal aid, income-generation projects, medical assistance, psycho</w:t>
      </w:r>
      <w:r>
        <w:rPr>
          <w:b/>
        </w:rPr>
        <w:t>-</w:t>
      </w:r>
      <w:r w:rsidRPr="00C1253B">
        <w:t>social rehabilitation, extra-curricular education for IDP children, promoting human rights awareness and vocational training, confidence-building, community mobilization and firewood distribution. However, the non-government sector is still generally weak institutionally, financially and quantitatively. It is almost fully dependent on external financing, while local sources of financing are practically non-existent.</w:t>
      </w:r>
    </w:p>
    <w:p w14:paraId="3DE4221E" w14:textId="77777777" w:rsidR="0085132B" w:rsidRDefault="0085132B" w:rsidP="00C1253B"/>
    <w:p w14:paraId="0ABF18F5" w14:textId="73FD9D01" w:rsidR="0085132B" w:rsidRPr="00C1253B" w:rsidRDefault="0085132B" w:rsidP="00C1253B">
      <w:pPr>
        <w:rPr>
          <w:u w:val="single"/>
        </w:rPr>
      </w:pPr>
      <w:r w:rsidRPr="00C1253B">
        <w:rPr>
          <w:b/>
          <w:u w:val="single"/>
        </w:rPr>
        <w:t>Media</w:t>
      </w:r>
    </w:p>
    <w:p w14:paraId="33CCD517" w14:textId="77777777" w:rsidR="00E84D51" w:rsidRDefault="0085132B" w:rsidP="00C1253B">
      <w:r w:rsidRPr="00C1253B">
        <w:t xml:space="preserve">Media have </w:t>
      </w:r>
      <w:r w:rsidRPr="00DD1BBD">
        <w:t>not played a major role in IDP policy.  There is no</w:t>
      </w:r>
      <w:r w:rsidRPr="00C1253B">
        <w:t xml:space="preserve"> sustained and analytical interest </w:t>
      </w:r>
      <w:r w:rsidR="00E84D51">
        <w:t xml:space="preserve">by media </w:t>
      </w:r>
      <w:r w:rsidRPr="00C1253B">
        <w:t>in the situation of IDPs</w:t>
      </w:r>
      <w:r w:rsidR="00E84D51" w:rsidRPr="00DD1BBD">
        <w:t>, or any adjustments to IDP assistance.</w:t>
      </w:r>
      <w:r w:rsidRPr="00C1253B">
        <w:t xml:space="preserve"> </w:t>
      </w:r>
      <w:r w:rsidR="00E84D51">
        <w:t>Media has mostly reported on ad hoc IDP cases, such as</w:t>
      </w:r>
      <w:r w:rsidRPr="00C1253B">
        <w:t xml:space="preserve"> a women's strike during evictions, criminal acti</w:t>
      </w:r>
      <w:r w:rsidR="00E84D51" w:rsidRPr="00DD1BBD">
        <w:t>vities of IDPs, etc. T</w:t>
      </w:r>
      <w:r w:rsidRPr="00C1253B">
        <w:t>wo media organizations</w:t>
      </w:r>
      <w:r w:rsidR="00E84D51">
        <w:t>,</w:t>
      </w:r>
      <w:r w:rsidRPr="00C1253B">
        <w:t xml:space="preserve"> howev</w:t>
      </w:r>
      <w:r w:rsidR="00E84D51" w:rsidRPr="00DD1BBD">
        <w:t>er, Studio Re and GOFGroup have</w:t>
      </w:r>
      <w:r w:rsidRPr="00C1253B">
        <w:t xml:space="preserve"> made films about IDPs.</w:t>
      </w:r>
    </w:p>
    <w:p w14:paraId="28A84DE6" w14:textId="77777777" w:rsidR="00E84D51" w:rsidRDefault="00E84D51" w:rsidP="00C1253B"/>
    <w:p w14:paraId="27DB5130" w14:textId="23C6653F" w:rsidR="00E84D51" w:rsidRPr="00C1253B" w:rsidRDefault="00E84D51" w:rsidP="00C1253B">
      <w:pPr>
        <w:rPr>
          <w:b/>
          <w:u w:val="single"/>
        </w:rPr>
      </w:pPr>
      <w:r w:rsidRPr="00C1253B">
        <w:rPr>
          <w:b/>
          <w:u w:val="single"/>
        </w:rPr>
        <w:t>International community</w:t>
      </w:r>
    </w:p>
    <w:p w14:paraId="59E16E56" w14:textId="1150CC53" w:rsidR="00E84D51" w:rsidRPr="00C1253B" w:rsidRDefault="00E84D51" w:rsidP="00C1253B">
      <w:r w:rsidRPr="00C1253B">
        <w:lastRenderedPageBreak/>
        <w:t xml:space="preserve">The </w:t>
      </w:r>
      <w:r w:rsidRPr="00C1253B">
        <w:rPr>
          <w:b/>
        </w:rPr>
        <w:t>European Union (EU)</w:t>
      </w:r>
      <w:r w:rsidRPr="00C1253B">
        <w:t xml:space="preserve"> is the main donor in Georgia and it funds IDP protection and assistance in Georgia, as well as in </w:t>
      </w:r>
      <w:r w:rsidR="00214511">
        <w:t xml:space="preserve">the </w:t>
      </w:r>
      <w:r w:rsidRPr="00C1253B">
        <w:t>Abkhazia</w:t>
      </w:r>
      <w:r w:rsidR="00214511">
        <w:t>n AR</w:t>
      </w:r>
      <w:r w:rsidRPr="00C1253B">
        <w:t xml:space="preserve">. It also finances the </w:t>
      </w:r>
      <w:r w:rsidRPr="00C1253B">
        <w:rPr>
          <w:b/>
        </w:rPr>
        <w:t xml:space="preserve">UNHCR </w:t>
      </w:r>
      <w:r w:rsidRPr="00C1253B">
        <w:t>Strengthening Protection Capacity Project for the Southern Caucasus (SPCP-SC). Donor funding for IDP programs is also provided by the United States, Japan, Switzerland, Sweden and Norway. The European Union is the strongest supporter of the shift from status- to needs-based assistance to IDPs in Georgia.</w:t>
      </w:r>
    </w:p>
    <w:p w14:paraId="5D095555" w14:textId="5D2129E9" w:rsidR="00E84D51" w:rsidRPr="00C1253B" w:rsidRDefault="00E84D51" w:rsidP="00C1253B">
      <w:r w:rsidRPr="00C1253B">
        <w:t xml:space="preserve">International NGOs with IDP programs include the </w:t>
      </w:r>
      <w:r w:rsidRPr="00C1253B">
        <w:rPr>
          <w:b/>
        </w:rPr>
        <w:t>Norwegian Refugee Council (NRC), the Danish Refugee Council (DRC) and World Vision International (WVI).</w:t>
      </w:r>
      <w:r w:rsidRPr="00C1253B">
        <w:t xml:space="preserve"> The International Committee of the Red Cross (ICRC) implemented one of the largest humanitarian and protection programs in Western Georgia and the breakaway regions. In 2007, they started to scale back programs in Western Georgia, handing over their food distribution program to the Government of Georgia. </w:t>
      </w:r>
    </w:p>
    <w:p w14:paraId="1CE34777" w14:textId="31968E01" w:rsidR="00E84D51" w:rsidRPr="00C1253B" w:rsidRDefault="00E84D51" w:rsidP="00C1253B">
      <w:r w:rsidRPr="00C1253B">
        <w:t xml:space="preserve">In </w:t>
      </w:r>
      <w:r w:rsidR="00C87511">
        <w:t xml:space="preserve">Tskhinvali Region - </w:t>
      </w:r>
      <w:r w:rsidRPr="00C1253B">
        <w:t xml:space="preserve">South Ossetia, the </w:t>
      </w:r>
      <w:r w:rsidRPr="00C1253B">
        <w:rPr>
          <w:b/>
        </w:rPr>
        <w:t>OSCE</w:t>
      </w:r>
      <w:r w:rsidRPr="00C1253B">
        <w:t xml:space="preserve"> implemented an economic rehabilitation program, which commenced in 2006 with funding from the European Commission. The program aimed to improve infrastructure and therefore benefited IDPs and returnees prior to the conflict in August 2008.</w:t>
      </w:r>
    </w:p>
    <w:p w14:paraId="705897E8" w14:textId="5C51B65F" w:rsidR="00E84D51" w:rsidRPr="00C1253B" w:rsidRDefault="00E84D51" w:rsidP="00C1253B">
      <w:r w:rsidRPr="00DD1BBD">
        <w:t xml:space="preserve">The </w:t>
      </w:r>
      <w:r w:rsidRPr="00C1253B">
        <w:rPr>
          <w:b/>
        </w:rPr>
        <w:t>Norwegian company (STATOIL)</w:t>
      </w:r>
      <w:r w:rsidRPr="00C1253B">
        <w:t xml:space="preserve"> funded the NRC and the UNHCR in strengthening the capacity of the Government of Georgia to respond to IDP needs.</w:t>
      </w:r>
    </w:p>
    <w:p w14:paraId="11C88E8E" w14:textId="20DB506E" w:rsidR="00E84D51" w:rsidRPr="00DD1BBD" w:rsidRDefault="00E84D51" w:rsidP="00C1253B">
      <w:r w:rsidRPr="00C1253B">
        <w:t xml:space="preserve">Most, if not all, international agencies are supportive of the shift from status-based to needs- based assistance to IDPs in Georgia. However, </w:t>
      </w:r>
      <w:r>
        <w:t>there is also fear that</w:t>
      </w:r>
      <w:r w:rsidRPr="00C1253B">
        <w:t xml:space="preserve"> given the existing welfare system, this shift may be detrimental to many IDPs. </w:t>
      </w:r>
    </w:p>
    <w:p w14:paraId="56118705" w14:textId="77777777" w:rsidR="00E84D51" w:rsidRDefault="00E84D51" w:rsidP="00E84D51">
      <w:pPr>
        <w:spacing w:line="360" w:lineRule="auto"/>
      </w:pPr>
    </w:p>
    <w:p w14:paraId="73A94409" w14:textId="18DE6FED" w:rsidR="00E84D51" w:rsidRDefault="00E84D51">
      <w:pPr>
        <w:spacing w:after="200" w:line="276" w:lineRule="auto"/>
        <w:jc w:val="left"/>
        <w:rPr>
          <w:rFonts w:eastAsia="MS Mincho" w:cs="Times New Roman"/>
        </w:rPr>
      </w:pPr>
      <w:r>
        <w:rPr>
          <w:rFonts w:eastAsia="MS Mincho" w:cs="Times New Roman"/>
        </w:rPr>
        <w:br w:type="page"/>
      </w:r>
    </w:p>
    <w:p w14:paraId="023E0B4B" w14:textId="5557B08C" w:rsidR="00916835" w:rsidRDefault="00916835" w:rsidP="00672E6F">
      <w:pPr>
        <w:spacing w:after="200" w:line="276" w:lineRule="auto"/>
        <w:jc w:val="left"/>
      </w:pPr>
    </w:p>
    <w:p w14:paraId="2AE02CF4" w14:textId="1F52C7A2" w:rsidR="002C36AA" w:rsidRPr="002C36AA" w:rsidRDefault="00916835" w:rsidP="002C36AA">
      <w:pPr>
        <w:pStyle w:val="Heading1"/>
      </w:pPr>
      <w:bookmarkStart w:id="24" w:name="_Toc443046838"/>
      <w:r>
        <w:t>Annex II: Quantitative Analysis</w:t>
      </w:r>
      <w:r w:rsidR="002C36AA" w:rsidRPr="00AD0400">
        <w:rPr>
          <w:rStyle w:val="FootnoteReference"/>
          <w:rFonts w:asciiTheme="minorHAnsi" w:hAnsiTheme="minorHAnsi"/>
          <w:sz w:val="22"/>
          <w:szCs w:val="22"/>
        </w:rPr>
        <w:footnoteReference w:id="132"/>
      </w:r>
      <w:bookmarkEnd w:id="24"/>
    </w:p>
    <w:p w14:paraId="752943B6" w14:textId="77777777" w:rsidR="002C36AA" w:rsidRPr="00AD0400" w:rsidRDefault="002C36AA" w:rsidP="002C36AA">
      <w:pPr>
        <w:rPr>
          <w:bCs/>
        </w:rPr>
      </w:pPr>
    </w:p>
    <w:p w14:paraId="4B178A5D" w14:textId="77777777" w:rsidR="002C36AA" w:rsidRPr="00AD0400" w:rsidRDefault="002C36AA" w:rsidP="002C36AA">
      <w:pPr>
        <w:rPr>
          <w:bCs/>
        </w:rPr>
      </w:pPr>
      <w:r w:rsidRPr="00AD0400">
        <w:rPr>
          <w:bCs/>
        </w:rPr>
        <w:t>From 2011 to 2013, the Integrated Household Survey (IHS) collected information on 4,028 Internally Displaced Persons (IDPs), who represented 3.44% of the total sample. From this combined sample for the three years, we are able to generate descriptive statistics that allow us to compare IDPs with the rest of the population.</w:t>
      </w:r>
    </w:p>
    <w:p w14:paraId="6123E554" w14:textId="5272EA66" w:rsidR="002C36AA" w:rsidRPr="00AD0400" w:rsidRDefault="002C36AA" w:rsidP="002C36AA">
      <w:pPr>
        <w:rPr>
          <w:bCs/>
        </w:rPr>
      </w:pPr>
      <w:r w:rsidRPr="00AD0400">
        <w:rPr>
          <w:bCs/>
        </w:rPr>
        <w:t>On top of this information, we use the Intentions Survey on Durable Solutions among IDPs in Georgia from UNHCR and ISSA. This survey</w:t>
      </w:r>
      <w:r w:rsidR="003561A2">
        <w:rPr>
          <w:bCs/>
        </w:rPr>
        <w:t xml:space="preserve"> conducted between October and December 2014</w:t>
      </w:r>
      <w:r w:rsidRPr="00AD0400">
        <w:rPr>
          <w:bCs/>
        </w:rPr>
        <w:t xml:space="preserve"> is exclusively for IDPs</w:t>
      </w:r>
      <w:r w:rsidR="003561A2">
        <w:rPr>
          <w:bCs/>
        </w:rPr>
        <w:t>. With 2,001 respondents</w:t>
      </w:r>
      <w:r w:rsidR="00B306C4">
        <w:rPr>
          <w:bCs/>
        </w:rPr>
        <w:t xml:space="preserve"> it is representative of the IDP population</w:t>
      </w:r>
      <w:r w:rsidRPr="00AD0400">
        <w:rPr>
          <w:bCs/>
        </w:rPr>
        <w:t xml:space="preserve">. In addition, we include the information from UNDP survey for 2011, which includes an oversampling of IDPs, persons with disabilities and mountain regions. This survey contains information for 2011 on 1,867 IDPs, who represent 12.11% of the total sample. We combine these three data sets for the descriptive statistics elaborated for this report. </w:t>
      </w:r>
    </w:p>
    <w:p w14:paraId="3921B5A9" w14:textId="77777777" w:rsidR="002C36AA" w:rsidRPr="00AD0400" w:rsidRDefault="002C36AA" w:rsidP="002C36AA">
      <w:pPr>
        <w:rPr>
          <w:bCs/>
        </w:rPr>
      </w:pPr>
    </w:p>
    <w:p w14:paraId="5D42EEAF" w14:textId="77777777" w:rsidR="002C36AA" w:rsidRPr="00AD0400" w:rsidRDefault="002C36AA" w:rsidP="002C36AA">
      <w:pPr>
        <w:rPr>
          <w:bCs/>
          <w:i/>
        </w:rPr>
      </w:pPr>
      <w:r w:rsidRPr="00AD0400">
        <w:rPr>
          <w:bCs/>
          <w:i/>
        </w:rPr>
        <w:t>How are IDPs identified in the surveys?</w:t>
      </w:r>
    </w:p>
    <w:p w14:paraId="6BCB84B1" w14:textId="77777777" w:rsidR="002C36AA" w:rsidRPr="00AD0400" w:rsidRDefault="002C36AA" w:rsidP="002C36AA">
      <w:pPr>
        <w:rPr>
          <w:bCs/>
        </w:rPr>
      </w:pPr>
      <w:r w:rsidRPr="00AD0400">
        <w:rPr>
          <w:bCs/>
        </w:rPr>
        <w:t xml:space="preserve">In the case of the Integrated Household Survey, identification of IDPs is at the individual level. For each individual in the household, a question is asked on whether each person has a special status of IDP.  In each household, there can be IDP and non IDP members. Most tables in this report are produced at the individual level (in which case, we can identify if the individual is an IDP or not), but there are few cases in which the information is reported at the household level. In these cases, the IDP categorization is determined based on the head of household. </w:t>
      </w:r>
    </w:p>
    <w:p w14:paraId="79AE6153" w14:textId="77777777" w:rsidR="002C36AA" w:rsidRPr="00AD0400" w:rsidRDefault="002C36AA" w:rsidP="002C36AA">
      <w:pPr>
        <w:rPr>
          <w:bCs/>
        </w:rPr>
      </w:pPr>
      <w:r w:rsidRPr="00AD0400">
        <w:rPr>
          <w:bCs/>
        </w:rPr>
        <w:t>The Intentions Survey from UNHCR is administered exclusively to IDP members, who are 16 years old or older. There can be more than one IDP at each household, although these cases are rare.</w:t>
      </w:r>
    </w:p>
    <w:p w14:paraId="31D8A411" w14:textId="77777777" w:rsidR="002C36AA" w:rsidRPr="00AD0400" w:rsidRDefault="002C36AA" w:rsidP="002C36AA">
      <w:pPr>
        <w:rPr>
          <w:bCs/>
        </w:rPr>
      </w:pPr>
      <w:r w:rsidRPr="00AD0400">
        <w:rPr>
          <w:bCs/>
        </w:rPr>
        <w:t>Finally, the UNDP data set contains an oversample of IDP members, who are also identified at the individual level. Again, a question to each member is applied on whether they hold a special status of IDP members.</w:t>
      </w:r>
    </w:p>
    <w:p w14:paraId="5F1ADDD7" w14:textId="77777777" w:rsidR="002C36AA" w:rsidRPr="00AD0400" w:rsidRDefault="002C36AA" w:rsidP="002C36AA">
      <w:pPr>
        <w:rPr>
          <w:bCs/>
        </w:rPr>
      </w:pPr>
    </w:p>
    <w:p w14:paraId="24BD6DC1" w14:textId="77777777" w:rsidR="002C36AA" w:rsidRPr="00AD0400" w:rsidRDefault="002C36AA" w:rsidP="002C36AA">
      <w:pPr>
        <w:rPr>
          <w:bCs/>
          <w:i/>
        </w:rPr>
      </w:pPr>
      <w:r w:rsidRPr="00AD0400">
        <w:rPr>
          <w:bCs/>
          <w:i/>
        </w:rPr>
        <w:t>What makes IDPs different from the rest of the population?</w:t>
      </w:r>
    </w:p>
    <w:p w14:paraId="12284721" w14:textId="77777777" w:rsidR="002C36AA" w:rsidRPr="00AD0400" w:rsidRDefault="002C36AA" w:rsidP="002C36AA">
      <w:pPr>
        <w:rPr>
          <w:bCs/>
        </w:rPr>
      </w:pPr>
    </w:p>
    <w:p w14:paraId="2E3D7171" w14:textId="77777777" w:rsidR="002C36AA" w:rsidRPr="00AD0400" w:rsidRDefault="002C36AA" w:rsidP="002C36AA">
      <w:pPr>
        <w:pStyle w:val="ListParagraph"/>
        <w:numPr>
          <w:ilvl w:val="0"/>
          <w:numId w:val="29"/>
        </w:numPr>
        <w:spacing w:after="160" w:line="259" w:lineRule="auto"/>
        <w:rPr>
          <w:bCs/>
        </w:rPr>
      </w:pPr>
      <w:r w:rsidRPr="00AD0400">
        <w:rPr>
          <w:bCs/>
        </w:rPr>
        <w:t xml:space="preserve">Most of the population in Georgia is dispersed between the regions of: Tbilisi, Kvemo Kartli, Adjara, Samegrelo-Zemo Svaneti and Imereti, Racha-Lechkhumi, Kvemo Svaneti. IDPs, however, are not equally dispersed. 44% of the Internally Displaced population is concentrated in Tbilisi, while 26.4% of them live in Samegrelo-Zemo Svaneti. </w:t>
      </w:r>
    </w:p>
    <w:p w14:paraId="0635B53A" w14:textId="77777777" w:rsidR="002C36AA" w:rsidRPr="00AD0400" w:rsidRDefault="002C36AA" w:rsidP="002C36AA">
      <w:pPr>
        <w:pStyle w:val="ListParagraph"/>
        <w:rPr>
          <w:bCs/>
        </w:rPr>
      </w:pPr>
    </w:p>
    <w:p w14:paraId="557615E3" w14:textId="77777777" w:rsidR="002C36AA" w:rsidRDefault="002C36AA" w:rsidP="002C36AA">
      <w:pPr>
        <w:pStyle w:val="ListParagraph"/>
        <w:numPr>
          <w:ilvl w:val="0"/>
          <w:numId w:val="29"/>
        </w:numPr>
        <w:spacing w:after="160" w:line="259" w:lineRule="auto"/>
        <w:rPr>
          <w:bCs/>
        </w:rPr>
      </w:pPr>
      <w:r w:rsidRPr="00AD0400">
        <w:rPr>
          <w:bCs/>
        </w:rPr>
        <w:t>In fact, while 51% of the population lives in rural areas, only 24.7% of IDPs live in rural areas and 75% in urban areas. From those 75%, 44% are only in Tbilisi.</w:t>
      </w:r>
    </w:p>
    <w:p w14:paraId="4BE41526" w14:textId="77777777" w:rsidR="00264F2B" w:rsidRPr="0036006E" w:rsidRDefault="00264F2B" w:rsidP="0036006E">
      <w:pPr>
        <w:pStyle w:val="ListParagraph"/>
        <w:rPr>
          <w:bCs/>
        </w:rPr>
      </w:pPr>
    </w:p>
    <w:p w14:paraId="224BAACC" w14:textId="77777777" w:rsidR="00264F2B" w:rsidRPr="00AD0400" w:rsidRDefault="00264F2B" w:rsidP="0036006E">
      <w:pPr>
        <w:pStyle w:val="ListParagraph"/>
        <w:spacing w:after="160" w:line="259" w:lineRule="auto"/>
        <w:rPr>
          <w:bCs/>
        </w:rPr>
      </w:pPr>
    </w:p>
    <w:tbl>
      <w:tblPr>
        <w:tblW w:w="10243" w:type="dxa"/>
        <w:tblLook w:val="04A0" w:firstRow="1" w:lastRow="0" w:firstColumn="1" w:lastColumn="0" w:noHBand="0" w:noVBand="1"/>
      </w:tblPr>
      <w:tblGrid>
        <w:gridCol w:w="3663"/>
        <w:gridCol w:w="628"/>
        <w:gridCol w:w="628"/>
        <w:gridCol w:w="1224"/>
        <w:gridCol w:w="1580"/>
        <w:gridCol w:w="639"/>
        <w:gridCol w:w="638"/>
        <w:gridCol w:w="1243"/>
      </w:tblGrid>
      <w:tr w:rsidR="00264F2B" w:rsidRPr="00264F2B" w14:paraId="204A5B81" w14:textId="77777777" w:rsidTr="00264F2B">
        <w:trPr>
          <w:trHeight w:val="300"/>
        </w:trPr>
        <w:tc>
          <w:tcPr>
            <w:tcW w:w="3663" w:type="dxa"/>
            <w:tcBorders>
              <w:top w:val="nil"/>
              <w:left w:val="nil"/>
              <w:bottom w:val="nil"/>
              <w:right w:val="nil"/>
            </w:tcBorders>
            <w:shd w:val="clear" w:color="auto" w:fill="auto"/>
            <w:noWrap/>
            <w:vAlign w:val="bottom"/>
            <w:hideMark/>
          </w:tcPr>
          <w:p w14:paraId="3CB2F1E9" w14:textId="77777777" w:rsidR="00264F2B" w:rsidRPr="00264F2B" w:rsidRDefault="00264F2B" w:rsidP="00264F2B">
            <w:pPr>
              <w:spacing w:after="0"/>
              <w:jc w:val="left"/>
              <w:rPr>
                <w:rFonts w:ascii="Times New Roman" w:eastAsia="Times New Roman" w:hAnsi="Times New Roman" w:cs="Times New Roman"/>
                <w:sz w:val="24"/>
                <w:szCs w:val="24"/>
              </w:rPr>
            </w:pPr>
          </w:p>
        </w:tc>
        <w:tc>
          <w:tcPr>
            <w:tcW w:w="2480" w:type="dxa"/>
            <w:gridSpan w:val="3"/>
            <w:tcBorders>
              <w:top w:val="nil"/>
              <w:left w:val="nil"/>
              <w:bottom w:val="nil"/>
              <w:right w:val="nil"/>
            </w:tcBorders>
            <w:shd w:val="clear" w:color="auto" w:fill="auto"/>
            <w:noWrap/>
            <w:vAlign w:val="bottom"/>
            <w:hideMark/>
          </w:tcPr>
          <w:p w14:paraId="37F748CB" w14:textId="77777777" w:rsidR="00264F2B" w:rsidRPr="00264F2B" w:rsidRDefault="00264F2B" w:rsidP="00264F2B">
            <w:pPr>
              <w:spacing w:after="0"/>
              <w:jc w:val="center"/>
              <w:rPr>
                <w:rFonts w:ascii="Cambria" w:eastAsia="Times New Roman" w:hAnsi="Cambria" w:cs="Times New Roman"/>
                <w:b/>
                <w:bCs/>
                <w:color w:val="000000"/>
                <w:sz w:val="20"/>
                <w:szCs w:val="20"/>
              </w:rPr>
            </w:pPr>
            <w:r w:rsidRPr="00264F2B">
              <w:rPr>
                <w:rFonts w:ascii="Cambria" w:eastAsia="Times New Roman" w:hAnsi="Cambria" w:cs="Times New Roman"/>
                <w:b/>
                <w:bCs/>
                <w:color w:val="000000"/>
                <w:sz w:val="20"/>
                <w:szCs w:val="20"/>
              </w:rPr>
              <w:t>IHS 2011-2013</w:t>
            </w:r>
          </w:p>
        </w:tc>
        <w:tc>
          <w:tcPr>
            <w:tcW w:w="1580" w:type="dxa"/>
            <w:tcBorders>
              <w:top w:val="nil"/>
              <w:left w:val="nil"/>
              <w:bottom w:val="nil"/>
              <w:right w:val="nil"/>
            </w:tcBorders>
            <w:shd w:val="clear" w:color="auto" w:fill="auto"/>
            <w:noWrap/>
            <w:vAlign w:val="bottom"/>
            <w:hideMark/>
          </w:tcPr>
          <w:p w14:paraId="24B062B9" w14:textId="51C3E692" w:rsidR="00264F2B" w:rsidRPr="00264F2B" w:rsidRDefault="00264F2B" w:rsidP="00264F2B">
            <w:pPr>
              <w:spacing w:after="0"/>
              <w:jc w:val="center"/>
              <w:rPr>
                <w:rFonts w:ascii="Cambria" w:eastAsia="Times New Roman" w:hAnsi="Cambria" w:cs="Times New Roman"/>
                <w:b/>
                <w:bCs/>
                <w:color w:val="000000"/>
                <w:sz w:val="20"/>
                <w:szCs w:val="20"/>
              </w:rPr>
            </w:pPr>
            <w:r w:rsidRPr="00264F2B">
              <w:rPr>
                <w:rFonts w:ascii="Cambria" w:eastAsia="Times New Roman" w:hAnsi="Cambria" w:cs="Times New Roman"/>
                <w:b/>
                <w:bCs/>
                <w:color w:val="000000"/>
                <w:sz w:val="20"/>
                <w:szCs w:val="20"/>
              </w:rPr>
              <w:t>UNHCR 201</w:t>
            </w:r>
            <w:r w:rsidR="001466D5">
              <w:rPr>
                <w:rFonts w:ascii="Cambria" w:eastAsia="Times New Roman" w:hAnsi="Cambria" w:cs="Times New Roman"/>
                <w:b/>
                <w:bCs/>
                <w:color w:val="000000"/>
                <w:sz w:val="20"/>
                <w:szCs w:val="20"/>
              </w:rPr>
              <w:t>4</w:t>
            </w:r>
            <w:r w:rsidR="001466D5">
              <w:rPr>
                <w:rStyle w:val="FootnoteReference"/>
                <w:rFonts w:ascii="Cambria" w:eastAsia="Times New Roman" w:hAnsi="Cambria" w:cs="Times New Roman"/>
                <w:b/>
                <w:bCs/>
                <w:color w:val="000000"/>
                <w:sz w:val="20"/>
                <w:szCs w:val="20"/>
              </w:rPr>
              <w:footnoteReference w:id="133"/>
            </w:r>
          </w:p>
        </w:tc>
        <w:tc>
          <w:tcPr>
            <w:tcW w:w="2520" w:type="dxa"/>
            <w:gridSpan w:val="3"/>
            <w:tcBorders>
              <w:top w:val="nil"/>
              <w:left w:val="nil"/>
              <w:bottom w:val="nil"/>
              <w:right w:val="nil"/>
            </w:tcBorders>
            <w:shd w:val="clear" w:color="auto" w:fill="auto"/>
            <w:noWrap/>
            <w:vAlign w:val="bottom"/>
            <w:hideMark/>
          </w:tcPr>
          <w:p w14:paraId="1DC817EB" w14:textId="77777777" w:rsidR="00264F2B" w:rsidRPr="00264F2B" w:rsidRDefault="00264F2B" w:rsidP="00264F2B">
            <w:pPr>
              <w:spacing w:after="0"/>
              <w:jc w:val="center"/>
              <w:rPr>
                <w:rFonts w:ascii="Cambria" w:eastAsia="Times New Roman" w:hAnsi="Cambria" w:cs="Times New Roman"/>
                <w:b/>
                <w:bCs/>
                <w:color w:val="000000"/>
                <w:sz w:val="20"/>
                <w:szCs w:val="20"/>
              </w:rPr>
            </w:pPr>
            <w:r w:rsidRPr="00264F2B">
              <w:rPr>
                <w:rFonts w:ascii="Cambria" w:eastAsia="Times New Roman" w:hAnsi="Cambria" w:cs="Times New Roman"/>
                <w:b/>
                <w:bCs/>
                <w:color w:val="000000"/>
                <w:sz w:val="20"/>
                <w:szCs w:val="20"/>
              </w:rPr>
              <w:t>UNDP 2011</w:t>
            </w:r>
          </w:p>
        </w:tc>
      </w:tr>
      <w:tr w:rsidR="00264F2B" w:rsidRPr="00264F2B" w14:paraId="3B101D07" w14:textId="77777777" w:rsidTr="00264F2B">
        <w:trPr>
          <w:trHeight w:val="300"/>
        </w:trPr>
        <w:tc>
          <w:tcPr>
            <w:tcW w:w="3663" w:type="dxa"/>
            <w:tcBorders>
              <w:top w:val="nil"/>
              <w:left w:val="nil"/>
              <w:bottom w:val="nil"/>
              <w:right w:val="nil"/>
            </w:tcBorders>
            <w:shd w:val="clear" w:color="auto" w:fill="auto"/>
            <w:noWrap/>
            <w:vAlign w:val="bottom"/>
            <w:hideMark/>
          </w:tcPr>
          <w:p w14:paraId="5FA52221" w14:textId="77777777" w:rsidR="00264F2B" w:rsidRPr="00264F2B" w:rsidRDefault="00264F2B" w:rsidP="00264F2B">
            <w:pPr>
              <w:spacing w:after="0"/>
              <w:jc w:val="center"/>
              <w:rPr>
                <w:rFonts w:ascii="Cambria" w:eastAsia="Times New Roman" w:hAnsi="Cambria" w:cs="Times New Roman"/>
                <w:b/>
                <w:bCs/>
                <w:color w:val="000000"/>
                <w:sz w:val="20"/>
                <w:szCs w:val="20"/>
              </w:rPr>
            </w:pPr>
          </w:p>
        </w:tc>
        <w:tc>
          <w:tcPr>
            <w:tcW w:w="628" w:type="dxa"/>
            <w:tcBorders>
              <w:top w:val="nil"/>
              <w:left w:val="nil"/>
              <w:bottom w:val="nil"/>
              <w:right w:val="nil"/>
            </w:tcBorders>
            <w:shd w:val="clear" w:color="auto" w:fill="auto"/>
            <w:noWrap/>
            <w:vAlign w:val="bottom"/>
            <w:hideMark/>
          </w:tcPr>
          <w:p w14:paraId="5D1B23A7" w14:textId="77777777" w:rsidR="00264F2B" w:rsidRPr="00264F2B" w:rsidRDefault="00264F2B" w:rsidP="00264F2B">
            <w:pPr>
              <w:spacing w:after="0"/>
              <w:jc w:val="center"/>
              <w:rPr>
                <w:rFonts w:ascii="Cambria" w:eastAsia="Times New Roman" w:hAnsi="Cambria" w:cs="Times New Roman"/>
                <w:b/>
                <w:bCs/>
                <w:color w:val="000000"/>
                <w:sz w:val="20"/>
                <w:szCs w:val="20"/>
              </w:rPr>
            </w:pPr>
            <w:r w:rsidRPr="00264F2B">
              <w:rPr>
                <w:rFonts w:ascii="Cambria" w:eastAsia="Times New Roman" w:hAnsi="Cambria" w:cs="Times New Roman"/>
                <w:b/>
                <w:bCs/>
                <w:color w:val="000000"/>
                <w:sz w:val="20"/>
                <w:szCs w:val="20"/>
              </w:rPr>
              <w:t>All</w:t>
            </w:r>
          </w:p>
        </w:tc>
        <w:tc>
          <w:tcPr>
            <w:tcW w:w="628" w:type="dxa"/>
            <w:tcBorders>
              <w:top w:val="nil"/>
              <w:left w:val="nil"/>
              <w:bottom w:val="nil"/>
              <w:right w:val="nil"/>
            </w:tcBorders>
            <w:shd w:val="clear" w:color="auto" w:fill="auto"/>
            <w:noWrap/>
            <w:vAlign w:val="bottom"/>
            <w:hideMark/>
          </w:tcPr>
          <w:p w14:paraId="7533AB6F" w14:textId="77777777" w:rsidR="00264F2B" w:rsidRPr="00264F2B" w:rsidRDefault="00264F2B" w:rsidP="00264F2B">
            <w:pPr>
              <w:spacing w:after="0"/>
              <w:jc w:val="center"/>
              <w:rPr>
                <w:rFonts w:ascii="Cambria" w:eastAsia="Times New Roman" w:hAnsi="Cambria" w:cs="Times New Roman"/>
                <w:b/>
                <w:bCs/>
                <w:color w:val="000000"/>
                <w:sz w:val="20"/>
                <w:szCs w:val="20"/>
              </w:rPr>
            </w:pPr>
            <w:r w:rsidRPr="00264F2B">
              <w:rPr>
                <w:rFonts w:ascii="Cambria" w:eastAsia="Times New Roman" w:hAnsi="Cambria" w:cs="Times New Roman"/>
                <w:b/>
                <w:bCs/>
                <w:color w:val="000000"/>
                <w:sz w:val="20"/>
                <w:szCs w:val="20"/>
              </w:rPr>
              <w:t>IDP</w:t>
            </w:r>
          </w:p>
        </w:tc>
        <w:tc>
          <w:tcPr>
            <w:tcW w:w="1224" w:type="dxa"/>
            <w:tcBorders>
              <w:top w:val="nil"/>
              <w:left w:val="nil"/>
              <w:bottom w:val="nil"/>
              <w:right w:val="nil"/>
            </w:tcBorders>
            <w:shd w:val="clear" w:color="auto" w:fill="auto"/>
            <w:noWrap/>
            <w:vAlign w:val="bottom"/>
            <w:hideMark/>
          </w:tcPr>
          <w:p w14:paraId="5A44C57F" w14:textId="77777777" w:rsidR="00264F2B" w:rsidRPr="00264F2B" w:rsidRDefault="00264F2B" w:rsidP="00264F2B">
            <w:pPr>
              <w:spacing w:after="0"/>
              <w:jc w:val="center"/>
              <w:rPr>
                <w:rFonts w:ascii="Cambria" w:eastAsia="Times New Roman" w:hAnsi="Cambria" w:cs="Times New Roman"/>
                <w:b/>
                <w:bCs/>
                <w:color w:val="000000"/>
                <w:sz w:val="20"/>
                <w:szCs w:val="20"/>
              </w:rPr>
            </w:pPr>
            <w:r w:rsidRPr="00264F2B">
              <w:rPr>
                <w:rFonts w:ascii="Cambria" w:eastAsia="Times New Roman" w:hAnsi="Cambria" w:cs="Times New Roman"/>
                <w:b/>
                <w:bCs/>
                <w:color w:val="000000"/>
                <w:sz w:val="20"/>
                <w:szCs w:val="20"/>
              </w:rPr>
              <w:t>non-IDP</w:t>
            </w:r>
          </w:p>
        </w:tc>
        <w:tc>
          <w:tcPr>
            <w:tcW w:w="1580" w:type="dxa"/>
            <w:tcBorders>
              <w:top w:val="nil"/>
              <w:left w:val="nil"/>
              <w:bottom w:val="nil"/>
              <w:right w:val="nil"/>
            </w:tcBorders>
            <w:shd w:val="clear" w:color="auto" w:fill="auto"/>
            <w:noWrap/>
            <w:vAlign w:val="bottom"/>
            <w:hideMark/>
          </w:tcPr>
          <w:p w14:paraId="1B5982DD" w14:textId="77777777" w:rsidR="00264F2B" w:rsidRPr="00264F2B" w:rsidRDefault="00264F2B" w:rsidP="00264F2B">
            <w:pPr>
              <w:spacing w:after="0"/>
              <w:jc w:val="center"/>
              <w:rPr>
                <w:rFonts w:ascii="Cambria" w:eastAsia="Times New Roman" w:hAnsi="Cambria" w:cs="Times New Roman"/>
                <w:b/>
                <w:bCs/>
                <w:color w:val="000000"/>
                <w:sz w:val="20"/>
                <w:szCs w:val="20"/>
              </w:rPr>
            </w:pPr>
            <w:r w:rsidRPr="00264F2B">
              <w:rPr>
                <w:rFonts w:ascii="Cambria" w:eastAsia="Times New Roman" w:hAnsi="Cambria" w:cs="Times New Roman"/>
                <w:b/>
                <w:bCs/>
                <w:color w:val="000000"/>
                <w:sz w:val="20"/>
                <w:szCs w:val="20"/>
              </w:rPr>
              <w:t>IDP</w:t>
            </w:r>
          </w:p>
        </w:tc>
        <w:tc>
          <w:tcPr>
            <w:tcW w:w="639" w:type="dxa"/>
            <w:tcBorders>
              <w:top w:val="nil"/>
              <w:left w:val="nil"/>
              <w:bottom w:val="nil"/>
              <w:right w:val="nil"/>
            </w:tcBorders>
            <w:shd w:val="clear" w:color="auto" w:fill="auto"/>
            <w:noWrap/>
            <w:vAlign w:val="bottom"/>
            <w:hideMark/>
          </w:tcPr>
          <w:p w14:paraId="53FE1713" w14:textId="77777777" w:rsidR="00264F2B" w:rsidRPr="00264F2B" w:rsidRDefault="00264F2B" w:rsidP="00264F2B">
            <w:pPr>
              <w:spacing w:after="0"/>
              <w:jc w:val="center"/>
              <w:rPr>
                <w:rFonts w:ascii="Cambria" w:eastAsia="Times New Roman" w:hAnsi="Cambria" w:cs="Times New Roman"/>
                <w:b/>
                <w:bCs/>
                <w:color w:val="000000"/>
                <w:sz w:val="20"/>
                <w:szCs w:val="20"/>
              </w:rPr>
            </w:pPr>
            <w:r w:rsidRPr="00264F2B">
              <w:rPr>
                <w:rFonts w:ascii="Cambria" w:eastAsia="Times New Roman" w:hAnsi="Cambria" w:cs="Times New Roman"/>
                <w:b/>
                <w:bCs/>
                <w:color w:val="000000"/>
                <w:sz w:val="20"/>
                <w:szCs w:val="20"/>
              </w:rPr>
              <w:t>All</w:t>
            </w:r>
          </w:p>
        </w:tc>
        <w:tc>
          <w:tcPr>
            <w:tcW w:w="638" w:type="dxa"/>
            <w:tcBorders>
              <w:top w:val="nil"/>
              <w:left w:val="nil"/>
              <w:bottom w:val="nil"/>
              <w:right w:val="nil"/>
            </w:tcBorders>
            <w:shd w:val="clear" w:color="auto" w:fill="auto"/>
            <w:noWrap/>
            <w:vAlign w:val="bottom"/>
            <w:hideMark/>
          </w:tcPr>
          <w:p w14:paraId="55C815FC" w14:textId="77777777" w:rsidR="00264F2B" w:rsidRPr="00264F2B" w:rsidRDefault="00264F2B" w:rsidP="00264F2B">
            <w:pPr>
              <w:spacing w:after="0"/>
              <w:jc w:val="center"/>
              <w:rPr>
                <w:rFonts w:ascii="Cambria" w:eastAsia="Times New Roman" w:hAnsi="Cambria" w:cs="Times New Roman"/>
                <w:b/>
                <w:bCs/>
                <w:color w:val="000000"/>
                <w:sz w:val="20"/>
                <w:szCs w:val="20"/>
              </w:rPr>
            </w:pPr>
            <w:r w:rsidRPr="00264F2B">
              <w:rPr>
                <w:rFonts w:ascii="Cambria" w:eastAsia="Times New Roman" w:hAnsi="Cambria" w:cs="Times New Roman"/>
                <w:b/>
                <w:bCs/>
                <w:color w:val="000000"/>
                <w:sz w:val="20"/>
                <w:szCs w:val="20"/>
              </w:rPr>
              <w:t>IDP</w:t>
            </w:r>
          </w:p>
        </w:tc>
        <w:tc>
          <w:tcPr>
            <w:tcW w:w="1243" w:type="dxa"/>
            <w:tcBorders>
              <w:top w:val="nil"/>
              <w:left w:val="nil"/>
              <w:bottom w:val="nil"/>
              <w:right w:val="nil"/>
            </w:tcBorders>
            <w:shd w:val="clear" w:color="auto" w:fill="auto"/>
            <w:noWrap/>
            <w:vAlign w:val="bottom"/>
            <w:hideMark/>
          </w:tcPr>
          <w:p w14:paraId="78003577" w14:textId="77777777" w:rsidR="00264F2B" w:rsidRPr="00264F2B" w:rsidRDefault="00264F2B" w:rsidP="00264F2B">
            <w:pPr>
              <w:spacing w:after="0"/>
              <w:jc w:val="center"/>
              <w:rPr>
                <w:rFonts w:ascii="Cambria" w:eastAsia="Times New Roman" w:hAnsi="Cambria" w:cs="Times New Roman"/>
                <w:b/>
                <w:bCs/>
                <w:color w:val="000000"/>
                <w:sz w:val="20"/>
                <w:szCs w:val="20"/>
              </w:rPr>
            </w:pPr>
            <w:r w:rsidRPr="00264F2B">
              <w:rPr>
                <w:rFonts w:ascii="Cambria" w:eastAsia="Times New Roman" w:hAnsi="Cambria" w:cs="Times New Roman"/>
                <w:b/>
                <w:bCs/>
                <w:color w:val="000000"/>
                <w:sz w:val="20"/>
                <w:szCs w:val="20"/>
              </w:rPr>
              <w:t>non-IDP</w:t>
            </w:r>
          </w:p>
        </w:tc>
      </w:tr>
      <w:tr w:rsidR="00264F2B" w:rsidRPr="00264F2B" w14:paraId="660E6346" w14:textId="77777777" w:rsidTr="00264F2B">
        <w:trPr>
          <w:trHeight w:val="300"/>
        </w:trPr>
        <w:tc>
          <w:tcPr>
            <w:tcW w:w="10243" w:type="dxa"/>
            <w:gridSpan w:val="8"/>
            <w:tcBorders>
              <w:top w:val="single" w:sz="4" w:space="0" w:color="auto"/>
              <w:left w:val="nil"/>
              <w:bottom w:val="nil"/>
              <w:right w:val="nil"/>
            </w:tcBorders>
            <w:shd w:val="clear" w:color="auto" w:fill="auto"/>
            <w:noWrap/>
            <w:vAlign w:val="bottom"/>
            <w:hideMark/>
          </w:tcPr>
          <w:p w14:paraId="743666B0" w14:textId="77777777" w:rsidR="00264F2B" w:rsidRPr="00264F2B" w:rsidRDefault="00264F2B" w:rsidP="00264F2B">
            <w:pPr>
              <w:spacing w:after="0"/>
              <w:jc w:val="left"/>
              <w:rPr>
                <w:rFonts w:ascii="Cambria" w:eastAsia="Times New Roman" w:hAnsi="Cambria" w:cs="Times New Roman"/>
                <w:b/>
                <w:bCs/>
                <w:color w:val="000000"/>
                <w:sz w:val="20"/>
                <w:szCs w:val="20"/>
              </w:rPr>
            </w:pPr>
            <w:r w:rsidRPr="00264F2B">
              <w:rPr>
                <w:rFonts w:ascii="Cambria" w:eastAsia="Times New Roman" w:hAnsi="Cambria" w:cs="Times New Roman"/>
                <w:b/>
                <w:bCs/>
                <w:color w:val="000000"/>
                <w:sz w:val="20"/>
                <w:szCs w:val="20"/>
              </w:rPr>
              <w:t>Region</w:t>
            </w:r>
          </w:p>
        </w:tc>
      </w:tr>
      <w:tr w:rsidR="00264F2B" w:rsidRPr="00264F2B" w14:paraId="2CE34AD9" w14:textId="77777777" w:rsidTr="00264F2B">
        <w:trPr>
          <w:trHeight w:val="300"/>
        </w:trPr>
        <w:tc>
          <w:tcPr>
            <w:tcW w:w="3663" w:type="dxa"/>
            <w:tcBorders>
              <w:top w:val="nil"/>
              <w:left w:val="nil"/>
              <w:bottom w:val="nil"/>
              <w:right w:val="nil"/>
            </w:tcBorders>
            <w:shd w:val="clear" w:color="auto" w:fill="auto"/>
            <w:noWrap/>
            <w:vAlign w:val="bottom"/>
            <w:hideMark/>
          </w:tcPr>
          <w:p w14:paraId="51035FA7" w14:textId="77777777" w:rsidR="00264F2B" w:rsidRPr="00264F2B" w:rsidRDefault="00264F2B" w:rsidP="00264F2B">
            <w:pPr>
              <w:spacing w:after="0"/>
              <w:jc w:val="left"/>
              <w:rPr>
                <w:rFonts w:ascii="Cambria" w:eastAsia="Times New Roman" w:hAnsi="Cambria" w:cs="Times New Roman"/>
                <w:color w:val="000000"/>
                <w:sz w:val="20"/>
                <w:szCs w:val="20"/>
              </w:rPr>
            </w:pPr>
            <w:r w:rsidRPr="00264F2B">
              <w:rPr>
                <w:rFonts w:ascii="Cambria" w:eastAsia="Times New Roman" w:hAnsi="Cambria" w:cs="Times New Roman"/>
                <w:color w:val="000000"/>
                <w:sz w:val="20"/>
                <w:szCs w:val="20"/>
              </w:rPr>
              <w:t>Kakheti</w:t>
            </w:r>
          </w:p>
        </w:tc>
        <w:tc>
          <w:tcPr>
            <w:tcW w:w="628" w:type="dxa"/>
            <w:tcBorders>
              <w:top w:val="nil"/>
              <w:left w:val="nil"/>
              <w:bottom w:val="nil"/>
              <w:right w:val="nil"/>
            </w:tcBorders>
            <w:shd w:val="clear" w:color="auto" w:fill="auto"/>
            <w:noWrap/>
            <w:vAlign w:val="bottom"/>
            <w:hideMark/>
          </w:tcPr>
          <w:p w14:paraId="097960BD" w14:textId="77777777" w:rsidR="00264F2B" w:rsidRPr="00264F2B" w:rsidRDefault="00264F2B" w:rsidP="00264F2B">
            <w:pPr>
              <w:spacing w:after="0"/>
              <w:jc w:val="center"/>
              <w:rPr>
                <w:rFonts w:ascii="Cambria" w:eastAsia="Times New Roman" w:hAnsi="Cambria" w:cs="Times New Roman"/>
                <w:color w:val="000000"/>
                <w:sz w:val="20"/>
                <w:szCs w:val="20"/>
              </w:rPr>
            </w:pPr>
            <w:r w:rsidRPr="00264F2B">
              <w:rPr>
                <w:rFonts w:ascii="Cambria" w:eastAsia="Times New Roman" w:hAnsi="Cambria" w:cs="Times New Roman"/>
                <w:color w:val="000000"/>
                <w:sz w:val="20"/>
                <w:szCs w:val="20"/>
              </w:rPr>
              <w:t>9</w:t>
            </w:r>
          </w:p>
        </w:tc>
        <w:tc>
          <w:tcPr>
            <w:tcW w:w="628" w:type="dxa"/>
            <w:tcBorders>
              <w:top w:val="nil"/>
              <w:left w:val="nil"/>
              <w:bottom w:val="nil"/>
              <w:right w:val="nil"/>
            </w:tcBorders>
            <w:shd w:val="clear" w:color="auto" w:fill="auto"/>
            <w:noWrap/>
            <w:vAlign w:val="bottom"/>
            <w:hideMark/>
          </w:tcPr>
          <w:p w14:paraId="1080E8B0" w14:textId="77777777" w:rsidR="00264F2B" w:rsidRPr="00264F2B" w:rsidRDefault="00264F2B" w:rsidP="00264F2B">
            <w:pPr>
              <w:spacing w:after="0"/>
              <w:jc w:val="center"/>
              <w:rPr>
                <w:rFonts w:ascii="Cambria" w:eastAsia="Times New Roman" w:hAnsi="Cambria" w:cs="Times New Roman"/>
                <w:color w:val="000000"/>
                <w:sz w:val="20"/>
                <w:szCs w:val="20"/>
              </w:rPr>
            </w:pPr>
            <w:r w:rsidRPr="00264F2B">
              <w:rPr>
                <w:rFonts w:ascii="Cambria" w:eastAsia="Times New Roman" w:hAnsi="Cambria" w:cs="Times New Roman"/>
                <w:color w:val="000000"/>
                <w:sz w:val="20"/>
                <w:szCs w:val="20"/>
              </w:rPr>
              <w:t>0.2</w:t>
            </w:r>
          </w:p>
        </w:tc>
        <w:tc>
          <w:tcPr>
            <w:tcW w:w="1224" w:type="dxa"/>
            <w:tcBorders>
              <w:top w:val="nil"/>
              <w:left w:val="nil"/>
              <w:bottom w:val="nil"/>
              <w:right w:val="nil"/>
            </w:tcBorders>
            <w:shd w:val="clear" w:color="auto" w:fill="auto"/>
            <w:noWrap/>
            <w:vAlign w:val="bottom"/>
            <w:hideMark/>
          </w:tcPr>
          <w:p w14:paraId="3C6B59FD" w14:textId="77777777" w:rsidR="00264F2B" w:rsidRPr="00264F2B" w:rsidRDefault="00264F2B" w:rsidP="00264F2B">
            <w:pPr>
              <w:spacing w:after="0"/>
              <w:jc w:val="center"/>
              <w:rPr>
                <w:rFonts w:ascii="Cambria" w:eastAsia="Times New Roman" w:hAnsi="Cambria" w:cs="Times New Roman"/>
                <w:color w:val="000000"/>
                <w:sz w:val="20"/>
                <w:szCs w:val="20"/>
              </w:rPr>
            </w:pPr>
            <w:r w:rsidRPr="00264F2B">
              <w:rPr>
                <w:rFonts w:ascii="Cambria" w:eastAsia="Times New Roman" w:hAnsi="Cambria" w:cs="Times New Roman"/>
                <w:color w:val="000000"/>
                <w:sz w:val="20"/>
                <w:szCs w:val="20"/>
              </w:rPr>
              <w:t>9.4</w:t>
            </w:r>
          </w:p>
        </w:tc>
        <w:tc>
          <w:tcPr>
            <w:tcW w:w="1580" w:type="dxa"/>
            <w:tcBorders>
              <w:top w:val="nil"/>
              <w:left w:val="nil"/>
              <w:bottom w:val="nil"/>
              <w:right w:val="nil"/>
            </w:tcBorders>
            <w:shd w:val="clear" w:color="auto" w:fill="auto"/>
            <w:noWrap/>
            <w:vAlign w:val="bottom"/>
            <w:hideMark/>
          </w:tcPr>
          <w:p w14:paraId="7D6825A2" w14:textId="77777777" w:rsidR="00264F2B" w:rsidRPr="00264F2B" w:rsidRDefault="00264F2B" w:rsidP="00264F2B">
            <w:pPr>
              <w:spacing w:after="0"/>
              <w:jc w:val="center"/>
              <w:rPr>
                <w:rFonts w:ascii="Cambria" w:eastAsia="Times New Roman" w:hAnsi="Cambria" w:cs="Times New Roman"/>
                <w:color w:val="000000"/>
                <w:sz w:val="20"/>
                <w:szCs w:val="20"/>
              </w:rPr>
            </w:pPr>
            <w:r w:rsidRPr="00264F2B">
              <w:rPr>
                <w:rFonts w:ascii="Cambria" w:eastAsia="Times New Roman" w:hAnsi="Cambria" w:cs="Times New Roman"/>
                <w:color w:val="000000"/>
                <w:sz w:val="20"/>
                <w:szCs w:val="20"/>
              </w:rPr>
              <w:t>0.6</w:t>
            </w:r>
          </w:p>
        </w:tc>
        <w:tc>
          <w:tcPr>
            <w:tcW w:w="639" w:type="dxa"/>
            <w:tcBorders>
              <w:top w:val="nil"/>
              <w:left w:val="nil"/>
              <w:bottom w:val="nil"/>
              <w:right w:val="nil"/>
            </w:tcBorders>
            <w:shd w:val="clear" w:color="auto" w:fill="auto"/>
            <w:noWrap/>
            <w:vAlign w:val="bottom"/>
            <w:hideMark/>
          </w:tcPr>
          <w:p w14:paraId="1F78B92E" w14:textId="77777777" w:rsidR="00264F2B" w:rsidRPr="00264F2B" w:rsidRDefault="00264F2B" w:rsidP="00264F2B">
            <w:pPr>
              <w:spacing w:after="0"/>
              <w:jc w:val="center"/>
              <w:rPr>
                <w:rFonts w:ascii="Cambria" w:eastAsia="Times New Roman" w:hAnsi="Cambria" w:cs="Times New Roman"/>
                <w:color w:val="000000"/>
                <w:sz w:val="20"/>
                <w:szCs w:val="20"/>
              </w:rPr>
            </w:pPr>
            <w:r w:rsidRPr="00264F2B">
              <w:rPr>
                <w:rFonts w:ascii="Cambria" w:eastAsia="Times New Roman" w:hAnsi="Cambria" w:cs="Times New Roman"/>
                <w:color w:val="000000"/>
                <w:sz w:val="20"/>
                <w:szCs w:val="20"/>
              </w:rPr>
              <w:t>9.1</w:t>
            </w:r>
          </w:p>
        </w:tc>
        <w:tc>
          <w:tcPr>
            <w:tcW w:w="638" w:type="dxa"/>
            <w:tcBorders>
              <w:top w:val="nil"/>
              <w:left w:val="nil"/>
              <w:bottom w:val="nil"/>
              <w:right w:val="nil"/>
            </w:tcBorders>
            <w:shd w:val="clear" w:color="auto" w:fill="auto"/>
            <w:noWrap/>
            <w:vAlign w:val="bottom"/>
            <w:hideMark/>
          </w:tcPr>
          <w:p w14:paraId="7564E0F7" w14:textId="77777777" w:rsidR="00264F2B" w:rsidRPr="00264F2B" w:rsidRDefault="00264F2B" w:rsidP="00264F2B">
            <w:pPr>
              <w:spacing w:after="0"/>
              <w:jc w:val="center"/>
              <w:rPr>
                <w:rFonts w:ascii="Cambria" w:eastAsia="Times New Roman" w:hAnsi="Cambria" w:cs="Times New Roman"/>
                <w:color w:val="000000"/>
                <w:sz w:val="20"/>
                <w:szCs w:val="20"/>
              </w:rPr>
            </w:pPr>
            <w:r w:rsidRPr="00264F2B">
              <w:rPr>
                <w:rFonts w:ascii="Cambria" w:eastAsia="Times New Roman" w:hAnsi="Cambria" w:cs="Times New Roman"/>
                <w:color w:val="000000"/>
                <w:sz w:val="20"/>
                <w:szCs w:val="20"/>
              </w:rPr>
              <w:t>0.1</w:t>
            </w:r>
          </w:p>
        </w:tc>
        <w:tc>
          <w:tcPr>
            <w:tcW w:w="1243" w:type="dxa"/>
            <w:tcBorders>
              <w:top w:val="nil"/>
              <w:left w:val="nil"/>
              <w:bottom w:val="nil"/>
              <w:right w:val="nil"/>
            </w:tcBorders>
            <w:shd w:val="clear" w:color="auto" w:fill="auto"/>
            <w:noWrap/>
            <w:vAlign w:val="bottom"/>
            <w:hideMark/>
          </w:tcPr>
          <w:p w14:paraId="3A1759F8" w14:textId="77777777" w:rsidR="00264F2B" w:rsidRPr="00264F2B" w:rsidRDefault="00264F2B" w:rsidP="00264F2B">
            <w:pPr>
              <w:spacing w:after="0"/>
              <w:jc w:val="center"/>
              <w:rPr>
                <w:rFonts w:ascii="Cambria" w:eastAsia="Times New Roman" w:hAnsi="Cambria" w:cs="Times New Roman"/>
                <w:color w:val="000000"/>
                <w:sz w:val="20"/>
                <w:szCs w:val="20"/>
              </w:rPr>
            </w:pPr>
            <w:r w:rsidRPr="00264F2B">
              <w:rPr>
                <w:rFonts w:ascii="Cambria" w:eastAsia="Times New Roman" w:hAnsi="Cambria" w:cs="Times New Roman"/>
                <w:color w:val="000000"/>
                <w:sz w:val="20"/>
                <w:szCs w:val="20"/>
              </w:rPr>
              <w:t>9.6</w:t>
            </w:r>
          </w:p>
        </w:tc>
      </w:tr>
      <w:tr w:rsidR="00264F2B" w:rsidRPr="00264F2B" w14:paraId="7D097FFF" w14:textId="77777777" w:rsidTr="00264F2B">
        <w:trPr>
          <w:trHeight w:val="300"/>
        </w:trPr>
        <w:tc>
          <w:tcPr>
            <w:tcW w:w="3663" w:type="dxa"/>
            <w:tcBorders>
              <w:top w:val="nil"/>
              <w:left w:val="nil"/>
              <w:bottom w:val="nil"/>
              <w:right w:val="nil"/>
            </w:tcBorders>
            <w:shd w:val="clear" w:color="auto" w:fill="auto"/>
            <w:noWrap/>
            <w:vAlign w:val="bottom"/>
            <w:hideMark/>
          </w:tcPr>
          <w:p w14:paraId="26BB32D0" w14:textId="77777777" w:rsidR="00264F2B" w:rsidRPr="00264F2B" w:rsidRDefault="00264F2B" w:rsidP="00264F2B">
            <w:pPr>
              <w:spacing w:after="0"/>
              <w:jc w:val="left"/>
              <w:rPr>
                <w:rFonts w:ascii="Cambria" w:eastAsia="Times New Roman" w:hAnsi="Cambria" w:cs="Times New Roman"/>
                <w:color w:val="000000"/>
                <w:sz w:val="20"/>
                <w:szCs w:val="20"/>
              </w:rPr>
            </w:pPr>
            <w:r w:rsidRPr="00264F2B">
              <w:rPr>
                <w:rFonts w:ascii="Cambria" w:eastAsia="Times New Roman" w:hAnsi="Cambria" w:cs="Times New Roman"/>
                <w:color w:val="000000"/>
                <w:sz w:val="20"/>
                <w:szCs w:val="20"/>
              </w:rPr>
              <w:t>Tbilisi</w:t>
            </w:r>
          </w:p>
        </w:tc>
        <w:tc>
          <w:tcPr>
            <w:tcW w:w="628" w:type="dxa"/>
            <w:tcBorders>
              <w:top w:val="nil"/>
              <w:left w:val="nil"/>
              <w:bottom w:val="nil"/>
              <w:right w:val="nil"/>
            </w:tcBorders>
            <w:shd w:val="clear" w:color="auto" w:fill="auto"/>
            <w:noWrap/>
            <w:vAlign w:val="bottom"/>
            <w:hideMark/>
          </w:tcPr>
          <w:p w14:paraId="76991014" w14:textId="77777777" w:rsidR="00264F2B" w:rsidRPr="00264F2B" w:rsidRDefault="00264F2B" w:rsidP="00264F2B">
            <w:pPr>
              <w:spacing w:after="0"/>
              <w:jc w:val="center"/>
              <w:rPr>
                <w:rFonts w:ascii="Cambria" w:eastAsia="Times New Roman" w:hAnsi="Cambria" w:cs="Times New Roman"/>
                <w:color w:val="000000"/>
                <w:sz w:val="20"/>
                <w:szCs w:val="20"/>
              </w:rPr>
            </w:pPr>
            <w:r w:rsidRPr="00264F2B">
              <w:rPr>
                <w:rFonts w:ascii="Cambria" w:eastAsia="Times New Roman" w:hAnsi="Cambria" w:cs="Times New Roman"/>
                <w:color w:val="000000"/>
                <w:sz w:val="20"/>
                <w:szCs w:val="20"/>
              </w:rPr>
              <w:t>25.8</w:t>
            </w:r>
          </w:p>
        </w:tc>
        <w:tc>
          <w:tcPr>
            <w:tcW w:w="628" w:type="dxa"/>
            <w:tcBorders>
              <w:top w:val="nil"/>
              <w:left w:val="nil"/>
              <w:bottom w:val="nil"/>
              <w:right w:val="nil"/>
            </w:tcBorders>
            <w:shd w:val="clear" w:color="auto" w:fill="auto"/>
            <w:noWrap/>
            <w:vAlign w:val="bottom"/>
            <w:hideMark/>
          </w:tcPr>
          <w:p w14:paraId="690ACA25" w14:textId="77777777" w:rsidR="00264F2B" w:rsidRPr="00264F2B" w:rsidRDefault="00264F2B" w:rsidP="00264F2B">
            <w:pPr>
              <w:spacing w:after="0"/>
              <w:jc w:val="center"/>
              <w:rPr>
                <w:rFonts w:ascii="Cambria" w:eastAsia="Times New Roman" w:hAnsi="Cambria" w:cs="Times New Roman"/>
                <w:color w:val="000000"/>
                <w:sz w:val="20"/>
                <w:szCs w:val="20"/>
              </w:rPr>
            </w:pPr>
            <w:r w:rsidRPr="00264F2B">
              <w:rPr>
                <w:rFonts w:ascii="Cambria" w:eastAsia="Times New Roman" w:hAnsi="Cambria" w:cs="Times New Roman"/>
                <w:color w:val="000000"/>
                <w:sz w:val="20"/>
                <w:szCs w:val="20"/>
              </w:rPr>
              <w:t>44.1</w:t>
            </w:r>
          </w:p>
        </w:tc>
        <w:tc>
          <w:tcPr>
            <w:tcW w:w="1224" w:type="dxa"/>
            <w:tcBorders>
              <w:top w:val="nil"/>
              <w:left w:val="nil"/>
              <w:bottom w:val="nil"/>
              <w:right w:val="nil"/>
            </w:tcBorders>
            <w:shd w:val="clear" w:color="auto" w:fill="auto"/>
            <w:noWrap/>
            <w:vAlign w:val="bottom"/>
            <w:hideMark/>
          </w:tcPr>
          <w:p w14:paraId="5DF9E972" w14:textId="77777777" w:rsidR="00264F2B" w:rsidRPr="00264F2B" w:rsidRDefault="00264F2B" w:rsidP="00264F2B">
            <w:pPr>
              <w:spacing w:after="0"/>
              <w:jc w:val="center"/>
              <w:rPr>
                <w:rFonts w:ascii="Cambria" w:eastAsia="Times New Roman" w:hAnsi="Cambria" w:cs="Times New Roman"/>
                <w:color w:val="000000"/>
                <w:sz w:val="20"/>
                <w:szCs w:val="20"/>
              </w:rPr>
            </w:pPr>
            <w:r w:rsidRPr="00264F2B">
              <w:rPr>
                <w:rFonts w:ascii="Cambria" w:eastAsia="Times New Roman" w:hAnsi="Cambria" w:cs="Times New Roman"/>
                <w:color w:val="000000"/>
                <w:sz w:val="20"/>
                <w:szCs w:val="20"/>
              </w:rPr>
              <w:t>25.1</w:t>
            </w:r>
          </w:p>
        </w:tc>
        <w:tc>
          <w:tcPr>
            <w:tcW w:w="1580" w:type="dxa"/>
            <w:tcBorders>
              <w:top w:val="nil"/>
              <w:left w:val="nil"/>
              <w:bottom w:val="nil"/>
              <w:right w:val="nil"/>
            </w:tcBorders>
            <w:shd w:val="clear" w:color="auto" w:fill="auto"/>
            <w:noWrap/>
            <w:vAlign w:val="bottom"/>
            <w:hideMark/>
          </w:tcPr>
          <w:p w14:paraId="577DABDB" w14:textId="77777777" w:rsidR="00264F2B" w:rsidRPr="00264F2B" w:rsidRDefault="00264F2B" w:rsidP="00264F2B">
            <w:pPr>
              <w:spacing w:after="0"/>
              <w:jc w:val="center"/>
              <w:rPr>
                <w:rFonts w:ascii="Cambria" w:eastAsia="Times New Roman" w:hAnsi="Cambria" w:cs="Times New Roman"/>
                <w:color w:val="000000"/>
                <w:sz w:val="20"/>
                <w:szCs w:val="20"/>
              </w:rPr>
            </w:pPr>
            <w:r w:rsidRPr="00264F2B">
              <w:rPr>
                <w:rFonts w:ascii="Cambria" w:eastAsia="Times New Roman" w:hAnsi="Cambria" w:cs="Times New Roman"/>
                <w:color w:val="000000"/>
                <w:sz w:val="20"/>
                <w:szCs w:val="20"/>
              </w:rPr>
              <w:t>37.9</w:t>
            </w:r>
          </w:p>
        </w:tc>
        <w:tc>
          <w:tcPr>
            <w:tcW w:w="639" w:type="dxa"/>
            <w:tcBorders>
              <w:top w:val="nil"/>
              <w:left w:val="nil"/>
              <w:bottom w:val="nil"/>
              <w:right w:val="nil"/>
            </w:tcBorders>
            <w:shd w:val="clear" w:color="auto" w:fill="auto"/>
            <w:noWrap/>
            <w:vAlign w:val="bottom"/>
            <w:hideMark/>
          </w:tcPr>
          <w:p w14:paraId="0B36CA8D" w14:textId="77777777" w:rsidR="00264F2B" w:rsidRPr="00264F2B" w:rsidRDefault="00264F2B" w:rsidP="00264F2B">
            <w:pPr>
              <w:spacing w:after="0"/>
              <w:jc w:val="center"/>
              <w:rPr>
                <w:rFonts w:ascii="Cambria" w:eastAsia="Times New Roman" w:hAnsi="Cambria" w:cs="Times New Roman"/>
                <w:color w:val="000000"/>
                <w:sz w:val="20"/>
                <w:szCs w:val="20"/>
              </w:rPr>
            </w:pPr>
            <w:r w:rsidRPr="00264F2B">
              <w:rPr>
                <w:rFonts w:ascii="Cambria" w:eastAsia="Times New Roman" w:hAnsi="Cambria" w:cs="Times New Roman"/>
                <w:color w:val="000000"/>
                <w:sz w:val="20"/>
                <w:szCs w:val="20"/>
              </w:rPr>
              <w:t>26.1</w:t>
            </w:r>
          </w:p>
        </w:tc>
        <w:tc>
          <w:tcPr>
            <w:tcW w:w="638" w:type="dxa"/>
            <w:tcBorders>
              <w:top w:val="nil"/>
              <w:left w:val="nil"/>
              <w:bottom w:val="nil"/>
              <w:right w:val="nil"/>
            </w:tcBorders>
            <w:shd w:val="clear" w:color="auto" w:fill="auto"/>
            <w:noWrap/>
            <w:vAlign w:val="bottom"/>
            <w:hideMark/>
          </w:tcPr>
          <w:p w14:paraId="50053C78" w14:textId="77777777" w:rsidR="00264F2B" w:rsidRPr="00264F2B" w:rsidRDefault="00264F2B" w:rsidP="00264F2B">
            <w:pPr>
              <w:spacing w:after="0"/>
              <w:jc w:val="center"/>
              <w:rPr>
                <w:rFonts w:ascii="Cambria" w:eastAsia="Times New Roman" w:hAnsi="Cambria" w:cs="Times New Roman"/>
                <w:color w:val="000000"/>
                <w:sz w:val="20"/>
                <w:szCs w:val="20"/>
              </w:rPr>
            </w:pPr>
            <w:r w:rsidRPr="00264F2B">
              <w:rPr>
                <w:rFonts w:ascii="Cambria" w:eastAsia="Times New Roman" w:hAnsi="Cambria" w:cs="Times New Roman"/>
                <w:color w:val="000000"/>
                <w:sz w:val="20"/>
                <w:szCs w:val="20"/>
              </w:rPr>
              <w:t>44.4</w:t>
            </w:r>
          </w:p>
        </w:tc>
        <w:tc>
          <w:tcPr>
            <w:tcW w:w="1243" w:type="dxa"/>
            <w:tcBorders>
              <w:top w:val="nil"/>
              <w:left w:val="nil"/>
              <w:bottom w:val="nil"/>
              <w:right w:val="nil"/>
            </w:tcBorders>
            <w:shd w:val="clear" w:color="auto" w:fill="auto"/>
            <w:noWrap/>
            <w:vAlign w:val="bottom"/>
            <w:hideMark/>
          </w:tcPr>
          <w:p w14:paraId="73ED98BD" w14:textId="77777777" w:rsidR="00264F2B" w:rsidRPr="00264F2B" w:rsidRDefault="00264F2B" w:rsidP="00264F2B">
            <w:pPr>
              <w:spacing w:after="0"/>
              <w:jc w:val="center"/>
              <w:rPr>
                <w:rFonts w:ascii="Cambria" w:eastAsia="Times New Roman" w:hAnsi="Cambria" w:cs="Times New Roman"/>
                <w:color w:val="000000"/>
                <w:sz w:val="20"/>
                <w:szCs w:val="20"/>
              </w:rPr>
            </w:pPr>
            <w:r w:rsidRPr="00264F2B">
              <w:rPr>
                <w:rFonts w:ascii="Cambria" w:eastAsia="Times New Roman" w:hAnsi="Cambria" w:cs="Times New Roman"/>
                <w:color w:val="000000"/>
                <w:sz w:val="20"/>
                <w:szCs w:val="20"/>
              </w:rPr>
              <w:t>25.1</w:t>
            </w:r>
          </w:p>
        </w:tc>
      </w:tr>
      <w:tr w:rsidR="00264F2B" w:rsidRPr="00264F2B" w14:paraId="5FD8C253" w14:textId="77777777" w:rsidTr="00264F2B">
        <w:trPr>
          <w:trHeight w:val="300"/>
        </w:trPr>
        <w:tc>
          <w:tcPr>
            <w:tcW w:w="3663" w:type="dxa"/>
            <w:tcBorders>
              <w:top w:val="nil"/>
              <w:left w:val="nil"/>
              <w:bottom w:val="nil"/>
              <w:right w:val="nil"/>
            </w:tcBorders>
            <w:shd w:val="clear" w:color="auto" w:fill="auto"/>
            <w:noWrap/>
            <w:vAlign w:val="bottom"/>
            <w:hideMark/>
          </w:tcPr>
          <w:p w14:paraId="708044DB" w14:textId="77777777" w:rsidR="00264F2B" w:rsidRPr="00264F2B" w:rsidRDefault="00264F2B" w:rsidP="00264F2B">
            <w:pPr>
              <w:spacing w:after="0"/>
              <w:jc w:val="left"/>
              <w:rPr>
                <w:rFonts w:ascii="Cambria" w:eastAsia="Times New Roman" w:hAnsi="Cambria" w:cs="Times New Roman"/>
                <w:color w:val="000000"/>
                <w:sz w:val="20"/>
                <w:szCs w:val="20"/>
              </w:rPr>
            </w:pPr>
            <w:r w:rsidRPr="00264F2B">
              <w:rPr>
                <w:rFonts w:ascii="Cambria" w:eastAsia="Times New Roman" w:hAnsi="Cambria" w:cs="Times New Roman"/>
                <w:color w:val="000000"/>
                <w:sz w:val="20"/>
                <w:szCs w:val="20"/>
              </w:rPr>
              <w:t>Shida Kartli</w:t>
            </w:r>
          </w:p>
        </w:tc>
        <w:tc>
          <w:tcPr>
            <w:tcW w:w="628" w:type="dxa"/>
            <w:tcBorders>
              <w:top w:val="nil"/>
              <w:left w:val="nil"/>
              <w:bottom w:val="nil"/>
              <w:right w:val="nil"/>
            </w:tcBorders>
            <w:shd w:val="clear" w:color="auto" w:fill="auto"/>
            <w:noWrap/>
            <w:vAlign w:val="bottom"/>
            <w:hideMark/>
          </w:tcPr>
          <w:p w14:paraId="03DE8311" w14:textId="77777777" w:rsidR="00264F2B" w:rsidRPr="00264F2B" w:rsidRDefault="00264F2B" w:rsidP="00264F2B">
            <w:pPr>
              <w:spacing w:after="0"/>
              <w:jc w:val="center"/>
              <w:rPr>
                <w:rFonts w:ascii="Cambria" w:eastAsia="Times New Roman" w:hAnsi="Cambria" w:cs="Times New Roman"/>
                <w:color w:val="000000"/>
                <w:sz w:val="20"/>
                <w:szCs w:val="20"/>
              </w:rPr>
            </w:pPr>
            <w:r w:rsidRPr="00264F2B">
              <w:rPr>
                <w:rFonts w:ascii="Cambria" w:eastAsia="Times New Roman" w:hAnsi="Cambria" w:cs="Times New Roman"/>
                <w:color w:val="000000"/>
                <w:sz w:val="20"/>
                <w:szCs w:val="20"/>
              </w:rPr>
              <w:t>6.9</w:t>
            </w:r>
          </w:p>
        </w:tc>
        <w:tc>
          <w:tcPr>
            <w:tcW w:w="628" w:type="dxa"/>
            <w:tcBorders>
              <w:top w:val="nil"/>
              <w:left w:val="nil"/>
              <w:bottom w:val="nil"/>
              <w:right w:val="nil"/>
            </w:tcBorders>
            <w:shd w:val="clear" w:color="auto" w:fill="auto"/>
            <w:noWrap/>
            <w:vAlign w:val="bottom"/>
            <w:hideMark/>
          </w:tcPr>
          <w:p w14:paraId="0A56E03F" w14:textId="77777777" w:rsidR="00264F2B" w:rsidRPr="00264F2B" w:rsidRDefault="00264F2B" w:rsidP="00264F2B">
            <w:pPr>
              <w:spacing w:after="0"/>
              <w:jc w:val="center"/>
              <w:rPr>
                <w:rFonts w:ascii="Cambria" w:eastAsia="Times New Roman" w:hAnsi="Cambria" w:cs="Times New Roman"/>
                <w:color w:val="000000"/>
                <w:sz w:val="20"/>
                <w:szCs w:val="20"/>
              </w:rPr>
            </w:pPr>
            <w:r w:rsidRPr="00264F2B">
              <w:rPr>
                <w:rFonts w:ascii="Cambria" w:eastAsia="Times New Roman" w:hAnsi="Cambria" w:cs="Times New Roman"/>
                <w:color w:val="000000"/>
                <w:sz w:val="20"/>
                <w:szCs w:val="20"/>
              </w:rPr>
              <w:t>9.3</w:t>
            </w:r>
          </w:p>
        </w:tc>
        <w:tc>
          <w:tcPr>
            <w:tcW w:w="1224" w:type="dxa"/>
            <w:tcBorders>
              <w:top w:val="nil"/>
              <w:left w:val="nil"/>
              <w:bottom w:val="nil"/>
              <w:right w:val="nil"/>
            </w:tcBorders>
            <w:shd w:val="clear" w:color="auto" w:fill="auto"/>
            <w:noWrap/>
            <w:vAlign w:val="bottom"/>
            <w:hideMark/>
          </w:tcPr>
          <w:p w14:paraId="41E585C9" w14:textId="77777777" w:rsidR="00264F2B" w:rsidRPr="00264F2B" w:rsidRDefault="00264F2B" w:rsidP="00264F2B">
            <w:pPr>
              <w:spacing w:after="0"/>
              <w:jc w:val="center"/>
              <w:rPr>
                <w:rFonts w:ascii="Cambria" w:eastAsia="Times New Roman" w:hAnsi="Cambria" w:cs="Times New Roman"/>
                <w:color w:val="000000"/>
                <w:sz w:val="20"/>
                <w:szCs w:val="20"/>
              </w:rPr>
            </w:pPr>
            <w:r w:rsidRPr="00264F2B">
              <w:rPr>
                <w:rFonts w:ascii="Cambria" w:eastAsia="Times New Roman" w:hAnsi="Cambria" w:cs="Times New Roman"/>
                <w:color w:val="000000"/>
                <w:sz w:val="20"/>
                <w:szCs w:val="20"/>
              </w:rPr>
              <w:t>6.9</w:t>
            </w:r>
          </w:p>
        </w:tc>
        <w:tc>
          <w:tcPr>
            <w:tcW w:w="1580" w:type="dxa"/>
            <w:tcBorders>
              <w:top w:val="nil"/>
              <w:left w:val="nil"/>
              <w:bottom w:val="nil"/>
              <w:right w:val="nil"/>
            </w:tcBorders>
            <w:shd w:val="clear" w:color="auto" w:fill="auto"/>
            <w:noWrap/>
            <w:vAlign w:val="bottom"/>
            <w:hideMark/>
          </w:tcPr>
          <w:p w14:paraId="1D4A5301" w14:textId="77777777" w:rsidR="00264F2B" w:rsidRPr="00264F2B" w:rsidRDefault="00264F2B" w:rsidP="00264F2B">
            <w:pPr>
              <w:spacing w:after="0"/>
              <w:jc w:val="center"/>
              <w:rPr>
                <w:rFonts w:ascii="Cambria" w:eastAsia="Times New Roman" w:hAnsi="Cambria" w:cs="Times New Roman"/>
                <w:color w:val="000000"/>
                <w:sz w:val="20"/>
                <w:szCs w:val="20"/>
              </w:rPr>
            </w:pPr>
            <w:r w:rsidRPr="00264F2B">
              <w:rPr>
                <w:rFonts w:ascii="Cambria" w:eastAsia="Times New Roman" w:hAnsi="Cambria" w:cs="Times New Roman"/>
                <w:color w:val="000000"/>
                <w:sz w:val="20"/>
                <w:szCs w:val="20"/>
              </w:rPr>
              <w:t>6.4</w:t>
            </w:r>
          </w:p>
        </w:tc>
        <w:tc>
          <w:tcPr>
            <w:tcW w:w="639" w:type="dxa"/>
            <w:tcBorders>
              <w:top w:val="nil"/>
              <w:left w:val="nil"/>
              <w:bottom w:val="nil"/>
              <w:right w:val="nil"/>
            </w:tcBorders>
            <w:shd w:val="clear" w:color="auto" w:fill="auto"/>
            <w:noWrap/>
            <w:vAlign w:val="bottom"/>
            <w:hideMark/>
          </w:tcPr>
          <w:p w14:paraId="475EFED1" w14:textId="77777777" w:rsidR="00264F2B" w:rsidRPr="00264F2B" w:rsidRDefault="00264F2B" w:rsidP="00264F2B">
            <w:pPr>
              <w:spacing w:after="0"/>
              <w:jc w:val="center"/>
              <w:rPr>
                <w:rFonts w:ascii="Cambria" w:eastAsia="Times New Roman" w:hAnsi="Cambria" w:cs="Times New Roman"/>
                <w:color w:val="000000"/>
                <w:sz w:val="20"/>
                <w:szCs w:val="20"/>
              </w:rPr>
            </w:pPr>
            <w:r w:rsidRPr="00264F2B">
              <w:rPr>
                <w:rFonts w:ascii="Cambria" w:eastAsia="Times New Roman" w:hAnsi="Cambria" w:cs="Times New Roman"/>
                <w:color w:val="000000"/>
                <w:sz w:val="20"/>
                <w:szCs w:val="20"/>
              </w:rPr>
              <w:t>6.8</w:t>
            </w:r>
          </w:p>
        </w:tc>
        <w:tc>
          <w:tcPr>
            <w:tcW w:w="638" w:type="dxa"/>
            <w:tcBorders>
              <w:top w:val="nil"/>
              <w:left w:val="nil"/>
              <w:bottom w:val="nil"/>
              <w:right w:val="nil"/>
            </w:tcBorders>
            <w:shd w:val="clear" w:color="auto" w:fill="auto"/>
            <w:noWrap/>
            <w:vAlign w:val="bottom"/>
            <w:hideMark/>
          </w:tcPr>
          <w:p w14:paraId="22626D45" w14:textId="77777777" w:rsidR="00264F2B" w:rsidRPr="00264F2B" w:rsidRDefault="00264F2B" w:rsidP="00264F2B">
            <w:pPr>
              <w:spacing w:after="0"/>
              <w:jc w:val="center"/>
              <w:rPr>
                <w:rFonts w:ascii="Cambria" w:eastAsia="Times New Roman" w:hAnsi="Cambria" w:cs="Times New Roman"/>
                <w:color w:val="000000"/>
                <w:sz w:val="20"/>
                <w:szCs w:val="20"/>
              </w:rPr>
            </w:pPr>
            <w:r w:rsidRPr="00264F2B">
              <w:rPr>
                <w:rFonts w:ascii="Cambria" w:eastAsia="Times New Roman" w:hAnsi="Cambria" w:cs="Times New Roman"/>
                <w:color w:val="000000"/>
                <w:sz w:val="20"/>
                <w:szCs w:val="20"/>
              </w:rPr>
              <w:t>6.9</w:t>
            </w:r>
          </w:p>
        </w:tc>
        <w:tc>
          <w:tcPr>
            <w:tcW w:w="1243" w:type="dxa"/>
            <w:tcBorders>
              <w:top w:val="nil"/>
              <w:left w:val="nil"/>
              <w:bottom w:val="nil"/>
              <w:right w:val="nil"/>
            </w:tcBorders>
            <w:shd w:val="clear" w:color="auto" w:fill="auto"/>
            <w:noWrap/>
            <w:vAlign w:val="bottom"/>
            <w:hideMark/>
          </w:tcPr>
          <w:p w14:paraId="3506C5A3" w14:textId="77777777" w:rsidR="00264F2B" w:rsidRPr="00264F2B" w:rsidRDefault="00264F2B" w:rsidP="00264F2B">
            <w:pPr>
              <w:spacing w:after="0"/>
              <w:jc w:val="center"/>
              <w:rPr>
                <w:rFonts w:ascii="Cambria" w:eastAsia="Times New Roman" w:hAnsi="Cambria" w:cs="Times New Roman"/>
                <w:color w:val="000000"/>
                <w:sz w:val="20"/>
                <w:szCs w:val="20"/>
              </w:rPr>
            </w:pPr>
            <w:r w:rsidRPr="00264F2B">
              <w:rPr>
                <w:rFonts w:ascii="Cambria" w:eastAsia="Times New Roman" w:hAnsi="Cambria" w:cs="Times New Roman"/>
                <w:color w:val="000000"/>
                <w:sz w:val="20"/>
                <w:szCs w:val="20"/>
              </w:rPr>
              <w:t>6.8</w:t>
            </w:r>
          </w:p>
        </w:tc>
      </w:tr>
      <w:tr w:rsidR="00264F2B" w:rsidRPr="00264F2B" w14:paraId="0D6481A5" w14:textId="77777777" w:rsidTr="00264F2B">
        <w:trPr>
          <w:trHeight w:val="300"/>
        </w:trPr>
        <w:tc>
          <w:tcPr>
            <w:tcW w:w="3663" w:type="dxa"/>
            <w:tcBorders>
              <w:top w:val="nil"/>
              <w:left w:val="nil"/>
              <w:bottom w:val="nil"/>
              <w:right w:val="nil"/>
            </w:tcBorders>
            <w:shd w:val="clear" w:color="auto" w:fill="auto"/>
            <w:noWrap/>
            <w:vAlign w:val="bottom"/>
            <w:hideMark/>
          </w:tcPr>
          <w:p w14:paraId="19A3C844" w14:textId="77777777" w:rsidR="00264F2B" w:rsidRPr="00264F2B" w:rsidRDefault="00264F2B" w:rsidP="00264F2B">
            <w:pPr>
              <w:spacing w:after="0"/>
              <w:jc w:val="left"/>
              <w:rPr>
                <w:rFonts w:ascii="Cambria" w:eastAsia="Times New Roman" w:hAnsi="Cambria" w:cs="Times New Roman"/>
                <w:color w:val="000000"/>
                <w:sz w:val="20"/>
                <w:szCs w:val="20"/>
              </w:rPr>
            </w:pPr>
            <w:r w:rsidRPr="00264F2B">
              <w:rPr>
                <w:rFonts w:ascii="Cambria" w:eastAsia="Times New Roman" w:hAnsi="Cambria" w:cs="Times New Roman"/>
                <w:color w:val="000000"/>
                <w:sz w:val="20"/>
                <w:szCs w:val="20"/>
              </w:rPr>
              <w:t>Kvemo Kartli</w:t>
            </w:r>
          </w:p>
        </w:tc>
        <w:tc>
          <w:tcPr>
            <w:tcW w:w="628" w:type="dxa"/>
            <w:tcBorders>
              <w:top w:val="nil"/>
              <w:left w:val="nil"/>
              <w:bottom w:val="nil"/>
              <w:right w:val="nil"/>
            </w:tcBorders>
            <w:shd w:val="clear" w:color="auto" w:fill="auto"/>
            <w:noWrap/>
            <w:vAlign w:val="bottom"/>
            <w:hideMark/>
          </w:tcPr>
          <w:p w14:paraId="3B469193" w14:textId="77777777" w:rsidR="00264F2B" w:rsidRPr="00264F2B" w:rsidRDefault="00264F2B" w:rsidP="00264F2B">
            <w:pPr>
              <w:spacing w:after="0"/>
              <w:jc w:val="center"/>
              <w:rPr>
                <w:rFonts w:ascii="Cambria" w:eastAsia="Times New Roman" w:hAnsi="Cambria" w:cs="Times New Roman"/>
                <w:color w:val="000000"/>
                <w:sz w:val="20"/>
                <w:szCs w:val="20"/>
              </w:rPr>
            </w:pPr>
            <w:r w:rsidRPr="00264F2B">
              <w:rPr>
                <w:rFonts w:ascii="Cambria" w:eastAsia="Times New Roman" w:hAnsi="Cambria" w:cs="Times New Roman"/>
                <w:color w:val="000000"/>
                <w:sz w:val="20"/>
                <w:szCs w:val="20"/>
              </w:rPr>
              <w:t>10</w:t>
            </w:r>
          </w:p>
        </w:tc>
        <w:tc>
          <w:tcPr>
            <w:tcW w:w="628" w:type="dxa"/>
            <w:tcBorders>
              <w:top w:val="nil"/>
              <w:left w:val="nil"/>
              <w:bottom w:val="nil"/>
              <w:right w:val="nil"/>
            </w:tcBorders>
            <w:shd w:val="clear" w:color="auto" w:fill="auto"/>
            <w:noWrap/>
            <w:vAlign w:val="bottom"/>
            <w:hideMark/>
          </w:tcPr>
          <w:p w14:paraId="1D4B8913" w14:textId="77777777" w:rsidR="00264F2B" w:rsidRPr="00264F2B" w:rsidRDefault="00264F2B" w:rsidP="00264F2B">
            <w:pPr>
              <w:spacing w:after="0"/>
              <w:jc w:val="center"/>
              <w:rPr>
                <w:rFonts w:ascii="Cambria" w:eastAsia="Times New Roman" w:hAnsi="Cambria" w:cs="Times New Roman"/>
                <w:color w:val="000000"/>
                <w:sz w:val="20"/>
                <w:szCs w:val="20"/>
              </w:rPr>
            </w:pPr>
            <w:r w:rsidRPr="00264F2B">
              <w:rPr>
                <w:rFonts w:ascii="Cambria" w:eastAsia="Times New Roman" w:hAnsi="Cambria" w:cs="Times New Roman"/>
                <w:color w:val="000000"/>
                <w:sz w:val="20"/>
                <w:szCs w:val="20"/>
              </w:rPr>
              <w:t>6</w:t>
            </w:r>
          </w:p>
        </w:tc>
        <w:tc>
          <w:tcPr>
            <w:tcW w:w="1224" w:type="dxa"/>
            <w:tcBorders>
              <w:top w:val="nil"/>
              <w:left w:val="nil"/>
              <w:bottom w:val="nil"/>
              <w:right w:val="nil"/>
            </w:tcBorders>
            <w:shd w:val="clear" w:color="auto" w:fill="auto"/>
            <w:noWrap/>
            <w:vAlign w:val="bottom"/>
            <w:hideMark/>
          </w:tcPr>
          <w:p w14:paraId="75D65B1E" w14:textId="77777777" w:rsidR="00264F2B" w:rsidRPr="00264F2B" w:rsidRDefault="00264F2B" w:rsidP="00264F2B">
            <w:pPr>
              <w:spacing w:after="0"/>
              <w:jc w:val="center"/>
              <w:rPr>
                <w:rFonts w:ascii="Cambria" w:eastAsia="Times New Roman" w:hAnsi="Cambria" w:cs="Times New Roman"/>
                <w:color w:val="000000"/>
                <w:sz w:val="20"/>
                <w:szCs w:val="20"/>
              </w:rPr>
            </w:pPr>
            <w:r w:rsidRPr="00264F2B">
              <w:rPr>
                <w:rFonts w:ascii="Cambria" w:eastAsia="Times New Roman" w:hAnsi="Cambria" w:cs="Times New Roman"/>
                <w:color w:val="000000"/>
                <w:sz w:val="20"/>
                <w:szCs w:val="20"/>
              </w:rPr>
              <w:t>10.2</w:t>
            </w:r>
          </w:p>
        </w:tc>
        <w:tc>
          <w:tcPr>
            <w:tcW w:w="1580" w:type="dxa"/>
            <w:tcBorders>
              <w:top w:val="nil"/>
              <w:left w:val="nil"/>
              <w:bottom w:val="nil"/>
              <w:right w:val="nil"/>
            </w:tcBorders>
            <w:shd w:val="clear" w:color="auto" w:fill="auto"/>
            <w:noWrap/>
            <w:vAlign w:val="bottom"/>
            <w:hideMark/>
          </w:tcPr>
          <w:p w14:paraId="3B727719" w14:textId="77777777" w:rsidR="00264F2B" w:rsidRPr="00264F2B" w:rsidRDefault="00264F2B" w:rsidP="00264F2B">
            <w:pPr>
              <w:spacing w:after="0"/>
              <w:jc w:val="center"/>
              <w:rPr>
                <w:rFonts w:ascii="Cambria" w:eastAsia="Times New Roman" w:hAnsi="Cambria" w:cs="Times New Roman"/>
                <w:color w:val="000000"/>
                <w:sz w:val="20"/>
                <w:szCs w:val="20"/>
              </w:rPr>
            </w:pPr>
            <w:r w:rsidRPr="00264F2B">
              <w:rPr>
                <w:rFonts w:ascii="Cambria" w:eastAsia="Times New Roman" w:hAnsi="Cambria" w:cs="Times New Roman"/>
                <w:color w:val="000000"/>
                <w:sz w:val="20"/>
                <w:szCs w:val="20"/>
              </w:rPr>
              <w:t>4.8</w:t>
            </w:r>
          </w:p>
        </w:tc>
        <w:tc>
          <w:tcPr>
            <w:tcW w:w="639" w:type="dxa"/>
            <w:tcBorders>
              <w:top w:val="nil"/>
              <w:left w:val="nil"/>
              <w:bottom w:val="nil"/>
              <w:right w:val="nil"/>
            </w:tcBorders>
            <w:shd w:val="clear" w:color="auto" w:fill="auto"/>
            <w:noWrap/>
            <w:vAlign w:val="bottom"/>
            <w:hideMark/>
          </w:tcPr>
          <w:p w14:paraId="314FD4D2" w14:textId="77777777" w:rsidR="00264F2B" w:rsidRPr="00264F2B" w:rsidRDefault="00264F2B" w:rsidP="00264F2B">
            <w:pPr>
              <w:spacing w:after="0"/>
              <w:jc w:val="center"/>
              <w:rPr>
                <w:rFonts w:ascii="Cambria" w:eastAsia="Times New Roman" w:hAnsi="Cambria" w:cs="Times New Roman"/>
                <w:color w:val="000000"/>
                <w:sz w:val="20"/>
                <w:szCs w:val="20"/>
              </w:rPr>
            </w:pPr>
            <w:r w:rsidRPr="00264F2B">
              <w:rPr>
                <w:rFonts w:ascii="Cambria" w:eastAsia="Times New Roman" w:hAnsi="Cambria" w:cs="Times New Roman"/>
                <w:color w:val="000000"/>
                <w:sz w:val="20"/>
                <w:szCs w:val="20"/>
              </w:rPr>
              <w:t>10.1</w:t>
            </w:r>
          </w:p>
        </w:tc>
        <w:tc>
          <w:tcPr>
            <w:tcW w:w="638" w:type="dxa"/>
            <w:tcBorders>
              <w:top w:val="nil"/>
              <w:left w:val="nil"/>
              <w:bottom w:val="nil"/>
              <w:right w:val="nil"/>
            </w:tcBorders>
            <w:shd w:val="clear" w:color="auto" w:fill="auto"/>
            <w:noWrap/>
            <w:vAlign w:val="bottom"/>
            <w:hideMark/>
          </w:tcPr>
          <w:p w14:paraId="5EA454DA" w14:textId="77777777" w:rsidR="00264F2B" w:rsidRPr="00264F2B" w:rsidRDefault="00264F2B" w:rsidP="00264F2B">
            <w:pPr>
              <w:spacing w:after="0"/>
              <w:jc w:val="center"/>
              <w:rPr>
                <w:rFonts w:ascii="Cambria" w:eastAsia="Times New Roman" w:hAnsi="Cambria" w:cs="Times New Roman"/>
                <w:color w:val="000000"/>
                <w:sz w:val="20"/>
                <w:szCs w:val="20"/>
              </w:rPr>
            </w:pPr>
            <w:r w:rsidRPr="00264F2B">
              <w:rPr>
                <w:rFonts w:ascii="Cambria" w:eastAsia="Times New Roman" w:hAnsi="Cambria" w:cs="Times New Roman"/>
                <w:color w:val="000000"/>
                <w:sz w:val="20"/>
                <w:szCs w:val="20"/>
              </w:rPr>
              <w:t>7.3</w:t>
            </w:r>
          </w:p>
        </w:tc>
        <w:tc>
          <w:tcPr>
            <w:tcW w:w="1243" w:type="dxa"/>
            <w:tcBorders>
              <w:top w:val="nil"/>
              <w:left w:val="nil"/>
              <w:bottom w:val="nil"/>
              <w:right w:val="nil"/>
            </w:tcBorders>
            <w:shd w:val="clear" w:color="auto" w:fill="auto"/>
            <w:noWrap/>
            <w:vAlign w:val="bottom"/>
            <w:hideMark/>
          </w:tcPr>
          <w:p w14:paraId="615823DB" w14:textId="77777777" w:rsidR="00264F2B" w:rsidRPr="00264F2B" w:rsidRDefault="00264F2B" w:rsidP="00264F2B">
            <w:pPr>
              <w:spacing w:after="0"/>
              <w:jc w:val="center"/>
              <w:rPr>
                <w:rFonts w:ascii="Cambria" w:eastAsia="Times New Roman" w:hAnsi="Cambria" w:cs="Times New Roman"/>
                <w:color w:val="000000"/>
                <w:sz w:val="20"/>
                <w:szCs w:val="20"/>
              </w:rPr>
            </w:pPr>
            <w:r w:rsidRPr="00264F2B">
              <w:rPr>
                <w:rFonts w:ascii="Cambria" w:eastAsia="Times New Roman" w:hAnsi="Cambria" w:cs="Times New Roman"/>
                <w:color w:val="000000"/>
                <w:sz w:val="20"/>
                <w:szCs w:val="20"/>
              </w:rPr>
              <w:t>10.3</w:t>
            </w:r>
          </w:p>
        </w:tc>
      </w:tr>
      <w:tr w:rsidR="00264F2B" w:rsidRPr="00264F2B" w14:paraId="40DF45A2" w14:textId="77777777" w:rsidTr="00264F2B">
        <w:trPr>
          <w:trHeight w:val="300"/>
        </w:trPr>
        <w:tc>
          <w:tcPr>
            <w:tcW w:w="3663" w:type="dxa"/>
            <w:tcBorders>
              <w:top w:val="nil"/>
              <w:left w:val="nil"/>
              <w:bottom w:val="nil"/>
              <w:right w:val="nil"/>
            </w:tcBorders>
            <w:shd w:val="clear" w:color="auto" w:fill="auto"/>
            <w:noWrap/>
            <w:vAlign w:val="bottom"/>
            <w:hideMark/>
          </w:tcPr>
          <w:p w14:paraId="63CE5ECC" w14:textId="77777777" w:rsidR="00264F2B" w:rsidRPr="00264F2B" w:rsidRDefault="00264F2B" w:rsidP="00264F2B">
            <w:pPr>
              <w:spacing w:after="0"/>
              <w:jc w:val="left"/>
              <w:rPr>
                <w:rFonts w:ascii="Cambria" w:eastAsia="Times New Roman" w:hAnsi="Cambria" w:cs="Times New Roman"/>
                <w:color w:val="000000"/>
                <w:sz w:val="20"/>
                <w:szCs w:val="20"/>
              </w:rPr>
            </w:pPr>
            <w:r w:rsidRPr="00264F2B">
              <w:rPr>
                <w:rFonts w:ascii="Cambria" w:eastAsia="Times New Roman" w:hAnsi="Cambria" w:cs="Times New Roman"/>
                <w:color w:val="000000"/>
                <w:sz w:val="20"/>
                <w:szCs w:val="20"/>
              </w:rPr>
              <w:t>Samtskhe-Javakheti</w:t>
            </w:r>
          </w:p>
        </w:tc>
        <w:tc>
          <w:tcPr>
            <w:tcW w:w="628" w:type="dxa"/>
            <w:tcBorders>
              <w:top w:val="nil"/>
              <w:left w:val="nil"/>
              <w:bottom w:val="nil"/>
              <w:right w:val="nil"/>
            </w:tcBorders>
            <w:shd w:val="clear" w:color="auto" w:fill="auto"/>
            <w:noWrap/>
            <w:vAlign w:val="bottom"/>
            <w:hideMark/>
          </w:tcPr>
          <w:p w14:paraId="7F17995D" w14:textId="77777777" w:rsidR="00264F2B" w:rsidRPr="00264F2B" w:rsidRDefault="00264F2B" w:rsidP="00264F2B">
            <w:pPr>
              <w:spacing w:after="0"/>
              <w:jc w:val="center"/>
              <w:rPr>
                <w:rFonts w:ascii="Cambria" w:eastAsia="Times New Roman" w:hAnsi="Cambria" w:cs="Times New Roman"/>
                <w:color w:val="000000"/>
                <w:sz w:val="20"/>
                <w:szCs w:val="20"/>
              </w:rPr>
            </w:pPr>
            <w:r w:rsidRPr="00264F2B">
              <w:rPr>
                <w:rFonts w:ascii="Cambria" w:eastAsia="Times New Roman" w:hAnsi="Cambria" w:cs="Times New Roman"/>
                <w:color w:val="000000"/>
                <w:sz w:val="20"/>
                <w:szCs w:val="20"/>
              </w:rPr>
              <w:t>4.8</w:t>
            </w:r>
          </w:p>
        </w:tc>
        <w:tc>
          <w:tcPr>
            <w:tcW w:w="628" w:type="dxa"/>
            <w:tcBorders>
              <w:top w:val="nil"/>
              <w:left w:val="nil"/>
              <w:bottom w:val="nil"/>
              <w:right w:val="nil"/>
            </w:tcBorders>
            <w:shd w:val="clear" w:color="auto" w:fill="auto"/>
            <w:noWrap/>
            <w:vAlign w:val="bottom"/>
            <w:hideMark/>
          </w:tcPr>
          <w:p w14:paraId="47637C25" w14:textId="77777777" w:rsidR="00264F2B" w:rsidRPr="00264F2B" w:rsidRDefault="00264F2B" w:rsidP="00264F2B">
            <w:pPr>
              <w:spacing w:after="0"/>
              <w:jc w:val="center"/>
              <w:rPr>
                <w:rFonts w:ascii="Cambria" w:eastAsia="Times New Roman" w:hAnsi="Cambria" w:cs="Times New Roman"/>
                <w:color w:val="000000"/>
                <w:sz w:val="20"/>
                <w:szCs w:val="20"/>
              </w:rPr>
            </w:pPr>
            <w:r w:rsidRPr="00264F2B">
              <w:rPr>
                <w:rFonts w:ascii="Cambria" w:eastAsia="Times New Roman" w:hAnsi="Cambria" w:cs="Times New Roman"/>
                <w:color w:val="000000"/>
                <w:sz w:val="20"/>
                <w:szCs w:val="20"/>
              </w:rPr>
              <w:t>0.3</w:t>
            </w:r>
          </w:p>
        </w:tc>
        <w:tc>
          <w:tcPr>
            <w:tcW w:w="1224" w:type="dxa"/>
            <w:tcBorders>
              <w:top w:val="nil"/>
              <w:left w:val="nil"/>
              <w:bottom w:val="nil"/>
              <w:right w:val="nil"/>
            </w:tcBorders>
            <w:shd w:val="clear" w:color="auto" w:fill="auto"/>
            <w:noWrap/>
            <w:vAlign w:val="bottom"/>
            <w:hideMark/>
          </w:tcPr>
          <w:p w14:paraId="4E9E7EEB" w14:textId="77777777" w:rsidR="00264F2B" w:rsidRPr="00264F2B" w:rsidRDefault="00264F2B" w:rsidP="00264F2B">
            <w:pPr>
              <w:spacing w:after="0"/>
              <w:jc w:val="center"/>
              <w:rPr>
                <w:rFonts w:ascii="Cambria" w:eastAsia="Times New Roman" w:hAnsi="Cambria" w:cs="Times New Roman"/>
                <w:color w:val="000000"/>
                <w:sz w:val="20"/>
                <w:szCs w:val="20"/>
              </w:rPr>
            </w:pPr>
            <w:r w:rsidRPr="00264F2B">
              <w:rPr>
                <w:rFonts w:ascii="Cambria" w:eastAsia="Times New Roman" w:hAnsi="Cambria" w:cs="Times New Roman"/>
                <w:color w:val="000000"/>
                <w:sz w:val="20"/>
                <w:szCs w:val="20"/>
              </w:rPr>
              <w:t>4.9</w:t>
            </w:r>
          </w:p>
        </w:tc>
        <w:tc>
          <w:tcPr>
            <w:tcW w:w="1580" w:type="dxa"/>
            <w:tcBorders>
              <w:top w:val="nil"/>
              <w:left w:val="nil"/>
              <w:bottom w:val="nil"/>
              <w:right w:val="nil"/>
            </w:tcBorders>
            <w:shd w:val="clear" w:color="auto" w:fill="auto"/>
            <w:noWrap/>
            <w:vAlign w:val="bottom"/>
            <w:hideMark/>
          </w:tcPr>
          <w:p w14:paraId="3177D14B" w14:textId="77777777" w:rsidR="00264F2B" w:rsidRPr="00264F2B" w:rsidRDefault="00264F2B" w:rsidP="00264F2B">
            <w:pPr>
              <w:spacing w:after="0"/>
              <w:jc w:val="center"/>
              <w:rPr>
                <w:rFonts w:ascii="Cambria" w:eastAsia="Times New Roman" w:hAnsi="Cambria" w:cs="Times New Roman"/>
                <w:color w:val="000000"/>
                <w:sz w:val="20"/>
                <w:szCs w:val="20"/>
              </w:rPr>
            </w:pPr>
            <w:r w:rsidRPr="00264F2B">
              <w:rPr>
                <w:rFonts w:ascii="Cambria" w:eastAsia="Times New Roman" w:hAnsi="Cambria" w:cs="Times New Roman"/>
                <w:color w:val="000000"/>
                <w:sz w:val="20"/>
                <w:szCs w:val="20"/>
              </w:rPr>
              <w:t>0.9</w:t>
            </w:r>
          </w:p>
        </w:tc>
        <w:tc>
          <w:tcPr>
            <w:tcW w:w="639" w:type="dxa"/>
            <w:tcBorders>
              <w:top w:val="nil"/>
              <w:left w:val="nil"/>
              <w:bottom w:val="nil"/>
              <w:right w:val="nil"/>
            </w:tcBorders>
            <w:shd w:val="clear" w:color="auto" w:fill="auto"/>
            <w:noWrap/>
            <w:vAlign w:val="bottom"/>
            <w:hideMark/>
          </w:tcPr>
          <w:p w14:paraId="5CA4EE81" w14:textId="77777777" w:rsidR="00264F2B" w:rsidRPr="00264F2B" w:rsidRDefault="00264F2B" w:rsidP="00264F2B">
            <w:pPr>
              <w:spacing w:after="0"/>
              <w:jc w:val="center"/>
              <w:rPr>
                <w:rFonts w:ascii="Cambria" w:eastAsia="Times New Roman" w:hAnsi="Cambria" w:cs="Times New Roman"/>
                <w:color w:val="000000"/>
                <w:sz w:val="20"/>
                <w:szCs w:val="20"/>
              </w:rPr>
            </w:pPr>
            <w:r w:rsidRPr="00264F2B">
              <w:rPr>
                <w:rFonts w:ascii="Cambria" w:eastAsia="Times New Roman" w:hAnsi="Cambria" w:cs="Times New Roman"/>
                <w:color w:val="000000"/>
                <w:sz w:val="20"/>
                <w:szCs w:val="20"/>
              </w:rPr>
              <w:t>4.4</w:t>
            </w:r>
          </w:p>
        </w:tc>
        <w:tc>
          <w:tcPr>
            <w:tcW w:w="638" w:type="dxa"/>
            <w:tcBorders>
              <w:top w:val="nil"/>
              <w:left w:val="nil"/>
              <w:bottom w:val="nil"/>
              <w:right w:val="nil"/>
            </w:tcBorders>
            <w:shd w:val="clear" w:color="auto" w:fill="auto"/>
            <w:noWrap/>
            <w:vAlign w:val="bottom"/>
            <w:hideMark/>
          </w:tcPr>
          <w:p w14:paraId="3E5EB6E9" w14:textId="77777777" w:rsidR="00264F2B" w:rsidRPr="00264F2B" w:rsidRDefault="00264F2B" w:rsidP="00264F2B">
            <w:pPr>
              <w:spacing w:after="0"/>
              <w:jc w:val="center"/>
              <w:rPr>
                <w:rFonts w:ascii="Cambria" w:eastAsia="Times New Roman" w:hAnsi="Cambria" w:cs="Times New Roman"/>
                <w:color w:val="000000"/>
                <w:sz w:val="20"/>
                <w:szCs w:val="20"/>
              </w:rPr>
            </w:pPr>
          </w:p>
        </w:tc>
        <w:tc>
          <w:tcPr>
            <w:tcW w:w="1243" w:type="dxa"/>
            <w:tcBorders>
              <w:top w:val="nil"/>
              <w:left w:val="nil"/>
              <w:bottom w:val="nil"/>
              <w:right w:val="nil"/>
            </w:tcBorders>
            <w:shd w:val="clear" w:color="auto" w:fill="auto"/>
            <w:noWrap/>
            <w:vAlign w:val="bottom"/>
            <w:hideMark/>
          </w:tcPr>
          <w:p w14:paraId="529BDFA3" w14:textId="77777777" w:rsidR="00264F2B" w:rsidRPr="00264F2B" w:rsidRDefault="00264F2B" w:rsidP="00264F2B">
            <w:pPr>
              <w:spacing w:after="0"/>
              <w:jc w:val="center"/>
              <w:rPr>
                <w:rFonts w:ascii="Cambria" w:eastAsia="Times New Roman" w:hAnsi="Cambria" w:cs="Times New Roman"/>
                <w:color w:val="000000"/>
                <w:sz w:val="20"/>
                <w:szCs w:val="20"/>
              </w:rPr>
            </w:pPr>
            <w:r w:rsidRPr="00264F2B">
              <w:rPr>
                <w:rFonts w:ascii="Cambria" w:eastAsia="Times New Roman" w:hAnsi="Cambria" w:cs="Times New Roman"/>
                <w:color w:val="000000"/>
                <w:sz w:val="20"/>
                <w:szCs w:val="20"/>
              </w:rPr>
              <w:t>4.7</w:t>
            </w:r>
          </w:p>
        </w:tc>
      </w:tr>
      <w:tr w:rsidR="00264F2B" w:rsidRPr="00264F2B" w14:paraId="05DBFDAB" w14:textId="77777777" w:rsidTr="00264F2B">
        <w:trPr>
          <w:trHeight w:val="300"/>
        </w:trPr>
        <w:tc>
          <w:tcPr>
            <w:tcW w:w="3663" w:type="dxa"/>
            <w:tcBorders>
              <w:top w:val="nil"/>
              <w:left w:val="nil"/>
              <w:bottom w:val="nil"/>
              <w:right w:val="nil"/>
            </w:tcBorders>
            <w:shd w:val="clear" w:color="auto" w:fill="auto"/>
            <w:noWrap/>
            <w:vAlign w:val="bottom"/>
            <w:hideMark/>
          </w:tcPr>
          <w:p w14:paraId="507F3463" w14:textId="77777777" w:rsidR="00264F2B" w:rsidRPr="00264F2B" w:rsidRDefault="00264F2B" w:rsidP="00264F2B">
            <w:pPr>
              <w:spacing w:after="0"/>
              <w:jc w:val="left"/>
              <w:rPr>
                <w:rFonts w:ascii="Cambria" w:eastAsia="Times New Roman" w:hAnsi="Cambria" w:cs="Times New Roman"/>
                <w:color w:val="000000"/>
                <w:sz w:val="20"/>
                <w:szCs w:val="20"/>
              </w:rPr>
            </w:pPr>
            <w:r w:rsidRPr="00264F2B">
              <w:rPr>
                <w:rFonts w:ascii="Cambria" w:eastAsia="Times New Roman" w:hAnsi="Cambria" w:cs="Times New Roman"/>
                <w:color w:val="000000"/>
                <w:sz w:val="20"/>
                <w:szCs w:val="20"/>
              </w:rPr>
              <w:t>Adjara</w:t>
            </w:r>
          </w:p>
        </w:tc>
        <w:tc>
          <w:tcPr>
            <w:tcW w:w="628" w:type="dxa"/>
            <w:tcBorders>
              <w:top w:val="nil"/>
              <w:left w:val="nil"/>
              <w:bottom w:val="nil"/>
              <w:right w:val="nil"/>
            </w:tcBorders>
            <w:shd w:val="clear" w:color="auto" w:fill="auto"/>
            <w:noWrap/>
            <w:vAlign w:val="bottom"/>
            <w:hideMark/>
          </w:tcPr>
          <w:p w14:paraId="3B09A051" w14:textId="77777777" w:rsidR="00264F2B" w:rsidRPr="00264F2B" w:rsidRDefault="00264F2B" w:rsidP="00264F2B">
            <w:pPr>
              <w:spacing w:after="0"/>
              <w:jc w:val="center"/>
              <w:rPr>
                <w:rFonts w:ascii="Cambria" w:eastAsia="Times New Roman" w:hAnsi="Cambria" w:cs="Times New Roman"/>
                <w:color w:val="000000"/>
                <w:sz w:val="20"/>
                <w:szCs w:val="20"/>
              </w:rPr>
            </w:pPr>
            <w:r w:rsidRPr="00264F2B">
              <w:rPr>
                <w:rFonts w:ascii="Cambria" w:eastAsia="Times New Roman" w:hAnsi="Cambria" w:cs="Times New Roman"/>
                <w:color w:val="000000"/>
                <w:sz w:val="20"/>
                <w:szCs w:val="20"/>
              </w:rPr>
              <w:t>9.4</w:t>
            </w:r>
          </w:p>
        </w:tc>
        <w:tc>
          <w:tcPr>
            <w:tcW w:w="628" w:type="dxa"/>
            <w:tcBorders>
              <w:top w:val="nil"/>
              <w:left w:val="nil"/>
              <w:bottom w:val="nil"/>
              <w:right w:val="nil"/>
            </w:tcBorders>
            <w:shd w:val="clear" w:color="auto" w:fill="auto"/>
            <w:noWrap/>
            <w:vAlign w:val="bottom"/>
            <w:hideMark/>
          </w:tcPr>
          <w:p w14:paraId="7B5821E8" w14:textId="77777777" w:rsidR="00264F2B" w:rsidRPr="00264F2B" w:rsidRDefault="00264F2B" w:rsidP="00264F2B">
            <w:pPr>
              <w:spacing w:after="0"/>
              <w:jc w:val="center"/>
              <w:rPr>
                <w:rFonts w:ascii="Cambria" w:eastAsia="Times New Roman" w:hAnsi="Cambria" w:cs="Times New Roman"/>
                <w:color w:val="000000"/>
                <w:sz w:val="20"/>
                <w:szCs w:val="20"/>
              </w:rPr>
            </w:pPr>
            <w:r w:rsidRPr="00264F2B">
              <w:rPr>
                <w:rFonts w:ascii="Cambria" w:eastAsia="Times New Roman" w:hAnsi="Cambria" w:cs="Times New Roman"/>
                <w:color w:val="000000"/>
                <w:sz w:val="20"/>
                <w:szCs w:val="20"/>
              </w:rPr>
              <w:t>0.7</w:t>
            </w:r>
          </w:p>
        </w:tc>
        <w:tc>
          <w:tcPr>
            <w:tcW w:w="1224" w:type="dxa"/>
            <w:tcBorders>
              <w:top w:val="nil"/>
              <w:left w:val="nil"/>
              <w:bottom w:val="nil"/>
              <w:right w:val="nil"/>
            </w:tcBorders>
            <w:shd w:val="clear" w:color="auto" w:fill="auto"/>
            <w:noWrap/>
            <w:vAlign w:val="bottom"/>
            <w:hideMark/>
          </w:tcPr>
          <w:p w14:paraId="7F19C35A" w14:textId="77777777" w:rsidR="00264F2B" w:rsidRPr="00264F2B" w:rsidRDefault="00264F2B" w:rsidP="00264F2B">
            <w:pPr>
              <w:spacing w:after="0"/>
              <w:jc w:val="center"/>
              <w:rPr>
                <w:rFonts w:ascii="Calibri" w:eastAsia="Times New Roman" w:hAnsi="Calibri" w:cs="Times New Roman"/>
                <w:color w:val="000000"/>
              </w:rPr>
            </w:pPr>
            <w:r w:rsidRPr="00264F2B">
              <w:rPr>
                <w:rFonts w:ascii="Calibri" w:eastAsia="Times New Roman" w:hAnsi="Calibri" w:cs="Times New Roman"/>
                <w:color w:val="000000"/>
              </w:rPr>
              <w:t>9.7</w:t>
            </w:r>
          </w:p>
        </w:tc>
        <w:tc>
          <w:tcPr>
            <w:tcW w:w="1580" w:type="dxa"/>
            <w:tcBorders>
              <w:top w:val="nil"/>
              <w:left w:val="nil"/>
              <w:bottom w:val="nil"/>
              <w:right w:val="nil"/>
            </w:tcBorders>
            <w:shd w:val="clear" w:color="auto" w:fill="auto"/>
            <w:noWrap/>
            <w:vAlign w:val="bottom"/>
            <w:hideMark/>
          </w:tcPr>
          <w:p w14:paraId="1A68607D" w14:textId="77777777" w:rsidR="00264F2B" w:rsidRPr="00264F2B" w:rsidRDefault="00264F2B" w:rsidP="00264F2B">
            <w:pPr>
              <w:spacing w:after="0"/>
              <w:jc w:val="center"/>
              <w:rPr>
                <w:rFonts w:ascii="Cambria" w:eastAsia="Times New Roman" w:hAnsi="Cambria" w:cs="Times New Roman"/>
                <w:color w:val="000000"/>
                <w:sz w:val="20"/>
                <w:szCs w:val="20"/>
              </w:rPr>
            </w:pPr>
            <w:r w:rsidRPr="00264F2B">
              <w:rPr>
                <w:rFonts w:ascii="Cambria" w:eastAsia="Times New Roman" w:hAnsi="Cambria" w:cs="Times New Roman"/>
                <w:color w:val="000000"/>
                <w:sz w:val="20"/>
                <w:szCs w:val="20"/>
              </w:rPr>
              <w:t>2.5</w:t>
            </w:r>
          </w:p>
        </w:tc>
        <w:tc>
          <w:tcPr>
            <w:tcW w:w="639" w:type="dxa"/>
            <w:tcBorders>
              <w:top w:val="nil"/>
              <w:left w:val="nil"/>
              <w:bottom w:val="nil"/>
              <w:right w:val="nil"/>
            </w:tcBorders>
            <w:shd w:val="clear" w:color="auto" w:fill="auto"/>
            <w:noWrap/>
            <w:vAlign w:val="bottom"/>
            <w:hideMark/>
          </w:tcPr>
          <w:p w14:paraId="314A5A93" w14:textId="77777777" w:rsidR="00264F2B" w:rsidRPr="00264F2B" w:rsidRDefault="00264F2B" w:rsidP="00264F2B">
            <w:pPr>
              <w:spacing w:after="0"/>
              <w:jc w:val="center"/>
              <w:rPr>
                <w:rFonts w:ascii="Cambria" w:eastAsia="Times New Roman" w:hAnsi="Cambria" w:cs="Times New Roman"/>
                <w:color w:val="000000"/>
                <w:sz w:val="20"/>
                <w:szCs w:val="20"/>
              </w:rPr>
            </w:pPr>
            <w:r w:rsidRPr="00264F2B">
              <w:rPr>
                <w:rFonts w:ascii="Cambria" w:eastAsia="Times New Roman" w:hAnsi="Cambria" w:cs="Times New Roman"/>
                <w:color w:val="000000"/>
                <w:sz w:val="20"/>
                <w:szCs w:val="20"/>
              </w:rPr>
              <w:t>9.8</w:t>
            </w:r>
          </w:p>
        </w:tc>
        <w:tc>
          <w:tcPr>
            <w:tcW w:w="638" w:type="dxa"/>
            <w:tcBorders>
              <w:top w:val="nil"/>
              <w:left w:val="nil"/>
              <w:bottom w:val="nil"/>
              <w:right w:val="nil"/>
            </w:tcBorders>
            <w:shd w:val="clear" w:color="auto" w:fill="auto"/>
            <w:noWrap/>
            <w:vAlign w:val="bottom"/>
            <w:hideMark/>
          </w:tcPr>
          <w:p w14:paraId="0C8197F7" w14:textId="77777777" w:rsidR="00264F2B" w:rsidRPr="00264F2B" w:rsidRDefault="00264F2B" w:rsidP="00264F2B">
            <w:pPr>
              <w:spacing w:after="0"/>
              <w:jc w:val="center"/>
              <w:rPr>
                <w:rFonts w:ascii="Cambria" w:eastAsia="Times New Roman" w:hAnsi="Cambria" w:cs="Times New Roman"/>
                <w:color w:val="000000"/>
                <w:sz w:val="20"/>
                <w:szCs w:val="20"/>
              </w:rPr>
            </w:pPr>
            <w:r w:rsidRPr="00264F2B">
              <w:rPr>
                <w:rFonts w:ascii="Cambria" w:eastAsia="Times New Roman" w:hAnsi="Cambria" w:cs="Times New Roman"/>
                <w:color w:val="000000"/>
                <w:sz w:val="20"/>
                <w:szCs w:val="20"/>
              </w:rPr>
              <w:t>0</w:t>
            </w:r>
          </w:p>
        </w:tc>
        <w:tc>
          <w:tcPr>
            <w:tcW w:w="1243" w:type="dxa"/>
            <w:tcBorders>
              <w:top w:val="nil"/>
              <w:left w:val="nil"/>
              <w:bottom w:val="nil"/>
              <w:right w:val="nil"/>
            </w:tcBorders>
            <w:shd w:val="clear" w:color="auto" w:fill="auto"/>
            <w:noWrap/>
            <w:vAlign w:val="bottom"/>
            <w:hideMark/>
          </w:tcPr>
          <w:p w14:paraId="62AF9B0C" w14:textId="77777777" w:rsidR="00264F2B" w:rsidRPr="00264F2B" w:rsidRDefault="00264F2B" w:rsidP="00264F2B">
            <w:pPr>
              <w:spacing w:after="0"/>
              <w:jc w:val="center"/>
              <w:rPr>
                <w:rFonts w:ascii="Cambria" w:eastAsia="Times New Roman" w:hAnsi="Cambria" w:cs="Times New Roman"/>
                <w:color w:val="000000"/>
                <w:sz w:val="20"/>
                <w:szCs w:val="20"/>
              </w:rPr>
            </w:pPr>
            <w:r w:rsidRPr="00264F2B">
              <w:rPr>
                <w:rFonts w:ascii="Cambria" w:eastAsia="Times New Roman" w:hAnsi="Cambria" w:cs="Times New Roman"/>
                <w:color w:val="000000"/>
                <w:sz w:val="20"/>
                <w:szCs w:val="20"/>
              </w:rPr>
              <w:t>10.2</w:t>
            </w:r>
          </w:p>
        </w:tc>
      </w:tr>
      <w:tr w:rsidR="00264F2B" w:rsidRPr="00264F2B" w14:paraId="0AF7DB36" w14:textId="77777777" w:rsidTr="00264F2B">
        <w:trPr>
          <w:trHeight w:val="300"/>
        </w:trPr>
        <w:tc>
          <w:tcPr>
            <w:tcW w:w="3663" w:type="dxa"/>
            <w:tcBorders>
              <w:top w:val="nil"/>
              <w:left w:val="nil"/>
              <w:bottom w:val="nil"/>
              <w:right w:val="nil"/>
            </w:tcBorders>
            <w:shd w:val="clear" w:color="auto" w:fill="auto"/>
            <w:noWrap/>
            <w:vAlign w:val="bottom"/>
            <w:hideMark/>
          </w:tcPr>
          <w:p w14:paraId="639F4895" w14:textId="77777777" w:rsidR="00264F2B" w:rsidRPr="00264F2B" w:rsidRDefault="00264F2B" w:rsidP="00264F2B">
            <w:pPr>
              <w:spacing w:after="0"/>
              <w:jc w:val="left"/>
              <w:rPr>
                <w:rFonts w:ascii="Cambria" w:eastAsia="Times New Roman" w:hAnsi="Cambria" w:cs="Times New Roman"/>
                <w:color w:val="000000"/>
                <w:sz w:val="20"/>
                <w:szCs w:val="20"/>
              </w:rPr>
            </w:pPr>
            <w:r w:rsidRPr="00264F2B">
              <w:rPr>
                <w:rFonts w:ascii="Cambria" w:eastAsia="Times New Roman" w:hAnsi="Cambria" w:cs="Times New Roman"/>
                <w:color w:val="000000"/>
                <w:sz w:val="20"/>
                <w:szCs w:val="20"/>
              </w:rPr>
              <w:t>Guria</w:t>
            </w:r>
          </w:p>
        </w:tc>
        <w:tc>
          <w:tcPr>
            <w:tcW w:w="628" w:type="dxa"/>
            <w:tcBorders>
              <w:top w:val="nil"/>
              <w:left w:val="nil"/>
              <w:bottom w:val="nil"/>
              <w:right w:val="nil"/>
            </w:tcBorders>
            <w:shd w:val="clear" w:color="auto" w:fill="auto"/>
            <w:noWrap/>
            <w:vAlign w:val="bottom"/>
            <w:hideMark/>
          </w:tcPr>
          <w:p w14:paraId="70B0768F" w14:textId="77777777" w:rsidR="00264F2B" w:rsidRPr="00264F2B" w:rsidRDefault="00264F2B" w:rsidP="00264F2B">
            <w:pPr>
              <w:spacing w:after="0"/>
              <w:jc w:val="center"/>
              <w:rPr>
                <w:rFonts w:ascii="Cambria" w:eastAsia="Times New Roman" w:hAnsi="Cambria" w:cs="Times New Roman"/>
                <w:color w:val="000000"/>
                <w:sz w:val="20"/>
                <w:szCs w:val="20"/>
              </w:rPr>
            </w:pPr>
            <w:r w:rsidRPr="00264F2B">
              <w:rPr>
                <w:rFonts w:ascii="Cambria" w:eastAsia="Times New Roman" w:hAnsi="Cambria" w:cs="Times New Roman"/>
                <w:color w:val="000000"/>
                <w:sz w:val="20"/>
                <w:szCs w:val="20"/>
              </w:rPr>
              <w:t>3.4</w:t>
            </w:r>
          </w:p>
        </w:tc>
        <w:tc>
          <w:tcPr>
            <w:tcW w:w="628" w:type="dxa"/>
            <w:tcBorders>
              <w:top w:val="nil"/>
              <w:left w:val="nil"/>
              <w:bottom w:val="nil"/>
              <w:right w:val="nil"/>
            </w:tcBorders>
            <w:shd w:val="clear" w:color="auto" w:fill="auto"/>
            <w:noWrap/>
            <w:vAlign w:val="bottom"/>
            <w:hideMark/>
          </w:tcPr>
          <w:p w14:paraId="3CC14482" w14:textId="77777777" w:rsidR="00264F2B" w:rsidRPr="00264F2B" w:rsidRDefault="00264F2B" w:rsidP="00264F2B">
            <w:pPr>
              <w:spacing w:after="0"/>
              <w:jc w:val="center"/>
              <w:rPr>
                <w:rFonts w:ascii="Cambria" w:eastAsia="Times New Roman" w:hAnsi="Cambria" w:cs="Times New Roman"/>
                <w:color w:val="000000"/>
                <w:sz w:val="20"/>
                <w:szCs w:val="20"/>
              </w:rPr>
            </w:pPr>
            <w:r w:rsidRPr="00264F2B">
              <w:rPr>
                <w:rFonts w:ascii="Cambria" w:eastAsia="Times New Roman" w:hAnsi="Cambria" w:cs="Times New Roman"/>
                <w:color w:val="000000"/>
                <w:sz w:val="20"/>
                <w:szCs w:val="20"/>
              </w:rPr>
              <w:t>0.5</w:t>
            </w:r>
          </w:p>
        </w:tc>
        <w:tc>
          <w:tcPr>
            <w:tcW w:w="1224" w:type="dxa"/>
            <w:tcBorders>
              <w:top w:val="nil"/>
              <w:left w:val="nil"/>
              <w:bottom w:val="nil"/>
              <w:right w:val="nil"/>
            </w:tcBorders>
            <w:shd w:val="clear" w:color="auto" w:fill="auto"/>
            <w:noWrap/>
            <w:vAlign w:val="bottom"/>
            <w:hideMark/>
          </w:tcPr>
          <w:p w14:paraId="5D6E131B" w14:textId="77777777" w:rsidR="00264F2B" w:rsidRPr="00264F2B" w:rsidRDefault="00264F2B" w:rsidP="00264F2B">
            <w:pPr>
              <w:spacing w:after="0"/>
              <w:jc w:val="center"/>
              <w:rPr>
                <w:rFonts w:ascii="Calibri" w:eastAsia="Times New Roman" w:hAnsi="Calibri" w:cs="Times New Roman"/>
                <w:color w:val="000000"/>
              </w:rPr>
            </w:pPr>
            <w:r w:rsidRPr="00264F2B">
              <w:rPr>
                <w:rFonts w:ascii="Calibri" w:eastAsia="Times New Roman" w:hAnsi="Calibri" w:cs="Times New Roman"/>
                <w:color w:val="000000"/>
              </w:rPr>
              <w:t>3.5</w:t>
            </w:r>
          </w:p>
        </w:tc>
        <w:tc>
          <w:tcPr>
            <w:tcW w:w="1580" w:type="dxa"/>
            <w:tcBorders>
              <w:top w:val="nil"/>
              <w:left w:val="nil"/>
              <w:bottom w:val="nil"/>
              <w:right w:val="nil"/>
            </w:tcBorders>
            <w:shd w:val="clear" w:color="auto" w:fill="auto"/>
            <w:noWrap/>
            <w:vAlign w:val="bottom"/>
            <w:hideMark/>
          </w:tcPr>
          <w:p w14:paraId="62DFD184" w14:textId="77777777" w:rsidR="00264F2B" w:rsidRPr="00264F2B" w:rsidRDefault="00264F2B" w:rsidP="00264F2B">
            <w:pPr>
              <w:spacing w:after="0"/>
              <w:jc w:val="center"/>
              <w:rPr>
                <w:rFonts w:ascii="Cambria" w:eastAsia="Times New Roman" w:hAnsi="Cambria" w:cs="Times New Roman"/>
                <w:color w:val="000000"/>
                <w:sz w:val="20"/>
                <w:szCs w:val="20"/>
              </w:rPr>
            </w:pPr>
            <w:r w:rsidRPr="00264F2B">
              <w:rPr>
                <w:rFonts w:ascii="Cambria" w:eastAsia="Times New Roman" w:hAnsi="Cambria" w:cs="Times New Roman"/>
                <w:color w:val="000000"/>
                <w:sz w:val="20"/>
                <w:szCs w:val="20"/>
              </w:rPr>
              <w:t>0.2</w:t>
            </w:r>
          </w:p>
        </w:tc>
        <w:tc>
          <w:tcPr>
            <w:tcW w:w="639" w:type="dxa"/>
            <w:tcBorders>
              <w:top w:val="nil"/>
              <w:left w:val="nil"/>
              <w:bottom w:val="nil"/>
              <w:right w:val="nil"/>
            </w:tcBorders>
            <w:shd w:val="clear" w:color="auto" w:fill="auto"/>
            <w:noWrap/>
            <w:vAlign w:val="bottom"/>
            <w:hideMark/>
          </w:tcPr>
          <w:p w14:paraId="3F75A592" w14:textId="77777777" w:rsidR="00264F2B" w:rsidRPr="00264F2B" w:rsidRDefault="00264F2B" w:rsidP="00264F2B">
            <w:pPr>
              <w:spacing w:after="0"/>
              <w:jc w:val="center"/>
              <w:rPr>
                <w:rFonts w:ascii="Cambria" w:eastAsia="Times New Roman" w:hAnsi="Cambria" w:cs="Times New Roman"/>
                <w:color w:val="000000"/>
                <w:sz w:val="20"/>
                <w:szCs w:val="20"/>
              </w:rPr>
            </w:pPr>
            <w:r w:rsidRPr="00264F2B">
              <w:rPr>
                <w:rFonts w:ascii="Cambria" w:eastAsia="Times New Roman" w:hAnsi="Cambria" w:cs="Times New Roman"/>
                <w:color w:val="000000"/>
                <w:sz w:val="20"/>
                <w:szCs w:val="20"/>
              </w:rPr>
              <w:t>3.2</w:t>
            </w:r>
          </w:p>
        </w:tc>
        <w:tc>
          <w:tcPr>
            <w:tcW w:w="638" w:type="dxa"/>
            <w:tcBorders>
              <w:top w:val="nil"/>
              <w:left w:val="nil"/>
              <w:bottom w:val="nil"/>
              <w:right w:val="nil"/>
            </w:tcBorders>
            <w:shd w:val="clear" w:color="auto" w:fill="auto"/>
            <w:noWrap/>
            <w:vAlign w:val="bottom"/>
            <w:hideMark/>
          </w:tcPr>
          <w:p w14:paraId="1F5DAC1B" w14:textId="77777777" w:rsidR="00264F2B" w:rsidRPr="00264F2B" w:rsidRDefault="00264F2B" w:rsidP="00264F2B">
            <w:pPr>
              <w:spacing w:after="0"/>
              <w:jc w:val="center"/>
              <w:rPr>
                <w:rFonts w:ascii="Cambria" w:eastAsia="Times New Roman" w:hAnsi="Cambria" w:cs="Times New Roman"/>
                <w:color w:val="000000"/>
                <w:sz w:val="20"/>
                <w:szCs w:val="20"/>
              </w:rPr>
            </w:pPr>
            <w:r w:rsidRPr="00264F2B">
              <w:rPr>
                <w:rFonts w:ascii="Cambria" w:eastAsia="Times New Roman" w:hAnsi="Cambria" w:cs="Times New Roman"/>
                <w:color w:val="000000"/>
                <w:sz w:val="20"/>
                <w:szCs w:val="20"/>
              </w:rPr>
              <w:t>0.2</w:t>
            </w:r>
          </w:p>
        </w:tc>
        <w:tc>
          <w:tcPr>
            <w:tcW w:w="1243" w:type="dxa"/>
            <w:tcBorders>
              <w:top w:val="nil"/>
              <w:left w:val="nil"/>
              <w:bottom w:val="nil"/>
              <w:right w:val="nil"/>
            </w:tcBorders>
            <w:shd w:val="clear" w:color="auto" w:fill="auto"/>
            <w:noWrap/>
            <w:vAlign w:val="bottom"/>
            <w:hideMark/>
          </w:tcPr>
          <w:p w14:paraId="67A04805" w14:textId="77777777" w:rsidR="00264F2B" w:rsidRPr="00264F2B" w:rsidRDefault="00264F2B" w:rsidP="00264F2B">
            <w:pPr>
              <w:spacing w:after="0"/>
              <w:jc w:val="center"/>
              <w:rPr>
                <w:rFonts w:ascii="Cambria" w:eastAsia="Times New Roman" w:hAnsi="Cambria" w:cs="Times New Roman"/>
                <w:color w:val="000000"/>
                <w:sz w:val="20"/>
                <w:szCs w:val="20"/>
              </w:rPr>
            </w:pPr>
            <w:r w:rsidRPr="00264F2B">
              <w:rPr>
                <w:rFonts w:ascii="Cambria" w:eastAsia="Times New Roman" w:hAnsi="Cambria" w:cs="Times New Roman"/>
                <w:color w:val="000000"/>
                <w:sz w:val="20"/>
                <w:szCs w:val="20"/>
              </w:rPr>
              <w:t>3.4</w:t>
            </w:r>
          </w:p>
        </w:tc>
      </w:tr>
      <w:tr w:rsidR="00264F2B" w:rsidRPr="00264F2B" w14:paraId="6015E1C4" w14:textId="77777777" w:rsidTr="00264F2B">
        <w:trPr>
          <w:trHeight w:val="300"/>
        </w:trPr>
        <w:tc>
          <w:tcPr>
            <w:tcW w:w="3663" w:type="dxa"/>
            <w:tcBorders>
              <w:top w:val="nil"/>
              <w:left w:val="nil"/>
              <w:bottom w:val="nil"/>
              <w:right w:val="nil"/>
            </w:tcBorders>
            <w:shd w:val="clear" w:color="auto" w:fill="auto"/>
            <w:noWrap/>
            <w:vAlign w:val="bottom"/>
            <w:hideMark/>
          </w:tcPr>
          <w:p w14:paraId="61A14F9A" w14:textId="77777777" w:rsidR="00264F2B" w:rsidRPr="00264F2B" w:rsidRDefault="00264F2B" w:rsidP="00264F2B">
            <w:pPr>
              <w:spacing w:after="0"/>
              <w:jc w:val="left"/>
              <w:rPr>
                <w:rFonts w:ascii="Cambria" w:eastAsia="Times New Roman" w:hAnsi="Cambria" w:cs="Times New Roman"/>
                <w:color w:val="000000"/>
                <w:sz w:val="20"/>
                <w:szCs w:val="20"/>
              </w:rPr>
            </w:pPr>
            <w:r w:rsidRPr="00264F2B">
              <w:rPr>
                <w:rFonts w:ascii="Cambria" w:eastAsia="Times New Roman" w:hAnsi="Cambria" w:cs="Times New Roman"/>
                <w:color w:val="000000"/>
                <w:sz w:val="20"/>
                <w:szCs w:val="20"/>
              </w:rPr>
              <w:t>Samegrelo-Zemo Svaneti</w:t>
            </w:r>
          </w:p>
        </w:tc>
        <w:tc>
          <w:tcPr>
            <w:tcW w:w="628" w:type="dxa"/>
            <w:tcBorders>
              <w:top w:val="nil"/>
              <w:left w:val="nil"/>
              <w:bottom w:val="nil"/>
              <w:right w:val="nil"/>
            </w:tcBorders>
            <w:shd w:val="clear" w:color="auto" w:fill="auto"/>
            <w:noWrap/>
            <w:vAlign w:val="bottom"/>
            <w:hideMark/>
          </w:tcPr>
          <w:p w14:paraId="0477AE80" w14:textId="77777777" w:rsidR="00264F2B" w:rsidRPr="00264F2B" w:rsidRDefault="00264F2B" w:rsidP="00264F2B">
            <w:pPr>
              <w:spacing w:after="0"/>
              <w:jc w:val="center"/>
              <w:rPr>
                <w:rFonts w:ascii="Cambria" w:eastAsia="Times New Roman" w:hAnsi="Cambria" w:cs="Times New Roman"/>
                <w:color w:val="000000"/>
                <w:sz w:val="20"/>
                <w:szCs w:val="20"/>
              </w:rPr>
            </w:pPr>
            <w:r w:rsidRPr="00264F2B">
              <w:rPr>
                <w:rFonts w:ascii="Cambria" w:eastAsia="Times New Roman" w:hAnsi="Cambria" w:cs="Times New Roman"/>
                <w:color w:val="000000"/>
                <w:sz w:val="20"/>
                <w:szCs w:val="20"/>
              </w:rPr>
              <w:t>10.1</w:t>
            </w:r>
          </w:p>
        </w:tc>
        <w:tc>
          <w:tcPr>
            <w:tcW w:w="628" w:type="dxa"/>
            <w:tcBorders>
              <w:top w:val="nil"/>
              <w:left w:val="nil"/>
              <w:bottom w:val="nil"/>
              <w:right w:val="nil"/>
            </w:tcBorders>
            <w:shd w:val="clear" w:color="auto" w:fill="auto"/>
            <w:noWrap/>
            <w:vAlign w:val="bottom"/>
            <w:hideMark/>
          </w:tcPr>
          <w:p w14:paraId="7E6E1905" w14:textId="77777777" w:rsidR="00264F2B" w:rsidRPr="00264F2B" w:rsidRDefault="00264F2B" w:rsidP="00264F2B">
            <w:pPr>
              <w:spacing w:after="0"/>
              <w:jc w:val="center"/>
              <w:rPr>
                <w:rFonts w:ascii="Cambria" w:eastAsia="Times New Roman" w:hAnsi="Cambria" w:cs="Times New Roman"/>
                <w:color w:val="000000"/>
                <w:sz w:val="20"/>
                <w:szCs w:val="20"/>
              </w:rPr>
            </w:pPr>
            <w:r w:rsidRPr="00264F2B">
              <w:rPr>
                <w:rFonts w:ascii="Cambria" w:eastAsia="Times New Roman" w:hAnsi="Cambria" w:cs="Times New Roman"/>
                <w:color w:val="000000"/>
                <w:sz w:val="20"/>
                <w:szCs w:val="20"/>
              </w:rPr>
              <w:t>26.4</w:t>
            </w:r>
          </w:p>
        </w:tc>
        <w:tc>
          <w:tcPr>
            <w:tcW w:w="1224" w:type="dxa"/>
            <w:tcBorders>
              <w:top w:val="nil"/>
              <w:left w:val="nil"/>
              <w:bottom w:val="nil"/>
              <w:right w:val="nil"/>
            </w:tcBorders>
            <w:shd w:val="clear" w:color="auto" w:fill="auto"/>
            <w:noWrap/>
            <w:vAlign w:val="bottom"/>
            <w:hideMark/>
          </w:tcPr>
          <w:p w14:paraId="60C2E1AE" w14:textId="77777777" w:rsidR="00264F2B" w:rsidRPr="00264F2B" w:rsidRDefault="00264F2B" w:rsidP="00264F2B">
            <w:pPr>
              <w:spacing w:after="0"/>
              <w:jc w:val="center"/>
              <w:rPr>
                <w:rFonts w:ascii="Calibri" w:eastAsia="Times New Roman" w:hAnsi="Calibri" w:cs="Times New Roman"/>
                <w:color w:val="000000"/>
              </w:rPr>
            </w:pPr>
            <w:r w:rsidRPr="00264F2B">
              <w:rPr>
                <w:rFonts w:ascii="Calibri" w:eastAsia="Times New Roman" w:hAnsi="Calibri" w:cs="Times New Roman"/>
                <w:color w:val="000000"/>
              </w:rPr>
              <w:t>9.5</w:t>
            </w:r>
          </w:p>
        </w:tc>
        <w:tc>
          <w:tcPr>
            <w:tcW w:w="1580" w:type="dxa"/>
            <w:tcBorders>
              <w:top w:val="nil"/>
              <w:left w:val="nil"/>
              <w:bottom w:val="nil"/>
              <w:right w:val="nil"/>
            </w:tcBorders>
            <w:shd w:val="clear" w:color="auto" w:fill="auto"/>
            <w:noWrap/>
            <w:vAlign w:val="bottom"/>
            <w:hideMark/>
          </w:tcPr>
          <w:p w14:paraId="2F58BCA2" w14:textId="77777777" w:rsidR="00264F2B" w:rsidRPr="00264F2B" w:rsidRDefault="00264F2B" w:rsidP="00264F2B">
            <w:pPr>
              <w:spacing w:after="0"/>
              <w:jc w:val="center"/>
              <w:rPr>
                <w:rFonts w:ascii="Cambria" w:eastAsia="Times New Roman" w:hAnsi="Cambria" w:cs="Times New Roman"/>
                <w:color w:val="000000"/>
                <w:sz w:val="20"/>
                <w:szCs w:val="20"/>
              </w:rPr>
            </w:pPr>
            <w:r w:rsidRPr="00264F2B">
              <w:rPr>
                <w:rFonts w:ascii="Cambria" w:eastAsia="Times New Roman" w:hAnsi="Cambria" w:cs="Times New Roman"/>
                <w:color w:val="000000"/>
                <w:sz w:val="20"/>
                <w:szCs w:val="20"/>
              </w:rPr>
              <w:t>32.6</w:t>
            </w:r>
          </w:p>
        </w:tc>
        <w:tc>
          <w:tcPr>
            <w:tcW w:w="639" w:type="dxa"/>
            <w:tcBorders>
              <w:top w:val="nil"/>
              <w:left w:val="nil"/>
              <w:bottom w:val="nil"/>
              <w:right w:val="nil"/>
            </w:tcBorders>
            <w:shd w:val="clear" w:color="auto" w:fill="auto"/>
            <w:noWrap/>
            <w:vAlign w:val="bottom"/>
            <w:hideMark/>
          </w:tcPr>
          <w:p w14:paraId="7A496652" w14:textId="77777777" w:rsidR="00264F2B" w:rsidRPr="00264F2B" w:rsidRDefault="00264F2B" w:rsidP="00264F2B">
            <w:pPr>
              <w:spacing w:after="0"/>
              <w:jc w:val="center"/>
              <w:rPr>
                <w:rFonts w:ascii="Cambria" w:eastAsia="Times New Roman" w:hAnsi="Cambria" w:cs="Times New Roman"/>
                <w:color w:val="000000"/>
                <w:sz w:val="20"/>
                <w:szCs w:val="20"/>
              </w:rPr>
            </w:pPr>
            <w:r w:rsidRPr="00264F2B">
              <w:rPr>
                <w:rFonts w:ascii="Cambria" w:eastAsia="Times New Roman" w:hAnsi="Cambria" w:cs="Times New Roman"/>
                <w:color w:val="000000"/>
                <w:sz w:val="20"/>
                <w:szCs w:val="20"/>
              </w:rPr>
              <w:t>10</w:t>
            </w:r>
          </w:p>
        </w:tc>
        <w:tc>
          <w:tcPr>
            <w:tcW w:w="638" w:type="dxa"/>
            <w:tcBorders>
              <w:top w:val="nil"/>
              <w:left w:val="nil"/>
              <w:bottom w:val="nil"/>
              <w:right w:val="nil"/>
            </w:tcBorders>
            <w:shd w:val="clear" w:color="auto" w:fill="auto"/>
            <w:noWrap/>
            <w:vAlign w:val="bottom"/>
            <w:hideMark/>
          </w:tcPr>
          <w:p w14:paraId="6CE73EF7" w14:textId="77777777" w:rsidR="00264F2B" w:rsidRPr="00264F2B" w:rsidRDefault="00264F2B" w:rsidP="00264F2B">
            <w:pPr>
              <w:spacing w:after="0"/>
              <w:jc w:val="center"/>
              <w:rPr>
                <w:rFonts w:ascii="Cambria" w:eastAsia="Times New Roman" w:hAnsi="Cambria" w:cs="Times New Roman"/>
                <w:color w:val="000000"/>
                <w:sz w:val="20"/>
                <w:szCs w:val="20"/>
              </w:rPr>
            </w:pPr>
            <w:r w:rsidRPr="00264F2B">
              <w:rPr>
                <w:rFonts w:ascii="Cambria" w:eastAsia="Times New Roman" w:hAnsi="Cambria" w:cs="Times New Roman"/>
                <w:color w:val="000000"/>
                <w:sz w:val="20"/>
                <w:szCs w:val="20"/>
              </w:rPr>
              <w:t>24.6</w:t>
            </w:r>
          </w:p>
        </w:tc>
        <w:tc>
          <w:tcPr>
            <w:tcW w:w="1243" w:type="dxa"/>
            <w:tcBorders>
              <w:top w:val="nil"/>
              <w:left w:val="nil"/>
              <w:bottom w:val="nil"/>
              <w:right w:val="nil"/>
            </w:tcBorders>
            <w:shd w:val="clear" w:color="auto" w:fill="auto"/>
            <w:noWrap/>
            <w:vAlign w:val="bottom"/>
            <w:hideMark/>
          </w:tcPr>
          <w:p w14:paraId="7E676836" w14:textId="77777777" w:rsidR="00264F2B" w:rsidRPr="00264F2B" w:rsidRDefault="00264F2B" w:rsidP="00264F2B">
            <w:pPr>
              <w:spacing w:after="0"/>
              <w:jc w:val="center"/>
              <w:rPr>
                <w:rFonts w:ascii="Cambria" w:eastAsia="Times New Roman" w:hAnsi="Cambria" w:cs="Times New Roman"/>
                <w:color w:val="000000"/>
                <w:sz w:val="20"/>
                <w:szCs w:val="20"/>
              </w:rPr>
            </w:pPr>
            <w:r w:rsidRPr="00264F2B">
              <w:rPr>
                <w:rFonts w:ascii="Cambria" w:eastAsia="Times New Roman" w:hAnsi="Cambria" w:cs="Times New Roman"/>
                <w:color w:val="000000"/>
                <w:sz w:val="20"/>
                <w:szCs w:val="20"/>
              </w:rPr>
              <w:t>9.2</w:t>
            </w:r>
          </w:p>
        </w:tc>
      </w:tr>
      <w:tr w:rsidR="00264F2B" w:rsidRPr="00264F2B" w14:paraId="0FE6F860" w14:textId="77777777" w:rsidTr="00264F2B">
        <w:trPr>
          <w:trHeight w:val="300"/>
        </w:trPr>
        <w:tc>
          <w:tcPr>
            <w:tcW w:w="3663" w:type="dxa"/>
            <w:tcBorders>
              <w:top w:val="nil"/>
              <w:left w:val="nil"/>
              <w:bottom w:val="nil"/>
              <w:right w:val="nil"/>
            </w:tcBorders>
            <w:shd w:val="clear" w:color="auto" w:fill="auto"/>
            <w:noWrap/>
            <w:vAlign w:val="bottom"/>
            <w:hideMark/>
          </w:tcPr>
          <w:p w14:paraId="428309AC" w14:textId="77777777" w:rsidR="00264F2B" w:rsidRPr="00264F2B" w:rsidRDefault="00264F2B" w:rsidP="00264F2B">
            <w:pPr>
              <w:spacing w:after="0"/>
              <w:jc w:val="left"/>
              <w:rPr>
                <w:rFonts w:ascii="Cambria" w:eastAsia="Times New Roman" w:hAnsi="Cambria" w:cs="Times New Roman"/>
                <w:color w:val="000000"/>
                <w:sz w:val="20"/>
                <w:szCs w:val="20"/>
              </w:rPr>
            </w:pPr>
            <w:r w:rsidRPr="00264F2B">
              <w:rPr>
                <w:rFonts w:ascii="Cambria" w:eastAsia="Times New Roman" w:hAnsi="Cambria" w:cs="Times New Roman"/>
                <w:color w:val="000000"/>
                <w:sz w:val="20"/>
                <w:szCs w:val="20"/>
              </w:rPr>
              <w:t>Imereti; Racha-Lechkhumi; Kvemo Svaneti</w:t>
            </w:r>
          </w:p>
        </w:tc>
        <w:tc>
          <w:tcPr>
            <w:tcW w:w="628" w:type="dxa"/>
            <w:tcBorders>
              <w:top w:val="nil"/>
              <w:left w:val="nil"/>
              <w:bottom w:val="nil"/>
              <w:right w:val="nil"/>
            </w:tcBorders>
            <w:shd w:val="clear" w:color="auto" w:fill="auto"/>
            <w:noWrap/>
            <w:vAlign w:val="bottom"/>
            <w:hideMark/>
          </w:tcPr>
          <w:p w14:paraId="3816F3C9" w14:textId="77777777" w:rsidR="00264F2B" w:rsidRPr="00264F2B" w:rsidRDefault="00264F2B" w:rsidP="00264F2B">
            <w:pPr>
              <w:spacing w:after="0"/>
              <w:jc w:val="center"/>
              <w:rPr>
                <w:rFonts w:ascii="Cambria" w:eastAsia="Times New Roman" w:hAnsi="Cambria" w:cs="Times New Roman"/>
                <w:color w:val="000000"/>
                <w:sz w:val="20"/>
                <w:szCs w:val="20"/>
              </w:rPr>
            </w:pPr>
            <w:r w:rsidRPr="00264F2B">
              <w:rPr>
                <w:rFonts w:ascii="Cambria" w:eastAsia="Times New Roman" w:hAnsi="Cambria" w:cs="Times New Roman"/>
                <w:color w:val="000000"/>
                <w:sz w:val="20"/>
                <w:szCs w:val="20"/>
              </w:rPr>
              <w:t>18.3</w:t>
            </w:r>
          </w:p>
        </w:tc>
        <w:tc>
          <w:tcPr>
            <w:tcW w:w="628" w:type="dxa"/>
            <w:tcBorders>
              <w:top w:val="nil"/>
              <w:left w:val="nil"/>
              <w:bottom w:val="nil"/>
              <w:right w:val="nil"/>
            </w:tcBorders>
            <w:shd w:val="clear" w:color="auto" w:fill="auto"/>
            <w:noWrap/>
            <w:vAlign w:val="bottom"/>
            <w:hideMark/>
          </w:tcPr>
          <w:p w14:paraId="639339DD" w14:textId="77777777" w:rsidR="00264F2B" w:rsidRPr="00264F2B" w:rsidRDefault="00264F2B" w:rsidP="00264F2B">
            <w:pPr>
              <w:spacing w:after="0"/>
              <w:jc w:val="center"/>
              <w:rPr>
                <w:rFonts w:ascii="Cambria" w:eastAsia="Times New Roman" w:hAnsi="Cambria" w:cs="Times New Roman"/>
                <w:color w:val="000000"/>
                <w:sz w:val="20"/>
                <w:szCs w:val="20"/>
              </w:rPr>
            </w:pPr>
            <w:r w:rsidRPr="00264F2B">
              <w:rPr>
                <w:rFonts w:ascii="Cambria" w:eastAsia="Times New Roman" w:hAnsi="Cambria" w:cs="Times New Roman"/>
                <w:color w:val="000000"/>
                <w:sz w:val="20"/>
                <w:szCs w:val="20"/>
              </w:rPr>
              <w:t>8.5</w:t>
            </w:r>
          </w:p>
        </w:tc>
        <w:tc>
          <w:tcPr>
            <w:tcW w:w="1224" w:type="dxa"/>
            <w:tcBorders>
              <w:top w:val="nil"/>
              <w:left w:val="nil"/>
              <w:bottom w:val="nil"/>
              <w:right w:val="nil"/>
            </w:tcBorders>
            <w:shd w:val="clear" w:color="auto" w:fill="auto"/>
            <w:noWrap/>
            <w:vAlign w:val="bottom"/>
            <w:hideMark/>
          </w:tcPr>
          <w:p w14:paraId="221FB6F1" w14:textId="77777777" w:rsidR="00264F2B" w:rsidRPr="00264F2B" w:rsidRDefault="00264F2B" w:rsidP="00264F2B">
            <w:pPr>
              <w:spacing w:after="0"/>
              <w:jc w:val="center"/>
              <w:rPr>
                <w:rFonts w:ascii="Calibri" w:eastAsia="Times New Roman" w:hAnsi="Calibri" w:cs="Times New Roman"/>
                <w:color w:val="000000"/>
              </w:rPr>
            </w:pPr>
            <w:r w:rsidRPr="00264F2B">
              <w:rPr>
                <w:rFonts w:ascii="Calibri" w:eastAsia="Times New Roman" w:hAnsi="Calibri" w:cs="Times New Roman"/>
                <w:color w:val="000000"/>
              </w:rPr>
              <w:t>18.8</w:t>
            </w:r>
          </w:p>
        </w:tc>
        <w:tc>
          <w:tcPr>
            <w:tcW w:w="1580" w:type="dxa"/>
            <w:tcBorders>
              <w:top w:val="nil"/>
              <w:left w:val="nil"/>
              <w:bottom w:val="nil"/>
              <w:right w:val="nil"/>
            </w:tcBorders>
            <w:shd w:val="clear" w:color="auto" w:fill="auto"/>
            <w:noWrap/>
            <w:vAlign w:val="bottom"/>
            <w:hideMark/>
          </w:tcPr>
          <w:p w14:paraId="35BA055B" w14:textId="77777777" w:rsidR="00264F2B" w:rsidRPr="00264F2B" w:rsidRDefault="00264F2B" w:rsidP="00264F2B">
            <w:pPr>
              <w:spacing w:after="0"/>
              <w:jc w:val="center"/>
              <w:rPr>
                <w:rFonts w:ascii="Cambria" w:eastAsia="Times New Roman" w:hAnsi="Cambria" w:cs="Times New Roman"/>
                <w:color w:val="000000"/>
                <w:sz w:val="20"/>
                <w:szCs w:val="20"/>
              </w:rPr>
            </w:pPr>
            <w:r w:rsidRPr="00264F2B">
              <w:rPr>
                <w:rFonts w:ascii="Cambria" w:eastAsia="Times New Roman" w:hAnsi="Cambria" w:cs="Times New Roman"/>
                <w:color w:val="000000"/>
                <w:sz w:val="20"/>
                <w:szCs w:val="20"/>
              </w:rPr>
              <w:t>9.9</w:t>
            </w:r>
          </w:p>
        </w:tc>
        <w:tc>
          <w:tcPr>
            <w:tcW w:w="639" w:type="dxa"/>
            <w:tcBorders>
              <w:top w:val="nil"/>
              <w:left w:val="nil"/>
              <w:bottom w:val="nil"/>
              <w:right w:val="nil"/>
            </w:tcBorders>
            <w:shd w:val="clear" w:color="auto" w:fill="auto"/>
            <w:noWrap/>
            <w:vAlign w:val="bottom"/>
            <w:hideMark/>
          </w:tcPr>
          <w:p w14:paraId="3C6C4AAD" w14:textId="77777777" w:rsidR="00264F2B" w:rsidRPr="00264F2B" w:rsidRDefault="00264F2B" w:rsidP="00264F2B">
            <w:pPr>
              <w:spacing w:after="0"/>
              <w:jc w:val="center"/>
              <w:rPr>
                <w:rFonts w:ascii="Cambria" w:eastAsia="Times New Roman" w:hAnsi="Cambria" w:cs="Times New Roman"/>
                <w:color w:val="000000"/>
                <w:sz w:val="20"/>
                <w:szCs w:val="20"/>
              </w:rPr>
            </w:pPr>
            <w:r w:rsidRPr="00264F2B">
              <w:rPr>
                <w:rFonts w:ascii="Cambria" w:eastAsia="Times New Roman" w:hAnsi="Cambria" w:cs="Times New Roman"/>
                <w:color w:val="000000"/>
                <w:sz w:val="20"/>
                <w:szCs w:val="20"/>
              </w:rPr>
              <w:t>18.3</w:t>
            </w:r>
          </w:p>
        </w:tc>
        <w:tc>
          <w:tcPr>
            <w:tcW w:w="638" w:type="dxa"/>
            <w:tcBorders>
              <w:top w:val="nil"/>
              <w:left w:val="nil"/>
              <w:bottom w:val="nil"/>
              <w:right w:val="nil"/>
            </w:tcBorders>
            <w:shd w:val="clear" w:color="auto" w:fill="auto"/>
            <w:noWrap/>
            <w:vAlign w:val="bottom"/>
            <w:hideMark/>
          </w:tcPr>
          <w:p w14:paraId="2179A7CA" w14:textId="77777777" w:rsidR="00264F2B" w:rsidRPr="00264F2B" w:rsidRDefault="00264F2B" w:rsidP="00264F2B">
            <w:pPr>
              <w:spacing w:after="0"/>
              <w:jc w:val="center"/>
              <w:rPr>
                <w:rFonts w:ascii="Cambria" w:eastAsia="Times New Roman" w:hAnsi="Cambria" w:cs="Times New Roman"/>
                <w:color w:val="000000"/>
                <w:sz w:val="20"/>
                <w:szCs w:val="20"/>
              </w:rPr>
            </w:pPr>
            <w:r w:rsidRPr="00264F2B">
              <w:rPr>
                <w:rFonts w:ascii="Cambria" w:eastAsia="Times New Roman" w:hAnsi="Cambria" w:cs="Times New Roman"/>
                <w:color w:val="000000"/>
                <w:sz w:val="20"/>
                <w:szCs w:val="20"/>
              </w:rPr>
              <w:t>12.4</w:t>
            </w:r>
          </w:p>
        </w:tc>
        <w:tc>
          <w:tcPr>
            <w:tcW w:w="1243" w:type="dxa"/>
            <w:tcBorders>
              <w:top w:val="nil"/>
              <w:left w:val="nil"/>
              <w:bottom w:val="nil"/>
              <w:right w:val="nil"/>
            </w:tcBorders>
            <w:shd w:val="clear" w:color="auto" w:fill="auto"/>
            <w:noWrap/>
            <w:vAlign w:val="bottom"/>
            <w:hideMark/>
          </w:tcPr>
          <w:p w14:paraId="5326BB29" w14:textId="77777777" w:rsidR="00264F2B" w:rsidRPr="00264F2B" w:rsidRDefault="00264F2B" w:rsidP="00264F2B">
            <w:pPr>
              <w:spacing w:after="0"/>
              <w:jc w:val="center"/>
              <w:rPr>
                <w:rFonts w:ascii="Cambria" w:eastAsia="Times New Roman" w:hAnsi="Cambria" w:cs="Times New Roman"/>
                <w:color w:val="000000"/>
                <w:sz w:val="20"/>
                <w:szCs w:val="20"/>
              </w:rPr>
            </w:pPr>
            <w:r w:rsidRPr="00264F2B">
              <w:rPr>
                <w:rFonts w:ascii="Cambria" w:eastAsia="Times New Roman" w:hAnsi="Cambria" w:cs="Times New Roman"/>
                <w:color w:val="000000"/>
                <w:sz w:val="20"/>
                <w:szCs w:val="20"/>
              </w:rPr>
              <w:t>18.6</w:t>
            </w:r>
          </w:p>
        </w:tc>
      </w:tr>
      <w:tr w:rsidR="00264F2B" w:rsidRPr="00264F2B" w14:paraId="530D34B9" w14:textId="77777777" w:rsidTr="00264F2B">
        <w:trPr>
          <w:trHeight w:val="300"/>
        </w:trPr>
        <w:tc>
          <w:tcPr>
            <w:tcW w:w="3663" w:type="dxa"/>
            <w:tcBorders>
              <w:top w:val="nil"/>
              <w:left w:val="nil"/>
              <w:bottom w:val="nil"/>
              <w:right w:val="nil"/>
            </w:tcBorders>
            <w:shd w:val="clear" w:color="auto" w:fill="auto"/>
            <w:noWrap/>
            <w:vAlign w:val="bottom"/>
            <w:hideMark/>
          </w:tcPr>
          <w:p w14:paraId="2AD3449B" w14:textId="77777777" w:rsidR="00264F2B" w:rsidRPr="00264F2B" w:rsidRDefault="00264F2B" w:rsidP="00264F2B">
            <w:pPr>
              <w:spacing w:after="0"/>
              <w:jc w:val="left"/>
              <w:rPr>
                <w:rFonts w:ascii="Cambria" w:eastAsia="Times New Roman" w:hAnsi="Cambria" w:cs="Times New Roman"/>
                <w:color w:val="000000"/>
                <w:sz w:val="20"/>
                <w:szCs w:val="20"/>
              </w:rPr>
            </w:pPr>
            <w:r w:rsidRPr="00264F2B">
              <w:rPr>
                <w:rFonts w:ascii="Cambria" w:eastAsia="Times New Roman" w:hAnsi="Cambria" w:cs="Times New Roman"/>
                <w:color w:val="000000"/>
                <w:sz w:val="20"/>
                <w:szCs w:val="20"/>
              </w:rPr>
              <w:t>Mtskheta-Mtianeti</w:t>
            </w:r>
          </w:p>
        </w:tc>
        <w:tc>
          <w:tcPr>
            <w:tcW w:w="628" w:type="dxa"/>
            <w:tcBorders>
              <w:top w:val="nil"/>
              <w:left w:val="nil"/>
              <w:bottom w:val="nil"/>
              <w:right w:val="nil"/>
            </w:tcBorders>
            <w:shd w:val="clear" w:color="auto" w:fill="auto"/>
            <w:noWrap/>
            <w:vAlign w:val="bottom"/>
            <w:hideMark/>
          </w:tcPr>
          <w:p w14:paraId="05FBBDF6" w14:textId="77777777" w:rsidR="00264F2B" w:rsidRPr="00264F2B" w:rsidRDefault="00264F2B" w:rsidP="00264F2B">
            <w:pPr>
              <w:spacing w:after="0"/>
              <w:jc w:val="center"/>
              <w:rPr>
                <w:rFonts w:ascii="Cambria" w:eastAsia="Times New Roman" w:hAnsi="Cambria" w:cs="Times New Roman"/>
                <w:color w:val="000000"/>
                <w:sz w:val="20"/>
                <w:szCs w:val="20"/>
              </w:rPr>
            </w:pPr>
            <w:r w:rsidRPr="00264F2B">
              <w:rPr>
                <w:rFonts w:ascii="Cambria" w:eastAsia="Times New Roman" w:hAnsi="Cambria" w:cs="Times New Roman"/>
                <w:color w:val="000000"/>
                <w:sz w:val="20"/>
                <w:szCs w:val="20"/>
              </w:rPr>
              <w:t>2.2</w:t>
            </w:r>
          </w:p>
        </w:tc>
        <w:tc>
          <w:tcPr>
            <w:tcW w:w="628" w:type="dxa"/>
            <w:tcBorders>
              <w:top w:val="nil"/>
              <w:left w:val="nil"/>
              <w:bottom w:val="nil"/>
              <w:right w:val="nil"/>
            </w:tcBorders>
            <w:shd w:val="clear" w:color="auto" w:fill="auto"/>
            <w:noWrap/>
            <w:vAlign w:val="bottom"/>
            <w:hideMark/>
          </w:tcPr>
          <w:p w14:paraId="25B33D11" w14:textId="77777777" w:rsidR="00264F2B" w:rsidRPr="00264F2B" w:rsidRDefault="00264F2B" w:rsidP="00264F2B">
            <w:pPr>
              <w:spacing w:after="0"/>
              <w:jc w:val="center"/>
              <w:rPr>
                <w:rFonts w:ascii="Cambria" w:eastAsia="Times New Roman" w:hAnsi="Cambria" w:cs="Times New Roman"/>
                <w:color w:val="000000"/>
                <w:sz w:val="20"/>
                <w:szCs w:val="20"/>
              </w:rPr>
            </w:pPr>
            <w:r w:rsidRPr="00264F2B">
              <w:rPr>
                <w:rFonts w:ascii="Cambria" w:eastAsia="Times New Roman" w:hAnsi="Cambria" w:cs="Times New Roman"/>
                <w:color w:val="000000"/>
                <w:sz w:val="20"/>
                <w:szCs w:val="20"/>
              </w:rPr>
              <w:t>4.3</w:t>
            </w:r>
          </w:p>
        </w:tc>
        <w:tc>
          <w:tcPr>
            <w:tcW w:w="1224" w:type="dxa"/>
            <w:tcBorders>
              <w:top w:val="nil"/>
              <w:left w:val="nil"/>
              <w:bottom w:val="nil"/>
              <w:right w:val="nil"/>
            </w:tcBorders>
            <w:shd w:val="clear" w:color="auto" w:fill="auto"/>
            <w:noWrap/>
            <w:vAlign w:val="bottom"/>
            <w:hideMark/>
          </w:tcPr>
          <w:p w14:paraId="683A7F94" w14:textId="77777777" w:rsidR="00264F2B" w:rsidRPr="00264F2B" w:rsidRDefault="00264F2B" w:rsidP="00264F2B">
            <w:pPr>
              <w:spacing w:after="0"/>
              <w:jc w:val="center"/>
              <w:rPr>
                <w:rFonts w:ascii="Calibri" w:eastAsia="Times New Roman" w:hAnsi="Calibri" w:cs="Times New Roman"/>
                <w:color w:val="000000"/>
              </w:rPr>
            </w:pPr>
            <w:r w:rsidRPr="00264F2B">
              <w:rPr>
                <w:rFonts w:ascii="Calibri" w:eastAsia="Times New Roman" w:hAnsi="Calibri" w:cs="Times New Roman"/>
                <w:color w:val="000000"/>
              </w:rPr>
              <w:t>2.1</w:t>
            </w:r>
          </w:p>
        </w:tc>
        <w:tc>
          <w:tcPr>
            <w:tcW w:w="1580" w:type="dxa"/>
            <w:tcBorders>
              <w:top w:val="nil"/>
              <w:left w:val="nil"/>
              <w:bottom w:val="nil"/>
              <w:right w:val="nil"/>
            </w:tcBorders>
            <w:shd w:val="clear" w:color="auto" w:fill="auto"/>
            <w:noWrap/>
            <w:vAlign w:val="bottom"/>
            <w:hideMark/>
          </w:tcPr>
          <w:p w14:paraId="273D38C5" w14:textId="77777777" w:rsidR="00264F2B" w:rsidRPr="00264F2B" w:rsidRDefault="00264F2B" w:rsidP="00264F2B">
            <w:pPr>
              <w:spacing w:after="0"/>
              <w:jc w:val="center"/>
              <w:rPr>
                <w:rFonts w:ascii="Cambria" w:eastAsia="Times New Roman" w:hAnsi="Cambria" w:cs="Times New Roman"/>
                <w:color w:val="000000"/>
                <w:sz w:val="20"/>
                <w:szCs w:val="20"/>
              </w:rPr>
            </w:pPr>
            <w:r w:rsidRPr="00264F2B">
              <w:rPr>
                <w:rFonts w:ascii="Cambria" w:eastAsia="Times New Roman" w:hAnsi="Cambria" w:cs="Times New Roman"/>
                <w:color w:val="000000"/>
                <w:sz w:val="20"/>
                <w:szCs w:val="20"/>
              </w:rPr>
              <w:t>4.3</w:t>
            </w:r>
          </w:p>
        </w:tc>
        <w:tc>
          <w:tcPr>
            <w:tcW w:w="639" w:type="dxa"/>
            <w:tcBorders>
              <w:top w:val="nil"/>
              <w:left w:val="nil"/>
              <w:bottom w:val="nil"/>
              <w:right w:val="nil"/>
            </w:tcBorders>
            <w:shd w:val="clear" w:color="auto" w:fill="auto"/>
            <w:noWrap/>
            <w:vAlign w:val="bottom"/>
            <w:hideMark/>
          </w:tcPr>
          <w:p w14:paraId="72B79589" w14:textId="77777777" w:rsidR="00264F2B" w:rsidRPr="00264F2B" w:rsidRDefault="00264F2B" w:rsidP="00264F2B">
            <w:pPr>
              <w:spacing w:after="0"/>
              <w:jc w:val="center"/>
              <w:rPr>
                <w:rFonts w:ascii="Cambria" w:eastAsia="Times New Roman" w:hAnsi="Cambria" w:cs="Times New Roman"/>
                <w:color w:val="000000"/>
                <w:sz w:val="20"/>
                <w:szCs w:val="20"/>
              </w:rPr>
            </w:pPr>
            <w:r w:rsidRPr="00264F2B">
              <w:rPr>
                <w:rFonts w:ascii="Cambria" w:eastAsia="Times New Roman" w:hAnsi="Cambria" w:cs="Times New Roman"/>
                <w:color w:val="000000"/>
                <w:sz w:val="20"/>
                <w:szCs w:val="20"/>
              </w:rPr>
              <w:t>2.3</w:t>
            </w:r>
          </w:p>
        </w:tc>
        <w:tc>
          <w:tcPr>
            <w:tcW w:w="638" w:type="dxa"/>
            <w:tcBorders>
              <w:top w:val="nil"/>
              <w:left w:val="nil"/>
              <w:bottom w:val="nil"/>
              <w:right w:val="nil"/>
            </w:tcBorders>
            <w:shd w:val="clear" w:color="auto" w:fill="auto"/>
            <w:noWrap/>
            <w:vAlign w:val="bottom"/>
            <w:hideMark/>
          </w:tcPr>
          <w:p w14:paraId="07F09CEA" w14:textId="77777777" w:rsidR="00264F2B" w:rsidRPr="00264F2B" w:rsidRDefault="00264F2B" w:rsidP="00264F2B">
            <w:pPr>
              <w:spacing w:after="0"/>
              <w:jc w:val="center"/>
              <w:rPr>
                <w:rFonts w:ascii="Cambria" w:eastAsia="Times New Roman" w:hAnsi="Cambria" w:cs="Times New Roman"/>
                <w:color w:val="000000"/>
                <w:sz w:val="20"/>
                <w:szCs w:val="20"/>
              </w:rPr>
            </w:pPr>
            <w:r w:rsidRPr="00264F2B">
              <w:rPr>
                <w:rFonts w:ascii="Cambria" w:eastAsia="Times New Roman" w:hAnsi="Cambria" w:cs="Times New Roman"/>
                <w:color w:val="000000"/>
                <w:sz w:val="20"/>
                <w:szCs w:val="20"/>
              </w:rPr>
              <w:t>3.7</w:t>
            </w:r>
          </w:p>
        </w:tc>
        <w:tc>
          <w:tcPr>
            <w:tcW w:w="1243" w:type="dxa"/>
            <w:tcBorders>
              <w:top w:val="nil"/>
              <w:left w:val="nil"/>
              <w:bottom w:val="nil"/>
              <w:right w:val="nil"/>
            </w:tcBorders>
            <w:shd w:val="clear" w:color="auto" w:fill="auto"/>
            <w:noWrap/>
            <w:vAlign w:val="bottom"/>
            <w:hideMark/>
          </w:tcPr>
          <w:p w14:paraId="34C05F1A" w14:textId="77777777" w:rsidR="00264F2B" w:rsidRPr="00264F2B" w:rsidRDefault="00264F2B" w:rsidP="00264F2B">
            <w:pPr>
              <w:spacing w:after="0"/>
              <w:jc w:val="center"/>
              <w:rPr>
                <w:rFonts w:ascii="Cambria" w:eastAsia="Times New Roman" w:hAnsi="Cambria" w:cs="Times New Roman"/>
                <w:color w:val="000000"/>
                <w:sz w:val="20"/>
                <w:szCs w:val="20"/>
              </w:rPr>
            </w:pPr>
            <w:r w:rsidRPr="00264F2B">
              <w:rPr>
                <w:rFonts w:ascii="Cambria" w:eastAsia="Times New Roman" w:hAnsi="Cambria" w:cs="Times New Roman"/>
                <w:color w:val="000000"/>
                <w:sz w:val="20"/>
                <w:szCs w:val="20"/>
              </w:rPr>
              <w:t>2.2</w:t>
            </w:r>
          </w:p>
        </w:tc>
      </w:tr>
      <w:tr w:rsidR="00264F2B" w:rsidRPr="00264F2B" w14:paraId="3EDB9EFB" w14:textId="77777777" w:rsidTr="00264F2B">
        <w:trPr>
          <w:trHeight w:val="300"/>
        </w:trPr>
        <w:tc>
          <w:tcPr>
            <w:tcW w:w="10243" w:type="dxa"/>
            <w:gridSpan w:val="8"/>
            <w:tcBorders>
              <w:top w:val="nil"/>
              <w:left w:val="nil"/>
              <w:bottom w:val="nil"/>
              <w:right w:val="nil"/>
            </w:tcBorders>
            <w:shd w:val="clear" w:color="auto" w:fill="auto"/>
            <w:noWrap/>
            <w:vAlign w:val="bottom"/>
            <w:hideMark/>
          </w:tcPr>
          <w:p w14:paraId="3CAC739A" w14:textId="77777777" w:rsidR="00264F2B" w:rsidRPr="00264F2B" w:rsidRDefault="00264F2B" w:rsidP="00264F2B">
            <w:pPr>
              <w:spacing w:after="0"/>
              <w:jc w:val="left"/>
              <w:rPr>
                <w:rFonts w:ascii="Cambria" w:eastAsia="Times New Roman" w:hAnsi="Cambria" w:cs="Times New Roman"/>
                <w:b/>
                <w:bCs/>
                <w:color w:val="000000"/>
                <w:sz w:val="20"/>
                <w:szCs w:val="20"/>
              </w:rPr>
            </w:pPr>
            <w:r w:rsidRPr="00264F2B">
              <w:rPr>
                <w:rFonts w:ascii="Cambria" w:eastAsia="Times New Roman" w:hAnsi="Cambria" w:cs="Times New Roman"/>
                <w:b/>
                <w:bCs/>
                <w:color w:val="000000"/>
                <w:sz w:val="20"/>
                <w:szCs w:val="20"/>
              </w:rPr>
              <w:t>Area of residence</w:t>
            </w:r>
          </w:p>
        </w:tc>
      </w:tr>
      <w:tr w:rsidR="00264F2B" w:rsidRPr="00264F2B" w14:paraId="2C469B7B" w14:textId="77777777" w:rsidTr="00264F2B">
        <w:trPr>
          <w:trHeight w:val="300"/>
        </w:trPr>
        <w:tc>
          <w:tcPr>
            <w:tcW w:w="3663" w:type="dxa"/>
            <w:tcBorders>
              <w:top w:val="nil"/>
              <w:left w:val="nil"/>
              <w:bottom w:val="nil"/>
              <w:right w:val="nil"/>
            </w:tcBorders>
            <w:shd w:val="clear" w:color="auto" w:fill="auto"/>
            <w:noWrap/>
            <w:vAlign w:val="bottom"/>
            <w:hideMark/>
          </w:tcPr>
          <w:p w14:paraId="0A6EDA54" w14:textId="77777777" w:rsidR="00264F2B" w:rsidRPr="00264F2B" w:rsidRDefault="00264F2B" w:rsidP="00264F2B">
            <w:pPr>
              <w:spacing w:after="0"/>
              <w:jc w:val="left"/>
              <w:rPr>
                <w:rFonts w:ascii="Cambria" w:eastAsia="Times New Roman" w:hAnsi="Cambria" w:cs="Times New Roman"/>
                <w:color w:val="000000"/>
                <w:sz w:val="20"/>
                <w:szCs w:val="20"/>
              </w:rPr>
            </w:pPr>
            <w:r w:rsidRPr="00264F2B">
              <w:rPr>
                <w:rFonts w:ascii="Cambria" w:eastAsia="Times New Roman" w:hAnsi="Cambria" w:cs="Times New Roman"/>
                <w:color w:val="000000"/>
                <w:sz w:val="20"/>
                <w:szCs w:val="20"/>
              </w:rPr>
              <w:t>Tbilisi</w:t>
            </w:r>
          </w:p>
        </w:tc>
        <w:tc>
          <w:tcPr>
            <w:tcW w:w="628" w:type="dxa"/>
            <w:tcBorders>
              <w:top w:val="nil"/>
              <w:left w:val="nil"/>
              <w:bottom w:val="nil"/>
              <w:right w:val="nil"/>
            </w:tcBorders>
            <w:shd w:val="clear" w:color="auto" w:fill="auto"/>
            <w:noWrap/>
            <w:vAlign w:val="bottom"/>
            <w:hideMark/>
          </w:tcPr>
          <w:p w14:paraId="59BA8582" w14:textId="77777777" w:rsidR="00264F2B" w:rsidRPr="00264F2B" w:rsidRDefault="00264F2B" w:rsidP="00264F2B">
            <w:pPr>
              <w:spacing w:after="0"/>
              <w:jc w:val="center"/>
              <w:rPr>
                <w:rFonts w:ascii="Cambria" w:eastAsia="Times New Roman" w:hAnsi="Cambria" w:cs="Times New Roman"/>
                <w:color w:val="000000"/>
                <w:sz w:val="20"/>
                <w:szCs w:val="20"/>
              </w:rPr>
            </w:pPr>
            <w:r w:rsidRPr="00264F2B">
              <w:rPr>
                <w:rFonts w:ascii="Cambria" w:eastAsia="Times New Roman" w:hAnsi="Cambria" w:cs="Times New Roman"/>
                <w:color w:val="000000"/>
                <w:sz w:val="20"/>
                <w:szCs w:val="20"/>
              </w:rPr>
              <w:t>25.8</w:t>
            </w:r>
          </w:p>
        </w:tc>
        <w:tc>
          <w:tcPr>
            <w:tcW w:w="628" w:type="dxa"/>
            <w:tcBorders>
              <w:top w:val="nil"/>
              <w:left w:val="nil"/>
              <w:bottom w:val="nil"/>
              <w:right w:val="nil"/>
            </w:tcBorders>
            <w:shd w:val="clear" w:color="auto" w:fill="auto"/>
            <w:noWrap/>
            <w:vAlign w:val="bottom"/>
            <w:hideMark/>
          </w:tcPr>
          <w:p w14:paraId="63A0A085" w14:textId="77777777" w:rsidR="00264F2B" w:rsidRPr="00264F2B" w:rsidRDefault="00264F2B" w:rsidP="00264F2B">
            <w:pPr>
              <w:spacing w:after="0"/>
              <w:jc w:val="center"/>
              <w:rPr>
                <w:rFonts w:ascii="Cambria" w:eastAsia="Times New Roman" w:hAnsi="Cambria" w:cs="Times New Roman"/>
                <w:color w:val="000000"/>
                <w:sz w:val="20"/>
                <w:szCs w:val="20"/>
              </w:rPr>
            </w:pPr>
            <w:r w:rsidRPr="00264F2B">
              <w:rPr>
                <w:rFonts w:ascii="Cambria" w:eastAsia="Times New Roman" w:hAnsi="Cambria" w:cs="Times New Roman"/>
                <w:color w:val="000000"/>
                <w:sz w:val="20"/>
                <w:szCs w:val="20"/>
              </w:rPr>
              <w:t>44.1</w:t>
            </w:r>
          </w:p>
        </w:tc>
        <w:tc>
          <w:tcPr>
            <w:tcW w:w="1224" w:type="dxa"/>
            <w:tcBorders>
              <w:top w:val="nil"/>
              <w:left w:val="nil"/>
              <w:bottom w:val="nil"/>
              <w:right w:val="nil"/>
            </w:tcBorders>
            <w:shd w:val="clear" w:color="auto" w:fill="auto"/>
            <w:noWrap/>
            <w:vAlign w:val="bottom"/>
            <w:hideMark/>
          </w:tcPr>
          <w:p w14:paraId="243AF56B" w14:textId="77777777" w:rsidR="00264F2B" w:rsidRPr="00264F2B" w:rsidRDefault="00264F2B" w:rsidP="00264F2B">
            <w:pPr>
              <w:spacing w:after="0"/>
              <w:jc w:val="center"/>
              <w:rPr>
                <w:rFonts w:ascii="Calibri" w:eastAsia="Times New Roman" w:hAnsi="Calibri" w:cs="Times New Roman"/>
                <w:color w:val="000000"/>
              </w:rPr>
            </w:pPr>
            <w:r w:rsidRPr="00264F2B">
              <w:rPr>
                <w:rFonts w:ascii="Calibri" w:eastAsia="Times New Roman" w:hAnsi="Calibri" w:cs="Times New Roman"/>
                <w:color w:val="000000"/>
              </w:rPr>
              <w:t>25.1</w:t>
            </w:r>
          </w:p>
        </w:tc>
        <w:tc>
          <w:tcPr>
            <w:tcW w:w="1580" w:type="dxa"/>
            <w:tcBorders>
              <w:top w:val="nil"/>
              <w:left w:val="nil"/>
              <w:bottom w:val="nil"/>
              <w:right w:val="nil"/>
            </w:tcBorders>
            <w:shd w:val="clear" w:color="auto" w:fill="auto"/>
            <w:noWrap/>
            <w:vAlign w:val="bottom"/>
            <w:hideMark/>
          </w:tcPr>
          <w:p w14:paraId="04E5E151" w14:textId="77777777" w:rsidR="00264F2B" w:rsidRPr="00264F2B" w:rsidRDefault="00264F2B" w:rsidP="00264F2B">
            <w:pPr>
              <w:spacing w:after="0"/>
              <w:jc w:val="center"/>
              <w:rPr>
                <w:rFonts w:ascii="Cambria" w:eastAsia="Times New Roman" w:hAnsi="Cambria" w:cs="Times New Roman"/>
                <w:color w:val="000000"/>
                <w:sz w:val="20"/>
                <w:szCs w:val="20"/>
              </w:rPr>
            </w:pPr>
            <w:r w:rsidRPr="00264F2B">
              <w:rPr>
                <w:rFonts w:ascii="Cambria" w:eastAsia="Times New Roman" w:hAnsi="Cambria" w:cs="Times New Roman"/>
                <w:color w:val="000000"/>
                <w:sz w:val="20"/>
                <w:szCs w:val="20"/>
              </w:rPr>
              <w:t>37.9</w:t>
            </w:r>
          </w:p>
        </w:tc>
        <w:tc>
          <w:tcPr>
            <w:tcW w:w="639" w:type="dxa"/>
            <w:tcBorders>
              <w:top w:val="nil"/>
              <w:left w:val="nil"/>
              <w:bottom w:val="nil"/>
              <w:right w:val="nil"/>
            </w:tcBorders>
            <w:shd w:val="clear" w:color="auto" w:fill="auto"/>
            <w:noWrap/>
            <w:vAlign w:val="bottom"/>
            <w:hideMark/>
          </w:tcPr>
          <w:p w14:paraId="020192EE" w14:textId="77777777" w:rsidR="00264F2B" w:rsidRPr="00264F2B" w:rsidRDefault="00264F2B" w:rsidP="00264F2B">
            <w:pPr>
              <w:spacing w:after="0"/>
              <w:jc w:val="center"/>
              <w:rPr>
                <w:rFonts w:ascii="Cambria" w:eastAsia="Times New Roman" w:hAnsi="Cambria" w:cs="Times New Roman"/>
                <w:color w:val="000000"/>
                <w:sz w:val="20"/>
                <w:szCs w:val="20"/>
              </w:rPr>
            </w:pPr>
            <w:r w:rsidRPr="00264F2B">
              <w:rPr>
                <w:rFonts w:ascii="Cambria" w:eastAsia="Times New Roman" w:hAnsi="Cambria" w:cs="Times New Roman"/>
                <w:color w:val="000000"/>
                <w:sz w:val="20"/>
                <w:szCs w:val="20"/>
              </w:rPr>
              <w:t>26.1</w:t>
            </w:r>
          </w:p>
        </w:tc>
        <w:tc>
          <w:tcPr>
            <w:tcW w:w="638" w:type="dxa"/>
            <w:tcBorders>
              <w:top w:val="nil"/>
              <w:left w:val="nil"/>
              <w:bottom w:val="nil"/>
              <w:right w:val="nil"/>
            </w:tcBorders>
            <w:shd w:val="clear" w:color="auto" w:fill="auto"/>
            <w:noWrap/>
            <w:vAlign w:val="bottom"/>
            <w:hideMark/>
          </w:tcPr>
          <w:p w14:paraId="116E7846" w14:textId="77777777" w:rsidR="00264F2B" w:rsidRPr="00264F2B" w:rsidRDefault="00264F2B" w:rsidP="00264F2B">
            <w:pPr>
              <w:spacing w:after="0"/>
              <w:jc w:val="center"/>
              <w:rPr>
                <w:rFonts w:ascii="Cambria" w:eastAsia="Times New Roman" w:hAnsi="Cambria" w:cs="Times New Roman"/>
                <w:color w:val="000000"/>
                <w:sz w:val="20"/>
                <w:szCs w:val="20"/>
              </w:rPr>
            </w:pPr>
            <w:r w:rsidRPr="00264F2B">
              <w:rPr>
                <w:rFonts w:ascii="Cambria" w:eastAsia="Times New Roman" w:hAnsi="Cambria" w:cs="Times New Roman"/>
                <w:color w:val="000000"/>
                <w:sz w:val="20"/>
                <w:szCs w:val="20"/>
              </w:rPr>
              <w:t>44.4</w:t>
            </w:r>
          </w:p>
        </w:tc>
        <w:tc>
          <w:tcPr>
            <w:tcW w:w="1243" w:type="dxa"/>
            <w:tcBorders>
              <w:top w:val="nil"/>
              <w:left w:val="nil"/>
              <w:bottom w:val="nil"/>
              <w:right w:val="nil"/>
            </w:tcBorders>
            <w:shd w:val="clear" w:color="auto" w:fill="auto"/>
            <w:noWrap/>
            <w:vAlign w:val="bottom"/>
            <w:hideMark/>
          </w:tcPr>
          <w:p w14:paraId="5608D7AB" w14:textId="77777777" w:rsidR="00264F2B" w:rsidRPr="00264F2B" w:rsidRDefault="00264F2B" w:rsidP="00264F2B">
            <w:pPr>
              <w:spacing w:after="0"/>
              <w:jc w:val="center"/>
              <w:rPr>
                <w:rFonts w:ascii="Cambria" w:eastAsia="Times New Roman" w:hAnsi="Cambria" w:cs="Times New Roman"/>
                <w:color w:val="000000"/>
                <w:sz w:val="20"/>
                <w:szCs w:val="20"/>
              </w:rPr>
            </w:pPr>
            <w:r w:rsidRPr="00264F2B">
              <w:rPr>
                <w:rFonts w:ascii="Cambria" w:eastAsia="Times New Roman" w:hAnsi="Cambria" w:cs="Times New Roman"/>
                <w:color w:val="000000"/>
                <w:sz w:val="20"/>
                <w:szCs w:val="20"/>
              </w:rPr>
              <w:t>25.1</w:t>
            </w:r>
          </w:p>
        </w:tc>
      </w:tr>
      <w:tr w:rsidR="00264F2B" w:rsidRPr="00264F2B" w14:paraId="4BD77E91" w14:textId="77777777" w:rsidTr="00264F2B">
        <w:trPr>
          <w:trHeight w:val="300"/>
        </w:trPr>
        <w:tc>
          <w:tcPr>
            <w:tcW w:w="3663" w:type="dxa"/>
            <w:tcBorders>
              <w:top w:val="nil"/>
              <w:left w:val="nil"/>
              <w:bottom w:val="nil"/>
              <w:right w:val="nil"/>
            </w:tcBorders>
            <w:shd w:val="clear" w:color="auto" w:fill="auto"/>
            <w:noWrap/>
            <w:vAlign w:val="bottom"/>
            <w:hideMark/>
          </w:tcPr>
          <w:p w14:paraId="2BC787CA" w14:textId="77777777" w:rsidR="00264F2B" w:rsidRPr="00264F2B" w:rsidRDefault="00264F2B" w:rsidP="00264F2B">
            <w:pPr>
              <w:spacing w:after="0"/>
              <w:jc w:val="left"/>
              <w:rPr>
                <w:rFonts w:ascii="Cambria" w:eastAsia="Times New Roman" w:hAnsi="Cambria" w:cs="Times New Roman"/>
                <w:color w:val="000000"/>
                <w:sz w:val="20"/>
                <w:szCs w:val="20"/>
              </w:rPr>
            </w:pPr>
            <w:r w:rsidRPr="00264F2B">
              <w:rPr>
                <w:rFonts w:ascii="Cambria" w:eastAsia="Times New Roman" w:hAnsi="Cambria" w:cs="Times New Roman"/>
                <w:color w:val="000000"/>
                <w:sz w:val="20"/>
                <w:szCs w:val="20"/>
              </w:rPr>
              <w:t>Rest Urban</w:t>
            </w:r>
          </w:p>
        </w:tc>
        <w:tc>
          <w:tcPr>
            <w:tcW w:w="628" w:type="dxa"/>
            <w:tcBorders>
              <w:top w:val="nil"/>
              <w:left w:val="nil"/>
              <w:bottom w:val="nil"/>
              <w:right w:val="nil"/>
            </w:tcBorders>
            <w:shd w:val="clear" w:color="auto" w:fill="auto"/>
            <w:noWrap/>
            <w:vAlign w:val="bottom"/>
            <w:hideMark/>
          </w:tcPr>
          <w:p w14:paraId="20B11C83" w14:textId="77777777" w:rsidR="00264F2B" w:rsidRPr="00264F2B" w:rsidRDefault="00264F2B" w:rsidP="00264F2B">
            <w:pPr>
              <w:spacing w:after="0"/>
              <w:jc w:val="center"/>
              <w:rPr>
                <w:rFonts w:ascii="Cambria" w:eastAsia="Times New Roman" w:hAnsi="Cambria" w:cs="Times New Roman"/>
                <w:color w:val="000000"/>
                <w:sz w:val="20"/>
                <w:szCs w:val="20"/>
              </w:rPr>
            </w:pPr>
            <w:r w:rsidRPr="00264F2B">
              <w:rPr>
                <w:rFonts w:ascii="Cambria" w:eastAsia="Times New Roman" w:hAnsi="Cambria" w:cs="Times New Roman"/>
                <w:color w:val="000000"/>
                <w:sz w:val="20"/>
                <w:szCs w:val="20"/>
              </w:rPr>
              <w:t>23.2</w:t>
            </w:r>
          </w:p>
        </w:tc>
        <w:tc>
          <w:tcPr>
            <w:tcW w:w="628" w:type="dxa"/>
            <w:tcBorders>
              <w:top w:val="nil"/>
              <w:left w:val="nil"/>
              <w:bottom w:val="nil"/>
              <w:right w:val="nil"/>
            </w:tcBorders>
            <w:shd w:val="clear" w:color="auto" w:fill="auto"/>
            <w:noWrap/>
            <w:vAlign w:val="bottom"/>
            <w:hideMark/>
          </w:tcPr>
          <w:p w14:paraId="459F960C" w14:textId="77777777" w:rsidR="00264F2B" w:rsidRPr="00264F2B" w:rsidRDefault="00264F2B" w:rsidP="00264F2B">
            <w:pPr>
              <w:spacing w:after="0"/>
              <w:jc w:val="center"/>
              <w:rPr>
                <w:rFonts w:ascii="Cambria" w:eastAsia="Times New Roman" w:hAnsi="Cambria" w:cs="Times New Roman"/>
                <w:color w:val="000000"/>
                <w:sz w:val="20"/>
                <w:szCs w:val="20"/>
              </w:rPr>
            </w:pPr>
            <w:r w:rsidRPr="00264F2B">
              <w:rPr>
                <w:rFonts w:ascii="Cambria" w:eastAsia="Times New Roman" w:hAnsi="Cambria" w:cs="Times New Roman"/>
                <w:color w:val="000000"/>
                <w:sz w:val="20"/>
                <w:szCs w:val="20"/>
              </w:rPr>
              <w:t>31.2</w:t>
            </w:r>
          </w:p>
        </w:tc>
        <w:tc>
          <w:tcPr>
            <w:tcW w:w="1224" w:type="dxa"/>
            <w:tcBorders>
              <w:top w:val="nil"/>
              <w:left w:val="nil"/>
              <w:bottom w:val="nil"/>
              <w:right w:val="nil"/>
            </w:tcBorders>
            <w:shd w:val="clear" w:color="auto" w:fill="auto"/>
            <w:noWrap/>
            <w:vAlign w:val="bottom"/>
            <w:hideMark/>
          </w:tcPr>
          <w:p w14:paraId="164C16A4" w14:textId="77777777" w:rsidR="00264F2B" w:rsidRPr="00264F2B" w:rsidRDefault="00264F2B" w:rsidP="00264F2B">
            <w:pPr>
              <w:spacing w:after="0"/>
              <w:jc w:val="center"/>
              <w:rPr>
                <w:rFonts w:ascii="Calibri" w:eastAsia="Times New Roman" w:hAnsi="Calibri" w:cs="Times New Roman"/>
                <w:color w:val="000000"/>
              </w:rPr>
            </w:pPr>
            <w:r w:rsidRPr="00264F2B">
              <w:rPr>
                <w:rFonts w:ascii="Calibri" w:eastAsia="Times New Roman" w:hAnsi="Calibri" w:cs="Times New Roman"/>
                <w:color w:val="000000"/>
              </w:rPr>
              <w:t>23</w:t>
            </w:r>
          </w:p>
        </w:tc>
        <w:tc>
          <w:tcPr>
            <w:tcW w:w="1580" w:type="dxa"/>
            <w:tcBorders>
              <w:top w:val="nil"/>
              <w:left w:val="nil"/>
              <w:bottom w:val="nil"/>
              <w:right w:val="nil"/>
            </w:tcBorders>
            <w:shd w:val="clear" w:color="auto" w:fill="auto"/>
            <w:noWrap/>
            <w:vAlign w:val="bottom"/>
            <w:hideMark/>
          </w:tcPr>
          <w:p w14:paraId="000D419D" w14:textId="36DCD151" w:rsidR="00264F2B" w:rsidRPr="00264F2B" w:rsidRDefault="00264F2B" w:rsidP="00264F2B">
            <w:pPr>
              <w:spacing w:after="0"/>
              <w:jc w:val="center"/>
              <w:rPr>
                <w:rFonts w:ascii="Cambria" w:eastAsia="Times New Roman" w:hAnsi="Cambria" w:cs="Times New Roman"/>
                <w:color w:val="000000"/>
                <w:sz w:val="20"/>
                <w:szCs w:val="20"/>
              </w:rPr>
            </w:pPr>
          </w:p>
        </w:tc>
        <w:tc>
          <w:tcPr>
            <w:tcW w:w="639" w:type="dxa"/>
            <w:tcBorders>
              <w:top w:val="nil"/>
              <w:left w:val="nil"/>
              <w:bottom w:val="nil"/>
              <w:right w:val="nil"/>
            </w:tcBorders>
            <w:shd w:val="clear" w:color="auto" w:fill="auto"/>
            <w:noWrap/>
            <w:vAlign w:val="bottom"/>
            <w:hideMark/>
          </w:tcPr>
          <w:p w14:paraId="179AC1B6" w14:textId="77777777" w:rsidR="00264F2B" w:rsidRPr="00264F2B" w:rsidRDefault="00264F2B" w:rsidP="00264F2B">
            <w:pPr>
              <w:spacing w:after="0"/>
              <w:jc w:val="center"/>
              <w:rPr>
                <w:rFonts w:ascii="Cambria" w:eastAsia="Times New Roman" w:hAnsi="Cambria" w:cs="Times New Roman"/>
                <w:color w:val="000000"/>
                <w:sz w:val="20"/>
                <w:szCs w:val="20"/>
              </w:rPr>
            </w:pPr>
            <w:r w:rsidRPr="00264F2B">
              <w:rPr>
                <w:rFonts w:ascii="Cambria" w:eastAsia="Times New Roman" w:hAnsi="Cambria" w:cs="Times New Roman"/>
                <w:color w:val="000000"/>
                <w:sz w:val="20"/>
                <w:szCs w:val="20"/>
              </w:rPr>
              <w:t>23.1</w:t>
            </w:r>
          </w:p>
        </w:tc>
        <w:tc>
          <w:tcPr>
            <w:tcW w:w="638" w:type="dxa"/>
            <w:tcBorders>
              <w:top w:val="nil"/>
              <w:left w:val="nil"/>
              <w:bottom w:val="nil"/>
              <w:right w:val="nil"/>
            </w:tcBorders>
            <w:shd w:val="clear" w:color="auto" w:fill="auto"/>
            <w:noWrap/>
            <w:vAlign w:val="bottom"/>
            <w:hideMark/>
          </w:tcPr>
          <w:p w14:paraId="270613E6" w14:textId="77777777" w:rsidR="00264F2B" w:rsidRPr="00264F2B" w:rsidRDefault="00264F2B" w:rsidP="00264F2B">
            <w:pPr>
              <w:spacing w:after="0"/>
              <w:jc w:val="center"/>
              <w:rPr>
                <w:rFonts w:ascii="Cambria" w:eastAsia="Times New Roman" w:hAnsi="Cambria" w:cs="Times New Roman"/>
                <w:color w:val="000000"/>
                <w:sz w:val="20"/>
                <w:szCs w:val="20"/>
              </w:rPr>
            </w:pPr>
            <w:r w:rsidRPr="00264F2B">
              <w:rPr>
                <w:rFonts w:ascii="Cambria" w:eastAsia="Times New Roman" w:hAnsi="Cambria" w:cs="Times New Roman"/>
                <w:color w:val="000000"/>
                <w:sz w:val="20"/>
                <w:szCs w:val="20"/>
              </w:rPr>
              <w:t>38.4</w:t>
            </w:r>
          </w:p>
        </w:tc>
        <w:tc>
          <w:tcPr>
            <w:tcW w:w="1243" w:type="dxa"/>
            <w:tcBorders>
              <w:top w:val="nil"/>
              <w:left w:val="nil"/>
              <w:bottom w:val="nil"/>
              <w:right w:val="nil"/>
            </w:tcBorders>
            <w:shd w:val="clear" w:color="auto" w:fill="auto"/>
            <w:noWrap/>
            <w:vAlign w:val="bottom"/>
            <w:hideMark/>
          </w:tcPr>
          <w:p w14:paraId="2F362934" w14:textId="77777777" w:rsidR="00264F2B" w:rsidRPr="00264F2B" w:rsidRDefault="00264F2B" w:rsidP="00264F2B">
            <w:pPr>
              <w:spacing w:after="0"/>
              <w:jc w:val="center"/>
              <w:rPr>
                <w:rFonts w:ascii="Cambria" w:eastAsia="Times New Roman" w:hAnsi="Cambria" w:cs="Times New Roman"/>
                <w:color w:val="000000"/>
                <w:sz w:val="20"/>
                <w:szCs w:val="20"/>
              </w:rPr>
            </w:pPr>
            <w:r w:rsidRPr="00264F2B">
              <w:rPr>
                <w:rFonts w:ascii="Cambria" w:eastAsia="Times New Roman" w:hAnsi="Cambria" w:cs="Times New Roman"/>
                <w:color w:val="000000"/>
                <w:sz w:val="20"/>
                <w:szCs w:val="20"/>
              </w:rPr>
              <w:t>22.3</w:t>
            </w:r>
          </w:p>
        </w:tc>
      </w:tr>
      <w:tr w:rsidR="00264F2B" w:rsidRPr="00264F2B" w14:paraId="2B7E9A26" w14:textId="77777777" w:rsidTr="00264F2B">
        <w:trPr>
          <w:trHeight w:val="300"/>
        </w:trPr>
        <w:tc>
          <w:tcPr>
            <w:tcW w:w="3663" w:type="dxa"/>
            <w:tcBorders>
              <w:top w:val="nil"/>
              <w:left w:val="nil"/>
              <w:bottom w:val="nil"/>
              <w:right w:val="nil"/>
            </w:tcBorders>
            <w:shd w:val="clear" w:color="auto" w:fill="auto"/>
            <w:noWrap/>
            <w:vAlign w:val="bottom"/>
            <w:hideMark/>
          </w:tcPr>
          <w:p w14:paraId="251F4FE1" w14:textId="77777777" w:rsidR="00264F2B" w:rsidRPr="00264F2B" w:rsidRDefault="00264F2B" w:rsidP="00264F2B">
            <w:pPr>
              <w:spacing w:after="0"/>
              <w:jc w:val="left"/>
              <w:rPr>
                <w:rFonts w:ascii="Cambria" w:eastAsia="Times New Roman" w:hAnsi="Cambria" w:cs="Times New Roman"/>
                <w:color w:val="000000"/>
                <w:sz w:val="20"/>
                <w:szCs w:val="20"/>
              </w:rPr>
            </w:pPr>
            <w:r w:rsidRPr="00264F2B">
              <w:rPr>
                <w:rFonts w:ascii="Cambria" w:eastAsia="Times New Roman" w:hAnsi="Cambria" w:cs="Times New Roman"/>
                <w:color w:val="000000"/>
                <w:sz w:val="20"/>
                <w:szCs w:val="20"/>
              </w:rPr>
              <w:t>Rural</w:t>
            </w:r>
          </w:p>
        </w:tc>
        <w:tc>
          <w:tcPr>
            <w:tcW w:w="628" w:type="dxa"/>
            <w:tcBorders>
              <w:top w:val="nil"/>
              <w:left w:val="nil"/>
              <w:bottom w:val="nil"/>
              <w:right w:val="nil"/>
            </w:tcBorders>
            <w:shd w:val="clear" w:color="auto" w:fill="auto"/>
            <w:noWrap/>
            <w:vAlign w:val="bottom"/>
            <w:hideMark/>
          </w:tcPr>
          <w:p w14:paraId="3D481DFD" w14:textId="77777777" w:rsidR="00264F2B" w:rsidRPr="00264F2B" w:rsidRDefault="00264F2B" w:rsidP="00264F2B">
            <w:pPr>
              <w:spacing w:after="0"/>
              <w:jc w:val="center"/>
              <w:rPr>
                <w:rFonts w:ascii="Cambria" w:eastAsia="Times New Roman" w:hAnsi="Cambria" w:cs="Times New Roman"/>
                <w:color w:val="000000"/>
                <w:sz w:val="20"/>
                <w:szCs w:val="20"/>
              </w:rPr>
            </w:pPr>
            <w:r w:rsidRPr="00264F2B">
              <w:rPr>
                <w:rFonts w:ascii="Cambria" w:eastAsia="Times New Roman" w:hAnsi="Cambria" w:cs="Times New Roman"/>
                <w:color w:val="000000"/>
                <w:sz w:val="20"/>
                <w:szCs w:val="20"/>
              </w:rPr>
              <w:t>50.9</w:t>
            </w:r>
          </w:p>
        </w:tc>
        <w:tc>
          <w:tcPr>
            <w:tcW w:w="628" w:type="dxa"/>
            <w:tcBorders>
              <w:top w:val="nil"/>
              <w:left w:val="nil"/>
              <w:bottom w:val="nil"/>
              <w:right w:val="nil"/>
            </w:tcBorders>
            <w:shd w:val="clear" w:color="auto" w:fill="auto"/>
            <w:noWrap/>
            <w:vAlign w:val="bottom"/>
            <w:hideMark/>
          </w:tcPr>
          <w:p w14:paraId="12B3560B" w14:textId="77777777" w:rsidR="00264F2B" w:rsidRPr="00264F2B" w:rsidRDefault="00264F2B" w:rsidP="00264F2B">
            <w:pPr>
              <w:spacing w:after="0"/>
              <w:jc w:val="center"/>
              <w:rPr>
                <w:rFonts w:ascii="Cambria" w:eastAsia="Times New Roman" w:hAnsi="Cambria" w:cs="Times New Roman"/>
                <w:color w:val="000000"/>
                <w:sz w:val="20"/>
                <w:szCs w:val="20"/>
              </w:rPr>
            </w:pPr>
            <w:r w:rsidRPr="00264F2B">
              <w:rPr>
                <w:rFonts w:ascii="Cambria" w:eastAsia="Times New Roman" w:hAnsi="Cambria" w:cs="Times New Roman"/>
                <w:color w:val="000000"/>
                <w:sz w:val="20"/>
                <w:szCs w:val="20"/>
              </w:rPr>
              <w:t>24.7</w:t>
            </w:r>
          </w:p>
        </w:tc>
        <w:tc>
          <w:tcPr>
            <w:tcW w:w="1224" w:type="dxa"/>
            <w:tcBorders>
              <w:top w:val="nil"/>
              <w:left w:val="nil"/>
              <w:bottom w:val="nil"/>
              <w:right w:val="nil"/>
            </w:tcBorders>
            <w:shd w:val="clear" w:color="auto" w:fill="auto"/>
            <w:noWrap/>
            <w:vAlign w:val="bottom"/>
            <w:hideMark/>
          </w:tcPr>
          <w:p w14:paraId="04F8A364" w14:textId="77777777" w:rsidR="00264F2B" w:rsidRPr="00264F2B" w:rsidRDefault="00264F2B" w:rsidP="00264F2B">
            <w:pPr>
              <w:spacing w:after="0"/>
              <w:jc w:val="center"/>
              <w:rPr>
                <w:rFonts w:ascii="Calibri" w:eastAsia="Times New Roman" w:hAnsi="Calibri" w:cs="Times New Roman"/>
                <w:color w:val="000000"/>
              </w:rPr>
            </w:pPr>
            <w:r w:rsidRPr="00264F2B">
              <w:rPr>
                <w:rFonts w:ascii="Calibri" w:eastAsia="Times New Roman" w:hAnsi="Calibri" w:cs="Times New Roman"/>
                <w:color w:val="000000"/>
              </w:rPr>
              <w:t>52</w:t>
            </w:r>
          </w:p>
        </w:tc>
        <w:tc>
          <w:tcPr>
            <w:tcW w:w="1580" w:type="dxa"/>
            <w:tcBorders>
              <w:top w:val="nil"/>
              <w:left w:val="nil"/>
              <w:bottom w:val="nil"/>
              <w:right w:val="nil"/>
            </w:tcBorders>
            <w:shd w:val="clear" w:color="auto" w:fill="auto"/>
            <w:noWrap/>
            <w:vAlign w:val="bottom"/>
            <w:hideMark/>
          </w:tcPr>
          <w:p w14:paraId="51A0DA11" w14:textId="63783BE3" w:rsidR="00264F2B" w:rsidRPr="00264F2B" w:rsidRDefault="00264F2B" w:rsidP="00264F2B">
            <w:pPr>
              <w:spacing w:after="0"/>
              <w:jc w:val="center"/>
              <w:rPr>
                <w:rFonts w:ascii="Cambria" w:eastAsia="Times New Roman" w:hAnsi="Cambria" w:cs="Times New Roman"/>
                <w:color w:val="000000"/>
                <w:sz w:val="20"/>
                <w:szCs w:val="20"/>
              </w:rPr>
            </w:pPr>
          </w:p>
        </w:tc>
        <w:tc>
          <w:tcPr>
            <w:tcW w:w="639" w:type="dxa"/>
            <w:tcBorders>
              <w:top w:val="nil"/>
              <w:left w:val="nil"/>
              <w:bottom w:val="nil"/>
              <w:right w:val="nil"/>
            </w:tcBorders>
            <w:shd w:val="clear" w:color="auto" w:fill="auto"/>
            <w:noWrap/>
            <w:vAlign w:val="bottom"/>
            <w:hideMark/>
          </w:tcPr>
          <w:p w14:paraId="22DA947F" w14:textId="77777777" w:rsidR="00264F2B" w:rsidRPr="00264F2B" w:rsidRDefault="00264F2B" w:rsidP="00264F2B">
            <w:pPr>
              <w:spacing w:after="0"/>
              <w:jc w:val="center"/>
              <w:rPr>
                <w:rFonts w:ascii="Cambria" w:eastAsia="Times New Roman" w:hAnsi="Cambria" w:cs="Times New Roman"/>
                <w:color w:val="000000"/>
                <w:sz w:val="20"/>
                <w:szCs w:val="20"/>
              </w:rPr>
            </w:pPr>
            <w:r w:rsidRPr="00264F2B">
              <w:rPr>
                <w:rFonts w:ascii="Cambria" w:eastAsia="Times New Roman" w:hAnsi="Cambria" w:cs="Times New Roman"/>
                <w:color w:val="000000"/>
                <w:sz w:val="20"/>
                <w:szCs w:val="20"/>
              </w:rPr>
              <w:t>50.9</w:t>
            </w:r>
          </w:p>
        </w:tc>
        <w:tc>
          <w:tcPr>
            <w:tcW w:w="638" w:type="dxa"/>
            <w:tcBorders>
              <w:top w:val="nil"/>
              <w:left w:val="nil"/>
              <w:bottom w:val="nil"/>
              <w:right w:val="nil"/>
            </w:tcBorders>
            <w:shd w:val="clear" w:color="auto" w:fill="auto"/>
            <w:noWrap/>
            <w:vAlign w:val="bottom"/>
            <w:hideMark/>
          </w:tcPr>
          <w:p w14:paraId="367F8934" w14:textId="77777777" w:rsidR="00264F2B" w:rsidRPr="00264F2B" w:rsidRDefault="00264F2B" w:rsidP="00264F2B">
            <w:pPr>
              <w:spacing w:after="0"/>
              <w:jc w:val="center"/>
              <w:rPr>
                <w:rFonts w:ascii="Cambria" w:eastAsia="Times New Roman" w:hAnsi="Cambria" w:cs="Times New Roman"/>
                <w:color w:val="000000"/>
                <w:sz w:val="20"/>
                <w:szCs w:val="20"/>
              </w:rPr>
            </w:pPr>
            <w:r w:rsidRPr="00264F2B">
              <w:rPr>
                <w:rFonts w:ascii="Cambria" w:eastAsia="Times New Roman" w:hAnsi="Cambria" w:cs="Times New Roman"/>
                <w:color w:val="000000"/>
                <w:sz w:val="20"/>
                <w:szCs w:val="20"/>
              </w:rPr>
              <w:t>17.3</w:t>
            </w:r>
          </w:p>
        </w:tc>
        <w:tc>
          <w:tcPr>
            <w:tcW w:w="1243" w:type="dxa"/>
            <w:tcBorders>
              <w:top w:val="nil"/>
              <w:left w:val="nil"/>
              <w:bottom w:val="nil"/>
              <w:right w:val="nil"/>
            </w:tcBorders>
            <w:shd w:val="clear" w:color="auto" w:fill="auto"/>
            <w:noWrap/>
            <w:vAlign w:val="bottom"/>
            <w:hideMark/>
          </w:tcPr>
          <w:p w14:paraId="55BF6B27" w14:textId="77777777" w:rsidR="00264F2B" w:rsidRPr="00264F2B" w:rsidRDefault="00264F2B" w:rsidP="00264F2B">
            <w:pPr>
              <w:spacing w:after="0"/>
              <w:jc w:val="center"/>
              <w:rPr>
                <w:rFonts w:ascii="Cambria" w:eastAsia="Times New Roman" w:hAnsi="Cambria" w:cs="Times New Roman"/>
                <w:color w:val="000000"/>
                <w:sz w:val="20"/>
                <w:szCs w:val="20"/>
              </w:rPr>
            </w:pPr>
            <w:r w:rsidRPr="00264F2B">
              <w:rPr>
                <w:rFonts w:ascii="Cambria" w:eastAsia="Times New Roman" w:hAnsi="Cambria" w:cs="Times New Roman"/>
                <w:color w:val="000000"/>
                <w:sz w:val="20"/>
                <w:szCs w:val="20"/>
              </w:rPr>
              <w:t>52.6</w:t>
            </w:r>
          </w:p>
        </w:tc>
      </w:tr>
      <w:tr w:rsidR="00264F2B" w:rsidRPr="00264F2B" w14:paraId="1659C4A8" w14:textId="77777777" w:rsidTr="00264F2B">
        <w:trPr>
          <w:trHeight w:val="300"/>
        </w:trPr>
        <w:tc>
          <w:tcPr>
            <w:tcW w:w="3663" w:type="dxa"/>
            <w:tcBorders>
              <w:top w:val="nil"/>
              <w:left w:val="nil"/>
              <w:bottom w:val="single" w:sz="4" w:space="0" w:color="auto"/>
              <w:right w:val="nil"/>
            </w:tcBorders>
            <w:shd w:val="clear" w:color="auto" w:fill="auto"/>
            <w:noWrap/>
            <w:vAlign w:val="bottom"/>
            <w:hideMark/>
          </w:tcPr>
          <w:p w14:paraId="32EC7B9F" w14:textId="77777777" w:rsidR="00264F2B" w:rsidRPr="00264F2B" w:rsidRDefault="00264F2B" w:rsidP="00264F2B">
            <w:pPr>
              <w:spacing w:after="0"/>
              <w:jc w:val="left"/>
              <w:rPr>
                <w:rFonts w:ascii="Calibri" w:eastAsia="Times New Roman" w:hAnsi="Calibri" w:cs="Times New Roman"/>
                <w:color w:val="000000"/>
              </w:rPr>
            </w:pPr>
            <w:r w:rsidRPr="00264F2B">
              <w:rPr>
                <w:rFonts w:ascii="Calibri" w:eastAsia="Times New Roman" w:hAnsi="Calibri" w:cs="Times New Roman"/>
                <w:color w:val="000000"/>
              </w:rPr>
              <w:t> </w:t>
            </w:r>
          </w:p>
        </w:tc>
        <w:tc>
          <w:tcPr>
            <w:tcW w:w="628" w:type="dxa"/>
            <w:tcBorders>
              <w:top w:val="nil"/>
              <w:left w:val="nil"/>
              <w:bottom w:val="single" w:sz="4" w:space="0" w:color="auto"/>
              <w:right w:val="nil"/>
            </w:tcBorders>
            <w:shd w:val="clear" w:color="auto" w:fill="auto"/>
            <w:noWrap/>
            <w:vAlign w:val="bottom"/>
            <w:hideMark/>
          </w:tcPr>
          <w:p w14:paraId="354F581B" w14:textId="77777777" w:rsidR="00264F2B" w:rsidRPr="00264F2B" w:rsidRDefault="00264F2B" w:rsidP="00264F2B">
            <w:pPr>
              <w:spacing w:after="0"/>
              <w:jc w:val="center"/>
              <w:rPr>
                <w:rFonts w:ascii="Calibri" w:eastAsia="Times New Roman" w:hAnsi="Calibri" w:cs="Times New Roman"/>
                <w:color w:val="000000"/>
              </w:rPr>
            </w:pPr>
            <w:r w:rsidRPr="00264F2B">
              <w:rPr>
                <w:rFonts w:ascii="Calibri" w:eastAsia="Times New Roman" w:hAnsi="Calibri" w:cs="Times New Roman"/>
                <w:color w:val="000000"/>
              </w:rPr>
              <w:t> </w:t>
            </w:r>
          </w:p>
        </w:tc>
        <w:tc>
          <w:tcPr>
            <w:tcW w:w="628" w:type="dxa"/>
            <w:tcBorders>
              <w:top w:val="nil"/>
              <w:left w:val="nil"/>
              <w:bottom w:val="single" w:sz="4" w:space="0" w:color="auto"/>
              <w:right w:val="nil"/>
            </w:tcBorders>
            <w:shd w:val="clear" w:color="auto" w:fill="auto"/>
            <w:noWrap/>
            <w:vAlign w:val="bottom"/>
            <w:hideMark/>
          </w:tcPr>
          <w:p w14:paraId="3FF3D961" w14:textId="77777777" w:rsidR="00264F2B" w:rsidRPr="00264F2B" w:rsidRDefault="00264F2B" w:rsidP="00264F2B">
            <w:pPr>
              <w:spacing w:after="0"/>
              <w:jc w:val="center"/>
              <w:rPr>
                <w:rFonts w:ascii="Calibri" w:eastAsia="Times New Roman" w:hAnsi="Calibri" w:cs="Times New Roman"/>
                <w:color w:val="000000"/>
              </w:rPr>
            </w:pPr>
            <w:r w:rsidRPr="00264F2B">
              <w:rPr>
                <w:rFonts w:ascii="Calibri" w:eastAsia="Times New Roman" w:hAnsi="Calibri" w:cs="Times New Roman"/>
                <w:color w:val="000000"/>
              </w:rPr>
              <w:t> </w:t>
            </w:r>
          </w:p>
        </w:tc>
        <w:tc>
          <w:tcPr>
            <w:tcW w:w="1224" w:type="dxa"/>
            <w:tcBorders>
              <w:top w:val="nil"/>
              <w:left w:val="nil"/>
              <w:bottom w:val="single" w:sz="4" w:space="0" w:color="auto"/>
              <w:right w:val="nil"/>
            </w:tcBorders>
            <w:shd w:val="clear" w:color="auto" w:fill="auto"/>
            <w:noWrap/>
            <w:vAlign w:val="bottom"/>
            <w:hideMark/>
          </w:tcPr>
          <w:p w14:paraId="08E7225A" w14:textId="77777777" w:rsidR="00264F2B" w:rsidRPr="00264F2B" w:rsidRDefault="00264F2B" w:rsidP="00264F2B">
            <w:pPr>
              <w:spacing w:after="0"/>
              <w:jc w:val="center"/>
              <w:rPr>
                <w:rFonts w:ascii="Calibri" w:eastAsia="Times New Roman" w:hAnsi="Calibri" w:cs="Times New Roman"/>
                <w:color w:val="000000"/>
              </w:rPr>
            </w:pPr>
            <w:r w:rsidRPr="00264F2B">
              <w:rPr>
                <w:rFonts w:ascii="Calibri" w:eastAsia="Times New Roman" w:hAnsi="Calibri" w:cs="Times New Roman"/>
                <w:color w:val="000000"/>
              </w:rPr>
              <w:t> </w:t>
            </w:r>
          </w:p>
        </w:tc>
        <w:tc>
          <w:tcPr>
            <w:tcW w:w="1580" w:type="dxa"/>
            <w:tcBorders>
              <w:top w:val="nil"/>
              <w:left w:val="nil"/>
              <w:bottom w:val="single" w:sz="4" w:space="0" w:color="auto"/>
              <w:right w:val="nil"/>
            </w:tcBorders>
            <w:shd w:val="clear" w:color="auto" w:fill="auto"/>
            <w:noWrap/>
            <w:vAlign w:val="bottom"/>
            <w:hideMark/>
          </w:tcPr>
          <w:p w14:paraId="261D8E72" w14:textId="77777777" w:rsidR="00264F2B" w:rsidRPr="00264F2B" w:rsidRDefault="00264F2B" w:rsidP="00264F2B">
            <w:pPr>
              <w:spacing w:after="0"/>
              <w:jc w:val="center"/>
              <w:rPr>
                <w:rFonts w:ascii="Calibri" w:eastAsia="Times New Roman" w:hAnsi="Calibri" w:cs="Times New Roman"/>
                <w:color w:val="000000"/>
              </w:rPr>
            </w:pPr>
            <w:r w:rsidRPr="00264F2B">
              <w:rPr>
                <w:rFonts w:ascii="Calibri" w:eastAsia="Times New Roman" w:hAnsi="Calibri" w:cs="Times New Roman"/>
                <w:color w:val="000000"/>
              </w:rPr>
              <w:t> </w:t>
            </w:r>
          </w:p>
        </w:tc>
        <w:tc>
          <w:tcPr>
            <w:tcW w:w="639" w:type="dxa"/>
            <w:tcBorders>
              <w:top w:val="nil"/>
              <w:left w:val="nil"/>
              <w:bottom w:val="single" w:sz="4" w:space="0" w:color="auto"/>
              <w:right w:val="nil"/>
            </w:tcBorders>
            <w:shd w:val="clear" w:color="auto" w:fill="auto"/>
            <w:noWrap/>
            <w:vAlign w:val="bottom"/>
            <w:hideMark/>
          </w:tcPr>
          <w:p w14:paraId="56EE6449" w14:textId="77777777" w:rsidR="00264F2B" w:rsidRPr="00264F2B" w:rsidRDefault="00264F2B" w:rsidP="00264F2B">
            <w:pPr>
              <w:spacing w:after="0"/>
              <w:jc w:val="center"/>
              <w:rPr>
                <w:rFonts w:ascii="Calibri" w:eastAsia="Times New Roman" w:hAnsi="Calibri" w:cs="Times New Roman"/>
                <w:color w:val="000000"/>
              </w:rPr>
            </w:pPr>
            <w:r w:rsidRPr="00264F2B">
              <w:rPr>
                <w:rFonts w:ascii="Calibri" w:eastAsia="Times New Roman" w:hAnsi="Calibri" w:cs="Times New Roman"/>
                <w:color w:val="000000"/>
              </w:rPr>
              <w:t> </w:t>
            </w:r>
          </w:p>
        </w:tc>
        <w:tc>
          <w:tcPr>
            <w:tcW w:w="638" w:type="dxa"/>
            <w:tcBorders>
              <w:top w:val="nil"/>
              <w:left w:val="nil"/>
              <w:bottom w:val="single" w:sz="4" w:space="0" w:color="auto"/>
              <w:right w:val="nil"/>
            </w:tcBorders>
            <w:shd w:val="clear" w:color="auto" w:fill="auto"/>
            <w:noWrap/>
            <w:vAlign w:val="bottom"/>
            <w:hideMark/>
          </w:tcPr>
          <w:p w14:paraId="128A1931" w14:textId="77777777" w:rsidR="00264F2B" w:rsidRPr="00264F2B" w:rsidRDefault="00264F2B" w:rsidP="00264F2B">
            <w:pPr>
              <w:spacing w:after="0"/>
              <w:jc w:val="center"/>
              <w:rPr>
                <w:rFonts w:ascii="Calibri" w:eastAsia="Times New Roman" w:hAnsi="Calibri" w:cs="Times New Roman"/>
                <w:color w:val="000000"/>
              </w:rPr>
            </w:pPr>
            <w:r w:rsidRPr="00264F2B">
              <w:rPr>
                <w:rFonts w:ascii="Calibri" w:eastAsia="Times New Roman" w:hAnsi="Calibri" w:cs="Times New Roman"/>
                <w:color w:val="000000"/>
              </w:rPr>
              <w:t> </w:t>
            </w:r>
          </w:p>
        </w:tc>
        <w:tc>
          <w:tcPr>
            <w:tcW w:w="1243" w:type="dxa"/>
            <w:tcBorders>
              <w:top w:val="nil"/>
              <w:left w:val="nil"/>
              <w:bottom w:val="single" w:sz="4" w:space="0" w:color="auto"/>
              <w:right w:val="nil"/>
            </w:tcBorders>
            <w:shd w:val="clear" w:color="auto" w:fill="auto"/>
            <w:noWrap/>
            <w:vAlign w:val="bottom"/>
            <w:hideMark/>
          </w:tcPr>
          <w:p w14:paraId="56F52A04" w14:textId="77777777" w:rsidR="00264F2B" w:rsidRPr="00264F2B" w:rsidRDefault="00264F2B" w:rsidP="00264F2B">
            <w:pPr>
              <w:spacing w:after="0"/>
              <w:jc w:val="center"/>
              <w:rPr>
                <w:rFonts w:ascii="Calibri" w:eastAsia="Times New Roman" w:hAnsi="Calibri" w:cs="Times New Roman"/>
                <w:color w:val="000000"/>
              </w:rPr>
            </w:pPr>
            <w:r w:rsidRPr="00264F2B">
              <w:rPr>
                <w:rFonts w:ascii="Calibri" w:eastAsia="Times New Roman" w:hAnsi="Calibri" w:cs="Times New Roman"/>
                <w:color w:val="000000"/>
              </w:rPr>
              <w:t> </w:t>
            </w:r>
          </w:p>
        </w:tc>
      </w:tr>
    </w:tbl>
    <w:p w14:paraId="1FE7DCF5" w14:textId="77777777" w:rsidR="002C36AA" w:rsidRPr="0036006E" w:rsidRDefault="002C36AA" w:rsidP="0036006E">
      <w:pPr>
        <w:rPr>
          <w:bCs/>
        </w:rPr>
      </w:pPr>
    </w:p>
    <w:p w14:paraId="1D1475E1" w14:textId="77777777" w:rsidR="002C36AA" w:rsidRPr="00AD0400" w:rsidRDefault="002C36AA" w:rsidP="002C36AA">
      <w:pPr>
        <w:pStyle w:val="ListParagraph"/>
        <w:rPr>
          <w:bCs/>
        </w:rPr>
      </w:pPr>
    </w:p>
    <w:p w14:paraId="7ADAE5B9" w14:textId="77777777" w:rsidR="002C36AA" w:rsidRPr="00AD0400" w:rsidRDefault="002C36AA" w:rsidP="002C36AA">
      <w:pPr>
        <w:pStyle w:val="ListParagraph"/>
        <w:numPr>
          <w:ilvl w:val="0"/>
          <w:numId w:val="29"/>
        </w:numPr>
        <w:spacing w:after="160" w:line="259" w:lineRule="auto"/>
        <w:rPr>
          <w:bCs/>
          <w:i/>
        </w:rPr>
      </w:pPr>
      <w:r w:rsidRPr="00AD0400">
        <w:rPr>
          <w:bCs/>
        </w:rPr>
        <w:t xml:space="preserve">IDPs are also relatively younger than the rest of the population. The proportion of IDPs between 16 and 24 years old is higher (20.3%) than among non-IDPs (16.7); the same holds for the group of IDPs and non-IDPs between 25 and 39 years old, 27% versus 24.8%, respectively. Correspondingly, the proportion of IDPs 65 years old or older is significantly less (20.3%) than the proportion of non-IDPs who are 65 years old or more (25.3%).   </w:t>
      </w:r>
    </w:p>
    <w:p w14:paraId="3AABDAAD" w14:textId="77777777" w:rsidR="002C36AA" w:rsidRPr="00AD0400" w:rsidRDefault="002C36AA" w:rsidP="002C36AA">
      <w:pPr>
        <w:pStyle w:val="ListParagraph"/>
        <w:rPr>
          <w:bCs/>
          <w:i/>
        </w:rPr>
      </w:pPr>
    </w:p>
    <w:p w14:paraId="6DF0EB0C" w14:textId="77777777" w:rsidR="002C36AA" w:rsidRPr="00AD0400" w:rsidRDefault="002C36AA" w:rsidP="002C36AA">
      <w:pPr>
        <w:pStyle w:val="ListParagraph"/>
        <w:numPr>
          <w:ilvl w:val="0"/>
          <w:numId w:val="29"/>
        </w:numPr>
        <w:spacing w:after="160" w:line="259" w:lineRule="auto"/>
        <w:jc w:val="left"/>
        <w:rPr>
          <w:bCs/>
          <w:i/>
        </w:rPr>
      </w:pPr>
      <w:r w:rsidRPr="00AD0400">
        <w:rPr>
          <w:bCs/>
        </w:rPr>
        <w:t>The proportion of females relative to males does not vary greatly across IDPs and non IDPs. IDPs have just slightly higher proportions of females relative to males, compared to non IDPs, but these differences of means are not statistically significant.</w:t>
      </w:r>
    </w:p>
    <w:tbl>
      <w:tblPr>
        <w:tblW w:w="10928" w:type="dxa"/>
        <w:tblLook w:val="04A0" w:firstRow="1" w:lastRow="0" w:firstColumn="1" w:lastColumn="0" w:noHBand="0" w:noVBand="1"/>
      </w:tblPr>
      <w:tblGrid>
        <w:gridCol w:w="1720"/>
        <w:gridCol w:w="1250"/>
        <w:gridCol w:w="900"/>
        <w:gridCol w:w="1260"/>
        <w:gridCol w:w="1734"/>
        <w:gridCol w:w="1326"/>
        <w:gridCol w:w="720"/>
        <w:gridCol w:w="2018"/>
      </w:tblGrid>
      <w:tr w:rsidR="00FC4546" w:rsidRPr="00684285" w14:paraId="047A38EB" w14:textId="77777777" w:rsidTr="00FC4546">
        <w:trPr>
          <w:trHeight w:val="144"/>
        </w:trPr>
        <w:tc>
          <w:tcPr>
            <w:tcW w:w="1720" w:type="dxa"/>
            <w:tcBorders>
              <w:top w:val="nil"/>
              <w:left w:val="nil"/>
              <w:bottom w:val="nil"/>
              <w:right w:val="nil"/>
            </w:tcBorders>
            <w:shd w:val="clear" w:color="auto" w:fill="auto"/>
            <w:noWrap/>
            <w:vAlign w:val="bottom"/>
            <w:hideMark/>
          </w:tcPr>
          <w:p w14:paraId="48F15212" w14:textId="77777777" w:rsidR="00FC4546" w:rsidRPr="00684285" w:rsidRDefault="00FC4546" w:rsidP="00B306C4">
            <w:pPr>
              <w:spacing w:after="0"/>
              <w:rPr>
                <w:rFonts w:ascii="Times New Roman" w:eastAsia="Times New Roman" w:hAnsi="Times New Roman" w:cs="Times New Roman"/>
                <w:sz w:val="24"/>
                <w:szCs w:val="24"/>
              </w:rPr>
            </w:pPr>
          </w:p>
        </w:tc>
        <w:tc>
          <w:tcPr>
            <w:tcW w:w="3410" w:type="dxa"/>
            <w:gridSpan w:val="3"/>
            <w:tcBorders>
              <w:top w:val="nil"/>
              <w:left w:val="nil"/>
              <w:bottom w:val="nil"/>
              <w:right w:val="nil"/>
            </w:tcBorders>
            <w:shd w:val="clear" w:color="auto" w:fill="auto"/>
            <w:noWrap/>
            <w:vAlign w:val="bottom"/>
            <w:hideMark/>
          </w:tcPr>
          <w:p w14:paraId="6CE65879" w14:textId="77777777" w:rsidR="00FC4546" w:rsidRPr="00684285" w:rsidRDefault="00FC4546" w:rsidP="00B306C4">
            <w:pPr>
              <w:spacing w:after="0"/>
              <w:jc w:val="center"/>
              <w:rPr>
                <w:rFonts w:ascii="Cambria" w:eastAsia="Times New Roman" w:hAnsi="Cambria" w:cs="Times New Roman"/>
                <w:b/>
                <w:bCs/>
                <w:color w:val="000000"/>
                <w:sz w:val="20"/>
                <w:szCs w:val="20"/>
              </w:rPr>
            </w:pPr>
            <w:r w:rsidRPr="00684285">
              <w:rPr>
                <w:rFonts w:ascii="Cambria" w:eastAsia="Times New Roman" w:hAnsi="Cambria" w:cs="Times New Roman"/>
                <w:b/>
                <w:bCs/>
                <w:color w:val="000000"/>
                <w:sz w:val="20"/>
                <w:szCs w:val="20"/>
              </w:rPr>
              <w:t>IHS 2011-2013</w:t>
            </w:r>
          </w:p>
        </w:tc>
        <w:tc>
          <w:tcPr>
            <w:tcW w:w="1734" w:type="dxa"/>
            <w:tcBorders>
              <w:top w:val="nil"/>
              <w:left w:val="nil"/>
              <w:bottom w:val="nil"/>
              <w:right w:val="nil"/>
            </w:tcBorders>
            <w:shd w:val="clear" w:color="auto" w:fill="auto"/>
            <w:noWrap/>
            <w:vAlign w:val="bottom"/>
            <w:hideMark/>
          </w:tcPr>
          <w:p w14:paraId="5BDD154A" w14:textId="59E1CEFD" w:rsidR="00FC4546" w:rsidRPr="00684285" w:rsidRDefault="00FC4546" w:rsidP="00B306C4">
            <w:pPr>
              <w:spacing w:after="0"/>
              <w:jc w:val="center"/>
              <w:rPr>
                <w:rFonts w:ascii="Cambria" w:eastAsia="Times New Roman" w:hAnsi="Cambria" w:cs="Times New Roman"/>
                <w:b/>
                <w:bCs/>
                <w:color w:val="000000"/>
                <w:sz w:val="20"/>
                <w:szCs w:val="20"/>
              </w:rPr>
            </w:pPr>
            <w:r w:rsidRPr="00684285">
              <w:rPr>
                <w:rFonts w:ascii="Cambria" w:eastAsia="Times New Roman" w:hAnsi="Cambria" w:cs="Times New Roman"/>
                <w:b/>
                <w:bCs/>
                <w:color w:val="000000"/>
                <w:sz w:val="20"/>
                <w:szCs w:val="20"/>
              </w:rPr>
              <w:t>UNHCR 201</w:t>
            </w:r>
            <w:r w:rsidR="00B306C4">
              <w:rPr>
                <w:rFonts w:ascii="Cambria" w:eastAsia="Times New Roman" w:hAnsi="Cambria" w:cs="Times New Roman"/>
                <w:b/>
                <w:bCs/>
                <w:color w:val="000000"/>
                <w:sz w:val="20"/>
                <w:szCs w:val="20"/>
              </w:rPr>
              <w:t>4</w:t>
            </w:r>
          </w:p>
        </w:tc>
        <w:tc>
          <w:tcPr>
            <w:tcW w:w="4064" w:type="dxa"/>
            <w:gridSpan w:val="3"/>
            <w:tcBorders>
              <w:top w:val="nil"/>
              <w:left w:val="nil"/>
              <w:bottom w:val="nil"/>
              <w:right w:val="nil"/>
            </w:tcBorders>
            <w:shd w:val="clear" w:color="auto" w:fill="auto"/>
            <w:noWrap/>
            <w:vAlign w:val="bottom"/>
            <w:hideMark/>
          </w:tcPr>
          <w:p w14:paraId="4B86911F" w14:textId="77777777" w:rsidR="00FC4546" w:rsidRPr="00684285" w:rsidRDefault="00FC4546" w:rsidP="00B306C4">
            <w:pPr>
              <w:spacing w:after="0"/>
              <w:jc w:val="center"/>
              <w:rPr>
                <w:rFonts w:ascii="Cambria" w:eastAsia="Times New Roman" w:hAnsi="Cambria" w:cs="Times New Roman"/>
                <w:b/>
                <w:bCs/>
                <w:color w:val="000000"/>
                <w:sz w:val="20"/>
                <w:szCs w:val="20"/>
              </w:rPr>
            </w:pPr>
            <w:r w:rsidRPr="00684285">
              <w:rPr>
                <w:rFonts w:ascii="Cambria" w:eastAsia="Times New Roman" w:hAnsi="Cambria" w:cs="Times New Roman"/>
                <w:b/>
                <w:bCs/>
                <w:color w:val="000000"/>
                <w:sz w:val="20"/>
                <w:szCs w:val="20"/>
              </w:rPr>
              <w:t>UNDP 2011</w:t>
            </w:r>
          </w:p>
        </w:tc>
      </w:tr>
      <w:tr w:rsidR="00FC4546" w:rsidRPr="00684285" w14:paraId="1E64E2AB" w14:textId="77777777" w:rsidTr="00FC4546">
        <w:trPr>
          <w:trHeight w:val="144"/>
        </w:trPr>
        <w:tc>
          <w:tcPr>
            <w:tcW w:w="1720" w:type="dxa"/>
            <w:tcBorders>
              <w:top w:val="nil"/>
              <w:left w:val="nil"/>
              <w:bottom w:val="single" w:sz="4" w:space="0" w:color="auto"/>
              <w:right w:val="nil"/>
            </w:tcBorders>
            <w:shd w:val="clear" w:color="auto" w:fill="auto"/>
            <w:noWrap/>
            <w:vAlign w:val="bottom"/>
            <w:hideMark/>
          </w:tcPr>
          <w:p w14:paraId="5FE63D00" w14:textId="77777777" w:rsidR="00FC4546" w:rsidRPr="00684285" w:rsidRDefault="00FC4546" w:rsidP="00B306C4">
            <w:pPr>
              <w:spacing w:after="0"/>
              <w:rPr>
                <w:rFonts w:ascii="Cambria" w:eastAsia="Times New Roman" w:hAnsi="Cambria" w:cs="Times New Roman"/>
                <w:color w:val="000000"/>
                <w:sz w:val="20"/>
                <w:szCs w:val="20"/>
              </w:rPr>
            </w:pPr>
            <w:r w:rsidRPr="00684285">
              <w:rPr>
                <w:rFonts w:ascii="Cambria" w:eastAsia="Times New Roman" w:hAnsi="Cambria" w:cs="Times New Roman"/>
                <w:color w:val="000000"/>
                <w:sz w:val="20"/>
                <w:szCs w:val="20"/>
              </w:rPr>
              <w:t> </w:t>
            </w:r>
          </w:p>
        </w:tc>
        <w:tc>
          <w:tcPr>
            <w:tcW w:w="1250" w:type="dxa"/>
            <w:tcBorders>
              <w:top w:val="nil"/>
              <w:left w:val="nil"/>
              <w:bottom w:val="nil"/>
              <w:right w:val="nil"/>
            </w:tcBorders>
            <w:shd w:val="clear" w:color="auto" w:fill="auto"/>
            <w:noWrap/>
            <w:vAlign w:val="bottom"/>
            <w:hideMark/>
          </w:tcPr>
          <w:p w14:paraId="1EBF1A98" w14:textId="77777777" w:rsidR="00FC4546" w:rsidRPr="00684285" w:rsidRDefault="00FC4546" w:rsidP="00B306C4">
            <w:pPr>
              <w:spacing w:after="0"/>
              <w:jc w:val="center"/>
              <w:rPr>
                <w:rFonts w:ascii="Cambria" w:eastAsia="Times New Roman" w:hAnsi="Cambria" w:cs="Times New Roman"/>
                <w:b/>
                <w:bCs/>
                <w:color w:val="000000"/>
                <w:sz w:val="20"/>
                <w:szCs w:val="20"/>
              </w:rPr>
            </w:pPr>
            <w:r w:rsidRPr="00684285">
              <w:rPr>
                <w:rFonts w:ascii="Cambria" w:eastAsia="Times New Roman" w:hAnsi="Cambria" w:cs="Times New Roman"/>
                <w:b/>
                <w:bCs/>
                <w:color w:val="000000"/>
                <w:sz w:val="20"/>
                <w:szCs w:val="20"/>
              </w:rPr>
              <w:t>All</w:t>
            </w:r>
          </w:p>
        </w:tc>
        <w:tc>
          <w:tcPr>
            <w:tcW w:w="900" w:type="dxa"/>
            <w:tcBorders>
              <w:top w:val="nil"/>
              <w:left w:val="nil"/>
              <w:bottom w:val="nil"/>
              <w:right w:val="nil"/>
            </w:tcBorders>
            <w:shd w:val="clear" w:color="auto" w:fill="auto"/>
            <w:noWrap/>
            <w:vAlign w:val="bottom"/>
            <w:hideMark/>
          </w:tcPr>
          <w:p w14:paraId="246BFAC8" w14:textId="77777777" w:rsidR="00FC4546" w:rsidRPr="00684285" w:rsidRDefault="00FC4546" w:rsidP="00B306C4">
            <w:pPr>
              <w:spacing w:after="0"/>
              <w:jc w:val="center"/>
              <w:rPr>
                <w:rFonts w:ascii="Cambria" w:eastAsia="Times New Roman" w:hAnsi="Cambria" w:cs="Times New Roman"/>
                <w:b/>
                <w:bCs/>
                <w:color w:val="000000"/>
                <w:sz w:val="20"/>
                <w:szCs w:val="20"/>
              </w:rPr>
            </w:pPr>
            <w:r w:rsidRPr="00684285">
              <w:rPr>
                <w:rFonts w:ascii="Cambria" w:eastAsia="Times New Roman" w:hAnsi="Cambria" w:cs="Times New Roman"/>
                <w:b/>
                <w:bCs/>
                <w:color w:val="000000"/>
                <w:sz w:val="20"/>
                <w:szCs w:val="20"/>
              </w:rPr>
              <w:t>IDP</w:t>
            </w:r>
          </w:p>
        </w:tc>
        <w:tc>
          <w:tcPr>
            <w:tcW w:w="1260" w:type="dxa"/>
            <w:tcBorders>
              <w:top w:val="nil"/>
              <w:left w:val="nil"/>
              <w:bottom w:val="nil"/>
              <w:right w:val="nil"/>
            </w:tcBorders>
            <w:shd w:val="clear" w:color="auto" w:fill="auto"/>
            <w:noWrap/>
            <w:vAlign w:val="bottom"/>
            <w:hideMark/>
          </w:tcPr>
          <w:p w14:paraId="5D80A205" w14:textId="77777777" w:rsidR="00FC4546" w:rsidRPr="00684285" w:rsidRDefault="00FC4546" w:rsidP="00B306C4">
            <w:pPr>
              <w:spacing w:after="0"/>
              <w:jc w:val="center"/>
              <w:rPr>
                <w:rFonts w:ascii="Cambria" w:eastAsia="Times New Roman" w:hAnsi="Cambria" w:cs="Times New Roman"/>
                <w:b/>
                <w:bCs/>
                <w:color w:val="000000"/>
                <w:sz w:val="20"/>
                <w:szCs w:val="20"/>
              </w:rPr>
            </w:pPr>
            <w:r w:rsidRPr="00684285">
              <w:rPr>
                <w:rFonts w:ascii="Cambria" w:eastAsia="Times New Roman" w:hAnsi="Cambria" w:cs="Times New Roman"/>
                <w:b/>
                <w:bCs/>
                <w:color w:val="000000"/>
                <w:sz w:val="20"/>
                <w:szCs w:val="20"/>
              </w:rPr>
              <w:t>Non-IDP</w:t>
            </w:r>
          </w:p>
        </w:tc>
        <w:tc>
          <w:tcPr>
            <w:tcW w:w="1734" w:type="dxa"/>
            <w:tcBorders>
              <w:top w:val="nil"/>
              <w:left w:val="nil"/>
              <w:bottom w:val="single" w:sz="4" w:space="0" w:color="auto"/>
              <w:right w:val="nil"/>
            </w:tcBorders>
            <w:shd w:val="clear" w:color="auto" w:fill="auto"/>
            <w:noWrap/>
            <w:vAlign w:val="bottom"/>
            <w:hideMark/>
          </w:tcPr>
          <w:p w14:paraId="2AD49214" w14:textId="77777777" w:rsidR="00FC4546" w:rsidRPr="00684285" w:rsidRDefault="00FC4546" w:rsidP="00B306C4">
            <w:pPr>
              <w:spacing w:after="0"/>
              <w:jc w:val="center"/>
              <w:rPr>
                <w:rFonts w:ascii="Cambria" w:eastAsia="Times New Roman" w:hAnsi="Cambria" w:cs="Times New Roman"/>
                <w:b/>
                <w:bCs/>
                <w:color w:val="000000"/>
                <w:sz w:val="20"/>
                <w:szCs w:val="20"/>
              </w:rPr>
            </w:pPr>
            <w:r w:rsidRPr="00684285">
              <w:rPr>
                <w:rFonts w:ascii="Cambria" w:eastAsia="Times New Roman" w:hAnsi="Cambria" w:cs="Times New Roman"/>
                <w:b/>
                <w:bCs/>
                <w:color w:val="000000"/>
                <w:sz w:val="20"/>
                <w:szCs w:val="20"/>
              </w:rPr>
              <w:t>IDP</w:t>
            </w:r>
          </w:p>
        </w:tc>
        <w:tc>
          <w:tcPr>
            <w:tcW w:w="1326" w:type="dxa"/>
            <w:tcBorders>
              <w:top w:val="nil"/>
              <w:left w:val="nil"/>
              <w:bottom w:val="nil"/>
              <w:right w:val="nil"/>
            </w:tcBorders>
            <w:shd w:val="clear" w:color="auto" w:fill="auto"/>
            <w:noWrap/>
            <w:vAlign w:val="bottom"/>
            <w:hideMark/>
          </w:tcPr>
          <w:p w14:paraId="37F4D133" w14:textId="77777777" w:rsidR="00FC4546" w:rsidRPr="00684285" w:rsidRDefault="00FC4546" w:rsidP="00B306C4">
            <w:pPr>
              <w:spacing w:after="0"/>
              <w:jc w:val="center"/>
              <w:rPr>
                <w:rFonts w:ascii="Cambria" w:eastAsia="Times New Roman" w:hAnsi="Cambria" w:cs="Times New Roman"/>
                <w:b/>
                <w:bCs/>
                <w:color w:val="000000"/>
                <w:sz w:val="20"/>
                <w:szCs w:val="20"/>
              </w:rPr>
            </w:pPr>
            <w:r w:rsidRPr="00684285">
              <w:rPr>
                <w:rFonts w:ascii="Cambria" w:eastAsia="Times New Roman" w:hAnsi="Cambria" w:cs="Times New Roman"/>
                <w:b/>
                <w:bCs/>
                <w:color w:val="000000"/>
                <w:sz w:val="20"/>
                <w:szCs w:val="20"/>
              </w:rPr>
              <w:t>All</w:t>
            </w:r>
          </w:p>
        </w:tc>
        <w:tc>
          <w:tcPr>
            <w:tcW w:w="720" w:type="dxa"/>
            <w:tcBorders>
              <w:top w:val="nil"/>
              <w:left w:val="nil"/>
              <w:bottom w:val="nil"/>
              <w:right w:val="nil"/>
            </w:tcBorders>
            <w:shd w:val="clear" w:color="auto" w:fill="auto"/>
            <w:noWrap/>
            <w:vAlign w:val="bottom"/>
            <w:hideMark/>
          </w:tcPr>
          <w:p w14:paraId="460A5364" w14:textId="77777777" w:rsidR="00FC4546" w:rsidRPr="00684285" w:rsidRDefault="00FC4546" w:rsidP="00B306C4">
            <w:pPr>
              <w:spacing w:after="0"/>
              <w:jc w:val="center"/>
              <w:rPr>
                <w:rFonts w:ascii="Cambria" w:eastAsia="Times New Roman" w:hAnsi="Cambria" w:cs="Times New Roman"/>
                <w:b/>
                <w:bCs/>
                <w:color w:val="000000"/>
                <w:sz w:val="20"/>
                <w:szCs w:val="20"/>
              </w:rPr>
            </w:pPr>
            <w:r w:rsidRPr="00684285">
              <w:rPr>
                <w:rFonts w:ascii="Cambria" w:eastAsia="Times New Roman" w:hAnsi="Cambria" w:cs="Times New Roman"/>
                <w:b/>
                <w:bCs/>
                <w:color w:val="000000"/>
                <w:sz w:val="20"/>
                <w:szCs w:val="20"/>
              </w:rPr>
              <w:t>IDP</w:t>
            </w:r>
          </w:p>
        </w:tc>
        <w:tc>
          <w:tcPr>
            <w:tcW w:w="2018" w:type="dxa"/>
            <w:tcBorders>
              <w:top w:val="nil"/>
              <w:left w:val="nil"/>
              <w:bottom w:val="single" w:sz="4" w:space="0" w:color="auto"/>
              <w:right w:val="nil"/>
            </w:tcBorders>
            <w:shd w:val="clear" w:color="auto" w:fill="auto"/>
            <w:noWrap/>
            <w:vAlign w:val="bottom"/>
            <w:hideMark/>
          </w:tcPr>
          <w:p w14:paraId="152DF035" w14:textId="77777777" w:rsidR="00FC4546" w:rsidRPr="00684285" w:rsidRDefault="00FC4546" w:rsidP="00B306C4">
            <w:pPr>
              <w:spacing w:after="0"/>
              <w:jc w:val="center"/>
              <w:rPr>
                <w:rFonts w:ascii="Cambria" w:eastAsia="Times New Roman" w:hAnsi="Cambria" w:cs="Times New Roman"/>
                <w:b/>
                <w:bCs/>
                <w:color w:val="000000"/>
                <w:sz w:val="20"/>
                <w:szCs w:val="20"/>
              </w:rPr>
            </w:pPr>
            <w:r w:rsidRPr="00684285">
              <w:rPr>
                <w:rFonts w:ascii="Cambria" w:eastAsia="Times New Roman" w:hAnsi="Cambria" w:cs="Times New Roman"/>
                <w:b/>
                <w:bCs/>
                <w:color w:val="000000"/>
                <w:sz w:val="20"/>
                <w:szCs w:val="20"/>
              </w:rPr>
              <w:t>Non-IDP</w:t>
            </w:r>
          </w:p>
        </w:tc>
      </w:tr>
      <w:tr w:rsidR="00FC4546" w:rsidRPr="00684285" w14:paraId="44A4CC69" w14:textId="77777777" w:rsidTr="00FC4546">
        <w:trPr>
          <w:trHeight w:val="144"/>
        </w:trPr>
        <w:tc>
          <w:tcPr>
            <w:tcW w:w="1720" w:type="dxa"/>
            <w:tcBorders>
              <w:top w:val="nil"/>
              <w:left w:val="nil"/>
              <w:bottom w:val="nil"/>
              <w:right w:val="nil"/>
            </w:tcBorders>
            <w:shd w:val="clear" w:color="auto" w:fill="auto"/>
            <w:noWrap/>
            <w:vAlign w:val="bottom"/>
            <w:hideMark/>
          </w:tcPr>
          <w:p w14:paraId="1F58838E" w14:textId="77777777" w:rsidR="00FC4546" w:rsidRPr="00684285" w:rsidRDefault="00FC4546" w:rsidP="00B306C4">
            <w:pPr>
              <w:spacing w:after="0"/>
              <w:rPr>
                <w:rFonts w:ascii="Cambria" w:eastAsia="Times New Roman" w:hAnsi="Cambria" w:cs="Times New Roman"/>
                <w:b/>
                <w:bCs/>
                <w:color w:val="000000"/>
                <w:sz w:val="20"/>
                <w:szCs w:val="20"/>
              </w:rPr>
            </w:pPr>
            <w:r w:rsidRPr="00684285">
              <w:rPr>
                <w:rFonts w:ascii="Cambria" w:eastAsia="Times New Roman" w:hAnsi="Cambria" w:cs="Times New Roman"/>
                <w:b/>
                <w:bCs/>
                <w:color w:val="000000"/>
                <w:sz w:val="20"/>
                <w:szCs w:val="20"/>
              </w:rPr>
              <w:t>Age</w:t>
            </w:r>
          </w:p>
        </w:tc>
        <w:tc>
          <w:tcPr>
            <w:tcW w:w="1250" w:type="dxa"/>
            <w:tcBorders>
              <w:top w:val="single" w:sz="4" w:space="0" w:color="auto"/>
              <w:left w:val="nil"/>
              <w:bottom w:val="nil"/>
              <w:right w:val="nil"/>
            </w:tcBorders>
            <w:shd w:val="clear" w:color="auto" w:fill="auto"/>
            <w:noWrap/>
            <w:vAlign w:val="bottom"/>
            <w:hideMark/>
          </w:tcPr>
          <w:p w14:paraId="21BB925D" w14:textId="77777777" w:rsidR="00FC4546" w:rsidRPr="00684285" w:rsidRDefault="00FC4546" w:rsidP="00B306C4">
            <w:pPr>
              <w:spacing w:after="0"/>
              <w:jc w:val="center"/>
              <w:rPr>
                <w:rFonts w:ascii="Cambria" w:eastAsia="Times New Roman" w:hAnsi="Cambria" w:cs="Times New Roman"/>
                <w:color w:val="000000"/>
                <w:sz w:val="20"/>
                <w:szCs w:val="20"/>
              </w:rPr>
            </w:pPr>
            <w:r w:rsidRPr="00684285">
              <w:rPr>
                <w:rFonts w:ascii="Cambria" w:eastAsia="Times New Roman" w:hAnsi="Cambria" w:cs="Times New Roman"/>
                <w:color w:val="000000"/>
                <w:sz w:val="20"/>
                <w:szCs w:val="20"/>
              </w:rPr>
              <w:t> </w:t>
            </w:r>
          </w:p>
        </w:tc>
        <w:tc>
          <w:tcPr>
            <w:tcW w:w="900" w:type="dxa"/>
            <w:tcBorders>
              <w:top w:val="single" w:sz="4" w:space="0" w:color="auto"/>
              <w:left w:val="nil"/>
              <w:bottom w:val="nil"/>
              <w:right w:val="nil"/>
            </w:tcBorders>
            <w:shd w:val="clear" w:color="auto" w:fill="auto"/>
            <w:noWrap/>
            <w:vAlign w:val="bottom"/>
            <w:hideMark/>
          </w:tcPr>
          <w:p w14:paraId="33EAC0F8" w14:textId="77777777" w:rsidR="00FC4546" w:rsidRPr="00684285" w:rsidRDefault="00FC4546" w:rsidP="00B306C4">
            <w:pPr>
              <w:spacing w:after="0"/>
              <w:jc w:val="center"/>
              <w:rPr>
                <w:rFonts w:ascii="Cambria" w:eastAsia="Times New Roman" w:hAnsi="Cambria" w:cs="Times New Roman"/>
                <w:color w:val="000000"/>
                <w:sz w:val="20"/>
                <w:szCs w:val="20"/>
              </w:rPr>
            </w:pPr>
            <w:r w:rsidRPr="00684285">
              <w:rPr>
                <w:rFonts w:ascii="Cambria" w:eastAsia="Times New Roman" w:hAnsi="Cambria" w:cs="Times New Roman"/>
                <w:color w:val="000000"/>
                <w:sz w:val="20"/>
                <w:szCs w:val="20"/>
              </w:rPr>
              <w:t> </w:t>
            </w:r>
          </w:p>
        </w:tc>
        <w:tc>
          <w:tcPr>
            <w:tcW w:w="1260" w:type="dxa"/>
            <w:tcBorders>
              <w:top w:val="single" w:sz="4" w:space="0" w:color="auto"/>
              <w:left w:val="nil"/>
              <w:bottom w:val="nil"/>
              <w:right w:val="nil"/>
            </w:tcBorders>
            <w:shd w:val="clear" w:color="auto" w:fill="auto"/>
            <w:noWrap/>
            <w:vAlign w:val="bottom"/>
            <w:hideMark/>
          </w:tcPr>
          <w:p w14:paraId="4FF9B300" w14:textId="77777777" w:rsidR="00FC4546" w:rsidRPr="00684285" w:rsidRDefault="00FC4546" w:rsidP="00B306C4">
            <w:pPr>
              <w:spacing w:after="0"/>
              <w:jc w:val="center"/>
              <w:rPr>
                <w:rFonts w:ascii="Cambria" w:eastAsia="Times New Roman" w:hAnsi="Cambria" w:cs="Times New Roman"/>
                <w:color w:val="000000"/>
                <w:sz w:val="20"/>
                <w:szCs w:val="20"/>
              </w:rPr>
            </w:pPr>
            <w:r w:rsidRPr="00684285">
              <w:rPr>
                <w:rFonts w:ascii="Cambria" w:eastAsia="Times New Roman" w:hAnsi="Cambria" w:cs="Times New Roman"/>
                <w:color w:val="000000"/>
                <w:sz w:val="20"/>
                <w:szCs w:val="20"/>
              </w:rPr>
              <w:t> </w:t>
            </w:r>
          </w:p>
        </w:tc>
        <w:tc>
          <w:tcPr>
            <w:tcW w:w="1734" w:type="dxa"/>
            <w:tcBorders>
              <w:top w:val="nil"/>
              <w:left w:val="nil"/>
              <w:bottom w:val="nil"/>
              <w:right w:val="nil"/>
            </w:tcBorders>
            <w:shd w:val="clear" w:color="auto" w:fill="auto"/>
            <w:noWrap/>
            <w:vAlign w:val="bottom"/>
            <w:hideMark/>
          </w:tcPr>
          <w:p w14:paraId="3954D6B9" w14:textId="77777777" w:rsidR="00FC4546" w:rsidRPr="00684285" w:rsidRDefault="00FC4546" w:rsidP="00B306C4">
            <w:pPr>
              <w:spacing w:after="0"/>
              <w:jc w:val="center"/>
              <w:rPr>
                <w:rFonts w:ascii="Cambria" w:eastAsia="Times New Roman" w:hAnsi="Cambria" w:cs="Times New Roman"/>
                <w:color w:val="000000"/>
                <w:sz w:val="20"/>
                <w:szCs w:val="20"/>
              </w:rPr>
            </w:pPr>
          </w:p>
        </w:tc>
        <w:tc>
          <w:tcPr>
            <w:tcW w:w="1326" w:type="dxa"/>
            <w:tcBorders>
              <w:top w:val="single" w:sz="4" w:space="0" w:color="auto"/>
              <w:left w:val="nil"/>
              <w:bottom w:val="nil"/>
              <w:right w:val="nil"/>
            </w:tcBorders>
            <w:shd w:val="clear" w:color="auto" w:fill="auto"/>
            <w:noWrap/>
            <w:vAlign w:val="bottom"/>
            <w:hideMark/>
          </w:tcPr>
          <w:p w14:paraId="06BE5B3D" w14:textId="77777777" w:rsidR="00FC4546" w:rsidRPr="00684285" w:rsidRDefault="00FC4546" w:rsidP="00B306C4">
            <w:pPr>
              <w:spacing w:after="0"/>
              <w:jc w:val="center"/>
              <w:rPr>
                <w:rFonts w:ascii="Cambria" w:eastAsia="Times New Roman" w:hAnsi="Cambria" w:cs="Times New Roman"/>
                <w:color w:val="000000"/>
                <w:sz w:val="20"/>
                <w:szCs w:val="20"/>
              </w:rPr>
            </w:pPr>
            <w:r w:rsidRPr="00684285">
              <w:rPr>
                <w:rFonts w:ascii="Cambria" w:eastAsia="Times New Roman" w:hAnsi="Cambria" w:cs="Times New Roman"/>
                <w:color w:val="000000"/>
                <w:sz w:val="20"/>
                <w:szCs w:val="20"/>
              </w:rPr>
              <w:t> </w:t>
            </w:r>
          </w:p>
        </w:tc>
        <w:tc>
          <w:tcPr>
            <w:tcW w:w="720" w:type="dxa"/>
            <w:tcBorders>
              <w:top w:val="single" w:sz="4" w:space="0" w:color="auto"/>
              <w:left w:val="nil"/>
              <w:bottom w:val="nil"/>
              <w:right w:val="nil"/>
            </w:tcBorders>
            <w:shd w:val="clear" w:color="auto" w:fill="auto"/>
            <w:noWrap/>
            <w:vAlign w:val="bottom"/>
            <w:hideMark/>
          </w:tcPr>
          <w:p w14:paraId="4FBEF971" w14:textId="77777777" w:rsidR="00FC4546" w:rsidRPr="00684285" w:rsidRDefault="00FC4546" w:rsidP="00B306C4">
            <w:pPr>
              <w:spacing w:after="0"/>
              <w:jc w:val="center"/>
              <w:rPr>
                <w:rFonts w:ascii="Cambria" w:eastAsia="Times New Roman" w:hAnsi="Cambria" w:cs="Times New Roman"/>
                <w:color w:val="000000"/>
                <w:sz w:val="20"/>
                <w:szCs w:val="20"/>
              </w:rPr>
            </w:pPr>
            <w:r w:rsidRPr="00684285">
              <w:rPr>
                <w:rFonts w:ascii="Cambria" w:eastAsia="Times New Roman" w:hAnsi="Cambria" w:cs="Times New Roman"/>
                <w:color w:val="000000"/>
                <w:sz w:val="20"/>
                <w:szCs w:val="20"/>
              </w:rPr>
              <w:t> </w:t>
            </w:r>
          </w:p>
        </w:tc>
        <w:tc>
          <w:tcPr>
            <w:tcW w:w="2018" w:type="dxa"/>
            <w:tcBorders>
              <w:top w:val="nil"/>
              <w:left w:val="nil"/>
              <w:bottom w:val="nil"/>
              <w:right w:val="nil"/>
            </w:tcBorders>
            <w:shd w:val="clear" w:color="auto" w:fill="auto"/>
            <w:noWrap/>
            <w:vAlign w:val="bottom"/>
            <w:hideMark/>
          </w:tcPr>
          <w:p w14:paraId="6C744C6C" w14:textId="77777777" w:rsidR="00FC4546" w:rsidRPr="00684285" w:rsidRDefault="00FC4546" w:rsidP="00B306C4">
            <w:pPr>
              <w:spacing w:after="0"/>
              <w:jc w:val="center"/>
              <w:rPr>
                <w:rFonts w:ascii="Cambria" w:eastAsia="Times New Roman" w:hAnsi="Cambria" w:cs="Times New Roman"/>
                <w:color w:val="000000"/>
                <w:sz w:val="20"/>
                <w:szCs w:val="20"/>
              </w:rPr>
            </w:pPr>
          </w:p>
        </w:tc>
      </w:tr>
      <w:tr w:rsidR="00FC4546" w:rsidRPr="00684285" w14:paraId="7BDCAF72" w14:textId="77777777" w:rsidTr="00FC4546">
        <w:trPr>
          <w:trHeight w:val="144"/>
        </w:trPr>
        <w:tc>
          <w:tcPr>
            <w:tcW w:w="1720" w:type="dxa"/>
            <w:tcBorders>
              <w:top w:val="nil"/>
              <w:left w:val="nil"/>
              <w:bottom w:val="nil"/>
              <w:right w:val="nil"/>
            </w:tcBorders>
            <w:shd w:val="clear" w:color="auto" w:fill="auto"/>
            <w:noWrap/>
            <w:vAlign w:val="bottom"/>
            <w:hideMark/>
          </w:tcPr>
          <w:p w14:paraId="0142B7AF" w14:textId="77777777" w:rsidR="00FC4546" w:rsidRPr="00684285" w:rsidRDefault="00FC4546" w:rsidP="00B306C4">
            <w:pPr>
              <w:spacing w:after="0"/>
              <w:rPr>
                <w:rFonts w:ascii="Cambria" w:eastAsia="Times New Roman" w:hAnsi="Cambria" w:cs="Times New Roman"/>
                <w:color w:val="000000"/>
                <w:sz w:val="20"/>
                <w:szCs w:val="20"/>
              </w:rPr>
            </w:pPr>
            <w:r w:rsidRPr="00684285">
              <w:rPr>
                <w:rFonts w:ascii="Cambria" w:eastAsia="Times New Roman" w:hAnsi="Cambria" w:cs="Times New Roman"/>
                <w:color w:val="000000"/>
                <w:sz w:val="20"/>
                <w:szCs w:val="20"/>
              </w:rPr>
              <w:t>16-17</w:t>
            </w:r>
          </w:p>
        </w:tc>
        <w:tc>
          <w:tcPr>
            <w:tcW w:w="1250" w:type="dxa"/>
            <w:tcBorders>
              <w:top w:val="nil"/>
              <w:left w:val="nil"/>
              <w:bottom w:val="nil"/>
              <w:right w:val="nil"/>
            </w:tcBorders>
            <w:shd w:val="clear" w:color="auto" w:fill="auto"/>
            <w:noWrap/>
            <w:vAlign w:val="bottom"/>
            <w:hideMark/>
          </w:tcPr>
          <w:p w14:paraId="778D5863" w14:textId="77777777" w:rsidR="00FC4546" w:rsidRPr="00684285" w:rsidRDefault="00FC4546" w:rsidP="00B306C4">
            <w:pPr>
              <w:spacing w:after="0"/>
              <w:jc w:val="center"/>
              <w:rPr>
                <w:rFonts w:ascii="Cambria" w:eastAsia="Times New Roman" w:hAnsi="Cambria" w:cs="Times New Roman"/>
                <w:color w:val="000000"/>
                <w:sz w:val="20"/>
                <w:szCs w:val="20"/>
              </w:rPr>
            </w:pPr>
            <w:r w:rsidRPr="00684285">
              <w:rPr>
                <w:rFonts w:ascii="Cambria" w:eastAsia="Times New Roman" w:hAnsi="Cambria" w:cs="Times New Roman"/>
                <w:color w:val="000000"/>
                <w:sz w:val="20"/>
                <w:szCs w:val="20"/>
              </w:rPr>
              <w:t>3.6</w:t>
            </w:r>
          </w:p>
        </w:tc>
        <w:tc>
          <w:tcPr>
            <w:tcW w:w="900" w:type="dxa"/>
            <w:tcBorders>
              <w:top w:val="nil"/>
              <w:left w:val="nil"/>
              <w:bottom w:val="nil"/>
              <w:right w:val="nil"/>
            </w:tcBorders>
            <w:shd w:val="clear" w:color="auto" w:fill="auto"/>
            <w:noWrap/>
            <w:vAlign w:val="bottom"/>
            <w:hideMark/>
          </w:tcPr>
          <w:p w14:paraId="0484C76E" w14:textId="77777777" w:rsidR="00FC4546" w:rsidRPr="00684285" w:rsidRDefault="00FC4546" w:rsidP="00B306C4">
            <w:pPr>
              <w:spacing w:after="0"/>
              <w:jc w:val="center"/>
              <w:rPr>
                <w:rFonts w:ascii="Cambria" w:eastAsia="Times New Roman" w:hAnsi="Cambria" w:cs="Times New Roman"/>
                <w:color w:val="000000"/>
                <w:sz w:val="20"/>
                <w:szCs w:val="20"/>
              </w:rPr>
            </w:pPr>
            <w:r w:rsidRPr="00684285">
              <w:rPr>
                <w:rFonts w:ascii="Cambria" w:eastAsia="Times New Roman" w:hAnsi="Cambria" w:cs="Times New Roman"/>
                <w:color w:val="000000"/>
                <w:sz w:val="20"/>
                <w:szCs w:val="20"/>
              </w:rPr>
              <w:t>3.9</w:t>
            </w:r>
          </w:p>
        </w:tc>
        <w:tc>
          <w:tcPr>
            <w:tcW w:w="1260" w:type="dxa"/>
            <w:tcBorders>
              <w:top w:val="nil"/>
              <w:left w:val="nil"/>
              <w:bottom w:val="nil"/>
              <w:right w:val="nil"/>
            </w:tcBorders>
            <w:shd w:val="clear" w:color="auto" w:fill="auto"/>
            <w:noWrap/>
            <w:vAlign w:val="bottom"/>
            <w:hideMark/>
          </w:tcPr>
          <w:p w14:paraId="74E3708B" w14:textId="77777777" w:rsidR="00FC4546" w:rsidRPr="00684285" w:rsidRDefault="00FC4546" w:rsidP="00B306C4">
            <w:pPr>
              <w:spacing w:after="0"/>
              <w:jc w:val="center"/>
              <w:rPr>
                <w:rFonts w:ascii="Cambria" w:eastAsia="Times New Roman" w:hAnsi="Cambria" w:cs="Times New Roman"/>
                <w:color w:val="000000"/>
                <w:sz w:val="20"/>
                <w:szCs w:val="20"/>
              </w:rPr>
            </w:pPr>
            <w:r w:rsidRPr="00684285">
              <w:rPr>
                <w:rFonts w:ascii="Cambria" w:eastAsia="Times New Roman" w:hAnsi="Cambria" w:cs="Times New Roman"/>
                <w:color w:val="000000"/>
                <w:sz w:val="20"/>
                <w:szCs w:val="20"/>
              </w:rPr>
              <w:t>3.6</w:t>
            </w:r>
          </w:p>
        </w:tc>
        <w:tc>
          <w:tcPr>
            <w:tcW w:w="1734" w:type="dxa"/>
            <w:tcBorders>
              <w:top w:val="nil"/>
              <w:left w:val="nil"/>
              <w:bottom w:val="nil"/>
              <w:right w:val="nil"/>
            </w:tcBorders>
            <w:shd w:val="clear" w:color="auto" w:fill="auto"/>
            <w:noWrap/>
            <w:vAlign w:val="bottom"/>
            <w:hideMark/>
          </w:tcPr>
          <w:p w14:paraId="54617D6E" w14:textId="77777777" w:rsidR="00FC4546" w:rsidRPr="00684285" w:rsidRDefault="00FC4546" w:rsidP="00B306C4">
            <w:pPr>
              <w:spacing w:after="0"/>
              <w:jc w:val="center"/>
              <w:rPr>
                <w:rFonts w:ascii="Cambria" w:eastAsia="Times New Roman" w:hAnsi="Cambria" w:cs="Times New Roman"/>
                <w:color w:val="000000"/>
                <w:sz w:val="20"/>
                <w:szCs w:val="20"/>
              </w:rPr>
            </w:pPr>
            <w:r w:rsidRPr="00684285">
              <w:rPr>
                <w:rFonts w:ascii="Cambria" w:eastAsia="Times New Roman" w:hAnsi="Cambria" w:cs="Times New Roman"/>
                <w:color w:val="000000"/>
                <w:sz w:val="20"/>
                <w:szCs w:val="20"/>
              </w:rPr>
              <w:t>1.6</w:t>
            </w:r>
          </w:p>
        </w:tc>
        <w:tc>
          <w:tcPr>
            <w:tcW w:w="1326" w:type="dxa"/>
            <w:tcBorders>
              <w:top w:val="nil"/>
              <w:left w:val="nil"/>
              <w:bottom w:val="nil"/>
              <w:right w:val="nil"/>
            </w:tcBorders>
            <w:shd w:val="clear" w:color="auto" w:fill="auto"/>
            <w:noWrap/>
            <w:vAlign w:val="bottom"/>
            <w:hideMark/>
          </w:tcPr>
          <w:p w14:paraId="3B15C565" w14:textId="77777777" w:rsidR="00FC4546" w:rsidRPr="00684285" w:rsidRDefault="00FC4546" w:rsidP="00B306C4">
            <w:pPr>
              <w:spacing w:after="0"/>
              <w:jc w:val="center"/>
              <w:rPr>
                <w:rFonts w:ascii="Cambria" w:eastAsia="Times New Roman" w:hAnsi="Cambria" w:cs="Times New Roman"/>
                <w:color w:val="000000"/>
                <w:sz w:val="20"/>
                <w:szCs w:val="20"/>
              </w:rPr>
            </w:pPr>
            <w:r w:rsidRPr="00684285">
              <w:rPr>
                <w:rFonts w:ascii="Cambria" w:eastAsia="Times New Roman" w:hAnsi="Cambria" w:cs="Times New Roman"/>
                <w:color w:val="000000"/>
                <w:sz w:val="20"/>
                <w:szCs w:val="20"/>
              </w:rPr>
              <w:t>3.4</w:t>
            </w:r>
          </w:p>
        </w:tc>
        <w:tc>
          <w:tcPr>
            <w:tcW w:w="720" w:type="dxa"/>
            <w:tcBorders>
              <w:top w:val="nil"/>
              <w:left w:val="nil"/>
              <w:bottom w:val="nil"/>
              <w:right w:val="nil"/>
            </w:tcBorders>
            <w:shd w:val="clear" w:color="auto" w:fill="auto"/>
            <w:noWrap/>
            <w:vAlign w:val="bottom"/>
            <w:hideMark/>
          </w:tcPr>
          <w:p w14:paraId="4D4284C3" w14:textId="77777777" w:rsidR="00FC4546" w:rsidRPr="00684285" w:rsidRDefault="00FC4546" w:rsidP="00B306C4">
            <w:pPr>
              <w:spacing w:after="0"/>
              <w:jc w:val="center"/>
              <w:rPr>
                <w:rFonts w:ascii="Cambria" w:eastAsia="Times New Roman" w:hAnsi="Cambria" w:cs="Times New Roman"/>
                <w:color w:val="000000"/>
                <w:sz w:val="20"/>
                <w:szCs w:val="20"/>
              </w:rPr>
            </w:pPr>
            <w:r w:rsidRPr="00684285">
              <w:rPr>
                <w:rFonts w:ascii="Cambria" w:eastAsia="Times New Roman" w:hAnsi="Cambria" w:cs="Times New Roman"/>
                <w:color w:val="000000"/>
                <w:sz w:val="20"/>
                <w:szCs w:val="20"/>
              </w:rPr>
              <w:t>2.3</w:t>
            </w:r>
          </w:p>
        </w:tc>
        <w:tc>
          <w:tcPr>
            <w:tcW w:w="2018" w:type="dxa"/>
            <w:tcBorders>
              <w:top w:val="nil"/>
              <w:left w:val="nil"/>
              <w:bottom w:val="nil"/>
              <w:right w:val="nil"/>
            </w:tcBorders>
            <w:shd w:val="clear" w:color="auto" w:fill="auto"/>
            <w:noWrap/>
            <w:vAlign w:val="bottom"/>
            <w:hideMark/>
          </w:tcPr>
          <w:p w14:paraId="0BEC1B36" w14:textId="77777777" w:rsidR="00FC4546" w:rsidRPr="00684285" w:rsidRDefault="00FC4546" w:rsidP="00B306C4">
            <w:pPr>
              <w:spacing w:after="0"/>
              <w:jc w:val="center"/>
              <w:rPr>
                <w:rFonts w:ascii="Cambria" w:eastAsia="Times New Roman" w:hAnsi="Cambria" w:cs="Times New Roman"/>
                <w:color w:val="000000"/>
                <w:sz w:val="20"/>
                <w:szCs w:val="20"/>
              </w:rPr>
            </w:pPr>
            <w:r w:rsidRPr="00684285">
              <w:rPr>
                <w:rFonts w:ascii="Cambria" w:eastAsia="Times New Roman" w:hAnsi="Cambria" w:cs="Times New Roman"/>
                <w:color w:val="000000"/>
                <w:sz w:val="20"/>
                <w:szCs w:val="20"/>
              </w:rPr>
              <w:t>3.5</w:t>
            </w:r>
          </w:p>
        </w:tc>
      </w:tr>
      <w:tr w:rsidR="00FC4546" w:rsidRPr="00684285" w14:paraId="52648CB3" w14:textId="77777777" w:rsidTr="00FC4546">
        <w:trPr>
          <w:trHeight w:val="144"/>
        </w:trPr>
        <w:tc>
          <w:tcPr>
            <w:tcW w:w="1720" w:type="dxa"/>
            <w:tcBorders>
              <w:top w:val="nil"/>
              <w:left w:val="nil"/>
              <w:bottom w:val="nil"/>
              <w:right w:val="nil"/>
            </w:tcBorders>
            <w:shd w:val="clear" w:color="auto" w:fill="auto"/>
            <w:noWrap/>
            <w:vAlign w:val="bottom"/>
            <w:hideMark/>
          </w:tcPr>
          <w:p w14:paraId="5C439788" w14:textId="77777777" w:rsidR="00FC4546" w:rsidRPr="00684285" w:rsidRDefault="00FC4546" w:rsidP="00B306C4">
            <w:pPr>
              <w:spacing w:after="0"/>
              <w:rPr>
                <w:rFonts w:ascii="Cambria" w:eastAsia="Times New Roman" w:hAnsi="Cambria" w:cs="Times New Roman"/>
                <w:color w:val="000000"/>
                <w:sz w:val="20"/>
                <w:szCs w:val="20"/>
              </w:rPr>
            </w:pPr>
            <w:r w:rsidRPr="00684285">
              <w:rPr>
                <w:rFonts w:ascii="Cambria" w:eastAsia="Times New Roman" w:hAnsi="Cambria" w:cs="Times New Roman"/>
                <w:color w:val="000000"/>
                <w:sz w:val="20"/>
                <w:szCs w:val="20"/>
              </w:rPr>
              <w:t>18-24</w:t>
            </w:r>
          </w:p>
        </w:tc>
        <w:tc>
          <w:tcPr>
            <w:tcW w:w="1250" w:type="dxa"/>
            <w:tcBorders>
              <w:top w:val="nil"/>
              <w:left w:val="nil"/>
              <w:bottom w:val="nil"/>
              <w:right w:val="nil"/>
            </w:tcBorders>
            <w:shd w:val="clear" w:color="auto" w:fill="auto"/>
            <w:noWrap/>
            <w:vAlign w:val="bottom"/>
            <w:hideMark/>
          </w:tcPr>
          <w:p w14:paraId="281924A2" w14:textId="77777777" w:rsidR="00FC4546" w:rsidRPr="00684285" w:rsidRDefault="00FC4546" w:rsidP="00B306C4">
            <w:pPr>
              <w:spacing w:after="0"/>
              <w:jc w:val="center"/>
              <w:rPr>
                <w:rFonts w:ascii="Cambria" w:eastAsia="Times New Roman" w:hAnsi="Cambria" w:cs="Times New Roman"/>
                <w:color w:val="000000"/>
                <w:sz w:val="20"/>
                <w:szCs w:val="20"/>
              </w:rPr>
            </w:pPr>
            <w:r w:rsidRPr="00684285">
              <w:rPr>
                <w:rFonts w:ascii="Cambria" w:eastAsia="Times New Roman" w:hAnsi="Cambria" w:cs="Times New Roman"/>
                <w:color w:val="000000"/>
                <w:sz w:val="20"/>
                <w:szCs w:val="20"/>
              </w:rPr>
              <w:t>13.3</w:t>
            </w:r>
          </w:p>
        </w:tc>
        <w:tc>
          <w:tcPr>
            <w:tcW w:w="900" w:type="dxa"/>
            <w:tcBorders>
              <w:top w:val="nil"/>
              <w:left w:val="nil"/>
              <w:bottom w:val="nil"/>
              <w:right w:val="nil"/>
            </w:tcBorders>
            <w:shd w:val="clear" w:color="auto" w:fill="auto"/>
            <w:noWrap/>
            <w:vAlign w:val="bottom"/>
            <w:hideMark/>
          </w:tcPr>
          <w:p w14:paraId="679F27BA" w14:textId="77777777" w:rsidR="00FC4546" w:rsidRPr="00684285" w:rsidRDefault="00FC4546" w:rsidP="00B306C4">
            <w:pPr>
              <w:spacing w:after="0"/>
              <w:jc w:val="center"/>
              <w:rPr>
                <w:rFonts w:ascii="Cambria" w:eastAsia="Times New Roman" w:hAnsi="Cambria" w:cs="Times New Roman"/>
                <w:color w:val="000000"/>
                <w:sz w:val="20"/>
                <w:szCs w:val="20"/>
              </w:rPr>
            </w:pPr>
            <w:r w:rsidRPr="00684285">
              <w:rPr>
                <w:rFonts w:ascii="Cambria" w:eastAsia="Times New Roman" w:hAnsi="Cambria" w:cs="Times New Roman"/>
                <w:color w:val="000000"/>
                <w:sz w:val="20"/>
                <w:szCs w:val="20"/>
              </w:rPr>
              <w:t>16.5</w:t>
            </w:r>
          </w:p>
        </w:tc>
        <w:tc>
          <w:tcPr>
            <w:tcW w:w="1260" w:type="dxa"/>
            <w:tcBorders>
              <w:top w:val="nil"/>
              <w:left w:val="nil"/>
              <w:bottom w:val="nil"/>
              <w:right w:val="nil"/>
            </w:tcBorders>
            <w:shd w:val="clear" w:color="auto" w:fill="auto"/>
            <w:noWrap/>
            <w:vAlign w:val="bottom"/>
            <w:hideMark/>
          </w:tcPr>
          <w:p w14:paraId="5FC3F258" w14:textId="77777777" w:rsidR="00FC4546" w:rsidRPr="00684285" w:rsidRDefault="00FC4546" w:rsidP="00B306C4">
            <w:pPr>
              <w:spacing w:after="0"/>
              <w:jc w:val="center"/>
              <w:rPr>
                <w:rFonts w:ascii="Cambria" w:eastAsia="Times New Roman" w:hAnsi="Cambria" w:cs="Times New Roman"/>
                <w:color w:val="000000"/>
                <w:sz w:val="20"/>
                <w:szCs w:val="20"/>
              </w:rPr>
            </w:pPr>
            <w:r w:rsidRPr="00684285">
              <w:rPr>
                <w:rFonts w:ascii="Cambria" w:eastAsia="Times New Roman" w:hAnsi="Cambria" w:cs="Times New Roman"/>
                <w:color w:val="000000"/>
                <w:sz w:val="20"/>
                <w:szCs w:val="20"/>
              </w:rPr>
              <w:t>13.1</w:t>
            </w:r>
          </w:p>
        </w:tc>
        <w:tc>
          <w:tcPr>
            <w:tcW w:w="1734" w:type="dxa"/>
            <w:tcBorders>
              <w:top w:val="nil"/>
              <w:left w:val="nil"/>
              <w:bottom w:val="nil"/>
              <w:right w:val="nil"/>
            </w:tcBorders>
            <w:shd w:val="clear" w:color="auto" w:fill="auto"/>
            <w:noWrap/>
            <w:vAlign w:val="bottom"/>
            <w:hideMark/>
          </w:tcPr>
          <w:p w14:paraId="7B3509C2" w14:textId="77777777" w:rsidR="00FC4546" w:rsidRPr="00684285" w:rsidRDefault="00FC4546" w:rsidP="00B306C4">
            <w:pPr>
              <w:spacing w:after="0"/>
              <w:jc w:val="center"/>
              <w:rPr>
                <w:rFonts w:ascii="Cambria" w:eastAsia="Times New Roman" w:hAnsi="Cambria" w:cs="Times New Roman"/>
                <w:color w:val="000000"/>
                <w:sz w:val="20"/>
                <w:szCs w:val="20"/>
              </w:rPr>
            </w:pPr>
            <w:r w:rsidRPr="00684285">
              <w:rPr>
                <w:rFonts w:ascii="Cambria" w:eastAsia="Times New Roman" w:hAnsi="Cambria" w:cs="Times New Roman"/>
                <w:color w:val="000000"/>
                <w:sz w:val="20"/>
                <w:szCs w:val="20"/>
              </w:rPr>
              <w:t>7.4</w:t>
            </w:r>
          </w:p>
        </w:tc>
        <w:tc>
          <w:tcPr>
            <w:tcW w:w="1326" w:type="dxa"/>
            <w:tcBorders>
              <w:top w:val="nil"/>
              <w:left w:val="nil"/>
              <w:bottom w:val="nil"/>
              <w:right w:val="nil"/>
            </w:tcBorders>
            <w:shd w:val="clear" w:color="auto" w:fill="auto"/>
            <w:noWrap/>
            <w:vAlign w:val="bottom"/>
            <w:hideMark/>
          </w:tcPr>
          <w:p w14:paraId="3CC457FB" w14:textId="77777777" w:rsidR="00FC4546" w:rsidRPr="00684285" w:rsidRDefault="00FC4546" w:rsidP="00B306C4">
            <w:pPr>
              <w:spacing w:after="0"/>
              <w:jc w:val="center"/>
              <w:rPr>
                <w:rFonts w:ascii="Cambria" w:eastAsia="Times New Roman" w:hAnsi="Cambria" w:cs="Times New Roman"/>
                <w:color w:val="000000"/>
                <w:sz w:val="20"/>
                <w:szCs w:val="20"/>
              </w:rPr>
            </w:pPr>
            <w:r w:rsidRPr="00684285">
              <w:rPr>
                <w:rFonts w:ascii="Cambria" w:eastAsia="Times New Roman" w:hAnsi="Cambria" w:cs="Times New Roman"/>
                <w:color w:val="000000"/>
                <w:sz w:val="20"/>
                <w:szCs w:val="20"/>
              </w:rPr>
              <w:t>13.1</w:t>
            </w:r>
          </w:p>
        </w:tc>
        <w:tc>
          <w:tcPr>
            <w:tcW w:w="720" w:type="dxa"/>
            <w:tcBorders>
              <w:top w:val="nil"/>
              <w:left w:val="nil"/>
              <w:bottom w:val="nil"/>
              <w:right w:val="nil"/>
            </w:tcBorders>
            <w:shd w:val="clear" w:color="auto" w:fill="auto"/>
            <w:noWrap/>
            <w:vAlign w:val="bottom"/>
            <w:hideMark/>
          </w:tcPr>
          <w:p w14:paraId="536FFF71" w14:textId="77777777" w:rsidR="00FC4546" w:rsidRPr="00684285" w:rsidRDefault="00FC4546" w:rsidP="00B306C4">
            <w:pPr>
              <w:spacing w:after="0"/>
              <w:jc w:val="center"/>
              <w:rPr>
                <w:rFonts w:ascii="Cambria" w:eastAsia="Times New Roman" w:hAnsi="Cambria" w:cs="Times New Roman"/>
                <w:color w:val="000000"/>
                <w:sz w:val="20"/>
                <w:szCs w:val="20"/>
              </w:rPr>
            </w:pPr>
            <w:r w:rsidRPr="00684285">
              <w:rPr>
                <w:rFonts w:ascii="Cambria" w:eastAsia="Times New Roman" w:hAnsi="Cambria" w:cs="Times New Roman"/>
                <w:color w:val="000000"/>
                <w:sz w:val="20"/>
                <w:szCs w:val="20"/>
              </w:rPr>
              <w:t>13.3</w:t>
            </w:r>
          </w:p>
        </w:tc>
        <w:tc>
          <w:tcPr>
            <w:tcW w:w="2018" w:type="dxa"/>
            <w:tcBorders>
              <w:top w:val="nil"/>
              <w:left w:val="nil"/>
              <w:bottom w:val="nil"/>
              <w:right w:val="nil"/>
            </w:tcBorders>
            <w:shd w:val="clear" w:color="auto" w:fill="auto"/>
            <w:noWrap/>
            <w:vAlign w:val="bottom"/>
            <w:hideMark/>
          </w:tcPr>
          <w:p w14:paraId="0AA761EE" w14:textId="77777777" w:rsidR="00FC4546" w:rsidRPr="00684285" w:rsidRDefault="00FC4546" w:rsidP="00B306C4">
            <w:pPr>
              <w:spacing w:after="0"/>
              <w:jc w:val="center"/>
              <w:rPr>
                <w:rFonts w:ascii="Cambria" w:eastAsia="Times New Roman" w:hAnsi="Cambria" w:cs="Times New Roman"/>
                <w:color w:val="000000"/>
                <w:sz w:val="20"/>
                <w:szCs w:val="20"/>
              </w:rPr>
            </w:pPr>
            <w:r w:rsidRPr="00684285">
              <w:rPr>
                <w:rFonts w:ascii="Cambria" w:eastAsia="Times New Roman" w:hAnsi="Cambria" w:cs="Times New Roman"/>
                <w:color w:val="000000"/>
                <w:sz w:val="20"/>
                <w:szCs w:val="20"/>
              </w:rPr>
              <w:t>13.1</w:t>
            </w:r>
          </w:p>
        </w:tc>
      </w:tr>
      <w:tr w:rsidR="00FC4546" w:rsidRPr="00684285" w14:paraId="4F7F79B0" w14:textId="77777777" w:rsidTr="00FC4546">
        <w:trPr>
          <w:trHeight w:val="144"/>
        </w:trPr>
        <w:tc>
          <w:tcPr>
            <w:tcW w:w="1720" w:type="dxa"/>
            <w:tcBorders>
              <w:top w:val="nil"/>
              <w:left w:val="nil"/>
              <w:bottom w:val="nil"/>
              <w:right w:val="nil"/>
            </w:tcBorders>
            <w:shd w:val="clear" w:color="auto" w:fill="auto"/>
            <w:noWrap/>
            <w:vAlign w:val="bottom"/>
            <w:hideMark/>
          </w:tcPr>
          <w:p w14:paraId="7676936E" w14:textId="77777777" w:rsidR="00FC4546" w:rsidRPr="00684285" w:rsidRDefault="00FC4546" w:rsidP="00B306C4">
            <w:pPr>
              <w:spacing w:after="0"/>
              <w:rPr>
                <w:rFonts w:ascii="Cambria" w:eastAsia="Times New Roman" w:hAnsi="Cambria" w:cs="Times New Roman"/>
                <w:color w:val="000000"/>
                <w:sz w:val="20"/>
                <w:szCs w:val="20"/>
              </w:rPr>
            </w:pPr>
            <w:r w:rsidRPr="00684285">
              <w:rPr>
                <w:rFonts w:ascii="Cambria" w:eastAsia="Times New Roman" w:hAnsi="Cambria" w:cs="Times New Roman"/>
                <w:color w:val="000000"/>
                <w:sz w:val="20"/>
                <w:szCs w:val="20"/>
              </w:rPr>
              <w:t>25-39</w:t>
            </w:r>
          </w:p>
        </w:tc>
        <w:tc>
          <w:tcPr>
            <w:tcW w:w="1250" w:type="dxa"/>
            <w:tcBorders>
              <w:top w:val="nil"/>
              <w:left w:val="nil"/>
              <w:bottom w:val="nil"/>
              <w:right w:val="nil"/>
            </w:tcBorders>
            <w:shd w:val="clear" w:color="auto" w:fill="auto"/>
            <w:noWrap/>
            <w:vAlign w:val="bottom"/>
            <w:hideMark/>
          </w:tcPr>
          <w:p w14:paraId="3E02CC16" w14:textId="77777777" w:rsidR="00FC4546" w:rsidRPr="00684285" w:rsidRDefault="00FC4546" w:rsidP="00B306C4">
            <w:pPr>
              <w:spacing w:after="0"/>
              <w:jc w:val="center"/>
              <w:rPr>
                <w:rFonts w:ascii="Cambria" w:eastAsia="Times New Roman" w:hAnsi="Cambria" w:cs="Times New Roman"/>
                <w:color w:val="000000"/>
                <w:sz w:val="20"/>
                <w:szCs w:val="20"/>
              </w:rPr>
            </w:pPr>
            <w:r w:rsidRPr="00684285">
              <w:rPr>
                <w:rFonts w:ascii="Cambria" w:eastAsia="Times New Roman" w:hAnsi="Cambria" w:cs="Times New Roman"/>
                <w:color w:val="000000"/>
                <w:sz w:val="20"/>
                <w:szCs w:val="20"/>
              </w:rPr>
              <w:t>25</w:t>
            </w:r>
          </w:p>
        </w:tc>
        <w:tc>
          <w:tcPr>
            <w:tcW w:w="900" w:type="dxa"/>
            <w:tcBorders>
              <w:top w:val="nil"/>
              <w:left w:val="nil"/>
              <w:bottom w:val="nil"/>
              <w:right w:val="nil"/>
            </w:tcBorders>
            <w:shd w:val="clear" w:color="auto" w:fill="auto"/>
            <w:noWrap/>
            <w:vAlign w:val="bottom"/>
            <w:hideMark/>
          </w:tcPr>
          <w:p w14:paraId="0C5C3BD7" w14:textId="77777777" w:rsidR="00FC4546" w:rsidRPr="00684285" w:rsidRDefault="00FC4546" w:rsidP="00B306C4">
            <w:pPr>
              <w:spacing w:after="0"/>
              <w:jc w:val="center"/>
              <w:rPr>
                <w:rFonts w:ascii="Cambria" w:eastAsia="Times New Roman" w:hAnsi="Cambria" w:cs="Times New Roman"/>
                <w:color w:val="000000"/>
                <w:sz w:val="20"/>
                <w:szCs w:val="20"/>
              </w:rPr>
            </w:pPr>
            <w:r w:rsidRPr="00684285">
              <w:rPr>
                <w:rFonts w:ascii="Cambria" w:eastAsia="Times New Roman" w:hAnsi="Cambria" w:cs="Times New Roman"/>
                <w:color w:val="000000"/>
                <w:sz w:val="20"/>
                <w:szCs w:val="20"/>
              </w:rPr>
              <w:t>27</w:t>
            </w:r>
          </w:p>
        </w:tc>
        <w:tc>
          <w:tcPr>
            <w:tcW w:w="1260" w:type="dxa"/>
            <w:tcBorders>
              <w:top w:val="nil"/>
              <w:left w:val="nil"/>
              <w:bottom w:val="nil"/>
              <w:right w:val="nil"/>
            </w:tcBorders>
            <w:shd w:val="clear" w:color="auto" w:fill="auto"/>
            <w:noWrap/>
            <w:vAlign w:val="bottom"/>
            <w:hideMark/>
          </w:tcPr>
          <w:p w14:paraId="49706466" w14:textId="77777777" w:rsidR="00FC4546" w:rsidRPr="00684285" w:rsidRDefault="00FC4546" w:rsidP="00B306C4">
            <w:pPr>
              <w:spacing w:after="0"/>
              <w:jc w:val="center"/>
              <w:rPr>
                <w:rFonts w:ascii="Cambria" w:eastAsia="Times New Roman" w:hAnsi="Cambria" w:cs="Times New Roman"/>
                <w:color w:val="000000"/>
                <w:sz w:val="20"/>
                <w:szCs w:val="20"/>
              </w:rPr>
            </w:pPr>
            <w:r w:rsidRPr="00684285">
              <w:rPr>
                <w:rFonts w:ascii="Cambria" w:eastAsia="Times New Roman" w:hAnsi="Cambria" w:cs="Times New Roman"/>
                <w:color w:val="000000"/>
                <w:sz w:val="20"/>
                <w:szCs w:val="20"/>
              </w:rPr>
              <w:t>24.9</w:t>
            </w:r>
          </w:p>
        </w:tc>
        <w:tc>
          <w:tcPr>
            <w:tcW w:w="1734" w:type="dxa"/>
            <w:tcBorders>
              <w:top w:val="nil"/>
              <w:left w:val="nil"/>
              <w:bottom w:val="nil"/>
              <w:right w:val="nil"/>
            </w:tcBorders>
            <w:shd w:val="clear" w:color="auto" w:fill="auto"/>
            <w:noWrap/>
            <w:vAlign w:val="bottom"/>
            <w:hideMark/>
          </w:tcPr>
          <w:p w14:paraId="77C866DB" w14:textId="77777777" w:rsidR="00FC4546" w:rsidRPr="00684285" w:rsidRDefault="00FC4546" w:rsidP="00B306C4">
            <w:pPr>
              <w:spacing w:after="0"/>
              <w:jc w:val="center"/>
              <w:rPr>
                <w:rFonts w:ascii="Cambria" w:eastAsia="Times New Roman" w:hAnsi="Cambria" w:cs="Times New Roman"/>
                <w:color w:val="000000"/>
                <w:sz w:val="20"/>
                <w:szCs w:val="20"/>
              </w:rPr>
            </w:pPr>
            <w:r w:rsidRPr="00684285">
              <w:rPr>
                <w:rFonts w:ascii="Cambria" w:eastAsia="Times New Roman" w:hAnsi="Cambria" w:cs="Times New Roman"/>
                <w:color w:val="000000"/>
                <w:sz w:val="20"/>
                <w:szCs w:val="20"/>
              </w:rPr>
              <w:t>27.7</w:t>
            </w:r>
          </w:p>
        </w:tc>
        <w:tc>
          <w:tcPr>
            <w:tcW w:w="1326" w:type="dxa"/>
            <w:tcBorders>
              <w:top w:val="nil"/>
              <w:left w:val="nil"/>
              <w:bottom w:val="nil"/>
              <w:right w:val="nil"/>
            </w:tcBorders>
            <w:shd w:val="clear" w:color="auto" w:fill="auto"/>
            <w:noWrap/>
            <w:vAlign w:val="bottom"/>
            <w:hideMark/>
          </w:tcPr>
          <w:p w14:paraId="5E1EDC8A" w14:textId="77777777" w:rsidR="00FC4546" w:rsidRPr="00684285" w:rsidRDefault="00FC4546" w:rsidP="00B306C4">
            <w:pPr>
              <w:spacing w:after="0"/>
              <w:jc w:val="center"/>
              <w:rPr>
                <w:rFonts w:ascii="Cambria" w:eastAsia="Times New Roman" w:hAnsi="Cambria" w:cs="Times New Roman"/>
                <w:color w:val="000000"/>
                <w:sz w:val="20"/>
                <w:szCs w:val="20"/>
              </w:rPr>
            </w:pPr>
            <w:r w:rsidRPr="00684285">
              <w:rPr>
                <w:rFonts w:ascii="Cambria" w:eastAsia="Times New Roman" w:hAnsi="Cambria" w:cs="Times New Roman"/>
                <w:color w:val="000000"/>
                <w:sz w:val="20"/>
                <w:szCs w:val="20"/>
              </w:rPr>
              <w:t>24.7</w:t>
            </w:r>
          </w:p>
        </w:tc>
        <w:tc>
          <w:tcPr>
            <w:tcW w:w="720" w:type="dxa"/>
            <w:tcBorders>
              <w:top w:val="nil"/>
              <w:left w:val="nil"/>
              <w:bottom w:val="nil"/>
              <w:right w:val="nil"/>
            </w:tcBorders>
            <w:shd w:val="clear" w:color="auto" w:fill="auto"/>
            <w:noWrap/>
            <w:vAlign w:val="bottom"/>
            <w:hideMark/>
          </w:tcPr>
          <w:p w14:paraId="60FF7312" w14:textId="77777777" w:rsidR="00FC4546" w:rsidRPr="00684285" w:rsidRDefault="00FC4546" w:rsidP="00B306C4">
            <w:pPr>
              <w:spacing w:after="0"/>
              <w:jc w:val="center"/>
              <w:rPr>
                <w:rFonts w:ascii="Cambria" w:eastAsia="Times New Roman" w:hAnsi="Cambria" w:cs="Times New Roman"/>
                <w:color w:val="000000"/>
                <w:sz w:val="20"/>
                <w:szCs w:val="20"/>
              </w:rPr>
            </w:pPr>
            <w:r w:rsidRPr="00684285">
              <w:rPr>
                <w:rFonts w:ascii="Cambria" w:eastAsia="Times New Roman" w:hAnsi="Cambria" w:cs="Times New Roman"/>
                <w:color w:val="000000"/>
                <w:sz w:val="20"/>
                <w:szCs w:val="20"/>
              </w:rPr>
              <w:t>26.1</w:t>
            </w:r>
          </w:p>
        </w:tc>
        <w:tc>
          <w:tcPr>
            <w:tcW w:w="2018" w:type="dxa"/>
            <w:tcBorders>
              <w:top w:val="nil"/>
              <w:left w:val="nil"/>
              <w:bottom w:val="nil"/>
              <w:right w:val="nil"/>
            </w:tcBorders>
            <w:shd w:val="clear" w:color="auto" w:fill="auto"/>
            <w:noWrap/>
            <w:vAlign w:val="bottom"/>
            <w:hideMark/>
          </w:tcPr>
          <w:p w14:paraId="42EE6AAE" w14:textId="77777777" w:rsidR="00FC4546" w:rsidRPr="00684285" w:rsidRDefault="00FC4546" w:rsidP="00B306C4">
            <w:pPr>
              <w:spacing w:after="0"/>
              <w:jc w:val="center"/>
              <w:rPr>
                <w:rFonts w:ascii="Cambria" w:eastAsia="Times New Roman" w:hAnsi="Cambria" w:cs="Times New Roman"/>
                <w:color w:val="000000"/>
                <w:sz w:val="20"/>
                <w:szCs w:val="20"/>
              </w:rPr>
            </w:pPr>
            <w:r w:rsidRPr="00684285">
              <w:rPr>
                <w:rFonts w:ascii="Cambria" w:eastAsia="Times New Roman" w:hAnsi="Cambria" w:cs="Times New Roman"/>
                <w:color w:val="000000"/>
                <w:sz w:val="20"/>
                <w:szCs w:val="20"/>
              </w:rPr>
              <w:t>24.7</w:t>
            </w:r>
          </w:p>
        </w:tc>
      </w:tr>
      <w:tr w:rsidR="00FC4546" w:rsidRPr="00684285" w14:paraId="6FC81B92" w14:textId="77777777" w:rsidTr="00FC4546">
        <w:trPr>
          <w:trHeight w:val="144"/>
        </w:trPr>
        <w:tc>
          <w:tcPr>
            <w:tcW w:w="1720" w:type="dxa"/>
            <w:tcBorders>
              <w:top w:val="nil"/>
              <w:left w:val="nil"/>
              <w:bottom w:val="nil"/>
              <w:right w:val="nil"/>
            </w:tcBorders>
            <w:shd w:val="clear" w:color="auto" w:fill="auto"/>
            <w:noWrap/>
            <w:vAlign w:val="bottom"/>
            <w:hideMark/>
          </w:tcPr>
          <w:p w14:paraId="686C4507" w14:textId="77777777" w:rsidR="00FC4546" w:rsidRPr="00684285" w:rsidRDefault="00FC4546" w:rsidP="00B306C4">
            <w:pPr>
              <w:spacing w:after="0"/>
              <w:rPr>
                <w:rFonts w:ascii="Cambria" w:eastAsia="Times New Roman" w:hAnsi="Cambria" w:cs="Times New Roman"/>
                <w:color w:val="000000"/>
                <w:sz w:val="20"/>
                <w:szCs w:val="20"/>
              </w:rPr>
            </w:pPr>
            <w:r w:rsidRPr="00684285">
              <w:rPr>
                <w:rFonts w:ascii="Cambria" w:eastAsia="Times New Roman" w:hAnsi="Cambria" w:cs="Times New Roman"/>
                <w:color w:val="000000"/>
                <w:sz w:val="20"/>
                <w:szCs w:val="20"/>
              </w:rPr>
              <w:t>40-59</w:t>
            </w:r>
          </w:p>
        </w:tc>
        <w:tc>
          <w:tcPr>
            <w:tcW w:w="1250" w:type="dxa"/>
            <w:tcBorders>
              <w:top w:val="nil"/>
              <w:left w:val="nil"/>
              <w:bottom w:val="nil"/>
              <w:right w:val="nil"/>
            </w:tcBorders>
            <w:shd w:val="clear" w:color="auto" w:fill="auto"/>
            <w:noWrap/>
            <w:vAlign w:val="bottom"/>
            <w:hideMark/>
          </w:tcPr>
          <w:p w14:paraId="1CA1138F" w14:textId="77777777" w:rsidR="00FC4546" w:rsidRPr="00684285" w:rsidRDefault="00FC4546" w:rsidP="00B306C4">
            <w:pPr>
              <w:spacing w:after="0"/>
              <w:jc w:val="center"/>
              <w:rPr>
                <w:rFonts w:ascii="Cambria" w:eastAsia="Times New Roman" w:hAnsi="Cambria" w:cs="Times New Roman"/>
                <w:color w:val="000000"/>
                <w:sz w:val="20"/>
                <w:szCs w:val="20"/>
              </w:rPr>
            </w:pPr>
            <w:r w:rsidRPr="00684285">
              <w:rPr>
                <w:rFonts w:ascii="Cambria" w:eastAsia="Times New Roman" w:hAnsi="Cambria" w:cs="Times New Roman"/>
                <w:color w:val="000000"/>
                <w:sz w:val="20"/>
                <w:szCs w:val="20"/>
              </w:rPr>
              <w:t>33.1</w:t>
            </w:r>
          </w:p>
        </w:tc>
        <w:tc>
          <w:tcPr>
            <w:tcW w:w="900" w:type="dxa"/>
            <w:tcBorders>
              <w:top w:val="nil"/>
              <w:left w:val="nil"/>
              <w:bottom w:val="nil"/>
              <w:right w:val="nil"/>
            </w:tcBorders>
            <w:shd w:val="clear" w:color="auto" w:fill="auto"/>
            <w:noWrap/>
            <w:vAlign w:val="bottom"/>
            <w:hideMark/>
          </w:tcPr>
          <w:p w14:paraId="6A780BA5" w14:textId="77777777" w:rsidR="00FC4546" w:rsidRPr="00684285" w:rsidRDefault="00FC4546" w:rsidP="00B306C4">
            <w:pPr>
              <w:spacing w:after="0"/>
              <w:jc w:val="center"/>
              <w:rPr>
                <w:rFonts w:ascii="Cambria" w:eastAsia="Times New Roman" w:hAnsi="Cambria" w:cs="Times New Roman"/>
                <w:color w:val="000000"/>
                <w:sz w:val="20"/>
                <w:szCs w:val="20"/>
              </w:rPr>
            </w:pPr>
            <w:r w:rsidRPr="00684285">
              <w:rPr>
                <w:rFonts w:ascii="Cambria" w:eastAsia="Times New Roman" w:hAnsi="Cambria" w:cs="Times New Roman"/>
                <w:color w:val="000000"/>
                <w:sz w:val="20"/>
                <w:szCs w:val="20"/>
              </w:rPr>
              <w:t>32.3</w:t>
            </w:r>
          </w:p>
        </w:tc>
        <w:tc>
          <w:tcPr>
            <w:tcW w:w="1260" w:type="dxa"/>
            <w:tcBorders>
              <w:top w:val="nil"/>
              <w:left w:val="nil"/>
              <w:bottom w:val="nil"/>
              <w:right w:val="nil"/>
            </w:tcBorders>
            <w:shd w:val="clear" w:color="auto" w:fill="auto"/>
            <w:noWrap/>
            <w:vAlign w:val="bottom"/>
            <w:hideMark/>
          </w:tcPr>
          <w:p w14:paraId="1A63A9B6" w14:textId="77777777" w:rsidR="00FC4546" w:rsidRPr="00684285" w:rsidRDefault="00FC4546" w:rsidP="00B306C4">
            <w:pPr>
              <w:spacing w:after="0"/>
              <w:jc w:val="center"/>
              <w:rPr>
                <w:rFonts w:ascii="Cambria" w:eastAsia="Times New Roman" w:hAnsi="Cambria" w:cs="Times New Roman"/>
                <w:color w:val="000000"/>
                <w:sz w:val="20"/>
                <w:szCs w:val="20"/>
              </w:rPr>
            </w:pPr>
            <w:r w:rsidRPr="00684285">
              <w:rPr>
                <w:rFonts w:ascii="Cambria" w:eastAsia="Times New Roman" w:hAnsi="Cambria" w:cs="Times New Roman"/>
                <w:color w:val="000000"/>
                <w:sz w:val="20"/>
                <w:szCs w:val="20"/>
              </w:rPr>
              <w:t>33.1</w:t>
            </w:r>
          </w:p>
        </w:tc>
        <w:tc>
          <w:tcPr>
            <w:tcW w:w="1734" w:type="dxa"/>
            <w:tcBorders>
              <w:top w:val="nil"/>
              <w:left w:val="nil"/>
              <w:bottom w:val="nil"/>
              <w:right w:val="nil"/>
            </w:tcBorders>
            <w:shd w:val="clear" w:color="auto" w:fill="auto"/>
            <w:noWrap/>
            <w:vAlign w:val="bottom"/>
            <w:hideMark/>
          </w:tcPr>
          <w:p w14:paraId="7C726CC0" w14:textId="77777777" w:rsidR="00FC4546" w:rsidRPr="00684285" w:rsidRDefault="00FC4546" w:rsidP="00B306C4">
            <w:pPr>
              <w:spacing w:after="0"/>
              <w:jc w:val="center"/>
              <w:rPr>
                <w:rFonts w:ascii="Cambria" w:eastAsia="Times New Roman" w:hAnsi="Cambria" w:cs="Times New Roman"/>
                <w:color w:val="000000"/>
                <w:sz w:val="20"/>
                <w:szCs w:val="20"/>
              </w:rPr>
            </w:pPr>
            <w:r w:rsidRPr="00684285">
              <w:rPr>
                <w:rFonts w:ascii="Cambria" w:eastAsia="Times New Roman" w:hAnsi="Cambria" w:cs="Times New Roman"/>
                <w:color w:val="000000"/>
                <w:sz w:val="20"/>
                <w:szCs w:val="20"/>
              </w:rPr>
              <w:t>40.6</w:t>
            </w:r>
          </w:p>
        </w:tc>
        <w:tc>
          <w:tcPr>
            <w:tcW w:w="1326" w:type="dxa"/>
            <w:tcBorders>
              <w:top w:val="nil"/>
              <w:left w:val="nil"/>
              <w:bottom w:val="nil"/>
              <w:right w:val="nil"/>
            </w:tcBorders>
            <w:shd w:val="clear" w:color="auto" w:fill="auto"/>
            <w:noWrap/>
            <w:vAlign w:val="bottom"/>
            <w:hideMark/>
          </w:tcPr>
          <w:p w14:paraId="4CC30673" w14:textId="77777777" w:rsidR="00FC4546" w:rsidRPr="00684285" w:rsidRDefault="00FC4546" w:rsidP="00B306C4">
            <w:pPr>
              <w:spacing w:after="0"/>
              <w:jc w:val="center"/>
              <w:rPr>
                <w:rFonts w:ascii="Cambria" w:eastAsia="Times New Roman" w:hAnsi="Cambria" w:cs="Times New Roman"/>
                <w:color w:val="000000"/>
                <w:sz w:val="20"/>
                <w:szCs w:val="20"/>
              </w:rPr>
            </w:pPr>
            <w:r w:rsidRPr="00684285">
              <w:rPr>
                <w:rFonts w:ascii="Cambria" w:eastAsia="Times New Roman" w:hAnsi="Cambria" w:cs="Times New Roman"/>
                <w:color w:val="000000"/>
                <w:sz w:val="20"/>
                <w:szCs w:val="20"/>
              </w:rPr>
              <w:t>33.2</w:t>
            </w:r>
          </w:p>
        </w:tc>
        <w:tc>
          <w:tcPr>
            <w:tcW w:w="720" w:type="dxa"/>
            <w:tcBorders>
              <w:top w:val="nil"/>
              <w:left w:val="nil"/>
              <w:bottom w:val="nil"/>
              <w:right w:val="nil"/>
            </w:tcBorders>
            <w:shd w:val="clear" w:color="auto" w:fill="auto"/>
            <w:noWrap/>
            <w:vAlign w:val="bottom"/>
            <w:hideMark/>
          </w:tcPr>
          <w:p w14:paraId="70DB37A0" w14:textId="77777777" w:rsidR="00FC4546" w:rsidRPr="00684285" w:rsidRDefault="00FC4546" w:rsidP="00B306C4">
            <w:pPr>
              <w:spacing w:after="0"/>
              <w:jc w:val="center"/>
              <w:rPr>
                <w:rFonts w:ascii="Cambria" w:eastAsia="Times New Roman" w:hAnsi="Cambria" w:cs="Times New Roman"/>
                <w:color w:val="000000"/>
                <w:sz w:val="20"/>
                <w:szCs w:val="20"/>
              </w:rPr>
            </w:pPr>
            <w:r w:rsidRPr="00684285">
              <w:rPr>
                <w:rFonts w:ascii="Cambria" w:eastAsia="Times New Roman" w:hAnsi="Cambria" w:cs="Times New Roman"/>
                <w:color w:val="000000"/>
                <w:sz w:val="20"/>
                <w:szCs w:val="20"/>
              </w:rPr>
              <w:t>35.6</w:t>
            </w:r>
          </w:p>
        </w:tc>
        <w:tc>
          <w:tcPr>
            <w:tcW w:w="2018" w:type="dxa"/>
            <w:tcBorders>
              <w:top w:val="nil"/>
              <w:left w:val="nil"/>
              <w:bottom w:val="nil"/>
              <w:right w:val="nil"/>
            </w:tcBorders>
            <w:shd w:val="clear" w:color="auto" w:fill="auto"/>
            <w:noWrap/>
            <w:vAlign w:val="bottom"/>
            <w:hideMark/>
          </w:tcPr>
          <w:p w14:paraId="24F1EAC4" w14:textId="77777777" w:rsidR="00FC4546" w:rsidRPr="00684285" w:rsidRDefault="00FC4546" w:rsidP="00B306C4">
            <w:pPr>
              <w:spacing w:after="0"/>
              <w:jc w:val="center"/>
              <w:rPr>
                <w:rFonts w:ascii="Cambria" w:eastAsia="Times New Roman" w:hAnsi="Cambria" w:cs="Times New Roman"/>
                <w:color w:val="000000"/>
                <w:sz w:val="20"/>
                <w:szCs w:val="20"/>
              </w:rPr>
            </w:pPr>
            <w:r w:rsidRPr="00684285">
              <w:rPr>
                <w:rFonts w:ascii="Cambria" w:eastAsia="Times New Roman" w:hAnsi="Cambria" w:cs="Times New Roman"/>
                <w:color w:val="000000"/>
                <w:sz w:val="20"/>
                <w:szCs w:val="20"/>
              </w:rPr>
              <w:t>33.1</w:t>
            </w:r>
          </w:p>
        </w:tc>
      </w:tr>
      <w:tr w:rsidR="00FC4546" w:rsidRPr="00684285" w14:paraId="27435361" w14:textId="77777777" w:rsidTr="00FC4546">
        <w:trPr>
          <w:trHeight w:val="144"/>
        </w:trPr>
        <w:tc>
          <w:tcPr>
            <w:tcW w:w="1720" w:type="dxa"/>
            <w:tcBorders>
              <w:top w:val="nil"/>
              <w:left w:val="nil"/>
              <w:bottom w:val="nil"/>
              <w:right w:val="nil"/>
            </w:tcBorders>
            <w:shd w:val="clear" w:color="auto" w:fill="auto"/>
            <w:noWrap/>
            <w:vAlign w:val="bottom"/>
            <w:hideMark/>
          </w:tcPr>
          <w:p w14:paraId="6AD69CFC" w14:textId="77777777" w:rsidR="00FC4546" w:rsidRPr="00684285" w:rsidRDefault="00FC4546" w:rsidP="00B306C4">
            <w:pPr>
              <w:spacing w:after="0"/>
              <w:rPr>
                <w:rFonts w:ascii="Cambria" w:eastAsia="Times New Roman" w:hAnsi="Cambria" w:cs="Times New Roman"/>
                <w:color w:val="000000"/>
                <w:sz w:val="20"/>
                <w:szCs w:val="20"/>
              </w:rPr>
            </w:pPr>
            <w:r w:rsidRPr="00684285">
              <w:rPr>
                <w:rFonts w:ascii="Cambria" w:eastAsia="Times New Roman" w:hAnsi="Cambria" w:cs="Times New Roman"/>
                <w:color w:val="000000"/>
                <w:sz w:val="20"/>
                <w:szCs w:val="20"/>
              </w:rPr>
              <w:t>60+</w:t>
            </w:r>
          </w:p>
        </w:tc>
        <w:tc>
          <w:tcPr>
            <w:tcW w:w="1250" w:type="dxa"/>
            <w:tcBorders>
              <w:top w:val="nil"/>
              <w:left w:val="nil"/>
              <w:bottom w:val="nil"/>
              <w:right w:val="nil"/>
            </w:tcBorders>
            <w:shd w:val="clear" w:color="auto" w:fill="auto"/>
            <w:noWrap/>
            <w:vAlign w:val="bottom"/>
            <w:hideMark/>
          </w:tcPr>
          <w:p w14:paraId="46514D95" w14:textId="77777777" w:rsidR="00FC4546" w:rsidRPr="00684285" w:rsidRDefault="00FC4546" w:rsidP="00B306C4">
            <w:pPr>
              <w:spacing w:after="0"/>
              <w:jc w:val="center"/>
              <w:rPr>
                <w:rFonts w:ascii="Cambria" w:eastAsia="Times New Roman" w:hAnsi="Cambria" w:cs="Times New Roman"/>
                <w:color w:val="000000"/>
                <w:sz w:val="20"/>
                <w:szCs w:val="20"/>
              </w:rPr>
            </w:pPr>
            <w:r w:rsidRPr="00684285">
              <w:rPr>
                <w:rFonts w:ascii="Cambria" w:eastAsia="Times New Roman" w:hAnsi="Cambria" w:cs="Times New Roman"/>
                <w:color w:val="000000"/>
                <w:sz w:val="20"/>
                <w:szCs w:val="20"/>
              </w:rPr>
              <w:t>25.1</w:t>
            </w:r>
          </w:p>
        </w:tc>
        <w:tc>
          <w:tcPr>
            <w:tcW w:w="900" w:type="dxa"/>
            <w:tcBorders>
              <w:top w:val="nil"/>
              <w:left w:val="nil"/>
              <w:bottom w:val="nil"/>
              <w:right w:val="nil"/>
            </w:tcBorders>
            <w:shd w:val="clear" w:color="auto" w:fill="auto"/>
            <w:noWrap/>
            <w:vAlign w:val="bottom"/>
            <w:hideMark/>
          </w:tcPr>
          <w:p w14:paraId="381A2578" w14:textId="77777777" w:rsidR="00FC4546" w:rsidRPr="00684285" w:rsidRDefault="00FC4546" w:rsidP="00B306C4">
            <w:pPr>
              <w:spacing w:after="0"/>
              <w:jc w:val="center"/>
              <w:rPr>
                <w:rFonts w:ascii="Cambria" w:eastAsia="Times New Roman" w:hAnsi="Cambria" w:cs="Times New Roman"/>
                <w:color w:val="000000"/>
                <w:sz w:val="20"/>
                <w:szCs w:val="20"/>
              </w:rPr>
            </w:pPr>
            <w:r w:rsidRPr="00684285">
              <w:rPr>
                <w:rFonts w:ascii="Cambria" w:eastAsia="Times New Roman" w:hAnsi="Cambria" w:cs="Times New Roman"/>
                <w:color w:val="000000"/>
                <w:sz w:val="20"/>
                <w:szCs w:val="20"/>
              </w:rPr>
              <w:t>20.3</w:t>
            </w:r>
          </w:p>
        </w:tc>
        <w:tc>
          <w:tcPr>
            <w:tcW w:w="1260" w:type="dxa"/>
            <w:tcBorders>
              <w:top w:val="nil"/>
              <w:left w:val="nil"/>
              <w:bottom w:val="nil"/>
              <w:right w:val="nil"/>
            </w:tcBorders>
            <w:shd w:val="clear" w:color="auto" w:fill="auto"/>
            <w:noWrap/>
            <w:vAlign w:val="bottom"/>
            <w:hideMark/>
          </w:tcPr>
          <w:p w14:paraId="5E1C4C5A" w14:textId="77777777" w:rsidR="00FC4546" w:rsidRPr="00684285" w:rsidRDefault="00FC4546" w:rsidP="00B306C4">
            <w:pPr>
              <w:spacing w:after="0"/>
              <w:jc w:val="center"/>
              <w:rPr>
                <w:rFonts w:ascii="Cambria" w:eastAsia="Times New Roman" w:hAnsi="Cambria" w:cs="Times New Roman"/>
                <w:color w:val="000000"/>
                <w:sz w:val="20"/>
                <w:szCs w:val="20"/>
              </w:rPr>
            </w:pPr>
            <w:r w:rsidRPr="00684285">
              <w:rPr>
                <w:rFonts w:ascii="Cambria" w:eastAsia="Times New Roman" w:hAnsi="Cambria" w:cs="Times New Roman"/>
                <w:color w:val="000000"/>
                <w:sz w:val="20"/>
                <w:szCs w:val="20"/>
              </w:rPr>
              <w:t>25.3</w:t>
            </w:r>
          </w:p>
        </w:tc>
        <w:tc>
          <w:tcPr>
            <w:tcW w:w="1734" w:type="dxa"/>
            <w:tcBorders>
              <w:top w:val="nil"/>
              <w:left w:val="nil"/>
              <w:bottom w:val="nil"/>
              <w:right w:val="nil"/>
            </w:tcBorders>
            <w:shd w:val="clear" w:color="auto" w:fill="auto"/>
            <w:noWrap/>
            <w:vAlign w:val="bottom"/>
            <w:hideMark/>
          </w:tcPr>
          <w:p w14:paraId="7EA9F7C7" w14:textId="77777777" w:rsidR="00FC4546" w:rsidRPr="00684285" w:rsidRDefault="00FC4546" w:rsidP="00B306C4">
            <w:pPr>
              <w:spacing w:after="0"/>
              <w:jc w:val="center"/>
              <w:rPr>
                <w:rFonts w:ascii="Cambria" w:eastAsia="Times New Roman" w:hAnsi="Cambria" w:cs="Times New Roman"/>
                <w:color w:val="000000"/>
                <w:sz w:val="20"/>
                <w:szCs w:val="20"/>
              </w:rPr>
            </w:pPr>
            <w:r w:rsidRPr="00684285">
              <w:rPr>
                <w:rFonts w:ascii="Cambria" w:eastAsia="Times New Roman" w:hAnsi="Cambria" w:cs="Times New Roman"/>
                <w:color w:val="000000"/>
                <w:sz w:val="20"/>
                <w:szCs w:val="20"/>
              </w:rPr>
              <w:t>22.8</w:t>
            </w:r>
          </w:p>
        </w:tc>
        <w:tc>
          <w:tcPr>
            <w:tcW w:w="1326" w:type="dxa"/>
            <w:tcBorders>
              <w:top w:val="nil"/>
              <w:left w:val="nil"/>
              <w:bottom w:val="nil"/>
              <w:right w:val="nil"/>
            </w:tcBorders>
            <w:shd w:val="clear" w:color="auto" w:fill="auto"/>
            <w:noWrap/>
            <w:vAlign w:val="bottom"/>
            <w:hideMark/>
          </w:tcPr>
          <w:p w14:paraId="59937A63" w14:textId="77777777" w:rsidR="00FC4546" w:rsidRPr="00684285" w:rsidRDefault="00FC4546" w:rsidP="00B306C4">
            <w:pPr>
              <w:spacing w:after="0"/>
              <w:jc w:val="center"/>
              <w:rPr>
                <w:rFonts w:ascii="Cambria" w:eastAsia="Times New Roman" w:hAnsi="Cambria" w:cs="Times New Roman"/>
                <w:color w:val="000000"/>
                <w:sz w:val="20"/>
                <w:szCs w:val="20"/>
              </w:rPr>
            </w:pPr>
            <w:r w:rsidRPr="00684285">
              <w:rPr>
                <w:rFonts w:ascii="Cambria" w:eastAsia="Times New Roman" w:hAnsi="Cambria" w:cs="Times New Roman"/>
                <w:color w:val="000000"/>
                <w:sz w:val="20"/>
                <w:szCs w:val="20"/>
              </w:rPr>
              <w:t>25.6</w:t>
            </w:r>
          </w:p>
        </w:tc>
        <w:tc>
          <w:tcPr>
            <w:tcW w:w="720" w:type="dxa"/>
            <w:tcBorders>
              <w:top w:val="nil"/>
              <w:left w:val="nil"/>
              <w:bottom w:val="nil"/>
              <w:right w:val="nil"/>
            </w:tcBorders>
            <w:shd w:val="clear" w:color="auto" w:fill="auto"/>
            <w:noWrap/>
            <w:vAlign w:val="bottom"/>
            <w:hideMark/>
          </w:tcPr>
          <w:p w14:paraId="09CB13CA" w14:textId="77777777" w:rsidR="00FC4546" w:rsidRPr="00684285" w:rsidRDefault="00FC4546" w:rsidP="00B306C4">
            <w:pPr>
              <w:spacing w:after="0"/>
              <w:jc w:val="center"/>
              <w:rPr>
                <w:rFonts w:ascii="Cambria" w:eastAsia="Times New Roman" w:hAnsi="Cambria" w:cs="Times New Roman"/>
                <w:color w:val="000000"/>
                <w:sz w:val="20"/>
                <w:szCs w:val="20"/>
              </w:rPr>
            </w:pPr>
            <w:r w:rsidRPr="00684285">
              <w:rPr>
                <w:rFonts w:ascii="Cambria" w:eastAsia="Times New Roman" w:hAnsi="Cambria" w:cs="Times New Roman"/>
                <w:color w:val="000000"/>
                <w:sz w:val="20"/>
                <w:szCs w:val="20"/>
              </w:rPr>
              <w:t>22.9</w:t>
            </w:r>
          </w:p>
        </w:tc>
        <w:tc>
          <w:tcPr>
            <w:tcW w:w="2018" w:type="dxa"/>
            <w:tcBorders>
              <w:top w:val="nil"/>
              <w:left w:val="nil"/>
              <w:bottom w:val="nil"/>
              <w:right w:val="nil"/>
            </w:tcBorders>
            <w:shd w:val="clear" w:color="auto" w:fill="auto"/>
            <w:noWrap/>
            <w:vAlign w:val="bottom"/>
            <w:hideMark/>
          </w:tcPr>
          <w:p w14:paraId="4EC2EE78" w14:textId="77777777" w:rsidR="00FC4546" w:rsidRPr="00684285" w:rsidRDefault="00FC4546" w:rsidP="00B306C4">
            <w:pPr>
              <w:spacing w:after="0"/>
              <w:jc w:val="center"/>
              <w:rPr>
                <w:rFonts w:ascii="Cambria" w:eastAsia="Times New Roman" w:hAnsi="Cambria" w:cs="Times New Roman"/>
                <w:color w:val="000000"/>
                <w:sz w:val="20"/>
                <w:szCs w:val="20"/>
              </w:rPr>
            </w:pPr>
            <w:r w:rsidRPr="00684285">
              <w:rPr>
                <w:rFonts w:ascii="Cambria" w:eastAsia="Times New Roman" w:hAnsi="Cambria" w:cs="Times New Roman"/>
                <w:color w:val="000000"/>
                <w:sz w:val="20"/>
                <w:szCs w:val="20"/>
              </w:rPr>
              <w:t>25.7</w:t>
            </w:r>
          </w:p>
        </w:tc>
      </w:tr>
      <w:tr w:rsidR="00FC4546" w:rsidRPr="00684285" w14:paraId="47391973" w14:textId="77777777" w:rsidTr="00FC4546">
        <w:trPr>
          <w:trHeight w:val="144"/>
        </w:trPr>
        <w:tc>
          <w:tcPr>
            <w:tcW w:w="1720" w:type="dxa"/>
            <w:tcBorders>
              <w:top w:val="nil"/>
              <w:left w:val="nil"/>
              <w:bottom w:val="nil"/>
              <w:right w:val="nil"/>
            </w:tcBorders>
            <w:shd w:val="clear" w:color="auto" w:fill="auto"/>
            <w:noWrap/>
            <w:vAlign w:val="bottom"/>
            <w:hideMark/>
          </w:tcPr>
          <w:p w14:paraId="5CE26549" w14:textId="77777777" w:rsidR="00FC4546" w:rsidRPr="00684285" w:rsidRDefault="00FC4546" w:rsidP="00B306C4">
            <w:pPr>
              <w:spacing w:after="0"/>
              <w:rPr>
                <w:rFonts w:ascii="Cambria" w:eastAsia="Times New Roman" w:hAnsi="Cambria" w:cs="Times New Roman"/>
                <w:b/>
                <w:bCs/>
                <w:color w:val="000000"/>
                <w:sz w:val="20"/>
                <w:szCs w:val="20"/>
              </w:rPr>
            </w:pPr>
            <w:r w:rsidRPr="00684285">
              <w:rPr>
                <w:rFonts w:ascii="Cambria" w:eastAsia="Times New Roman" w:hAnsi="Cambria" w:cs="Times New Roman"/>
                <w:b/>
                <w:bCs/>
                <w:color w:val="000000"/>
                <w:sz w:val="20"/>
                <w:szCs w:val="20"/>
              </w:rPr>
              <w:t>Gender</w:t>
            </w:r>
          </w:p>
        </w:tc>
        <w:tc>
          <w:tcPr>
            <w:tcW w:w="1250" w:type="dxa"/>
            <w:tcBorders>
              <w:top w:val="nil"/>
              <w:left w:val="nil"/>
              <w:bottom w:val="nil"/>
              <w:right w:val="nil"/>
            </w:tcBorders>
            <w:shd w:val="clear" w:color="auto" w:fill="auto"/>
            <w:noWrap/>
            <w:vAlign w:val="bottom"/>
            <w:hideMark/>
          </w:tcPr>
          <w:p w14:paraId="7454926F" w14:textId="77777777" w:rsidR="00FC4546" w:rsidRPr="00684285" w:rsidRDefault="00FC4546" w:rsidP="00B306C4">
            <w:pPr>
              <w:spacing w:after="0"/>
              <w:rPr>
                <w:rFonts w:ascii="Cambria" w:eastAsia="Times New Roman" w:hAnsi="Cambria" w:cs="Times New Roman"/>
                <w:b/>
                <w:bCs/>
                <w:color w:val="000000"/>
                <w:sz w:val="20"/>
                <w:szCs w:val="20"/>
              </w:rPr>
            </w:pPr>
          </w:p>
        </w:tc>
        <w:tc>
          <w:tcPr>
            <w:tcW w:w="900" w:type="dxa"/>
            <w:tcBorders>
              <w:top w:val="nil"/>
              <w:left w:val="nil"/>
              <w:bottom w:val="nil"/>
              <w:right w:val="nil"/>
            </w:tcBorders>
            <w:shd w:val="clear" w:color="auto" w:fill="auto"/>
            <w:noWrap/>
            <w:vAlign w:val="bottom"/>
            <w:hideMark/>
          </w:tcPr>
          <w:p w14:paraId="6B82A242" w14:textId="77777777" w:rsidR="00FC4546" w:rsidRPr="00684285" w:rsidRDefault="00FC4546" w:rsidP="00B306C4">
            <w:pPr>
              <w:spacing w:after="0"/>
              <w:jc w:val="center"/>
              <w:rPr>
                <w:rFonts w:ascii="Times New Roman" w:eastAsia="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0D97BA96" w14:textId="77777777" w:rsidR="00FC4546" w:rsidRPr="00684285" w:rsidRDefault="00FC4546" w:rsidP="00B306C4">
            <w:pPr>
              <w:spacing w:after="0"/>
              <w:jc w:val="center"/>
              <w:rPr>
                <w:rFonts w:ascii="Times New Roman" w:eastAsia="Times New Roman" w:hAnsi="Times New Roman" w:cs="Times New Roman"/>
                <w:sz w:val="20"/>
                <w:szCs w:val="20"/>
              </w:rPr>
            </w:pPr>
          </w:p>
        </w:tc>
        <w:tc>
          <w:tcPr>
            <w:tcW w:w="1734" w:type="dxa"/>
            <w:tcBorders>
              <w:top w:val="nil"/>
              <w:left w:val="nil"/>
              <w:bottom w:val="nil"/>
              <w:right w:val="nil"/>
            </w:tcBorders>
            <w:shd w:val="clear" w:color="auto" w:fill="auto"/>
            <w:noWrap/>
            <w:vAlign w:val="bottom"/>
            <w:hideMark/>
          </w:tcPr>
          <w:p w14:paraId="10DDC2AB" w14:textId="77777777" w:rsidR="00FC4546" w:rsidRPr="00684285" w:rsidRDefault="00FC4546" w:rsidP="00B306C4">
            <w:pPr>
              <w:spacing w:after="0"/>
              <w:jc w:val="center"/>
              <w:rPr>
                <w:rFonts w:ascii="Times New Roman" w:eastAsia="Times New Roman" w:hAnsi="Times New Roman" w:cs="Times New Roman"/>
                <w:sz w:val="20"/>
                <w:szCs w:val="20"/>
              </w:rPr>
            </w:pPr>
          </w:p>
        </w:tc>
        <w:tc>
          <w:tcPr>
            <w:tcW w:w="1326" w:type="dxa"/>
            <w:tcBorders>
              <w:top w:val="nil"/>
              <w:left w:val="nil"/>
              <w:bottom w:val="nil"/>
              <w:right w:val="nil"/>
            </w:tcBorders>
            <w:shd w:val="clear" w:color="auto" w:fill="auto"/>
            <w:noWrap/>
            <w:vAlign w:val="bottom"/>
            <w:hideMark/>
          </w:tcPr>
          <w:p w14:paraId="2681DA1D" w14:textId="77777777" w:rsidR="00FC4546" w:rsidRPr="00684285" w:rsidRDefault="00FC4546" w:rsidP="00B306C4">
            <w:pPr>
              <w:spacing w:after="0"/>
              <w:jc w:val="center"/>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bottom"/>
            <w:hideMark/>
          </w:tcPr>
          <w:p w14:paraId="5E9942A8" w14:textId="77777777" w:rsidR="00FC4546" w:rsidRPr="00684285" w:rsidRDefault="00FC4546" w:rsidP="00B306C4">
            <w:pPr>
              <w:spacing w:after="0"/>
              <w:jc w:val="center"/>
              <w:rPr>
                <w:rFonts w:ascii="Times New Roman" w:eastAsia="Times New Roman" w:hAnsi="Times New Roman" w:cs="Times New Roman"/>
                <w:sz w:val="20"/>
                <w:szCs w:val="20"/>
              </w:rPr>
            </w:pPr>
          </w:p>
        </w:tc>
        <w:tc>
          <w:tcPr>
            <w:tcW w:w="2018" w:type="dxa"/>
            <w:tcBorders>
              <w:top w:val="nil"/>
              <w:left w:val="nil"/>
              <w:bottom w:val="nil"/>
              <w:right w:val="nil"/>
            </w:tcBorders>
            <w:shd w:val="clear" w:color="auto" w:fill="auto"/>
            <w:noWrap/>
            <w:vAlign w:val="bottom"/>
            <w:hideMark/>
          </w:tcPr>
          <w:p w14:paraId="389F02BF" w14:textId="77777777" w:rsidR="00FC4546" w:rsidRPr="00684285" w:rsidRDefault="00FC4546" w:rsidP="00B306C4">
            <w:pPr>
              <w:spacing w:after="0"/>
              <w:jc w:val="center"/>
              <w:rPr>
                <w:rFonts w:ascii="Times New Roman" w:eastAsia="Times New Roman" w:hAnsi="Times New Roman" w:cs="Times New Roman"/>
                <w:sz w:val="20"/>
                <w:szCs w:val="20"/>
              </w:rPr>
            </w:pPr>
          </w:p>
        </w:tc>
      </w:tr>
      <w:tr w:rsidR="00FC4546" w:rsidRPr="00684285" w14:paraId="1CBB9865" w14:textId="77777777" w:rsidTr="00FC4546">
        <w:trPr>
          <w:trHeight w:val="144"/>
        </w:trPr>
        <w:tc>
          <w:tcPr>
            <w:tcW w:w="1720" w:type="dxa"/>
            <w:tcBorders>
              <w:top w:val="nil"/>
              <w:left w:val="nil"/>
              <w:bottom w:val="nil"/>
              <w:right w:val="nil"/>
            </w:tcBorders>
            <w:shd w:val="clear" w:color="auto" w:fill="auto"/>
            <w:noWrap/>
            <w:vAlign w:val="bottom"/>
            <w:hideMark/>
          </w:tcPr>
          <w:p w14:paraId="7492363A" w14:textId="77777777" w:rsidR="00FC4546" w:rsidRPr="00684285" w:rsidRDefault="00FC4546" w:rsidP="00B306C4">
            <w:pPr>
              <w:spacing w:after="0"/>
              <w:rPr>
                <w:rFonts w:ascii="Cambria" w:eastAsia="Times New Roman" w:hAnsi="Cambria" w:cs="Times New Roman"/>
                <w:color w:val="000000"/>
                <w:sz w:val="20"/>
                <w:szCs w:val="20"/>
              </w:rPr>
            </w:pPr>
            <w:r w:rsidRPr="00684285">
              <w:rPr>
                <w:rFonts w:ascii="Cambria" w:eastAsia="Times New Roman" w:hAnsi="Cambria" w:cs="Times New Roman"/>
                <w:color w:val="000000"/>
                <w:sz w:val="20"/>
                <w:szCs w:val="20"/>
              </w:rPr>
              <w:t>Male</w:t>
            </w:r>
          </w:p>
        </w:tc>
        <w:tc>
          <w:tcPr>
            <w:tcW w:w="1250" w:type="dxa"/>
            <w:tcBorders>
              <w:top w:val="nil"/>
              <w:left w:val="nil"/>
              <w:bottom w:val="nil"/>
              <w:right w:val="nil"/>
            </w:tcBorders>
            <w:shd w:val="clear" w:color="auto" w:fill="auto"/>
            <w:noWrap/>
            <w:vAlign w:val="bottom"/>
            <w:hideMark/>
          </w:tcPr>
          <w:p w14:paraId="28374D07" w14:textId="77777777" w:rsidR="00FC4546" w:rsidRPr="00684285" w:rsidRDefault="00FC4546" w:rsidP="00B306C4">
            <w:pPr>
              <w:spacing w:after="0"/>
              <w:jc w:val="center"/>
              <w:rPr>
                <w:rFonts w:ascii="Cambria" w:eastAsia="Times New Roman" w:hAnsi="Cambria" w:cs="Times New Roman"/>
                <w:color w:val="000000"/>
                <w:sz w:val="20"/>
                <w:szCs w:val="20"/>
              </w:rPr>
            </w:pPr>
            <w:r w:rsidRPr="00684285">
              <w:rPr>
                <w:rFonts w:ascii="Cambria" w:eastAsia="Times New Roman" w:hAnsi="Cambria" w:cs="Times New Roman"/>
                <w:color w:val="000000"/>
                <w:sz w:val="20"/>
                <w:szCs w:val="20"/>
              </w:rPr>
              <w:t>46</w:t>
            </w:r>
          </w:p>
        </w:tc>
        <w:tc>
          <w:tcPr>
            <w:tcW w:w="900" w:type="dxa"/>
            <w:tcBorders>
              <w:top w:val="nil"/>
              <w:left w:val="nil"/>
              <w:bottom w:val="nil"/>
              <w:right w:val="nil"/>
            </w:tcBorders>
            <w:shd w:val="clear" w:color="auto" w:fill="auto"/>
            <w:noWrap/>
            <w:vAlign w:val="bottom"/>
            <w:hideMark/>
          </w:tcPr>
          <w:p w14:paraId="6C92C60E" w14:textId="77777777" w:rsidR="00FC4546" w:rsidRPr="00684285" w:rsidRDefault="00FC4546" w:rsidP="00B306C4">
            <w:pPr>
              <w:spacing w:after="0"/>
              <w:jc w:val="center"/>
              <w:rPr>
                <w:rFonts w:ascii="Cambria" w:eastAsia="Times New Roman" w:hAnsi="Cambria" w:cs="Times New Roman"/>
                <w:color w:val="000000"/>
                <w:sz w:val="20"/>
                <w:szCs w:val="20"/>
              </w:rPr>
            </w:pPr>
            <w:r w:rsidRPr="00684285">
              <w:rPr>
                <w:rFonts w:ascii="Cambria" w:eastAsia="Times New Roman" w:hAnsi="Cambria" w:cs="Times New Roman"/>
                <w:color w:val="000000"/>
                <w:sz w:val="20"/>
                <w:szCs w:val="20"/>
              </w:rPr>
              <w:t>45.1</w:t>
            </w:r>
          </w:p>
        </w:tc>
        <w:tc>
          <w:tcPr>
            <w:tcW w:w="1260" w:type="dxa"/>
            <w:tcBorders>
              <w:top w:val="nil"/>
              <w:left w:val="nil"/>
              <w:bottom w:val="nil"/>
              <w:right w:val="nil"/>
            </w:tcBorders>
            <w:shd w:val="clear" w:color="auto" w:fill="auto"/>
            <w:noWrap/>
            <w:vAlign w:val="bottom"/>
            <w:hideMark/>
          </w:tcPr>
          <w:p w14:paraId="55C4EFFC" w14:textId="77777777" w:rsidR="00FC4546" w:rsidRPr="00684285" w:rsidRDefault="00FC4546" w:rsidP="00B306C4">
            <w:pPr>
              <w:spacing w:after="0"/>
              <w:jc w:val="center"/>
              <w:rPr>
                <w:rFonts w:ascii="Cambria" w:eastAsia="Times New Roman" w:hAnsi="Cambria" w:cs="Times New Roman"/>
                <w:color w:val="000000"/>
                <w:sz w:val="20"/>
                <w:szCs w:val="20"/>
              </w:rPr>
            </w:pPr>
            <w:r w:rsidRPr="00684285">
              <w:rPr>
                <w:rFonts w:ascii="Cambria" w:eastAsia="Times New Roman" w:hAnsi="Cambria" w:cs="Times New Roman"/>
                <w:color w:val="000000"/>
                <w:sz w:val="20"/>
                <w:szCs w:val="20"/>
              </w:rPr>
              <w:t>46</w:t>
            </w:r>
          </w:p>
        </w:tc>
        <w:tc>
          <w:tcPr>
            <w:tcW w:w="1734" w:type="dxa"/>
            <w:tcBorders>
              <w:top w:val="nil"/>
              <w:left w:val="nil"/>
              <w:bottom w:val="nil"/>
              <w:right w:val="nil"/>
            </w:tcBorders>
            <w:shd w:val="clear" w:color="auto" w:fill="auto"/>
            <w:noWrap/>
            <w:vAlign w:val="bottom"/>
            <w:hideMark/>
          </w:tcPr>
          <w:p w14:paraId="7F377BC5" w14:textId="77777777" w:rsidR="00FC4546" w:rsidRPr="00684285" w:rsidRDefault="00FC4546" w:rsidP="00B306C4">
            <w:pPr>
              <w:spacing w:after="0"/>
              <w:jc w:val="center"/>
              <w:rPr>
                <w:rFonts w:ascii="Cambria" w:eastAsia="Times New Roman" w:hAnsi="Cambria" w:cs="Times New Roman"/>
                <w:color w:val="000000"/>
                <w:sz w:val="20"/>
                <w:szCs w:val="20"/>
              </w:rPr>
            </w:pPr>
            <w:r w:rsidRPr="00684285">
              <w:rPr>
                <w:rFonts w:ascii="Cambria" w:eastAsia="Times New Roman" w:hAnsi="Cambria" w:cs="Times New Roman"/>
                <w:color w:val="000000"/>
                <w:sz w:val="20"/>
                <w:szCs w:val="20"/>
              </w:rPr>
              <w:t>37.4</w:t>
            </w:r>
          </w:p>
        </w:tc>
        <w:tc>
          <w:tcPr>
            <w:tcW w:w="1326" w:type="dxa"/>
            <w:tcBorders>
              <w:top w:val="nil"/>
              <w:left w:val="nil"/>
              <w:bottom w:val="nil"/>
              <w:right w:val="nil"/>
            </w:tcBorders>
            <w:shd w:val="clear" w:color="auto" w:fill="auto"/>
            <w:noWrap/>
            <w:vAlign w:val="bottom"/>
            <w:hideMark/>
          </w:tcPr>
          <w:p w14:paraId="0E9443FC" w14:textId="77777777" w:rsidR="00FC4546" w:rsidRPr="00684285" w:rsidRDefault="00FC4546" w:rsidP="00B306C4">
            <w:pPr>
              <w:spacing w:after="0"/>
              <w:jc w:val="center"/>
              <w:rPr>
                <w:rFonts w:ascii="Cambria" w:eastAsia="Times New Roman" w:hAnsi="Cambria" w:cs="Times New Roman"/>
                <w:color w:val="000000"/>
                <w:sz w:val="20"/>
                <w:szCs w:val="20"/>
              </w:rPr>
            </w:pPr>
            <w:r w:rsidRPr="00684285">
              <w:rPr>
                <w:rFonts w:ascii="Cambria" w:eastAsia="Times New Roman" w:hAnsi="Cambria" w:cs="Times New Roman"/>
                <w:color w:val="000000"/>
                <w:sz w:val="20"/>
                <w:szCs w:val="20"/>
              </w:rPr>
              <w:t>45.3</w:t>
            </w:r>
          </w:p>
        </w:tc>
        <w:tc>
          <w:tcPr>
            <w:tcW w:w="720" w:type="dxa"/>
            <w:tcBorders>
              <w:top w:val="nil"/>
              <w:left w:val="nil"/>
              <w:bottom w:val="nil"/>
              <w:right w:val="nil"/>
            </w:tcBorders>
            <w:shd w:val="clear" w:color="auto" w:fill="auto"/>
            <w:noWrap/>
            <w:vAlign w:val="bottom"/>
            <w:hideMark/>
          </w:tcPr>
          <w:p w14:paraId="6900C122" w14:textId="77777777" w:rsidR="00FC4546" w:rsidRPr="00684285" w:rsidRDefault="00FC4546" w:rsidP="00B306C4">
            <w:pPr>
              <w:spacing w:after="0"/>
              <w:jc w:val="center"/>
              <w:rPr>
                <w:rFonts w:ascii="Cambria" w:eastAsia="Times New Roman" w:hAnsi="Cambria" w:cs="Times New Roman"/>
                <w:color w:val="000000"/>
                <w:sz w:val="20"/>
                <w:szCs w:val="20"/>
              </w:rPr>
            </w:pPr>
            <w:r w:rsidRPr="00684285">
              <w:rPr>
                <w:rFonts w:ascii="Cambria" w:eastAsia="Times New Roman" w:hAnsi="Cambria" w:cs="Times New Roman"/>
                <w:color w:val="000000"/>
                <w:sz w:val="20"/>
                <w:szCs w:val="20"/>
              </w:rPr>
              <w:t>44.9</w:t>
            </w:r>
          </w:p>
        </w:tc>
        <w:tc>
          <w:tcPr>
            <w:tcW w:w="2018" w:type="dxa"/>
            <w:tcBorders>
              <w:top w:val="nil"/>
              <w:left w:val="nil"/>
              <w:bottom w:val="nil"/>
              <w:right w:val="nil"/>
            </w:tcBorders>
            <w:shd w:val="clear" w:color="auto" w:fill="auto"/>
            <w:noWrap/>
            <w:vAlign w:val="bottom"/>
            <w:hideMark/>
          </w:tcPr>
          <w:p w14:paraId="5CFE2418" w14:textId="77777777" w:rsidR="00FC4546" w:rsidRPr="00684285" w:rsidRDefault="00FC4546" w:rsidP="00B306C4">
            <w:pPr>
              <w:spacing w:after="0"/>
              <w:jc w:val="center"/>
              <w:rPr>
                <w:rFonts w:ascii="Cambria" w:eastAsia="Times New Roman" w:hAnsi="Cambria" w:cs="Times New Roman"/>
                <w:color w:val="000000"/>
                <w:sz w:val="20"/>
                <w:szCs w:val="20"/>
              </w:rPr>
            </w:pPr>
            <w:r w:rsidRPr="00684285">
              <w:rPr>
                <w:rFonts w:ascii="Cambria" w:eastAsia="Times New Roman" w:hAnsi="Cambria" w:cs="Times New Roman"/>
                <w:color w:val="000000"/>
                <w:sz w:val="20"/>
                <w:szCs w:val="20"/>
              </w:rPr>
              <w:t>45</w:t>
            </w:r>
          </w:p>
        </w:tc>
      </w:tr>
      <w:tr w:rsidR="00FC4546" w:rsidRPr="00684285" w14:paraId="6E5109A5" w14:textId="77777777" w:rsidTr="00FC4546">
        <w:trPr>
          <w:trHeight w:val="144"/>
        </w:trPr>
        <w:tc>
          <w:tcPr>
            <w:tcW w:w="1720" w:type="dxa"/>
            <w:tcBorders>
              <w:top w:val="nil"/>
              <w:left w:val="nil"/>
              <w:bottom w:val="nil"/>
              <w:right w:val="nil"/>
            </w:tcBorders>
            <w:shd w:val="clear" w:color="auto" w:fill="auto"/>
            <w:noWrap/>
            <w:vAlign w:val="bottom"/>
            <w:hideMark/>
          </w:tcPr>
          <w:p w14:paraId="63D20ED7" w14:textId="77777777" w:rsidR="00FC4546" w:rsidRPr="00684285" w:rsidRDefault="00FC4546" w:rsidP="00B306C4">
            <w:pPr>
              <w:spacing w:after="0"/>
              <w:rPr>
                <w:rFonts w:ascii="Cambria" w:eastAsia="Times New Roman" w:hAnsi="Cambria" w:cs="Times New Roman"/>
                <w:color w:val="000000"/>
                <w:sz w:val="20"/>
                <w:szCs w:val="20"/>
              </w:rPr>
            </w:pPr>
            <w:r w:rsidRPr="00684285">
              <w:rPr>
                <w:rFonts w:ascii="Cambria" w:eastAsia="Times New Roman" w:hAnsi="Cambria" w:cs="Times New Roman"/>
                <w:color w:val="000000"/>
                <w:sz w:val="20"/>
                <w:szCs w:val="20"/>
              </w:rPr>
              <w:t>Female</w:t>
            </w:r>
          </w:p>
        </w:tc>
        <w:tc>
          <w:tcPr>
            <w:tcW w:w="1250" w:type="dxa"/>
            <w:tcBorders>
              <w:top w:val="nil"/>
              <w:left w:val="nil"/>
              <w:bottom w:val="nil"/>
              <w:right w:val="nil"/>
            </w:tcBorders>
            <w:shd w:val="clear" w:color="auto" w:fill="auto"/>
            <w:noWrap/>
            <w:vAlign w:val="bottom"/>
            <w:hideMark/>
          </w:tcPr>
          <w:p w14:paraId="0C903822" w14:textId="77777777" w:rsidR="00FC4546" w:rsidRPr="00684285" w:rsidRDefault="00FC4546" w:rsidP="00B306C4">
            <w:pPr>
              <w:spacing w:after="0"/>
              <w:jc w:val="center"/>
              <w:rPr>
                <w:rFonts w:ascii="Cambria" w:eastAsia="Times New Roman" w:hAnsi="Cambria" w:cs="Times New Roman"/>
                <w:color w:val="000000"/>
                <w:sz w:val="20"/>
                <w:szCs w:val="20"/>
              </w:rPr>
            </w:pPr>
            <w:r w:rsidRPr="00684285">
              <w:rPr>
                <w:rFonts w:ascii="Cambria" w:eastAsia="Times New Roman" w:hAnsi="Cambria" w:cs="Times New Roman"/>
                <w:color w:val="000000"/>
                <w:sz w:val="20"/>
                <w:szCs w:val="20"/>
              </w:rPr>
              <w:t>54</w:t>
            </w:r>
          </w:p>
        </w:tc>
        <w:tc>
          <w:tcPr>
            <w:tcW w:w="900" w:type="dxa"/>
            <w:tcBorders>
              <w:top w:val="nil"/>
              <w:left w:val="nil"/>
              <w:bottom w:val="nil"/>
              <w:right w:val="nil"/>
            </w:tcBorders>
            <w:shd w:val="clear" w:color="auto" w:fill="auto"/>
            <w:noWrap/>
            <w:vAlign w:val="bottom"/>
            <w:hideMark/>
          </w:tcPr>
          <w:p w14:paraId="13C624A8" w14:textId="77777777" w:rsidR="00FC4546" w:rsidRPr="00684285" w:rsidRDefault="00FC4546" w:rsidP="00B306C4">
            <w:pPr>
              <w:spacing w:after="0"/>
              <w:jc w:val="center"/>
              <w:rPr>
                <w:rFonts w:ascii="Cambria" w:eastAsia="Times New Roman" w:hAnsi="Cambria" w:cs="Times New Roman"/>
                <w:color w:val="000000"/>
                <w:sz w:val="20"/>
                <w:szCs w:val="20"/>
              </w:rPr>
            </w:pPr>
            <w:r w:rsidRPr="00684285">
              <w:rPr>
                <w:rFonts w:ascii="Cambria" w:eastAsia="Times New Roman" w:hAnsi="Cambria" w:cs="Times New Roman"/>
                <w:color w:val="000000"/>
                <w:sz w:val="20"/>
                <w:szCs w:val="20"/>
              </w:rPr>
              <w:t>54.9</w:t>
            </w:r>
          </w:p>
        </w:tc>
        <w:tc>
          <w:tcPr>
            <w:tcW w:w="1260" w:type="dxa"/>
            <w:tcBorders>
              <w:top w:val="nil"/>
              <w:left w:val="nil"/>
              <w:bottom w:val="nil"/>
              <w:right w:val="nil"/>
            </w:tcBorders>
            <w:shd w:val="clear" w:color="auto" w:fill="auto"/>
            <w:noWrap/>
            <w:vAlign w:val="bottom"/>
            <w:hideMark/>
          </w:tcPr>
          <w:p w14:paraId="3378EC44" w14:textId="77777777" w:rsidR="00FC4546" w:rsidRPr="00684285" w:rsidRDefault="00FC4546" w:rsidP="00B306C4">
            <w:pPr>
              <w:spacing w:after="0"/>
              <w:jc w:val="center"/>
              <w:rPr>
                <w:rFonts w:ascii="Cambria" w:eastAsia="Times New Roman" w:hAnsi="Cambria" w:cs="Times New Roman"/>
                <w:color w:val="000000"/>
                <w:sz w:val="20"/>
                <w:szCs w:val="20"/>
              </w:rPr>
            </w:pPr>
            <w:r w:rsidRPr="00684285">
              <w:rPr>
                <w:rFonts w:ascii="Cambria" w:eastAsia="Times New Roman" w:hAnsi="Cambria" w:cs="Times New Roman"/>
                <w:color w:val="000000"/>
                <w:sz w:val="20"/>
                <w:szCs w:val="20"/>
              </w:rPr>
              <w:t>54</w:t>
            </w:r>
          </w:p>
        </w:tc>
        <w:tc>
          <w:tcPr>
            <w:tcW w:w="1734" w:type="dxa"/>
            <w:tcBorders>
              <w:top w:val="nil"/>
              <w:left w:val="nil"/>
              <w:bottom w:val="nil"/>
              <w:right w:val="nil"/>
            </w:tcBorders>
            <w:shd w:val="clear" w:color="auto" w:fill="auto"/>
            <w:noWrap/>
            <w:vAlign w:val="bottom"/>
            <w:hideMark/>
          </w:tcPr>
          <w:p w14:paraId="410CBF20" w14:textId="77777777" w:rsidR="00FC4546" w:rsidRPr="00684285" w:rsidRDefault="00FC4546" w:rsidP="00B306C4">
            <w:pPr>
              <w:spacing w:after="0"/>
              <w:jc w:val="center"/>
              <w:rPr>
                <w:rFonts w:ascii="Cambria" w:eastAsia="Times New Roman" w:hAnsi="Cambria" w:cs="Times New Roman"/>
                <w:color w:val="000000"/>
                <w:sz w:val="20"/>
                <w:szCs w:val="20"/>
              </w:rPr>
            </w:pPr>
            <w:r w:rsidRPr="00684285">
              <w:rPr>
                <w:rFonts w:ascii="Cambria" w:eastAsia="Times New Roman" w:hAnsi="Cambria" w:cs="Times New Roman"/>
                <w:color w:val="000000"/>
                <w:sz w:val="20"/>
                <w:szCs w:val="20"/>
              </w:rPr>
              <w:t>62.6</w:t>
            </w:r>
          </w:p>
        </w:tc>
        <w:tc>
          <w:tcPr>
            <w:tcW w:w="1326" w:type="dxa"/>
            <w:tcBorders>
              <w:top w:val="nil"/>
              <w:left w:val="nil"/>
              <w:bottom w:val="nil"/>
              <w:right w:val="nil"/>
            </w:tcBorders>
            <w:shd w:val="clear" w:color="auto" w:fill="auto"/>
            <w:noWrap/>
            <w:vAlign w:val="bottom"/>
            <w:hideMark/>
          </w:tcPr>
          <w:p w14:paraId="210D00F9" w14:textId="77777777" w:rsidR="00FC4546" w:rsidRPr="00684285" w:rsidRDefault="00FC4546" w:rsidP="00B306C4">
            <w:pPr>
              <w:spacing w:after="0"/>
              <w:jc w:val="center"/>
              <w:rPr>
                <w:rFonts w:ascii="Cambria" w:eastAsia="Times New Roman" w:hAnsi="Cambria" w:cs="Times New Roman"/>
                <w:color w:val="000000"/>
                <w:sz w:val="20"/>
                <w:szCs w:val="20"/>
              </w:rPr>
            </w:pPr>
            <w:r w:rsidRPr="00684285">
              <w:rPr>
                <w:rFonts w:ascii="Cambria" w:eastAsia="Times New Roman" w:hAnsi="Cambria" w:cs="Times New Roman"/>
                <w:color w:val="000000"/>
                <w:sz w:val="20"/>
                <w:szCs w:val="20"/>
              </w:rPr>
              <w:t>54.7</w:t>
            </w:r>
          </w:p>
        </w:tc>
        <w:tc>
          <w:tcPr>
            <w:tcW w:w="720" w:type="dxa"/>
            <w:tcBorders>
              <w:top w:val="nil"/>
              <w:left w:val="nil"/>
              <w:bottom w:val="nil"/>
              <w:right w:val="nil"/>
            </w:tcBorders>
            <w:shd w:val="clear" w:color="auto" w:fill="auto"/>
            <w:noWrap/>
            <w:vAlign w:val="bottom"/>
            <w:hideMark/>
          </w:tcPr>
          <w:p w14:paraId="0AEB1BD7" w14:textId="77777777" w:rsidR="00FC4546" w:rsidRPr="00684285" w:rsidRDefault="00FC4546" w:rsidP="00B306C4">
            <w:pPr>
              <w:spacing w:after="0"/>
              <w:jc w:val="center"/>
              <w:rPr>
                <w:rFonts w:ascii="Cambria" w:eastAsia="Times New Roman" w:hAnsi="Cambria" w:cs="Times New Roman"/>
                <w:color w:val="000000"/>
                <w:sz w:val="20"/>
                <w:szCs w:val="20"/>
              </w:rPr>
            </w:pPr>
            <w:r w:rsidRPr="00684285">
              <w:rPr>
                <w:rFonts w:ascii="Cambria" w:eastAsia="Times New Roman" w:hAnsi="Cambria" w:cs="Times New Roman"/>
                <w:color w:val="000000"/>
                <w:sz w:val="20"/>
                <w:szCs w:val="20"/>
              </w:rPr>
              <w:t>55.1</w:t>
            </w:r>
          </w:p>
        </w:tc>
        <w:tc>
          <w:tcPr>
            <w:tcW w:w="2018" w:type="dxa"/>
            <w:tcBorders>
              <w:top w:val="nil"/>
              <w:left w:val="nil"/>
              <w:bottom w:val="nil"/>
              <w:right w:val="nil"/>
            </w:tcBorders>
            <w:shd w:val="clear" w:color="auto" w:fill="auto"/>
            <w:noWrap/>
            <w:vAlign w:val="bottom"/>
            <w:hideMark/>
          </w:tcPr>
          <w:p w14:paraId="7897B03D" w14:textId="77777777" w:rsidR="00FC4546" w:rsidRPr="00684285" w:rsidRDefault="00FC4546" w:rsidP="00B306C4">
            <w:pPr>
              <w:spacing w:after="0"/>
              <w:jc w:val="center"/>
              <w:rPr>
                <w:rFonts w:ascii="Cambria" w:eastAsia="Times New Roman" w:hAnsi="Cambria" w:cs="Times New Roman"/>
                <w:color w:val="000000"/>
                <w:sz w:val="20"/>
                <w:szCs w:val="20"/>
              </w:rPr>
            </w:pPr>
            <w:r w:rsidRPr="00684285">
              <w:rPr>
                <w:rFonts w:ascii="Cambria" w:eastAsia="Times New Roman" w:hAnsi="Cambria" w:cs="Times New Roman"/>
                <w:color w:val="000000"/>
                <w:sz w:val="20"/>
                <w:szCs w:val="20"/>
              </w:rPr>
              <w:t>55</w:t>
            </w:r>
          </w:p>
        </w:tc>
      </w:tr>
    </w:tbl>
    <w:p w14:paraId="2519B553" w14:textId="77777777" w:rsidR="002C36AA" w:rsidRDefault="002C36AA" w:rsidP="002C36AA">
      <w:pPr>
        <w:pStyle w:val="ListParagraph"/>
        <w:rPr>
          <w:bCs/>
          <w:i/>
        </w:rPr>
      </w:pPr>
    </w:p>
    <w:p w14:paraId="22B45C4B" w14:textId="77777777" w:rsidR="00FC4546" w:rsidRPr="00FC4546" w:rsidRDefault="00FC4546" w:rsidP="002C36AA">
      <w:pPr>
        <w:pStyle w:val="ListParagraph"/>
        <w:rPr>
          <w:bCs/>
        </w:rPr>
      </w:pPr>
    </w:p>
    <w:p w14:paraId="664DF3D6" w14:textId="77777777" w:rsidR="002C36AA" w:rsidRPr="00AD0400" w:rsidRDefault="002C36AA" w:rsidP="002C36AA">
      <w:pPr>
        <w:pStyle w:val="ListParagraph"/>
        <w:numPr>
          <w:ilvl w:val="0"/>
          <w:numId w:val="29"/>
        </w:numPr>
        <w:spacing w:after="160" w:line="259" w:lineRule="auto"/>
        <w:jc w:val="left"/>
        <w:rPr>
          <w:bCs/>
          <w:i/>
        </w:rPr>
      </w:pPr>
      <w:r w:rsidRPr="00AD0400">
        <w:rPr>
          <w:bCs/>
        </w:rPr>
        <w:t>The percentage of people with disabilities is also higher among IDPs than among non IDPs. According to the IHS for 2011 to 2013 the percentage of people with disabilities among IDPs was 8.56% and among non IDPs 6.8%. According to the information reported in the UNDP 2011 Survey, this difference is similar. The percentage of people with disabilities among IDPs is 9.41% and among non IDPs is 4.03%.</w:t>
      </w:r>
    </w:p>
    <w:p w14:paraId="57904BE8" w14:textId="77777777" w:rsidR="002C36AA" w:rsidRPr="00AD0400" w:rsidRDefault="002C36AA" w:rsidP="002C36AA">
      <w:pPr>
        <w:pStyle w:val="ListParagraph"/>
        <w:rPr>
          <w:bCs/>
          <w:i/>
        </w:rPr>
      </w:pPr>
    </w:p>
    <w:p w14:paraId="55BCE416" w14:textId="77777777" w:rsidR="002C36AA" w:rsidRPr="00AD0400" w:rsidRDefault="002C36AA" w:rsidP="002C36AA">
      <w:pPr>
        <w:pStyle w:val="ListParagraph"/>
        <w:rPr>
          <w:bCs/>
          <w:i/>
        </w:rPr>
      </w:pPr>
      <w:r w:rsidRPr="00AD0400">
        <w:rPr>
          <w:noProof/>
        </w:rPr>
        <w:drawing>
          <wp:inline distT="0" distB="0" distL="0" distR="0" wp14:anchorId="583F2114" wp14:editId="08E4E266">
            <wp:extent cx="5943600" cy="732895"/>
            <wp:effectExtent l="1905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srcRect/>
                    <a:stretch>
                      <a:fillRect/>
                    </a:stretch>
                  </pic:blipFill>
                  <pic:spPr bwMode="auto">
                    <a:xfrm>
                      <a:off x="0" y="0"/>
                      <a:ext cx="5943600" cy="732895"/>
                    </a:xfrm>
                    <a:prstGeom prst="rect">
                      <a:avLst/>
                    </a:prstGeom>
                    <a:noFill/>
                    <a:ln w="9525">
                      <a:noFill/>
                      <a:miter lim="800000"/>
                      <a:headEnd/>
                      <a:tailEnd/>
                    </a:ln>
                  </pic:spPr>
                </pic:pic>
              </a:graphicData>
            </a:graphic>
          </wp:inline>
        </w:drawing>
      </w:r>
    </w:p>
    <w:p w14:paraId="4A8713E8" w14:textId="77777777" w:rsidR="002C36AA" w:rsidRPr="00AD0400" w:rsidRDefault="002C36AA" w:rsidP="002C36AA">
      <w:pPr>
        <w:pStyle w:val="ListParagraph"/>
        <w:rPr>
          <w:bCs/>
          <w:i/>
        </w:rPr>
      </w:pPr>
    </w:p>
    <w:p w14:paraId="3B13850C" w14:textId="77777777" w:rsidR="002C36AA" w:rsidRPr="00AD0400" w:rsidRDefault="002C36AA" w:rsidP="002C36AA">
      <w:pPr>
        <w:pStyle w:val="ListParagraph"/>
        <w:rPr>
          <w:bCs/>
          <w:i/>
        </w:rPr>
      </w:pPr>
    </w:p>
    <w:p w14:paraId="4A929EA3" w14:textId="5AB0F1FE" w:rsidR="002C36AA" w:rsidRDefault="002C36AA" w:rsidP="002C36AA">
      <w:pPr>
        <w:pStyle w:val="ListParagraph"/>
        <w:numPr>
          <w:ilvl w:val="0"/>
          <w:numId w:val="29"/>
        </w:numPr>
        <w:spacing w:after="160" w:line="259" w:lineRule="auto"/>
        <w:rPr>
          <w:bCs/>
        </w:rPr>
      </w:pPr>
      <w:r w:rsidRPr="00AD0400">
        <w:rPr>
          <w:bCs/>
        </w:rPr>
        <w:t>Household sizes among IDPs are slightly bigger than household sizes among non-IDPs, but these are not significant differences. The proportion of houses with 4 or more people is 48.12% among IDPs and 45.6% among non-IDPs. Correspondingly, households with 2 members or less are 32.3% of all IDP households, while they represent 35.8% of all non-IDP households.</w:t>
      </w:r>
    </w:p>
    <w:p w14:paraId="51407FF4" w14:textId="77777777" w:rsidR="00FC4546" w:rsidRPr="00FC4546" w:rsidRDefault="00FC4546" w:rsidP="00FC4546">
      <w:pPr>
        <w:pStyle w:val="ListParagraph"/>
        <w:spacing w:after="160" w:line="259" w:lineRule="auto"/>
        <w:rPr>
          <w:bCs/>
        </w:rPr>
      </w:pPr>
    </w:p>
    <w:tbl>
      <w:tblPr>
        <w:tblW w:w="9994" w:type="dxa"/>
        <w:tblLayout w:type="fixed"/>
        <w:tblLook w:val="04A0" w:firstRow="1" w:lastRow="0" w:firstColumn="1" w:lastColumn="0" w:noHBand="0" w:noVBand="1"/>
      </w:tblPr>
      <w:tblGrid>
        <w:gridCol w:w="1249"/>
        <w:gridCol w:w="908"/>
        <w:gridCol w:w="341"/>
        <w:gridCol w:w="1249"/>
        <w:gridCol w:w="1113"/>
        <w:gridCol w:w="137"/>
        <w:gridCol w:w="1249"/>
        <w:gridCol w:w="324"/>
        <w:gridCol w:w="925"/>
        <w:gridCol w:w="1249"/>
        <w:gridCol w:w="1066"/>
        <w:gridCol w:w="184"/>
      </w:tblGrid>
      <w:tr w:rsidR="00FC4546" w:rsidRPr="00684285" w14:paraId="5088D7E5" w14:textId="77777777" w:rsidTr="00B306C4">
        <w:trPr>
          <w:gridAfter w:val="1"/>
          <w:wAfter w:w="184" w:type="dxa"/>
          <w:trHeight w:val="288"/>
        </w:trPr>
        <w:tc>
          <w:tcPr>
            <w:tcW w:w="2157" w:type="dxa"/>
            <w:gridSpan w:val="2"/>
            <w:tcBorders>
              <w:top w:val="nil"/>
              <w:left w:val="nil"/>
              <w:bottom w:val="nil"/>
              <w:right w:val="nil"/>
            </w:tcBorders>
            <w:shd w:val="clear" w:color="auto" w:fill="auto"/>
            <w:noWrap/>
            <w:hideMark/>
          </w:tcPr>
          <w:p w14:paraId="42A1FC31" w14:textId="77777777" w:rsidR="00FC4546" w:rsidRPr="00684285" w:rsidRDefault="00FC4546" w:rsidP="00B306C4">
            <w:pPr>
              <w:spacing w:after="0"/>
              <w:jc w:val="center"/>
              <w:rPr>
                <w:rFonts w:ascii="Times New Roman" w:eastAsia="Times New Roman" w:hAnsi="Times New Roman" w:cs="Times New Roman"/>
                <w:sz w:val="24"/>
                <w:szCs w:val="24"/>
              </w:rPr>
            </w:pPr>
          </w:p>
        </w:tc>
        <w:tc>
          <w:tcPr>
            <w:tcW w:w="2703" w:type="dxa"/>
            <w:gridSpan w:val="3"/>
            <w:tcBorders>
              <w:top w:val="nil"/>
              <w:left w:val="nil"/>
              <w:bottom w:val="nil"/>
              <w:right w:val="nil"/>
            </w:tcBorders>
            <w:shd w:val="clear" w:color="auto" w:fill="auto"/>
            <w:noWrap/>
            <w:hideMark/>
          </w:tcPr>
          <w:p w14:paraId="5B54BAB7" w14:textId="77777777" w:rsidR="00FC4546" w:rsidRPr="00684285" w:rsidRDefault="00FC4546" w:rsidP="00B306C4">
            <w:pPr>
              <w:spacing w:after="0"/>
              <w:jc w:val="center"/>
              <w:rPr>
                <w:rFonts w:ascii="Cambria" w:eastAsia="Times New Roman" w:hAnsi="Cambria" w:cs="Times New Roman"/>
                <w:b/>
                <w:bCs/>
                <w:color w:val="000000"/>
                <w:sz w:val="20"/>
                <w:szCs w:val="20"/>
              </w:rPr>
            </w:pPr>
            <w:r w:rsidRPr="00684285">
              <w:rPr>
                <w:rFonts w:ascii="Cambria" w:eastAsia="Times New Roman" w:hAnsi="Cambria" w:cs="Times New Roman"/>
                <w:b/>
                <w:bCs/>
                <w:color w:val="000000"/>
                <w:sz w:val="20"/>
                <w:szCs w:val="20"/>
              </w:rPr>
              <w:t>IHS 2011 - 2013</w:t>
            </w:r>
          </w:p>
        </w:tc>
        <w:tc>
          <w:tcPr>
            <w:tcW w:w="1710" w:type="dxa"/>
            <w:gridSpan w:val="3"/>
            <w:tcBorders>
              <w:top w:val="nil"/>
              <w:left w:val="nil"/>
              <w:bottom w:val="nil"/>
              <w:right w:val="nil"/>
            </w:tcBorders>
            <w:shd w:val="clear" w:color="auto" w:fill="auto"/>
            <w:noWrap/>
            <w:hideMark/>
          </w:tcPr>
          <w:p w14:paraId="5C8BF34B" w14:textId="4C7A5F53" w:rsidR="00FC4546" w:rsidRPr="00684285" w:rsidRDefault="00FC4546" w:rsidP="00B306C4">
            <w:pPr>
              <w:spacing w:after="0"/>
              <w:jc w:val="center"/>
              <w:rPr>
                <w:rFonts w:ascii="Cambria" w:eastAsia="Times New Roman" w:hAnsi="Cambria" w:cs="Times New Roman"/>
                <w:b/>
                <w:bCs/>
                <w:color w:val="000000"/>
                <w:sz w:val="20"/>
                <w:szCs w:val="20"/>
              </w:rPr>
            </w:pPr>
            <w:r w:rsidRPr="00684285">
              <w:rPr>
                <w:rFonts w:ascii="Cambria" w:eastAsia="Times New Roman" w:hAnsi="Cambria" w:cs="Times New Roman"/>
                <w:b/>
                <w:bCs/>
                <w:color w:val="000000"/>
                <w:sz w:val="20"/>
                <w:szCs w:val="20"/>
              </w:rPr>
              <w:t>UNHCR 201</w:t>
            </w:r>
            <w:r w:rsidR="003561A2">
              <w:rPr>
                <w:rFonts w:ascii="Cambria" w:eastAsia="Times New Roman" w:hAnsi="Cambria" w:cs="Times New Roman"/>
                <w:b/>
                <w:bCs/>
                <w:color w:val="000000"/>
                <w:sz w:val="20"/>
                <w:szCs w:val="20"/>
              </w:rPr>
              <w:t>4</w:t>
            </w:r>
          </w:p>
        </w:tc>
        <w:tc>
          <w:tcPr>
            <w:tcW w:w="3240" w:type="dxa"/>
            <w:gridSpan w:val="3"/>
            <w:tcBorders>
              <w:top w:val="nil"/>
              <w:left w:val="nil"/>
              <w:bottom w:val="nil"/>
              <w:right w:val="nil"/>
            </w:tcBorders>
            <w:shd w:val="clear" w:color="auto" w:fill="auto"/>
            <w:noWrap/>
            <w:hideMark/>
          </w:tcPr>
          <w:p w14:paraId="000164E8" w14:textId="77777777" w:rsidR="00FC4546" w:rsidRPr="00684285" w:rsidRDefault="00FC4546" w:rsidP="00B306C4">
            <w:pPr>
              <w:spacing w:after="0"/>
              <w:jc w:val="center"/>
              <w:rPr>
                <w:rFonts w:ascii="Cambria" w:eastAsia="Times New Roman" w:hAnsi="Cambria" w:cs="Times New Roman"/>
                <w:b/>
                <w:bCs/>
                <w:color w:val="000000"/>
                <w:sz w:val="20"/>
                <w:szCs w:val="20"/>
              </w:rPr>
            </w:pPr>
            <w:r w:rsidRPr="00684285">
              <w:rPr>
                <w:rFonts w:ascii="Cambria" w:eastAsia="Times New Roman" w:hAnsi="Cambria" w:cs="Times New Roman"/>
                <w:b/>
                <w:bCs/>
                <w:color w:val="000000"/>
                <w:sz w:val="20"/>
                <w:szCs w:val="20"/>
              </w:rPr>
              <w:t>UNDP 2011</w:t>
            </w:r>
          </w:p>
        </w:tc>
      </w:tr>
      <w:tr w:rsidR="00FC4546" w:rsidRPr="00684285" w14:paraId="6E265E57" w14:textId="77777777" w:rsidTr="00B306C4">
        <w:trPr>
          <w:trHeight w:val="342"/>
        </w:trPr>
        <w:tc>
          <w:tcPr>
            <w:tcW w:w="1249" w:type="dxa"/>
            <w:tcBorders>
              <w:top w:val="nil"/>
              <w:left w:val="nil"/>
              <w:bottom w:val="nil"/>
              <w:right w:val="nil"/>
            </w:tcBorders>
            <w:shd w:val="clear" w:color="auto" w:fill="auto"/>
            <w:noWrap/>
            <w:hideMark/>
          </w:tcPr>
          <w:p w14:paraId="2CCF4E33" w14:textId="77777777" w:rsidR="00FC4546" w:rsidRPr="00684285" w:rsidRDefault="00FC4546" w:rsidP="00B306C4">
            <w:pPr>
              <w:spacing w:after="0"/>
              <w:jc w:val="center"/>
              <w:rPr>
                <w:rFonts w:ascii="Cambria" w:eastAsia="Times New Roman" w:hAnsi="Cambria" w:cs="Times New Roman"/>
                <w:b/>
                <w:bCs/>
                <w:color w:val="000000"/>
                <w:sz w:val="20"/>
                <w:szCs w:val="20"/>
              </w:rPr>
            </w:pPr>
          </w:p>
        </w:tc>
        <w:tc>
          <w:tcPr>
            <w:tcW w:w="1249" w:type="dxa"/>
            <w:gridSpan w:val="2"/>
            <w:tcBorders>
              <w:top w:val="nil"/>
              <w:left w:val="nil"/>
              <w:bottom w:val="nil"/>
              <w:right w:val="nil"/>
            </w:tcBorders>
            <w:shd w:val="clear" w:color="auto" w:fill="auto"/>
            <w:noWrap/>
            <w:hideMark/>
          </w:tcPr>
          <w:p w14:paraId="27F7D258" w14:textId="77777777" w:rsidR="00FC4546" w:rsidRPr="00684285" w:rsidRDefault="00FC4546" w:rsidP="00B306C4">
            <w:pPr>
              <w:spacing w:after="0"/>
              <w:jc w:val="center"/>
              <w:rPr>
                <w:rFonts w:ascii="Cambria" w:eastAsia="Times New Roman" w:hAnsi="Cambria" w:cs="Times New Roman"/>
                <w:b/>
                <w:bCs/>
                <w:color w:val="000000"/>
                <w:sz w:val="20"/>
                <w:szCs w:val="20"/>
              </w:rPr>
            </w:pPr>
            <w:r w:rsidRPr="00684285">
              <w:rPr>
                <w:rFonts w:ascii="Cambria" w:eastAsia="Times New Roman" w:hAnsi="Cambria" w:cs="Times New Roman"/>
                <w:b/>
                <w:bCs/>
                <w:color w:val="000000"/>
                <w:sz w:val="20"/>
                <w:szCs w:val="20"/>
              </w:rPr>
              <w:t>All</w:t>
            </w:r>
          </w:p>
        </w:tc>
        <w:tc>
          <w:tcPr>
            <w:tcW w:w="1249" w:type="dxa"/>
            <w:tcBorders>
              <w:top w:val="nil"/>
              <w:left w:val="nil"/>
              <w:bottom w:val="nil"/>
              <w:right w:val="nil"/>
            </w:tcBorders>
            <w:shd w:val="clear" w:color="auto" w:fill="auto"/>
            <w:noWrap/>
            <w:hideMark/>
          </w:tcPr>
          <w:p w14:paraId="694D4F4F" w14:textId="77777777" w:rsidR="00FC4546" w:rsidRPr="00684285" w:rsidRDefault="00FC4546" w:rsidP="00B306C4">
            <w:pPr>
              <w:spacing w:after="0"/>
              <w:jc w:val="center"/>
              <w:rPr>
                <w:rFonts w:ascii="Cambria" w:eastAsia="Times New Roman" w:hAnsi="Cambria" w:cs="Times New Roman"/>
                <w:b/>
                <w:bCs/>
                <w:color w:val="000000"/>
                <w:sz w:val="20"/>
                <w:szCs w:val="20"/>
              </w:rPr>
            </w:pPr>
            <w:r w:rsidRPr="00684285">
              <w:rPr>
                <w:rFonts w:ascii="Cambria" w:eastAsia="Times New Roman" w:hAnsi="Cambria" w:cs="Times New Roman"/>
                <w:b/>
                <w:bCs/>
                <w:color w:val="000000"/>
                <w:sz w:val="20"/>
                <w:szCs w:val="20"/>
              </w:rPr>
              <w:t>IDP</w:t>
            </w:r>
          </w:p>
        </w:tc>
        <w:tc>
          <w:tcPr>
            <w:tcW w:w="1250" w:type="dxa"/>
            <w:gridSpan w:val="2"/>
            <w:tcBorders>
              <w:top w:val="nil"/>
              <w:left w:val="nil"/>
              <w:bottom w:val="nil"/>
              <w:right w:val="nil"/>
            </w:tcBorders>
            <w:shd w:val="clear" w:color="auto" w:fill="auto"/>
            <w:noWrap/>
            <w:hideMark/>
          </w:tcPr>
          <w:p w14:paraId="55E885A1" w14:textId="77777777" w:rsidR="00FC4546" w:rsidRPr="00684285" w:rsidRDefault="00FC4546" w:rsidP="00B306C4">
            <w:pPr>
              <w:spacing w:after="0"/>
              <w:jc w:val="center"/>
              <w:rPr>
                <w:rFonts w:ascii="Cambria" w:eastAsia="Times New Roman" w:hAnsi="Cambria" w:cs="Times New Roman"/>
                <w:b/>
                <w:bCs/>
                <w:color w:val="000000"/>
                <w:sz w:val="20"/>
                <w:szCs w:val="20"/>
              </w:rPr>
            </w:pPr>
            <w:r w:rsidRPr="00684285">
              <w:rPr>
                <w:rFonts w:ascii="Cambria" w:eastAsia="Times New Roman" w:hAnsi="Cambria" w:cs="Times New Roman"/>
                <w:b/>
                <w:bCs/>
                <w:color w:val="000000"/>
                <w:sz w:val="20"/>
                <w:szCs w:val="20"/>
              </w:rPr>
              <w:t>Non-IDP</w:t>
            </w:r>
          </w:p>
        </w:tc>
        <w:tc>
          <w:tcPr>
            <w:tcW w:w="1249" w:type="dxa"/>
            <w:tcBorders>
              <w:top w:val="nil"/>
              <w:left w:val="nil"/>
              <w:bottom w:val="single" w:sz="4" w:space="0" w:color="auto"/>
              <w:right w:val="nil"/>
            </w:tcBorders>
            <w:shd w:val="clear" w:color="auto" w:fill="auto"/>
            <w:noWrap/>
            <w:hideMark/>
          </w:tcPr>
          <w:p w14:paraId="545B5BF6" w14:textId="77777777" w:rsidR="00FC4546" w:rsidRPr="00684285" w:rsidRDefault="00FC4546" w:rsidP="00B306C4">
            <w:pPr>
              <w:spacing w:after="0"/>
              <w:jc w:val="center"/>
              <w:rPr>
                <w:rFonts w:ascii="Cambria" w:eastAsia="Times New Roman" w:hAnsi="Cambria" w:cs="Times New Roman"/>
                <w:b/>
                <w:bCs/>
                <w:color w:val="000000"/>
                <w:sz w:val="20"/>
                <w:szCs w:val="20"/>
              </w:rPr>
            </w:pPr>
            <w:r w:rsidRPr="00684285">
              <w:rPr>
                <w:rFonts w:ascii="Cambria" w:eastAsia="Times New Roman" w:hAnsi="Cambria" w:cs="Times New Roman"/>
                <w:b/>
                <w:bCs/>
                <w:color w:val="000000"/>
                <w:sz w:val="20"/>
                <w:szCs w:val="20"/>
              </w:rPr>
              <w:t>IDP</w:t>
            </w:r>
          </w:p>
        </w:tc>
        <w:tc>
          <w:tcPr>
            <w:tcW w:w="1249" w:type="dxa"/>
            <w:gridSpan w:val="2"/>
            <w:tcBorders>
              <w:top w:val="nil"/>
              <w:left w:val="nil"/>
              <w:bottom w:val="nil"/>
              <w:right w:val="nil"/>
            </w:tcBorders>
            <w:shd w:val="clear" w:color="auto" w:fill="auto"/>
            <w:noWrap/>
            <w:hideMark/>
          </w:tcPr>
          <w:p w14:paraId="4FE3CA7A" w14:textId="77777777" w:rsidR="00FC4546" w:rsidRPr="00684285" w:rsidRDefault="00FC4546" w:rsidP="00B306C4">
            <w:pPr>
              <w:spacing w:after="0"/>
              <w:jc w:val="center"/>
              <w:rPr>
                <w:rFonts w:ascii="Cambria" w:eastAsia="Times New Roman" w:hAnsi="Cambria" w:cs="Times New Roman"/>
                <w:b/>
                <w:bCs/>
                <w:color w:val="000000"/>
                <w:sz w:val="20"/>
                <w:szCs w:val="20"/>
              </w:rPr>
            </w:pPr>
            <w:r w:rsidRPr="00684285">
              <w:rPr>
                <w:rFonts w:ascii="Cambria" w:eastAsia="Times New Roman" w:hAnsi="Cambria" w:cs="Times New Roman"/>
                <w:b/>
                <w:bCs/>
                <w:color w:val="000000"/>
                <w:sz w:val="20"/>
                <w:szCs w:val="20"/>
              </w:rPr>
              <w:t>All</w:t>
            </w:r>
          </w:p>
        </w:tc>
        <w:tc>
          <w:tcPr>
            <w:tcW w:w="1249" w:type="dxa"/>
            <w:tcBorders>
              <w:top w:val="nil"/>
              <w:left w:val="nil"/>
              <w:bottom w:val="single" w:sz="4" w:space="0" w:color="auto"/>
              <w:right w:val="nil"/>
            </w:tcBorders>
            <w:shd w:val="clear" w:color="auto" w:fill="auto"/>
            <w:noWrap/>
            <w:hideMark/>
          </w:tcPr>
          <w:p w14:paraId="70DB898D" w14:textId="77777777" w:rsidR="00FC4546" w:rsidRPr="00684285" w:rsidRDefault="00FC4546" w:rsidP="00B306C4">
            <w:pPr>
              <w:spacing w:after="0"/>
              <w:jc w:val="center"/>
              <w:rPr>
                <w:rFonts w:ascii="Cambria" w:eastAsia="Times New Roman" w:hAnsi="Cambria" w:cs="Times New Roman"/>
                <w:b/>
                <w:bCs/>
                <w:color w:val="000000"/>
                <w:sz w:val="20"/>
                <w:szCs w:val="20"/>
              </w:rPr>
            </w:pPr>
            <w:r w:rsidRPr="00684285">
              <w:rPr>
                <w:rFonts w:ascii="Cambria" w:eastAsia="Times New Roman" w:hAnsi="Cambria" w:cs="Times New Roman"/>
                <w:b/>
                <w:bCs/>
                <w:color w:val="000000"/>
                <w:sz w:val="20"/>
                <w:szCs w:val="20"/>
              </w:rPr>
              <w:t>IDP</w:t>
            </w:r>
          </w:p>
        </w:tc>
        <w:tc>
          <w:tcPr>
            <w:tcW w:w="1250" w:type="dxa"/>
            <w:gridSpan w:val="2"/>
            <w:tcBorders>
              <w:top w:val="nil"/>
              <w:left w:val="nil"/>
              <w:bottom w:val="single" w:sz="4" w:space="0" w:color="auto"/>
              <w:right w:val="nil"/>
            </w:tcBorders>
            <w:shd w:val="clear" w:color="auto" w:fill="auto"/>
            <w:noWrap/>
            <w:hideMark/>
          </w:tcPr>
          <w:p w14:paraId="3138E142" w14:textId="77777777" w:rsidR="00FC4546" w:rsidRPr="00684285" w:rsidRDefault="00FC4546" w:rsidP="00B306C4">
            <w:pPr>
              <w:spacing w:after="0"/>
              <w:jc w:val="center"/>
              <w:rPr>
                <w:rFonts w:ascii="Cambria" w:eastAsia="Times New Roman" w:hAnsi="Cambria" w:cs="Times New Roman"/>
                <w:b/>
                <w:bCs/>
                <w:color w:val="000000"/>
                <w:sz w:val="20"/>
                <w:szCs w:val="20"/>
              </w:rPr>
            </w:pPr>
            <w:r w:rsidRPr="00684285">
              <w:rPr>
                <w:rFonts w:ascii="Cambria" w:eastAsia="Times New Roman" w:hAnsi="Cambria" w:cs="Times New Roman"/>
                <w:b/>
                <w:bCs/>
                <w:color w:val="000000"/>
                <w:sz w:val="20"/>
                <w:szCs w:val="20"/>
              </w:rPr>
              <w:t>Non-IDP</w:t>
            </w:r>
          </w:p>
        </w:tc>
      </w:tr>
      <w:tr w:rsidR="00FC4546" w:rsidRPr="00684285" w14:paraId="186B39EB" w14:textId="77777777" w:rsidTr="00B306C4">
        <w:trPr>
          <w:trHeight w:val="288"/>
        </w:trPr>
        <w:tc>
          <w:tcPr>
            <w:tcW w:w="1249" w:type="dxa"/>
            <w:tcBorders>
              <w:top w:val="single" w:sz="4" w:space="0" w:color="auto"/>
              <w:left w:val="nil"/>
              <w:bottom w:val="nil"/>
              <w:right w:val="nil"/>
            </w:tcBorders>
            <w:shd w:val="clear" w:color="auto" w:fill="auto"/>
            <w:noWrap/>
            <w:hideMark/>
          </w:tcPr>
          <w:p w14:paraId="50FE26BE" w14:textId="77777777" w:rsidR="00FC4546" w:rsidRPr="00684285" w:rsidRDefault="00FC4546" w:rsidP="00B306C4">
            <w:pPr>
              <w:spacing w:after="0"/>
              <w:jc w:val="center"/>
              <w:rPr>
                <w:rFonts w:ascii="Cambria" w:eastAsia="Times New Roman" w:hAnsi="Cambria" w:cs="Times New Roman"/>
                <w:b/>
                <w:bCs/>
                <w:color w:val="000000"/>
                <w:sz w:val="20"/>
                <w:szCs w:val="20"/>
              </w:rPr>
            </w:pPr>
            <w:r w:rsidRPr="00684285">
              <w:rPr>
                <w:rFonts w:ascii="Cambria" w:eastAsia="Times New Roman" w:hAnsi="Cambria" w:cs="Times New Roman"/>
                <w:b/>
                <w:bCs/>
                <w:color w:val="000000"/>
                <w:sz w:val="20"/>
                <w:szCs w:val="20"/>
              </w:rPr>
              <w:t>Household size</w:t>
            </w:r>
          </w:p>
        </w:tc>
        <w:tc>
          <w:tcPr>
            <w:tcW w:w="1249" w:type="dxa"/>
            <w:gridSpan w:val="2"/>
            <w:tcBorders>
              <w:top w:val="single" w:sz="4" w:space="0" w:color="auto"/>
              <w:left w:val="nil"/>
              <w:bottom w:val="nil"/>
              <w:right w:val="nil"/>
            </w:tcBorders>
            <w:shd w:val="clear" w:color="auto" w:fill="auto"/>
            <w:noWrap/>
            <w:hideMark/>
          </w:tcPr>
          <w:p w14:paraId="412119AB" w14:textId="77777777" w:rsidR="00FC4546" w:rsidRPr="00684285" w:rsidRDefault="00FC4546" w:rsidP="00B306C4">
            <w:pPr>
              <w:spacing w:after="0"/>
              <w:jc w:val="center"/>
              <w:rPr>
                <w:rFonts w:ascii="Cambria" w:eastAsia="Times New Roman" w:hAnsi="Cambria" w:cs="Times New Roman"/>
                <w:b/>
                <w:bCs/>
                <w:color w:val="000000"/>
                <w:sz w:val="20"/>
                <w:szCs w:val="20"/>
              </w:rPr>
            </w:pPr>
          </w:p>
        </w:tc>
        <w:tc>
          <w:tcPr>
            <w:tcW w:w="1249" w:type="dxa"/>
            <w:tcBorders>
              <w:top w:val="single" w:sz="4" w:space="0" w:color="auto"/>
              <w:left w:val="nil"/>
              <w:bottom w:val="nil"/>
              <w:right w:val="nil"/>
            </w:tcBorders>
            <w:shd w:val="clear" w:color="auto" w:fill="auto"/>
            <w:noWrap/>
            <w:hideMark/>
          </w:tcPr>
          <w:p w14:paraId="2DE29C60" w14:textId="77777777" w:rsidR="00FC4546" w:rsidRPr="00684285" w:rsidRDefault="00FC4546" w:rsidP="00B306C4">
            <w:pPr>
              <w:spacing w:after="0"/>
              <w:jc w:val="center"/>
              <w:rPr>
                <w:rFonts w:ascii="Cambria" w:eastAsia="Times New Roman" w:hAnsi="Cambria" w:cs="Times New Roman"/>
                <w:b/>
                <w:bCs/>
                <w:color w:val="000000"/>
                <w:sz w:val="20"/>
                <w:szCs w:val="20"/>
              </w:rPr>
            </w:pPr>
          </w:p>
        </w:tc>
        <w:tc>
          <w:tcPr>
            <w:tcW w:w="1250" w:type="dxa"/>
            <w:gridSpan w:val="2"/>
            <w:tcBorders>
              <w:top w:val="single" w:sz="4" w:space="0" w:color="auto"/>
              <w:left w:val="nil"/>
              <w:bottom w:val="nil"/>
              <w:right w:val="nil"/>
            </w:tcBorders>
            <w:shd w:val="clear" w:color="auto" w:fill="auto"/>
            <w:noWrap/>
            <w:hideMark/>
          </w:tcPr>
          <w:p w14:paraId="6995CDE3" w14:textId="77777777" w:rsidR="00FC4546" w:rsidRPr="00684285" w:rsidRDefault="00FC4546" w:rsidP="00B306C4">
            <w:pPr>
              <w:spacing w:after="0"/>
              <w:jc w:val="center"/>
              <w:rPr>
                <w:rFonts w:ascii="Cambria" w:eastAsia="Times New Roman" w:hAnsi="Cambria" w:cs="Times New Roman"/>
                <w:b/>
                <w:bCs/>
                <w:color w:val="000000"/>
                <w:sz w:val="20"/>
                <w:szCs w:val="20"/>
              </w:rPr>
            </w:pPr>
          </w:p>
        </w:tc>
        <w:tc>
          <w:tcPr>
            <w:tcW w:w="1249" w:type="dxa"/>
            <w:tcBorders>
              <w:top w:val="nil"/>
              <w:left w:val="nil"/>
              <w:bottom w:val="nil"/>
              <w:right w:val="nil"/>
            </w:tcBorders>
            <w:shd w:val="clear" w:color="auto" w:fill="auto"/>
            <w:noWrap/>
            <w:hideMark/>
          </w:tcPr>
          <w:p w14:paraId="33087474" w14:textId="77777777" w:rsidR="00FC4546" w:rsidRPr="00684285" w:rsidRDefault="00FC4546" w:rsidP="00B306C4">
            <w:pPr>
              <w:spacing w:after="0"/>
              <w:jc w:val="center"/>
              <w:rPr>
                <w:rFonts w:ascii="Cambria" w:eastAsia="Times New Roman" w:hAnsi="Cambria" w:cs="Times New Roman"/>
                <w:b/>
                <w:bCs/>
                <w:color w:val="000000"/>
                <w:sz w:val="20"/>
                <w:szCs w:val="20"/>
              </w:rPr>
            </w:pPr>
          </w:p>
        </w:tc>
        <w:tc>
          <w:tcPr>
            <w:tcW w:w="1249" w:type="dxa"/>
            <w:gridSpan w:val="2"/>
            <w:tcBorders>
              <w:top w:val="single" w:sz="4" w:space="0" w:color="auto"/>
              <w:left w:val="nil"/>
              <w:bottom w:val="nil"/>
              <w:right w:val="nil"/>
            </w:tcBorders>
            <w:shd w:val="clear" w:color="auto" w:fill="auto"/>
            <w:noWrap/>
            <w:hideMark/>
          </w:tcPr>
          <w:p w14:paraId="66684AB3" w14:textId="77777777" w:rsidR="00FC4546" w:rsidRPr="00684285" w:rsidRDefault="00FC4546" w:rsidP="00B306C4">
            <w:pPr>
              <w:spacing w:after="0"/>
              <w:jc w:val="center"/>
              <w:rPr>
                <w:rFonts w:ascii="Cambria" w:eastAsia="Times New Roman" w:hAnsi="Cambria" w:cs="Times New Roman"/>
                <w:b/>
                <w:bCs/>
                <w:color w:val="000000"/>
                <w:sz w:val="20"/>
                <w:szCs w:val="20"/>
              </w:rPr>
            </w:pPr>
          </w:p>
        </w:tc>
        <w:tc>
          <w:tcPr>
            <w:tcW w:w="1249" w:type="dxa"/>
            <w:tcBorders>
              <w:top w:val="nil"/>
              <w:left w:val="nil"/>
              <w:bottom w:val="nil"/>
              <w:right w:val="nil"/>
            </w:tcBorders>
            <w:shd w:val="clear" w:color="auto" w:fill="auto"/>
            <w:noWrap/>
            <w:hideMark/>
          </w:tcPr>
          <w:p w14:paraId="4A069695" w14:textId="77777777" w:rsidR="00FC4546" w:rsidRPr="00684285" w:rsidRDefault="00FC4546" w:rsidP="00B306C4">
            <w:pPr>
              <w:spacing w:after="0"/>
              <w:jc w:val="center"/>
              <w:rPr>
                <w:rFonts w:ascii="Cambria" w:eastAsia="Times New Roman" w:hAnsi="Cambria" w:cs="Times New Roman"/>
                <w:b/>
                <w:bCs/>
                <w:color w:val="000000"/>
                <w:sz w:val="20"/>
                <w:szCs w:val="20"/>
              </w:rPr>
            </w:pPr>
          </w:p>
        </w:tc>
        <w:tc>
          <w:tcPr>
            <w:tcW w:w="1250" w:type="dxa"/>
            <w:gridSpan w:val="2"/>
            <w:tcBorders>
              <w:top w:val="nil"/>
              <w:left w:val="nil"/>
              <w:bottom w:val="nil"/>
              <w:right w:val="nil"/>
            </w:tcBorders>
            <w:shd w:val="clear" w:color="auto" w:fill="auto"/>
            <w:noWrap/>
            <w:hideMark/>
          </w:tcPr>
          <w:p w14:paraId="79CBBEFF" w14:textId="77777777" w:rsidR="00FC4546" w:rsidRPr="00684285" w:rsidRDefault="00FC4546" w:rsidP="00B306C4">
            <w:pPr>
              <w:spacing w:after="0"/>
              <w:jc w:val="center"/>
              <w:rPr>
                <w:rFonts w:ascii="Times New Roman" w:eastAsia="Times New Roman" w:hAnsi="Times New Roman" w:cs="Times New Roman"/>
                <w:sz w:val="20"/>
                <w:szCs w:val="20"/>
              </w:rPr>
            </w:pPr>
          </w:p>
        </w:tc>
      </w:tr>
      <w:tr w:rsidR="00FC4546" w:rsidRPr="00684285" w14:paraId="3601CE06" w14:textId="77777777" w:rsidTr="00B306C4">
        <w:trPr>
          <w:trHeight w:val="288"/>
        </w:trPr>
        <w:tc>
          <w:tcPr>
            <w:tcW w:w="1249" w:type="dxa"/>
            <w:tcBorders>
              <w:top w:val="nil"/>
              <w:left w:val="nil"/>
              <w:bottom w:val="nil"/>
              <w:right w:val="nil"/>
            </w:tcBorders>
            <w:shd w:val="clear" w:color="auto" w:fill="auto"/>
            <w:noWrap/>
            <w:hideMark/>
          </w:tcPr>
          <w:p w14:paraId="6499BAD2" w14:textId="77777777" w:rsidR="00FC4546" w:rsidRPr="00684285" w:rsidRDefault="00FC4546" w:rsidP="00B306C4">
            <w:pPr>
              <w:spacing w:after="0"/>
              <w:jc w:val="center"/>
              <w:rPr>
                <w:rFonts w:ascii="Cambria" w:eastAsia="Times New Roman" w:hAnsi="Cambria" w:cs="Times New Roman"/>
                <w:color w:val="000000"/>
                <w:sz w:val="20"/>
                <w:szCs w:val="20"/>
              </w:rPr>
            </w:pPr>
            <w:r w:rsidRPr="00684285">
              <w:rPr>
                <w:rFonts w:ascii="Cambria" w:eastAsia="Times New Roman" w:hAnsi="Cambria" w:cs="Times New Roman"/>
                <w:color w:val="000000"/>
                <w:sz w:val="20"/>
                <w:szCs w:val="20"/>
              </w:rPr>
              <w:t>1</w:t>
            </w:r>
          </w:p>
        </w:tc>
        <w:tc>
          <w:tcPr>
            <w:tcW w:w="1249" w:type="dxa"/>
            <w:gridSpan w:val="2"/>
            <w:tcBorders>
              <w:top w:val="nil"/>
              <w:left w:val="nil"/>
              <w:bottom w:val="nil"/>
              <w:right w:val="nil"/>
            </w:tcBorders>
            <w:shd w:val="clear" w:color="auto" w:fill="auto"/>
            <w:noWrap/>
            <w:hideMark/>
          </w:tcPr>
          <w:p w14:paraId="78A0EAF2" w14:textId="77777777" w:rsidR="00FC4546" w:rsidRPr="00684285" w:rsidRDefault="00FC4546" w:rsidP="00B306C4">
            <w:pPr>
              <w:spacing w:after="0"/>
              <w:jc w:val="center"/>
              <w:rPr>
                <w:rFonts w:ascii="Cambria" w:eastAsia="Times New Roman" w:hAnsi="Cambria" w:cs="Times New Roman"/>
                <w:color w:val="000000"/>
                <w:sz w:val="20"/>
                <w:szCs w:val="20"/>
              </w:rPr>
            </w:pPr>
            <w:r w:rsidRPr="00684285">
              <w:rPr>
                <w:rFonts w:ascii="Cambria" w:eastAsia="Times New Roman" w:hAnsi="Cambria" w:cs="Times New Roman"/>
                <w:color w:val="000000"/>
                <w:sz w:val="20"/>
                <w:szCs w:val="20"/>
              </w:rPr>
              <w:t>15.3</w:t>
            </w:r>
          </w:p>
        </w:tc>
        <w:tc>
          <w:tcPr>
            <w:tcW w:w="1249" w:type="dxa"/>
            <w:tcBorders>
              <w:top w:val="nil"/>
              <w:left w:val="nil"/>
              <w:bottom w:val="nil"/>
              <w:right w:val="nil"/>
            </w:tcBorders>
            <w:shd w:val="clear" w:color="auto" w:fill="auto"/>
            <w:noWrap/>
            <w:hideMark/>
          </w:tcPr>
          <w:p w14:paraId="50622BE4" w14:textId="77777777" w:rsidR="00FC4546" w:rsidRPr="00684285" w:rsidRDefault="00FC4546" w:rsidP="00B306C4">
            <w:pPr>
              <w:spacing w:after="0"/>
              <w:jc w:val="center"/>
              <w:rPr>
                <w:rFonts w:ascii="Cambria" w:eastAsia="Times New Roman" w:hAnsi="Cambria" w:cs="Times New Roman"/>
                <w:color w:val="000000"/>
                <w:sz w:val="20"/>
                <w:szCs w:val="20"/>
              </w:rPr>
            </w:pPr>
            <w:r w:rsidRPr="00684285">
              <w:rPr>
                <w:rFonts w:ascii="Cambria" w:eastAsia="Times New Roman" w:hAnsi="Cambria" w:cs="Times New Roman"/>
                <w:color w:val="000000"/>
                <w:sz w:val="20"/>
                <w:szCs w:val="20"/>
              </w:rPr>
              <w:t>13.9</w:t>
            </w:r>
          </w:p>
        </w:tc>
        <w:tc>
          <w:tcPr>
            <w:tcW w:w="1250" w:type="dxa"/>
            <w:gridSpan w:val="2"/>
            <w:tcBorders>
              <w:top w:val="nil"/>
              <w:left w:val="nil"/>
              <w:bottom w:val="nil"/>
              <w:right w:val="nil"/>
            </w:tcBorders>
            <w:shd w:val="clear" w:color="auto" w:fill="auto"/>
            <w:noWrap/>
            <w:hideMark/>
          </w:tcPr>
          <w:p w14:paraId="613AABE8" w14:textId="77777777" w:rsidR="00FC4546" w:rsidRPr="00684285" w:rsidRDefault="00FC4546" w:rsidP="00B306C4">
            <w:pPr>
              <w:spacing w:after="0"/>
              <w:jc w:val="center"/>
              <w:rPr>
                <w:rFonts w:ascii="Cambria" w:eastAsia="Times New Roman" w:hAnsi="Cambria" w:cs="Times New Roman"/>
                <w:color w:val="000000"/>
                <w:sz w:val="20"/>
                <w:szCs w:val="20"/>
              </w:rPr>
            </w:pPr>
            <w:r w:rsidRPr="00684285">
              <w:rPr>
                <w:rFonts w:ascii="Cambria" w:eastAsia="Times New Roman" w:hAnsi="Cambria" w:cs="Times New Roman"/>
                <w:color w:val="000000"/>
                <w:sz w:val="20"/>
                <w:szCs w:val="20"/>
              </w:rPr>
              <w:t>15.3</w:t>
            </w:r>
          </w:p>
        </w:tc>
        <w:tc>
          <w:tcPr>
            <w:tcW w:w="1249" w:type="dxa"/>
            <w:tcBorders>
              <w:top w:val="nil"/>
              <w:left w:val="nil"/>
              <w:bottom w:val="nil"/>
              <w:right w:val="nil"/>
            </w:tcBorders>
            <w:shd w:val="clear" w:color="auto" w:fill="auto"/>
            <w:noWrap/>
            <w:hideMark/>
          </w:tcPr>
          <w:p w14:paraId="22E1DA92" w14:textId="77777777" w:rsidR="00FC4546" w:rsidRPr="00684285" w:rsidRDefault="00FC4546" w:rsidP="00B306C4">
            <w:pPr>
              <w:spacing w:after="0"/>
              <w:jc w:val="center"/>
              <w:rPr>
                <w:rFonts w:ascii="Cambria" w:eastAsia="Times New Roman" w:hAnsi="Cambria" w:cs="Times New Roman"/>
                <w:color w:val="000000"/>
                <w:sz w:val="20"/>
                <w:szCs w:val="20"/>
              </w:rPr>
            </w:pPr>
            <w:r w:rsidRPr="00684285">
              <w:rPr>
                <w:rFonts w:ascii="Cambria" w:eastAsia="Times New Roman" w:hAnsi="Cambria" w:cs="Times New Roman"/>
                <w:color w:val="000000"/>
                <w:sz w:val="20"/>
                <w:szCs w:val="20"/>
              </w:rPr>
              <w:t>10.9</w:t>
            </w:r>
          </w:p>
        </w:tc>
        <w:tc>
          <w:tcPr>
            <w:tcW w:w="1249" w:type="dxa"/>
            <w:gridSpan w:val="2"/>
            <w:tcBorders>
              <w:top w:val="nil"/>
              <w:left w:val="nil"/>
              <w:bottom w:val="nil"/>
              <w:right w:val="nil"/>
            </w:tcBorders>
            <w:shd w:val="clear" w:color="auto" w:fill="auto"/>
            <w:noWrap/>
            <w:hideMark/>
          </w:tcPr>
          <w:p w14:paraId="4D8ACD1C" w14:textId="77777777" w:rsidR="00FC4546" w:rsidRPr="00684285" w:rsidRDefault="00FC4546" w:rsidP="00B306C4">
            <w:pPr>
              <w:spacing w:after="0"/>
              <w:jc w:val="center"/>
              <w:rPr>
                <w:rFonts w:ascii="Cambria" w:eastAsia="Times New Roman" w:hAnsi="Cambria" w:cs="Times New Roman"/>
                <w:color w:val="000000"/>
                <w:sz w:val="20"/>
                <w:szCs w:val="20"/>
              </w:rPr>
            </w:pPr>
            <w:r w:rsidRPr="00684285">
              <w:rPr>
                <w:rFonts w:ascii="Cambria" w:eastAsia="Times New Roman" w:hAnsi="Cambria" w:cs="Times New Roman"/>
                <w:color w:val="000000"/>
                <w:sz w:val="20"/>
                <w:szCs w:val="20"/>
              </w:rPr>
              <w:t>15.5</w:t>
            </w:r>
          </w:p>
        </w:tc>
        <w:tc>
          <w:tcPr>
            <w:tcW w:w="1249" w:type="dxa"/>
            <w:tcBorders>
              <w:top w:val="nil"/>
              <w:left w:val="nil"/>
              <w:bottom w:val="nil"/>
              <w:right w:val="nil"/>
            </w:tcBorders>
            <w:shd w:val="clear" w:color="auto" w:fill="auto"/>
            <w:noWrap/>
            <w:hideMark/>
          </w:tcPr>
          <w:p w14:paraId="60EB7C3E" w14:textId="77777777" w:rsidR="00FC4546" w:rsidRPr="00684285" w:rsidRDefault="00FC4546" w:rsidP="00B306C4">
            <w:pPr>
              <w:spacing w:after="0"/>
              <w:jc w:val="center"/>
              <w:rPr>
                <w:rFonts w:ascii="Cambria" w:eastAsia="Times New Roman" w:hAnsi="Cambria" w:cs="Times New Roman"/>
                <w:color w:val="000000"/>
                <w:sz w:val="20"/>
                <w:szCs w:val="20"/>
              </w:rPr>
            </w:pPr>
            <w:r w:rsidRPr="00684285">
              <w:rPr>
                <w:rFonts w:ascii="Cambria" w:eastAsia="Times New Roman" w:hAnsi="Cambria" w:cs="Times New Roman"/>
                <w:color w:val="000000"/>
                <w:sz w:val="20"/>
                <w:szCs w:val="20"/>
              </w:rPr>
              <w:t>11.8</w:t>
            </w:r>
          </w:p>
        </w:tc>
        <w:tc>
          <w:tcPr>
            <w:tcW w:w="1250" w:type="dxa"/>
            <w:gridSpan w:val="2"/>
            <w:tcBorders>
              <w:top w:val="nil"/>
              <w:left w:val="nil"/>
              <w:bottom w:val="nil"/>
              <w:right w:val="nil"/>
            </w:tcBorders>
            <w:shd w:val="clear" w:color="auto" w:fill="auto"/>
            <w:noWrap/>
            <w:hideMark/>
          </w:tcPr>
          <w:p w14:paraId="450A44E5" w14:textId="77777777" w:rsidR="00FC4546" w:rsidRPr="00684285" w:rsidRDefault="00FC4546" w:rsidP="00B306C4">
            <w:pPr>
              <w:spacing w:after="0"/>
              <w:jc w:val="center"/>
              <w:rPr>
                <w:rFonts w:ascii="Cambria" w:eastAsia="Times New Roman" w:hAnsi="Cambria" w:cs="Times New Roman"/>
                <w:color w:val="000000"/>
                <w:sz w:val="20"/>
                <w:szCs w:val="20"/>
              </w:rPr>
            </w:pPr>
            <w:r w:rsidRPr="00684285">
              <w:rPr>
                <w:rFonts w:ascii="Cambria" w:eastAsia="Times New Roman" w:hAnsi="Cambria" w:cs="Times New Roman"/>
                <w:color w:val="000000"/>
                <w:sz w:val="20"/>
                <w:szCs w:val="20"/>
              </w:rPr>
              <w:t>15.7</w:t>
            </w:r>
          </w:p>
        </w:tc>
      </w:tr>
      <w:tr w:rsidR="00FC4546" w:rsidRPr="00684285" w14:paraId="77102BF8" w14:textId="77777777" w:rsidTr="00B306C4">
        <w:trPr>
          <w:trHeight w:val="288"/>
        </w:trPr>
        <w:tc>
          <w:tcPr>
            <w:tcW w:w="1249" w:type="dxa"/>
            <w:tcBorders>
              <w:top w:val="nil"/>
              <w:left w:val="nil"/>
              <w:bottom w:val="nil"/>
              <w:right w:val="nil"/>
            </w:tcBorders>
            <w:shd w:val="clear" w:color="auto" w:fill="auto"/>
            <w:noWrap/>
            <w:hideMark/>
          </w:tcPr>
          <w:p w14:paraId="7E4984EE" w14:textId="77777777" w:rsidR="00FC4546" w:rsidRPr="00684285" w:rsidRDefault="00FC4546" w:rsidP="00B306C4">
            <w:pPr>
              <w:spacing w:after="0"/>
              <w:jc w:val="center"/>
              <w:rPr>
                <w:rFonts w:ascii="Cambria" w:eastAsia="Times New Roman" w:hAnsi="Cambria" w:cs="Times New Roman"/>
                <w:color w:val="000000"/>
                <w:sz w:val="20"/>
                <w:szCs w:val="20"/>
              </w:rPr>
            </w:pPr>
            <w:r w:rsidRPr="00684285">
              <w:rPr>
                <w:rFonts w:ascii="Cambria" w:eastAsia="Times New Roman" w:hAnsi="Cambria" w:cs="Times New Roman"/>
                <w:color w:val="000000"/>
                <w:sz w:val="20"/>
                <w:szCs w:val="20"/>
              </w:rPr>
              <w:t>2</w:t>
            </w:r>
          </w:p>
        </w:tc>
        <w:tc>
          <w:tcPr>
            <w:tcW w:w="1249" w:type="dxa"/>
            <w:gridSpan w:val="2"/>
            <w:tcBorders>
              <w:top w:val="nil"/>
              <w:left w:val="nil"/>
              <w:bottom w:val="nil"/>
              <w:right w:val="nil"/>
            </w:tcBorders>
            <w:shd w:val="clear" w:color="auto" w:fill="auto"/>
            <w:noWrap/>
            <w:hideMark/>
          </w:tcPr>
          <w:p w14:paraId="657DACF9" w14:textId="77777777" w:rsidR="00FC4546" w:rsidRPr="00684285" w:rsidRDefault="00FC4546" w:rsidP="00B306C4">
            <w:pPr>
              <w:spacing w:after="0"/>
              <w:jc w:val="center"/>
              <w:rPr>
                <w:rFonts w:ascii="Cambria" w:eastAsia="Times New Roman" w:hAnsi="Cambria" w:cs="Times New Roman"/>
                <w:color w:val="000000"/>
                <w:sz w:val="20"/>
                <w:szCs w:val="20"/>
              </w:rPr>
            </w:pPr>
            <w:r w:rsidRPr="00684285">
              <w:rPr>
                <w:rFonts w:ascii="Cambria" w:eastAsia="Times New Roman" w:hAnsi="Cambria" w:cs="Times New Roman"/>
                <w:color w:val="000000"/>
                <w:sz w:val="20"/>
                <w:szCs w:val="20"/>
              </w:rPr>
              <w:t>20.4</w:t>
            </w:r>
          </w:p>
        </w:tc>
        <w:tc>
          <w:tcPr>
            <w:tcW w:w="1249" w:type="dxa"/>
            <w:tcBorders>
              <w:top w:val="nil"/>
              <w:left w:val="nil"/>
              <w:bottom w:val="nil"/>
              <w:right w:val="nil"/>
            </w:tcBorders>
            <w:shd w:val="clear" w:color="auto" w:fill="auto"/>
            <w:noWrap/>
            <w:hideMark/>
          </w:tcPr>
          <w:p w14:paraId="2161B8E1" w14:textId="77777777" w:rsidR="00FC4546" w:rsidRPr="00684285" w:rsidRDefault="00FC4546" w:rsidP="00B306C4">
            <w:pPr>
              <w:spacing w:after="0"/>
              <w:jc w:val="center"/>
              <w:rPr>
                <w:rFonts w:ascii="Cambria" w:eastAsia="Times New Roman" w:hAnsi="Cambria" w:cs="Times New Roman"/>
                <w:color w:val="000000"/>
                <w:sz w:val="20"/>
                <w:szCs w:val="20"/>
              </w:rPr>
            </w:pPr>
            <w:r w:rsidRPr="00684285">
              <w:rPr>
                <w:rFonts w:ascii="Cambria" w:eastAsia="Times New Roman" w:hAnsi="Cambria" w:cs="Times New Roman"/>
                <w:color w:val="000000"/>
                <w:sz w:val="20"/>
                <w:szCs w:val="20"/>
              </w:rPr>
              <w:t>18.4</w:t>
            </w:r>
          </w:p>
        </w:tc>
        <w:tc>
          <w:tcPr>
            <w:tcW w:w="1250" w:type="dxa"/>
            <w:gridSpan w:val="2"/>
            <w:tcBorders>
              <w:top w:val="nil"/>
              <w:left w:val="nil"/>
              <w:bottom w:val="nil"/>
              <w:right w:val="nil"/>
            </w:tcBorders>
            <w:shd w:val="clear" w:color="auto" w:fill="auto"/>
            <w:noWrap/>
            <w:hideMark/>
          </w:tcPr>
          <w:p w14:paraId="3CFE6335" w14:textId="77777777" w:rsidR="00FC4546" w:rsidRPr="00684285" w:rsidRDefault="00FC4546" w:rsidP="00B306C4">
            <w:pPr>
              <w:spacing w:after="0"/>
              <w:jc w:val="center"/>
              <w:rPr>
                <w:rFonts w:ascii="Cambria" w:eastAsia="Times New Roman" w:hAnsi="Cambria" w:cs="Times New Roman"/>
                <w:color w:val="000000"/>
                <w:sz w:val="20"/>
                <w:szCs w:val="20"/>
              </w:rPr>
            </w:pPr>
            <w:r w:rsidRPr="00684285">
              <w:rPr>
                <w:rFonts w:ascii="Cambria" w:eastAsia="Times New Roman" w:hAnsi="Cambria" w:cs="Times New Roman"/>
                <w:color w:val="000000"/>
                <w:sz w:val="20"/>
                <w:szCs w:val="20"/>
              </w:rPr>
              <w:t>20.5</w:t>
            </w:r>
          </w:p>
        </w:tc>
        <w:tc>
          <w:tcPr>
            <w:tcW w:w="1249" w:type="dxa"/>
            <w:tcBorders>
              <w:top w:val="nil"/>
              <w:left w:val="nil"/>
              <w:bottom w:val="nil"/>
              <w:right w:val="nil"/>
            </w:tcBorders>
            <w:shd w:val="clear" w:color="auto" w:fill="auto"/>
            <w:noWrap/>
            <w:hideMark/>
          </w:tcPr>
          <w:p w14:paraId="0630CF6F" w14:textId="77777777" w:rsidR="00FC4546" w:rsidRPr="00684285" w:rsidRDefault="00FC4546" w:rsidP="00B306C4">
            <w:pPr>
              <w:spacing w:after="0"/>
              <w:jc w:val="center"/>
              <w:rPr>
                <w:rFonts w:ascii="Cambria" w:eastAsia="Times New Roman" w:hAnsi="Cambria" w:cs="Times New Roman"/>
                <w:color w:val="000000"/>
                <w:sz w:val="20"/>
                <w:szCs w:val="20"/>
              </w:rPr>
            </w:pPr>
            <w:r w:rsidRPr="00684285">
              <w:rPr>
                <w:rFonts w:ascii="Cambria" w:eastAsia="Times New Roman" w:hAnsi="Cambria" w:cs="Times New Roman"/>
                <w:color w:val="000000"/>
                <w:sz w:val="20"/>
                <w:szCs w:val="20"/>
              </w:rPr>
              <w:t>16.6</w:t>
            </w:r>
          </w:p>
        </w:tc>
        <w:tc>
          <w:tcPr>
            <w:tcW w:w="1249" w:type="dxa"/>
            <w:gridSpan w:val="2"/>
            <w:tcBorders>
              <w:top w:val="nil"/>
              <w:left w:val="nil"/>
              <w:bottom w:val="nil"/>
              <w:right w:val="nil"/>
            </w:tcBorders>
            <w:shd w:val="clear" w:color="auto" w:fill="auto"/>
            <w:noWrap/>
            <w:hideMark/>
          </w:tcPr>
          <w:p w14:paraId="19928D60" w14:textId="77777777" w:rsidR="00FC4546" w:rsidRPr="00684285" w:rsidRDefault="00FC4546" w:rsidP="00B306C4">
            <w:pPr>
              <w:spacing w:after="0"/>
              <w:jc w:val="center"/>
              <w:rPr>
                <w:rFonts w:ascii="Cambria" w:eastAsia="Times New Roman" w:hAnsi="Cambria" w:cs="Times New Roman"/>
                <w:color w:val="000000"/>
                <w:sz w:val="20"/>
                <w:szCs w:val="20"/>
              </w:rPr>
            </w:pPr>
            <w:r w:rsidRPr="00684285">
              <w:rPr>
                <w:rFonts w:ascii="Cambria" w:eastAsia="Times New Roman" w:hAnsi="Cambria" w:cs="Times New Roman"/>
                <w:color w:val="000000"/>
                <w:sz w:val="20"/>
                <w:szCs w:val="20"/>
              </w:rPr>
              <w:t>18.5</w:t>
            </w:r>
          </w:p>
        </w:tc>
        <w:tc>
          <w:tcPr>
            <w:tcW w:w="1249" w:type="dxa"/>
            <w:tcBorders>
              <w:top w:val="nil"/>
              <w:left w:val="nil"/>
              <w:bottom w:val="nil"/>
              <w:right w:val="nil"/>
            </w:tcBorders>
            <w:shd w:val="clear" w:color="auto" w:fill="auto"/>
            <w:noWrap/>
            <w:hideMark/>
          </w:tcPr>
          <w:p w14:paraId="26464A42" w14:textId="77777777" w:rsidR="00FC4546" w:rsidRPr="00684285" w:rsidRDefault="00FC4546" w:rsidP="00B306C4">
            <w:pPr>
              <w:spacing w:after="0"/>
              <w:jc w:val="center"/>
              <w:rPr>
                <w:rFonts w:ascii="Cambria" w:eastAsia="Times New Roman" w:hAnsi="Cambria" w:cs="Times New Roman"/>
                <w:color w:val="000000"/>
                <w:sz w:val="20"/>
                <w:szCs w:val="20"/>
              </w:rPr>
            </w:pPr>
            <w:r w:rsidRPr="00684285">
              <w:rPr>
                <w:rFonts w:ascii="Cambria" w:eastAsia="Times New Roman" w:hAnsi="Cambria" w:cs="Times New Roman"/>
                <w:color w:val="000000"/>
                <w:sz w:val="20"/>
                <w:szCs w:val="20"/>
              </w:rPr>
              <w:t>18.2</w:t>
            </w:r>
          </w:p>
        </w:tc>
        <w:tc>
          <w:tcPr>
            <w:tcW w:w="1250" w:type="dxa"/>
            <w:gridSpan w:val="2"/>
            <w:tcBorders>
              <w:top w:val="nil"/>
              <w:left w:val="nil"/>
              <w:bottom w:val="nil"/>
              <w:right w:val="nil"/>
            </w:tcBorders>
            <w:shd w:val="clear" w:color="auto" w:fill="auto"/>
            <w:noWrap/>
            <w:hideMark/>
          </w:tcPr>
          <w:p w14:paraId="719B8A29" w14:textId="77777777" w:rsidR="00FC4546" w:rsidRPr="00684285" w:rsidRDefault="00FC4546" w:rsidP="00B306C4">
            <w:pPr>
              <w:spacing w:after="0"/>
              <w:jc w:val="center"/>
              <w:rPr>
                <w:rFonts w:ascii="Cambria" w:eastAsia="Times New Roman" w:hAnsi="Cambria" w:cs="Times New Roman"/>
                <w:color w:val="000000"/>
                <w:sz w:val="20"/>
                <w:szCs w:val="20"/>
              </w:rPr>
            </w:pPr>
            <w:r w:rsidRPr="00684285">
              <w:rPr>
                <w:rFonts w:ascii="Cambria" w:eastAsia="Times New Roman" w:hAnsi="Cambria" w:cs="Times New Roman"/>
                <w:color w:val="000000"/>
                <w:sz w:val="20"/>
                <w:szCs w:val="20"/>
              </w:rPr>
              <w:t>18.5</w:t>
            </w:r>
          </w:p>
        </w:tc>
      </w:tr>
      <w:tr w:rsidR="00FC4546" w:rsidRPr="00684285" w14:paraId="225929E0" w14:textId="77777777" w:rsidTr="00B306C4">
        <w:trPr>
          <w:trHeight w:val="288"/>
        </w:trPr>
        <w:tc>
          <w:tcPr>
            <w:tcW w:w="1249" w:type="dxa"/>
            <w:tcBorders>
              <w:top w:val="nil"/>
              <w:left w:val="nil"/>
              <w:bottom w:val="nil"/>
              <w:right w:val="nil"/>
            </w:tcBorders>
            <w:shd w:val="clear" w:color="auto" w:fill="auto"/>
            <w:noWrap/>
            <w:hideMark/>
          </w:tcPr>
          <w:p w14:paraId="4273CAA5" w14:textId="77777777" w:rsidR="00FC4546" w:rsidRPr="00684285" w:rsidRDefault="00FC4546" w:rsidP="00B306C4">
            <w:pPr>
              <w:spacing w:after="0"/>
              <w:jc w:val="center"/>
              <w:rPr>
                <w:rFonts w:ascii="Cambria" w:eastAsia="Times New Roman" w:hAnsi="Cambria" w:cs="Times New Roman"/>
                <w:color w:val="000000"/>
                <w:sz w:val="20"/>
                <w:szCs w:val="20"/>
              </w:rPr>
            </w:pPr>
            <w:r w:rsidRPr="00684285">
              <w:rPr>
                <w:rFonts w:ascii="Cambria" w:eastAsia="Times New Roman" w:hAnsi="Cambria" w:cs="Times New Roman"/>
                <w:color w:val="000000"/>
                <w:sz w:val="20"/>
                <w:szCs w:val="20"/>
              </w:rPr>
              <w:t>3</w:t>
            </w:r>
          </w:p>
        </w:tc>
        <w:tc>
          <w:tcPr>
            <w:tcW w:w="1249" w:type="dxa"/>
            <w:gridSpan w:val="2"/>
            <w:tcBorders>
              <w:top w:val="nil"/>
              <w:left w:val="nil"/>
              <w:bottom w:val="nil"/>
              <w:right w:val="nil"/>
            </w:tcBorders>
            <w:shd w:val="clear" w:color="auto" w:fill="auto"/>
            <w:noWrap/>
            <w:hideMark/>
          </w:tcPr>
          <w:p w14:paraId="6F31F807" w14:textId="77777777" w:rsidR="00FC4546" w:rsidRPr="00684285" w:rsidRDefault="00FC4546" w:rsidP="00B306C4">
            <w:pPr>
              <w:spacing w:after="0"/>
              <w:jc w:val="center"/>
              <w:rPr>
                <w:rFonts w:ascii="Cambria" w:eastAsia="Times New Roman" w:hAnsi="Cambria" w:cs="Times New Roman"/>
                <w:color w:val="000000"/>
                <w:sz w:val="20"/>
                <w:szCs w:val="20"/>
              </w:rPr>
            </w:pPr>
            <w:r w:rsidRPr="00684285">
              <w:rPr>
                <w:rFonts w:ascii="Cambria" w:eastAsia="Times New Roman" w:hAnsi="Cambria" w:cs="Times New Roman"/>
                <w:color w:val="000000"/>
                <w:sz w:val="20"/>
                <w:szCs w:val="20"/>
              </w:rPr>
              <w:t>18.6</w:t>
            </w:r>
          </w:p>
        </w:tc>
        <w:tc>
          <w:tcPr>
            <w:tcW w:w="1249" w:type="dxa"/>
            <w:tcBorders>
              <w:top w:val="nil"/>
              <w:left w:val="nil"/>
              <w:bottom w:val="nil"/>
              <w:right w:val="nil"/>
            </w:tcBorders>
            <w:shd w:val="clear" w:color="auto" w:fill="auto"/>
            <w:noWrap/>
            <w:hideMark/>
          </w:tcPr>
          <w:p w14:paraId="6B050772" w14:textId="77777777" w:rsidR="00FC4546" w:rsidRPr="00684285" w:rsidRDefault="00FC4546" w:rsidP="00B306C4">
            <w:pPr>
              <w:spacing w:after="0"/>
              <w:jc w:val="center"/>
              <w:rPr>
                <w:rFonts w:ascii="Cambria" w:eastAsia="Times New Roman" w:hAnsi="Cambria" w:cs="Times New Roman"/>
                <w:color w:val="000000"/>
                <w:sz w:val="20"/>
                <w:szCs w:val="20"/>
              </w:rPr>
            </w:pPr>
            <w:r w:rsidRPr="00684285">
              <w:rPr>
                <w:rFonts w:ascii="Cambria" w:eastAsia="Times New Roman" w:hAnsi="Cambria" w:cs="Times New Roman"/>
                <w:color w:val="000000"/>
                <w:sz w:val="20"/>
                <w:szCs w:val="20"/>
              </w:rPr>
              <w:t>19.6</w:t>
            </w:r>
          </w:p>
        </w:tc>
        <w:tc>
          <w:tcPr>
            <w:tcW w:w="1250" w:type="dxa"/>
            <w:gridSpan w:val="2"/>
            <w:tcBorders>
              <w:top w:val="nil"/>
              <w:left w:val="nil"/>
              <w:bottom w:val="nil"/>
              <w:right w:val="nil"/>
            </w:tcBorders>
            <w:shd w:val="clear" w:color="auto" w:fill="auto"/>
            <w:noWrap/>
            <w:hideMark/>
          </w:tcPr>
          <w:p w14:paraId="3AFB97A0" w14:textId="77777777" w:rsidR="00FC4546" w:rsidRPr="00684285" w:rsidRDefault="00FC4546" w:rsidP="00B306C4">
            <w:pPr>
              <w:spacing w:after="0"/>
              <w:jc w:val="center"/>
              <w:rPr>
                <w:rFonts w:ascii="Cambria" w:eastAsia="Times New Roman" w:hAnsi="Cambria" w:cs="Times New Roman"/>
                <w:color w:val="000000"/>
                <w:sz w:val="20"/>
                <w:szCs w:val="20"/>
              </w:rPr>
            </w:pPr>
            <w:r w:rsidRPr="00684285">
              <w:rPr>
                <w:rFonts w:ascii="Cambria" w:eastAsia="Times New Roman" w:hAnsi="Cambria" w:cs="Times New Roman"/>
                <w:color w:val="000000"/>
                <w:sz w:val="20"/>
                <w:szCs w:val="20"/>
              </w:rPr>
              <w:t>18.5</w:t>
            </w:r>
          </w:p>
        </w:tc>
        <w:tc>
          <w:tcPr>
            <w:tcW w:w="1249" w:type="dxa"/>
            <w:tcBorders>
              <w:top w:val="nil"/>
              <w:left w:val="nil"/>
              <w:bottom w:val="nil"/>
              <w:right w:val="nil"/>
            </w:tcBorders>
            <w:shd w:val="clear" w:color="auto" w:fill="auto"/>
            <w:noWrap/>
            <w:hideMark/>
          </w:tcPr>
          <w:p w14:paraId="60F4AEAA" w14:textId="77777777" w:rsidR="00FC4546" w:rsidRPr="00684285" w:rsidRDefault="00FC4546" w:rsidP="00B306C4">
            <w:pPr>
              <w:spacing w:after="0"/>
              <w:jc w:val="center"/>
              <w:rPr>
                <w:rFonts w:ascii="Cambria" w:eastAsia="Times New Roman" w:hAnsi="Cambria" w:cs="Times New Roman"/>
                <w:color w:val="000000"/>
                <w:sz w:val="20"/>
                <w:szCs w:val="20"/>
              </w:rPr>
            </w:pPr>
            <w:r w:rsidRPr="00684285">
              <w:rPr>
                <w:rFonts w:ascii="Cambria" w:eastAsia="Times New Roman" w:hAnsi="Cambria" w:cs="Times New Roman"/>
                <w:color w:val="000000"/>
                <w:sz w:val="20"/>
                <w:szCs w:val="20"/>
              </w:rPr>
              <w:t>18.6</w:t>
            </w:r>
          </w:p>
        </w:tc>
        <w:tc>
          <w:tcPr>
            <w:tcW w:w="1249" w:type="dxa"/>
            <w:gridSpan w:val="2"/>
            <w:tcBorders>
              <w:top w:val="nil"/>
              <w:left w:val="nil"/>
              <w:bottom w:val="nil"/>
              <w:right w:val="nil"/>
            </w:tcBorders>
            <w:shd w:val="clear" w:color="auto" w:fill="auto"/>
            <w:noWrap/>
            <w:hideMark/>
          </w:tcPr>
          <w:p w14:paraId="25DD8BEC" w14:textId="77777777" w:rsidR="00FC4546" w:rsidRPr="00684285" w:rsidRDefault="00FC4546" w:rsidP="00B306C4">
            <w:pPr>
              <w:spacing w:after="0"/>
              <w:jc w:val="center"/>
              <w:rPr>
                <w:rFonts w:ascii="Cambria" w:eastAsia="Times New Roman" w:hAnsi="Cambria" w:cs="Times New Roman"/>
                <w:color w:val="000000"/>
                <w:sz w:val="20"/>
                <w:szCs w:val="20"/>
              </w:rPr>
            </w:pPr>
            <w:r w:rsidRPr="00684285">
              <w:rPr>
                <w:rFonts w:ascii="Cambria" w:eastAsia="Times New Roman" w:hAnsi="Cambria" w:cs="Times New Roman"/>
                <w:color w:val="000000"/>
                <w:sz w:val="20"/>
                <w:szCs w:val="20"/>
              </w:rPr>
              <w:t>16.4</w:t>
            </w:r>
          </w:p>
        </w:tc>
        <w:tc>
          <w:tcPr>
            <w:tcW w:w="1249" w:type="dxa"/>
            <w:tcBorders>
              <w:top w:val="nil"/>
              <w:left w:val="nil"/>
              <w:bottom w:val="nil"/>
              <w:right w:val="nil"/>
            </w:tcBorders>
            <w:shd w:val="clear" w:color="auto" w:fill="auto"/>
            <w:noWrap/>
            <w:hideMark/>
          </w:tcPr>
          <w:p w14:paraId="3F4DA03F" w14:textId="77777777" w:rsidR="00FC4546" w:rsidRPr="00684285" w:rsidRDefault="00FC4546" w:rsidP="00B306C4">
            <w:pPr>
              <w:spacing w:after="0"/>
              <w:jc w:val="center"/>
              <w:rPr>
                <w:rFonts w:ascii="Cambria" w:eastAsia="Times New Roman" w:hAnsi="Cambria" w:cs="Times New Roman"/>
                <w:color w:val="000000"/>
                <w:sz w:val="20"/>
                <w:szCs w:val="20"/>
              </w:rPr>
            </w:pPr>
            <w:r w:rsidRPr="00684285">
              <w:rPr>
                <w:rFonts w:ascii="Cambria" w:eastAsia="Times New Roman" w:hAnsi="Cambria" w:cs="Times New Roman"/>
                <w:color w:val="000000"/>
                <w:sz w:val="20"/>
                <w:szCs w:val="20"/>
              </w:rPr>
              <w:t>20.7</w:t>
            </w:r>
          </w:p>
        </w:tc>
        <w:tc>
          <w:tcPr>
            <w:tcW w:w="1250" w:type="dxa"/>
            <w:gridSpan w:val="2"/>
            <w:tcBorders>
              <w:top w:val="nil"/>
              <w:left w:val="nil"/>
              <w:bottom w:val="nil"/>
              <w:right w:val="nil"/>
            </w:tcBorders>
            <w:shd w:val="clear" w:color="auto" w:fill="auto"/>
            <w:noWrap/>
            <w:hideMark/>
          </w:tcPr>
          <w:p w14:paraId="20095D9E" w14:textId="77777777" w:rsidR="00FC4546" w:rsidRPr="00684285" w:rsidRDefault="00FC4546" w:rsidP="00B306C4">
            <w:pPr>
              <w:spacing w:after="0"/>
              <w:jc w:val="center"/>
              <w:rPr>
                <w:rFonts w:ascii="Cambria" w:eastAsia="Times New Roman" w:hAnsi="Cambria" w:cs="Times New Roman"/>
                <w:color w:val="000000"/>
                <w:sz w:val="20"/>
                <w:szCs w:val="20"/>
              </w:rPr>
            </w:pPr>
            <w:r w:rsidRPr="00684285">
              <w:rPr>
                <w:rFonts w:ascii="Cambria" w:eastAsia="Times New Roman" w:hAnsi="Cambria" w:cs="Times New Roman"/>
                <w:color w:val="000000"/>
                <w:sz w:val="20"/>
                <w:szCs w:val="20"/>
              </w:rPr>
              <w:t>16.1</w:t>
            </w:r>
          </w:p>
        </w:tc>
      </w:tr>
      <w:tr w:rsidR="00FC4546" w:rsidRPr="00684285" w14:paraId="676B30F0" w14:textId="77777777" w:rsidTr="00B306C4">
        <w:trPr>
          <w:trHeight w:val="288"/>
        </w:trPr>
        <w:tc>
          <w:tcPr>
            <w:tcW w:w="1249" w:type="dxa"/>
            <w:tcBorders>
              <w:top w:val="nil"/>
              <w:left w:val="nil"/>
              <w:bottom w:val="nil"/>
              <w:right w:val="nil"/>
            </w:tcBorders>
            <w:shd w:val="clear" w:color="auto" w:fill="auto"/>
            <w:noWrap/>
            <w:hideMark/>
          </w:tcPr>
          <w:p w14:paraId="51A8480C" w14:textId="77777777" w:rsidR="00FC4546" w:rsidRPr="00684285" w:rsidRDefault="00FC4546" w:rsidP="00B306C4">
            <w:pPr>
              <w:spacing w:after="0"/>
              <w:jc w:val="center"/>
              <w:rPr>
                <w:rFonts w:ascii="Cambria" w:eastAsia="Times New Roman" w:hAnsi="Cambria" w:cs="Times New Roman"/>
                <w:color w:val="000000"/>
                <w:sz w:val="20"/>
                <w:szCs w:val="20"/>
              </w:rPr>
            </w:pPr>
            <w:r w:rsidRPr="00684285">
              <w:rPr>
                <w:rFonts w:ascii="Cambria" w:eastAsia="Times New Roman" w:hAnsi="Cambria" w:cs="Times New Roman"/>
                <w:color w:val="000000"/>
                <w:sz w:val="20"/>
                <w:szCs w:val="20"/>
              </w:rPr>
              <w:t>4</w:t>
            </w:r>
          </w:p>
        </w:tc>
        <w:tc>
          <w:tcPr>
            <w:tcW w:w="1249" w:type="dxa"/>
            <w:gridSpan w:val="2"/>
            <w:tcBorders>
              <w:top w:val="nil"/>
              <w:left w:val="nil"/>
              <w:bottom w:val="nil"/>
              <w:right w:val="nil"/>
            </w:tcBorders>
            <w:shd w:val="clear" w:color="auto" w:fill="auto"/>
            <w:noWrap/>
            <w:hideMark/>
          </w:tcPr>
          <w:p w14:paraId="3FE0CDC0" w14:textId="77777777" w:rsidR="00FC4546" w:rsidRPr="00684285" w:rsidRDefault="00FC4546" w:rsidP="00B306C4">
            <w:pPr>
              <w:spacing w:after="0"/>
              <w:jc w:val="center"/>
              <w:rPr>
                <w:rFonts w:ascii="Cambria" w:eastAsia="Times New Roman" w:hAnsi="Cambria" w:cs="Times New Roman"/>
                <w:color w:val="000000"/>
                <w:sz w:val="20"/>
                <w:szCs w:val="20"/>
              </w:rPr>
            </w:pPr>
            <w:r w:rsidRPr="00684285">
              <w:rPr>
                <w:rFonts w:ascii="Cambria" w:eastAsia="Times New Roman" w:hAnsi="Cambria" w:cs="Times New Roman"/>
                <w:color w:val="000000"/>
                <w:sz w:val="20"/>
                <w:szCs w:val="20"/>
              </w:rPr>
              <w:t>18.6</w:t>
            </w:r>
          </w:p>
        </w:tc>
        <w:tc>
          <w:tcPr>
            <w:tcW w:w="1249" w:type="dxa"/>
            <w:tcBorders>
              <w:top w:val="nil"/>
              <w:left w:val="nil"/>
              <w:bottom w:val="nil"/>
              <w:right w:val="nil"/>
            </w:tcBorders>
            <w:shd w:val="clear" w:color="auto" w:fill="auto"/>
            <w:noWrap/>
            <w:hideMark/>
          </w:tcPr>
          <w:p w14:paraId="2E420CFA" w14:textId="77777777" w:rsidR="00FC4546" w:rsidRPr="00684285" w:rsidRDefault="00FC4546" w:rsidP="00B306C4">
            <w:pPr>
              <w:spacing w:after="0"/>
              <w:jc w:val="center"/>
              <w:rPr>
                <w:rFonts w:ascii="Cambria" w:eastAsia="Times New Roman" w:hAnsi="Cambria" w:cs="Times New Roman"/>
                <w:color w:val="000000"/>
                <w:sz w:val="20"/>
                <w:szCs w:val="20"/>
              </w:rPr>
            </w:pPr>
            <w:r w:rsidRPr="00684285">
              <w:rPr>
                <w:rFonts w:ascii="Cambria" w:eastAsia="Times New Roman" w:hAnsi="Cambria" w:cs="Times New Roman"/>
                <w:color w:val="000000"/>
                <w:sz w:val="20"/>
                <w:szCs w:val="20"/>
              </w:rPr>
              <w:t>19.4</w:t>
            </w:r>
          </w:p>
        </w:tc>
        <w:tc>
          <w:tcPr>
            <w:tcW w:w="1250" w:type="dxa"/>
            <w:gridSpan w:val="2"/>
            <w:tcBorders>
              <w:top w:val="nil"/>
              <w:left w:val="nil"/>
              <w:bottom w:val="nil"/>
              <w:right w:val="nil"/>
            </w:tcBorders>
            <w:shd w:val="clear" w:color="auto" w:fill="auto"/>
            <w:noWrap/>
            <w:hideMark/>
          </w:tcPr>
          <w:p w14:paraId="36F89E93" w14:textId="77777777" w:rsidR="00FC4546" w:rsidRPr="00684285" w:rsidRDefault="00FC4546" w:rsidP="00B306C4">
            <w:pPr>
              <w:spacing w:after="0"/>
              <w:jc w:val="center"/>
              <w:rPr>
                <w:rFonts w:ascii="Cambria" w:eastAsia="Times New Roman" w:hAnsi="Cambria" w:cs="Times New Roman"/>
                <w:color w:val="000000"/>
                <w:sz w:val="20"/>
                <w:szCs w:val="20"/>
              </w:rPr>
            </w:pPr>
            <w:r w:rsidRPr="00684285">
              <w:rPr>
                <w:rFonts w:ascii="Cambria" w:eastAsia="Times New Roman" w:hAnsi="Cambria" w:cs="Times New Roman"/>
                <w:color w:val="000000"/>
                <w:sz w:val="20"/>
                <w:szCs w:val="20"/>
              </w:rPr>
              <w:t>18.5</w:t>
            </w:r>
          </w:p>
        </w:tc>
        <w:tc>
          <w:tcPr>
            <w:tcW w:w="1249" w:type="dxa"/>
            <w:tcBorders>
              <w:top w:val="nil"/>
              <w:left w:val="nil"/>
              <w:bottom w:val="nil"/>
              <w:right w:val="nil"/>
            </w:tcBorders>
            <w:shd w:val="clear" w:color="auto" w:fill="auto"/>
            <w:noWrap/>
            <w:hideMark/>
          </w:tcPr>
          <w:p w14:paraId="7AE83960" w14:textId="77777777" w:rsidR="00FC4546" w:rsidRPr="00684285" w:rsidRDefault="00FC4546" w:rsidP="00B306C4">
            <w:pPr>
              <w:spacing w:after="0"/>
              <w:jc w:val="center"/>
              <w:rPr>
                <w:rFonts w:ascii="Cambria" w:eastAsia="Times New Roman" w:hAnsi="Cambria" w:cs="Times New Roman"/>
                <w:color w:val="000000"/>
                <w:sz w:val="20"/>
                <w:szCs w:val="20"/>
              </w:rPr>
            </w:pPr>
            <w:r w:rsidRPr="00684285">
              <w:rPr>
                <w:rFonts w:ascii="Cambria" w:eastAsia="Times New Roman" w:hAnsi="Cambria" w:cs="Times New Roman"/>
                <w:color w:val="000000"/>
                <w:sz w:val="20"/>
                <w:szCs w:val="20"/>
              </w:rPr>
              <w:t>25.4</w:t>
            </w:r>
          </w:p>
        </w:tc>
        <w:tc>
          <w:tcPr>
            <w:tcW w:w="1249" w:type="dxa"/>
            <w:gridSpan w:val="2"/>
            <w:tcBorders>
              <w:top w:val="nil"/>
              <w:left w:val="nil"/>
              <w:bottom w:val="nil"/>
              <w:right w:val="nil"/>
            </w:tcBorders>
            <w:shd w:val="clear" w:color="auto" w:fill="auto"/>
            <w:noWrap/>
            <w:hideMark/>
          </w:tcPr>
          <w:p w14:paraId="39EE1F1F" w14:textId="77777777" w:rsidR="00FC4546" w:rsidRPr="00684285" w:rsidRDefault="00FC4546" w:rsidP="00B306C4">
            <w:pPr>
              <w:spacing w:after="0"/>
              <w:jc w:val="center"/>
              <w:rPr>
                <w:rFonts w:ascii="Cambria" w:eastAsia="Times New Roman" w:hAnsi="Cambria" w:cs="Times New Roman"/>
                <w:color w:val="000000"/>
                <w:sz w:val="20"/>
                <w:szCs w:val="20"/>
              </w:rPr>
            </w:pPr>
            <w:r w:rsidRPr="00684285">
              <w:rPr>
                <w:rFonts w:ascii="Cambria" w:eastAsia="Times New Roman" w:hAnsi="Cambria" w:cs="Times New Roman"/>
                <w:color w:val="000000"/>
                <w:sz w:val="20"/>
                <w:szCs w:val="20"/>
              </w:rPr>
              <w:t>19.5</w:t>
            </w:r>
          </w:p>
        </w:tc>
        <w:tc>
          <w:tcPr>
            <w:tcW w:w="1249" w:type="dxa"/>
            <w:tcBorders>
              <w:top w:val="nil"/>
              <w:left w:val="nil"/>
              <w:bottom w:val="nil"/>
              <w:right w:val="nil"/>
            </w:tcBorders>
            <w:shd w:val="clear" w:color="auto" w:fill="auto"/>
            <w:noWrap/>
            <w:hideMark/>
          </w:tcPr>
          <w:p w14:paraId="7F2CBCDA" w14:textId="77777777" w:rsidR="00FC4546" w:rsidRPr="00684285" w:rsidRDefault="00FC4546" w:rsidP="00B306C4">
            <w:pPr>
              <w:spacing w:after="0"/>
              <w:jc w:val="center"/>
              <w:rPr>
                <w:rFonts w:ascii="Cambria" w:eastAsia="Times New Roman" w:hAnsi="Cambria" w:cs="Times New Roman"/>
                <w:color w:val="000000"/>
                <w:sz w:val="20"/>
                <w:szCs w:val="20"/>
              </w:rPr>
            </w:pPr>
            <w:r w:rsidRPr="00684285">
              <w:rPr>
                <w:rFonts w:ascii="Cambria" w:eastAsia="Times New Roman" w:hAnsi="Cambria" w:cs="Times New Roman"/>
                <w:color w:val="000000"/>
                <w:sz w:val="20"/>
                <w:szCs w:val="20"/>
              </w:rPr>
              <w:t>24.9</w:t>
            </w:r>
          </w:p>
        </w:tc>
        <w:tc>
          <w:tcPr>
            <w:tcW w:w="1250" w:type="dxa"/>
            <w:gridSpan w:val="2"/>
            <w:tcBorders>
              <w:top w:val="nil"/>
              <w:left w:val="nil"/>
              <w:bottom w:val="nil"/>
              <w:right w:val="nil"/>
            </w:tcBorders>
            <w:shd w:val="clear" w:color="auto" w:fill="auto"/>
            <w:noWrap/>
            <w:hideMark/>
          </w:tcPr>
          <w:p w14:paraId="7255FA2B" w14:textId="77777777" w:rsidR="00FC4546" w:rsidRPr="00684285" w:rsidRDefault="00FC4546" w:rsidP="00B306C4">
            <w:pPr>
              <w:spacing w:after="0"/>
              <w:jc w:val="center"/>
              <w:rPr>
                <w:rFonts w:ascii="Cambria" w:eastAsia="Times New Roman" w:hAnsi="Cambria" w:cs="Times New Roman"/>
                <w:color w:val="000000"/>
                <w:sz w:val="20"/>
                <w:szCs w:val="20"/>
              </w:rPr>
            </w:pPr>
            <w:r w:rsidRPr="00684285">
              <w:rPr>
                <w:rFonts w:ascii="Cambria" w:eastAsia="Times New Roman" w:hAnsi="Cambria" w:cs="Times New Roman"/>
                <w:color w:val="000000"/>
                <w:sz w:val="20"/>
                <w:szCs w:val="20"/>
              </w:rPr>
              <w:t>19.2</w:t>
            </w:r>
          </w:p>
        </w:tc>
      </w:tr>
      <w:tr w:rsidR="00FC4546" w:rsidRPr="00684285" w14:paraId="6D173891" w14:textId="77777777" w:rsidTr="00B306C4">
        <w:trPr>
          <w:trHeight w:val="288"/>
        </w:trPr>
        <w:tc>
          <w:tcPr>
            <w:tcW w:w="1249" w:type="dxa"/>
            <w:tcBorders>
              <w:top w:val="nil"/>
              <w:left w:val="nil"/>
              <w:bottom w:val="nil"/>
              <w:right w:val="nil"/>
            </w:tcBorders>
            <w:shd w:val="clear" w:color="auto" w:fill="auto"/>
            <w:noWrap/>
            <w:hideMark/>
          </w:tcPr>
          <w:p w14:paraId="164167FE" w14:textId="77777777" w:rsidR="00FC4546" w:rsidRPr="00684285" w:rsidRDefault="00FC4546" w:rsidP="00B306C4">
            <w:pPr>
              <w:spacing w:after="0"/>
              <w:jc w:val="center"/>
              <w:rPr>
                <w:rFonts w:ascii="Cambria" w:eastAsia="Times New Roman" w:hAnsi="Cambria" w:cs="Times New Roman"/>
                <w:color w:val="000000"/>
                <w:sz w:val="20"/>
                <w:szCs w:val="20"/>
              </w:rPr>
            </w:pPr>
            <w:r w:rsidRPr="00684285">
              <w:rPr>
                <w:rFonts w:ascii="Cambria" w:eastAsia="Times New Roman" w:hAnsi="Cambria" w:cs="Times New Roman"/>
                <w:color w:val="000000"/>
                <w:sz w:val="20"/>
                <w:szCs w:val="20"/>
              </w:rPr>
              <w:t>5</w:t>
            </w:r>
          </w:p>
        </w:tc>
        <w:tc>
          <w:tcPr>
            <w:tcW w:w="1249" w:type="dxa"/>
            <w:gridSpan w:val="2"/>
            <w:tcBorders>
              <w:top w:val="nil"/>
              <w:left w:val="nil"/>
              <w:bottom w:val="nil"/>
              <w:right w:val="nil"/>
            </w:tcBorders>
            <w:shd w:val="clear" w:color="auto" w:fill="auto"/>
            <w:noWrap/>
            <w:hideMark/>
          </w:tcPr>
          <w:p w14:paraId="663F37F7" w14:textId="77777777" w:rsidR="00FC4546" w:rsidRPr="00684285" w:rsidRDefault="00FC4546" w:rsidP="00B306C4">
            <w:pPr>
              <w:spacing w:after="0"/>
              <w:jc w:val="center"/>
              <w:rPr>
                <w:rFonts w:ascii="Cambria" w:eastAsia="Times New Roman" w:hAnsi="Cambria" w:cs="Times New Roman"/>
                <w:color w:val="000000"/>
                <w:sz w:val="20"/>
                <w:szCs w:val="20"/>
              </w:rPr>
            </w:pPr>
            <w:r w:rsidRPr="00684285">
              <w:rPr>
                <w:rFonts w:ascii="Cambria" w:eastAsia="Times New Roman" w:hAnsi="Cambria" w:cs="Times New Roman"/>
                <w:color w:val="000000"/>
                <w:sz w:val="20"/>
                <w:szCs w:val="20"/>
              </w:rPr>
              <w:t>13.5</w:t>
            </w:r>
          </w:p>
        </w:tc>
        <w:tc>
          <w:tcPr>
            <w:tcW w:w="1249" w:type="dxa"/>
            <w:tcBorders>
              <w:top w:val="nil"/>
              <w:left w:val="nil"/>
              <w:bottom w:val="nil"/>
              <w:right w:val="nil"/>
            </w:tcBorders>
            <w:shd w:val="clear" w:color="auto" w:fill="auto"/>
            <w:noWrap/>
            <w:hideMark/>
          </w:tcPr>
          <w:p w14:paraId="2252DD84" w14:textId="77777777" w:rsidR="00FC4546" w:rsidRPr="00684285" w:rsidRDefault="00FC4546" w:rsidP="00B306C4">
            <w:pPr>
              <w:spacing w:after="0"/>
              <w:jc w:val="center"/>
              <w:rPr>
                <w:rFonts w:ascii="Cambria" w:eastAsia="Times New Roman" w:hAnsi="Cambria" w:cs="Times New Roman"/>
                <w:color w:val="000000"/>
                <w:sz w:val="20"/>
                <w:szCs w:val="20"/>
              </w:rPr>
            </w:pPr>
            <w:r w:rsidRPr="00684285">
              <w:rPr>
                <w:rFonts w:ascii="Cambria" w:eastAsia="Times New Roman" w:hAnsi="Cambria" w:cs="Times New Roman"/>
                <w:color w:val="000000"/>
                <w:sz w:val="20"/>
                <w:szCs w:val="20"/>
              </w:rPr>
              <w:t>17</w:t>
            </w:r>
          </w:p>
        </w:tc>
        <w:tc>
          <w:tcPr>
            <w:tcW w:w="1250" w:type="dxa"/>
            <w:gridSpan w:val="2"/>
            <w:tcBorders>
              <w:top w:val="nil"/>
              <w:left w:val="nil"/>
              <w:bottom w:val="nil"/>
              <w:right w:val="nil"/>
            </w:tcBorders>
            <w:shd w:val="clear" w:color="auto" w:fill="auto"/>
            <w:noWrap/>
            <w:hideMark/>
          </w:tcPr>
          <w:p w14:paraId="6008E22C" w14:textId="77777777" w:rsidR="00FC4546" w:rsidRPr="00684285" w:rsidRDefault="00FC4546" w:rsidP="00B306C4">
            <w:pPr>
              <w:spacing w:after="0"/>
              <w:jc w:val="center"/>
              <w:rPr>
                <w:rFonts w:ascii="Cambria" w:eastAsia="Times New Roman" w:hAnsi="Cambria" w:cs="Times New Roman"/>
                <w:color w:val="000000"/>
                <w:sz w:val="20"/>
                <w:szCs w:val="20"/>
              </w:rPr>
            </w:pPr>
            <w:r w:rsidRPr="00684285">
              <w:rPr>
                <w:rFonts w:ascii="Cambria" w:eastAsia="Times New Roman" w:hAnsi="Cambria" w:cs="Times New Roman"/>
                <w:color w:val="000000"/>
                <w:sz w:val="20"/>
                <w:szCs w:val="20"/>
              </w:rPr>
              <w:t>13.4</w:t>
            </w:r>
          </w:p>
        </w:tc>
        <w:tc>
          <w:tcPr>
            <w:tcW w:w="1249" w:type="dxa"/>
            <w:tcBorders>
              <w:top w:val="nil"/>
              <w:left w:val="nil"/>
              <w:bottom w:val="nil"/>
              <w:right w:val="nil"/>
            </w:tcBorders>
            <w:shd w:val="clear" w:color="auto" w:fill="auto"/>
            <w:noWrap/>
            <w:hideMark/>
          </w:tcPr>
          <w:p w14:paraId="4FD9AE4A" w14:textId="77777777" w:rsidR="00FC4546" w:rsidRPr="00684285" w:rsidRDefault="00FC4546" w:rsidP="00B306C4">
            <w:pPr>
              <w:spacing w:after="0"/>
              <w:jc w:val="center"/>
              <w:rPr>
                <w:rFonts w:ascii="Cambria" w:eastAsia="Times New Roman" w:hAnsi="Cambria" w:cs="Times New Roman"/>
                <w:color w:val="000000"/>
                <w:sz w:val="20"/>
                <w:szCs w:val="20"/>
              </w:rPr>
            </w:pPr>
            <w:r w:rsidRPr="00684285">
              <w:rPr>
                <w:rFonts w:ascii="Cambria" w:eastAsia="Times New Roman" w:hAnsi="Cambria" w:cs="Times New Roman"/>
                <w:color w:val="000000"/>
                <w:sz w:val="20"/>
                <w:szCs w:val="20"/>
              </w:rPr>
              <w:t>15.3</w:t>
            </w:r>
          </w:p>
        </w:tc>
        <w:tc>
          <w:tcPr>
            <w:tcW w:w="1249" w:type="dxa"/>
            <w:gridSpan w:val="2"/>
            <w:tcBorders>
              <w:top w:val="nil"/>
              <w:left w:val="nil"/>
              <w:bottom w:val="nil"/>
              <w:right w:val="nil"/>
            </w:tcBorders>
            <w:shd w:val="clear" w:color="auto" w:fill="auto"/>
            <w:noWrap/>
            <w:hideMark/>
          </w:tcPr>
          <w:p w14:paraId="6D0033D5" w14:textId="77777777" w:rsidR="00FC4546" w:rsidRPr="00684285" w:rsidRDefault="00FC4546" w:rsidP="00B306C4">
            <w:pPr>
              <w:spacing w:after="0"/>
              <w:jc w:val="center"/>
              <w:rPr>
                <w:rFonts w:ascii="Cambria" w:eastAsia="Times New Roman" w:hAnsi="Cambria" w:cs="Times New Roman"/>
                <w:color w:val="000000"/>
                <w:sz w:val="20"/>
                <w:szCs w:val="20"/>
              </w:rPr>
            </w:pPr>
            <w:r w:rsidRPr="00684285">
              <w:rPr>
                <w:rFonts w:ascii="Cambria" w:eastAsia="Times New Roman" w:hAnsi="Cambria" w:cs="Times New Roman"/>
                <w:color w:val="000000"/>
                <w:sz w:val="20"/>
                <w:szCs w:val="20"/>
              </w:rPr>
              <w:t>13.8</w:t>
            </w:r>
          </w:p>
        </w:tc>
        <w:tc>
          <w:tcPr>
            <w:tcW w:w="1249" w:type="dxa"/>
            <w:tcBorders>
              <w:top w:val="nil"/>
              <w:left w:val="nil"/>
              <w:bottom w:val="nil"/>
              <w:right w:val="nil"/>
            </w:tcBorders>
            <w:shd w:val="clear" w:color="auto" w:fill="auto"/>
            <w:noWrap/>
            <w:hideMark/>
          </w:tcPr>
          <w:p w14:paraId="3BD1623F" w14:textId="77777777" w:rsidR="00FC4546" w:rsidRPr="00684285" w:rsidRDefault="00FC4546" w:rsidP="00B306C4">
            <w:pPr>
              <w:spacing w:after="0"/>
              <w:jc w:val="center"/>
              <w:rPr>
                <w:rFonts w:ascii="Cambria" w:eastAsia="Times New Roman" w:hAnsi="Cambria" w:cs="Times New Roman"/>
                <w:color w:val="000000"/>
                <w:sz w:val="20"/>
                <w:szCs w:val="20"/>
              </w:rPr>
            </w:pPr>
            <w:r w:rsidRPr="00684285">
              <w:rPr>
                <w:rFonts w:ascii="Cambria" w:eastAsia="Times New Roman" w:hAnsi="Cambria" w:cs="Times New Roman"/>
                <w:color w:val="000000"/>
                <w:sz w:val="20"/>
                <w:szCs w:val="20"/>
              </w:rPr>
              <w:t>14.8</w:t>
            </w:r>
          </w:p>
        </w:tc>
        <w:tc>
          <w:tcPr>
            <w:tcW w:w="1250" w:type="dxa"/>
            <w:gridSpan w:val="2"/>
            <w:tcBorders>
              <w:top w:val="nil"/>
              <w:left w:val="nil"/>
              <w:bottom w:val="nil"/>
              <w:right w:val="nil"/>
            </w:tcBorders>
            <w:shd w:val="clear" w:color="auto" w:fill="auto"/>
            <w:noWrap/>
            <w:hideMark/>
          </w:tcPr>
          <w:p w14:paraId="6AB2EC11" w14:textId="77777777" w:rsidR="00FC4546" w:rsidRPr="00684285" w:rsidRDefault="00FC4546" w:rsidP="00B306C4">
            <w:pPr>
              <w:spacing w:after="0"/>
              <w:jc w:val="center"/>
              <w:rPr>
                <w:rFonts w:ascii="Cambria" w:eastAsia="Times New Roman" w:hAnsi="Cambria" w:cs="Times New Roman"/>
                <w:color w:val="000000"/>
                <w:sz w:val="20"/>
                <w:szCs w:val="20"/>
              </w:rPr>
            </w:pPr>
            <w:r w:rsidRPr="00684285">
              <w:rPr>
                <w:rFonts w:ascii="Cambria" w:eastAsia="Times New Roman" w:hAnsi="Cambria" w:cs="Times New Roman"/>
                <w:color w:val="000000"/>
                <w:sz w:val="20"/>
                <w:szCs w:val="20"/>
              </w:rPr>
              <w:t>13.7</w:t>
            </w:r>
          </w:p>
        </w:tc>
      </w:tr>
      <w:tr w:rsidR="00FC4546" w:rsidRPr="00684285" w14:paraId="004768A8" w14:textId="77777777" w:rsidTr="00B306C4">
        <w:trPr>
          <w:trHeight w:val="288"/>
        </w:trPr>
        <w:tc>
          <w:tcPr>
            <w:tcW w:w="1249" w:type="dxa"/>
            <w:tcBorders>
              <w:top w:val="nil"/>
              <w:left w:val="nil"/>
              <w:bottom w:val="nil"/>
              <w:right w:val="nil"/>
            </w:tcBorders>
            <w:shd w:val="clear" w:color="auto" w:fill="auto"/>
            <w:noWrap/>
            <w:hideMark/>
          </w:tcPr>
          <w:p w14:paraId="2EE1FE33" w14:textId="77777777" w:rsidR="00FC4546" w:rsidRPr="00684285" w:rsidRDefault="00FC4546" w:rsidP="00B306C4">
            <w:pPr>
              <w:spacing w:after="0"/>
              <w:jc w:val="center"/>
              <w:rPr>
                <w:rFonts w:ascii="Cambria" w:eastAsia="Times New Roman" w:hAnsi="Cambria" w:cs="Times New Roman"/>
                <w:color w:val="000000"/>
                <w:sz w:val="20"/>
                <w:szCs w:val="20"/>
              </w:rPr>
            </w:pPr>
            <w:r w:rsidRPr="00684285">
              <w:rPr>
                <w:rFonts w:ascii="Cambria" w:eastAsia="Times New Roman" w:hAnsi="Cambria" w:cs="Times New Roman"/>
                <w:color w:val="000000"/>
                <w:sz w:val="20"/>
                <w:szCs w:val="20"/>
              </w:rPr>
              <w:t>6+</w:t>
            </w:r>
          </w:p>
        </w:tc>
        <w:tc>
          <w:tcPr>
            <w:tcW w:w="1249" w:type="dxa"/>
            <w:gridSpan w:val="2"/>
            <w:tcBorders>
              <w:top w:val="nil"/>
              <w:left w:val="nil"/>
              <w:bottom w:val="nil"/>
              <w:right w:val="nil"/>
            </w:tcBorders>
            <w:shd w:val="clear" w:color="auto" w:fill="auto"/>
            <w:noWrap/>
            <w:hideMark/>
          </w:tcPr>
          <w:p w14:paraId="2EE1B72E" w14:textId="77777777" w:rsidR="00FC4546" w:rsidRPr="00684285" w:rsidRDefault="00FC4546" w:rsidP="00B306C4">
            <w:pPr>
              <w:spacing w:after="0"/>
              <w:jc w:val="center"/>
              <w:rPr>
                <w:rFonts w:ascii="Cambria" w:eastAsia="Times New Roman" w:hAnsi="Cambria" w:cs="Times New Roman"/>
                <w:color w:val="000000"/>
                <w:sz w:val="20"/>
                <w:szCs w:val="20"/>
              </w:rPr>
            </w:pPr>
            <w:r w:rsidRPr="00684285">
              <w:rPr>
                <w:rFonts w:ascii="Cambria" w:eastAsia="Times New Roman" w:hAnsi="Cambria" w:cs="Times New Roman"/>
                <w:color w:val="000000"/>
                <w:sz w:val="20"/>
                <w:szCs w:val="20"/>
              </w:rPr>
              <w:t>13.6</w:t>
            </w:r>
          </w:p>
        </w:tc>
        <w:tc>
          <w:tcPr>
            <w:tcW w:w="1249" w:type="dxa"/>
            <w:tcBorders>
              <w:top w:val="nil"/>
              <w:left w:val="nil"/>
              <w:bottom w:val="nil"/>
              <w:right w:val="nil"/>
            </w:tcBorders>
            <w:shd w:val="clear" w:color="auto" w:fill="auto"/>
            <w:noWrap/>
            <w:hideMark/>
          </w:tcPr>
          <w:p w14:paraId="243D3295" w14:textId="77777777" w:rsidR="00FC4546" w:rsidRPr="00684285" w:rsidRDefault="00FC4546" w:rsidP="00B306C4">
            <w:pPr>
              <w:spacing w:after="0"/>
              <w:jc w:val="center"/>
              <w:rPr>
                <w:rFonts w:ascii="Cambria" w:eastAsia="Times New Roman" w:hAnsi="Cambria" w:cs="Times New Roman"/>
                <w:color w:val="000000"/>
                <w:sz w:val="20"/>
                <w:szCs w:val="20"/>
              </w:rPr>
            </w:pPr>
            <w:r w:rsidRPr="00684285">
              <w:rPr>
                <w:rFonts w:ascii="Cambria" w:eastAsia="Times New Roman" w:hAnsi="Cambria" w:cs="Times New Roman"/>
                <w:color w:val="000000"/>
                <w:sz w:val="20"/>
                <w:szCs w:val="20"/>
              </w:rPr>
              <w:t>11.7</w:t>
            </w:r>
          </w:p>
        </w:tc>
        <w:tc>
          <w:tcPr>
            <w:tcW w:w="1250" w:type="dxa"/>
            <w:gridSpan w:val="2"/>
            <w:tcBorders>
              <w:top w:val="nil"/>
              <w:left w:val="nil"/>
              <w:bottom w:val="nil"/>
              <w:right w:val="nil"/>
            </w:tcBorders>
            <w:shd w:val="clear" w:color="auto" w:fill="auto"/>
            <w:noWrap/>
            <w:hideMark/>
          </w:tcPr>
          <w:p w14:paraId="5ACA53EC" w14:textId="77777777" w:rsidR="00FC4546" w:rsidRPr="00684285" w:rsidRDefault="00FC4546" w:rsidP="00B306C4">
            <w:pPr>
              <w:spacing w:after="0"/>
              <w:jc w:val="center"/>
              <w:rPr>
                <w:rFonts w:ascii="Cambria" w:eastAsia="Times New Roman" w:hAnsi="Cambria" w:cs="Times New Roman"/>
                <w:color w:val="000000"/>
                <w:sz w:val="20"/>
                <w:szCs w:val="20"/>
              </w:rPr>
            </w:pPr>
            <w:r w:rsidRPr="00684285">
              <w:rPr>
                <w:rFonts w:ascii="Cambria" w:eastAsia="Times New Roman" w:hAnsi="Cambria" w:cs="Times New Roman"/>
                <w:color w:val="000000"/>
                <w:sz w:val="20"/>
                <w:szCs w:val="20"/>
              </w:rPr>
              <w:t>13.7</w:t>
            </w:r>
          </w:p>
        </w:tc>
        <w:tc>
          <w:tcPr>
            <w:tcW w:w="1249" w:type="dxa"/>
            <w:tcBorders>
              <w:top w:val="nil"/>
              <w:left w:val="nil"/>
              <w:bottom w:val="nil"/>
              <w:right w:val="nil"/>
            </w:tcBorders>
            <w:shd w:val="clear" w:color="auto" w:fill="auto"/>
            <w:noWrap/>
            <w:hideMark/>
          </w:tcPr>
          <w:p w14:paraId="1F025DC0" w14:textId="77777777" w:rsidR="00FC4546" w:rsidRPr="00684285" w:rsidRDefault="00FC4546" w:rsidP="00B306C4">
            <w:pPr>
              <w:spacing w:after="0"/>
              <w:jc w:val="center"/>
              <w:rPr>
                <w:rFonts w:ascii="Cambria" w:eastAsia="Times New Roman" w:hAnsi="Cambria" w:cs="Times New Roman"/>
                <w:color w:val="000000"/>
                <w:sz w:val="20"/>
                <w:szCs w:val="20"/>
              </w:rPr>
            </w:pPr>
            <w:r w:rsidRPr="00684285">
              <w:rPr>
                <w:rFonts w:ascii="Cambria" w:eastAsia="Times New Roman" w:hAnsi="Cambria" w:cs="Times New Roman"/>
                <w:color w:val="000000"/>
                <w:sz w:val="20"/>
                <w:szCs w:val="20"/>
              </w:rPr>
              <w:t>13.3</w:t>
            </w:r>
          </w:p>
        </w:tc>
        <w:tc>
          <w:tcPr>
            <w:tcW w:w="1249" w:type="dxa"/>
            <w:gridSpan w:val="2"/>
            <w:tcBorders>
              <w:top w:val="nil"/>
              <w:left w:val="nil"/>
              <w:bottom w:val="nil"/>
              <w:right w:val="nil"/>
            </w:tcBorders>
            <w:shd w:val="clear" w:color="auto" w:fill="auto"/>
            <w:noWrap/>
            <w:hideMark/>
          </w:tcPr>
          <w:p w14:paraId="38D3607F" w14:textId="77777777" w:rsidR="00FC4546" w:rsidRPr="00684285" w:rsidRDefault="00FC4546" w:rsidP="00B306C4">
            <w:pPr>
              <w:spacing w:after="0"/>
              <w:jc w:val="center"/>
              <w:rPr>
                <w:rFonts w:ascii="Cambria" w:eastAsia="Times New Roman" w:hAnsi="Cambria" w:cs="Times New Roman"/>
                <w:color w:val="000000"/>
                <w:sz w:val="20"/>
                <w:szCs w:val="20"/>
              </w:rPr>
            </w:pPr>
            <w:r w:rsidRPr="00684285">
              <w:rPr>
                <w:rFonts w:ascii="Cambria" w:eastAsia="Times New Roman" w:hAnsi="Cambria" w:cs="Times New Roman"/>
                <w:color w:val="000000"/>
                <w:sz w:val="20"/>
                <w:szCs w:val="20"/>
              </w:rPr>
              <w:t>16.4</w:t>
            </w:r>
          </w:p>
        </w:tc>
        <w:tc>
          <w:tcPr>
            <w:tcW w:w="1249" w:type="dxa"/>
            <w:tcBorders>
              <w:top w:val="nil"/>
              <w:left w:val="nil"/>
              <w:bottom w:val="nil"/>
              <w:right w:val="nil"/>
            </w:tcBorders>
            <w:shd w:val="clear" w:color="auto" w:fill="auto"/>
            <w:noWrap/>
            <w:hideMark/>
          </w:tcPr>
          <w:p w14:paraId="2029C87F" w14:textId="77777777" w:rsidR="00FC4546" w:rsidRPr="00684285" w:rsidRDefault="00FC4546" w:rsidP="00B306C4">
            <w:pPr>
              <w:spacing w:after="0"/>
              <w:jc w:val="center"/>
              <w:rPr>
                <w:rFonts w:ascii="Cambria" w:eastAsia="Times New Roman" w:hAnsi="Cambria" w:cs="Times New Roman"/>
                <w:color w:val="000000"/>
                <w:sz w:val="20"/>
                <w:szCs w:val="20"/>
              </w:rPr>
            </w:pPr>
            <w:r w:rsidRPr="00684285">
              <w:rPr>
                <w:rFonts w:ascii="Cambria" w:eastAsia="Times New Roman" w:hAnsi="Cambria" w:cs="Times New Roman"/>
                <w:color w:val="000000"/>
                <w:sz w:val="20"/>
                <w:szCs w:val="20"/>
              </w:rPr>
              <w:t>9.6</w:t>
            </w:r>
          </w:p>
        </w:tc>
        <w:tc>
          <w:tcPr>
            <w:tcW w:w="1250" w:type="dxa"/>
            <w:gridSpan w:val="2"/>
            <w:tcBorders>
              <w:top w:val="nil"/>
              <w:left w:val="nil"/>
              <w:bottom w:val="nil"/>
              <w:right w:val="nil"/>
            </w:tcBorders>
            <w:shd w:val="clear" w:color="auto" w:fill="auto"/>
            <w:noWrap/>
            <w:hideMark/>
          </w:tcPr>
          <w:p w14:paraId="7DFD7A3D" w14:textId="77777777" w:rsidR="00FC4546" w:rsidRPr="00684285" w:rsidRDefault="00FC4546" w:rsidP="00B306C4">
            <w:pPr>
              <w:spacing w:after="0"/>
              <w:jc w:val="center"/>
              <w:rPr>
                <w:rFonts w:ascii="Cambria" w:eastAsia="Times New Roman" w:hAnsi="Cambria" w:cs="Times New Roman"/>
                <w:color w:val="000000"/>
                <w:sz w:val="20"/>
                <w:szCs w:val="20"/>
              </w:rPr>
            </w:pPr>
            <w:r w:rsidRPr="00684285">
              <w:rPr>
                <w:rFonts w:ascii="Cambria" w:eastAsia="Times New Roman" w:hAnsi="Cambria" w:cs="Times New Roman"/>
                <w:color w:val="000000"/>
                <w:sz w:val="20"/>
                <w:szCs w:val="20"/>
              </w:rPr>
              <w:t>16.8</w:t>
            </w:r>
          </w:p>
        </w:tc>
      </w:tr>
    </w:tbl>
    <w:p w14:paraId="0BDC3E05" w14:textId="77777777" w:rsidR="00416816" w:rsidRDefault="00416816" w:rsidP="002C36AA">
      <w:pPr>
        <w:rPr>
          <w:bCs/>
        </w:rPr>
      </w:pPr>
    </w:p>
    <w:p w14:paraId="327995F3" w14:textId="77777777" w:rsidR="00FC4546" w:rsidRPr="00AD0400" w:rsidRDefault="00FC4546" w:rsidP="002C36AA">
      <w:pPr>
        <w:rPr>
          <w:bCs/>
        </w:rPr>
      </w:pPr>
    </w:p>
    <w:p w14:paraId="75DCB3CB" w14:textId="77777777" w:rsidR="002C36AA" w:rsidRPr="00AD0400" w:rsidRDefault="002C36AA" w:rsidP="002C36AA">
      <w:pPr>
        <w:pStyle w:val="ListParagraph"/>
        <w:numPr>
          <w:ilvl w:val="0"/>
          <w:numId w:val="29"/>
        </w:numPr>
        <w:spacing w:after="160" w:line="259" w:lineRule="auto"/>
        <w:rPr>
          <w:bCs/>
        </w:rPr>
      </w:pPr>
      <w:r w:rsidRPr="00AD0400">
        <w:rPr>
          <w:bCs/>
        </w:rPr>
        <w:t xml:space="preserve">Bigger sizes of IDP households can also be explained by looking at the number of children between 0 and 14 years old per household. The proportion of households with no children is significantly higher for non-IDP households (56% among IDPs and 62% among non IDPs). But the proportion of households with one or more kids in the house younger than 14 years old is 43.5% for IDP households and 38% for non-IDP households. </w:t>
      </w:r>
    </w:p>
    <w:p w14:paraId="2EEA781F" w14:textId="77777777" w:rsidR="002C36AA" w:rsidRPr="00AD0400" w:rsidRDefault="002C36AA" w:rsidP="002C36AA">
      <w:pPr>
        <w:jc w:val="center"/>
        <w:rPr>
          <w:bCs/>
        </w:rPr>
      </w:pPr>
      <w:r w:rsidRPr="00AD0400">
        <w:rPr>
          <w:noProof/>
        </w:rPr>
        <w:lastRenderedPageBreak/>
        <w:drawing>
          <wp:inline distT="0" distB="0" distL="0" distR="0" wp14:anchorId="230EE362" wp14:editId="0D35F042">
            <wp:extent cx="4848225" cy="1543050"/>
            <wp:effectExtent l="19050" t="0" r="9525" b="0"/>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srcRect/>
                    <a:stretch>
                      <a:fillRect/>
                    </a:stretch>
                  </pic:blipFill>
                  <pic:spPr bwMode="auto">
                    <a:xfrm>
                      <a:off x="0" y="0"/>
                      <a:ext cx="4848225" cy="1543050"/>
                    </a:xfrm>
                    <a:prstGeom prst="rect">
                      <a:avLst/>
                    </a:prstGeom>
                    <a:noFill/>
                    <a:ln w="9525">
                      <a:noFill/>
                      <a:miter lim="800000"/>
                      <a:headEnd/>
                      <a:tailEnd/>
                    </a:ln>
                  </pic:spPr>
                </pic:pic>
              </a:graphicData>
            </a:graphic>
          </wp:inline>
        </w:drawing>
      </w:r>
    </w:p>
    <w:p w14:paraId="740EFD06" w14:textId="77777777" w:rsidR="002C36AA" w:rsidRPr="00AD0400" w:rsidRDefault="002C36AA" w:rsidP="002C36AA">
      <w:pPr>
        <w:rPr>
          <w:bCs/>
        </w:rPr>
      </w:pPr>
    </w:p>
    <w:p w14:paraId="7E0DBF1E" w14:textId="77777777" w:rsidR="002C36AA" w:rsidRPr="00AD0400" w:rsidRDefault="002C36AA" w:rsidP="002C36AA">
      <w:pPr>
        <w:rPr>
          <w:bCs/>
          <w:i/>
        </w:rPr>
      </w:pPr>
    </w:p>
    <w:p w14:paraId="7069F07C" w14:textId="77777777" w:rsidR="002C36AA" w:rsidRPr="00AD0400" w:rsidRDefault="002C36AA" w:rsidP="002C36AA">
      <w:pPr>
        <w:rPr>
          <w:bCs/>
          <w:i/>
        </w:rPr>
      </w:pPr>
      <w:r w:rsidRPr="00AD0400">
        <w:rPr>
          <w:bCs/>
          <w:i/>
        </w:rPr>
        <w:t>Education</w:t>
      </w:r>
    </w:p>
    <w:p w14:paraId="2B3BB85D" w14:textId="77777777" w:rsidR="002C36AA" w:rsidRPr="00AD0400" w:rsidRDefault="002C36AA" w:rsidP="002C36AA">
      <w:pPr>
        <w:pStyle w:val="ListParagraph"/>
        <w:numPr>
          <w:ilvl w:val="0"/>
          <w:numId w:val="29"/>
        </w:numPr>
        <w:spacing w:after="160" w:line="259" w:lineRule="auto"/>
        <w:rPr>
          <w:bCs/>
        </w:rPr>
      </w:pPr>
      <w:r w:rsidRPr="00AD0400">
        <w:rPr>
          <w:bCs/>
        </w:rPr>
        <w:t>IDPs are relatively more educated than non-IDP members. While 47.6% of the head of households among non-IDPs has tertiary education as the highest level of education achieved, the proportion of head of household among IDPs that has tertiary education as their highest degree achieved increases to 50.8%. This disparity is mainly by the disproportion of head of households with Masters Degrees or equivalent as their highest degree achieved. 26.1% of non-IDPs have Masters Degrees, while the proportion of IDPs with Masters Degrees increases to 33.4%. Although overall, we see a higher proportion of non-IDPs with secondary education as their highest degree, levels of completion of upper secondary education are slightly higher among IDPs (39.9% compared to 37.2%).</w:t>
      </w:r>
    </w:p>
    <w:p w14:paraId="2D1C903E" w14:textId="77777777" w:rsidR="002C36AA" w:rsidRPr="00AD0400" w:rsidRDefault="002C36AA" w:rsidP="002C36AA">
      <w:pPr>
        <w:jc w:val="center"/>
        <w:rPr>
          <w:bCs/>
        </w:rPr>
      </w:pPr>
    </w:p>
    <w:p w14:paraId="3BD666CD" w14:textId="77777777" w:rsidR="002C36AA" w:rsidRPr="00AD0400" w:rsidRDefault="002C36AA" w:rsidP="002C36AA">
      <w:pPr>
        <w:jc w:val="center"/>
        <w:rPr>
          <w:bCs/>
        </w:rPr>
      </w:pPr>
      <w:r w:rsidRPr="00AD0400">
        <w:rPr>
          <w:noProof/>
        </w:rPr>
        <w:drawing>
          <wp:inline distT="0" distB="0" distL="0" distR="0" wp14:anchorId="694EDCA8" wp14:editId="1173FA37">
            <wp:extent cx="5943600" cy="1090405"/>
            <wp:effectExtent l="19050" t="0" r="0" b="0"/>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srcRect/>
                    <a:stretch>
                      <a:fillRect/>
                    </a:stretch>
                  </pic:blipFill>
                  <pic:spPr bwMode="auto">
                    <a:xfrm>
                      <a:off x="0" y="0"/>
                      <a:ext cx="5943600" cy="1090405"/>
                    </a:xfrm>
                    <a:prstGeom prst="rect">
                      <a:avLst/>
                    </a:prstGeom>
                    <a:noFill/>
                    <a:ln w="9525">
                      <a:noFill/>
                      <a:miter lim="800000"/>
                      <a:headEnd/>
                      <a:tailEnd/>
                    </a:ln>
                  </pic:spPr>
                </pic:pic>
              </a:graphicData>
            </a:graphic>
          </wp:inline>
        </w:drawing>
      </w:r>
    </w:p>
    <w:p w14:paraId="2B329CDE" w14:textId="77777777" w:rsidR="002C36AA" w:rsidRPr="00AD0400" w:rsidRDefault="002C36AA" w:rsidP="002C36AA">
      <w:pPr>
        <w:rPr>
          <w:bCs/>
          <w:i/>
        </w:rPr>
      </w:pPr>
    </w:p>
    <w:p w14:paraId="4FB8B4AF" w14:textId="77777777" w:rsidR="002C36AA" w:rsidRPr="00AD0400" w:rsidRDefault="002C36AA" w:rsidP="002C36AA">
      <w:pPr>
        <w:rPr>
          <w:bCs/>
          <w:i/>
        </w:rPr>
      </w:pPr>
      <w:r w:rsidRPr="00AD0400">
        <w:rPr>
          <w:bCs/>
          <w:i/>
        </w:rPr>
        <w:t>Health and Subjective Perceptions</w:t>
      </w:r>
    </w:p>
    <w:p w14:paraId="7BF874B6" w14:textId="77777777" w:rsidR="002C36AA" w:rsidRPr="00AD0400" w:rsidRDefault="002C36AA" w:rsidP="002C36AA">
      <w:pPr>
        <w:rPr>
          <w:bCs/>
          <w:i/>
        </w:rPr>
      </w:pPr>
    </w:p>
    <w:p w14:paraId="05A273D7" w14:textId="77777777" w:rsidR="002C36AA" w:rsidRPr="00AD0400" w:rsidRDefault="002C36AA" w:rsidP="002C36AA">
      <w:pPr>
        <w:pStyle w:val="ListParagraph"/>
        <w:numPr>
          <w:ilvl w:val="0"/>
          <w:numId w:val="29"/>
        </w:numPr>
        <w:spacing w:after="160" w:line="259" w:lineRule="auto"/>
        <w:rPr>
          <w:bCs/>
        </w:rPr>
      </w:pPr>
      <w:r w:rsidRPr="00AD0400">
        <w:rPr>
          <w:bCs/>
        </w:rPr>
        <w:t xml:space="preserve">According to the IHS (2011-2013), 89% of non IDPs report to have health insurance, while 91.4% of IDPs report to health insurance. </w:t>
      </w:r>
    </w:p>
    <w:p w14:paraId="4442AD30" w14:textId="77777777" w:rsidR="002C36AA" w:rsidRPr="00AD0400" w:rsidRDefault="002C36AA" w:rsidP="002C36AA">
      <w:pPr>
        <w:pStyle w:val="ListParagraph"/>
        <w:rPr>
          <w:bCs/>
        </w:rPr>
      </w:pPr>
    </w:p>
    <w:p w14:paraId="4CFAD91D" w14:textId="77777777" w:rsidR="002C36AA" w:rsidRPr="00AD0400" w:rsidRDefault="002C36AA" w:rsidP="002C36AA">
      <w:pPr>
        <w:pStyle w:val="ListParagraph"/>
        <w:numPr>
          <w:ilvl w:val="0"/>
          <w:numId w:val="29"/>
        </w:numPr>
        <w:spacing w:after="160" w:line="259" w:lineRule="auto"/>
        <w:rPr>
          <w:bCs/>
        </w:rPr>
      </w:pPr>
      <w:r w:rsidRPr="00AD0400">
        <w:rPr>
          <w:bCs/>
        </w:rPr>
        <w:t>According to UNDP (2011) Survey though, most people report to have good health status, nor good nor bad or bad, but very few consider that their health status is very good.</w:t>
      </w:r>
    </w:p>
    <w:p w14:paraId="4E67FCBC" w14:textId="77777777" w:rsidR="002C36AA" w:rsidRPr="00AD0400" w:rsidRDefault="002C36AA" w:rsidP="002C36AA">
      <w:pPr>
        <w:pStyle w:val="ListParagraph"/>
        <w:rPr>
          <w:bCs/>
        </w:rPr>
      </w:pPr>
    </w:p>
    <w:p w14:paraId="065791EA" w14:textId="77777777" w:rsidR="002C36AA" w:rsidRPr="00AD0400" w:rsidRDefault="002C36AA" w:rsidP="002C36AA">
      <w:pPr>
        <w:jc w:val="center"/>
        <w:rPr>
          <w:bCs/>
        </w:rPr>
      </w:pPr>
      <w:r w:rsidRPr="00AD0400">
        <w:rPr>
          <w:noProof/>
        </w:rPr>
        <w:lastRenderedPageBreak/>
        <w:drawing>
          <wp:inline distT="0" distB="0" distL="0" distR="0" wp14:anchorId="2952DA03" wp14:editId="6A826A3F">
            <wp:extent cx="4591050" cy="1952625"/>
            <wp:effectExtent l="19050" t="0" r="0" b="0"/>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srcRect/>
                    <a:stretch>
                      <a:fillRect/>
                    </a:stretch>
                  </pic:blipFill>
                  <pic:spPr bwMode="auto">
                    <a:xfrm>
                      <a:off x="0" y="0"/>
                      <a:ext cx="4591050" cy="1952625"/>
                    </a:xfrm>
                    <a:prstGeom prst="rect">
                      <a:avLst/>
                    </a:prstGeom>
                    <a:noFill/>
                    <a:ln w="9525">
                      <a:noFill/>
                      <a:miter lim="800000"/>
                      <a:headEnd/>
                      <a:tailEnd/>
                    </a:ln>
                  </pic:spPr>
                </pic:pic>
              </a:graphicData>
            </a:graphic>
          </wp:inline>
        </w:drawing>
      </w:r>
    </w:p>
    <w:p w14:paraId="68857AC6" w14:textId="77777777" w:rsidR="002C36AA" w:rsidRPr="00AD0400" w:rsidRDefault="002C36AA" w:rsidP="002C36AA">
      <w:pPr>
        <w:jc w:val="center"/>
        <w:rPr>
          <w:bCs/>
        </w:rPr>
      </w:pPr>
    </w:p>
    <w:p w14:paraId="6D027DAC" w14:textId="204CA183" w:rsidR="002C36AA" w:rsidRPr="001466D5" w:rsidRDefault="002C36AA" w:rsidP="001466D5">
      <w:pPr>
        <w:pStyle w:val="ListParagraph"/>
        <w:numPr>
          <w:ilvl w:val="0"/>
          <w:numId w:val="29"/>
        </w:numPr>
        <w:spacing w:after="160" w:line="259" w:lineRule="auto"/>
        <w:rPr>
          <w:bCs/>
        </w:rPr>
      </w:pPr>
      <w:r w:rsidRPr="00AD0400">
        <w:rPr>
          <w:bCs/>
        </w:rPr>
        <w:t>To the questions of subjective wellbeing from UNHCR Survey, not many IDPs report to have adequate living conditions or housing (only 15%). A big percentage though feels secure. As seen objectively, very few people (less than 9%) consider having a good livelihood and income. And a slightly higher percentage considers that they get access to medical service and jury service. More than half of IDPs consider themselves locally integrated</w:t>
      </w:r>
      <w:r w:rsidR="001466D5">
        <w:rPr>
          <w:bCs/>
        </w:rPr>
        <w:t xml:space="preserve">, and about a third (33.3%) consider themselves partially integrated; 8.3% report that they do not consider themselves integrated in their local places of residence. </w:t>
      </w:r>
    </w:p>
    <w:p w14:paraId="1819269F" w14:textId="567F5ADA" w:rsidR="00F95C29" w:rsidRPr="00AD0400" w:rsidRDefault="00F95C29" w:rsidP="002C36AA">
      <w:pPr>
        <w:pStyle w:val="ListParagraph"/>
        <w:jc w:val="center"/>
        <w:rPr>
          <w:bCs/>
        </w:rPr>
      </w:pPr>
    </w:p>
    <w:tbl>
      <w:tblPr>
        <w:tblW w:w="7000" w:type="dxa"/>
        <w:jc w:val="center"/>
        <w:tblLook w:val="04A0" w:firstRow="1" w:lastRow="0" w:firstColumn="1" w:lastColumn="0" w:noHBand="0" w:noVBand="1"/>
      </w:tblPr>
      <w:tblGrid>
        <w:gridCol w:w="4680"/>
        <w:gridCol w:w="2320"/>
      </w:tblGrid>
      <w:tr w:rsidR="00F95C29" w:rsidRPr="00F95C29" w14:paraId="105D42DD" w14:textId="77777777" w:rsidTr="0036006E">
        <w:trPr>
          <w:trHeight w:val="300"/>
          <w:jc w:val="center"/>
        </w:trPr>
        <w:tc>
          <w:tcPr>
            <w:tcW w:w="4680" w:type="dxa"/>
            <w:tcBorders>
              <w:top w:val="nil"/>
              <w:left w:val="nil"/>
              <w:bottom w:val="single" w:sz="4" w:space="0" w:color="auto"/>
              <w:right w:val="nil"/>
            </w:tcBorders>
            <w:shd w:val="clear" w:color="auto" w:fill="auto"/>
            <w:noWrap/>
            <w:vAlign w:val="bottom"/>
            <w:hideMark/>
          </w:tcPr>
          <w:p w14:paraId="3F5CDD87" w14:textId="77777777" w:rsidR="00F95C29" w:rsidRPr="00F95C29" w:rsidRDefault="00F95C29" w:rsidP="00F95C29">
            <w:pPr>
              <w:spacing w:after="0"/>
              <w:jc w:val="left"/>
              <w:rPr>
                <w:rFonts w:ascii="Cambria" w:eastAsia="Times New Roman" w:hAnsi="Cambria" w:cs="Times New Roman"/>
                <w:color w:val="000000"/>
                <w:sz w:val="20"/>
                <w:szCs w:val="20"/>
              </w:rPr>
            </w:pPr>
            <w:r w:rsidRPr="00F95C29">
              <w:rPr>
                <w:rFonts w:ascii="Cambria" w:eastAsia="Times New Roman" w:hAnsi="Cambria" w:cs="Times New Roman"/>
                <w:color w:val="000000"/>
                <w:sz w:val="20"/>
                <w:szCs w:val="20"/>
              </w:rPr>
              <w:t> </w:t>
            </w:r>
          </w:p>
        </w:tc>
        <w:tc>
          <w:tcPr>
            <w:tcW w:w="2320" w:type="dxa"/>
            <w:tcBorders>
              <w:top w:val="nil"/>
              <w:left w:val="nil"/>
              <w:bottom w:val="single" w:sz="4" w:space="0" w:color="auto"/>
              <w:right w:val="nil"/>
            </w:tcBorders>
            <w:shd w:val="clear" w:color="auto" w:fill="auto"/>
            <w:noWrap/>
            <w:vAlign w:val="bottom"/>
            <w:hideMark/>
          </w:tcPr>
          <w:p w14:paraId="68AB5809" w14:textId="77777777" w:rsidR="00F95C29" w:rsidRPr="00F95C29" w:rsidRDefault="00F95C29" w:rsidP="00F95C29">
            <w:pPr>
              <w:spacing w:after="0"/>
              <w:jc w:val="right"/>
              <w:rPr>
                <w:rFonts w:ascii="Cambria" w:eastAsia="Times New Roman" w:hAnsi="Cambria" w:cs="Times New Roman"/>
                <w:color w:val="000000"/>
                <w:sz w:val="20"/>
                <w:szCs w:val="20"/>
              </w:rPr>
            </w:pPr>
            <w:r w:rsidRPr="00F95C29">
              <w:rPr>
                <w:rFonts w:ascii="Cambria" w:eastAsia="Times New Roman" w:hAnsi="Cambria" w:cs="Times New Roman"/>
                <w:color w:val="000000"/>
                <w:sz w:val="20"/>
                <w:szCs w:val="20"/>
              </w:rPr>
              <w:t>IDP (% who answer 'Yes')</w:t>
            </w:r>
          </w:p>
        </w:tc>
      </w:tr>
      <w:tr w:rsidR="00F95C29" w:rsidRPr="00F95C29" w14:paraId="5F40436C" w14:textId="77777777" w:rsidTr="0036006E">
        <w:trPr>
          <w:trHeight w:val="300"/>
          <w:jc w:val="center"/>
        </w:trPr>
        <w:tc>
          <w:tcPr>
            <w:tcW w:w="4680" w:type="dxa"/>
            <w:tcBorders>
              <w:top w:val="nil"/>
              <w:left w:val="nil"/>
              <w:bottom w:val="nil"/>
              <w:right w:val="nil"/>
            </w:tcBorders>
            <w:shd w:val="clear" w:color="auto" w:fill="auto"/>
            <w:noWrap/>
            <w:vAlign w:val="bottom"/>
            <w:hideMark/>
          </w:tcPr>
          <w:p w14:paraId="64DAD9D8" w14:textId="77777777" w:rsidR="00F95C29" w:rsidRPr="00F95C29" w:rsidRDefault="00F95C29" w:rsidP="00F95C29">
            <w:pPr>
              <w:spacing w:after="0"/>
              <w:jc w:val="left"/>
              <w:rPr>
                <w:rFonts w:ascii="Cambria" w:eastAsia="Times New Roman" w:hAnsi="Cambria" w:cs="Times New Roman"/>
                <w:b/>
                <w:bCs/>
                <w:color w:val="000000"/>
                <w:sz w:val="20"/>
                <w:szCs w:val="20"/>
              </w:rPr>
            </w:pPr>
            <w:r w:rsidRPr="00F95C29">
              <w:rPr>
                <w:rFonts w:ascii="Cambria" w:eastAsia="Times New Roman" w:hAnsi="Cambria" w:cs="Times New Roman"/>
                <w:b/>
                <w:bCs/>
                <w:color w:val="000000"/>
                <w:sz w:val="20"/>
                <w:szCs w:val="20"/>
              </w:rPr>
              <w:t>Subjective wellbeing. Do you have the following?</w:t>
            </w:r>
          </w:p>
        </w:tc>
        <w:tc>
          <w:tcPr>
            <w:tcW w:w="2320" w:type="dxa"/>
            <w:tcBorders>
              <w:top w:val="nil"/>
              <w:left w:val="nil"/>
              <w:bottom w:val="nil"/>
              <w:right w:val="nil"/>
            </w:tcBorders>
            <w:shd w:val="clear" w:color="auto" w:fill="auto"/>
            <w:noWrap/>
            <w:vAlign w:val="bottom"/>
            <w:hideMark/>
          </w:tcPr>
          <w:p w14:paraId="3AE43133" w14:textId="77777777" w:rsidR="00F95C29" w:rsidRPr="00F95C29" w:rsidRDefault="00F95C29" w:rsidP="00F95C29">
            <w:pPr>
              <w:spacing w:after="0"/>
              <w:jc w:val="left"/>
              <w:rPr>
                <w:rFonts w:ascii="Cambria" w:eastAsia="Times New Roman" w:hAnsi="Cambria" w:cs="Times New Roman"/>
                <w:b/>
                <w:bCs/>
                <w:color w:val="000000"/>
                <w:sz w:val="20"/>
                <w:szCs w:val="20"/>
              </w:rPr>
            </w:pPr>
          </w:p>
        </w:tc>
      </w:tr>
      <w:tr w:rsidR="00F95C29" w:rsidRPr="00F95C29" w14:paraId="1630EEF2" w14:textId="77777777" w:rsidTr="0036006E">
        <w:trPr>
          <w:trHeight w:val="300"/>
          <w:jc w:val="center"/>
        </w:trPr>
        <w:tc>
          <w:tcPr>
            <w:tcW w:w="4680" w:type="dxa"/>
            <w:tcBorders>
              <w:top w:val="nil"/>
              <w:left w:val="nil"/>
              <w:bottom w:val="nil"/>
              <w:right w:val="nil"/>
            </w:tcBorders>
            <w:shd w:val="clear" w:color="auto" w:fill="auto"/>
            <w:noWrap/>
            <w:vAlign w:val="bottom"/>
            <w:hideMark/>
          </w:tcPr>
          <w:p w14:paraId="3F677487" w14:textId="77777777" w:rsidR="00F95C29" w:rsidRPr="00F95C29" w:rsidRDefault="00F95C29" w:rsidP="00F95C29">
            <w:pPr>
              <w:spacing w:after="0"/>
              <w:jc w:val="left"/>
              <w:rPr>
                <w:rFonts w:ascii="Cambria" w:eastAsia="Times New Roman" w:hAnsi="Cambria" w:cs="Times New Roman"/>
                <w:color w:val="000000"/>
                <w:sz w:val="20"/>
                <w:szCs w:val="20"/>
              </w:rPr>
            </w:pPr>
            <w:r w:rsidRPr="00F95C29">
              <w:rPr>
                <w:rFonts w:ascii="Cambria" w:eastAsia="Times New Roman" w:hAnsi="Cambria" w:cs="Times New Roman"/>
                <w:color w:val="000000"/>
                <w:sz w:val="20"/>
                <w:szCs w:val="20"/>
              </w:rPr>
              <w:t>Adequate living conditions</w:t>
            </w:r>
          </w:p>
        </w:tc>
        <w:tc>
          <w:tcPr>
            <w:tcW w:w="2320" w:type="dxa"/>
            <w:tcBorders>
              <w:top w:val="nil"/>
              <w:left w:val="nil"/>
              <w:bottom w:val="nil"/>
              <w:right w:val="nil"/>
            </w:tcBorders>
            <w:shd w:val="clear" w:color="auto" w:fill="auto"/>
            <w:noWrap/>
            <w:vAlign w:val="bottom"/>
            <w:hideMark/>
          </w:tcPr>
          <w:p w14:paraId="7EEE4744" w14:textId="77777777" w:rsidR="00F95C29" w:rsidRPr="00F95C29" w:rsidRDefault="00F95C29" w:rsidP="00F95C29">
            <w:pPr>
              <w:spacing w:after="0"/>
              <w:jc w:val="right"/>
              <w:rPr>
                <w:rFonts w:ascii="Cambria" w:eastAsia="Times New Roman" w:hAnsi="Cambria" w:cs="Times New Roman"/>
                <w:color w:val="000000"/>
                <w:sz w:val="20"/>
                <w:szCs w:val="20"/>
              </w:rPr>
            </w:pPr>
            <w:r w:rsidRPr="00F95C29">
              <w:rPr>
                <w:rFonts w:ascii="Cambria" w:eastAsia="Times New Roman" w:hAnsi="Cambria" w:cs="Times New Roman"/>
                <w:color w:val="000000"/>
                <w:sz w:val="20"/>
                <w:szCs w:val="20"/>
              </w:rPr>
              <w:t>14.7</w:t>
            </w:r>
          </w:p>
        </w:tc>
      </w:tr>
      <w:tr w:rsidR="00F95C29" w:rsidRPr="00F95C29" w14:paraId="2C2207FC" w14:textId="77777777" w:rsidTr="0036006E">
        <w:trPr>
          <w:trHeight w:val="300"/>
          <w:jc w:val="center"/>
        </w:trPr>
        <w:tc>
          <w:tcPr>
            <w:tcW w:w="4680" w:type="dxa"/>
            <w:tcBorders>
              <w:top w:val="nil"/>
              <w:left w:val="nil"/>
              <w:bottom w:val="nil"/>
              <w:right w:val="nil"/>
            </w:tcBorders>
            <w:shd w:val="clear" w:color="auto" w:fill="auto"/>
            <w:noWrap/>
            <w:vAlign w:val="bottom"/>
            <w:hideMark/>
          </w:tcPr>
          <w:p w14:paraId="6E4B7B79" w14:textId="77777777" w:rsidR="00F95C29" w:rsidRPr="00F95C29" w:rsidRDefault="00F95C29" w:rsidP="00F95C29">
            <w:pPr>
              <w:spacing w:after="0"/>
              <w:jc w:val="left"/>
              <w:rPr>
                <w:rFonts w:ascii="Cambria" w:eastAsia="Times New Roman" w:hAnsi="Cambria" w:cs="Times New Roman"/>
                <w:color w:val="000000"/>
                <w:sz w:val="20"/>
                <w:szCs w:val="20"/>
              </w:rPr>
            </w:pPr>
            <w:r w:rsidRPr="00F95C29">
              <w:rPr>
                <w:rFonts w:ascii="Cambria" w:eastAsia="Times New Roman" w:hAnsi="Cambria" w:cs="Times New Roman"/>
                <w:color w:val="000000"/>
                <w:sz w:val="20"/>
                <w:szCs w:val="20"/>
              </w:rPr>
              <w:t>Housing</w:t>
            </w:r>
          </w:p>
        </w:tc>
        <w:tc>
          <w:tcPr>
            <w:tcW w:w="2320" w:type="dxa"/>
            <w:tcBorders>
              <w:top w:val="nil"/>
              <w:left w:val="nil"/>
              <w:bottom w:val="nil"/>
              <w:right w:val="nil"/>
            </w:tcBorders>
            <w:shd w:val="clear" w:color="auto" w:fill="auto"/>
            <w:noWrap/>
            <w:vAlign w:val="bottom"/>
            <w:hideMark/>
          </w:tcPr>
          <w:p w14:paraId="60CCCEAF" w14:textId="77777777" w:rsidR="00F95C29" w:rsidRPr="00F95C29" w:rsidRDefault="00F95C29" w:rsidP="00F95C29">
            <w:pPr>
              <w:spacing w:after="0"/>
              <w:jc w:val="right"/>
              <w:rPr>
                <w:rFonts w:ascii="Cambria" w:eastAsia="Times New Roman" w:hAnsi="Cambria" w:cs="Times New Roman"/>
                <w:color w:val="000000"/>
                <w:sz w:val="20"/>
                <w:szCs w:val="20"/>
              </w:rPr>
            </w:pPr>
            <w:r w:rsidRPr="00F95C29">
              <w:rPr>
                <w:rFonts w:ascii="Cambria" w:eastAsia="Times New Roman" w:hAnsi="Cambria" w:cs="Times New Roman"/>
                <w:color w:val="000000"/>
                <w:sz w:val="20"/>
                <w:szCs w:val="20"/>
              </w:rPr>
              <w:t>15.4</w:t>
            </w:r>
          </w:p>
        </w:tc>
      </w:tr>
      <w:tr w:rsidR="00F95C29" w:rsidRPr="00F95C29" w14:paraId="4D2F6D66" w14:textId="77777777" w:rsidTr="0036006E">
        <w:trPr>
          <w:trHeight w:val="300"/>
          <w:jc w:val="center"/>
        </w:trPr>
        <w:tc>
          <w:tcPr>
            <w:tcW w:w="4680" w:type="dxa"/>
            <w:tcBorders>
              <w:top w:val="nil"/>
              <w:left w:val="nil"/>
              <w:bottom w:val="nil"/>
              <w:right w:val="nil"/>
            </w:tcBorders>
            <w:shd w:val="clear" w:color="auto" w:fill="auto"/>
            <w:noWrap/>
            <w:vAlign w:val="bottom"/>
            <w:hideMark/>
          </w:tcPr>
          <w:p w14:paraId="3099246A" w14:textId="77777777" w:rsidR="00F95C29" w:rsidRPr="00F95C29" w:rsidRDefault="00F95C29" w:rsidP="00F95C29">
            <w:pPr>
              <w:spacing w:after="0"/>
              <w:jc w:val="left"/>
              <w:rPr>
                <w:rFonts w:ascii="Cambria" w:eastAsia="Times New Roman" w:hAnsi="Cambria" w:cs="Times New Roman"/>
                <w:color w:val="000000"/>
                <w:sz w:val="20"/>
                <w:szCs w:val="20"/>
              </w:rPr>
            </w:pPr>
            <w:r w:rsidRPr="00F95C29">
              <w:rPr>
                <w:rFonts w:ascii="Cambria" w:eastAsia="Times New Roman" w:hAnsi="Cambria" w:cs="Times New Roman"/>
                <w:color w:val="000000"/>
                <w:sz w:val="20"/>
                <w:szCs w:val="20"/>
              </w:rPr>
              <w:t>Security</w:t>
            </w:r>
          </w:p>
        </w:tc>
        <w:tc>
          <w:tcPr>
            <w:tcW w:w="2320" w:type="dxa"/>
            <w:tcBorders>
              <w:top w:val="nil"/>
              <w:left w:val="nil"/>
              <w:bottom w:val="nil"/>
              <w:right w:val="nil"/>
            </w:tcBorders>
            <w:shd w:val="clear" w:color="auto" w:fill="auto"/>
            <w:noWrap/>
            <w:vAlign w:val="bottom"/>
            <w:hideMark/>
          </w:tcPr>
          <w:p w14:paraId="7E16D67D" w14:textId="77777777" w:rsidR="00F95C29" w:rsidRPr="00F95C29" w:rsidRDefault="00F95C29" w:rsidP="00F95C29">
            <w:pPr>
              <w:spacing w:after="0"/>
              <w:jc w:val="right"/>
              <w:rPr>
                <w:rFonts w:ascii="Cambria" w:eastAsia="Times New Roman" w:hAnsi="Cambria" w:cs="Times New Roman"/>
                <w:color w:val="000000"/>
                <w:sz w:val="20"/>
                <w:szCs w:val="20"/>
              </w:rPr>
            </w:pPr>
            <w:r w:rsidRPr="00F95C29">
              <w:rPr>
                <w:rFonts w:ascii="Cambria" w:eastAsia="Times New Roman" w:hAnsi="Cambria" w:cs="Times New Roman"/>
                <w:color w:val="000000"/>
                <w:sz w:val="20"/>
                <w:szCs w:val="20"/>
              </w:rPr>
              <w:t>73.8</w:t>
            </w:r>
          </w:p>
        </w:tc>
      </w:tr>
      <w:tr w:rsidR="00F95C29" w:rsidRPr="00F95C29" w14:paraId="6DED329D" w14:textId="77777777" w:rsidTr="0036006E">
        <w:trPr>
          <w:trHeight w:val="300"/>
          <w:jc w:val="center"/>
        </w:trPr>
        <w:tc>
          <w:tcPr>
            <w:tcW w:w="4680" w:type="dxa"/>
            <w:tcBorders>
              <w:top w:val="nil"/>
              <w:left w:val="nil"/>
              <w:bottom w:val="nil"/>
              <w:right w:val="nil"/>
            </w:tcBorders>
            <w:shd w:val="clear" w:color="auto" w:fill="auto"/>
            <w:noWrap/>
            <w:vAlign w:val="bottom"/>
            <w:hideMark/>
          </w:tcPr>
          <w:p w14:paraId="2F84C2CA" w14:textId="77777777" w:rsidR="00F95C29" w:rsidRPr="00F95C29" w:rsidRDefault="00F95C29" w:rsidP="00F95C29">
            <w:pPr>
              <w:spacing w:after="0"/>
              <w:jc w:val="left"/>
              <w:rPr>
                <w:rFonts w:ascii="Cambria" w:eastAsia="Times New Roman" w:hAnsi="Cambria" w:cs="Times New Roman"/>
                <w:color w:val="000000"/>
                <w:sz w:val="20"/>
                <w:szCs w:val="20"/>
              </w:rPr>
            </w:pPr>
            <w:r w:rsidRPr="00F95C29">
              <w:rPr>
                <w:rFonts w:ascii="Cambria" w:eastAsia="Times New Roman" w:hAnsi="Cambria" w:cs="Times New Roman"/>
                <w:color w:val="000000"/>
                <w:sz w:val="20"/>
                <w:szCs w:val="20"/>
              </w:rPr>
              <w:t>Livelihood/Income (including allowances)</w:t>
            </w:r>
          </w:p>
        </w:tc>
        <w:tc>
          <w:tcPr>
            <w:tcW w:w="2320" w:type="dxa"/>
            <w:tcBorders>
              <w:top w:val="nil"/>
              <w:left w:val="nil"/>
              <w:bottom w:val="nil"/>
              <w:right w:val="nil"/>
            </w:tcBorders>
            <w:shd w:val="clear" w:color="auto" w:fill="auto"/>
            <w:noWrap/>
            <w:vAlign w:val="bottom"/>
            <w:hideMark/>
          </w:tcPr>
          <w:p w14:paraId="133185F8" w14:textId="77777777" w:rsidR="00F95C29" w:rsidRPr="00F95C29" w:rsidRDefault="00F95C29" w:rsidP="00F95C29">
            <w:pPr>
              <w:spacing w:after="0"/>
              <w:jc w:val="right"/>
              <w:rPr>
                <w:rFonts w:ascii="Cambria" w:eastAsia="Times New Roman" w:hAnsi="Cambria" w:cs="Times New Roman"/>
                <w:color w:val="000000"/>
                <w:sz w:val="20"/>
                <w:szCs w:val="20"/>
              </w:rPr>
            </w:pPr>
            <w:r w:rsidRPr="00F95C29">
              <w:rPr>
                <w:rFonts w:ascii="Cambria" w:eastAsia="Times New Roman" w:hAnsi="Cambria" w:cs="Times New Roman"/>
                <w:color w:val="000000"/>
                <w:sz w:val="20"/>
                <w:szCs w:val="20"/>
              </w:rPr>
              <w:t>8.3</w:t>
            </w:r>
          </w:p>
        </w:tc>
      </w:tr>
      <w:tr w:rsidR="00F95C29" w:rsidRPr="00F95C29" w14:paraId="34A01F67" w14:textId="77777777" w:rsidTr="0036006E">
        <w:trPr>
          <w:trHeight w:val="300"/>
          <w:jc w:val="center"/>
        </w:trPr>
        <w:tc>
          <w:tcPr>
            <w:tcW w:w="4680" w:type="dxa"/>
            <w:tcBorders>
              <w:top w:val="nil"/>
              <w:left w:val="nil"/>
              <w:bottom w:val="nil"/>
              <w:right w:val="nil"/>
            </w:tcBorders>
            <w:shd w:val="clear" w:color="auto" w:fill="auto"/>
            <w:noWrap/>
            <w:vAlign w:val="bottom"/>
            <w:hideMark/>
          </w:tcPr>
          <w:p w14:paraId="3FBBA1BA" w14:textId="77777777" w:rsidR="00F95C29" w:rsidRPr="00F95C29" w:rsidRDefault="00F95C29" w:rsidP="00F95C29">
            <w:pPr>
              <w:spacing w:after="0"/>
              <w:jc w:val="left"/>
              <w:rPr>
                <w:rFonts w:ascii="Cambria" w:eastAsia="Times New Roman" w:hAnsi="Cambria" w:cs="Times New Roman"/>
                <w:color w:val="000000"/>
                <w:sz w:val="20"/>
                <w:szCs w:val="20"/>
              </w:rPr>
            </w:pPr>
            <w:r w:rsidRPr="00F95C29">
              <w:rPr>
                <w:rFonts w:ascii="Cambria" w:eastAsia="Times New Roman" w:hAnsi="Cambria" w:cs="Times New Roman"/>
                <w:color w:val="000000"/>
                <w:sz w:val="20"/>
                <w:szCs w:val="20"/>
              </w:rPr>
              <w:t>Adequate job</w:t>
            </w:r>
          </w:p>
        </w:tc>
        <w:tc>
          <w:tcPr>
            <w:tcW w:w="2320" w:type="dxa"/>
            <w:tcBorders>
              <w:top w:val="nil"/>
              <w:left w:val="nil"/>
              <w:bottom w:val="nil"/>
              <w:right w:val="nil"/>
            </w:tcBorders>
            <w:shd w:val="clear" w:color="auto" w:fill="auto"/>
            <w:noWrap/>
            <w:vAlign w:val="bottom"/>
            <w:hideMark/>
          </w:tcPr>
          <w:p w14:paraId="1C383D9B" w14:textId="77777777" w:rsidR="00F95C29" w:rsidRPr="00F95C29" w:rsidRDefault="00F95C29" w:rsidP="00F95C29">
            <w:pPr>
              <w:spacing w:after="0"/>
              <w:jc w:val="right"/>
              <w:rPr>
                <w:rFonts w:ascii="Cambria" w:eastAsia="Times New Roman" w:hAnsi="Cambria" w:cs="Times New Roman"/>
                <w:color w:val="000000"/>
                <w:sz w:val="20"/>
                <w:szCs w:val="20"/>
              </w:rPr>
            </w:pPr>
            <w:r w:rsidRPr="00F95C29">
              <w:rPr>
                <w:rFonts w:ascii="Cambria" w:eastAsia="Times New Roman" w:hAnsi="Cambria" w:cs="Times New Roman"/>
                <w:color w:val="000000"/>
                <w:sz w:val="20"/>
                <w:szCs w:val="20"/>
              </w:rPr>
              <w:t>7</w:t>
            </w:r>
          </w:p>
        </w:tc>
      </w:tr>
      <w:tr w:rsidR="00F95C29" w:rsidRPr="00F95C29" w14:paraId="1E0DBCD9" w14:textId="77777777" w:rsidTr="0036006E">
        <w:trPr>
          <w:trHeight w:val="300"/>
          <w:jc w:val="center"/>
        </w:trPr>
        <w:tc>
          <w:tcPr>
            <w:tcW w:w="4680" w:type="dxa"/>
            <w:tcBorders>
              <w:top w:val="nil"/>
              <w:left w:val="nil"/>
              <w:bottom w:val="nil"/>
              <w:right w:val="nil"/>
            </w:tcBorders>
            <w:shd w:val="clear" w:color="auto" w:fill="auto"/>
            <w:noWrap/>
            <w:vAlign w:val="bottom"/>
            <w:hideMark/>
          </w:tcPr>
          <w:p w14:paraId="7DE17FD1" w14:textId="77777777" w:rsidR="00F95C29" w:rsidRPr="00F95C29" w:rsidRDefault="00F95C29" w:rsidP="00F95C29">
            <w:pPr>
              <w:spacing w:after="0"/>
              <w:jc w:val="left"/>
              <w:rPr>
                <w:rFonts w:ascii="Cambria" w:eastAsia="Times New Roman" w:hAnsi="Cambria" w:cs="Times New Roman"/>
                <w:color w:val="000000"/>
                <w:sz w:val="20"/>
                <w:szCs w:val="20"/>
              </w:rPr>
            </w:pPr>
            <w:r w:rsidRPr="00F95C29">
              <w:rPr>
                <w:rFonts w:ascii="Cambria" w:eastAsia="Times New Roman" w:hAnsi="Cambria" w:cs="Times New Roman"/>
                <w:color w:val="000000"/>
                <w:sz w:val="20"/>
                <w:szCs w:val="20"/>
              </w:rPr>
              <w:t>Access to medical services</w:t>
            </w:r>
          </w:p>
        </w:tc>
        <w:tc>
          <w:tcPr>
            <w:tcW w:w="2320" w:type="dxa"/>
            <w:tcBorders>
              <w:top w:val="nil"/>
              <w:left w:val="nil"/>
              <w:bottom w:val="nil"/>
              <w:right w:val="nil"/>
            </w:tcBorders>
            <w:shd w:val="clear" w:color="auto" w:fill="auto"/>
            <w:noWrap/>
            <w:vAlign w:val="bottom"/>
            <w:hideMark/>
          </w:tcPr>
          <w:p w14:paraId="4EF1671E" w14:textId="77777777" w:rsidR="00F95C29" w:rsidRPr="00F95C29" w:rsidRDefault="00F95C29" w:rsidP="00F95C29">
            <w:pPr>
              <w:spacing w:after="0"/>
              <w:jc w:val="right"/>
              <w:rPr>
                <w:rFonts w:ascii="Cambria" w:eastAsia="Times New Roman" w:hAnsi="Cambria" w:cs="Times New Roman"/>
                <w:color w:val="000000"/>
                <w:sz w:val="20"/>
                <w:szCs w:val="20"/>
              </w:rPr>
            </w:pPr>
            <w:r w:rsidRPr="00F95C29">
              <w:rPr>
                <w:rFonts w:ascii="Cambria" w:eastAsia="Times New Roman" w:hAnsi="Cambria" w:cs="Times New Roman"/>
                <w:color w:val="000000"/>
                <w:sz w:val="20"/>
                <w:szCs w:val="20"/>
              </w:rPr>
              <w:t>16.7</w:t>
            </w:r>
          </w:p>
        </w:tc>
      </w:tr>
      <w:tr w:rsidR="00F95C29" w:rsidRPr="00F95C29" w14:paraId="2EB7E3A3" w14:textId="77777777" w:rsidTr="0036006E">
        <w:trPr>
          <w:trHeight w:val="300"/>
          <w:jc w:val="center"/>
        </w:trPr>
        <w:tc>
          <w:tcPr>
            <w:tcW w:w="4680" w:type="dxa"/>
            <w:tcBorders>
              <w:top w:val="nil"/>
              <w:left w:val="nil"/>
              <w:bottom w:val="nil"/>
              <w:right w:val="nil"/>
            </w:tcBorders>
            <w:shd w:val="clear" w:color="auto" w:fill="auto"/>
            <w:noWrap/>
            <w:vAlign w:val="bottom"/>
            <w:hideMark/>
          </w:tcPr>
          <w:p w14:paraId="1012873C" w14:textId="77777777" w:rsidR="00F95C29" w:rsidRPr="00F95C29" w:rsidRDefault="00F95C29" w:rsidP="00F95C29">
            <w:pPr>
              <w:spacing w:after="0"/>
              <w:jc w:val="left"/>
              <w:rPr>
                <w:rFonts w:ascii="Cambria" w:eastAsia="Times New Roman" w:hAnsi="Cambria" w:cs="Times New Roman"/>
                <w:color w:val="000000"/>
                <w:sz w:val="20"/>
                <w:szCs w:val="20"/>
              </w:rPr>
            </w:pPr>
            <w:r w:rsidRPr="00F95C29">
              <w:rPr>
                <w:rFonts w:ascii="Cambria" w:eastAsia="Times New Roman" w:hAnsi="Cambria" w:cs="Times New Roman"/>
                <w:color w:val="000000"/>
                <w:sz w:val="20"/>
                <w:szCs w:val="20"/>
              </w:rPr>
              <w:t>Access to justice services</w:t>
            </w:r>
          </w:p>
        </w:tc>
        <w:tc>
          <w:tcPr>
            <w:tcW w:w="2320" w:type="dxa"/>
            <w:tcBorders>
              <w:top w:val="nil"/>
              <w:left w:val="nil"/>
              <w:bottom w:val="nil"/>
              <w:right w:val="nil"/>
            </w:tcBorders>
            <w:shd w:val="clear" w:color="auto" w:fill="auto"/>
            <w:noWrap/>
            <w:vAlign w:val="bottom"/>
            <w:hideMark/>
          </w:tcPr>
          <w:p w14:paraId="31DAB754" w14:textId="77777777" w:rsidR="00F95C29" w:rsidRPr="00F95C29" w:rsidRDefault="00F95C29" w:rsidP="00F95C29">
            <w:pPr>
              <w:spacing w:after="0"/>
              <w:jc w:val="right"/>
              <w:rPr>
                <w:rFonts w:ascii="Cambria" w:eastAsia="Times New Roman" w:hAnsi="Cambria" w:cs="Times New Roman"/>
                <w:color w:val="000000"/>
                <w:sz w:val="20"/>
                <w:szCs w:val="20"/>
              </w:rPr>
            </w:pPr>
            <w:r w:rsidRPr="00F95C29">
              <w:rPr>
                <w:rFonts w:ascii="Cambria" w:eastAsia="Times New Roman" w:hAnsi="Cambria" w:cs="Times New Roman"/>
                <w:color w:val="000000"/>
                <w:sz w:val="20"/>
                <w:szCs w:val="20"/>
              </w:rPr>
              <w:t>29.3</w:t>
            </w:r>
          </w:p>
        </w:tc>
      </w:tr>
      <w:tr w:rsidR="00F95C29" w:rsidRPr="00F95C29" w14:paraId="5BF0A77E" w14:textId="77777777" w:rsidTr="0036006E">
        <w:trPr>
          <w:trHeight w:val="300"/>
          <w:jc w:val="center"/>
        </w:trPr>
        <w:tc>
          <w:tcPr>
            <w:tcW w:w="4680" w:type="dxa"/>
            <w:tcBorders>
              <w:top w:val="nil"/>
              <w:left w:val="nil"/>
              <w:bottom w:val="nil"/>
              <w:right w:val="nil"/>
            </w:tcBorders>
            <w:shd w:val="clear" w:color="auto" w:fill="auto"/>
            <w:noWrap/>
            <w:vAlign w:val="bottom"/>
            <w:hideMark/>
          </w:tcPr>
          <w:p w14:paraId="5FA4C10D" w14:textId="77777777" w:rsidR="00F95C29" w:rsidRPr="00F95C29" w:rsidRDefault="00F95C29" w:rsidP="00F95C29">
            <w:pPr>
              <w:spacing w:after="0"/>
              <w:jc w:val="left"/>
              <w:rPr>
                <w:rFonts w:ascii="Cambria" w:eastAsia="Times New Roman" w:hAnsi="Cambria" w:cs="Times New Roman"/>
                <w:color w:val="000000"/>
                <w:sz w:val="20"/>
                <w:szCs w:val="20"/>
              </w:rPr>
            </w:pPr>
            <w:r w:rsidRPr="00F95C29">
              <w:rPr>
                <w:rFonts w:ascii="Cambria" w:eastAsia="Times New Roman" w:hAnsi="Cambria" w:cs="Times New Roman"/>
                <w:color w:val="000000"/>
                <w:sz w:val="20"/>
                <w:szCs w:val="20"/>
              </w:rPr>
              <w:t>Access to documentation</w:t>
            </w:r>
          </w:p>
        </w:tc>
        <w:tc>
          <w:tcPr>
            <w:tcW w:w="2320" w:type="dxa"/>
            <w:tcBorders>
              <w:top w:val="nil"/>
              <w:left w:val="nil"/>
              <w:bottom w:val="nil"/>
              <w:right w:val="nil"/>
            </w:tcBorders>
            <w:shd w:val="clear" w:color="auto" w:fill="auto"/>
            <w:noWrap/>
            <w:vAlign w:val="bottom"/>
            <w:hideMark/>
          </w:tcPr>
          <w:p w14:paraId="4E8EEB96" w14:textId="77777777" w:rsidR="00F95C29" w:rsidRPr="00F95C29" w:rsidRDefault="00F95C29" w:rsidP="00F95C29">
            <w:pPr>
              <w:spacing w:after="0"/>
              <w:jc w:val="right"/>
              <w:rPr>
                <w:rFonts w:ascii="Cambria" w:eastAsia="Times New Roman" w:hAnsi="Cambria" w:cs="Times New Roman"/>
                <w:color w:val="000000"/>
                <w:sz w:val="20"/>
                <w:szCs w:val="20"/>
              </w:rPr>
            </w:pPr>
            <w:r w:rsidRPr="00F95C29">
              <w:rPr>
                <w:rFonts w:ascii="Cambria" w:eastAsia="Times New Roman" w:hAnsi="Cambria" w:cs="Times New Roman"/>
                <w:color w:val="000000"/>
                <w:sz w:val="20"/>
                <w:szCs w:val="20"/>
              </w:rPr>
              <w:t>83.6</w:t>
            </w:r>
          </w:p>
        </w:tc>
      </w:tr>
      <w:tr w:rsidR="00F95C29" w:rsidRPr="00F95C29" w14:paraId="6FF0A438" w14:textId="77777777" w:rsidTr="0036006E">
        <w:trPr>
          <w:trHeight w:val="300"/>
          <w:jc w:val="center"/>
        </w:trPr>
        <w:tc>
          <w:tcPr>
            <w:tcW w:w="4680" w:type="dxa"/>
            <w:tcBorders>
              <w:top w:val="nil"/>
              <w:left w:val="nil"/>
              <w:bottom w:val="single" w:sz="4" w:space="0" w:color="auto"/>
              <w:right w:val="nil"/>
            </w:tcBorders>
            <w:shd w:val="clear" w:color="auto" w:fill="auto"/>
            <w:noWrap/>
            <w:vAlign w:val="bottom"/>
            <w:hideMark/>
          </w:tcPr>
          <w:p w14:paraId="3A5669FC" w14:textId="77777777" w:rsidR="00F95C29" w:rsidRPr="00F95C29" w:rsidRDefault="00F95C29" w:rsidP="00F95C29">
            <w:pPr>
              <w:spacing w:after="0"/>
              <w:jc w:val="left"/>
              <w:rPr>
                <w:rFonts w:ascii="Cambria" w:eastAsia="Times New Roman" w:hAnsi="Cambria" w:cs="Times New Roman"/>
                <w:color w:val="000000"/>
                <w:sz w:val="20"/>
                <w:szCs w:val="20"/>
              </w:rPr>
            </w:pPr>
            <w:r w:rsidRPr="00F95C29">
              <w:rPr>
                <w:rFonts w:ascii="Cambria" w:eastAsia="Times New Roman" w:hAnsi="Cambria" w:cs="Times New Roman"/>
                <w:color w:val="000000"/>
                <w:sz w:val="20"/>
                <w:szCs w:val="20"/>
              </w:rPr>
              <w:t>Do you consider yourself locally integrated</w:t>
            </w:r>
          </w:p>
        </w:tc>
        <w:tc>
          <w:tcPr>
            <w:tcW w:w="2320" w:type="dxa"/>
            <w:tcBorders>
              <w:top w:val="nil"/>
              <w:left w:val="nil"/>
              <w:bottom w:val="single" w:sz="4" w:space="0" w:color="auto"/>
              <w:right w:val="nil"/>
            </w:tcBorders>
            <w:shd w:val="clear" w:color="auto" w:fill="auto"/>
            <w:noWrap/>
            <w:vAlign w:val="bottom"/>
            <w:hideMark/>
          </w:tcPr>
          <w:p w14:paraId="202CC0E4" w14:textId="77777777" w:rsidR="00F95C29" w:rsidRPr="00F95C29" w:rsidRDefault="00F95C29" w:rsidP="00F95C29">
            <w:pPr>
              <w:spacing w:after="0"/>
              <w:jc w:val="right"/>
              <w:rPr>
                <w:rFonts w:ascii="Cambria" w:eastAsia="Times New Roman" w:hAnsi="Cambria" w:cs="Times New Roman"/>
                <w:color w:val="000000"/>
                <w:sz w:val="20"/>
                <w:szCs w:val="20"/>
              </w:rPr>
            </w:pPr>
            <w:r w:rsidRPr="00F95C29">
              <w:rPr>
                <w:rFonts w:ascii="Cambria" w:eastAsia="Times New Roman" w:hAnsi="Cambria" w:cs="Times New Roman"/>
                <w:color w:val="000000"/>
                <w:sz w:val="20"/>
                <w:szCs w:val="20"/>
              </w:rPr>
              <w:t>57.3</w:t>
            </w:r>
          </w:p>
        </w:tc>
      </w:tr>
      <w:tr w:rsidR="00F95C29" w:rsidRPr="00F95C29" w14:paraId="2866E317" w14:textId="77777777" w:rsidTr="0036006E">
        <w:trPr>
          <w:trHeight w:val="300"/>
          <w:jc w:val="center"/>
        </w:trPr>
        <w:tc>
          <w:tcPr>
            <w:tcW w:w="4680" w:type="dxa"/>
            <w:tcBorders>
              <w:top w:val="nil"/>
              <w:left w:val="nil"/>
              <w:bottom w:val="nil"/>
              <w:right w:val="nil"/>
            </w:tcBorders>
            <w:shd w:val="clear" w:color="auto" w:fill="auto"/>
            <w:noWrap/>
            <w:vAlign w:val="bottom"/>
            <w:hideMark/>
          </w:tcPr>
          <w:p w14:paraId="7DD8FDCA" w14:textId="77777777" w:rsidR="00F95C29" w:rsidRPr="00F95C29" w:rsidRDefault="00F95C29" w:rsidP="00F95C29">
            <w:pPr>
              <w:spacing w:after="0"/>
              <w:jc w:val="left"/>
              <w:rPr>
                <w:rFonts w:ascii="Cambria" w:eastAsia="Times New Roman" w:hAnsi="Cambria" w:cs="Times New Roman"/>
                <w:color w:val="000000"/>
                <w:sz w:val="20"/>
                <w:szCs w:val="20"/>
              </w:rPr>
            </w:pPr>
            <w:r w:rsidRPr="00F95C29">
              <w:rPr>
                <w:rFonts w:ascii="Cambria" w:eastAsia="Times New Roman" w:hAnsi="Cambria" w:cs="Times New Roman"/>
                <w:i/>
                <w:iCs/>
                <w:color w:val="000000"/>
                <w:sz w:val="20"/>
                <w:szCs w:val="20"/>
              </w:rPr>
              <w:t>Source</w:t>
            </w:r>
            <w:r w:rsidRPr="00F95C29">
              <w:rPr>
                <w:rFonts w:ascii="Cambria" w:eastAsia="Times New Roman" w:hAnsi="Cambria" w:cs="Times New Roman"/>
                <w:color w:val="000000"/>
                <w:sz w:val="20"/>
                <w:szCs w:val="20"/>
              </w:rPr>
              <w:t>: UNHCR (2015)</w:t>
            </w:r>
          </w:p>
        </w:tc>
        <w:tc>
          <w:tcPr>
            <w:tcW w:w="2320" w:type="dxa"/>
            <w:tcBorders>
              <w:top w:val="nil"/>
              <w:left w:val="nil"/>
              <w:bottom w:val="nil"/>
              <w:right w:val="nil"/>
            </w:tcBorders>
            <w:shd w:val="clear" w:color="auto" w:fill="auto"/>
            <w:noWrap/>
            <w:vAlign w:val="bottom"/>
            <w:hideMark/>
          </w:tcPr>
          <w:p w14:paraId="088D1B8F" w14:textId="77777777" w:rsidR="00F95C29" w:rsidRPr="00F95C29" w:rsidRDefault="00F95C29" w:rsidP="00F95C29">
            <w:pPr>
              <w:spacing w:after="0"/>
              <w:jc w:val="left"/>
              <w:rPr>
                <w:rFonts w:ascii="Cambria" w:eastAsia="Times New Roman" w:hAnsi="Cambria" w:cs="Times New Roman"/>
                <w:color w:val="000000"/>
                <w:sz w:val="20"/>
                <w:szCs w:val="20"/>
              </w:rPr>
            </w:pPr>
          </w:p>
        </w:tc>
      </w:tr>
    </w:tbl>
    <w:p w14:paraId="139C2C2B" w14:textId="708E2472" w:rsidR="002C36AA" w:rsidRPr="00AD0400" w:rsidRDefault="002C36AA" w:rsidP="002C36AA">
      <w:pPr>
        <w:pStyle w:val="ListParagraph"/>
        <w:jc w:val="center"/>
        <w:rPr>
          <w:bCs/>
        </w:rPr>
      </w:pPr>
    </w:p>
    <w:p w14:paraId="69572AAF" w14:textId="77777777" w:rsidR="002C36AA" w:rsidRPr="00AD0400" w:rsidRDefault="002C36AA" w:rsidP="002C36AA">
      <w:pPr>
        <w:pStyle w:val="ListParagraph"/>
        <w:jc w:val="center"/>
        <w:rPr>
          <w:bCs/>
        </w:rPr>
      </w:pPr>
    </w:p>
    <w:p w14:paraId="500D7D33" w14:textId="77777777" w:rsidR="002C36AA" w:rsidRPr="00AD0400" w:rsidRDefault="002C36AA" w:rsidP="002C36AA">
      <w:pPr>
        <w:rPr>
          <w:bCs/>
          <w:i/>
        </w:rPr>
      </w:pPr>
      <w:r w:rsidRPr="00AD0400">
        <w:rPr>
          <w:bCs/>
          <w:i/>
        </w:rPr>
        <w:t>Dwelling and living conditions</w:t>
      </w:r>
    </w:p>
    <w:p w14:paraId="3088F082" w14:textId="77777777" w:rsidR="002C36AA" w:rsidRPr="00AD0400" w:rsidRDefault="002C36AA" w:rsidP="002C36AA">
      <w:pPr>
        <w:rPr>
          <w:bCs/>
          <w:i/>
        </w:rPr>
      </w:pPr>
    </w:p>
    <w:p w14:paraId="107F830C" w14:textId="5D6F71ED" w:rsidR="002C36AA" w:rsidRPr="00AD0400" w:rsidRDefault="002C36AA" w:rsidP="002C36AA">
      <w:pPr>
        <w:pStyle w:val="ListParagraph"/>
        <w:numPr>
          <w:ilvl w:val="0"/>
          <w:numId w:val="29"/>
        </w:numPr>
        <w:spacing w:after="160" w:line="259" w:lineRule="auto"/>
        <w:rPr>
          <w:bCs/>
        </w:rPr>
      </w:pPr>
      <w:r w:rsidRPr="00AD0400">
        <w:rPr>
          <w:bCs/>
        </w:rPr>
        <w:t>Although for the rest of the population the material of their dwelling’s floor is mainly wood, most of the IDPs (39.8%) have floors of parquet, and the proportion that has wood floors is half the proportion of the rest of the population. A non</w:t>
      </w:r>
      <w:r w:rsidR="00A94728">
        <w:rPr>
          <w:bCs/>
        </w:rPr>
        <w:t>-</w:t>
      </w:r>
      <w:r w:rsidRPr="00AD0400">
        <w:rPr>
          <w:bCs/>
        </w:rPr>
        <w:t xml:space="preserve">negligible percentage of the population (14.9%) has laminated floors. </w:t>
      </w:r>
    </w:p>
    <w:p w14:paraId="06D31258" w14:textId="77777777" w:rsidR="002C36AA" w:rsidRPr="00AD0400" w:rsidRDefault="002C36AA" w:rsidP="002C36AA">
      <w:pPr>
        <w:pStyle w:val="ListParagraph"/>
        <w:ind w:left="360"/>
        <w:rPr>
          <w:bCs/>
        </w:rPr>
      </w:pPr>
    </w:p>
    <w:p w14:paraId="6A73692C" w14:textId="77777777" w:rsidR="002C36AA" w:rsidRPr="00AD0400" w:rsidRDefault="002C36AA" w:rsidP="002C36AA">
      <w:pPr>
        <w:pStyle w:val="ListParagraph"/>
        <w:numPr>
          <w:ilvl w:val="0"/>
          <w:numId w:val="29"/>
        </w:numPr>
        <w:spacing w:after="160" w:line="259" w:lineRule="auto"/>
        <w:rPr>
          <w:bCs/>
        </w:rPr>
      </w:pPr>
      <w:r w:rsidRPr="00AD0400">
        <w:rPr>
          <w:bCs/>
        </w:rPr>
        <w:lastRenderedPageBreak/>
        <w:t>Again most of the rest of the population has their dwelling’s walls made of brick, block and stone (66.3%), and some others made of concrete slabs (22.97%); while the proportion of IDPs with walls made of brick, block and stone is only 44.6% and the proportion with concrete slabs walls is almost double the one of non IDPs, 42.9%.</w:t>
      </w:r>
    </w:p>
    <w:p w14:paraId="6896A775" w14:textId="77777777" w:rsidR="002C36AA" w:rsidRPr="00AD0400" w:rsidRDefault="002C36AA" w:rsidP="002C36AA">
      <w:pPr>
        <w:pStyle w:val="ListParagraph"/>
        <w:ind w:left="360"/>
        <w:rPr>
          <w:bCs/>
        </w:rPr>
      </w:pPr>
    </w:p>
    <w:p w14:paraId="76A3119C" w14:textId="77777777" w:rsidR="002C36AA" w:rsidRPr="00AD0400" w:rsidRDefault="002C36AA" w:rsidP="002C36AA">
      <w:pPr>
        <w:pStyle w:val="ListParagraph"/>
        <w:numPr>
          <w:ilvl w:val="0"/>
          <w:numId w:val="29"/>
        </w:numPr>
        <w:spacing w:after="160" w:line="259" w:lineRule="auto"/>
        <w:rPr>
          <w:bCs/>
        </w:rPr>
      </w:pPr>
      <w:r w:rsidRPr="00AD0400">
        <w:rPr>
          <w:bCs/>
        </w:rPr>
        <w:t xml:space="preserve">The majority of non IDPs has their ceilings made of tin and schist or tile (36.1% and 38.9%, respectively); while the majority of IDPs (41.9%) have their ceilings made of concrete. </w:t>
      </w:r>
    </w:p>
    <w:p w14:paraId="68E79344" w14:textId="77777777" w:rsidR="002C36AA" w:rsidRPr="00AD0400" w:rsidRDefault="002C36AA" w:rsidP="002C36AA">
      <w:pPr>
        <w:pStyle w:val="ListParagraph"/>
        <w:ind w:left="360"/>
        <w:rPr>
          <w:bCs/>
        </w:rPr>
      </w:pPr>
    </w:p>
    <w:p w14:paraId="170992D0" w14:textId="77777777" w:rsidR="002C36AA" w:rsidRPr="00AD0400" w:rsidRDefault="002C36AA" w:rsidP="002C36AA">
      <w:pPr>
        <w:pStyle w:val="ListParagraph"/>
        <w:numPr>
          <w:ilvl w:val="0"/>
          <w:numId w:val="29"/>
        </w:numPr>
        <w:spacing w:after="160" w:line="259" w:lineRule="auto"/>
        <w:rPr>
          <w:bCs/>
        </w:rPr>
      </w:pPr>
      <w:r w:rsidRPr="00AD0400">
        <w:rPr>
          <w:bCs/>
        </w:rPr>
        <w:t>94% of the rest of the population owns their houses, while only 43.4% of IDPs own their houses. Instead, 50.2% use the houses they live in without payment. And considering only the information on the UNDP survey for 2011, the proportion of IDPs that use a property without payment is as high as 70.4% and only 27.3% own their houses.</w:t>
      </w:r>
    </w:p>
    <w:p w14:paraId="6551F9BF" w14:textId="77777777" w:rsidR="002C36AA" w:rsidRPr="00AD0400" w:rsidRDefault="002C36AA" w:rsidP="002C36AA">
      <w:pPr>
        <w:rPr>
          <w:bCs/>
        </w:rPr>
      </w:pPr>
    </w:p>
    <w:p w14:paraId="14E6F978" w14:textId="77777777" w:rsidR="002C36AA" w:rsidRPr="00AD0400" w:rsidRDefault="002C36AA" w:rsidP="002C36AA">
      <w:pPr>
        <w:jc w:val="center"/>
        <w:rPr>
          <w:bCs/>
        </w:rPr>
      </w:pPr>
      <w:r w:rsidRPr="00AD0400">
        <w:rPr>
          <w:bCs/>
          <w:noProof/>
        </w:rPr>
        <w:drawing>
          <wp:inline distT="0" distB="0" distL="0" distR="0" wp14:anchorId="15C72E4A" wp14:editId="15477F2A">
            <wp:extent cx="5248275" cy="4581525"/>
            <wp:effectExtent l="19050" t="0" r="9525" b="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srcRect/>
                    <a:stretch>
                      <a:fillRect/>
                    </a:stretch>
                  </pic:blipFill>
                  <pic:spPr bwMode="auto">
                    <a:xfrm>
                      <a:off x="0" y="0"/>
                      <a:ext cx="5248275" cy="4581525"/>
                    </a:xfrm>
                    <a:prstGeom prst="rect">
                      <a:avLst/>
                    </a:prstGeom>
                    <a:noFill/>
                    <a:ln w="9525">
                      <a:noFill/>
                      <a:miter lim="800000"/>
                      <a:headEnd/>
                      <a:tailEnd/>
                    </a:ln>
                  </pic:spPr>
                </pic:pic>
              </a:graphicData>
            </a:graphic>
          </wp:inline>
        </w:drawing>
      </w:r>
    </w:p>
    <w:p w14:paraId="7BFD2557" w14:textId="77777777" w:rsidR="002C36AA" w:rsidRPr="00AD0400" w:rsidRDefault="002C36AA" w:rsidP="002C36AA">
      <w:pPr>
        <w:rPr>
          <w:bCs/>
        </w:rPr>
      </w:pPr>
    </w:p>
    <w:p w14:paraId="222CBBF3" w14:textId="2D2678AA" w:rsidR="00CB0295" w:rsidRPr="00AD0400" w:rsidRDefault="002C36AA" w:rsidP="0036006E">
      <w:pPr>
        <w:pStyle w:val="ListParagraph"/>
        <w:numPr>
          <w:ilvl w:val="0"/>
          <w:numId w:val="29"/>
        </w:numPr>
        <w:spacing w:after="160" w:line="259" w:lineRule="auto"/>
      </w:pPr>
      <w:r w:rsidRPr="00AD0400">
        <w:rPr>
          <w:bCs/>
        </w:rPr>
        <w:t>A</w:t>
      </w:r>
      <w:r w:rsidR="000A3B3E">
        <w:rPr>
          <w:bCs/>
        </w:rPr>
        <w:t>ccording to the UNHCR survey, 38.2</w:t>
      </w:r>
      <w:r w:rsidRPr="00AD0400">
        <w:rPr>
          <w:bCs/>
        </w:rPr>
        <w:t>% of IDPs</w:t>
      </w:r>
      <w:r w:rsidR="000A3B3E">
        <w:rPr>
          <w:bCs/>
        </w:rPr>
        <w:t xml:space="preserve"> live in a collective center. 21.5</w:t>
      </w:r>
      <w:r w:rsidRPr="00AD0400">
        <w:rPr>
          <w:bCs/>
        </w:rPr>
        <w:t>% of them live in a non-rehabilitated collective center, whi</w:t>
      </w:r>
      <w:r w:rsidR="000A3B3E">
        <w:rPr>
          <w:bCs/>
        </w:rPr>
        <w:t>le 1</w:t>
      </w:r>
      <w:r w:rsidRPr="00AD0400">
        <w:rPr>
          <w:bCs/>
        </w:rPr>
        <w:t>6</w:t>
      </w:r>
      <w:r w:rsidR="000A3B3E">
        <w:rPr>
          <w:bCs/>
        </w:rPr>
        <w:t>.7</w:t>
      </w:r>
      <w:r w:rsidRPr="00AD0400">
        <w:rPr>
          <w:bCs/>
        </w:rPr>
        <w:t>% live in a rehabilita</w:t>
      </w:r>
      <w:r w:rsidR="000A3B3E">
        <w:rPr>
          <w:bCs/>
        </w:rPr>
        <w:t>ted collective center. Only 19.9% own their housing</w:t>
      </w:r>
      <w:r w:rsidRPr="00AD0400">
        <w:rPr>
          <w:bCs/>
        </w:rPr>
        <w:t>. Also, non</w:t>
      </w:r>
      <w:r w:rsidR="00A94728">
        <w:rPr>
          <w:bCs/>
        </w:rPr>
        <w:t>-</w:t>
      </w:r>
      <w:r w:rsidRPr="00AD0400">
        <w:rPr>
          <w:bCs/>
        </w:rPr>
        <w:t>negligible proportions of IDPs live in cottage settlements or live with relatives.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90"/>
        <w:gridCol w:w="1170"/>
      </w:tblGrid>
      <w:tr w:rsidR="00CB0295" w:rsidRPr="00F95C03" w14:paraId="295FD88D" w14:textId="77777777" w:rsidTr="00BF7735">
        <w:trPr>
          <w:trHeight w:val="80"/>
          <w:jc w:val="center"/>
        </w:trPr>
        <w:tc>
          <w:tcPr>
            <w:tcW w:w="4860" w:type="dxa"/>
            <w:gridSpan w:val="2"/>
          </w:tcPr>
          <w:p w14:paraId="29332003" w14:textId="25438AC9" w:rsidR="00CB0295" w:rsidRPr="00F95C03" w:rsidRDefault="00CB0295" w:rsidP="00BF7735">
            <w:pPr>
              <w:jc w:val="left"/>
              <w:rPr>
                <w:rFonts w:ascii="Cambria" w:hAnsi="Cambria"/>
                <w:b/>
                <w:sz w:val="20"/>
                <w:szCs w:val="20"/>
              </w:rPr>
            </w:pPr>
            <w:r>
              <w:rPr>
                <w:rFonts w:ascii="Cambria" w:hAnsi="Cambria"/>
                <w:b/>
                <w:sz w:val="20"/>
                <w:szCs w:val="20"/>
              </w:rPr>
              <w:lastRenderedPageBreak/>
              <w:t>Types of Dwelling of IDPs</w:t>
            </w:r>
          </w:p>
        </w:tc>
      </w:tr>
      <w:tr w:rsidR="00CB0295" w:rsidRPr="00F95C03" w14:paraId="053B951A" w14:textId="77777777" w:rsidTr="00BF7735">
        <w:trPr>
          <w:jc w:val="center"/>
        </w:trPr>
        <w:tc>
          <w:tcPr>
            <w:tcW w:w="3690" w:type="dxa"/>
          </w:tcPr>
          <w:p w14:paraId="5D035B4F" w14:textId="77777777" w:rsidR="00CB0295" w:rsidRPr="00AD0D45" w:rsidRDefault="00CB0295" w:rsidP="00BF7735">
            <w:pPr>
              <w:spacing w:after="0"/>
              <w:jc w:val="left"/>
              <w:rPr>
                <w:rFonts w:ascii="Cambria" w:hAnsi="Cambria"/>
                <w:sz w:val="20"/>
                <w:szCs w:val="20"/>
              </w:rPr>
            </w:pPr>
            <w:r w:rsidRPr="00AD0D45">
              <w:rPr>
                <w:rFonts w:ascii="Cambria" w:hAnsi="Cambria"/>
                <w:sz w:val="20"/>
                <w:szCs w:val="20"/>
              </w:rPr>
              <w:t>Collective Center (non-rehabilitated)</w:t>
            </w:r>
          </w:p>
        </w:tc>
        <w:tc>
          <w:tcPr>
            <w:tcW w:w="1170" w:type="dxa"/>
          </w:tcPr>
          <w:p w14:paraId="64D2C77B" w14:textId="77777777" w:rsidR="00CB0295" w:rsidRPr="00F95C03" w:rsidRDefault="00CB0295" w:rsidP="00BF7735">
            <w:pPr>
              <w:spacing w:after="0"/>
              <w:rPr>
                <w:rFonts w:ascii="Cambria" w:hAnsi="Cambria"/>
                <w:sz w:val="20"/>
                <w:szCs w:val="20"/>
              </w:rPr>
            </w:pPr>
            <w:r>
              <w:rPr>
                <w:rFonts w:ascii="Cambria" w:hAnsi="Cambria"/>
                <w:sz w:val="20"/>
                <w:szCs w:val="20"/>
              </w:rPr>
              <w:t>21.5</w:t>
            </w:r>
          </w:p>
        </w:tc>
      </w:tr>
      <w:tr w:rsidR="00CB0295" w:rsidRPr="00F95C03" w14:paraId="204C617A" w14:textId="77777777" w:rsidTr="00BF7735">
        <w:trPr>
          <w:jc w:val="center"/>
        </w:trPr>
        <w:tc>
          <w:tcPr>
            <w:tcW w:w="3690" w:type="dxa"/>
          </w:tcPr>
          <w:p w14:paraId="59D3AAA2" w14:textId="77777777" w:rsidR="00CB0295" w:rsidRPr="00AD0D45" w:rsidRDefault="00CB0295" w:rsidP="00BF7735">
            <w:pPr>
              <w:spacing w:after="0"/>
              <w:jc w:val="left"/>
              <w:rPr>
                <w:rFonts w:ascii="Cambria" w:hAnsi="Cambria"/>
                <w:sz w:val="20"/>
                <w:szCs w:val="20"/>
              </w:rPr>
            </w:pPr>
            <w:r w:rsidRPr="00AD0D45">
              <w:rPr>
                <w:rFonts w:ascii="Cambria" w:hAnsi="Cambria"/>
                <w:sz w:val="20"/>
                <w:szCs w:val="20"/>
              </w:rPr>
              <w:t>Collective Center (rehabilitated)</w:t>
            </w:r>
          </w:p>
        </w:tc>
        <w:tc>
          <w:tcPr>
            <w:tcW w:w="1170" w:type="dxa"/>
          </w:tcPr>
          <w:p w14:paraId="2845FECA" w14:textId="77777777" w:rsidR="00CB0295" w:rsidRPr="00F95C03" w:rsidRDefault="00CB0295" w:rsidP="00BF7735">
            <w:pPr>
              <w:spacing w:after="0"/>
              <w:rPr>
                <w:rFonts w:ascii="Cambria" w:hAnsi="Cambria"/>
                <w:sz w:val="20"/>
                <w:szCs w:val="20"/>
              </w:rPr>
            </w:pPr>
            <w:r>
              <w:rPr>
                <w:rFonts w:ascii="Cambria" w:hAnsi="Cambria"/>
                <w:sz w:val="20"/>
                <w:szCs w:val="20"/>
              </w:rPr>
              <w:t>16.7</w:t>
            </w:r>
          </w:p>
        </w:tc>
      </w:tr>
      <w:tr w:rsidR="00CB0295" w:rsidRPr="00F95C03" w14:paraId="1BD31394" w14:textId="77777777" w:rsidTr="00BF7735">
        <w:trPr>
          <w:jc w:val="center"/>
        </w:trPr>
        <w:tc>
          <w:tcPr>
            <w:tcW w:w="3690" w:type="dxa"/>
          </w:tcPr>
          <w:p w14:paraId="2D4453D9" w14:textId="77777777" w:rsidR="00CB0295" w:rsidRPr="00AD0D45" w:rsidRDefault="00CB0295" w:rsidP="00BF7735">
            <w:pPr>
              <w:spacing w:after="0"/>
              <w:jc w:val="left"/>
              <w:rPr>
                <w:rFonts w:ascii="Cambria" w:hAnsi="Cambria"/>
                <w:sz w:val="20"/>
                <w:szCs w:val="20"/>
              </w:rPr>
            </w:pPr>
            <w:r w:rsidRPr="00AD0D45">
              <w:rPr>
                <w:rFonts w:ascii="Cambria" w:hAnsi="Cambria"/>
                <w:sz w:val="20"/>
                <w:szCs w:val="20"/>
              </w:rPr>
              <w:t>Cottage Settlement</w:t>
            </w:r>
          </w:p>
        </w:tc>
        <w:tc>
          <w:tcPr>
            <w:tcW w:w="1170" w:type="dxa"/>
          </w:tcPr>
          <w:p w14:paraId="31516D19" w14:textId="77777777" w:rsidR="00CB0295" w:rsidRPr="00F95C03" w:rsidRDefault="00CB0295" w:rsidP="00BF7735">
            <w:pPr>
              <w:spacing w:after="0"/>
              <w:rPr>
                <w:rFonts w:ascii="Cambria" w:hAnsi="Cambria"/>
                <w:sz w:val="20"/>
                <w:szCs w:val="20"/>
              </w:rPr>
            </w:pPr>
            <w:r>
              <w:rPr>
                <w:rFonts w:ascii="Cambria" w:hAnsi="Cambria"/>
                <w:sz w:val="20"/>
                <w:szCs w:val="20"/>
              </w:rPr>
              <w:t>11.4</w:t>
            </w:r>
          </w:p>
        </w:tc>
      </w:tr>
      <w:tr w:rsidR="00CB0295" w:rsidRPr="00F95C03" w14:paraId="5E16B316" w14:textId="77777777" w:rsidTr="00BF7735">
        <w:trPr>
          <w:jc w:val="center"/>
        </w:trPr>
        <w:tc>
          <w:tcPr>
            <w:tcW w:w="3690" w:type="dxa"/>
          </w:tcPr>
          <w:p w14:paraId="0BA2D0C9" w14:textId="77777777" w:rsidR="00CB0295" w:rsidRPr="00AD0D45" w:rsidRDefault="00CB0295" w:rsidP="00BF7735">
            <w:pPr>
              <w:spacing w:after="0"/>
              <w:jc w:val="left"/>
              <w:rPr>
                <w:rFonts w:ascii="Cambria" w:hAnsi="Cambria"/>
                <w:sz w:val="20"/>
                <w:szCs w:val="20"/>
              </w:rPr>
            </w:pPr>
            <w:r w:rsidRPr="00AD0D45">
              <w:rPr>
                <w:rFonts w:ascii="Cambria" w:hAnsi="Cambria"/>
                <w:sz w:val="20"/>
                <w:szCs w:val="20"/>
              </w:rPr>
              <w:t>New Buildings</w:t>
            </w:r>
          </w:p>
        </w:tc>
        <w:tc>
          <w:tcPr>
            <w:tcW w:w="1170" w:type="dxa"/>
          </w:tcPr>
          <w:p w14:paraId="00307575" w14:textId="77777777" w:rsidR="00CB0295" w:rsidRPr="00F95C03" w:rsidRDefault="00CB0295" w:rsidP="00BF7735">
            <w:pPr>
              <w:spacing w:after="0"/>
              <w:rPr>
                <w:rFonts w:ascii="Cambria" w:hAnsi="Cambria"/>
                <w:sz w:val="20"/>
                <w:szCs w:val="20"/>
              </w:rPr>
            </w:pPr>
            <w:r>
              <w:rPr>
                <w:rFonts w:ascii="Cambria" w:hAnsi="Cambria"/>
                <w:sz w:val="20"/>
                <w:szCs w:val="20"/>
              </w:rPr>
              <w:t>10.5</w:t>
            </w:r>
          </w:p>
        </w:tc>
      </w:tr>
      <w:tr w:rsidR="00CB0295" w:rsidRPr="00F95C03" w14:paraId="7D4CE4A7" w14:textId="77777777" w:rsidTr="00BF7735">
        <w:trPr>
          <w:trHeight w:val="305"/>
          <w:jc w:val="center"/>
        </w:trPr>
        <w:tc>
          <w:tcPr>
            <w:tcW w:w="3690" w:type="dxa"/>
          </w:tcPr>
          <w:p w14:paraId="27E14BEE" w14:textId="77777777" w:rsidR="00CB0295" w:rsidRPr="00AD0D45" w:rsidRDefault="00CB0295" w:rsidP="00BF7735">
            <w:pPr>
              <w:spacing w:after="0"/>
              <w:jc w:val="left"/>
              <w:rPr>
                <w:rFonts w:ascii="Cambria" w:hAnsi="Cambria"/>
                <w:sz w:val="20"/>
                <w:szCs w:val="20"/>
              </w:rPr>
            </w:pPr>
            <w:r w:rsidRPr="00AD0D45">
              <w:rPr>
                <w:rFonts w:ascii="Cambria" w:hAnsi="Cambria"/>
                <w:sz w:val="20"/>
                <w:szCs w:val="20"/>
              </w:rPr>
              <w:t>Private Housing</w:t>
            </w:r>
          </w:p>
          <w:p w14:paraId="092AB1C5" w14:textId="77777777" w:rsidR="00CB0295" w:rsidRPr="00AD0D45" w:rsidRDefault="00CB0295" w:rsidP="00BF7735">
            <w:pPr>
              <w:spacing w:after="0"/>
              <w:jc w:val="left"/>
              <w:rPr>
                <w:rFonts w:ascii="Cambria" w:hAnsi="Cambria"/>
                <w:sz w:val="20"/>
                <w:szCs w:val="20"/>
              </w:rPr>
            </w:pPr>
            <w:r w:rsidRPr="00AD0D45">
              <w:rPr>
                <w:rFonts w:ascii="Cambria" w:hAnsi="Cambria"/>
                <w:sz w:val="20"/>
                <w:szCs w:val="20"/>
              </w:rPr>
              <w:t xml:space="preserve">of which: </w:t>
            </w:r>
          </w:p>
        </w:tc>
        <w:tc>
          <w:tcPr>
            <w:tcW w:w="1170" w:type="dxa"/>
          </w:tcPr>
          <w:p w14:paraId="45F290E8" w14:textId="77777777" w:rsidR="00CB0295" w:rsidRPr="00F95C03" w:rsidRDefault="00CB0295" w:rsidP="00BF7735">
            <w:pPr>
              <w:spacing w:after="0"/>
              <w:rPr>
                <w:rFonts w:ascii="Cambria" w:hAnsi="Cambria"/>
                <w:sz w:val="20"/>
                <w:szCs w:val="20"/>
              </w:rPr>
            </w:pPr>
            <w:r>
              <w:rPr>
                <w:rFonts w:ascii="Cambria" w:hAnsi="Cambria"/>
                <w:sz w:val="20"/>
                <w:szCs w:val="20"/>
              </w:rPr>
              <w:t>39.3</w:t>
            </w:r>
          </w:p>
          <w:p w14:paraId="05ADF2EB" w14:textId="77777777" w:rsidR="00CB0295" w:rsidRPr="00F95C03" w:rsidRDefault="00CB0295" w:rsidP="00BF7735">
            <w:pPr>
              <w:spacing w:after="0"/>
              <w:rPr>
                <w:rFonts w:ascii="Cambria" w:hAnsi="Cambria"/>
                <w:sz w:val="20"/>
                <w:szCs w:val="20"/>
              </w:rPr>
            </w:pPr>
            <w:r>
              <w:rPr>
                <w:rFonts w:ascii="Cambria" w:hAnsi="Cambria"/>
                <w:sz w:val="20"/>
                <w:szCs w:val="20"/>
              </w:rPr>
              <w:t xml:space="preserve"> </w:t>
            </w:r>
          </w:p>
        </w:tc>
      </w:tr>
      <w:tr w:rsidR="00CB0295" w:rsidRPr="00F95C03" w14:paraId="21BAE67F" w14:textId="77777777" w:rsidTr="00BF7735">
        <w:trPr>
          <w:trHeight w:val="260"/>
          <w:jc w:val="center"/>
        </w:trPr>
        <w:tc>
          <w:tcPr>
            <w:tcW w:w="3690" w:type="dxa"/>
          </w:tcPr>
          <w:p w14:paraId="09ECDF38" w14:textId="77777777" w:rsidR="00CB0295" w:rsidRPr="00AD0D45" w:rsidRDefault="00CB0295" w:rsidP="00BF7735">
            <w:pPr>
              <w:pStyle w:val="ListParagraph"/>
              <w:numPr>
                <w:ilvl w:val="0"/>
                <w:numId w:val="35"/>
              </w:numPr>
              <w:spacing w:after="0"/>
              <w:jc w:val="left"/>
              <w:rPr>
                <w:rFonts w:ascii="Cambria" w:hAnsi="Cambria"/>
                <w:sz w:val="20"/>
                <w:szCs w:val="20"/>
              </w:rPr>
            </w:pPr>
            <w:r w:rsidRPr="00AD0D45">
              <w:rPr>
                <w:rFonts w:ascii="Cambria" w:hAnsi="Cambria"/>
                <w:sz w:val="20"/>
                <w:szCs w:val="20"/>
              </w:rPr>
              <w:t>Owned</w:t>
            </w:r>
          </w:p>
        </w:tc>
        <w:tc>
          <w:tcPr>
            <w:tcW w:w="1170" w:type="dxa"/>
          </w:tcPr>
          <w:p w14:paraId="5F3C2742" w14:textId="77777777" w:rsidR="00CB0295" w:rsidRDefault="00CB0295" w:rsidP="00BF7735">
            <w:pPr>
              <w:spacing w:after="0"/>
              <w:jc w:val="left"/>
              <w:rPr>
                <w:rFonts w:ascii="Cambria" w:hAnsi="Cambria"/>
                <w:sz w:val="20"/>
                <w:szCs w:val="20"/>
              </w:rPr>
            </w:pPr>
            <w:r>
              <w:rPr>
                <w:rFonts w:ascii="Cambria" w:hAnsi="Cambria"/>
                <w:sz w:val="20"/>
                <w:szCs w:val="20"/>
              </w:rPr>
              <w:t>19.9</w:t>
            </w:r>
          </w:p>
        </w:tc>
      </w:tr>
      <w:tr w:rsidR="00CB0295" w:rsidRPr="00F95C03" w14:paraId="4EBC5965" w14:textId="77777777" w:rsidTr="00BF7735">
        <w:trPr>
          <w:trHeight w:val="260"/>
          <w:jc w:val="center"/>
        </w:trPr>
        <w:tc>
          <w:tcPr>
            <w:tcW w:w="3690" w:type="dxa"/>
          </w:tcPr>
          <w:p w14:paraId="1A294F9C" w14:textId="77777777" w:rsidR="00CB0295" w:rsidRPr="00AD0D45" w:rsidRDefault="00CB0295" w:rsidP="00BF7735">
            <w:pPr>
              <w:pStyle w:val="ListParagraph"/>
              <w:numPr>
                <w:ilvl w:val="0"/>
                <w:numId w:val="35"/>
              </w:numPr>
              <w:spacing w:after="0"/>
              <w:jc w:val="left"/>
              <w:rPr>
                <w:rFonts w:ascii="Cambria" w:hAnsi="Cambria"/>
                <w:sz w:val="20"/>
                <w:szCs w:val="20"/>
              </w:rPr>
            </w:pPr>
            <w:r w:rsidRPr="00AD0D45">
              <w:rPr>
                <w:rFonts w:ascii="Cambria" w:hAnsi="Cambria"/>
                <w:sz w:val="20"/>
                <w:szCs w:val="20"/>
              </w:rPr>
              <w:t>Rented</w:t>
            </w:r>
          </w:p>
        </w:tc>
        <w:tc>
          <w:tcPr>
            <w:tcW w:w="1170" w:type="dxa"/>
          </w:tcPr>
          <w:p w14:paraId="3DDFD35D" w14:textId="77777777" w:rsidR="00CB0295" w:rsidRDefault="00CB0295" w:rsidP="00BF7735">
            <w:pPr>
              <w:spacing w:after="0"/>
              <w:jc w:val="left"/>
              <w:rPr>
                <w:rFonts w:ascii="Cambria" w:hAnsi="Cambria"/>
                <w:sz w:val="20"/>
                <w:szCs w:val="20"/>
              </w:rPr>
            </w:pPr>
            <w:r>
              <w:rPr>
                <w:rFonts w:ascii="Cambria" w:hAnsi="Cambria"/>
                <w:sz w:val="20"/>
                <w:szCs w:val="20"/>
              </w:rPr>
              <w:t>4.4</w:t>
            </w:r>
          </w:p>
        </w:tc>
      </w:tr>
      <w:tr w:rsidR="00CB0295" w:rsidRPr="00F95C03" w14:paraId="6D4F4FDD" w14:textId="77777777" w:rsidTr="00BF7735">
        <w:trPr>
          <w:trHeight w:val="260"/>
          <w:jc w:val="center"/>
        </w:trPr>
        <w:tc>
          <w:tcPr>
            <w:tcW w:w="3690" w:type="dxa"/>
          </w:tcPr>
          <w:p w14:paraId="2ABE63E4" w14:textId="77777777" w:rsidR="00CB0295" w:rsidRPr="00AD0D45" w:rsidRDefault="00CB0295" w:rsidP="00BF7735">
            <w:pPr>
              <w:pStyle w:val="ListParagraph"/>
              <w:numPr>
                <w:ilvl w:val="0"/>
                <w:numId w:val="35"/>
              </w:numPr>
              <w:spacing w:after="0"/>
              <w:jc w:val="left"/>
              <w:rPr>
                <w:rFonts w:ascii="Cambria" w:hAnsi="Cambria"/>
                <w:sz w:val="20"/>
                <w:szCs w:val="20"/>
              </w:rPr>
            </w:pPr>
            <w:r w:rsidRPr="00AD0D45">
              <w:rPr>
                <w:rFonts w:ascii="Cambria" w:hAnsi="Cambria"/>
                <w:sz w:val="20"/>
                <w:szCs w:val="20"/>
              </w:rPr>
              <w:t>With relatives</w:t>
            </w:r>
          </w:p>
        </w:tc>
        <w:tc>
          <w:tcPr>
            <w:tcW w:w="1170" w:type="dxa"/>
          </w:tcPr>
          <w:p w14:paraId="650AE064" w14:textId="77777777" w:rsidR="00CB0295" w:rsidRDefault="00CB0295" w:rsidP="00BF7735">
            <w:pPr>
              <w:spacing w:after="0"/>
              <w:jc w:val="left"/>
              <w:rPr>
                <w:rFonts w:ascii="Cambria" w:hAnsi="Cambria"/>
                <w:sz w:val="20"/>
                <w:szCs w:val="20"/>
              </w:rPr>
            </w:pPr>
            <w:r>
              <w:rPr>
                <w:rFonts w:ascii="Cambria" w:hAnsi="Cambria"/>
                <w:sz w:val="20"/>
                <w:szCs w:val="20"/>
              </w:rPr>
              <w:t>9.7</w:t>
            </w:r>
          </w:p>
        </w:tc>
      </w:tr>
      <w:tr w:rsidR="00CB0295" w:rsidRPr="00F95C03" w14:paraId="6FBE37DB" w14:textId="77777777" w:rsidTr="00BF7735">
        <w:trPr>
          <w:trHeight w:val="260"/>
          <w:jc w:val="center"/>
        </w:trPr>
        <w:tc>
          <w:tcPr>
            <w:tcW w:w="3690" w:type="dxa"/>
          </w:tcPr>
          <w:p w14:paraId="16B7D4F0" w14:textId="77777777" w:rsidR="00CB0295" w:rsidRPr="00AD0D45" w:rsidRDefault="00CB0295" w:rsidP="00BF7735">
            <w:pPr>
              <w:pStyle w:val="ListParagraph"/>
              <w:numPr>
                <w:ilvl w:val="0"/>
                <w:numId w:val="35"/>
              </w:numPr>
              <w:spacing w:after="0"/>
              <w:jc w:val="left"/>
              <w:rPr>
                <w:rFonts w:ascii="Cambria" w:hAnsi="Cambria"/>
                <w:sz w:val="20"/>
                <w:szCs w:val="20"/>
              </w:rPr>
            </w:pPr>
            <w:r w:rsidRPr="00AD0D45">
              <w:rPr>
                <w:rFonts w:ascii="Cambria" w:hAnsi="Cambria"/>
                <w:sz w:val="20"/>
                <w:szCs w:val="20"/>
              </w:rPr>
              <w:t>Squatting</w:t>
            </w:r>
          </w:p>
        </w:tc>
        <w:tc>
          <w:tcPr>
            <w:tcW w:w="1170" w:type="dxa"/>
          </w:tcPr>
          <w:p w14:paraId="2570B436" w14:textId="77777777" w:rsidR="00CB0295" w:rsidRDefault="00CB0295" w:rsidP="00BF7735">
            <w:pPr>
              <w:spacing w:after="0"/>
              <w:jc w:val="left"/>
              <w:rPr>
                <w:rFonts w:ascii="Cambria" w:hAnsi="Cambria"/>
                <w:sz w:val="20"/>
                <w:szCs w:val="20"/>
              </w:rPr>
            </w:pPr>
            <w:r>
              <w:rPr>
                <w:rFonts w:ascii="Cambria" w:hAnsi="Cambria"/>
                <w:sz w:val="20"/>
                <w:szCs w:val="20"/>
              </w:rPr>
              <w:t>2.8</w:t>
            </w:r>
          </w:p>
        </w:tc>
      </w:tr>
      <w:tr w:rsidR="00CB0295" w:rsidRPr="00F95C03" w14:paraId="0C5A6EBE" w14:textId="77777777" w:rsidTr="00BF7735">
        <w:trPr>
          <w:trHeight w:val="260"/>
          <w:jc w:val="center"/>
        </w:trPr>
        <w:tc>
          <w:tcPr>
            <w:tcW w:w="3690" w:type="dxa"/>
          </w:tcPr>
          <w:p w14:paraId="6F71CE42" w14:textId="77777777" w:rsidR="00CB0295" w:rsidRPr="00AD0D45" w:rsidRDefault="00CB0295" w:rsidP="00BF7735">
            <w:pPr>
              <w:pStyle w:val="ListParagraph"/>
              <w:numPr>
                <w:ilvl w:val="0"/>
                <w:numId w:val="35"/>
              </w:numPr>
              <w:spacing w:after="0"/>
              <w:jc w:val="left"/>
              <w:rPr>
                <w:rFonts w:ascii="Cambria" w:hAnsi="Cambria"/>
                <w:sz w:val="20"/>
                <w:szCs w:val="20"/>
              </w:rPr>
            </w:pPr>
            <w:r w:rsidRPr="00AD0D45">
              <w:rPr>
                <w:rFonts w:ascii="Cambria" w:hAnsi="Cambria"/>
                <w:sz w:val="20"/>
                <w:szCs w:val="20"/>
              </w:rPr>
              <w:t>Other</w:t>
            </w:r>
          </w:p>
        </w:tc>
        <w:tc>
          <w:tcPr>
            <w:tcW w:w="1170" w:type="dxa"/>
          </w:tcPr>
          <w:p w14:paraId="7C02A3FF" w14:textId="77777777" w:rsidR="00CB0295" w:rsidRDefault="00CB0295" w:rsidP="00BF7735">
            <w:pPr>
              <w:spacing w:after="0"/>
              <w:jc w:val="left"/>
              <w:rPr>
                <w:rFonts w:ascii="Cambria" w:hAnsi="Cambria"/>
                <w:sz w:val="20"/>
                <w:szCs w:val="20"/>
              </w:rPr>
            </w:pPr>
            <w:r>
              <w:rPr>
                <w:rFonts w:ascii="Cambria" w:hAnsi="Cambria"/>
                <w:sz w:val="20"/>
                <w:szCs w:val="20"/>
              </w:rPr>
              <w:t>2.5</w:t>
            </w:r>
          </w:p>
        </w:tc>
      </w:tr>
      <w:tr w:rsidR="00CB0295" w:rsidRPr="00F95C03" w14:paraId="6BD0851F" w14:textId="77777777" w:rsidTr="00BF7735">
        <w:trPr>
          <w:jc w:val="center"/>
        </w:trPr>
        <w:tc>
          <w:tcPr>
            <w:tcW w:w="4860" w:type="dxa"/>
            <w:gridSpan w:val="2"/>
          </w:tcPr>
          <w:p w14:paraId="0457214E" w14:textId="77777777" w:rsidR="00CB0295" w:rsidRDefault="00CB0295" w:rsidP="00BF7735">
            <w:pPr>
              <w:jc w:val="left"/>
              <w:rPr>
                <w:rFonts w:ascii="Cambria" w:hAnsi="Cambria"/>
                <w:sz w:val="18"/>
                <w:szCs w:val="18"/>
              </w:rPr>
            </w:pPr>
          </w:p>
          <w:p w14:paraId="1DA55C3E" w14:textId="77777777" w:rsidR="00CB0295" w:rsidRPr="00F95C03" w:rsidRDefault="00CB0295" w:rsidP="00BF7735">
            <w:pPr>
              <w:jc w:val="left"/>
              <w:rPr>
                <w:rFonts w:ascii="Cambria" w:hAnsi="Cambria"/>
                <w:sz w:val="18"/>
                <w:szCs w:val="18"/>
              </w:rPr>
            </w:pPr>
            <w:r w:rsidRPr="00F95C03">
              <w:rPr>
                <w:rFonts w:ascii="Cambria" w:hAnsi="Cambria"/>
                <w:sz w:val="18"/>
                <w:szCs w:val="18"/>
              </w:rPr>
              <w:t xml:space="preserve">Source: UNHCR (2015) </w:t>
            </w:r>
          </w:p>
        </w:tc>
      </w:tr>
    </w:tbl>
    <w:p w14:paraId="50328655" w14:textId="18662882" w:rsidR="002C36AA" w:rsidRPr="00AD0400" w:rsidRDefault="002C36AA" w:rsidP="002C36AA">
      <w:pPr>
        <w:jc w:val="center"/>
      </w:pPr>
    </w:p>
    <w:p w14:paraId="3D584C5C" w14:textId="77777777" w:rsidR="002C36AA" w:rsidRPr="00AD0400" w:rsidRDefault="002C36AA" w:rsidP="002C36AA">
      <w:pPr>
        <w:jc w:val="center"/>
      </w:pPr>
    </w:p>
    <w:p w14:paraId="7F764B52" w14:textId="77777777" w:rsidR="002C36AA" w:rsidRPr="00AD0400" w:rsidRDefault="002C36AA" w:rsidP="002C36AA">
      <w:pPr>
        <w:rPr>
          <w:i/>
        </w:rPr>
      </w:pPr>
      <w:r w:rsidRPr="00AD0400">
        <w:rPr>
          <w:i/>
        </w:rPr>
        <w:t>Income and Poverty</w:t>
      </w:r>
    </w:p>
    <w:p w14:paraId="78348A30" w14:textId="77777777" w:rsidR="002C36AA" w:rsidRPr="00AD0400" w:rsidRDefault="002C36AA" w:rsidP="002C36AA">
      <w:pPr>
        <w:rPr>
          <w:i/>
        </w:rPr>
      </w:pPr>
    </w:p>
    <w:p w14:paraId="12A647F4" w14:textId="77777777" w:rsidR="002C36AA" w:rsidRPr="00AD0400" w:rsidRDefault="002C36AA" w:rsidP="002C36AA">
      <w:pPr>
        <w:pStyle w:val="ListParagraph"/>
        <w:numPr>
          <w:ilvl w:val="0"/>
          <w:numId w:val="29"/>
        </w:numPr>
        <w:spacing w:after="160" w:line="259" w:lineRule="auto"/>
        <w:rPr>
          <w:bCs/>
        </w:rPr>
      </w:pPr>
      <w:r w:rsidRPr="00AD0400">
        <w:rPr>
          <w:bCs/>
        </w:rPr>
        <w:t>Poverty rates in our sample reach 44.75% for 2011, 42.55% for 2012 and 36.05 for 2013. So for the 2011 to 2013 period, the overall poverty rate is 41.11% (based on consumption and using a poverty line of $2.5). The percentage of poor households among IDP families is higher than among non IDP families. Poverty for non IDP households reaches 40.97%, while for IDP households it reaches 45.3%, and this difference is statistically significant.</w:t>
      </w:r>
    </w:p>
    <w:p w14:paraId="10232081" w14:textId="77777777" w:rsidR="002C36AA" w:rsidRPr="00AD0400" w:rsidRDefault="002C36AA" w:rsidP="002C36AA">
      <w:pPr>
        <w:pStyle w:val="ListParagraph"/>
        <w:rPr>
          <w:bCs/>
        </w:rPr>
      </w:pPr>
    </w:p>
    <w:p w14:paraId="2EA2A591" w14:textId="77777777" w:rsidR="002C36AA" w:rsidRPr="00AD0400" w:rsidRDefault="002C36AA" w:rsidP="002C36AA">
      <w:pPr>
        <w:pStyle w:val="ListParagraph"/>
        <w:numPr>
          <w:ilvl w:val="0"/>
          <w:numId w:val="29"/>
        </w:numPr>
        <w:spacing w:after="160" w:line="259" w:lineRule="auto"/>
        <w:rPr>
          <w:bCs/>
        </w:rPr>
      </w:pPr>
      <w:r w:rsidRPr="00AD0400">
        <w:rPr>
          <w:bCs/>
        </w:rPr>
        <w:t>By looking at the details of poverty rates by area of residence, we see that in rural areas, both for IDPs and non IDPs, more than 50% of households live in a situation of poverty. For Tbilisi, the percentage of households living in poverty is higher for IDPs, but not as high as poverty in rural areas for both groups. This constitutes a first indicator that most likely IDPs living in Tbilisi could have integrated better to markets and improved their living conditions, while regardless of their condition, people in rural areas are still facing market imperfections and hardships.</w:t>
      </w:r>
    </w:p>
    <w:p w14:paraId="30B68810" w14:textId="77777777" w:rsidR="002C36AA" w:rsidRPr="00AD0400" w:rsidRDefault="002C36AA" w:rsidP="002C36AA">
      <w:pPr>
        <w:pStyle w:val="ListParagraph"/>
        <w:rPr>
          <w:bCs/>
        </w:rPr>
      </w:pPr>
    </w:p>
    <w:p w14:paraId="658EA63A" w14:textId="77777777" w:rsidR="002C36AA" w:rsidRPr="00AD0400" w:rsidRDefault="002C36AA" w:rsidP="002C36AA">
      <w:pPr>
        <w:jc w:val="center"/>
        <w:rPr>
          <w:bCs/>
        </w:rPr>
      </w:pPr>
      <w:r w:rsidRPr="00AD0400">
        <w:rPr>
          <w:noProof/>
        </w:rPr>
        <w:drawing>
          <wp:inline distT="0" distB="0" distL="0" distR="0" wp14:anchorId="03E99A3B" wp14:editId="33CE87C7">
            <wp:extent cx="3975735" cy="135953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975735" cy="1359535"/>
                    </a:xfrm>
                    <a:prstGeom prst="rect">
                      <a:avLst/>
                    </a:prstGeom>
                    <a:noFill/>
                    <a:ln>
                      <a:noFill/>
                    </a:ln>
                  </pic:spPr>
                </pic:pic>
              </a:graphicData>
            </a:graphic>
          </wp:inline>
        </w:drawing>
      </w:r>
    </w:p>
    <w:p w14:paraId="2C8BE5CC" w14:textId="77777777" w:rsidR="002C36AA" w:rsidRPr="00AD0400" w:rsidRDefault="002C36AA" w:rsidP="002C36AA">
      <w:pPr>
        <w:jc w:val="center"/>
        <w:rPr>
          <w:bCs/>
        </w:rPr>
      </w:pPr>
    </w:p>
    <w:p w14:paraId="0DFB9E13" w14:textId="77777777" w:rsidR="002C36AA" w:rsidRPr="00AD0400" w:rsidRDefault="002C36AA" w:rsidP="002C36AA">
      <w:pPr>
        <w:pStyle w:val="ListParagraph"/>
        <w:numPr>
          <w:ilvl w:val="0"/>
          <w:numId w:val="29"/>
        </w:numPr>
        <w:spacing w:after="160" w:line="259" w:lineRule="auto"/>
        <w:rPr>
          <w:bCs/>
        </w:rPr>
      </w:pPr>
      <w:r w:rsidRPr="00AD0400">
        <w:rPr>
          <w:bCs/>
        </w:rPr>
        <w:t xml:space="preserve">We can also explore these poverty rates using the UNDP Survey for 2011, which again is expected to be slightly different than IHS given the oversample of IDPs for a given quarter. Using the UNDP Survey, we find that poverty reaches 45.8% overall and extreme poverty 16.9%. Non IDPs have a poverty rate of 45.9%, while for IDPs it is 44.7%. But in this sample, this difference is not </w:t>
      </w:r>
      <w:r w:rsidRPr="00AD0400">
        <w:rPr>
          <w:bCs/>
        </w:rPr>
        <w:lastRenderedPageBreak/>
        <w:t>statistically significant. Interestingly, although poverty rates in the different regions are higher for IDPs, overall poverty for IDPs is lower than for non IDPs. This is a consequence of the fact that 75% of IDPs live in urban areas, where poverty rates are lower.</w:t>
      </w:r>
    </w:p>
    <w:p w14:paraId="08EC0603" w14:textId="77777777" w:rsidR="002C36AA" w:rsidRPr="00AD0400" w:rsidRDefault="002C36AA" w:rsidP="002C36AA">
      <w:pPr>
        <w:pStyle w:val="ListParagraph"/>
        <w:rPr>
          <w:bCs/>
        </w:rPr>
      </w:pPr>
    </w:p>
    <w:p w14:paraId="61AF6306" w14:textId="77777777" w:rsidR="002C36AA" w:rsidRPr="00AD0400" w:rsidRDefault="002C36AA" w:rsidP="002C36AA">
      <w:pPr>
        <w:pStyle w:val="ListParagraph"/>
        <w:numPr>
          <w:ilvl w:val="0"/>
          <w:numId w:val="29"/>
        </w:numPr>
        <w:spacing w:after="160" w:line="259" w:lineRule="auto"/>
        <w:rPr>
          <w:bCs/>
        </w:rPr>
      </w:pPr>
      <w:r w:rsidRPr="00AD0400">
        <w:rPr>
          <w:bCs/>
        </w:rPr>
        <w:t>We also see that, again, lower poverty rates are in Tbilisi, where poverty for IDPs is almost 5 percent points higher than for non IDPs. The rest of urban areas are 2.3 percent points apart, where non IDPs have 46% of poverty and IDPs 48.4%; and rural areas only 1.05 percent point apart, 51.8% for non IDPs and 52.9% for IDPs. None of these differences is statistically significant.</w:t>
      </w:r>
    </w:p>
    <w:p w14:paraId="2076D764" w14:textId="77777777" w:rsidR="002C36AA" w:rsidRPr="00AD0400" w:rsidRDefault="002C36AA" w:rsidP="002C36AA">
      <w:pPr>
        <w:jc w:val="center"/>
        <w:rPr>
          <w:bCs/>
        </w:rPr>
      </w:pPr>
      <w:r w:rsidRPr="00AD0400">
        <w:rPr>
          <w:noProof/>
        </w:rPr>
        <w:drawing>
          <wp:inline distT="0" distB="0" distL="0" distR="0" wp14:anchorId="153BA110" wp14:editId="2B9EAD1B">
            <wp:extent cx="4124325" cy="1352550"/>
            <wp:effectExtent l="19050" t="0" r="9525"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4124325" cy="1352550"/>
                    </a:xfrm>
                    <a:prstGeom prst="rect">
                      <a:avLst/>
                    </a:prstGeom>
                    <a:noFill/>
                    <a:ln w="9525">
                      <a:noFill/>
                      <a:miter lim="800000"/>
                      <a:headEnd/>
                      <a:tailEnd/>
                    </a:ln>
                  </pic:spPr>
                </pic:pic>
              </a:graphicData>
            </a:graphic>
          </wp:inline>
        </w:drawing>
      </w:r>
    </w:p>
    <w:p w14:paraId="0A31D4A0" w14:textId="77777777" w:rsidR="002C36AA" w:rsidRPr="00AD0400" w:rsidRDefault="002C36AA" w:rsidP="002C36AA">
      <w:pPr>
        <w:pStyle w:val="ListParagraph"/>
        <w:rPr>
          <w:bCs/>
        </w:rPr>
      </w:pPr>
      <w:r w:rsidRPr="00AD0400">
        <w:rPr>
          <w:bCs/>
        </w:rPr>
        <w:t xml:space="preserve">  </w:t>
      </w:r>
    </w:p>
    <w:p w14:paraId="34B6A191" w14:textId="77777777" w:rsidR="002C36AA" w:rsidRPr="00AD0400" w:rsidRDefault="002C36AA" w:rsidP="002C36AA">
      <w:pPr>
        <w:pStyle w:val="ListParagraph"/>
        <w:numPr>
          <w:ilvl w:val="0"/>
          <w:numId w:val="29"/>
        </w:numPr>
        <w:spacing w:after="160" w:line="259" w:lineRule="auto"/>
        <w:rPr>
          <w:bCs/>
        </w:rPr>
      </w:pPr>
      <w:r w:rsidRPr="00AD0400">
        <w:rPr>
          <w:bCs/>
        </w:rPr>
        <w:t>To further explore these dissimilarities of income and consumption levels across area of residence, we look at the median of the average monthly income (in GEL) reported by each household. We see that clearly income in Tbilisi is higher than in the rest of urban and rural areas. Moreover, differences in income between IDP and non IDP households are not significant.</w:t>
      </w:r>
    </w:p>
    <w:p w14:paraId="5D610E4B" w14:textId="77777777" w:rsidR="002C36AA" w:rsidRPr="00AD0400" w:rsidRDefault="002C36AA" w:rsidP="002C36AA">
      <w:pPr>
        <w:rPr>
          <w:bCs/>
        </w:rPr>
      </w:pPr>
    </w:p>
    <w:p w14:paraId="6F6E2C2F" w14:textId="77777777" w:rsidR="002C36AA" w:rsidRPr="00AD0400" w:rsidRDefault="002C36AA" w:rsidP="002C36AA">
      <w:pPr>
        <w:jc w:val="center"/>
      </w:pPr>
      <w:r w:rsidRPr="00AD0400">
        <w:rPr>
          <w:noProof/>
        </w:rPr>
        <w:drawing>
          <wp:inline distT="0" distB="0" distL="0" distR="0" wp14:anchorId="0163AF2E" wp14:editId="684422AE">
            <wp:extent cx="3971925" cy="1304925"/>
            <wp:effectExtent l="19050" t="0" r="9525" b="0"/>
            <wp:docPr id="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a:stretch>
                      <a:fillRect/>
                    </a:stretch>
                  </pic:blipFill>
                  <pic:spPr bwMode="auto">
                    <a:xfrm>
                      <a:off x="0" y="0"/>
                      <a:ext cx="3971925" cy="1304925"/>
                    </a:xfrm>
                    <a:prstGeom prst="rect">
                      <a:avLst/>
                    </a:prstGeom>
                    <a:noFill/>
                    <a:ln w="9525">
                      <a:noFill/>
                      <a:miter lim="800000"/>
                      <a:headEnd/>
                      <a:tailEnd/>
                    </a:ln>
                  </pic:spPr>
                </pic:pic>
              </a:graphicData>
            </a:graphic>
          </wp:inline>
        </w:drawing>
      </w:r>
    </w:p>
    <w:p w14:paraId="70A1F837" w14:textId="77777777" w:rsidR="002C36AA" w:rsidRPr="00AD0400" w:rsidRDefault="002C36AA" w:rsidP="002C36AA">
      <w:pPr>
        <w:rPr>
          <w:i/>
        </w:rPr>
      </w:pPr>
    </w:p>
    <w:p w14:paraId="10BC3A9D" w14:textId="77777777" w:rsidR="002C36AA" w:rsidRPr="00AD0400" w:rsidRDefault="002C36AA" w:rsidP="002C36AA">
      <w:pPr>
        <w:rPr>
          <w:i/>
        </w:rPr>
      </w:pPr>
      <w:r w:rsidRPr="00AD0400">
        <w:rPr>
          <w:i/>
        </w:rPr>
        <w:t>But what are the sources of this income?</w:t>
      </w:r>
    </w:p>
    <w:p w14:paraId="20214A6A" w14:textId="77777777" w:rsidR="002C36AA" w:rsidRPr="00AD0400" w:rsidRDefault="002C36AA" w:rsidP="002C36AA">
      <w:pPr>
        <w:rPr>
          <w:bCs/>
        </w:rPr>
      </w:pPr>
    </w:p>
    <w:p w14:paraId="383092E2" w14:textId="1D299798" w:rsidR="002C36AA" w:rsidRPr="00AD0400" w:rsidRDefault="002C36AA" w:rsidP="002C36AA">
      <w:pPr>
        <w:pStyle w:val="ListParagraph"/>
        <w:numPr>
          <w:ilvl w:val="0"/>
          <w:numId w:val="29"/>
        </w:numPr>
        <w:spacing w:after="160" w:line="259" w:lineRule="auto"/>
        <w:rPr>
          <w:bCs/>
        </w:rPr>
      </w:pPr>
      <w:r w:rsidRPr="00AD0400">
        <w:rPr>
          <w:bCs/>
        </w:rPr>
        <w:t>From total household income, we see that, on average, a fourth comes from hired employment, and this is the case for IDP and non IDP households. Self</w:t>
      </w:r>
      <w:r w:rsidR="00A94728">
        <w:rPr>
          <w:bCs/>
        </w:rPr>
        <w:t>-</w:t>
      </w:r>
      <w:r w:rsidRPr="00AD0400">
        <w:rPr>
          <w:bCs/>
        </w:rPr>
        <w:t xml:space="preserve">employment income represents 7.5% of total income on average for non IDP households and 5.8% on average for IDP households. This is the case given the lower participation on self-employment activities for IDP households. Agricultural production also represents a higher proportion for non IDP households. But again, given that 75% of IDP households live in urban areas, this gap is understandable. Income from properties also is clearly higher for non IDPs, given that, as seen, the majority of IDPs do not own a house. However, income from pensions, scholarships and assistantships represents on average 10 percent points more for IDP households than for non IDP households. The same holds for </w:t>
      </w:r>
      <w:r w:rsidRPr="00AD0400">
        <w:rPr>
          <w:bCs/>
        </w:rPr>
        <w:lastRenderedPageBreak/>
        <w:t>remittances, which represent 5 percent points more of total income for IDP households than for non IDP households. Money received as a gift is also significantly higher for non IDPs.</w:t>
      </w:r>
    </w:p>
    <w:p w14:paraId="3A7FC1CB" w14:textId="77777777" w:rsidR="002C36AA" w:rsidRPr="00AD0400" w:rsidRDefault="002C36AA" w:rsidP="002C36AA">
      <w:pPr>
        <w:pStyle w:val="ListParagraph"/>
        <w:rPr>
          <w:bCs/>
        </w:rPr>
      </w:pPr>
    </w:p>
    <w:p w14:paraId="523A4C7B" w14:textId="77777777" w:rsidR="002C36AA" w:rsidRPr="00AD0400" w:rsidRDefault="002C36AA" w:rsidP="002C36AA">
      <w:pPr>
        <w:jc w:val="center"/>
        <w:rPr>
          <w:bCs/>
        </w:rPr>
      </w:pPr>
      <w:r w:rsidRPr="00AD0400">
        <w:rPr>
          <w:noProof/>
        </w:rPr>
        <w:drawing>
          <wp:inline distT="0" distB="0" distL="0" distR="0" wp14:anchorId="18F360CB" wp14:editId="4BD4FE79">
            <wp:extent cx="4733925" cy="1752600"/>
            <wp:effectExtent l="19050" t="0" r="9525" b="0"/>
            <wp:docPr id="2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srcRect/>
                    <a:stretch>
                      <a:fillRect/>
                    </a:stretch>
                  </pic:blipFill>
                  <pic:spPr bwMode="auto">
                    <a:xfrm>
                      <a:off x="0" y="0"/>
                      <a:ext cx="4733925" cy="1752600"/>
                    </a:xfrm>
                    <a:prstGeom prst="rect">
                      <a:avLst/>
                    </a:prstGeom>
                    <a:noFill/>
                    <a:ln w="9525">
                      <a:noFill/>
                      <a:miter lim="800000"/>
                      <a:headEnd/>
                      <a:tailEnd/>
                    </a:ln>
                  </pic:spPr>
                </pic:pic>
              </a:graphicData>
            </a:graphic>
          </wp:inline>
        </w:drawing>
      </w:r>
    </w:p>
    <w:p w14:paraId="2194EC51" w14:textId="77777777" w:rsidR="002C36AA" w:rsidRPr="00AD0400" w:rsidRDefault="002C36AA" w:rsidP="002C36AA">
      <w:pPr>
        <w:rPr>
          <w:bCs/>
        </w:rPr>
      </w:pPr>
    </w:p>
    <w:p w14:paraId="693AACE6" w14:textId="77777777" w:rsidR="002C36AA" w:rsidRPr="00AD0400" w:rsidRDefault="002C36AA" w:rsidP="002C36AA">
      <w:pPr>
        <w:pStyle w:val="ListParagraph"/>
        <w:numPr>
          <w:ilvl w:val="0"/>
          <w:numId w:val="29"/>
        </w:numPr>
        <w:spacing w:after="160" w:line="259" w:lineRule="auto"/>
        <w:rPr>
          <w:bCs/>
        </w:rPr>
      </w:pPr>
      <w:r w:rsidRPr="00AD0400">
        <w:rPr>
          <w:bCs/>
        </w:rPr>
        <w:t xml:space="preserve">Although as seen, poverty is considerably less in Tbilisi and income averages are higher on the capital, money in the form of pensions, scholarships and assistances is higher for IDPs and especially for IDPs living in Tbilisi.  </w:t>
      </w:r>
    </w:p>
    <w:p w14:paraId="0B07ECB8" w14:textId="77777777" w:rsidR="002C36AA" w:rsidRPr="00AD0400" w:rsidRDefault="002C36AA" w:rsidP="002C36AA">
      <w:pPr>
        <w:rPr>
          <w:bCs/>
        </w:rPr>
      </w:pPr>
    </w:p>
    <w:p w14:paraId="4A10F74E" w14:textId="77777777" w:rsidR="002C36AA" w:rsidRPr="00AD0400" w:rsidRDefault="002C36AA" w:rsidP="002C36AA">
      <w:pPr>
        <w:jc w:val="center"/>
        <w:rPr>
          <w:bCs/>
        </w:rPr>
      </w:pPr>
      <w:r w:rsidRPr="00AD0400">
        <w:rPr>
          <w:noProof/>
        </w:rPr>
        <w:drawing>
          <wp:inline distT="0" distB="0" distL="0" distR="0" wp14:anchorId="453340AC" wp14:editId="5A44E2B8">
            <wp:extent cx="3971925" cy="1838325"/>
            <wp:effectExtent l="19050" t="0" r="9525" b="0"/>
            <wp:docPr id="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srcRect/>
                    <a:stretch>
                      <a:fillRect/>
                    </a:stretch>
                  </pic:blipFill>
                  <pic:spPr bwMode="auto">
                    <a:xfrm>
                      <a:off x="0" y="0"/>
                      <a:ext cx="3971925" cy="1838325"/>
                    </a:xfrm>
                    <a:prstGeom prst="rect">
                      <a:avLst/>
                    </a:prstGeom>
                    <a:noFill/>
                    <a:ln w="9525">
                      <a:noFill/>
                      <a:miter lim="800000"/>
                      <a:headEnd/>
                      <a:tailEnd/>
                    </a:ln>
                  </pic:spPr>
                </pic:pic>
              </a:graphicData>
            </a:graphic>
          </wp:inline>
        </w:drawing>
      </w:r>
    </w:p>
    <w:p w14:paraId="07EC487A" w14:textId="77777777" w:rsidR="002C36AA" w:rsidRPr="00AD0400" w:rsidRDefault="002C36AA" w:rsidP="002C36AA">
      <w:pPr>
        <w:rPr>
          <w:bCs/>
        </w:rPr>
      </w:pPr>
    </w:p>
    <w:p w14:paraId="0EA51B55" w14:textId="77777777" w:rsidR="002C36AA" w:rsidRPr="00AD0400" w:rsidRDefault="002C36AA" w:rsidP="002C36AA">
      <w:pPr>
        <w:rPr>
          <w:i/>
        </w:rPr>
      </w:pPr>
      <w:r w:rsidRPr="00AD0400">
        <w:rPr>
          <w:i/>
        </w:rPr>
        <w:t>So, how does the condition of being an IDP affect the probability of living in poverty?</w:t>
      </w:r>
    </w:p>
    <w:p w14:paraId="6F164964" w14:textId="77777777" w:rsidR="002C36AA" w:rsidRPr="00AD0400" w:rsidRDefault="002C36AA" w:rsidP="002C36AA">
      <w:pPr>
        <w:rPr>
          <w:i/>
        </w:rPr>
      </w:pPr>
    </w:p>
    <w:p w14:paraId="450A8667" w14:textId="77777777" w:rsidR="002C36AA" w:rsidRPr="00AD0400" w:rsidRDefault="002C36AA" w:rsidP="002C36AA">
      <w:pPr>
        <w:pStyle w:val="ListParagraph"/>
        <w:numPr>
          <w:ilvl w:val="0"/>
          <w:numId w:val="29"/>
        </w:numPr>
        <w:spacing w:after="160" w:line="259" w:lineRule="auto"/>
        <w:rPr>
          <w:bCs/>
        </w:rPr>
      </w:pPr>
      <w:r w:rsidRPr="00AD0400">
        <w:rPr>
          <w:bCs/>
        </w:rPr>
        <w:t>We report below the marginal effects of a logit model on poverty, explained by the condition of IDP and other covariates. A simple first glance tells us that being an IDP, increases the probability of being poor by o.o5. If we however, include other covariates the probability of being poor for an IDP increases to 0.07. This is, the previous effect was underestimating the effect of being an IDP given other omitted variables. We see that the covariates have the predicted signs as well. Being a female decreases the probability of being poor, living outside of the capital also increases the probability of being poor, having tertiary education compared to either primary or secondary school decreases the probability of being poor and being employee also decreases the probability of being poor, relative to self-employed, unemployed, inactive, etc.</w:t>
      </w:r>
    </w:p>
    <w:p w14:paraId="3FD2E7AC" w14:textId="77777777" w:rsidR="002C36AA" w:rsidRPr="00AD0400" w:rsidRDefault="002C36AA" w:rsidP="002C36AA">
      <w:pPr>
        <w:rPr>
          <w:bCs/>
        </w:rPr>
      </w:pPr>
    </w:p>
    <w:p w14:paraId="190E8B8D" w14:textId="77777777" w:rsidR="002C36AA" w:rsidRPr="00AD0400" w:rsidRDefault="002C36AA" w:rsidP="002C36AA">
      <w:pPr>
        <w:jc w:val="center"/>
        <w:rPr>
          <w:bCs/>
        </w:rPr>
      </w:pPr>
      <w:r w:rsidRPr="00AD0400">
        <w:rPr>
          <w:noProof/>
        </w:rPr>
        <w:lastRenderedPageBreak/>
        <w:drawing>
          <wp:inline distT="0" distB="0" distL="0" distR="0" wp14:anchorId="1FBA9DB0" wp14:editId="5540318B">
            <wp:extent cx="2743200" cy="4301490"/>
            <wp:effectExtent l="19050" t="0" r="0" b="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srcRect/>
                    <a:stretch>
                      <a:fillRect/>
                    </a:stretch>
                  </pic:blipFill>
                  <pic:spPr bwMode="auto">
                    <a:xfrm>
                      <a:off x="0" y="0"/>
                      <a:ext cx="2743200" cy="4301490"/>
                    </a:xfrm>
                    <a:prstGeom prst="rect">
                      <a:avLst/>
                    </a:prstGeom>
                    <a:noFill/>
                    <a:ln w="9525">
                      <a:noFill/>
                      <a:miter lim="800000"/>
                      <a:headEnd/>
                      <a:tailEnd/>
                    </a:ln>
                  </pic:spPr>
                </pic:pic>
              </a:graphicData>
            </a:graphic>
          </wp:inline>
        </w:drawing>
      </w:r>
    </w:p>
    <w:p w14:paraId="5E0C606F" w14:textId="77777777" w:rsidR="002C36AA" w:rsidRPr="00AD0400" w:rsidRDefault="002C36AA" w:rsidP="002C36AA">
      <w:pPr>
        <w:rPr>
          <w:bCs/>
        </w:rPr>
      </w:pPr>
    </w:p>
    <w:p w14:paraId="1BDC75B7" w14:textId="647C384C" w:rsidR="002C36AA" w:rsidRPr="00AD0400" w:rsidRDefault="002C36AA" w:rsidP="002C36AA">
      <w:pPr>
        <w:rPr>
          <w:i/>
        </w:rPr>
      </w:pPr>
      <w:r w:rsidRPr="00AD0400">
        <w:rPr>
          <w:i/>
        </w:rPr>
        <w:t xml:space="preserve">How would poverty rates change if we suppress social </w:t>
      </w:r>
      <w:r w:rsidR="00683140">
        <w:rPr>
          <w:i/>
        </w:rPr>
        <w:t>transfers</w:t>
      </w:r>
      <w:r w:rsidR="00683140">
        <w:rPr>
          <w:rStyle w:val="FootnoteReference"/>
          <w:i/>
        </w:rPr>
        <w:footnoteReference w:id="134"/>
      </w:r>
      <w:r w:rsidRPr="00AD0400">
        <w:rPr>
          <w:i/>
        </w:rPr>
        <w:t>?</w:t>
      </w:r>
    </w:p>
    <w:p w14:paraId="739CBCD4" w14:textId="77777777" w:rsidR="002C36AA" w:rsidRPr="00AD0400" w:rsidRDefault="002C36AA" w:rsidP="002C36AA">
      <w:pPr>
        <w:rPr>
          <w:bCs/>
        </w:rPr>
      </w:pPr>
    </w:p>
    <w:p w14:paraId="5F04F891" w14:textId="7BBA6E79" w:rsidR="002C36AA" w:rsidRPr="00AD0400" w:rsidRDefault="002C36AA" w:rsidP="002C36AA">
      <w:pPr>
        <w:pStyle w:val="ListParagraph"/>
        <w:numPr>
          <w:ilvl w:val="0"/>
          <w:numId w:val="29"/>
        </w:numPr>
        <w:spacing w:after="160" w:line="259" w:lineRule="auto"/>
        <w:rPr>
          <w:bCs/>
        </w:rPr>
      </w:pPr>
      <w:r w:rsidRPr="00AD0400">
        <w:rPr>
          <w:bCs/>
        </w:rPr>
        <w:t xml:space="preserve">As another way of checking differences in poverty levels and social </w:t>
      </w:r>
      <w:r w:rsidR="00683140">
        <w:rPr>
          <w:bCs/>
        </w:rPr>
        <w:t>transfers</w:t>
      </w:r>
      <w:r w:rsidRPr="00AD0400">
        <w:rPr>
          <w:bCs/>
        </w:rPr>
        <w:t xml:space="preserve">, we perform a simulation. We recalculate poverty levels using consumption minus the income perceived in the form of pensions, scholarships and assistances. Two important issues are worth mentioning for this methodology: (i) previous poverty rates were calculated using consumption levels and we’re now subtracting income levels. So, we’re assuming that none of the income received </w:t>
      </w:r>
      <w:r w:rsidR="00683140">
        <w:rPr>
          <w:bCs/>
        </w:rPr>
        <w:t>in the form of</w:t>
      </w:r>
      <w:r w:rsidRPr="00AD0400">
        <w:rPr>
          <w:bCs/>
        </w:rPr>
        <w:t xml:space="preserve"> social </w:t>
      </w:r>
      <w:r w:rsidR="00683140">
        <w:rPr>
          <w:bCs/>
        </w:rPr>
        <w:t>transfers</w:t>
      </w:r>
      <w:r w:rsidR="00683140" w:rsidRPr="00AD0400">
        <w:rPr>
          <w:bCs/>
        </w:rPr>
        <w:t xml:space="preserve"> </w:t>
      </w:r>
      <w:r w:rsidRPr="00AD0400">
        <w:rPr>
          <w:bCs/>
        </w:rPr>
        <w:t xml:space="preserve">was saved; (ii) by just subtracting this income, we’re assuming the individual would have behaved exactly in the same way in the absence of social assistance. </w:t>
      </w:r>
      <w:r w:rsidR="00F81679">
        <w:rPr>
          <w:bCs/>
        </w:rPr>
        <w:t>P</w:t>
      </w:r>
      <w:r w:rsidRPr="00AD0400">
        <w:rPr>
          <w:bCs/>
        </w:rPr>
        <w:t xml:space="preserve">eople </w:t>
      </w:r>
      <w:r w:rsidR="00F81679">
        <w:rPr>
          <w:bCs/>
        </w:rPr>
        <w:t>might</w:t>
      </w:r>
      <w:r w:rsidRPr="00AD0400">
        <w:rPr>
          <w:bCs/>
        </w:rPr>
        <w:t xml:space="preserve"> have behaved differently</w:t>
      </w:r>
      <w:r w:rsidR="00F81679">
        <w:rPr>
          <w:bCs/>
        </w:rPr>
        <w:t xml:space="preserve"> not knowing that they would receive social assistance</w:t>
      </w:r>
      <w:r w:rsidRPr="00AD0400">
        <w:rPr>
          <w:bCs/>
        </w:rPr>
        <w:t xml:space="preserve">. Despite these two assumptions, we find that poverty rates for both IDPs and non IDPs would change considerably in the absence of social </w:t>
      </w:r>
      <w:r w:rsidR="00683140">
        <w:rPr>
          <w:bCs/>
        </w:rPr>
        <w:t>transfers</w:t>
      </w:r>
      <w:r w:rsidRPr="00AD0400">
        <w:rPr>
          <w:bCs/>
        </w:rPr>
        <w:t xml:space="preserve">. Poverty levels for non IDPs would reach 54.2% and for IDPs, 65 %. This difference will also be statistically significant. Again, higher rates would be </w:t>
      </w:r>
      <w:r w:rsidRPr="00AD0400">
        <w:rPr>
          <w:bCs/>
        </w:rPr>
        <w:lastRenderedPageBreak/>
        <w:t>observed in urban and rural areas outside Tbilisi, where poverty levels would be as high as 75% for IDPs and 65% for non IDPs.</w:t>
      </w:r>
    </w:p>
    <w:p w14:paraId="5CC0ADB6" w14:textId="77777777" w:rsidR="002C36AA" w:rsidRPr="00AD0400" w:rsidRDefault="002C36AA" w:rsidP="002C36AA">
      <w:pPr>
        <w:jc w:val="center"/>
        <w:rPr>
          <w:bCs/>
        </w:rPr>
      </w:pPr>
      <w:r w:rsidRPr="00AD0400">
        <w:rPr>
          <w:noProof/>
        </w:rPr>
        <w:drawing>
          <wp:inline distT="0" distB="0" distL="0" distR="0" wp14:anchorId="1AB97BB6" wp14:editId="58CBC344">
            <wp:extent cx="4126865" cy="1765300"/>
            <wp:effectExtent l="19050" t="0" r="6985" b="0"/>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srcRect/>
                    <a:stretch>
                      <a:fillRect/>
                    </a:stretch>
                  </pic:blipFill>
                  <pic:spPr bwMode="auto">
                    <a:xfrm>
                      <a:off x="0" y="0"/>
                      <a:ext cx="4126865" cy="1765300"/>
                    </a:xfrm>
                    <a:prstGeom prst="rect">
                      <a:avLst/>
                    </a:prstGeom>
                    <a:noFill/>
                    <a:ln w="9525">
                      <a:noFill/>
                      <a:miter lim="800000"/>
                      <a:headEnd/>
                      <a:tailEnd/>
                    </a:ln>
                  </pic:spPr>
                </pic:pic>
              </a:graphicData>
            </a:graphic>
          </wp:inline>
        </w:drawing>
      </w:r>
    </w:p>
    <w:p w14:paraId="66D5138E" w14:textId="77777777" w:rsidR="002C36AA" w:rsidRPr="00AD0400" w:rsidRDefault="002C36AA" w:rsidP="002C36AA">
      <w:pPr>
        <w:pStyle w:val="ListParagraph"/>
        <w:rPr>
          <w:bCs/>
        </w:rPr>
      </w:pPr>
    </w:p>
    <w:p w14:paraId="175C12C5" w14:textId="77777777" w:rsidR="002C36AA" w:rsidRPr="00AD0400" w:rsidRDefault="002C36AA" w:rsidP="002C36AA">
      <w:pPr>
        <w:rPr>
          <w:i/>
        </w:rPr>
      </w:pPr>
      <w:r w:rsidRPr="00AD0400">
        <w:rPr>
          <w:i/>
        </w:rPr>
        <w:t>Employment</w:t>
      </w:r>
    </w:p>
    <w:p w14:paraId="4248BD6C" w14:textId="77777777" w:rsidR="002C36AA" w:rsidRPr="00AD0400" w:rsidRDefault="002C36AA" w:rsidP="002C36AA">
      <w:pPr>
        <w:pStyle w:val="ListParagraph"/>
        <w:rPr>
          <w:bCs/>
        </w:rPr>
      </w:pPr>
    </w:p>
    <w:p w14:paraId="7B97B85D" w14:textId="77777777" w:rsidR="002C36AA" w:rsidRPr="00AD0400" w:rsidRDefault="002C36AA" w:rsidP="002C36AA">
      <w:pPr>
        <w:pStyle w:val="ListParagraph"/>
        <w:numPr>
          <w:ilvl w:val="0"/>
          <w:numId w:val="29"/>
        </w:numPr>
        <w:spacing w:after="160" w:line="259" w:lineRule="auto"/>
        <w:rPr>
          <w:bCs/>
        </w:rPr>
      </w:pPr>
      <w:r w:rsidRPr="00AD0400">
        <w:rPr>
          <w:bCs/>
        </w:rPr>
        <w:t>Status of employment varies considerably among IDP and non-IDP households. The proportion of households where the head of household is an employee is significantly higher among IDP households (25.7%) than among non-IDP households (22.7%). This gap is even greater for the labor force, where 41.8% of IDP head of households who belong to the labor force are employees, while only 32.6% of the non-IDP labor force are employees. We see though the opposite situation for self-employment. While 40.79% of non-IDP head of households are self-employed, only 20. 2% of IDP head of households are self-employed. Again, for the labor force this disparity is sharpened as only 32.8% of IDP labor force is self-employed, while 58.3% of non-IDP labor force is self-employed.</w:t>
      </w:r>
    </w:p>
    <w:p w14:paraId="0688C9B7" w14:textId="77777777" w:rsidR="002C36AA" w:rsidRPr="00AD0400" w:rsidRDefault="002C36AA" w:rsidP="002C36AA">
      <w:pPr>
        <w:pStyle w:val="ListParagraph"/>
        <w:rPr>
          <w:bCs/>
        </w:rPr>
      </w:pPr>
    </w:p>
    <w:p w14:paraId="48AF23C2" w14:textId="77777777" w:rsidR="002C36AA" w:rsidRPr="00AD0400" w:rsidRDefault="002C36AA" w:rsidP="002C36AA">
      <w:pPr>
        <w:pStyle w:val="ListParagraph"/>
        <w:numPr>
          <w:ilvl w:val="0"/>
          <w:numId w:val="29"/>
        </w:numPr>
        <w:spacing w:after="160" w:line="259" w:lineRule="auto"/>
        <w:rPr>
          <w:bCs/>
        </w:rPr>
      </w:pPr>
      <w:r w:rsidRPr="00AD0400">
        <w:rPr>
          <w:bCs/>
        </w:rPr>
        <w:t xml:space="preserve">If we consider all head of households, IDPs have significantly higher ratios of unemployed, discouraged and inactive than non-IDP households.  The proportion of unemployed IDP head of households is alarmingly more than 9 percent points higher than non IDP head of households if we consider everyone. This situation is even worse when looking only at the economically active population. Among the labor force, 25.3% of IDPs are unemployed and 9 % of non-IDPs are unemployed. </w:t>
      </w:r>
    </w:p>
    <w:p w14:paraId="01FB9EC0" w14:textId="77777777" w:rsidR="002C36AA" w:rsidRPr="00AD0400" w:rsidRDefault="002C36AA" w:rsidP="002C36AA">
      <w:pPr>
        <w:rPr>
          <w:bCs/>
        </w:rPr>
      </w:pPr>
      <w:r w:rsidRPr="00AD0400">
        <w:rPr>
          <w:noProof/>
        </w:rPr>
        <w:lastRenderedPageBreak/>
        <w:drawing>
          <wp:inline distT="0" distB="0" distL="0" distR="0" wp14:anchorId="1C0EF2DA" wp14:editId="0487654C">
            <wp:extent cx="5943600" cy="2324214"/>
            <wp:effectExtent l="19050" t="0" r="0" b="0"/>
            <wp:docPr id="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srcRect/>
                    <a:stretch>
                      <a:fillRect/>
                    </a:stretch>
                  </pic:blipFill>
                  <pic:spPr bwMode="auto">
                    <a:xfrm>
                      <a:off x="0" y="0"/>
                      <a:ext cx="5943600" cy="2324214"/>
                    </a:xfrm>
                    <a:prstGeom prst="rect">
                      <a:avLst/>
                    </a:prstGeom>
                    <a:noFill/>
                    <a:ln w="9525">
                      <a:noFill/>
                      <a:miter lim="800000"/>
                      <a:headEnd/>
                      <a:tailEnd/>
                    </a:ln>
                  </pic:spPr>
                </pic:pic>
              </a:graphicData>
            </a:graphic>
          </wp:inline>
        </w:drawing>
      </w:r>
    </w:p>
    <w:p w14:paraId="2D05D3FD" w14:textId="77777777" w:rsidR="002C36AA" w:rsidRPr="00AD0400" w:rsidRDefault="002C36AA" w:rsidP="002C36AA">
      <w:pPr>
        <w:rPr>
          <w:bCs/>
        </w:rPr>
      </w:pPr>
    </w:p>
    <w:p w14:paraId="53A25924" w14:textId="77777777" w:rsidR="002C36AA" w:rsidRPr="00AD0400" w:rsidRDefault="002C36AA" w:rsidP="002C36AA">
      <w:pPr>
        <w:rPr>
          <w:bCs/>
        </w:rPr>
      </w:pPr>
    </w:p>
    <w:p w14:paraId="1642AED2" w14:textId="77777777" w:rsidR="002C36AA" w:rsidRPr="00AD0400" w:rsidRDefault="002C36AA" w:rsidP="002C36AA">
      <w:pPr>
        <w:rPr>
          <w:bCs/>
          <w:i/>
        </w:rPr>
      </w:pPr>
      <w:r w:rsidRPr="00AD0400">
        <w:rPr>
          <w:bCs/>
          <w:i/>
        </w:rPr>
        <w:t>Are these characteristics of IDPs homogeneous across regions, gender, age, area of residence and other characteristics?</w:t>
      </w:r>
    </w:p>
    <w:p w14:paraId="1739619E" w14:textId="77777777" w:rsidR="002C36AA" w:rsidRPr="00AD0400" w:rsidRDefault="002C36AA" w:rsidP="002C36AA">
      <w:pPr>
        <w:rPr>
          <w:bCs/>
        </w:rPr>
      </w:pPr>
    </w:p>
    <w:p w14:paraId="0F62AE23" w14:textId="77777777" w:rsidR="002C36AA" w:rsidRPr="00AD0400" w:rsidRDefault="002C36AA" w:rsidP="002C36AA">
      <w:pPr>
        <w:pStyle w:val="ListParagraph"/>
        <w:numPr>
          <w:ilvl w:val="0"/>
          <w:numId w:val="29"/>
        </w:numPr>
        <w:spacing w:after="160" w:line="259" w:lineRule="auto"/>
        <w:rPr>
          <w:bCs/>
        </w:rPr>
      </w:pPr>
      <w:r w:rsidRPr="00AD0400">
        <w:rPr>
          <w:bCs/>
        </w:rPr>
        <w:t xml:space="preserve">Although we see a substantial gap on total labor force participation across IDPs and non-IDPs, we also see that for females, labor force participation is critical for both IDPs and non IDPs.  Certainly, labor force participation for non-IDP males is 7 percent points higher than for IDPs. However, for both IDP and non-IDP females, labor force participation is substantially lower. Non-IDP females have a labor force participation of 68.6%, while IDP females have a labor force participation of 56.1%. </w:t>
      </w:r>
    </w:p>
    <w:p w14:paraId="57BF2FFB" w14:textId="77777777" w:rsidR="002C36AA" w:rsidRPr="00AD0400" w:rsidRDefault="002C36AA" w:rsidP="002C36AA">
      <w:pPr>
        <w:pStyle w:val="ListParagraph"/>
        <w:rPr>
          <w:bCs/>
        </w:rPr>
      </w:pPr>
    </w:p>
    <w:p w14:paraId="5CA0A405" w14:textId="77777777" w:rsidR="002C36AA" w:rsidRPr="00AD0400" w:rsidRDefault="002C36AA" w:rsidP="002C36AA">
      <w:pPr>
        <w:pStyle w:val="ListParagraph"/>
        <w:numPr>
          <w:ilvl w:val="0"/>
          <w:numId w:val="29"/>
        </w:numPr>
        <w:spacing w:after="160" w:line="259" w:lineRule="auto"/>
        <w:rPr>
          <w:bCs/>
        </w:rPr>
      </w:pPr>
      <w:r w:rsidRPr="00AD0400">
        <w:rPr>
          <w:bCs/>
        </w:rPr>
        <w:t>The disparities are even accentuated when comparing employment rates. Female employment rates are way below their male counterparts. However, in regards to employment rates, IDP males also have a huge gap with non-IDP males. While non-IDP males have an employment rate of 74.6%, only 50% of IDP-males are employed, and only 36. 7% of female IDPs are employed.</w:t>
      </w:r>
    </w:p>
    <w:p w14:paraId="19C14CFA" w14:textId="77777777" w:rsidR="002C36AA" w:rsidRPr="00AD0400" w:rsidRDefault="002C36AA" w:rsidP="002C36AA">
      <w:pPr>
        <w:pStyle w:val="ListParagraph"/>
        <w:rPr>
          <w:bCs/>
        </w:rPr>
      </w:pPr>
    </w:p>
    <w:p w14:paraId="27B2E1A6" w14:textId="77777777" w:rsidR="002C36AA" w:rsidRPr="00AD0400" w:rsidRDefault="002C36AA" w:rsidP="002C36AA">
      <w:pPr>
        <w:pStyle w:val="ListParagraph"/>
        <w:numPr>
          <w:ilvl w:val="0"/>
          <w:numId w:val="29"/>
        </w:numPr>
        <w:spacing w:after="160" w:line="259" w:lineRule="auto"/>
        <w:rPr>
          <w:bCs/>
        </w:rPr>
      </w:pPr>
      <w:r w:rsidRPr="00AD0400">
        <w:rPr>
          <w:bCs/>
        </w:rPr>
        <w:t>Consequently unemployment rates are also significantly higher for IDP youth and females, but particularly high for IDP males, where 32.5% of this subset of the population is unemployed. Long term unemployment rates are also significantly higher for subsets of the IDP population, where 23.1% of males are unemployed, 17.5% of females and 18.6% of youth; compared to 9.25% of non-IDP males, 7.7% of non-IDP females and 11% of non-IDP youth.</w:t>
      </w:r>
    </w:p>
    <w:p w14:paraId="14875415" w14:textId="77777777" w:rsidR="002C36AA" w:rsidRPr="00AD0400" w:rsidRDefault="002C36AA" w:rsidP="002C36AA">
      <w:pPr>
        <w:pStyle w:val="ListParagraph"/>
        <w:rPr>
          <w:bCs/>
        </w:rPr>
      </w:pPr>
    </w:p>
    <w:p w14:paraId="26B154A4" w14:textId="77777777" w:rsidR="002C36AA" w:rsidRPr="00AD0400" w:rsidRDefault="002C36AA" w:rsidP="002C36AA">
      <w:pPr>
        <w:pStyle w:val="ListParagraph"/>
        <w:numPr>
          <w:ilvl w:val="0"/>
          <w:numId w:val="29"/>
        </w:numPr>
        <w:spacing w:after="160" w:line="259" w:lineRule="auto"/>
        <w:rPr>
          <w:bCs/>
        </w:rPr>
      </w:pPr>
      <w:r w:rsidRPr="00AD0400">
        <w:rPr>
          <w:bCs/>
        </w:rPr>
        <w:t xml:space="preserve">These gaps are also present across area of residence. Overall, for both IDP and non-IDP groups, labor participation and employment rates are higher in rural areas. Although certainly, lower for IDPs. While 53.4% of non-IDPs are employed in urban areas, only 39.5% of IDPs are employed in urban areas. Similarly, while the employment rate for non-IDPs in rural areas is 78.8%, for IDPs in rural areas it decreases to 51.8%. </w:t>
      </w:r>
    </w:p>
    <w:p w14:paraId="7C08D517" w14:textId="77777777" w:rsidR="002C36AA" w:rsidRPr="00AD0400" w:rsidRDefault="002C36AA" w:rsidP="002C36AA">
      <w:pPr>
        <w:pStyle w:val="ListParagraph"/>
        <w:rPr>
          <w:bCs/>
        </w:rPr>
      </w:pPr>
    </w:p>
    <w:p w14:paraId="79E3D86D" w14:textId="77777777" w:rsidR="002C36AA" w:rsidRPr="00AD0400" w:rsidRDefault="002C36AA" w:rsidP="002C36AA">
      <w:pPr>
        <w:pStyle w:val="ListParagraph"/>
        <w:numPr>
          <w:ilvl w:val="0"/>
          <w:numId w:val="29"/>
        </w:numPr>
        <w:spacing w:after="160" w:line="259" w:lineRule="auto"/>
        <w:rPr>
          <w:bCs/>
        </w:rPr>
      </w:pPr>
      <w:r w:rsidRPr="00AD0400">
        <w:rPr>
          <w:bCs/>
        </w:rPr>
        <w:lastRenderedPageBreak/>
        <w:t>These employment rates are however particularly low for females and youth in urban areas, both for IDPs and non-IDPs. While 62. 6% of non-IDP males and 49.3 of IDP males are employed in urban areas, only 45.9% of non-IDP females and 31.3% of IDP females are employed in urban areas; and only 18.04 of non-IDP youth and 9.7% of IDP youth in urban areas.</w:t>
      </w:r>
    </w:p>
    <w:p w14:paraId="34F2BE37" w14:textId="77777777" w:rsidR="002C36AA" w:rsidRPr="00AD0400" w:rsidRDefault="002C36AA" w:rsidP="002C36AA">
      <w:pPr>
        <w:pStyle w:val="ListParagraph"/>
        <w:rPr>
          <w:bCs/>
        </w:rPr>
      </w:pPr>
    </w:p>
    <w:p w14:paraId="5F781E1E" w14:textId="77777777" w:rsidR="002C36AA" w:rsidRPr="00AD0400" w:rsidRDefault="002C36AA" w:rsidP="002C36AA">
      <w:pPr>
        <w:pStyle w:val="ListParagraph"/>
        <w:numPr>
          <w:ilvl w:val="0"/>
          <w:numId w:val="29"/>
        </w:numPr>
        <w:spacing w:after="160" w:line="259" w:lineRule="auto"/>
        <w:rPr>
          <w:bCs/>
        </w:rPr>
      </w:pPr>
      <w:r w:rsidRPr="00AD0400">
        <w:rPr>
          <w:bCs/>
        </w:rPr>
        <w:t xml:space="preserve">Unemployment rates are also higher in urban areas than in rural areas, overall. But they are also particularly critical for youth, females and male IDPs in urban areas, and for male IDPs in rural areas. The unemployment rates for these for groups are higher than 22%, and even higher than 33% for urban male IDPs, the highest unemployment rate of all subsets of the population. For the non-IDP group, the highest unemployment rate is also for males in urban areas, where it reaches 23.5% of this group. </w:t>
      </w:r>
    </w:p>
    <w:p w14:paraId="1E285272" w14:textId="77777777" w:rsidR="002C36AA" w:rsidRPr="00AD0400" w:rsidRDefault="002C36AA" w:rsidP="002C36AA">
      <w:pPr>
        <w:pStyle w:val="ListParagraph"/>
        <w:rPr>
          <w:bCs/>
        </w:rPr>
      </w:pPr>
    </w:p>
    <w:p w14:paraId="0BEFA853" w14:textId="77777777" w:rsidR="002C36AA" w:rsidRPr="00AD0400" w:rsidRDefault="002C36AA" w:rsidP="002C36AA">
      <w:pPr>
        <w:pStyle w:val="ListParagraph"/>
        <w:numPr>
          <w:ilvl w:val="0"/>
          <w:numId w:val="29"/>
        </w:numPr>
        <w:spacing w:after="160" w:line="259" w:lineRule="auto"/>
        <w:rPr>
          <w:bCs/>
        </w:rPr>
      </w:pPr>
      <w:r w:rsidRPr="00AD0400">
        <w:rPr>
          <w:bCs/>
        </w:rPr>
        <w:t>Long term unemployment follows similar patterns in the sense that the most critical groups are also urban IDPs, where overall unemployment rates reach 21.9%, while in urban non-IDPs it reaches 13.29%. In rural areas, 21.25% of male IDPs are also long-term unemployed.</w:t>
      </w:r>
    </w:p>
    <w:p w14:paraId="04192184" w14:textId="77777777" w:rsidR="002C36AA" w:rsidRPr="00AD0400" w:rsidRDefault="002C36AA" w:rsidP="002C36AA">
      <w:pPr>
        <w:pStyle w:val="ListParagraph"/>
        <w:rPr>
          <w:bCs/>
        </w:rPr>
      </w:pPr>
    </w:p>
    <w:p w14:paraId="5327829E" w14:textId="77777777" w:rsidR="002C36AA" w:rsidRPr="00AD0400" w:rsidRDefault="002C36AA" w:rsidP="002C36AA">
      <w:pPr>
        <w:rPr>
          <w:bCs/>
        </w:rPr>
      </w:pPr>
      <w:r w:rsidRPr="00AD0400">
        <w:rPr>
          <w:noProof/>
        </w:rPr>
        <w:drawing>
          <wp:inline distT="0" distB="0" distL="0" distR="0" wp14:anchorId="5945CEC1" wp14:editId="66199A27">
            <wp:extent cx="5943600" cy="2228850"/>
            <wp:effectExtent l="19050" t="0" r="0" b="0"/>
            <wp:docPr id="4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cstate="print"/>
                    <a:srcRect/>
                    <a:stretch>
                      <a:fillRect/>
                    </a:stretch>
                  </pic:blipFill>
                  <pic:spPr bwMode="auto">
                    <a:xfrm>
                      <a:off x="0" y="0"/>
                      <a:ext cx="5943600" cy="2228850"/>
                    </a:xfrm>
                    <a:prstGeom prst="rect">
                      <a:avLst/>
                    </a:prstGeom>
                    <a:noFill/>
                    <a:ln w="9525">
                      <a:noFill/>
                      <a:miter lim="800000"/>
                      <a:headEnd/>
                      <a:tailEnd/>
                    </a:ln>
                  </pic:spPr>
                </pic:pic>
              </a:graphicData>
            </a:graphic>
          </wp:inline>
        </w:drawing>
      </w:r>
    </w:p>
    <w:p w14:paraId="2DCAD40C" w14:textId="77777777" w:rsidR="002C36AA" w:rsidRPr="00AD0400" w:rsidRDefault="002C36AA" w:rsidP="002C36AA">
      <w:pPr>
        <w:rPr>
          <w:bCs/>
          <w:i/>
        </w:rPr>
      </w:pPr>
    </w:p>
    <w:p w14:paraId="5935925F" w14:textId="77777777" w:rsidR="002C36AA" w:rsidRPr="00AD0400" w:rsidRDefault="002C36AA" w:rsidP="002C36AA">
      <w:pPr>
        <w:rPr>
          <w:bCs/>
          <w:i/>
        </w:rPr>
      </w:pPr>
      <w:r w:rsidRPr="00AD0400">
        <w:rPr>
          <w:bCs/>
          <w:i/>
        </w:rPr>
        <w:t>What are the demographic characteristics of employed and unemployed IDPs?</w:t>
      </w:r>
    </w:p>
    <w:p w14:paraId="773D2152" w14:textId="77777777" w:rsidR="002C36AA" w:rsidRPr="00AD0400" w:rsidRDefault="002C36AA" w:rsidP="002C36AA">
      <w:pPr>
        <w:rPr>
          <w:bCs/>
        </w:rPr>
      </w:pPr>
    </w:p>
    <w:p w14:paraId="7F344CAF" w14:textId="77777777" w:rsidR="002C36AA" w:rsidRPr="00AD0400" w:rsidRDefault="002C36AA" w:rsidP="002C36AA">
      <w:pPr>
        <w:pStyle w:val="ListParagraph"/>
        <w:numPr>
          <w:ilvl w:val="0"/>
          <w:numId w:val="29"/>
        </w:numPr>
        <w:spacing w:after="160" w:line="259" w:lineRule="auto"/>
        <w:rPr>
          <w:bCs/>
        </w:rPr>
      </w:pPr>
      <w:r w:rsidRPr="00AD0400">
        <w:rPr>
          <w:bCs/>
        </w:rPr>
        <w:t xml:space="preserve">If we consider aside the economically active population of Georgia, we’ll see that it is slightly unbalanced across genders: 54% are male, while 46% are female.  This composition is not different for the IDP population, since the IDP labor force is comprised of almost the same proportion of women: 46.4%. </w:t>
      </w:r>
    </w:p>
    <w:p w14:paraId="146EC632" w14:textId="77777777" w:rsidR="002C36AA" w:rsidRPr="00AD0400" w:rsidRDefault="002C36AA" w:rsidP="002C36AA">
      <w:pPr>
        <w:pStyle w:val="ListParagraph"/>
        <w:rPr>
          <w:bCs/>
        </w:rPr>
      </w:pPr>
    </w:p>
    <w:p w14:paraId="78B61FF0" w14:textId="77777777" w:rsidR="002C36AA" w:rsidRPr="00AD0400" w:rsidRDefault="002C36AA" w:rsidP="002C36AA">
      <w:pPr>
        <w:pStyle w:val="ListParagraph"/>
        <w:numPr>
          <w:ilvl w:val="0"/>
          <w:numId w:val="29"/>
        </w:numPr>
        <w:spacing w:after="160" w:line="259" w:lineRule="auto"/>
        <w:rPr>
          <w:bCs/>
        </w:rPr>
      </w:pPr>
      <w:r w:rsidRPr="00AD0400">
        <w:rPr>
          <w:bCs/>
        </w:rPr>
        <w:t>The unemployed population, on the other hand, is mostly comprised of men (58. 6%), and again this situation is not significantly different for IDP, since the unemployed IDP just have a slightly higher proportion of women. The long-term unemployed face a more balanced distribution of gender, since they comprised by just a little higher proportion of men than women, both for IDP and non-IDP.</w:t>
      </w:r>
    </w:p>
    <w:p w14:paraId="7DF427BB" w14:textId="77777777" w:rsidR="002C36AA" w:rsidRPr="00AD0400" w:rsidRDefault="002C36AA" w:rsidP="002C36AA">
      <w:pPr>
        <w:pStyle w:val="ListParagraph"/>
        <w:rPr>
          <w:bCs/>
        </w:rPr>
      </w:pPr>
    </w:p>
    <w:p w14:paraId="1AA5205B" w14:textId="77777777" w:rsidR="002C36AA" w:rsidRPr="00AD0400" w:rsidRDefault="002C36AA" w:rsidP="002C36AA">
      <w:pPr>
        <w:pStyle w:val="ListParagraph"/>
        <w:numPr>
          <w:ilvl w:val="0"/>
          <w:numId w:val="29"/>
        </w:numPr>
        <w:spacing w:after="160" w:line="259" w:lineRule="auto"/>
        <w:rPr>
          <w:bCs/>
        </w:rPr>
      </w:pPr>
      <w:r w:rsidRPr="00AD0400">
        <w:rPr>
          <w:bCs/>
        </w:rPr>
        <w:lastRenderedPageBreak/>
        <w:t>In regards to area of residence, we see that the higher proportion of the economically active population lives in rural areas. However, the composition of the labor force is the opposite for IDPs, for which 74.8% of the labor force lives in urban areas. The composition of the unemployed is more similar across IDPs and non-IDPs, but still unemployed IDPs have a slightly higher proportion of people living in urban areas (82.7% of the unemployed IDP live in urban areas, while 74.8% of the unemployed non-IDP leave in urban areas).  The long-term unemployed population has a similar composition across area of residence for IDPs and non-IDPs.</w:t>
      </w:r>
    </w:p>
    <w:p w14:paraId="4BD6FA6E" w14:textId="77777777" w:rsidR="002C36AA" w:rsidRPr="00AD0400" w:rsidRDefault="002C36AA" w:rsidP="002C36AA">
      <w:pPr>
        <w:pStyle w:val="ListParagraph"/>
        <w:rPr>
          <w:bCs/>
        </w:rPr>
      </w:pPr>
    </w:p>
    <w:p w14:paraId="115230B8" w14:textId="77777777" w:rsidR="002C36AA" w:rsidRPr="00AD0400" w:rsidRDefault="002C36AA" w:rsidP="002C36AA">
      <w:pPr>
        <w:pStyle w:val="ListParagraph"/>
        <w:numPr>
          <w:ilvl w:val="0"/>
          <w:numId w:val="29"/>
        </w:numPr>
        <w:spacing w:after="160" w:line="259" w:lineRule="auto"/>
        <w:rPr>
          <w:bCs/>
        </w:rPr>
      </w:pPr>
      <w:r w:rsidRPr="00AD0400">
        <w:rPr>
          <w:bCs/>
        </w:rPr>
        <w:t xml:space="preserve">  The labor force is primarily comprised of people from 25 to 54 years old, where the biggest group is the population between 45 to 54 years old. The biggest group however for IDPs is people from 35 to 44 years old. This is, IDP labor force is comprised of a slightly younger population than the rest. The situation is the opposite for the unemployed population. While the biggest cohort of the unemployed among non-IDPs is the group between 25 to 34 years old, the biggest cohort for IDPs is the group between 35 to 44 years old. This is, most unemployed are young, while the unemployed IDPs are relatively older. The same holds for the long-term unemployed population.</w:t>
      </w:r>
    </w:p>
    <w:p w14:paraId="1923C5C2" w14:textId="77777777" w:rsidR="002C36AA" w:rsidRPr="00AD0400" w:rsidRDefault="002C36AA" w:rsidP="002C36AA">
      <w:pPr>
        <w:pStyle w:val="ListParagraph"/>
        <w:rPr>
          <w:bCs/>
        </w:rPr>
      </w:pPr>
    </w:p>
    <w:p w14:paraId="0C665ED3" w14:textId="77777777" w:rsidR="002C36AA" w:rsidRPr="00AD0400" w:rsidRDefault="002C36AA" w:rsidP="002C36AA">
      <w:pPr>
        <w:pStyle w:val="ListParagraph"/>
        <w:numPr>
          <w:ilvl w:val="0"/>
          <w:numId w:val="29"/>
        </w:numPr>
        <w:spacing w:after="160" w:line="259" w:lineRule="auto"/>
        <w:rPr>
          <w:bCs/>
        </w:rPr>
      </w:pPr>
      <w:r w:rsidRPr="00AD0400">
        <w:rPr>
          <w:bCs/>
        </w:rPr>
        <w:t xml:space="preserve">The labor force is comprised mainly by people with tertiary or secondary school as the highest levels of education achieved. This composition is homogeneous across IDPs and non IDPs.  Most of the unemployed population, however, has tertiary education as their highest degree achieved.  Both, the unemployed and the long term unemployed IDPs have also, primarily, tertiary education as their highest degree achieved, but a big group has also secondary education as their highest level of education. </w:t>
      </w:r>
    </w:p>
    <w:p w14:paraId="4E5072BC" w14:textId="77777777" w:rsidR="002C36AA" w:rsidRPr="00AD0400" w:rsidRDefault="002C36AA" w:rsidP="002C36AA">
      <w:pPr>
        <w:pStyle w:val="ListParagraph"/>
        <w:rPr>
          <w:bCs/>
        </w:rPr>
      </w:pPr>
    </w:p>
    <w:p w14:paraId="7F4E64F8" w14:textId="77777777" w:rsidR="002C36AA" w:rsidRPr="00AD0400" w:rsidRDefault="002C36AA" w:rsidP="002C36AA">
      <w:pPr>
        <w:pStyle w:val="ListParagraph"/>
        <w:numPr>
          <w:ilvl w:val="0"/>
          <w:numId w:val="29"/>
        </w:numPr>
        <w:spacing w:after="160" w:line="259" w:lineRule="auto"/>
        <w:rPr>
          <w:bCs/>
        </w:rPr>
      </w:pPr>
      <w:r w:rsidRPr="00AD0400">
        <w:rPr>
          <w:bCs/>
        </w:rPr>
        <w:t xml:space="preserve">Regarding the relationship with the head of household, 31.7% of the labor force is actually the head of household; while for IDPs head of households represent 34.6%, probably given the higher proportion of women as head of household among IDPs.  Among the unemployed and long term unemployed, most of them are not either head of households or spouses. </w:t>
      </w:r>
    </w:p>
    <w:p w14:paraId="7D8473A7" w14:textId="77777777" w:rsidR="002C36AA" w:rsidRPr="00AD0400" w:rsidRDefault="002C36AA" w:rsidP="002C36AA">
      <w:pPr>
        <w:pStyle w:val="ListParagraph"/>
        <w:rPr>
          <w:bCs/>
        </w:rPr>
      </w:pPr>
    </w:p>
    <w:p w14:paraId="5D55CDB8" w14:textId="3A2D1CCE" w:rsidR="002C36AA" w:rsidRPr="00AD0400" w:rsidRDefault="002C36AA" w:rsidP="002C36AA">
      <w:pPr>
        <w:pStyle w:val="ListParagraph"/>
        <w:numPr>
          <w:ilvl w:val="0"/>
          <w:numId w:val="29"/>
        </w:numPr>
        <w:spacing w:after="160" w:line="259" w:lineRule="auto"/>
        <w:rPr>
          <w:bCs/>
        </w:rPr>
      </w:pPr>
      <w:r w:rsidRPr="00AD0400">
        <w:rPr>
          <w:bCs/>
        </w:rPr>
        <w:t>The share of members between 0 and 14 years old represents 14.9% of the labor force, 13.9% of the unemployed and 13.4% of the long-term unemployed. These ratios are relatively similar for both IDP and non IDPs. Also, the share of adults between 65 and more represent between 8 and 10% of the labor force or unemployed population, and there are not significant differences between the IDP and non IDPs.</w:t>
      </w:r>
    </w:p>
    <w:p w14:paraId="3FC1F604" w14:textId="77777777" w:rsidR="002C36AA" w:rsidRPr="00AD0400" w:rsidRDefault="002C36AA" w:rsidP="002C36AA">
      <w:pPr>
        <w:pStyle w:val="ListParagraph"/>
        <w:rPr>
          <w:bCs/>
        </w:rPr>
      </w:pPr>
    </w:p>
    <w:p w14:paraId="0F07E00E" w14:textId="77777777" w:rsidR="002C36AA" w:rsidRPr="00AD0400" w:rsidRDefault="002C36AA" w:rsidP="002C36AA">
      <w:pPr>
        <w:pStyle w:val="ListParagraph"/>
        <w:numPr>
          <w:ilvl w:val="0"/>
          <w:numId w:val="29"/>
        </w:numPr>
        <w:spacing w:after="160" w:line="259" w:lineRule="auto"/>
        <w:rPr>
          <w:bCs/>
        </w:rPr>
      </w:pPr>
      <w:r w:rsidRPr="00AD0400">
        <w:rPr>
          <w:bCs/>
        </w:rPr>
        <w:t xml:space="preserve">The percent of the labor force, unemployed and long-term unemployed who receive remittances or social assistance is higher for IDPs than for non IDPs. While 21. 9 % of the rest of the labor force receives remittances or social assistance, 23.8% of IDPs receive these transfers. Also, while 25.3% of the rest of the unemployed receive transfers, 27% of the unemployed IDPs receive transfers. </w:t>
      </w:r>
    </w:p>
    <w:p w14:paraId="3C2B4271" w14:textId="77777777" w:rsidR="002C36AA" w:rsidRPr="00AD0400" w:rsidRDefault="002C36AA" w:rsidP="002C36AA">
      <w:pPr>
        <w:pStyle w:val="ListParagraph"/>
        <w:rPr>
          <w:bCs/>
        </w:rPr>
      </w:pPr>
    </w:p>
    <w:p w14:paraId="62A0BC38" w14:textId="77777777" w:rsidR="002C36AA" w:rsidRPr="00AD0400" w:rsidRDefault="002C36AA" w:rsidP="002C36AA">
      <w:pPr>
        <w:pStyle w:val="ListParagraph"/>
        <w:numPr>
          <w:ilvl w:val="0"/>
          <w:numId w:val="29"/>
        </w:numPr>
        <w:spacing w:after="160" w:line="259" w:lineRule="auto"/>
        <w:rPr>
          <w:bCs/>
        </w:rPr>
      </w:pPr>
      <w:r w:rsidRPr="00AD0400">
        <w:rPr>
          <w:bCs/>
        </w:rPr>
        <w:t xml:space="preserve">We see a pretty mixed geographic distribution of the labor force and the unemployed across IDPs and non IDPs. While most of the labor force is pretty dispersed across locations, primarily between Tbilisi, Imereti, Racha-Lechkhumi, Kvemo Svaneti, Samegrelo-Zemo Svaneti, Adjara; 43.2% of the IDP labor force is concentrated in Tbilisi and more than a fourth in Samegrelo-Zemo Svaneti. Again, most of the unemployed are located in Tbilisi (44.8%), and even more IDPs unemployed (52% of unemployed IDPs). The rest of unemployed are again disperse across locations, while the </w:t>
      </w:r>
      <w:r w:rsidRPr="00AD0400">
        <w:rPr>
          <w:bCs/>
        </w:rPr>
        <w:lastRenderedPageBreak/>
        <w:t xml:space="preserve">majority of the remaining unemployed IDPs are located in Samegrelo-Zemo Svaneti. And the distribution is pretty similar for the long-term unemployed.   </w:t>
      </w:r>
    </w:p>
    <w:p w14:paraId="4B61A202" w14:textId="77777777" w:rsidR="002C36AA" w:rsidRPr="00AD0400" w:rsidRDefault="002C36AA" w:rsidP="002C36AA">
      <w:pPr>
        <w:pStyle w:val="ListParagraph"/>
        <w:rPr>
          <w:bCs/>
        </w:rPr>
      </w:pPr>
    </w:p>
    <w:p w14:paraId="7B91159E" w14:textId="77777777" w:rsidR="002C36AA" w:rsidRPr="00AD0400" w:rsidRDefault="002C36AA" w:rsidP="002C36AA">
      <w:pPr>
        <w:pStyle w:val="ListParagraph"/>
        <w:rPr>
          <w:bCs/>
        </w:rPr>
      </w:pPr>
    </w:p>
    <w:p w14:paraId="07F74803" w14:textId="77777777" w:rsidR="002C36AA" w:rsidRPr="00AD0400" w:rsidRDefault="002C36AA" w:rsidP="002C36AA">
      <w:pPr>
        <w:rPr>
          <w:bCs/>
        </w:rPr>
      </w:pPr>
      <w:r w:rsidRPr="00AD0400">
        <w:rPr>
          <w:noProof/>
        </w:rPr>
        <w:drawing>
          <wp:inline distT="0" distB="0" distL="0" distR="0" wp14:anchorId="7F3BB46A" wp14:editId="30853614">
            <wp:extent cx="5943600" cy="4369730"/>
            <wp:effectExtent l="19050" t="0" r="0" b="0"/>
            <wp:docPr id="5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cstate="print"/>
                    <a:srcRect/>
                    <a:stretch>
                      <a:fillRect/>
                    </a:stretch>
                  </pic:blipFill>
                  <pic:spPr bwMode="auto">
                    <a:xfrm>
                      <a:off x="0" y="0"/>
                      <a:ext cx="5943600" cy="4369730"/>
                    </a:xfrm>
                    <a:prstGeom prst="rect">
                      <a:avLst/>
                    </a:prstGeom>
                    <a:noFill/>
                    <a:ln w="9525">
                      <a:noFill/>
                      <a:miter lim="800000"/>
                      <a:headEnd/>
                      <a:tailEnd/>
                    </a:ln>
                  </pic:spPr>
                </pic:pic>
              </a:graphicData>
            </a:graphic>
          </wp:inline>
        </w:drawing>
      </w:r>
    </w:p>
    <w:p w14:paraId="34924713" w14:textId="77777777" w:rsidR="002C36AA" w:rsidRPr="00AD0400" w:rsidRDefault="002C36AA" w:rsidP="002C36AA">
      <w:pPr>
        <w:rPr>
          <w:bCs/>
          <w:i/>
        </w:rPr>
      </w:pPr>
    </w:p>
    <w:p w14:paraId="6ABD6F47" w14:textId="5FA95505" w:rsidR="002C36AA" w:rsidRPr="00AD0400" w:rsidRDefault="002C36AA" w:rsidP="002C36AA">
      <w:pPr>
        <w:rPr>
          <w:bCs/>
          <w:i/>
        </w:rPr>
      </w:pPr>
      <w:r w:rsidRPr="00AD0400">
        <w:rPr>
          <w:bCs/>
          <w:i/>
        </w:rPr>
        <w:t>Do poor and non</w:t>
      </w:r>
      <w:r w:rsidR="00A94728">
        <w:rPr>
          <w:bCs/>
          <w:i/>
        </w:rPr>
        <w:t>-</w:t>
      </w:r>
      <w:r w:rsidRPr="00AD0400">
        <w:rPr>
          <w:bCs/>
          <w:i/>
        </w:rPr>
        <w:t>poor IDPs have the same levels of unemployment as the rest of the population?</w:t>
      </w:r>
    </w:p>
    <w:p w14:paraId="0062ECA9" w14:textId="77777777" w:rsidR="002C36AA" w:rsidRPr="00AD0400" w:rsidRDefault="002C36AA" w:rsidP="002C36AA">
      <w:pPr>
        <w:rPr>
          <w:bCs/>
        </w:rPr>
      </w:pPr>
    </w:p>
    <w:p w14:paraId="6E1DB827" w14:textId="7F61869D" w:rsidR="002C36AA" w:rsidRPr="00AD0400" w:rsidRDefault="002C36AA" w:rsidP="002C36AA">
      <w:pPr>
        <w:pStyle w:val="ListParagraph"/>
        <w:numPr>
          <w:ilvl w:val="0"/>
          <w:numId w:val="29"/>
        </w:numPr>
        <w:spacing w:after="160" w:line="259" w:lineRule="auto"/>
        <w:rPr>
          <w:bCs/>
        </w:rPr>
      </w:pPr>
      <w:r w:rsidRPr="00AD0400">
        <w:rPr>
          <w:bCs/>
        </w:rPr>
        <w:t>Non poor IDPs have higher unemployment rates than even poor non IDPs. While unemployment for non</w:t>
      </w:r>
      <w:r w:rsidR="00A94728">
        <w:rPr>
          <w:bCs/>
        </w:rPr>
        <w:t>-</w:t>
      </w:r>
      <w:r w:rsidRPr="00AD0400">
        <w:rPr>
          <w:bCs/>
        </w:rPr>
        <w:t>poor, non IDPs is 11.05% and for poor non IDPs is 13.8%; unemployment for non</w:t>
      </w:r>
      <w:r w:rsidR="00A94728">
        <w:rPr>
          <w:bCs/>
        </w:rPr>
        <w:t>-</w:t>
      </w:r>
      <w:r w:rsidRPr="00AD0400">
        <w:rPr>
          <w:bCs/>
        </w:rPr>
        <w:t>poor IDPs is 18.9%, and for poor IDPs is as high as 33.5%. The most critical unemployment rates are for men.</w:t>
      </w:r>
    </w:p>
    <w:p w14:paraId="052EA92F" w14:textId="77777777" w:rsidR="002C36AA" w:rsidRPr="00AD0400" w:rsidRDefault="002C36AA" w:rsidP="002C36AA">
      <w:pPr>
        <w:pStyle w:val="ListParagraph"/>
        <w:rPr>
          <w:bCs/>
        </w:rPr>
      </w:pPr>
    </w:p>
    <w:p w14:paraId="6A1D190F" w14:textId="77777777" w:rsidR="002C36AA" w:rsidRPr="00AD0400" w:rsidRDefault="002C36AA" w:rsidP="002C36AA">
      <w:pPr>
        <w:pStyle w:val="ListParagraph"/>
        <w:numPr>
          <w:ilvl w:val="0"/>
          <w:numId w:val="29"/>
        </w:numPr>
        <w:spacing w:after="160" w:line="259" w:lineRule="auto"/>
        <w:rPr>
          <w:bCs/>
        </w:rPr>
      </w:pPr>
      <w:r w:rsidRPr="00AD0400">
        <w:rPr>
          <w:bCs/>
        </w:rPr>
        <w:t xml:space="preserve">However, when looking at temporary unemployment rates (looking for a job for less than one year), we see that unemployment rates for IDPs and non IDPs are not quite different. Again, male IDPs have the highest temporal unemployment rates. </w:t>
      </w:r>
    </w:p>
    <w:p w14:paraId="79573BFF" w14:textId="77777777" w:rsidR="002C36AA" w:rsidRPr="00AD0400" w:rsidRDefault="002C36AA" w:rsidP="002C36AA">
      <w:pPr>
        <w:pStyle w:val="ListParagraph"/>
        <w:rPr>
          <w:bCs/>
        </w:rPr>
      </w:pPr>
    </w:p>
    <w:p w14:paraId="22A5A6E4" w14:textId="5B762640" w:rsidR="002C36AA" w:rsidRPr="00AD0400" w:rsidRDefault="002C36AA" w:rsidP="002C36AA">
      <w:pPr>
        <w:pStyle w:val="ListParagraph"/>
        <w:numPr>
          <w:ilvl w:val="0"/>
          <w:numId w:val="29"/>
        </w:numPr>
        <w:spacing w:after="160" w:line="259" w:lineRule="auto"/>
        <w:rPr>
          <w:bCs/>
        </w:rPr>
      </w:pPr>
      <w:r w:rsidRPr="00AD0400">
        <w:rPr>
          <w:bCs/>
        </w:rPr>
        <w:t>But if we examine long term unemployment rates, we see that the disparities between IDPs and non IDPs are huge. Non poor IDPs double long term unemployment rates of non</w:t>
      </w:r>
      <w:r w:rsidR="00A94728">
        <w:rPr>
          <w:bCs/>
        </w:rPr>
        <w:t>-</w:t>
      </w:r>
      <w:r w:rsidRPr="00AD0400">
        <w:rPr>
          <w:bCs/>
        </w:rPr>
        <w:t>poor non IDPs; and poor IDPs have almost three times higher unemployment rates than poor non IDPs.</w:t>
      </w:r>
      <w:r w:rsidRPr="00AD0400">
        <w:rPr>
          <w:bCs/>
        </w:rPr>
        <w:tab/>
      </w:r>
    </w:p>
    <w:p w14:paraId="4800390B" w14:textId="77777777" w:rsidR="002C36AA" w:rsidRPr="00AD0400" w:rsidRDefault="002C36AA" w:rsidP="002C36AA">
      <w:pPr>
        <w:pStyle w:val="ListParagraph"/>
        <w:rPr>
          <w:bCs/>
        </w:rPr>
      </w:pPr>
    </w:p>
    <w:p w14:paraId="4DA13D87" w14:textId="6FB6E69F" w:rsidR="002C36AA" w:rsidRPr="0036006E" w:rsidRDefault="002C36AA" w:rsidP="0036006E">
      <w:pPr>
        <w:pStyle w:val="ListParagraph"/>
        <w:numPr>
          <w:ilvl w:val="0"/>
          <w:numId w:val="29"/>
        </w:numPr>
        <w:spacing w:after="160" w:line="259" w:lineRule="auto"/>
        <w:rPr>
          <w:bCs/>
          <w:i/>
        </w:rPr>
      </w:pPr>
      <w:r w:rsidRPr="00AD0400">
        <w:rPr>
          <w:bCs/>
        </w:rPr>
        <w:t>Poor IDPs have a percentage of people who have never worked before three times higher than poor non IDPs.</w:t>
      </w:r>
    </w:p>
    <w:p w14:paraId="3DC24B98" w14:textId="77777777" w:rsidR="002C36AA" w:rsidRPr="00AD0400" w:rsidRDefault="002C36AA" w:rsidP="002C36AA">
      <w:pPr>
        <w:rPr>
          <w:bCs/>
          <w:i/>
        </w:rPr>
      </w:pPr>
      <w:r w:rsidRPr="00AD0400">
        <w:rPr>
          <w:noProof/>
        </w:rPr>
        <w:drawing>
          <wp:inline distT="0" distB="0" distL="0" distR="0" wp14:anchorId="01786294" wp14:editId="026A7BEB">
            <wp:extent cx="5943600" cy="2637046"/>
            <wp:effectExtent l="1905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cstate="print"/>
                    <a:srcRect/>
                    <a:stretch>
                      <a:fillRect/>
                    </a:stretch>
                  </pic:blipFill>
                  <pic:spPr bwMode="auto">
                    <a:xfrm>
                      <a:off x="0" y="0"/>
                      <a:ext cx="5943600" cy="2637046"/>
                    </a:xfrm>
                    <a:prstGeom prst="rect">
                      <a:avLst/>
                    </a:prstGeom>
                    <a:noFill/>
                    <a:ln w="9525">
                      <a:noFill/>
                      <a:miter lim="800000"/>
                      <a:headEnd/>
                      <a:tailEnd/>
                    </a:ln>
                  </pic:spPr>
                </pic:pic>
              </a:graphicData>
            </a:graphic>
          </wp:inline>
        </w:drawing>
      </w:r>
      <w:r w:rsidRPr="00AD0400">
        <w:rPr>
          <w:bCs/>
          <w:i/>
        </w:rPr>
        <w:t xml:space="preserve"> </w:t>
      </w:r>
    </w:p>
    <w:p w14:paraId="61DAE11B" w14:textId="77777777" w:rsidR="002C36AA" w:rsidRPr="00AD0400" w:rsidRDefault="002C36AA" w:rsidP="002C36AA">
      <w:pPr>
        <w:rPr>
          <w:bCs/>
          <w:i/>
        </w:rPr>
      </w:pPr>
      <w:r w:rsidRPr="00AD0400">
        <w:rPr>
          <w:bCs/>
          <w:i/>
        </w:rPr>
        <w:t>Do IDPs work in the same activity sectors as the rest of the population?</w:t>
      </w:r>
    </w:p>
    <w:p w14:paraId="24FAAF50" w14:textId="77777777" w:rsidR="002C36AA" w:rsidRPr="00AD0400" w:rsidRDefault="002C36AA" w:rsidP="002C36AA">
      <w:pPr>
        <w:rPr>
          <w:bCs/>
        </w:rPr>
      </w:pPr>
    </w:p>
    <w:p w14:paraId="4024561F" w14:textId="77777777" w:rsidR="002C36AA" w:rsidRPr="00AD0400" w:rsidRDefault="002C36AA" w:rsidP="002C36AA">
      <w:pPr>
        <w:pStyle w:val="ListParagraph"/>
        <w:numPr>
          <w:ilvl w:val="0"/>
          <w:numId w:val="29"/>
        </w:numPr>
        <w:spacing w:after="160" w:line="259" w:lineRule="auto"/>
        <w:rPr>
          <w:bCs/>
        </w:rPr>
      </w:pPr>
      <w:r w:rsidRPr="00AD0400">
        <w:rPr>
          <w:bCs/>
        </w:rPr>
        <w:t xml:space="preserve">Most of the employed people in Georgia, according to the IHS, work mostly in the education sector, public administration, retail trade and manufacturing.  The IDPs are even more highly concentrated in the same areas, but, in addition, 8.6% works in hotel and restaurants, 6.8% in transport and communication and 7.2% in real estate, renting and business activities.     </w:t>
      </w:r>
    </w:p>
    <w:p w14:paraId="4D08B6BB" w14:textId="77777777" w:rsidR="002C36AA" w:rsidRPr="00AD0400" w:rsidRDefault="002C36AA" w:rsidP="002C36AA">
      <w:pPr>
        <w:pStyle w:val="ListParagraph"/>
        <w:rPr>
          <w:bCs/>
        </w:rPr>
      </w:pPr>
    </w:p>
    <w:p w14:paraId="62570B1C" w14:textId="77777777" w:rsidR="002C36AA" w:rsidRPr="00AD0400" w:rsidRDefault="002C36AA" w:rsidP="002C36AA">
      <w:pPr>
        <w:pStyle w:val="ListParagraph"/>
        <w:numPr>
          <w:ilvl w:val="0"/>
          <w:numId w:val="29"/>
        </w:numPr>
        <w:spacing w:after="160" w:line="259" w:lineRule="auto"/>
        <w:rPr>
          <w:bCs/>
        </w:rPr>
      </w:pPr>
      <w:r w:rsidRPr="00AD0400">
        <w:rPr>
          <w:bCs/>
        </w:rPr>
        <w:t xml:space="preserve">From the self-employed population, 81% works in agriculture, hunting and forestry or fishing, 9.4% in wholesale and retail trade, and very few in other activities. For the IDP self-employed, the percent of people working in agriculture, hunting and forestry or fishing decreases to 53% and the percentage of people in the wholesale and retail sector increases to 27.8%. </w:t>
      </w:r>
    </w:p>
    <w:p w14:paraId="40520F95" w14:textId="77777777" w:rsidR="002C36AA" w:rsidRPr="00AD0400" w:rsidRDefault="002C36AA" w:rsidP="002C36AA">
      <w:pPr>
        <w:pStyle w:val="ListParagraph"/>
        <w:rPr>
          <w:bCs/>
        </w:rPr>
      </w:pPr>
    </w:p>
    <w:p w14:paraId="272C9BE0" w14:textId="77777777" w:rsidR="002C36AA" w:rsidRPr="00AD0400" w:rsidRDefault="002C36AA" w:rsidP="002C36AA">
      <w:pPr>
        <w:pStyle w:val="ListParagraph"/>
        <w:numPr>
          <w:ilvl w:val="0"/>
          <w:numId w:val="29"/>
        </w:numPr>
        <w:spacing w:after="160" w:line="259" w:lineRule="auto"/>
        <w:rPr>
          <w:bCs/>
        </w:rPr>
      </w:pPr>
      <w:r w:rsidRPr="00AD0400">
        <w:rPr>
          <w:bCs/>
        </w:rPr>
        <w:t xml:space="preserve">In summary, while most of the rest of the population works in the agricultural sector (47.8%), the percent of IDPs working in agriculture is significantly smaller (22%). Most likely given that, as seen, 74.8% of the IDP labor force is concentrated in urban areas. A fifth of the IDPs work in wholesale and retail trade, and non-negligible quantities (more than 5% of total IDPs) in: manufacturing, hotel and restaurants, transport and communications, construction, public administration and education.  This is, most of the IDPs are concentrated in urban activities, as opposed to the rest of the population who are primarily working in agriculture. </w:t>
      </w:r>
    </w:p>
    <w:p w14:paraId="7564A48F" w14:textId="77777777" w:rsidR="002C36AA" w:rsidRPr="00AD0400" w:rsidRDefault="002C36AA" w:rsidP="002C36AA">
      <w:pPr>
        <w:pStyle w:val="ListParagraph"/>
        <w:rPr>
          <w:bCs/>
        </w:rPr>
      </w:pPr>
    </w:p>
    <w:p w14:paraId="3109E707" w14:textId="77777777" w:rsidR="002C36AA" w:rsidRPr="00AD0400" w:rsidRDefault="002C36AA" w:rsidP="002C36AA">
      <w:pPr>
        <w:pStyle w:val="ListParagraph"/>
        <w:numPr>
          <w:ilvl w:val="0"/>
          <w:numId w:val="29"/>
        </w:numPr>
        <w:spacing w:after="160" w:line="259" w:lineRule="auto"/>
        <w:rPr>
          <w:bCs/>
        </w:rPr>
      </w:pPr>
      <w:r w:rsidRPr="00AD0400">
        <w:rPr>
          <w:bCs/>
        </w:rPr>
        <w:t xml:space="preserve">This context enlightens some risks of using a Targeted Social Assistance based on assets ownership, since a significant proportion of the population working in the agricultural sector could be left out, when in fact they could still not meet poverty, nutritional or other criteria.  </w:t>
      </w:r>
    </w:p>
    <w:p w14:paraId="63F0D2BB" w14:textId="77777777" w:rsidR="002C36AA" w:rsidRPr="00AD0400" w:rsidRDefault="002C36AA" w:rsidP="002C36AA">
      <w:pPr>
        <w:rPr>
          <w:bCs/>
        </w:rPr>
      </w:pPr>
      <w:r w:rsidRPr="00AD0400">
        <w:rPr>
          <w:noProof/>
        </w:rPr>
        <w:lastRenderedPageBreak/>
        <w:drawing>
          <wp:inline distT="0" distB="0" distL="0" distR="0" wp14:anchorId="4A20AA08" wp14:editId="6227DB11">
            <wp:extent cx="5943600" cy="4775670"/>
            <wp:effectExtent l="19050" t="0" r="0" b="0"/>
            <wp:docPr id="4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cstate="print"/>
                    <a:srcRect/>
                    <a:stretch>
                      <a:fillRect/>
                    </a:stretch>
                  </pic:blipFill>
                  <pic:spPr bwMode="auto">
                    <a:xfrm>
                      <a:off x="0" y="0"/>
                      <a:ext cx="5943600" cy="4775670"/>
                    </a:xfrm>
                    <a:prstGeom prst="rect">
                      <a:avLst/>
                    </a:prstGeom>
                    <a:noFill/>
                    <a:ln w="9525">
                      <a:noFill/>
                      <a:miter lim="800000"/>
                      <a:headEnd/>
                      <a:tailEnd/>
                    </a:ln>
                  </pic:spPr>
                </pic:pic>
              </a:graphicData>
            </a:graphic>
          </wp:inline>
        </w:drawing>
      </w:r>
    </w:p>
    <w:p w14:paraId="28D12BF3" w14:textId="77777777" w:rsidR="002C36AA" w:rsidRPr="00AD0400" w:rsidRDefault="002C36AA" w:rsidP="002C36AA">
      <w:pPr>
        <w:pStyle w:val="ListParagraph"/>
        <w:rPr>
          <w:bCs/>
        </w:rPr>
      </w:pPr>
    </w:p>
    <w:p w14:paraId="06E438CB" w14:textId="77777777" w:rsidR="002C36AA" w:rsidRPr="00F24F5A" w:rsidRDefault="002C36AA" w:rsidP="00F24F5A">
      <w:pPr>
        <w:rPr>
          <w:bCs/>
        </w:rPr>
      </w:pPr>
    </w:p>
    <w:p w14:paraId="7C637160" w14:textId="77777777" w:rsidR="002C36AA" w:rsidRPr="0036006E" w:rsidRDefault="002C36AA" w:rsidP="002C36AA">
      <w:pPr>
        <w:pStyle w:val="ListParagraph"/>
        <w:rPr>
          <w:bCs/>
          <w:i/>
        </w:rPr>
      </w:pPr>
      <w:r w:rsidRPr="0036006E">
        <w:rPr>
          <w:bCs/>
          <w:i/>
        </w:rPr>
        <w:t>Appendix: Methodology and Estimation of Standard Errors</w:t>
      </w:r>
    </w:p>
    <w:p w14:paraId="0E016178" w14:textId="77777777" w:rsidR="002C36AA" w:rsidRPr="00AD0400" w:rsidRDefault="002C36AA" w:rsidP="002C36AA">
      <w:pPr>
        <w:pStyle w:val="ListParagraph"/>
        <w:rPr>
          <w:bCs/>
        </w:rPr>
      </w:pPr>
    </w:p>
    <w:p w14:paraId="6604FA27" w14:textId="77777777" w:rsidR="002C36AA" w:rsidRPr="00AD0400" w:rsidRDefault="002C36AA" w:rsidP="002C36AA">
      <w:pPr>
        <w:pStyle w:val="ListParagraph"/>
        <w:rPr>
          <w:bCs/>
        </w:rPr>
      </w:pPr>
      <w:r w:rsidRPr="00AD0400">
        <w:rPr>
          <w:bCs/>
        </w:rPr>
        <w:t xml:space="preserve">We have presented mostly sample means for different subpopulations, which are certainly subject to errors. These standard errors depend on the sample size and the variance of the indicators in the samples. The following table presents the standard deviation obtained from the sample means (also reported in the table) of the poverty averages, as well as their confidence intervals. </w:t>
      </w:r>
    </w:p>
    <w:p w14:paraId="67FDA7E5" w14:textId="77777777" w:rsidR="002C36AA" w:rsidRPr="00AD0400" w:rsidRDefault="002C36AA" w:rsidP="002C36AA">
      <w:pPr>
        <w:pStyle w:val="ListParagraph"/>
        <w:rPr>
          <w:bCs/>
        </w:rPr>
      </w:pPr>
    </w:p>
    <w:p w14:paraId="091EF474" w14:textId="77777777" w:rsidR="002C36AA" w:rsidRPr="00AD0400" w:rsidRDefault="002C36AA" w:rsidP="002C36AA">
      <w:pPr>
        <w:pStyle w:val="ListParagraph"/>
        <w:rPr>
          <w:bCs/>
        </w:rPr>
      </w:pPr>
      <w:r w:rsidRPr="00AD0400">
        <w:rPr>
          <w:bCs/>
        </w:rPr>
        <w:t>We see that the standard deviations are relatively high, given the high variance of poverty rates (and consumption levels) in the sample. But given that we do have a large sample size, the high variance is not as problematic. We hence observe that for all the subgroups on the table, confidence intervals do not overlap. Differences in poverty rates for Tbilisi, the rest of urban areas and rural areas are statistically significant.</w:t>
      </w:r>
    </w:p>
    <w:p w14:paraId="0394CE13" w14:textId="77777777" w:rsidR="002C36AA" w:rsidRPr="00AD0400" w:rsidRDefault="002C36AA" w:rsidP="002C36AA">
      <w:pPr>
        <w:pStyle w:val="ListParagraph"/>
        <w:rPr>
          <w:bCs/>
        </w:rPr>
      </w:pPr>
    </w:p>
    <w:p w14:paraId="7EB270C3" w14:textId="77777777" w:rsidR="002C36AA" w:rsidRPr="00AD0400" w:rsidRDefault="002C36AA" w:rsidP="002C36AA">
      <w:pPr>
        <w:pStyle w:val="ListParagraph"/>
        <w:jc w:val="center"/>
        <w:rPr>
          <w:bCs/>
        </w:rPr>
      </w:pPr>
    </w:p>
    <w:p w14:paraId="1E9CDC15" w14:textId="77777777" w:rsidR="002C36AA" w:rsidRPr="00AD0400" w:rsidRDefault="002C36AA" w:rsidP="002C36AA">
      <w:pPr>
        <w:pStyle w:val="ListParagraph"/>
        <w:jc w:val="center"/>
        <w:rPr>
          <w:bCs/>
        </w:rPr>
      </w:pPr>
      <w:r w:rsidRPr="00AD0400">
        <w:rPr>
          <w:noProof/>
        </w:rPr>
        <w:lastRenderedPageBreak/>
        <w:drawing>
          <wp:inline distT="0" distB="0" distL="0" distR="0" wp14:anchorId="2E0C0AD2" wp14:editId="1F07E67E">
            <wp:extent cx="3379470" cy="3212465"/>
            <wp:effectExtent l="19050" t="0" r="0" b="0"/>
            <wp:docPr id="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srcRect/>
                    <a:stretch>
                      <a:fillRect/>
                    </a:stretch>
                  </pic:blipFill>
                  <pic:spPr bwMode="auto">
                    <a:xfrm>
                      <a:off x="0" y="0"/>
                      <a:ext cx="3379470" cy="3212465"/>
                    </a:xfrm>
                    <a:prstGeom prst="rect">
                      <a:avLst/>
                    </a:prstGeom>
                    <a:noFill/>
                    <a:ln w="9525">
                      <a:noFill/>
                      <a:miter lim="800000"/>
                      <a:headEnd/>
                      <a:tailEnd/>
                    </a:ln>
                  </pic:spPr>
                </pic:pic>
              </a:graphicData>
            </a:graphic>
          </wp:inline>
        </w:drawing>
      </w:r>
    </w:p>
    <w:p w14:paraId="02B3D332" w14:textId="77777777" w:rsidR="002C36AA" w:rsidRPr="00AD0400" w:rsidRDefault="002C36AA" w:rsidP="002C36AA">
      <w:pPr>
        <w:pStyle w:val="ListParagraph"/>
        <w:rPr>
          <w:bCs/>
        </w:rPr>
      </w:pPr>
    </w:p>
    <w:p w14:paraId="47B9D62B" w14:textId="77777777" w:rsidR="002C36AA" w:rsidRPr="00AD0400" w:rsidRDefault="002C36AA" w:rsidP="002C36AA">
      <w:pPr>
        <w:pStyle w:val="ListParagraph"/>
        <w:rPr>
          <w:bCs/>
        </w:rPr>
      </w:pPr>
    </w:p>
    <w:p w14:paraId="3F5A0185" w14:textId="77777777" w:rsidR="002C36AA" w:rsidRPr="00AD0400" w:rsidRDefault="002C36AA" w:rsidP="002C36AA">
      <w:pPr>
        <w:pStyle w:val="ListParagraph"/>
        <w:rPr>
          <w:bCs/>
        </w:rPr>
      </w:pPr>
    </w:p>
    <w:p w14:paraId="7AF92A3F" w14:textId="77777777" w:rsidR="002C36AA" w:rsidRPr="00AD0400" w:rsidRDefault="002C36AA" w:rsidP="002C36AA"/>
    <w:p w14:paraId="7DFE967D" w14:textId="77777777" w:rsidR="002C36AA" w:rsidRDefault="002C36AA" w:rsidP="00916835"/>
    <w:p w14:paraId="53767AB2" w14:textId="77777777" w:rsidR="00916835" w:rsidRDefault="00916835" w:rsidP="00916835"/>
    <w:p w14:paraId="5415120C" w14:textId="77777777" w:rsidR="00916835" w:rsidRDefault="00916835" w:rsidP="00916835"/>
    <w:p w14:paraId="47622B07" w14:textId="77777777" w:rsidR="00916835" w:rsidRDefault="00916835" w:rsidP="00916835"/>
    <w:p w14:paraId="1C198F20" w14:textId="77777777" w:rsidR="00916835" w:rsidRDefault="00916835" w:rsidP="00916835"/>
    <w:p w14:paraId="1B948177" w14:textId="77777777" w:rsidR="00916835" w:rsidRDefault="00916835" w:rsidP="00916835"/>
    <w:p w14:paraId="2B37669B" w14:textId="77777777" w:rsidR="00916835" w:rsidRDefault="00916835" w:rsidP="00916835"/>
    <w:p w14:paraId="076820E1" w14:textId="40C1FFAD" w:rsidR="00916835" w:rsidRDefault="00916835">
      <w:pPr>
        <w:spacing w:after="200" w:line="276" w:lineRule="auto"/>
        <w:jc w:val="left"/>
      </w:pPr>
      <w:r>
        <w:br w:type="page"/>
      </w:r>
    </w:p>
    <w:p w14:paraId="6D7A6291" w14:textId="77777777" w:rsidR="00916835" w:rsidRDefault="00916835" w:rsidP="00916835"/>
    <w:p w14:paraId="5B696AB1" w14:textId="77777777" w:rsidR="00916835" w:rsidRDefault="00916835" w:rsidP="00916835">
      <w:pPr>
        <w:pStyle w:val="Heading1"/>
      </w:pPr>
      <w:bookmarkStart w:id="25" w:name="_Toc443046839"/>
      <w:r>
        <w:t>Annex III: Qualitative Research Sample and Key Findings</w:t>
      </w:r>
      <w:bookmarkEnd w:id="25"/>
    </w:p>
    <w:p w14:paraId="762EE570" w14:textId="77777777" w:rsidR="00916835" w:rsidRDefault="00916835" w:rsidP="00916835">
      <w:pPr>
        <w:rPr>
          <w:b/>
        </w:rPr>
      </w:pPr>
    </w:p>
    <w:p w14:paraId="0024E211" w14:textId="77777777" w:rsidR="00916835" w:rsidRDefault="00916835" w:rsidP="00916835">
      <w:pPr>
        <w:rPr>
          <w:b/>
        </w:rPr>
      </w:pPr>
      <w:r>
        <w:rPr>
          <w:b/>
        </w:rPr>
        <w:t>Sample</w:t>
      </w:r>
    </w:p>
    <w:p w14:paraId="22015AB4" w14:textId="77777777" w:rsidR="00916835" w:rsidRPr="00F35DCF" w:rsidRDefault="00916835" w:rsidP="00916835">
      <w:pPr>
        <w:rPr>
          <w:rFonts w:cs="Times New Roman"/>
        </w:rPr>
      </w:pPr>
      <w:r w:rsidRPr="00F35DCF">
        <w:rPr>
          <w:rFonts w:cs="Times New Roman"/>
        </w:rPr>
        <w:t>The qualitative Research consisted of three parts: Focus Group Discussions</w:t>
      </w:r>
      <w:r>
        <w:rPr>
          <w:rFonts w:cs="Times New Roman"/>
        </w:rPr>
        <w:t xml:space="preserve"> (FGD), in-depth interviews (IDIs),</w:t>
      </w:r>
      <w:r w:rsidRPr="00F35DCF">
        <w:rPr>
          <w:rFonts w:cs="Times New Roman"/>
        </w:rPr>
        <w:t xml:space="preserve"> and </w:t>
      </w:r>
      <w:r>
        <w:rPr>
          <w:rFonts w:cs="Times New Roman"/>
        </w:rPr>
        <w:t xml:space="preserve">ethnographic </w:t>
      </w:r>
      <w:r w:rsidRPr="00F35DCF">
        <w:rPr>
          <w:rFonts w:cs="Times New Roman"/>
        </w:rPr>
        <w:t>case studies with IDPs</w:t>
      </w:r>
      <w:r>
        <w:rPr>
          <w:rFonts w:cs="Times New Roman"/>
        </w:rPr>
        <w:t xml:space="preserve"> households. </w:t>
      </w:r>
    </w:p>
    <w:p w14:paraId="29016B88" w14:textId="2D758882" w:rsidR="00916835" w:rsidRPr="00F35DCF" w:rsidRDefault="00916835" w:rsidP="00916835">
      <w:pPr>
        <w:rPr>
          <w:rFonts w:cs="Times New Roman"/>
        </w:rPr>
      </w:pPr>
      <w:r w:rsidRPr="00F35DCF">
        <w:rPr>
          <w:rFonts w:cs="Times New Roman"/>
        </w:rPr>
        <w:t>24 Focus Group Discussions were conducted among IDPs and non IDPs with in 4 regions of Georgia: Tbilisi</w:t>
      </w:r>
      <w:r w:rsidR="00A94728">
        <w:rPr>
          <w:rFonts w:cs="Times New Roman"/>
        </w:rPr>
        <w:t>,</w:t>
      </w:r>
      <w:r w:rsidRPr="00F35DCF">
        <w:rPr>
          <w:rFonts w:cs="Times New Roman"/>
        </w:rPr>
        <w:t xml:space="preserve"> Samegrelo</w:t>
      </w:r>
      <w:r w:rsidR="00A94728">
        <w:rPr>
          <w:rFonts w:cs="Times New Roman"/>
        </w:rPr>
        <w:t>,</w:t>
      </w:r>
      <w:r w:rsidRPr="00F35DCF">
        <w:rPr>
          <w:rFonts w:cs="Times New Roman"/>
        </w:rPr>
        <w:t xml:space="preserve"> Shida Kartli</w:t>
      </w:r>
      <w:r w:rsidR="00A94728">
        <w:rPr>
          <w:rFonts w:cs="Times New Roman"/>
        </w:rPr>
        <w:t>,</w:t>
      </w:r>
      <w:r w:rsidRPr="00F35DCF">
        <w:rPr>
          <w:rFonts w:cs="Times New Roman"/>
        </w:rPr>
        <w:t xml:space="preserve"> and Kaheti. </w:t>
      </w:r>
      <w:r>
        <w:rPr>
          <w:rFonts w:cs="Times New Roman"/>
        </w:rPr>
        <w:t xml:space="preserve">Twelve focus groups were held in urban, and 12 in rural areas. Separate FGDs were convened with residents of collective centers, residents in private housing, and other types of accommodations e.g. tenants in privately-owned housing. Within the IDP sample, FGDs were conducted with IDPs who receive the iDP benefit, as well as with those who have chosen to receive TSA allowance (mostly new case load IDPs). Within the non-IDP sample, FGD were conducted with recipients and non-recipients of social assistance.    </w:t>
      </w:r>
    </w:p>
    <w:p w14:paraId="368714DA" w14:textId="77777777" w:rsidR="00916835" w:rsidRPr="00D0534D" w:rsidRDefault="00916835" w:rsidP="00916835">
      <w:pPr>
        <w:rPr>
          <w:rFonts w:cs="Times New Roman"/>
        </w:rPr>
      </w:pPr>
      <w:r w:rsidRPr="00F35DCF">
        <w:rPr>
          <w:rFonts w:cs="Times New Roman"/>
        </w:rPr>
        <w:t>The locations of the Groups are shown on the Map</w:t>
      </w:r>
      <w:r>
        <w:rPr>
          <w:rFonts w:cs="Times New Roman"/>
        </w:rPr>
        <w:t xml:space="preserve"> below</w:t>
      </w:r>
      <w:r w:rsidRPr="00F35DCF">
        <w:rPr>
          <w:rFonts w:cs="Times New Roman"/>
        </w:rPr>
        <w:t xml:space="preserve">. Two </w:t>
      </w:r>
      <w:r>
        <w:rPr>
          <w:rFonts w:cs="Times New Roman"/>
        </w:rPr>
        <w:t xml:space="preserve">of the </w:t>
      </w:r>
      <w:r w:rsidRPr="00F35DCF">
        <w:rPr>
          <w:rFonts w:cs="Times New Roman"/>
        </w:rPr>
        <w:t xml:space="preserve">regions in which </w:t>
      </w:r>
      <w:r>
        <w:rPr>
          <w:rFonts w:cs="Times New Roman"/>
        </w:rPr>
        <w:t xml:space="preserve">focus </w:t>
      </w:r>
      <w:r w:rsidRPr="00F35DCF">
        <w:rPr>
          <w:rFonts w:cs="Times New Roman"/>
        </w:rPr>
        <w:t xml:space="preserve">groups were conducted </w:t>
      </w:r>
      <w:r>
        <w:rPr>
          <w:rFonts w:cs="Times New Roman"/>
        </w:rPr>
        <w:t xml:space="preserve">- </w:t>
      </w:r>
      <w:r w:rsidRPr="00F35DCF">
        <w:rPr>
          <w:rFonts w:cs="Times New Roman"/>
        </w:rPr>
        <w:t xml:space="preserve">Samgrelo and Shida Kartli </w:t>
      </w:r>
      <w:r>
        <w:rPr>
          <w:rFonts w:cs="Times New Roman"/>
        </w:rPr>
        <w:t xml:space="preserve">- </w:t>
      </w:r>
      <w:r w:rsidRPr="00F35DCF">
        <w:rPr>
          <w:rFonts w:cs="Times New Roman"/>
        </w:rPr>
        <w:t>are bordering conflict regions.</w:t>
      </w:r>
    </w:p>
    <w:p w14:paraId="7737BDDE" w14:textId="77777777" w:rsidR="00916835" w:rsidRDefault="00916835" w:rsidP="00916835">
      <w:pPr>
        <w:rPr>
          <w:b/>
        </w:rPr>
      </w:pPr>
      <w:r>
        <w:rPr>
          <w:noProof/>
        </w:rPr>
        <mc:AlternateContent>
          <mc:Choice Requires="wps">
            <w:drawing>
              <wp:anchor distT="0" distB="0" distL="114300" distR="114300" simplePos="0" relativeHeight="251662336" behindDoc="0" locked="0" layoutInCell="1" allowOverlap="1" wp14:anchorId="60A9D065" wp14:editId="6DAC9525">
                <wp:simplePos x="0" y="0"/>
                <wp:positionH relativeFrom="column">
                  <wp:posOffset>4686300</wp:posOffset>
                </wp:positionH>
                <wp:positionV relativeFrom="paragraph">
                  <wp:posOffset>2210435</wp:posOffset>
                </wp:positionV>
                <wp:extent cx="171450" cy="171450"/>
                <wp:effectExtent l="0" t="0" r="19050" b="38100"/>
                <wp:wrapNone/>
                <wp:docPr id="1"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71450"/>
                        </a:xfrm>
                        <a:prstGeom prst="ellipse">
                          <a:avLst/>
                        </a:prstGeom>
                        <a:solidFill>
                          <a:srgbClr val="FF0000"/>
                        </a:solidFill>
                        <a:ln>
                          <a:noFill/>
                        </a:ln>
                        <a:effectLst>
                          <a:outerShdw dist="28398" dir="3806097" algn="ctr" rotWithShape="0">
                            <a:schemeClr val="accent2">
                              <a:lumMod val="50000"/>
                              <a:lumOff val="0"/>
                              <a:alpha val="50000"/>
                            </a:schemeClr>
                          </a:outerShdw>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38100">
                              <a:solidFill>
                                <a:schemeClr val="lt1">
                                  <a:lumMod val="95000"/>
                                  <a:lumOff val="0"/>
                                </a:schemeClr>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4A87078" id="Oval 1" o:spid="_x0000_s1026" style="position:absolute;margin-left:369pt;margin-top:174.05pt;width:13.5pt;height: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" fillcolor="red" stroked="f">
                <v:shadow on="t" color="#622423 [1605]" opacity=".5" offset="1pt"/>
              </v:oval>
            </w:pict>
          </mc:Fallback>
        </mc:AlternateContent>
      </w:r>
      <w:r>
        <w:rPr>
          <w:noProof/>
        </w:rPr>
        <mc:AlternateContent>
          <mc:Choice Requires="wps">
            <w:drawing>
              <wp:anchor distT="0" distB="0" distL="114300" distR="114300" simplePos="0" relativeHeight="251661312" behindDoc="0" locked="0" layoutInCell="1" allowOverlap="1" wp14:anchorId="10E2A035" wp14:editId="6128DD28">
                <wp:simplePos x="0" y="0"/>
                <wp:positionH relativeFrom="column">
                  <wp:posOffset>3924300</wp:posOffset>
                </wp:positionH>
                <wp:positionV relativeFrom="paragraph">
                  <wp:posOffset>2372360</wp:posOffset>
                </wp:positionV>
                <wp:extent cx="171450" cy="171450"/>
                <wp:effectExtent l="0" t="0" r="19050" b="38100"/>
                <wp:wrapNone/>
                <wp:docPr id="12"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71450"/>
                        </a:xfrm>
                        <a:prstGeom prst="ellipse">
                          <a:avLst/>
                        </a:prstGeom>
                        <a:solidFill>
                          <a:srgbClr val="FF0000"/>
                        </a:solidFill>
                        <a:ln>
                          <a:noFill/>
                        </a:ln>
                        <a:effectLst>
                          <a:outerShdw dist="28398" dir="3806097" algn="ctr" rotWithShape="0">
                            <a:schemeClr val="accent2">
                              <a:lumMod val="50000"/>
                              <a:lumOff val="0"/>
                              <a:alpha val="50000"/>
                            </a:schemeClr>
                          </a:outerShdw>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38100">
                              <a:solidFill>
                                <a:schemeClr val="lt1">
                                  <a:lumMod val="95000"/>
                                  <a:lumOff val="0"/>
                                </a:schemeClr>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A31E2A1" id="Oval 12" o:spid="_x0000_s1026" style="position:absolute;margin-left:309pt;margin-top:186.8pt;width:13.5pt;height: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" fillcolor="red" stroked="f">
                <v:shadow on="t" color="#622423 [1605]" opacity=".5" offset="1pt"/>
              </v:oval>
            </w:pict>
          </mc:Fallback>
        </mc:AlternateContent>
      </w:r>
      <w:r>
        <w:rPr>
          <w:noProof/>
        </w:rPr>
        <mc:AlternateContent>
          <mc:Choice Requires="wps">
            <w:drawing>
              <wp:anchor distT="0" distB="0" distL="114300" distR="114300" simplePos="0" relativeHeight="251660288" behindDoc="0" locked="0" layoutInCell="1" allowOverlap="1" wp14:anchorId="77B92171" wp14:editId="1444EB0F">
                <wp:simplePos x="0" y="0"/>
                <wp:positionH relativeFrom="column">
                  <wp:posOffset>1724025</wp:posOffset>
                </wp:positionH>
                <wp:positionV relativeFrom="paragraph">
                  <wp:posOffset>1372235</wp:posOffset>
                </wp:positionV>
                <wp:extent cx="171450" cy="171450"/>
                <wp:effectExtent l="0" t="0" r="19050" b="38100"/>
                <wp:wrapNone/>
                <wp:docPr id="13"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71450"/>
                        </a:xfrm>
                        <a:prstGeom prst="ellipse">
                          <a:avLst/>
                        </a:prstGeom>
                        <a:solidFill>
                          <a:srgbClr val="FF0000"/>
                        </a:solidFill>
                        <a:ln>
                          <a:noFill/>
                        </a:ln>
                        <a:effectLst>
                          <a:outerShdw dist="28398" dir="3806097" algn="ctr" rotWithShape="0">
                            <a:schemeClr val="accent2">
                              <a:lumMod val="50000"/>
                              <a:lumOff val="0"/>
                              <a:alpha val="50000"/>
                            </a:schemeClr>
                          </a:outerShdw>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38100">
                              <a:solidFill>
                                <a:schemeClr val="lt1">
                                  <a:lumMod val="95000"/>
                                  <a:lumOff val="0"/>
                                </a:schemeClr>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8CBC970" id="Oval 13" o:spid="_x0000_s1026" style="position:absolute;margin-left:135.75pt;margin-top:108.05pt;width:13.5pt;height:1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" fillcolor="red" stroked="f">
                <v:shadow on="t" color="#622423 [1605]" opacity=".5" offset="1pt"/>
              </v:oval>
            </w:pict>
          </mc:Fallback>
        </mc:AlternateContent>
      </w:r>
      <w:r>
        <w:rPr>
          <w:noProof/>
        </w:rPr>
        <mc:AlternateContent>
          <mc:Choice Requires="wps">
            <w:drawing>
              <wp:anchor distT="0" distB="0" distL="114300" distR="114300" simplePos="0" relativeHeight="251659264" behindDoc="0" locked="0" layoutInCell="1" allowOverlap="1" wp14:anchorId="32FA4D6E" wp14:editId="47794A87">
                <wp:simplePos x="0" y="0"/>
                <wp:positionH relativeFrom="column">
                  <wp:posOffset>3305175</wp:posOffset>
                </wp:positionH>
                <wp:positionV relativeFrom="paragraph">
                  <wp:posOffset>1953260</wp:posOffset>
                </wp:positionV>
                <wp:extent cx="171450" cy="171450"/>
                <wp:effectExtent l="0" t="0" r="19050" b="38100"/>
                <wp:wrapNone/>
                <wp:docPr id="14"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71450"/>
                        </a:xfrm>
                        <a:prstGeom prst="ellipse">
                          <a:avLst/>
                        </a:prstGeom>
                        <a:solidFill>
                          <a:srgbClr val="FF0000"/>
                        </a:solidFill>
                        <a:ln>
                          <a:noFill/>
                        </a:ln>
                        <a:effectLst>
                          <a:outerShdw dist="28398" dir="3806097" algn="ctr" rotWithShape="0">
                            <a:schemeClr val="accent2">
                              <a:lumMod val="50000"/>
                              <a:lumOff val="0"/>
                              <a:alpha val="50000"/>
                            </a:schemeClr>
                          </a:outerShdw>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38100">
                              <a:solidFill>
                                <a:schemeClr val="lt1">
                                  <a:lumMod val="95000"/>
                                  <a:lumOff val="0"/>
                                </a:schemeClr>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B6CD4AB" id="Oval 14" o:spid="_x0000_s1026" style="position:absolute;margin-left:260.25pt;margin-top:153.8pt;width:13.5pt;height: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" fillcolor="red" stroked="f">
                <v:shadow on="t" color="#622423 [1605]" opacity=".5" offset="1pt"/>
              </v:oval>
            </w:pict>
          </mc:Fallback>
        </mc:AlternateContent>
      </w:r>
      <w:r w:rsidRPr="00F35DCF">
        <w:rPr>
          <w:noProof/>
        </w:rPr>
        <w:drawing>
          <wp:inline distT="0" distB="0" distL="0" distR="0" wp14:anchorId="132D0785" wp14:editId="41863110">
            <wp:extent cx="5715000" cy="3190875"/>
            <wp:effectExtent l="19050" t="0" r="0" b="0"/>
            <wp:docPr id="15" name="Picture 15" descr="http://www.mappery.com/maps/Georgia-Administrative-Map.medium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ppery.com/maps/Georgia-Administrative-Map.mediumthumb.jpg"/>
                    <pic:cNvPicPr>
                      <a:picLocks noChangeAspect="1" noChangeArrowheads="1"/>
                    </pic:cNvPicPr>
                  </pic:nvPicPr>
                  <pic:blipFill>
                    <a:blip r:embed="rId48"/>
                    <a:srcRect b="6425"/>
                    <a:stretch>
                      <a:fillRect/>
                    </a:stretch>
                  </pic:blipFill>
                  <pic:spPr bwMode="auto">
                    <a:xfrm>
                      <a:off x="0" y="0"/>
                      <a:ext cx="5715000" cy="3190875"/>
                    </a:xfrm>
                    <a:prstGeom prst="rect">
                      <a:avLst/>
                    </a:prstGeom>
                    <a:noFill/>
                    <a:ln w="9525">
                      <a:noFill/>
                      <a:miter lim="800000"/>
                      <a:headEnd/>
                      <a:tailEnd/>
                    </a:ln>
                  </pic:spPr>
                </pic:pic>
              </a:graphicData>
            </a:graphic>
          </wp:inline>
        </w:drawing>
      </w:r>
    </w:p>
    <w:p w14:paraId="307BE336" w14:textId="77777777" w:rsidR="00916835" w:rsidRDefault="00916835" w:rsidP="00916835">
      <w:pPr>
        <w:rPr>
          <w:b/>
        </w:rPr>
      </w:pPr>
    </w:p>
    <w:p w14:paraId="1BC8684F" w14:textId="77777777" w:rsidR="00916835" w:rsidRPr="00153847" w:rsidRDefault="00916835" w:rsidP="00916835">
      <w:r w:rsidRPr="00153847">
        <w:t>Ten in-depth interviews were conducted with Government and non-governmental representatives, as follows:</w:t>
      </w:r>
    </w:p>
    <w:tbl>
      <w:tblPr>
        <w:tblStyle w:val="LightGrid-Accent3"/>
        <w:tblW w:w="5000" w:type="pct"/>
        <w:tblLook w:val="04A0" w:firstRow="1" w:lastRow="0" w:firstColumn="1" w:lastColumn="0" w:noHBand="0" w:noVBand="1"/>
      </w:tblPr>
      <w:tblGrid>
        <w:gridCol w:w="9340"/>
      </w:tblGrid>
      <w:tr w:rsidR="00916835" w:rsidRPr="00F35DCF" w14:paraId="770B1DF4" w14:textId="77777777" w:rsidTr="00D46076">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000" w:type="pct"/>
            <w:hideMark/>
          </w:tcPr>
          <w:p w14:paraId="7256626F" w14:textId="77777777" w:rsidR="00916835" w:rsidRPr="00F35DCF" w:rsidRDefault="00916835" w:rsidP="00D46076">
            <w:pPr>
              <w:rPr>
                <w:rFonts w:asciiTheme="minorHAnsi" w:eastAsia="Times New Roman" w:hAnsiTheme="minorHAnsi" w:cs="Times New Roman"/>
                <w:b w:val="0"/>
                <w:color w:val="000000"/>
                <w:sz w:val="24"/>
                <w:szCs w:val="24"/>
              </w:rPr>
            </w:pPr>
            <w:r w:rsidRPr="00F35DCF">
              <w:rPr>
                <w:rFonts w:asciiTheme="minorHAnsi" w:eastAsia="Times New Roman" w:hAnsiTheme="minorHAnsi" w:cs="Times New Roman"/>
                <w:b w:val="0"/>
                <w:color w:val="000000"/>
                <w:sz w:val="24"/>
                <w:szCs w:val="24"/>
              </w:rPr>
              <w:t>Interview 1- Respondent: Head of Charitable Foundation “Abkhazia”</w:t>
            </w:r>
          </w:p>
        </w:tc>
      </w:tr>
      <w:tr w:rsidR="00916835" w:rsidRPr="00F35DCF" w14:paraId="24D9DA6D" w14:textId="77777777" w:rsidTr="00D46076">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5000" w:type="pct"/>
            <w:hideMark/>
          </w:tcPr>
          <w:p w14:paraId="00890D8F" w14:textId="77777777" w:rsidR="00916835" w:rsidRPr="00F35DCF" w:rsidRDefault="00916835" w:rsidP="00D46076">
            <w:pPr>
              <w:rPr>
                <w:rFonts w:asciiTheme="minorHAnsi" w:eastAsia="Times New Roman" w:hAnsiTheme="minorHAnsi" w:cs="Times New Roman"/>
                <w:b w:val="0"/>
                <w:color w:val="000000"/>
                <w:sz w:val="24"/>
                <w:szCs w:val="24"/>
              </w:rPr>
            </w:pPr>
            <w:r w:rsidRPr="00F35DCF">
              <w:rPr>
                <w:rFonts w:asciiTheme="minorHAnsi" w:eastAsia="Times New Roman" w:hAnsiTheme="minorHAnsi" w:cs="Times New Roman"/>
                <w:b w:val="0"/>
                <w:color w:val="000000"/>
                <w:sz w:val="24"/>
                <w:szCs w:val="24"/>
              </w:rPr>
              <w:t>Interview 2-Respondent Ministry of Labor, Health and Social Protection; Social Protection Department, Head of Pension and Social Assistance Unit</w:t>
            </w:r>
          </w:p>
        </w:tc>
      </w:tr>
      <w:tr w:rsidR="00916835" w:rsidRPr="00F35DCF" w14:paraId="337690F5" w14:textId="77777777" w:rsidTr="00D46076">
        <w:trPr>
          <w:cnfStyle w:val="000000010000" w:firstRow="0" w:lastRow="0" w:firstColumn="0" w:lastColumn="0" w:oddVBand="0" w:evenVBand="0" w:oddHBand="0" w:evenHBand="1"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5000" w:type="pct"/>
            <w:hideMark/>
          </w:tcPr>
          <w:p w14:paraId="549D5945" w14:textId="77777777" w:rsidR="00916835" w:rsidRPr="00F35DCF" w:rsidRDefault="00916835" w:rsidP="00D46076">
            <w:pPr>
              <w:rPr>
                <w:rFonts w:asciiTheme="minorHAnsi" w:eastAsia="Times New Roman" w:hAnsiTheme="minorHAnsi" w:cs="Times New Roman"/>
                <w:b w:val="0"/>
                <w:color w:val="000000"/>
                <w:sz w:val="24"/>
                <w:szCs w:val="24"/>
              </w:rPr>
            </w:pPr>
            <w:r w:rsidRPr="00F35DCF">
              <w:rPr>
                <w:rFonts w:asciiTheme="minorHAnsi" w:eastAsia="Times New Roman" w:hAnsiTheme="minorHAnsi" w:cs="Times New Roman"/>
                <w:b w:val="0"/>
                <w:color w:val="000000"/>
                <w:sz w:val="24"/>
                <w:szCs w:val="24"/>
              </w:rPr>
              <w:lastRenderedPageBreak/>
              <w:t>Interview 3-Respondent - South Ossetia Administration, Head of IDP department</w:t>
            </w:r>
          </w:p>
        </w:tc>
      </w:tr>
      <w:tr w:rsidR="00916835" w:rsidRPr="00F35DCF" w14:paraId="386B6AD7" w14:textId="77777777" w:rsidTr="00D46076">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5000" w:type="pct"/>
            <w:hideMark/>
          </w:tcPr>
          <w:p w14:paraId="66A3E3EA" w14:textId="1ED1F4C3" w:rsidR="00916835" w:rsidRPr="00F35DCF" w:rsidRDefault="00916835" w:rsidP="00214511">
            <w:pPr>
              <w:rPr>
                <w:rFonts w:asciiTheme="minorHAnsi" w:eastAsia="Times New Roman" w:hAnsiTheme="minorHAnsi" w:cs="Times New Roman"/>
                <w:b w:val="0"/>
                <w:color w:val="000000"/>
                <w:sz w:val="24"/>
                <w:szCs w:val="24"/>
              </w:rPr>
            </w:pPr>
            <w:r w:rsidRPr="00F35DCF">
              <w:rPr>
                <w:rFonts w:asciiTheme="minorHAnsi" w:eastAsia="Times New Roman" w:hAnsiTheme="minorHAnsi" w:cs="Times New Roman"/>
                <w:b w:val="0"/>
                <w:color w:val="000000"/>
                <w:sz w:val="24"/>
                <w:szCs w:val="24"/>
              </w:rPr>
              <w:t xml:space="preserve">Interview 4-Respondent- Minister of Healthcare and Social Assistance of </w:t>
            </w:r>
            <w:r w:rsidR="00214511">
              <w:rPr>
                <w:rFonts w:asciiTheme="minorHAnsi" w:eastAsia="Times New Roman" w:hAnsiTheme="minorHAnsi" w:cs="Times New Roman"/>
                <w:b w:val="0"/>
                <w:color w:val="000000"/>
                <w:sz w:val="24"/>
                <w:szCs w:val="24"/>
              </w:rPr>
              <w:t xml:space="preserve">the </w:t>
            </w:r>
            <w:r w:rsidRPr="00F35DCF">
              <w:rPr>
                <w:rFonts w:asciiTheme="minorHAnsi" w:eastAsia="Times New Roman" w:hAnsiTheme="minorHAnsi" w:cs="Times New Roman"/>
                <w:b w:val="0"/>
                <w:color w:val="000000"/>
                <w:sz w:val="24"/>
                <w:szCs w:val="24"/>
              </w:rPr>
              <w:t>Abkhazia</w:t>
            </w:r>
            <w:r w:rsidR="00214511">
              <w:rPr>
                <w:rFonts w:asciiTheme="minorHAnsi" w:eastAsia="Times New Roman" w:hAnsiTheme="minorHAnsi" w:cs="Times New Roman"/>
                <w:b w:val="0"/>
                <w:color w:val="000000"/>
                <w:sz w:val="24"/>
                <w:szCs w:val="24"/>
              </w:rPr>
              <w:t>n Government-in-exile</w:t>
            </w:r>
          </w:p>
        </w:tc>
      </w:tr>
      <w:tr w:rsidR="00916835" w:rsidRPr="00F35DCF" w14:paraId="584A3822" w14:textId="77777777" w:rsidTr="00D46076">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000" w:type="pct"/>
            <w:hideMark/>
          </w:tcPr>
          <w:p w14:paraId="0BEE83FD" w14:textId="77777777" w:rsidR="00916835" w:rsidRPr="00F35DCF" w:rsidRDefault="00916835" w:rsidP="00D46076">
            <w:pPr>
              <w:rPr>
                <w:rFonts w:asciiTheme="minorHAnsi" w:eastAsia="Times New Roman" w:hAnsiTheme="minorHAnsi" w:cs="Times New Roman"/>
                <w:b w:val="0"/>
                <w:color w:val="000000"/>
                <w:sz w:val="24"/>
                <w:szCs w:val="24"/>
              </w:rPr>
            </w:pPr>
            <w:r w:rsidRPr="00F35DCF">
              <w:rPr>
                <w:rFonts w:asciiTheme="minorHAnsi" w:eastAsia="Times New Roman" w:hAnsiTheme="minorHAnsi" w:cs="Times New Roman"/>
                <w:b w:val="0"/>
                <w:color w:val="000000"/>
                <w:sz w:val="24"/>
                <w:szCs w:val="24"/>
              </w:rPr>
              <w:t xml:space="preserve">Interview 5-Respondent- Founder and General Director of TAS Foundation </w:t>
            </w:r>
          </w:p>
        </w:tc>
      </w:tr>
      <w:tr w:rsidR="00916835" w:rsidRPr="00F35DCF" w14:paraId="7F627422" w14:textId="77777777" w:rsidTr="00D46076">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5000" w:type="pct"/>
            <w:hideMark/>
          </w:tcPr>
          <w:p w14:paraId="3258452C" w14:textId="77777777" w:rsidR="00916835" w:rsidRPr="00F35DCF" w:rsidRDefault="00916835" w:rsidP="00D46076">
            <w:pPr>
              <w:rPr>
                <w:rFonts w:asciiTheme="minorHAnsi" w:eastAsia="Times New Roman" w:hAnsiTheme="minorHAnsi" w:cs="Times New Roman"/>
                <w:b w:val="0"/>
                <w:color w:val="000000"/>
                <w:sz w:val="24"/>
                <w:szCs w:val="24"/>
              </w:rPr>
            </w:pPr>
            <w:r w:rsidRPr="00F35DCF">
              <w:rPr>
                <w:rFonts w:asciiTheme="minorHAnsi" w:eastAsia="Times New Roman" w:hAnsiTheme="minorHAnsi" w:cs="Times New Roman"/>
                <w:b w:val="0"/>
                <w:color w:val="000000"/>
                <w:sz w:val="24"/>
                <w:szCs w:val="24"/>
              </w:rPr>
              <w:t>Interview 6-Respondent: GYLA (young lawyers association) coordinator of IDP related projects</w:t>
            </w:r>
          </w:p>
        </w:tc>
      </w:tr>
      <w:tr w:rsidR="00916835" w:rsidRPr="00F35DCF" w14:paraId="6146F91F" w14:textId="77777777" w:rsidTr="00D46076">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000" w:type="pct"/>
            <w:hideMark/>
          </w:tcPr>
          <w:p w14:paraId="7F0E43AB" w14:textId="77777777" w:rsidR="00916835" w:rsidRPr="00F35DCF" w:rsidRDefault="00916835" w:rsidP="00D46076">
            <w:pPr>
              <w:rPr>
                <w:rFonts w:asciiTheme="minorHAnsi" w:eastAsia="Times New Roman" w:hAnsiTheme="minorHAnsi" w:cs="Times New Roman"/>
                <w:b w:val="0"/>
                <w:color w:val="000000"/>
                <w:sz w:val="24"/>
                <w:szCs w:val="24"/>
              </w:rPr>
            </w:pPr>
            <w:r w:rsidRPr="00F35DCF">
              <w:rPr>
                <w:rFonts w:asciiTheme="minorHAnsi" w:eastAsia="Times New Roman" w:hAnsiTheme="minorHAnsi" w:cs="Times New Roman"/>
                <w:b w:val="0"/>
                <w:color w:val="000000"/>
                <w:sz w:val="24"/>
                <w:szCs w:val="24"/>
              </w:rPr>
              <w:t xml:space="preserve">Interview 7-Respondent: Ministry of refugees, head of IDP department </w:t>
            </w:r>
          </w:p>
        </w:tc>
      </w:tr>
      <w:tr w:rsidR="00916835" w:rsidRPr="00F35DCF" w14:paraId="17AED14B" w14:textId="77777777" w:rsidTr="00D4607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000" w:type="pct"/>
            <w:hideMark/>
          </w:tcPr>
          <w:p w14:paraId="7ACFF9CB" w14:textId="77777777" w:rsidR="00916835" w:rsidRPr="00F35DCF" w:rsidRDefault="00916835" w:rsidP="00D46076">
            <w:pPr>
              <w:rPr>
                <w:rFonts w:asciiTheme="minorHAnsi" w:eastAsia="Times New Roman" w:hAnsiTheme="minorHAnsi" w:cs="Times New Roman"/>
                <w:b w:val="0"/>
                <w:color w:val="000000"/>
                <w:sz w:val="24"/>
                <w:szCs w:val="24"/>
              </w:rPr>
            </w:pPr>
            <w:r w:rsidRPr="00F35DCF">
              <w:rPr>
                <w:rFonts w:asciiTheme="minorHAnsi" w:eastAsia="Times New Roman" w:hAnsiTheme="minorHAnsi" w:cs="Times New Roman"/>
                <w:b w:val="0"/>
                <w:color w:val="000000"/>
                <w:sz w:val="24"/>
                <w:szCs w:val="24"/>
              </w:rPr>
              <w:t xml:space="preserve">Interview 8- Respondent: Head of Social Assistance; Healthcare and IDP assistance social Department of Samegrelo Municipality  </w:t>
            </w:r>
          </w:p>
        </w:tc>
      </w:tr>
      <w:tr w:rsidR="00916835" w:rsidRPr="00F35DCF" w14:paraId="170CDF43" w14:textId="77777777" w:rsidTr="00D46076">
        <w:trPr>
          <w:cnfStyle w:val="000000010000" w:firstRow="0" w:lastRow="0" w:firstColumn="0" w:lastColumn="0" w:oddVBand="0" w:evenVBand="0" w:oddHBand="0" w:evenHBand="1"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5000" w:type="pct"/>
            <w:hideMark/>
          </w:tcPr>
          <w:p w14:paraId="289FD721" w14:textId="77777777" w:rsidR="00916835" w:rsidRPr="00F35DCF" w:rsidRDefault="00916835" w:rsidP="00D46076">
            <w:pPr>
              <w:rPr>
                <w:rFonts w:asciiTheme="minorHAnsi" w:eastAsia="Times New Roman" w:hAnsiTheme="minorHAnsi" w:cs="Times New Roman"/>
                <w:b w:val="0"/>
                <w:color w:val="000000"/>
                <w:sz w:val="24"/>
                <w:szCs w:val="24"/>
              </w:rPr>
            </w:pPr>
            <w:r w:rsidRPr="00F35DCF">
              <w:rPr>
                <w:rFonts w:asciiTheme="minorHAnsi" w:eastAsia="Times New Roman" w:hAnsiTheme="minorHAnsi" w:cs="Times New Roman"/>
                <w:b w:val="0"/>
                <w:color w:val="000000"/>
                <w:sz w:val="24"/>
                <w:szCs w:val="24"/>
              </w:rPr>
              <w:t xml:space="preserve">Interview 9- Respondent: Head of IDP Woman’s association the Association is the First IDP association that was created and is working for protection IDP rights.  </w:t>
            </w:r>
          </w:p>
        </w:tc>
      </w:tr>
      <w:tr w:rsidR="00916835" w:rsidRPr="00F35DCF" w14:paraId="4FC4865F" w14:textId="77777777" w:rsidTr="00D46076">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5000" w:type="pct"/>
            <w:hideMark/>
          </w:tcPr>
          <w:p w14:paraId="63DDD1BF" w14:textId="77777777" w:rsidR="00916835" w:rsidRPr="00F35DCF" w:rsidRDefault="00916835" w:rsidP="00D46076">
            <w:pPr>
              <w:rPr>
                <w:rFonts w:asciiTheme="minorHAnsi" w:eastAsia="Times New Roman" w:hAnsiTheme="minorHAnsi" w:cs="Times New Roman"/>
                <w:b w:val="0"/>
                <w:color w:val="000000"/>
                <w:sz w:val="24"/>
                <w:szCs w:val="24"/>
              </w:rPr>
            </w:pPr>
            <w:r w:rsidRPr="00F35DCF">
              <w:rPr>
                <w:rFonts w:asciiTheme="minorHAnsi" w:eastAsia="Times New Roman" w:hAnsiTheme="minorHAnsi" w:cs="Times New Roman"/>
                <w:b w:val="0"/>
                <w:color w:val="000000"/>
                <w:sz w:val="24"/>
                <w:szCs w:val="24"/>
              </w:rPr>
              <w:t xml:space="preserve">Interview 10-Respondent:  Head of Social Program Foundation </w:t>
            </w:r>
          </w:p>
        </w:tc>
      </w:tr>
    </w:tbl>
    <w:p w14:paraId="4163B943" w14:textId="77777777" w:rsidR="00916835" w:rsidRDefault="00916835" w:rsidP="00916835">
      <w:pPr>
        <w:rPr>
          <w:b/>
        </w:rPr>
      </w:pPr>
    </w:p>
    <w:p w14:paraId="29C71582" w14:textId="77777777" w:rsidR="00916835" w:rsidRPr="00F35DCF" w:rsidRDefault="00916835" w:rsidP="00916835">
      <w:pPr>
        <w:rPr>
          <w:rFonts w:cs="Times New Roman"/>
        </w:rPr>
      </w:pPr>
      <w:r w:rsidRPr="00153847">
        <w:t>Five ethnographic case studies were</w:t>
      </w:r>
      <w:r>
        <w:rPr>
          <w:b/>
        </w:rPr>
        <w:t xml:space="preserve"> </w:t>
      </w:r>
      <w:r w:rsidRPr="00F35DCF">
        <w:rPr>
          <w:rFonts w:cs="Times New Roman"/>
        </w:rPr>
        <w:t>undertaken to gain in depth analysis of situation of how do IDPs live in their communities and how do they deal with their daily problems.</w:t>
      </w:r>
      <w:r>
        <w:rPr>
          <w:rFonts w:cs="Times New Roman"/>
        </w:rPr>
        <w:t xml:space="preserve"> The following households were selected:</w:t>
      </w:r>
    </w:p>
    <w:p w14:paraId="5590F1B8" w14:textId="77777777" w:rsidR="00916835" w:rsidRPr="00F35DCF" w:rsidRDefault="00916835" w:rsidP="00916835">
      <w:pPr>
        <w:pStyle w:val="ListParagraph"/>
        <w:numPr>
          <w:ilvl w:val="0"/>
          <w:numId w:val="19"/>
        </w:numPr>
        <w:spacing w:after="200" w:line="276" w:lineRule="auto"/>
        <w:jc w:val="left"/>
        <w:rPr>
          <w:rFonts w:cs="Times New Roman"/>
        </w:rPr>
      </w:pPr>
      <w:r w:rsidRPr="00F35DCF">
        <w:rPr>
          <w:rFonts w:cs="Times New Roman"/>
        </w:rPr>
        <w:t xml:space="preserve">IDP Pensioner residing </w:t>
      </w:r>
      <w:r>
        <w:rPr>
          <w:rFonts w:cs="Times New Roman"/>
        </w:rPr>
        <w:t xml:space="preserve">with family </w:t>
      </w:r>
      <w:r w:rsidRPr="00F35DCF">
        <w:rPr>
          <w:rFonts w:cs="Times New Roman"/>
        </w:rPr>
        <w:t>in compact dwelling</w:t>
      </w:r>
      <w:r>
        <w:rPr>
          <w:rFonts w:cs="Times New Roman"/>
        </w:rPr>
        <w:t xml:space="preserve">; </w:t>
      </w:r>
    </w:p>
    <w:p w14:paraId="34960359" w14:textId="77777777" w:rsidR="00916835" w:rsidRDefault="00916835" w:rsidP="00916835">
      <w:pPr>
        <w:pStyle w:val="ListParagraph"/>
        <w:numPr>
          <w:ilvl w:val="0"/>
          <w:numId w:val="19"/>
        </w:numPr>
        <w:spacing w:after="200" w:line="276" w:lineRule="auto"/>
        <w:jc w:val="left"/>
        <w:rPr>
          <w:rFonts w:cs="Times New Roman"/>
        </w:rPr>
      </w:pPr>
      <w:r w:rsidRPr="00153847">
        <w:rPr>
          <w:rFonts w:cs="Times New Roman"/>
        </w:rPr>
        <w:t xml:space="preserve">IDP </w:t>
      </w:r>
      <w:r>
        <w:rPr>
          <w:rFonts w:cs="Times New Roman"/>
        </w:rPr>
        <w:t>family</w:t>
      </w:r>
      <w:r w:rsidRPr="00153847">
        <w:rPr>
          <w:rFonts w:cs="Times New Roman"/>
        </w:rPr>
        <w:t xml:space="preserve"> with child</w:t>
      </w:r>
      <w:r>
        <w:rPr>
          <w:rFonts w:cs="Times New Roman"/>
        </w:rPr>
        <w:t xml:space="preserve"> receiving status-based benefit </w:t>
      </w:r>
      <w:r w:rsidRPr="00153847">
        <w:rPr>
          <w:rFonts w:cs="Times New Roman"/>
        </w:rPr>
        <w:t>residing in a private dwelling</w:t>
      </w:r>
      <w:r>
        <w:rPr>
          <w:rFonts w:cs="Times New Roman"/>
        </w:rPr>
        <w:t>;</w:t>
      </w:r>
      <w:r w:rsidRPr="00153847">
        <w:rPr>
          <w:rFonts w:cs="Times New Roman"/>
        </w:rPr>
        <w:t xml:space="preserve"> </w:t>
      </w:r>
    </w:p>
    <w:p w14:paraId="7A0B4F8F" w14:textId="77777777" w:rsidR="00916835" w:rsidRPr="00153847" w:rsidRDefault="00916835" w:rsidP="00916835">
      <w:pPr>
        <w:pStyle w:val="ListParagraph"/>
        <w:numPr>
          <w:ilvl w:val="0"/>
          <w:numId w:val="19"/>
        </w:numPr>
        <w:spacing w:after="200" w:line="276" w:lineRule="auto"/>
        <w:jc w:val="left"/>
        <w:rPr>
          <w:rFonts w:cs="Times New Roman"/>
        </w:rPr>
      </w:pPr>
      <w:r w:rsidRPr="00153847">
        <w:rPr>
          <w:rFonts w:cs="Times New Roman"/>
        </w:rPr>
        <w:t xml:space="preserve">IDP </w:t>
      </w:r>
      <w:r>
        <w:rPr>
          <w:rFonts w:cs="Times New Roman"/>
        </w:rPr>
        <w:t>family</w:t>
      </w:r>
      <w:r w:rsidRPr="00153847">
        <w:rPr>
          <w:rFonts w:cs="Times New Roman"/>
        </w:rPr>
        <w:t xml:space="preserve"> with child</w:t>
      </w:r>
      <w:r>
        <w:rPr>
          <w:rFonts w:cs="Times New Roman"/>
        </w:rPr>
        <w:t xml:space="preserve"> receiving social assistance </w:t>
      </w:r>
      <w:r w:rsidRPr="00153847">
        <w:rPr>
          <w:rFonts w:cs="Times New Roman"/>
        </w:rPr>
        <w:t xml:space="preserve">residing in a </w:t>
      </w:r>
      <w:r>
        <w:rPr>
          <w:rFonts w:cs="Times New Roman"/>
        </w:rPr>
        <w:t>compact settlement;</w:t>
      </w:r>
      <w:r w:rsidRPr="00153847">
        <w:rPr>
          <w:rFonts w:cs="Times New Roman"/>
        </w:rPr>
        <w:t xml:space="preserve"> </w:t>
      </w:r>
    </w:p>
    <w:p w14:paraId="1EF8262D" w14:textId="77777777" w:rsidR="00916835" w:rsidRPr="00153847" w:rsidRDefault="00916835" w:rsidP="00916835">
      <w:pPr>
        <w:pStyle w:val="ListParagraph"/>
        <w:numPr>
          <w:ilvl w:val="0"/>
          <w:numId w:val="19"/>
        </w:numPr>
        <w:spacing w:after="200" w:line="276" w:lineRule="auto"/>
        <w:jc w:val="left"/>
        <w:rPr>
          <w:rFonts w:cs="Times New Roman"/>
        </w:rPr>
      </w:pPr>
      <w:r w:rsidRPr="00153847">
        <w:rPr>
          <w:rFonts w:cs="Times New Roman"/>
        </w:rPr>
        <w:t xml:space="preserve">IDP with disability residing </w:t>
      </w:r>
      <w:r>
        <w:rPr>
          <w:rFonts w:cs="Times New Roman"/>
        </w:rPr>
        <w:t xml:space="preserve">with her mother </w:t>
      </w:r>
      <w:r w:rsidRPr="00153847">
        <w:rPr>
          <w:rFonts w:cs="Times New Roman"/>
        </w:rPr>
        <w:t>in</w:t>
      </w:r>
      <w:r>
        <w:rPr>
          <w:rFonts w:cs="Times New Roman"/>
        </w:rPr>
        <w:t xml:space="preserve"> a</w:t>
      </w:r>
      <w:r w:rsidRPr="00153847">
        <w:rPr>
          <w:rFonts w:cs="Times New Roman"/>
        </w:rPr>
        <w:t xml:space="preserve"> compact settlement</w:t>
      </w:r>
      <w:r>
        <w:rPr>
          <w:rFonts w:cs="Times New Roman"/>
        </w:rPr>
        <w:t>;</w:t>
      </w:r>
    </w:p>
    <w:p w14:paraId="30DD3E53" w14:textId="77777777" w:rsidR="00916835" w:rsidRPr="00F35DCF" w:rsidRDefault="00916835" w:rsidP="00916835">
      <w:pPr>
        <w:pStyle w:val="ListParagraph"/>
        <w:numPr>
          <w:ilvl w:val="0"/>
          <w:numId w:val="19"/>
        </w:numPr>
        <w:spacing w:after="200" w:line="276" w:lineRule="auto"/>
        <w:jc w:val="left"/>
        <w:rPr>
          <w:rFonts w:cs="Times New Roman"/>
        </w:rPr>
      </w:pPr>
      <w:r w:rsidRPr="00F35DCF">
        <w:rPr>
          <w:rFonts w:cs="Times New Roman"/>
        </w:rPr>
        <w:t xml:space="preserve">IDP </w:t>
      </w:r>
      <w:r>
        <w:rPr>
          <w:rFonts w:cs="Times New Roman"/>
        </w:rPr>
        <w:t xml:space="preserve">pensioner </w:t>
      </w:r>
      <w:r w:rsidRPr="00F35DCF">
        <w:rPr>
          <w:rFonts w:cs="Times New Roman"/>
        </w:rPr>
        <w:t>residing</w:t>
      </w:r>
      <w:r>
        <w:rPr>
          <w:rFonts w:cs="Times New Roman"/>
        </w:rPr>
        <w:t xml:space="preserve"> alone</w:t>
      </w:r>
      <w:r w:rsidRPr="00F35DCF">
        <w:rPr>
          <w:rFonts w:cs="Times New Roman"/>
        </w:rPr>
        <w:t xml:space="preserve"> in compact set</w:t>
      </w:r>
      <w:r>
        <w:rPr>
          <w:rFonts w:cs="Times New Roman"/>
        </w:rPr>
        <w:t xml:space="preserve">tlement in rural area; </w:t>
      </w:r>
    </w:p>
    <w:p w14:paraId="32ACD5E9" w14:textId="77777777" w:rsidR="00916835" w:rsidRPr="00153847" w:rsidRDefault="00916835" w:rsidP="00916835">
      <w:r w:rsidRPr="00153847">
        <w:t>The research was conducted in May-June 2015.</w:t>
      </w:r>
    </w:p>
    <w:p w14:paraId="2B972ABB" w14:textId="77777777" w:rsidR="00916835" w:rsidRDefault="00916835" w:rsidP="00916835">
      <w:pPr>
        <w:rPr>
          <w:b/>
        </w:rPr>
      </w:pPr>
    </w:p>
    <w:p w14:paraId="614F0EAA" w14:textId="77777777" w:rsidR="00916835" w:rsidRDefault="00916835" w:rsidP="00916835">
      <w:pPr>
        <w:rPr>
          <w:b/>
        </w:rPr>
      </w:pPr>
      <w:r>
        <w:rPr>
          <w:b/>
        </w:rPr>
        <w:t>Key Findings:</w:t>
      </w:r>
    </w:p>
    <w:p w14:paraId="30F27B95" w14:textId="77777777" w:rsidR="00916835" w:rsidRPr="00153847" w:rsidRDefault="00916835" w:rsidP="00916835">
      <w:pPr>
        <w:pStyle w:val="ListParagraph"/>
        <w:numPr>
          <w:ilvl w:val="0"/>
          <w:numId w:val="18"/>
        </w:numPr>
        <w:spacing w:after="160" w:line="259" w:lineRule="auto"/>
        <w:rPr>
          <w:b/>
        </w:rPr>
      </w:pPr>
      <w:r w:rsidRPr="00153847">
        <w:rPr>
          <w:b/>
        </w:rPr>
        <w:t>Employment and Livelihoods</w:t>
      </w:r>
    </w:p>
    <w:p w14:paraId="617BC537" w14:textId="77777777" w:rsidR="00916835" w:rsidRDefault="00916835" w:rsidP="00916835">
      <w:r>
        <w:t>Constraints to employment, and specifically nepotism, is cited as a main economic problem for both IDP and non-IDPs. IDPs may face additional difficulties as they do not have as wide social/family network in their new place of living.  But overall FG and IDI respondents do not emphasize major differences between IDPs and non-IDPs in finding employment. Difficulties with job-seeking are mostly age or gender-related with persons over 40, and men having a harder time to find a job. (Women are more likely to accept lower-paid jobs, or as some put it “women are more flexible, more stress-resistant”; also, there are not as many jobs currently in the construction sector where men have often found seasonal work)</w:t>
      </w:r>
    </w:p>
    <w:p w14:paraId="6449B0C3" w14:textId="77777777" w:rsidR="00916835" w:rsidRDefault="00916835" w:rsidP="00916835">
      <w:r>
        <w:t>In rural areas IDPs are at a disadvantage as they do not own land – they cannot use it to sell produce, for subsistence food production, or as collateral to take a bank loan. IDPs whose livelihoods have been or are currently agriculture-based are at a disadvantage. This gap is being addressed only partially through some donor projects – in vocational training, small business/entrepreneurship, etc.</w:t>
      </w:r>
    </w:p>
    <w:p w14:paraId="7A0F0440" w14:textId="77777777" w:rsidR="00916835" w:rsidRDefault="00916835" w:rsidP="00916835"/>
    <w:p w14:paraId="2D22FC2B" w14:textId="77777777" w:rsidR="00916835" w:rsidRPr="0012442F" w:rsidRDefault="00916835" w:rsidP="00916835">
      <w:pPr>
        <w:pStyle w:val="ListParagraph"/>
        <w:numPr>
          <w:ilvl w:val="0"/>
          <w:numId w:val="18"/>
        </w:numPr>
        <w:spacing w:after="160" w:line="259" w:lineRule="auto"/>
        <w:rPr>
          <w:b/>
        </w:rPr>
      </w:pPr>
      <w:r w:rsidRPr="0012442F">
        <w:rPr>
          <w:b/>
        </w:rPr>
        <w:t>Integration in communities</w:t>
      </w:r>
      <w:r>
        <w:rPr>
          <w:b/>
        </w:rPr>
        <w:t>. D</w:t>
      </w:r>
      <w:r w:rsidRPr="0012442F">
        <w:rPr>
          <w:b/>
        </w:rPr>
        <w:t>ifferences between 1990s and 2008 IDPs</w:t>
      </w:r>
    </w:p>
    <w:p w14:paraId="3230CD45" w14:textId="48EAA2F7" w:rsidR="00916835" w:rsidRDefault="00916835" w:rsidP="00916835">
      <w:r>
        <w:t xml:space="preserve">IDPs are well integrated in communities. No reported difficulties or bad attitude in getting </w:t>
      </w:r>
      <w:r w:rsidR="00CD03E4">
        <w:t>a</w:t>
      </w:r>
      <w:r>
        <w:t>long with locals. Some difficulties were present in the initial period of displacement. Some host communities were resentful of IDPs occupying social buildings such as schools or kindergartens, or o</w:t>
      </w:r>
      <w:r w:rsidR="00CD03E4">
        <w:t>f IDPs receiving assistance where local communities also include</w:t>
      </w:r>
      <w:r>
        <w:t xml:space="preserve"> many poor residents.</w:t>
      </w:r>
    </w:p>
    <w:p w14:paraId="153FAD21" w14:textId="6A18A309" w:rsidR="00916835" w:rsidRDefault="00916835" w:rsidP="00916835">
      <w:r>
        <w:t>Some note more probl</w:t>
      </w:r>
      <w:r w:rsidR="00CD03E4">
        <w:t xml:space="preserve">ems in the acceptance of </w:t>
      </w:r>
      <w:r>
        <w:t xml:space="preserve">IDPs </w:t>
      </w:r>
      <w:r w:rsidR="00CD03E4">
        <w:t xml:space="preserve">from Abkhazia </w:t>
      </w:r>
      <w:r>
        <w:t xml:space="preserve">for being allegedly wealthier and not in need of additional assistance. </w:t>
      </w:r>
    </w:p>
    <w:p w14:paraId="46E19564" w14:textId="152A617B" w:rsidR="00916835" w:rsidRDefault="00CD03E4" w:rsidP="00916835">
      <w:r>
        <w:t xml:space="preserve">Overall, </w:t>
      </w:r>
      <w:r w:rsidR="00916835">
        <w:t>IDP groups note that the economic situation in the country was more difficult in the 1990s therefore expectations from the state were not the same compared to 2008. But still they note some persistent differences that should be corrected</w:t>
      </w:r>
      <w:r>
        <w:t>,</w:t>
      </w:r>
      <w:r w:rsidR="00916835">
        <w:t xml:space="preserve"> particularly in housing.</w:t>
      </w:r>
      <w:r>
        <w:t xml:space="preserve"> IDPs from 1990s still inhabit non-rehabilitated collective centers </w:t>
      </w:r>
      <w:r w:rsidR="009C609C">
        <w:t>and live in crowded</w:t>
      </w:r>
      <w:r>
        <w:t xml:space="preserve"> </w:t>
      </w:r>
      <w:r w:rsidR="009C609C">
        <w:t>conditions.</w:t>
      </w:r>
    </w:p>
    <w:p w14:paraId="572D0554" w14:textId="77777777" w:rsidR="00916835" w:rsidRDefault="00916835" w:rsidP="00916835"/>
    <w:p w14:paraId="753245D9" w14:textId="77777777" w:rsidR="00916835" w:rsidRPr="0012442F" w:rsidRDefault="00916835" w:rsidP="00916835">
      <w:pPr>
        <w:pStyle w:val="ListParagraph"/>
        <w:numPr>
          <w:ilvl w:val="0"/>
          <w:numId w:val="18"/>
        </w:numPr>
        <w:spacing w:after="160" w:line="259" w:lineRule="auto"/>
        <w:rPr>
          <w:b/>
        </w:rPr>
      </w:pPr>
      <w:r w:rsidRPr="0012442F">
        <w:rPr>
          <w:b/>
        </w:rPr>
        <w:t>Housing and living conditions</w:t>
      </w:r>
    </w:p>
    <w:p w14:paraId="24AE89F9" w14:textId="77777777" w:rsidR="00916835" w:rsidRDefault="00916835" w:rsidP="00916835">
      <w:r>
        <w:t xml:space="preserve">Adequate housing is one of the most acute problems for IDPs and an area where inequalities in the treatment of IDPs are most evident. Some IDPs were given dwellings (‘living space’) by the Government which they now own. Some received state assistance, which they used to buy a dwelling (with or without taking additional credit). Others are awaiting such state grant and making arrangements with potential sellers. Wealthier IDPs have bought their own housing. </w:t>
      </w:r>
    </w:p>
    <w:p w14:paraId="56EFDDE9" w14:textId="77777777" w:rsidR="00916835" w:rsidRDefault="00916835" w:rsidP="00916835">
      <w:r>
        <w:t xml:space="preserve">Differences is housing are related to the wave of displacement. IDPs from the 1990s were largely settled in compact settlements and public buildings where some have remained for 20-25 years. IDPs of 2008 </w:t>
      </w:r>
    </w:p>
    <w:p w14:paraId="4B212649" w14:textId="52997433" w:rsidR="00916835" w:rsidRDefault="00CD03E4" w:rsidP="00916835">
      <w:r>
        <w:t xml:space="preserve">Overall opinion that </w:t>
      </w:r>
      <w:r w:rsidR="00916835">
        <w:t xml:space="preserve">IDPs </w:t>
      </w:r>
      <w:r>
        <w:t xml:space="preserve">from Abkhazia </w:t>
      </w:r>
      <w:r w:rsidR="00916835">
        <w:t xml:space="preserve">were treated worse by the state in terms of housing (possibly related to the perception/stereotype that relatively more IDPs from Abkhazia could afford to buy their own housing). </w:t>
      </w:r>
    </w:p>
    <w:p w14:paraId="51C694E9" w14:textId="77777777" w:rsidR="00916835" w:rsidRDefault="00916835" w:rsidP="00916835">
      <w:r>
        <w:t>Some examples were brought forth of groups who were settled in hotels but had difference experiences afterwards: a group in Telavi shared that when an investor bought the hotel each IDP received USD 5,000. This was sufficient to buy a house in a village, with some choosing to take bank loan to purchase more space or to do renovation. This group was relatively satisfied with the settlement. Another group of respondents who were also settled in a hotel were subsequently ‘kicked out’ on the street, ultimately compensated with 10,000 lari which they found insufficient to purchase housing. Similarly, after moving into new housing, some IDPs received help from the state for renovations, while others had to use personal funds, take a loan, or just remain living without some basic amenities such as sanitation, leaking roofs, etc. A case was told of a Tbilisi IDP who “benefitted from state support and privatized two rooms in the kindergarten building”.</w:t>
      </w:r>
    </w:p>
    <w:p w14:paraId="4A4B990B" w14:textId="77777777" w:rsidR="00916835" w:rsidRDefault="00916835" w:rsidP="00916835">
      <w:r>
        <w:t>Overall, the housing situation of IDPs, especially IDPs from the 1990s who remain in public housing is sub-standard. Living conditions are crowded. No all have consistent water and sanitation, or have shared bathroom/toilet. Respondents complain from having no connection to gas, as well as inconsistent electricity supply. Moreover, not owning their home is a long-term liability – they cannot use it as collateral to take a loan, or would not want to invest personal resources to make any improvements.</w:t>
      </w:r>
    </w:p>
    <w:p w14:paraId="513B1223" w14:textId="77777777" w:rsidR="00916835" w:rsidRDefault="00916835" w:rsidP="00916835">
      <w:r>
        <w:t xml:space="preserve">Respondents have a sense that resolving the housing issue is an ongoing process. There are continuing messages from the Government on progress to be made in the near future. There is a perceived link between housing and the IDP benefit - and IDP status overall. For example, in Zugdidi many believe that </w:t>
      </w:r>
      <w:r>
        <w:lastRenderedPageBreak/>
        <w:t xml:space="preserve">continuation of the IDP benefit is linked to solving the housing issue. Some have received information that the government “is building houses for IDPs”, that IDPs will then be given a one-time assistance of 500 lari and then the IDP benefit will be discontinued. </w:t>
      </w:r>
    </w:p>
    <w:p w14:paraId="6233AC11" w14:textId="77777777" w:rsidR="00916835" w:rsidRPr="00F24BFE" w:rsidRDefault="00916835" w:rsidP="00916835">
      <w:r w:rsidRPr="00F24BFE">
        <w:t xml:space="preserve">An issue of fairness is brought up by </w:t>
      </w:r>
      <w:r>
        <w:t xml:space="preserve">respondents who were displaced by natural disaster and are also living in a compact settlement but do not enjoy a special status. </w:t>
      </w:r>
    </w:p>
    <w:p w14:paraId="735D02D5" w14:textId="77777777" w:rsidR="00916835" w:rsidRDefault="00916835" w:rsidP="00916835"/>
    <w:p w14:paraId="52428C7B" w14:textId="77777777" w:rsidR="00916835" w:rsidRPr="0012442F" w:rsidRDefault="00916835" w:rsidP="00916835">
      <w:pPr>
        <w:pStyle w:val="ListParagraph"/>
        <w:numPr>
          <w:ilvl w:val="0"/>
          <w:numId w:val="18"/>
        </w:numPr>
        <w:spacing w:after="160" w:line="259" w:lineRule="auto"/>
        <w:rPr>
          <w:b/>
        </w:rPr>
      </w:pPr>
      <w:r w:rsidRPr="0012442F">
        <w:rPr>
          <w:b/>
        </w:rPr>
        <w:t>Health</w:t>
      </w:r>
    </w:p>
    <w:p w14:paraId="5E142220" w14:textId="77777777" w:rsidR="00916835" w:rsidRDefault="00916835" w:rsidP="00916835">
      <w:r>
        <w:t xml:space="preserve">The health benefit of IDPs is important; however FG [nor IDI] respondents provide details on differences in health care between IDPs and non-IDPs; of IDPs having either special privileges or being disadvantaged by their health insurance. Both IDPs and non-IDPs mention that health insurance does not cover medications which is a significant burden on the budget. In one FG, IDPs say that they receive worse service: [because of their insurance, doctors do not get any $ from serving IDPs] </w:t>
      </w:r>
    </w:p>
    <w:p w14:paraId="456DFE7D" w14:textId="77777777" w:rsidR="00916835" w:rsidRDefault="00916835" w:rsidP="00916835"/>
    <w:p w14:paraId="27C8EB96" w14:textId="77777777" w:rsidR="00916835" w:rsidRPr="0012442F" w:rsidRDefault="00916835" w:rsidP="00916835">
      <w:pPr>
        <w:pStyle w:val="ListParagraph"/>
        <w:numPr>
          <w:ilvl w:val="0"/>
          <w:numId w:val="18"/>
        </w:numPr>
        <w:spacing w:after="160" w:line="259" w:lineRule="auto"/>
        <w:rPr>
          <w:b/>
        </w:rPr>
      </w:pPr>
      <w:r w:rsidRPr="0012442F">
        <w:rPr>
          <w:b/>
        </w:rPr>
        <w:t>Education</w:t>
      </w:r>
    </w:p>
    <w:p w14:paraId="62029BBA" w14:textId="68FDEEC7" w:rsidR="00916835" w:rsidRDefault="00916835" w:rsidP="00916835">
      <w:r>
        <w:t>No major difficulties with education are mentioned. A few single cases noted of discriminating aga</w:t>
      </w:r>
      <w:r w:rsidR="00F67627">
        <w:t xml:space="preserve">inst </w:t>
      </w:r>
      <w:r>
        <w:t xml:space="preserve">IDPs </w:t>
      </w:r>
      <w:r w:rsidR="00F67627">
        <w:t xml:space="preserve">from Abkhazia </w:t>
      </w:r>
      <w:r>
        <w:t xml:space="preserve">– one for kindergarten (the child was from Abhkazia hence not given a spot in a daycare); one for university student scholarship.   </w:t>
      </w:r>
    </w:p>
    <w:p w14:paraId="191D1E4B" w14:textId="77777777" w:rsidR="00916835" w:rsidRDefault="00916835" w:rsidP="00916835"/>
    <w:p w14:paraId="0D1FD00F" w14:textId="77777777" w:rsidR="00916835" w:rsidRPr="0012442F" w:rsidRDefault="00916835" w:rsidP="00916835">
      <w:pPr>
        <w:pStyle w:val="ListParagraph"/>
        <w:numPr>
          <w:ilvl w:val="0"/>
          <w:numId w:val="18"/>
        </w:numPr>
        <w:spacing w:after="160" w:line="259" w:lineRule="auto"/>
        <w:rPr>
          <w:b/>
        </w:rPr>
      </w:pPr>
      <w:r>
        <w:rPr>
          <w:b/>
        </w:rPr>
        <w:t>P</w:t>
      </w:r>
      <w:r w:rsidRPr="0012442F">
        <w:rPr>
          <w:b/>
        </w:rPr>
        <w:t>olitical and symbolic importance of the IDP benefit</w:t>
      </w:r>
    </w:p>
    <w:p w14:paraId="187D7464" w14:textId="77777777" w:rsidR="00916835" w:rsidRDefault="00916835" w:rsidP="00916835">
      <w:r>
        <w:t xml:space="preserve">The IDP status has a strong symbolic significance. Eliminating the status in the mind of both IDPs and non-IDPs is equivalent to the state rejecting the territories; losing hope of reintegration of these territories. IDPs see the benefit not only as economic help, but also (even primarily) as an entitlement and moral compensation for having lost their homes and homeland, a token of the Government’s commitment to work towards reintegration of occupied territories. </w:t>
      </w:r>
    </w:p>
    <w:p w14:paraId="1FE6E8DC" w14:textId="77777777" w:rsidR="00916835" w:rsidRDefault="00916835" w:rsidP="00916835">
      <w:r>
        <w:t>Even social groups, who are convinced that aid to IDPs should be needs-based (e.g., socially vulnerable non-IDPs group in Telavi) believe that IDPs should not lose their “status”, that there should be a status distinction.</w:t>
      </w:r>
    </w:p>
    <w:p w14:paraId="7880132A" w14:textId="77777777" w:rsidR="00916835" w:rsidRDefault="00916835" w:rsidP="00916835">
      <w:r>
        <w:t xml:space="preserve">Very few respondents associate the ‘IDP status’ as something divisive, humiliating, or preventing their integration. A few IDP respondents (higher income ones) prefer to not have this status; believe that as Georgian citizens they don’t need a special status when living within their own country. The wide majority, however, see the status as an important reminder of the conflict and for keeping hope of returning to their homes. </w:t>
      </w:r>
    </w:p>
    <w:p w14:paraId="646C2AE4" w14:textId="77777777" w:rsidR="00916835" w:rsidRDefault="00916835" w:rsidP="00916835"/>
    <w:p w14:paraId="24B657C1" w14:textId="77777777" w:rsidR="00916835" w:rsidRPr="0012442F" w:rsidRDefault="00916835" w:rsidP="00916835">
      <w:pPr>
        <w:pStyle w:val="ListParagraph"/>
        <w:numPr>
          <w:ilvl w:val="0"/>
          <w:numId w:val="18"/>
        </w:numPr>
        <w:spacing w:after="160" w:line="259" w:lineRule="auto"/>
        <w:rPr>
          <w:b/>
        </w:rPr>
      </w:pPr>
      <w:r w:rsidRPr="0012442F">
        <w:rPr>
          <w:b/>
        </w:rPr>
        <w:t>Economic significance of the IDP benefit</w:t>
      </w:r>
    </w:p>
    <w:p w14:paraId="02514250" w14:textId="77777777" w:rsidR="00916835" w:rsidRDefault="00916835" w:rsidP="00916835">
      <w:r>
        <w:t>Most respondents in principle agree that the benefit should be needs-based e.g. within the persons eligible for IDP benefit those with lower income should receive higher assistance, and those with higher income (over 1250 lari/month) do not need the financial assistance or can receive a nominal sum in recognition of their status.</w:t>
      </w:r>
    </w:p>
    <w:p w14:paraId="02699736" w14:textId="77777777" w:rsidR="00916835" w:rsidRDefault="00916835" w:rsidP="00916835">
      <w:r>
        <w:t xml:space="preserve">Even though the IDP benefit is very small, it makes a difference to many families. Since the IDP benefit is administered per individual, for multi-person households it can be a significant portion of income. For </w:t>
      </w:r>
      <w:r>
        <w:lastRenderedPageBreak/>
        <w:t>example, a five person household would receive 225 lari/month, which some mention is comparable to one monthly salary e.g. a shop assistant’s salary might be 200 lari. One respondent’s household of five lives on a 225/mo IDP benefit and a 500/mo salary of one of the parents; in their case the benefit is more than a third of the household’s income. For comparison, a shop consultant may receive a salary of 200 lari/mo. In this case, collectively the IDP benefits can equal an additional salary. By respondents’ accounts, the IDP benefit can comprise up to 30% or even 50% of the household’s income [range tbc].</w:t>
      </w:r>
    </w:p>
    <w:p w14:paraId="27DAA32D" w14:textId="77777777" w:rsidR="00916835" w:rsidRDefault="00916835" w:rsidP="00916835">
      <w:r>
        <w:t>The IDP benefit is also more secure and there is less transaction cost in applying for it (in time, collecting documents, etc.)</w:t>
      </w:r>
    </w:p>
    <w:p w14:paraId="09B2B470" w14:textId="77777777" w:rsidR="00916835" w:rsidRPr="00B0523B" w:rsidRDefault="00916835" w:rsidP="00916835">
      <w:pPr>
        <w:rPr>
          <w:b/>
        </w:rPr>
      </w:pPr>
    </w:p>
    <w:p w14:paraId="27C0D646" w14:textId="77777777" w:rsidR="00916835" w:rsidRPr="0012442F" w:rsidRDefault="00916835" w:rsidP="00916835">
      <w:pPr>
        <w:pStyle w:val="ListParagraph"/>
        <w:numPr>
          <w:ilvl w:val="0"/>
          <w:numId w:val="18"/>
        </w:numPr>
        <w:spacing w:after="160" w:line="259" w:lineRule="auto"/>
        <w:rPr>
          <w:b/>
        </w:rPr>
      </w:pPr>
      <w:r w:rsidRPr="0012442F">
        <w:rPr>
          <w:b/>
        </w:rPr>
        <w:t>Using the targeted social assistance for IDPs</w:t>
      </w:r>
    </w:p>
    <w:p w14:paraId="2BE90E01" w14:textId="77777777" w:rsidR="00916835" w:rsidRDefault="00916835" w:rsidP="00916835">
      <w:r>
        <w:t xml:space="preserve">The concerns expressed with regard to replacing the IDP benefit with targeted social assistance include: </w:t>
      </w:r>
    </w:p>
    <w:p w14:paraId="26CAF649" w14:textId="77777777" w:rsidR="00916835" w:rsidRDefault="00916835" w:rsidP="00916835">
      <w:pPr>
        <w:pStyle w:val="ListParagraph"/>
        <w:numPr>
          <w:ilvl w:val="0"/>
          <w:numId w:val="17"/>
        </w:numPr>
        <w:spacing w:after="160" w:line="259" w:lineRule="auto"/>
      </w:pPr>
      <w:r>
        <w:t xml:space="preserve">Fear that the benefit is not as stable as the IDP benefit. One might lose it if s/he finds a job; even if the job is seasonal or uncertain, or if the household receives a TV or fridge as gift from a relative. Re-applying for the benefit is complex and time-consuming and there is no guarantee that the household will receive it again after being discontinued. </w:t>
      </w:r>
    </w:p>
    <w:p w14:paraId="535711A8" w14:textId="77777777" w:rsidR="00916835" w:rsidRDefault="00916835" w:rsidP="00916835">
      <w:pPr>
        <w:pStyle w:val="ListParagraph"/>
      </w:pPr>
      <w:r>
        <w:t xml:space="preserve">An NGO respondent shares that a temporary employment program the NGO ran had difficulty recruiting some vulnerable households because they feared of losing the social assistance benefit if they took a seasonal job. They were not certain they will be able to reapply for the benefit. </w:t>
      </w:r>
    </w:p>
    <w:p w14:paraId="4E4D2A47" w14:textId="77777777" w:rsidR="00916835" w:rsidRDefault="00916835" w:rsidP="00916835">
      <w:pPr>
        <w:pStyle w:val="ListParagraph"/>
        <w:numPr>
          <w:ilvl w:val="0"/>
          <w:numId w:val="17"/>
        </w:numPr>
        <w:spacing w:after="160" w:line="259" w:lineRule="auto"/>
      </w:pPr>
      <w:r>
        <w:t xml:space="preserve">Concerns about “unfair distribution” of social assistance. Respondents would fear that accessing the benefit may be more subjective, and not as clear-cut as having IDP status. </w:t>
      </w:r>
    </w:p>
    <w:p w14:paraId="015BD43E" w14:textId="77777777" w:rsidR="00916835" w:rsidRDefault="00916835" w:rsidP="00916835">
      <w:pPr>
        <w:pStyle w:val="ListParagraph"/>
        <w:numPr>
          <w:ilvl w:val="0"/>
          <w:numId w:val="17"/>
        </w:numPr>
        <w:spacing w:after="160" w:line="259" w:lineRule="auto"/>
      </w:pPr>
      <w:r>
        <w:t>[Logistical concern about including IDPs into Min. of Labor and Social Assistance database. In 2008, all incoming IDPs were automatically registered as ‘socially vulnerable’ and were given a choice of receiving either social assistance or IDP benefit. Later on, this assistance was determined by the point system so IDPs no longer qualified automatically for social assistance. Still, this wave of IDPs was better informed about and had some interaction with TSA programs while ‘older’ IDPs have not had any point of contact with the social assistance institutions.]</w:t>
      </w:r>
    </w:p>
    <w:p w14:paraId="3AE9F7F6" w14:textId="77777777" w:rsidR="00916835" w:rsidRDefault="00916835" w:rsidP="00916835"/>
    <w:p w14:paraId="3CDA5D01" w14:textId="77777777" w:rsidR="00916835" w:rsidRPr="0012442F" w:rsidRDefault="00916835" w:rsidP="00916835">
      <w:pPr>
        <w:pStyle w:val="ListParagraph"/>
        <w:numPr>
          <w:ilvl w:val="0"/>
          <w:numId w:val="18"/>
        </w:numPr>
        <w:spacing w:after="160" w:line="259" w:lineRule="auto"/>
        <w:rPr>
          <w:b/>
        </w:rPr>
      </w:pPr>
      <w:r w:rsidRPr="0012442F">
        <w:rPr>
          <w:b/>
        </w:rPr>
        <w:t>Desired</w:t>
      </w:r>
      <w:r>
        <w:rPr>
          <w:b/>
        </w:rPr>
        <w:t xml:space="preserve"> programs (most</w:t>
      </w:r>
      <w:r w:rsidRPr="0012442F">
        <w:rPr>
          <w:b/>
        </w:rPr>
        <w:t xml:space="preserve"> needed assistance)</w:t>
      </w:r>
    </w:p>
    <w:p w14:paraId="202EBCFE" w14:textId="77777777" w:rsidR="00916835" w:rsidRDefault="00916835" w:rsidP="00916835">
      <w:r>
        <w:t>Most FGs highlight the following types of support as priority:</w:t>
      </w:r>
    </w:p>
    <w:p w14:paraId="3C1516A5" w14:textId="77777777" w:rsidR="00916835" w:rsidRDefault="00916835" w:rsidP="00916835">
      <w:pPr>
        <w:pStyle w:val="ListParagraph"/>
        <w:numPr>
          <w:ilvl w:val="0"/>
          <w:numId w:val="17"/>
        </w:numPr>
        <w:spacing w:after="160" w:line="259" w:lineRule="auto"/>
      </w:pPr>
      <w:r>
        <w:t>Employment – creating more jobs in industry, public institutions, support for entrepreneurs;</w:t>
      </w:r>
    </w:p>
    <w:p w14:paraId="10127E87" w14:textId="77777777" w:rsidR="00916835" w:rsidRDefault="00916835" w:rsidP="00916835">
      <w:pPr>
        <w:pStyle w:val="ListParagraph"/>
        <w:numPr>
          <w:ilvl w:val="0"/>
          <w:numId w:val="17"/>
        </w:numPr>
        <w:spacing w:after="160" w:line="259" w:lineRule="auto"/>
      </w:pPr>
      <w:r>
        <w:t>Help with utility bills;</w:t>
      </w:r>
    </w:p>
    <w:p w14:paraId="308CB891" w14:textId="77777777" w:rsidR="00916835" w:rsidRDefault="00916835" w:rsidP="00916835">
      <w:pPr>
        <w:pStyle w:val="ListParagraph"/>
        <w:numPr>
          <w:ilvl w:val="0"/>
          <w:numId w:val="17"/>
        </w:numPr>
        <w:spacing w:after="160" w:line="259" w:lineRule="auto"/>
      </w:pPr>
      <w:r>
        <w:t>Increasing the aid for socially vulnerable groups:  single mothers, large families, persons with disability;</w:t>
      </w:r>
    </w:p>
    <w:p w14:paraId="21915D02" w14:textId="77777777" w:rsidR="00916835" w:rsidRDefault="00916835" w:rsidP="00916835">
      <w:pPr>
        <w:pStyle w:val="ListParagraph"/>
        <w:numPr>
          <w:ilvl w:val="0"/>
          <w:numId w:val="17"/>
        </w:numPr>
        <w:spacing w:after="160" w:line="259" w:lineRule="auto"/>
      </w:pPr>
      <w:r>
        <w:t>Better healthcare coverage, including cost of medications.</w:t>
      </w:r>
    </w:p>
    <w:p w14:paraId="034DD177" w14:textId="77777777" w:rsidR="00916835" w:rsidRPr="00916835" w:rsidRDefault="00916835" w:rsidP="00916835"/>
    <w:sectPr w:rsidR="00916835" w:rsidRPr="00916835" w:rsidSect="00E62A39">
      <w:footerReference w:type="default" r:id="rId4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2BC93A" w14:textId="77777777" w:rsidR="006C3911" w:rsidRDefault="006C3911" w:rsidP="00D8174A">
      <w:pPr>
        <w:spacing w:after="0"/>
      </w:pPr>
      <w:r>
        <w:separator/>
      </w:r>
    </w:p>
  </w:endnote>
  <w:endnote w:type="continuationSeparator" w:id="0">
    <w:p w14:paraId="0D901A00" w14:textId="77777777" w:rsidR="006C3911" w:rsidRDefault="006C3911" w:rsidP="00D8174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lfaen">
    <w:panose1 w:val="010A0502050306030303"/>
    <w:charset w:val="00"/>
    <w:family w:val="roman"/>
    <w:pitch w:val="variable"/>
    <w:sig w:usb0="04000687" w:usb1="00000000" w:usb2="00000000" w:usb3="00000000" w:csb0="0000009F" w:csb1="00000000"/>
  </w:font>
  <w:font w:name="AmnestyTradeGoth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3328876"/>
      <w:docPartObj>
        <w:docPartGallery w:val="Page Numbers (Bottom of Page)"/>
        <w:docPartUnique/>
      </w:docPartObj>
    </w:sdtPr>
    <w:sdtEndPr>
      <w:rPr>
        <w:noProof/>
      </w:rPr>
    </w:sdtEndPr>
    <w:sdtContent>
      <w:p w14:paraId="1D5784C6" w14:textId="680194B7" w:rsidR="00960899" w:rsidRDefault="00960899">
        <w:pPr>
          <w:pStyle w:val="Footer"/>
          <w:jc w:val="center"/>
        </w:pPr>
        <w:r>
          <w:fldChar w:fldCharType="begin"/>
        </w:r>
        <w:r>
          <w:instrText xml:space="preserve"> PAGE   \* MERGEFORMAT </w:instrText>
        </w:r>
        <w:r>
          <w:fldChar w:fldCharType="separate"/>
        </w:r>
        <w:r w:rsidR="00525358">
          <w:rPr>
            <w:noProof/>
          </w:rPr>
          <w:t>39</w:t>
        </w:r>
        <w:r>
          <w:rPr>
            <w:noProof/>
          </w:rPr>
          <w:fldChar w:fldCharType="end"/>
        </w:r>
      </w:p>
    </w:sdtContent>
  </w:sdt>
  <w:p w14:paraId="58C70902" w14:textId="77777777" w:rsidR="00960899" w:rsidRDefault="0096089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2447C0" w14:textId="77777777" w:rsidR="006C3911" w:rsidRDefault="006C3911" w:rsidP="00D8174A">
      <w:pPr>
        <w:spacing w:after="0"/>
      </w:pPr>
      <w:r>
        <w:separator/>
      </w:r>
    </w:p>
  </w:footnote>
  <w:footnote w:type="continuationSeparator" w:id="0">
    <w:p w14:paraId="41913D40" w14:textId="77777777" w:rsidR="006C3911" w:rsidRDefault="006C3911" w:rsidP="00D8174A">
      <w:pPr>
        <w:spacing w:after="0"/>
      </w:pPr>
      <w:r>
        <w:continuationSeparator/>
      </w:r>
    </w:p>
  </w:footnote>
  <w:footnote w:id="1">
    <w:p w14:paraId="323E63C8" w14:textId="7EF5BBB6" w:rsidR="00960899" w:rsidRDefault="00960899">
      <w:pPr>
        <w:pStyle w:val="FootnoteText"/>
      </w:pPr>
      <w:r>
        <w:rPr>
          <w:rStyle w:val="FootnoteReference"/>
        </w:rPr>
        <w:footnoteRef/>
      </w:r>
      <w:r>
        <w:t xml:space="preserve"> In this report, “IDP benefit” refers to the monthly cash benefit, to which all Georgian citizens registered as IDPs from occupied territories, are entitled. It is also often referred to as “IDP allowance” or “social allowance” for IDPs.</w:t>
      </w:r>
    </w:p>
  </w:footnote>
  <w:footnote w:id="2">
    <w:p w14:paraId="3490108E" w14:textId="4DD331A7" w:rsidR="00960899" w:rsidRDefault="00960899" w:rsidP="00791E79">
      <w:pPr>
        <w:pStyle w:val="FootnoteText"/>
      </w:pPr>
      <w:r>
        <w:rPr>
          <w:rStyle w:val="FootnoteReference"/>
        </w:rPr>
        <w:footnoteRef/>
      </w:r>
      <w:r>
        <w:t xml:space="preserve"> Currently IDPs have to choose between receiving the IDP benefit or Targeted Social Assistance. The IDP benefit is a fixed monthly sum of 45 GEL/month given to any registered IDP citizen with </w:t>
      </w:r>
      <w:r w:rsidRPr="00FA4F8D">
        <w:t>per capita income of less than 1,250 GEL/month.</w:t>
      </w:r>
      <w:r>
        <w:t xml:space="preserve"> The Targeted Social Assistance (TSA) program is a means-tested cash benefit targeting the poorer segments of the population. The TSA involves a more complex application procedure but could offer an overall more generous benefit depending on the households’ characteristics. </w:t>
      </w:r>
    </w:p>
  </w:footnote>
  <w:footnote w:id="3">
    <w:p w14:paraId="505A30C1" w14:textId="2A0C9D48" w:rsidR="00960899" w:rsidRDefault="00960899">
      <w:pPr>
        <w:pStyle w:val="FootnoteText"/>
      </w:pPr>
      <w:r>
        <w:rPr>
          <w:rStyle w:val="FootnoteReference"/>
        </w:rPr>
        <w:footnoteRef/>
      </w:r>
      <w:r>
        <w:t xml:space="preserve"> With IDPs representing </w:t>
      </w:r>
      <w:r w:rsidRPr="00537E36">
        <w:t>about 6% of the population, Georgia has one of the highest incidences of internal disp</w:t>
      </w:r>
      <w:r>
        <w:t>lacement relative to its overall</w:t>
      </w:r>
      <w:r w:rsidRPr="00537E36">
        <w:t xml:space="preserve"> population</w:t>
      </w:r>
      <w:r>
        <w:t xml:space="preserve"> in the world. </w:t>
      </w:r>
    </w:p>
  </w:footnote>
  <w:footnote w:id="4">
    <w:p w14:paraId="721F491B" w14:textId="31C9B229" w:rsidR="00960899" w:rsidRDefault="00960899">
      <w:pPr>
        <w:pStyle w:val="FootnoteText"/>
      </w:pPr>
      <w:r>
        <w:rPr>
          <w:rStyle w:val="FootnoteReference"/>
        </w:rPr>
        <w:footnoteRef/>
      </w:r>
      <w:r>
        <w:t xml:space="preserve"> World Bank. 2013. </w:t>
      </w:r>
      <w:r w:rsidRPr="0036006E">
        <w:rPr>
          <w:i/>
        </w:rPr>
        <w:t>Implementation Status and Results Report. Georgia: IDP Community Development Project</w:t>
      </w:r>
      <w:r>
        <w:t xml:space="preserve">. </w:t>
      </w:r>
      <w:hyperlink r:id="rId1" w:history="1">
        <w:r w:rsidRPr="004D1131">
          <w:rPr>
            <w:rStyle w:val="Hyperlink"/>
          </w:rPr>
          <w:t>http://imagebank.worldbank.org/servlet/WDSContentServer/IW3P/ECA/2013/03/18/090224b0819f0f8c/1_0/Rendered/PDF/Georgia000IDP00Report000Sequence005.pdf</w:t>
        </w:r>
      </w:hyperlink>
      <w:r>
        <w:t xml:space="preserve"> </w:t>
      </w:r>
    </w:p>
  </w:footnote>
  <w:footnote w:id="5">
    <w:p w14:paraId="59374CE0" w14:textId="28DA00E3" w:rsidR="00960899" w:rsidRDefault="00960899">
      <w:pPr>
        <w:pStyle w:val="FootnoteText"/>
      </w:pPr>
      <w:r>
        <w:rPr>
          <w:rStyle w:val="FootnoteReference"/>
        </w:rPr>
        <w:footnoteRef/>
      </w:r>
      <w:r>
        <w:t>World Bank. 2013. “</w:t>
      </w:r>
      <w:r w:rsidRPr="000261B4">
        <w:t>Supporting the Livelihoods of Internally Displaced Persons in Georgia”</w:t>
      </w:r>
    </w:p>
  </w:footnote>
  <w:footnote w:id="6">
    <w:p w14:paraId="66A6DC56" w14:textId="5AD91535" w:rsidR="00C53B11" w:rsidRDefault="00C53B11" w:rsidP="00C53B11">
      <w:pPr>
        <w:spacing w:after="0" w:line="276" w:lineRule="auto"/>
      </w:pPr>
      <w:r>
        <w:rPr>
          <w:rStyle w:val="FootnoteReference"/>
        </w:rPr>
        <w:footnoteRef/>
      </w:r>
      <w:r>
        <w:t xml:space="preserve"> </w:t>
      </w:r>
      <w:r w:rsidRPr="00C53B11">
        <w:rPr>
          <w:sz w:val="20"/>
          <w:szCs w:val="20"/>
        </w:rPr>
        <w:t xml:space="preserve">Other </w:t>
      </w:r>
      <w:r>
        <w:rPr>
          <w:sz w:val="20"/>
          <w:szCs w:val="20"/>
        </w:rPr>
        <w:t xml:space="preserve">international partners (EU, UNHCR, USAID, FAO, SDC, among other) </w:t>
      </w:r>
      <w:r w:rsidRPr="00C53B11">
        <w:rPr>
          <w:sz w:val="20"/>
          <w:szCs w:val="20"/>
        </w:rPr>
        <w:t>are also providing technical and financial support to address physical and economic needs of IDPs.</w:t>
      </w:r>
      <w:r w:rsidRPr="00A85B52">
        <w:rPr>
          <w:b/>
          <w:sz w:val="20"/>
          <w:szCs w:val="20"/>
        </w:rPr>
        <w:t xml:space="preserve">  </w:t>
      </w:r>
    </w:p>
    <w:p w14:paraId="537B1F9D" w14:textId="7338D741" w:rsidR="00C53B11" w:rsidRDefault="00C53B11">
      <w:pPr>
        <w:pStyle w:val="FootnoteText"/>
      </w:pPr>
    </w:p>
  </w:footnote>
  <w:footnote w:id="7">
    <w:p w14:paraId="34E5EFE6" w14:textId="35DA55FB" w:rsidR="00960899" w:rsidRPr="00C072A6" w:rsidRDefault="00960899">
      <w:pPr>
        <w:pStyle w:val="FootnoteText"/>
        <w:rPr>
          <w:rFonts w:asciiTheme="minorHAnsi" w:hAnsiTheme="minorHAnsi"/>
          <w:sz w:val="18"/>
          <w:szCs w:val="18"/>
        </w:rPr>
      </w:pPr>
      <w:r w:rsidRPr="00C072A6">
        <w:rPr>
          <w:rStyle w:val="FootnoteReference"/>
          <w:rFonts w:asciiTheme="minorHAnsi" w:hAnsiTheme="minorHAnsi"/>
          <w:sz w:val="18"/>
          <w:szCs w:val="18"/>
        </w:rPr>
        <w:footnoteRef/>
      </w:r>
      <w:r w:rsidRPr="00C072A6">
        <w:rPr>
          <w:rFonts w:asciiTheme="minorHAnsi" w:hAnsiTheme="minorHAnsi"/>
          <w:sz w:val="18"/>
          <w:szCs w:val="18"/>
        </w:rPr>
        <w:t xml:space="preserve"> The W</w:t>
      </w:r>
      <w:r>
        <w:rPr>
          <w:rFonts w:asciiTheme="minorHAnsi" w:hAnsiTheme="minorHAnsi"/>
          <w:sz w:val="18"/>
          <w:szCs w:val="18"/>
        </w:rPr>
        <w:t>orld Bank. 2014</w:t>
      </w:r>
      <w:r w:rsidRPr="00C072A6">
        <w:rPr>
          <w:rFonts w:asciiTheme="minorHAnsi" w:hAnsiTheme="minorHAnsi"/>
          <w:sz w:val="18"/>
          <w:szCs w:val="18"/>
        </w:rPr>
        <w:t>. Georgia: Country Partnership Strategy</w:t>
      </w:r>
      <w:r>
        <w:rPr>
          <w:rFonts w:asciiTheme="minorHAnsi" w:hAnsiTheme="minorHAnsi"/>
          <w:sz w:val="18"/>
          <w:szCs w:val="18"/>
        </w:rPr>
        <w:t xml:space="preserve"> 2014-2017</w:t>
      </w:r>
      <w:r w:rsidRPr="00C072A6">
        <w:rPr>
          <w:rFonts w:asciiTheme="minorHAnsi" w:hAnsiTheme="minorHAnsi"/>
          <w:sz w:val="18"/>
          <w:szCs w:val="18"/>
        </w:rPr>
        <w:t xml:space="preserve">. </w:t>
      </w:r>
    </w:p>
    <w:p w14:paraId="74312571" w14:textId="77777777" w:rsidR="00960899" w:rsidRPr="00C072A6" w:rsidRDefault="00960899">
      <w:pPr>
        <w:pStyle w:val="FootnoteText"/>
        <w:rPr>
          <w:rFonts w:asciiTheme="minorHAnsi" w:hAnsiTheme="minorHAnsi"/>
          <w:sz w:val="18"/>
          <w:szCs w:val="18"/>
        </w:rPr>
      </w:pPr>
      <w:r w:rsidRPr="00C072A6">
        <w:rPr>
          <w:rFonts w:asciiTheme="minorHAnsi" w:hAnsiTheme="minorHAnsi"/>
          <w:sz w:val="18"/>
          <w:szCs w:val="18"/>
        </w:rPr>
        <w:t>http://www-wds.worldbank.org/external/default/WDSContentServer/WDSP/IB/2014/04/17/000371432_20140417112902/Rendered/PDF/852510CAS0P144080Box385177B00OUO090.pdf</w:t>
      </w:r>
    </w:p>
  </w:footnote>
  <w:footnote w:id="8">
    <w:p w14:paraId="1C76468E" w14:textId="77777777" w:rsidR="00960899" w:rsidRPr="00712312" w:rsidRDefault="00960899" w:rsidP="0047768D">
      <w:pPr>
        <w:autoSpaceDE w:val="0"/>
        <w:autoSpaceDN w:val="0"/>
        <w:adjustRightInd w:val="0"/>
        <w:spacing w:after="0"/>
        <w:rPr>
          <w:rFonts w:cs="Times New Roman"/>
          <w:sz w:val="18"/>
          <w:szCs w:val="18"/>
        </w:rPr>
      </w:pPr>
      <w:r w:rsidRPr="00712312">
        <w:rPr>
          <w:rStyle w:val="FootnoteReference"/>
          <w:rFonts w:cs="Times New Roman"/>
          <w:sz w:val="18"/>
          <w:szCs w:val="18"/>
        </w:rPr>
        <w:footnoteRef/>
      </w:r>
      <w:r w:rsidRPr="00712312">
        <w:rPr>
          <w:rFonts w:cs="Times New Roman"/>
          <w:sz w:val="18"/>
          <w:szCs w:val="18"/>
        </w:rPr>
        <w:t xml:space="preserve"> Poverty and extreme poverty are measured using absolute poverty lines anchored on the national relative poverty and extreme poverty lines. An absolute poverty line is used to facilitate comparisons of poverty performance over time in Georgia. The 2012 values were GEL 91.2 per adult equivalent per month and GEL 52.9 per adult equivalent per month (extreme or food poverty line).</w:t>
      </w:r>
    </w:p>
  </w:footnote>
  <w:footnote w:id="9">
    <w:p w14:paraId="007D7BA6" w14:textId="77777777" w:rsidR="00960899" w:rsidRPr="00712312" w:rsidRDefault="00960899" w:rsidP="0047768D">
      <w:pPr>
        <w:pStyle w:val="FootnoteText"/>
        <w:rPr>
          <w:rFonts w:asciiTheme="minorHAnsi" w:hAnsiTheme="minorHAnsi"/>
          <w:sz w:val="18"/>
          <w:szCs w:val="18"/>
        </w:rPr>
      </w:pPr>
      <w:r w:rsidRPr="00712312">
        <w:rPr>
          <w:rStyle w:val="FootnoteReference"/>
          <w:rFonts w:asciiTheme="minorHAnsi" w:hAnsiTheme="minorHAnsi"/>
          <w:sz w:val="18"/>
          <w:szCs w:val="18"/>
        </w:rPr>
        <w:footnoteRef/>
      </w:r>
      <w:r w:rsidRPr="00712312">
        <w:rPr>
          <w:rFonts w:asciiTheme="minorHAnsi" w:hAnsiTheme="minorHAnsi"/>
          <w:sz w:val="18"/>
          <w:szCs w:val="18"/>
        </w:rPr>
        <w:t xml:space="preserve"> World Bank Data Indicators. Available at http://data.worldbank.org/indicator/</w:t>
      </w:r>
    </w:p>
  </w:footnote>
  <w:footnote w:id="10">
    <w:p w14:paraId="68FD3C69" w14:textId="77777777" w:rsidR="00960899" w:rsidRPr="00712312" w:rsidRDefault="00960899" w:rsidP="0047768D">
      <w:pPr>
        <w:pStyle w:val="FootnoteText"/>
        <w:rPr>
          <w:rFonts w:asciiTheme="minorHAnsi" w:hAnsiTheme="minorHAnsi"/>
          <w:sz w:val="18"/>
          <w:szCs w:val="18"/>
        </w:rPr>
      </w:pPr>
      <w:r w:rsidRPr="00712312">
        <w:rPr>
          <w:rStyle w:val="FootnoteReference"/>
          <w:rFonts w:asciiTheme="minorHAnsi" w:hAnsiTheme="minorHAnsi"/>
          <w:sz w:val="18"/>
          <w:szCs w:val="18"/>
        </w:rPr>
        <w:footnoteRef/>
      </w:r>
      <w:r w:rsidRPr="00712312">
        <w:rPr>
          <w:rFonts w:asciiTheme="minorHAnsi" w:hAnsiTheme="minorHAnsi"/>
          <w:sz w:val="18"/>
          <w:szCs w:val="18"/>
        </w:rPr>
        <w:t xml:space="preserve"> Ibid</w:t>
      </w:r>
    </w:p>
  </w:footnote>
  <w:footnote w:id="11">
    <w:p w14:paraId="56036F52" w14:textId="55211750" w:rsidR="00960899" w:rsidRPr="00A9066C" w:rsidRDefault="00960899">
      <w:pPr>
        <w:pStyle w:val="FootnoteText"/>
        <w:rPr>
          <w:rFonts w:asciiTheme="minorHAnsi" w:hAnsiTheme="minorHAnsi"/>
          <w:sz w:val="18"/>
          <w:szCs w:val="18"/>
        </w:rPr>
      </w:pPr>
      <w:r w:rsidRPr="00712312">
        <w:rPr>
          <w:rStyle w:val="FootnoteReference"/>
          <w:rFonts w:asciiTheme="minorHAnsi" w:hAnsiTheme="minorHAnsi"/>
          <w:sz w:val="18"/>
          <w:szCs w:val="18"/>
        </w:rPr>
        <w:footnoteRef/>
      </w:r>
      <w:r w:rsidRPr="00712312">
        <w:rPr>
          <w:rFonts w:asciiTheme="minorHAnsi" w:hAnsiTheme="minorHAnsi"/>
          <w:sz w:val="18"/>
          <w:szCs w:val="18"/>
        </w:rPr>
        <w:t xml:space="preserve"> </w:t>
      </w:r>
      <w:r w:rsidRPr="00712312">
        <w:rPr>
          <w:rFonts w:asciiTheme="minorHAnsi" w:hAnsiTheme="minorHAnsi"/>
          <w:bCs/>
          <w:sz w:val="18"/>
          <w:szCs w:val="18"/>
        </w:rPr>
        <w:t xml:space="preserve">Ministry of Internally Displaced Persons from the Occupied Territories, Accommodation and Refugees of Georgia. </w:t>
      </w:r>
      <w:hyperlink r:id="rId2" w:history="1">
        <w:r w:rsidRPr="00712312">
          <w:rPr>
            <w:rStyle w:val="Hyperlink"/>
            <w:rFonts w:asciiTheme="minorHAnsi" w:hAnsiTheme="minorHAnsi"/>
            <w:color w:val="auto"/>
            <w:sz w:val="18"/>
            <w:szCs w:val="18"/>
          </w:rPr>
          <w:t>http://mra.gov.ge/eng/static/3181</w:t>
        </w:r>
      </w:hyperlink>
      <w:r>
        <w:rPr>
          <w:rStyle w:val="Hyperlink"/>
          <w:rFonts w:asciiTheme="minorHAnsi" w:hAnsiTheme="minorHAnsi"/>
          <w:color w:val="auto"/>
          <w:sz w:val="18"/>
          <w:szCs w:val="18"/>
          <w:u w:val="none"/>
        </w:rPr>
        <w:t>; accessed on January 5, 2016 (statistics are regularly updated by the Ministry)</w:t>
      </w:r>
    </w:p>
  </w:footnote>
  <w:footnote w:id="12">
    <w:p w14:paraId="5CD286A9" w14:textId="0F2A0B6E" w:rsidR="00960899" w:rsidRPr="00712312" w:rsidRDefault="00960899" w:rsidP="002010F6">
      <w:pPr>
        <w:pStyle w:val="FootnoteText"/>
        <w:rPr>
          <w:rFonts w:asciiTheme="minorHAnsi" w:hAnsiTheme="minorHAnsi"/>
          <w:sz w:val="18"/>
          <w:szCs w:val="18"/>
        </w:rPr>
      </w:pPr>
      <w:r w:rsidRPr="00712312">
        <w:rPr>
          <w:rStyle w:val="FootnoteReference"/>
          <w:rFonts w:asciiTheme="minorHAnsi" w:hAnsiTheme="minorHAnsi"/>
          <w:sz w:val="18"/>
          <w:szCs w:val="18"/>
        </w:rPr>
        <w:footnoteRef/>
      </w:r>
      <w:r w:rsidRPr="00712312">
        <w:rPr>
          <w:rFonts w:asciiTheme="minorHAnsi" w:hAnsiTheme="minorHAnsi"/>
          <w:sz w:val="18"/>
          <w:szCs w:val="18"/>
        </w:rPr>
        <w:t xml:space="preserve"> This figure represents the current total number of register</w:t>
      </w:r>
      <w:r>
        <w:rPr>
          <w:rFonts w:asciiTheme="minorHAnsi" w:hAnsiTheme="minorHAnsi"/>
          <w:sz w:val="18"/>
          <w:szCs w:val="18"/>
        </w:rPr>
        <w:t>ed displaced people from the conflict</w:t>
      </w:r>
      <w:r w:rsidRPr="00712312">
        <w:rPr>
          <w:rFonts w:asciiTheme="minorHAnsi" w:hAnsiTheme="minorHAnsi"/>
          <w:sz w:val="18"/>
          <w:szCs w:val="18"/>
        </w:rPr>
        <w:t xml:space="preserve">s in the </w:t>
      </w:r>
      <w:r>
        <w:rPr>
          <w:rFonts w:asciiTheme="minorHAnsi" w:hAnsiTheme="minorHAnsi"/>
          <w:sz w:val="18"/>
          <w:szCs w:val="18"/>
        </w:rPr>
        <w:t xml:space="preserve">early 1990s and </w:t>
      </w:r>
      <w:r w:rsidRPr="00712312">
        <w:rPr>
          <w:rFonts w:asciiTheme="minorHAnsi" w:hAnsiTheme="minorHAnsi"/>
          <w:sz w:val="18"/>
          <w:szCs w:val="18"/>
        </w:rPr>
        <w:t xml:space="preserve">in August 2008. The total number of internally displaced people has however fluctuated over time. In </w:t>
      </w:r>
      <w:r>
        <w:rPr>
          <w:rFonts w:asciiTheme="minorHAnsi" w:hAnsiTheme="minorHAnsi"/>
          <w:sz w:val="18"/>
          <w:szCs w:val="18"/>
        </w:rPr>
        <w:t>the</w:t>
      </w:r>
      <w:r w:rsidRPr="00712312">
        <w:rPr>
          <w:rFonts w:asciiTheme="minorHAnsi" w:hAnsiTheme="minorHAnsi"/>
          <w:sz w:val="18"/>
          <w:szCs w:val="18"/>
        </w:rPr>
        <w:t xml:space="preserve"> early </w:t>
      </w:r>
      <w:r>
        <w:rPr>
          <w:rFonts w:asciiTheme="minorHAnsi" w:hAnsiTheme="minorHAnsi"/>
          <w:sz w:val="18"/>
          <w:szCs w:val="18"/>
        </w:rPr>
        <w:t>1990s</w:t>
      </w:r>
      <w:r w:rsidRPr="00712312">
        <w:rPr>
          <w:rFonts w:asciiTheme="minorHAnsi" w:hAnsiTheme="minorHAnsi"/>
          <w:sz w:val="18"/>
          <w:szCs w:val="18"/>
        </w:rPr>
        <w:t>, over 300,000 people were displaced. The August 2008 conflict displaced an estimated 192,000 people. A majority of IDPs from August 2008 have returned, with recent figures indicating that 20,272 remain displaced. The IDPs from the early nineties therefore constitute the largest share of the currently displaced 259,247 people. Some IDPs displaced from Abkhazia returned in the mid-nineties, but many were re-ex</w:t>
      </w:r>
      <w:r>
        <w:rPr>
          <w:rFonts w:asciiTheme="minorHAnsi" w:hAnsiTheme="minorHAnsi"/>
          <w:sz w:val="18"/>
          <w:szCs w:val="18"/>
        </w:rPr>
        <w:t>pelled in 1999, though some</w:t>
      </w:r>
      <w:r w:rsidRPr="00712312">
        <w:rPr>
          <w:rFonts w:asciiTheme="minorHAnsi" w:hAnsiTheme="minorHAnsi"/>
          <w:sz w:val="18"/>
          <w:szCs w:val="18"/>
        </w:rPr>
        <w:t xml:space="preserve"> remained in the lower and upper Gali districts of Abkhazia</w:t>
      </w:r>
      <w:r>
        <w:rPr>
          <w:rFonts w:asciiTheme="minorHAnsi" w:hAnsiTheme="minorHAnsi"/>
          <w:sz w:val="18"/>
          <w:szCs w:val="18"/>
        </w:rPr>
        <w:t xml:space="preserve">. </w:t>
      </w:r>
      <w:r w:rsidRPr="00712312">
        <w:rPr>
          <w:rFonts w:asciiTheme="minorHAnsi" w:eastAsiaTheme="minorEastAsia" w:hAnsiTheme="minorHAnsi"/>
          <w:sz w:val="18"/>
          <w:szCs w:val="18"/>
        </w:rPr>
        <w:t xml:space="preserve"> </w:t>
      </w:r>
    </w:p>
  </w:footnote>
  <w:footnote w:id="13">
    <w:p w14:paraId="1384F47D" w14:textId="77777777" w:rsidR="00960899" w:rsidRDefault="00960899">
      <w:pPr>
        <w:pStyle w:val="FootnoteText"/>
      </w:pPr>
      <w:r>
        <w:rPr>
          <w:rStyle w:val="FootnoteReference"/>
        </w:rPr>
        <w:footnoteRef/>
      </w:r>
      <w:r>
        <w:t xml:space="preserve"> According to figures from the Integrated Household Survey (2011-2013)</w:t>
      </w:r>
    </w:p>
  </w:footnote>
  <w:footnote w:id="14">
    <w:p w14:paraId="6EA412E2" w14:textId="02312D9F" w:rsidR="00960899" w:rsidRPr="00712312" w:rsidRDefault="00960899" w:rsidP="002010F6">
      <w:pPr>
        <w:pStyle w:val="FootnoteText"/>
        <w:rPr>
          <w:rFonts w:asciiTheme="minorHAnsi" w:hAnsiTheme="minorHAnsi"/>
          <w:sz w:val="18"/>
          <w:szCs w:val="18"/>
        </w:rPr>
      </w:pPr>
      <w:r w:rsidRPr="00712312">
        <w:rPr>
          <w:rStyle w:val="FootnoteReference"/>
          <w:rFonts w:asciiTheme="minorHAnsi" w:hAnsiTheme="minorHAnsi"/>
          <w:sz w:val="18"/>
          <w:szCs w:val="18"/>
        </w:rPr>
        <w:footnoteRef/>
      </w:r>
      <w:r w:rsidRPr="00712312">
        <w:rPr>
          <w:rFonts w:asciiTheme="minorHAnsi" w:hAnsiTheme="minorHAnsi"/>
          <w:sz w:val="18"/>
          <w:szCs w:val="18"/>
        </w:rPr>
        <w:t xml:space="preserve"> These are the IDPs that were displaced following </w:t>
      </w:r>
      <w:r>
        <w:rPr>
          <w:rFonts w:asciiTheme="minorHAnsi" w:hAnsiTheme="minorHAnsi"/>
          <w:sz w:val="18"/>
          <w:szCs w:val="18"/>
        </w:rPr>
        <w:t xml:space="preserve">the </w:t>
      </w:r>
      <w:r w:rsidRPr="00712312">
        <w:rPr>
          <w:rFonts w:asciiTheme="minorHAnsi" w:hAnsiTheme="minorHAnsi"/>
          <w:sz w:val="18"/>
          <w:szCs w:val="18"/>
        </w:rPr>
        <w:t xml:space="preserve">secessionist </w:t>
      </w:r>
      <w:r>
        <w:rPr>
          <w:rFonts w:asciiTheme="minorHAnsi" w:hAnsiTheme="minorHAnsi"/>
          <w:sz w:val="18"/>
          <w:szCs w:val="18"/>
        </w:rPr>
        <w:t>conflict</w:t>
      </w:r>
      <w:r w:rsidRPr="00712312">
        <w:rPr>
          <w:rFonts w:asciiTheme="minorHAnsi" w:hAnsiTheme="minorHAnsi"/>
          <w:sz w:val="18"/>
          <w:szCs w:val="18"/>
        </w:rPr>
        <w:t xml:space="preserve"> in </w:t>
      </w:r>
      <w:r>
        <w:rPr>
          <w:rFonts w:asciiTheme="minorHAnsi" w:hAnsiTheme="minorHAnsi"/>
          <w:sz w:val="18"/>
          <w:szCs w:val="18"/>
        </w:rPr>
        <w:t xml:space="preserve">Tskhinvali Region - </w:t>
      </w:r>
      <w:r w:rsidRPr="00712312">
        <w:rPr>
          <w:rFonts w:asciiTheme="minorHAnsi" w:hAnsiTheme="minorHAnsi"/>
          <w:sz w:val="18"/>
          <w:szCs w:val="18"/>
        </w:rPr>
        <w:t xml:space="preserve">South Ossetia and </w:t>
      </w:r>
      <w:r>
        <w:rPr>
          <w:rFonts w:asciiTheme="minorHAnsi" w:hAnsiTheme="minorHAnsi"/>
          <w:sz w:val="18"/>
          <w:szCs w:val="18"/>
        </w:rPr>
        <w:t xml:space="preserve">the Abkhazian Autonomous Republic </w:t>
      </w:r>
      <w:r w:rsidRPr="00712312">
        <w:rPr>
          <w:rFonts w:asciiTheme="minorHAnsi" w:hAnsiTheme="minorHAnsi"/>
          <w:sz w:val="18"/>
          <w:szCs w:val="18"/>
        </w:rPr>
        <w:t>in the early nineties.</w:t>
      </w:r>
      <w:r>
        <w:rPr>
          <w:rFonts w:asciiTheme="minorHAnsi" w:hAnsiTheme="minorHAnsi"/>
          <w:sz w:val="18"/>
          <w:szCs w:val="18"/>
        </w:rPr>
        <w:t xml:space="preserve"> Following Georgia’s 1991 declaration of independence, there were calls for secession from both regions, with calls for secession escalating to armed conflicts.</w:t>
      </w:r>
      <w:r w:rsidRPr="00712312">
        <w:rPr>
          <w:rFonts w:asciiTheme="minorHAnsi" w:hAnsiTheme="minorHAnsi"/>
          <w:sz w:val="18"/>
          <w:szCs w:val="18"/>
        </w:rPr>
        <w:t xml:space="preserve"> </w:t>
      </w:r>
      <w:r>
        <w:rPr>
          <w:rFonts w:asciiTheme="minorHAnsi" w:hAnsiTheme="minorHAnsi"/>
          <w:sz w:val="18"/>
          <w:szCs w:val="18"/>
        </w:rPr>
        <w:t xml:space="preserve">Both regions subsequently declared independence in 1992 and have remained under the control of </w:t>
      </w:r>
      <w:r>
        <w:rPr>
          <w:rFonts w:asciiTheme="minorHAnsi" w:hAnsiTheme="minorHAnsi"/>
          <w:i/>
          <w:sz w:val="18"/>
          <w:szCs w:val="18"/>
        </w:rPr>
        <w:t xml:space="preserve">de facto </w:t>
      </w:r>
      <w:r>
        <w:rPr>
          <w:rFonts w:asciiTheme="minorHAnsi" w:hAnsiTheme="minorHAnsi"/>
          <w:sz w:val="18"/>
          <w:szCs w:val="18"/>
        </w:rPr>
        <w:t xml:space="preserve">authorities. </w:t>
      </w:r>
      <w:r w:rsidRPr="00712312">
        <w:rPr>
          <w:rFonts w:asciiTheme="minorHAnsi" w:hAnsiTheme="minorHAnsi"/>
          <w:bCs/>
          <w:sz w:val="18"/>
          <w:szCs w:val="18"/>
        </w:rPr>
        <w:t xml:space="preserve">The majority of IDPs were ethnic Georgians from </w:t>
      </w:r>
      <w:r>
        <w:rPr>
          <w:rFonts w:asciiTheme="minorHAnsi" w:hAnsiTheme="minorHAnsi"/>
          <w:bCs/>
          <w:sz w:val="18"/>
          <w:szCs w:val="18"/>
        </w:rPr>
        <w:t xml:space="preserve">the </w:t>
      </w:r>
      <w:r w:rsidRPr="00712312">
        <w:rPr>
          <w:rFonts w:asciiTheme="minorHAnsi" w:hAnsiTheme="minorHAnsi"/>
          <w:bCs/>
          <w:sz w:val="18"/>
          <w:szCs w:val="18"/>
        </w:rPr>
        <w:t>Abkhazia</w:t>
      </w:r>
      <w:r>
        <w:rPr>
          <w:rFonts w:asciiTheme="minorHAnsi" w:hAnsiTheme="minorHAnsi"/>
          <w:bCs/>
          <w:sz w:val="18"/>
          <w:szCs w:val="18"/>
        </w:rPr>
        <w:t>n Autonomous Republic</w:t>
      </w:r>
      <w:r w:rsidRPr="00712312">
        <w:rPr>
          <w:rFonts w:asciiTheme="minorHAnsi" w:hAnsiTheme="minorHAnsi"/>
          <w:bCs/>
          <w:sz w:val="18"/>
          <w:szCs w:val="18"/>
        </w:rPr>
        <w:t xml:space="preserve">, and around 60,000 Ossetians and ethnic Georgians were displaced from </w:t>
      </w:r>
      <w:r>
        <w:rPr>
          <w:rFonts w:asciiTheme="minorHAnsi" w:hAnsiTheme="minorHAnsi"/>
          <w:bCs/>
          <w:sz w:val="18"/>
          <w:szCs w:val="18"/>
        </w:rPr>
        <w:t xml:space="preserve">the Tskhinvali Region - </w:t>
      </w:r>
      <w:r w:rsidRPr="00712312">
        <w:rPr>
          <w:rFonts w:asciiTheme="minorHAnsi" w:hAnsiTheme="minorHAnsi"/>
          <w:bCs/>
          <w:sz w:val="18"/>
          <w:szCs w:val="18"/>
        </w:rPr>
        <w:t>South Ossetia.</w:t>
      </w:r>
      <w:r>
        <w:rPr>
          <w:rFonts w:asciiTheme="minorHAnsi" w:hAnsiTheme="minorHAnsi"/>
          <w:bCs/>
          <w:sz w:val="18"/>
          <w:szCs w:val="18"/>
        </w:rPr>
        <w:t xml:space="preserve"> Sporadic violence continued at intervals thereafter before culminating in the August 2008 conflict. </w:t>
      </w:r>
    </w:p>
  </w:footnote>
  <w:footnote w:id="15">
    <w:p w14:paraId="27756023" w14:textId="77777777" w:rsidR="00960899" w:rsidRPr="00712312" w:rsidRDefault="00960899" w:rsidP="00D8174A">
      <w:pPr>
        <w:autoSpaceDE w:val="0"/>
        <w:autoSpaceDN w:val="0"/>
        <w:adjustRightInd w:val="0"/>
        <w:spacing w:after="0"/>
        <w:rPr>
          <w:rFonts w:cs="Times New Roman"/>
          <w:sz w:val="18"/>
          <w:szCs w:val="18"/>
        </w:rPr>
      </w:pPr>
      <w:r w:rsidRPr="00712312">
        <w:rPr>
          <w:rStyle w:val="FootnoteReference"/>
          <w:rFonts w:cs="Times New Roman"/>
          <w:sz w:val="18"/>
          <w:szCs w:val="18"/>
        </w:rPr>
        <w:footnoteRef/>
      </w:r>
      <w:r w:rsidRPr="00712312">
        <w:rPr>
          <w:rFonts w:cs="Times New Roman"/>
          <w:sz w:val="18"/>
          <w:szCs w:val="18"/>
        </w:rPr>
        <w:t xml:space="preserve"> UNHCR (2009). </w:t>
      </w:r>
      <w:r w:rsidRPr="00712312">
        <w:rPr>
          <w:rFonts w:cs="Times New Roman"/>
          <w:iCs/>
          <w:sz w:val="18"/>
          <w:szCs w:val="18"/>
        </w:rPr>
        <w:t>Protection of IDPs in Georgia: A Gap Analysis</w:t>
      </w:r>
      <w:r w:rsidRPr="00712312">
        <w:rPr>
          <w:rFonts w:cs="Times New Roman"/>
          <w:sz w:val="18"/>
          <w:szCs w:val="18"/>
        </w:rPr>
        <w:t xml:space="preserve">. Geneva: UNHCR. </w:t>
      </w:r>
      <w:hyperlink r:id="rId3" w:history="1">
        <w:r w:rsidRPr="00712312">
          <w:rPr>
            <w:rStyle w:val="Hyperlink"/>
            <w:rFonts w:cs="Times New Roman"/>
            <w:color w:val="auto"/>
            <w:sz w:val="18"/>
            <w:szCs w:val="18"/>
          </w:rPr>
          <w:t>http://www.unhcr.org/4ad827f59.pdf</w:t>
        </w:r>
      </w:hyperlink>
      <w:r w:rsidRPr="00712312">
        <w:rPr>
          <w:rFonts w:cs="Times New Roman"/>
          <w:sz w:val="18"/>
          <w:szCs w:val="18"/>
        </w:rPr>
        <w:t>.</w:t>
      </w:r>
    </w:p>
  </w:footnote>
  <w:footnote w:id="16">
    <w:p w14:paraId="5CF5F841" w14:textId="77777777" w:rsidR="00960899" w:rsidRPr="00C072A6" w:rsidRDefault="00960899" w:rsidP="00D8174A">
      <w:pPr>
        <w:pStyle w:val="FootnoteText"/>
        <w:rPr>
          <w:rFonts w:asciiTheme="minorHAnsi" w:hAnsiTheme="minorHAnsi"/>
          <w:sz w:val="18"/>
          <w:szCs w:val="18"/>
        </w:rPr>
      </w:pPr>
      <w:r w:rsidRPr="00712312">
        <w:rPr>
          <w:rStyle w:val="FootnoteReference"/>
          <w:rFonts w:asciiTheme="minorHAnsi" w:hAnsiTheme="minorHAnsi"/>
          <w:sz w:val="18"/>
          <w:szCs w:val="18"/>
        </w:rPr>
        <w:footnoteRef/>
      </w:r>
      <w:r w:rsidRPr="00712312">
        <w:rPr>
          <w:rFonts w:asciiTheme="minorHAnsi" w:hAnsiTheme="minorHAnsi"/>
          <w:sz w:val="18"/>
          <w:szCs w:val="18"/>
        </w:rPr>
        <w:t xml:space="preserve"> Ibid</w:t>
      </w:r>
    </w:p>
  </w:footnote>
  <w:footnote w:id="17">
    <w:p w14:paraId="75F35B05" w14:textId="77777777" w:rsidR="00960899" w:rsidRPr="000672A1" w:rsidRDefault="00960899" w:rsidP="00A62150">
      <w:pPr>
        <w:pStyle w:val="FootnoteText"/>
        <w:rPr>
          <w:rFonts w:asciiTheme="minorHAnsi" w:hAnsiTheme="minorHAnsi"/>
          <w:bCs/>
          <w:sz w:val="18"/>
          <w:szCs w:val="18"/>
        </w:rPr>
      </w:pPr>
      <w:r w:rsidRPr="000672A1">
        <w:rPr>
          <w:rStyle w:val="FootnoteReference"/>
          <w:rFonts w:asciiTheme="minorHAnsi" w:hAnsiTheme="minorHAnsi"/>
          <w:sz w:val="18"/>
          <w:szCs w:val="18"/>
        </w:rPr>
        <w:footnoteRef/>
      </w:r>
      <w:r w:rsidRPr="000672A1">
        <w:rPr>
          <w:rFonts w:asciiTheme="minorHAnsi" w:hAnsiTheme="minorHAnsi"/>
          <w:sz w:val="18"/>
          <w:szCs w:val="18"/>
        </w:rPr>
        <w:t xml:space="preserve"> United Nations News Centre (2008). </w:t>
      </w:r>
      <w:r w:rsidRPr="000672A1">
        <w:rPr>
          <w:rFonts w:asciiTheme="minorHAnsi" w:hAnsiTheme="minorHAnsi"/>
          <w:bCs/>
          <w:sz w:val="18"/>
          <w:szCs w:val="18"/>
        </w:rPr>
        <w:t xml:space="preserve">Revised UN Estimates Show 192,000 Uprooted during Georgia Conflict. </w:t>
      </w:r>
      <w:hyperlink r:id="rId4" w:anchor=".VYMxco53kvw" w:history="1">
        <w:r w:rsidRPr="000672A1">
          <w:rPr>
            <w:rStyle w:val="Hyperlink"/>
            <w:rFonts w:asciiTheme="minorHAnsi" w:hAnsiTheme="minorHAnsi"/>
            <w:bCs/>
            <w:sz w:val="18"/>
            <w:szCs w:val="18"/>
          </w:rPr>
          <w:t>http://www.un.org/apps/news/story.asp?NewsID=28032#.VYMxco53kvw</w:t>
        </w:r>
      </w:hyperlink>
    </w:p>
  </w:footnote>
  <w:footnote w:id="18">
    <w:p w14:paraId="4902C590" w14:textId="77777777" w:rsidR="00960899" w:rsidRPr="000672A1" w:rsidRDefault="00960899" w:rsidP="00D8174A">
      <w:pPr>
        <w:pStyle w:val="FootnoteText"/>
        <w:rPr>
          <w:rFonts w:asciiTheme="minorHAnsi" w:hAnsiTheme="minorHAnsi"/>
          <w:bCs/>
          <w:sz w:val="18"/>
          <w:szCs w:val="18"/>
        </w:rPr>
      </w:pPr>
      <w:r w:rsidRPr="000672A1">
        <w:rPr>
          <w:rStyle w:val="FootnoteReference"/>
          <w:rFonts w:asciiTheme="minorHAnsi" w:hAnsiTheme="minorHAnsi"/>
          <w:sz w:val="18"/>
          <w:szCs w:val="18"/>
        </w:rPr>
        <w:footnoteRef/>
      </w:r>
      <w:r w:rsidRPr="000672A1">
        <w:rPr>
          <w:rFonts w:asciiTheme="minorHAnsi" w:hAnsiTheme="minorHAnsi"/>
          <w:sz w:val="18"/>
          <w:szCs w:val="18"/>
        </w:rPr>
        <w:t xml:space="preserve"> </w:t>
      </w:r>
      <w:r w:rsidRPr="000672A1">
        <w:rPr>
          <w:rFonts w:asciiTheme="minorHAnsi" w:hAnsiTheme="minorHAnsi"/>
          <w:bCs/>
          <w:sz w:val="18"/>
          <w:szCs w:val="18"/>
        </w:rPr>
        <w:t xml:space="preserve">Integrated Household Survey (IHS) (2011-2013). </w:t>
      </w:r>
    </w:p>
  </w:footnote>
  <w:footnote w:id="19">
    <w:p w14:paraId="0A61FF28" w14:textId="77777777" w:rsidR="00960899" w:rsidRPr="000672A1" w:rsidRDefault="00960899" w:rsidP="00D8174A">
      <w:pPr>
        <w:pStyle w:val="FootnoteText"/>
        <w:rPr>
          <w:rFonts w:asciiTheme="minorHAnsi" w:hAnsiTheme="minorHAnsi"/>
          <w:sz w:val="18"/>
          <w:szCs w:val="18"/>
        </w:rPr>
      </w:pPr>
      <w:r w:rsidRPr="000672A1">
        <w:rPr>
          <w:rStyle w:val="FootnoteReference"/>
          <w:rFonts w:asciiTheme="minorHAnsi" w:hAnsiTheme="minorHAnsi"/>
          <w:sz w:val="18"/>
          <w:szCs w:val="18"/>
        </w:rPr>
        <w:footnoteRef/>
      </w:r>
      <w:r w:rsidRPr="000672A1">
        <w:rPr>
          <w:rFonts w:asciiTheme="minorHAnsi" w:hAnsiTheme="minorHAnsi"/>
          <w:sz w:val="18"/>
          <w:szCs w:val="18"/>
        </w:rPr>
        <w:t xml:space="preserve"> </w:t>
      </w:r>
      <w:r w:rsidRPr="000672A1">
        <w:rPr>
          <w:rFonts w:asciiTheme="minorHAnsi" w:hAnsiTheme="minorHAnsi"/>
          <w:bCs/>
          <w:sz w:val="18"/>
          <w:szCs w:val="18"/>
        </w:rPr>
        <w:t>Ibid</w:t>
      </w:r>
    </w:p>
  </w:footnote>
  <w:footnote w:id="20">
    <w:p w14:paraId="01E5C53B" w14:textId="2EBDA9D8" w:rsidR="00960899" w:rsidRPr="00225323" w:rsidRDefault="00960899">
      <w:pPr>
        <w:pStyle w:val="FootnoteText"/>
      </w:pPr>
      <w:r>
        <w:rPr>
          <w:rStyle w:val="FootnoteReference"/>
        </w:rPr>
        <w:footnoteRef/>
      </w:r>
      <w:r>
        <w:t xml:space="preserve"> Source: MRA (2011) cited in Rolfes. 2015. </w:t>
      </w:r>
      <w:r>
        <w:rPr>
          <w:i/>
        </w:rPr>
        <w:t xml:space="preserve">Improving Access to Agricultural Land for Forcefully Displaced Persons: Lessons from Georgia.  </w:t>
      </w:r>
      <w:r>
        <w:t>World bank presentation, November 9, 2015</w:t>
      </w:r>
    </w:p>
  </w:footnote>
  <w:footnote w:id="21">
    <w:p w14:paraId="6C864CD6" w14:textId="77777777" w:rsidR="00960899" w:rsidRPr="005205D6" w:rsidRDefault="00960899" w:rsidP="00D8174A">
      <w:pPr>
        <w:pStyle w:val="FootnoteText"/>
        <w:rPr>
          <w:rFonts w:ascii="Times New Roman" w:hAnsi="Times New Roman"/>
          <w:sz w:val="18"/>
          <w:szCs w:val="18"/>
        </w:rPr>
      </w:pPr>
      <w:r w:rsidRPr="000672A1">
        <w:rPr>
          <w:rStyle w:val="FootnoteReference"/>
          <w:rFonts w:asciiTheme="minorHAnsi" w:hAnsiTheme="minorHAnsi"/>
          <w:sz w:val="18"/>
          <w:szCs w:val="18"/>
        </w:rPr>
        <w:footnoteRef/>
      </w:r>
      <w:r w:rsidRPr="000672A1">
        <w:rPr>
          <w:rFonts w:asciiTheme="minorHAnsi" w:hAnsiTheme="minorHAnsi"/>
          <w:sz w:val="18"/>
          <w:szCs w:val="18"/>
        </w:rPr>
        <w:t xml:space="preserve"> The World Bank. (2013). Supporting the livelihoods of Internally Displaced Persons in Georgia. </w:t>
      </w:r>
      <w:hyperlink r:id="rId5" w:history="1">
        <w:r w:rsidRPr="000672A1">
          <w:rPr>
            <w:rStyle w:val="Hyperlink"/>
            <w:rFonts w:asciiTheme="minorHAnsi" w:hAnsiTheme="minorHAnsi"/>
            <w:sz w:val="18"/>
            <w:szCs w:val="18"/>
          </w:rPr>
          <w:t>http://imagebank.worldbank.org/servlet/WDSContentServer/IW3P/IB/2013/07/03/000333037_20130703101637/Rendered/PDF/791740WP0Georg0Box0377356B00PUBLIC0.pdf</w:t>
        </w:r>
      </w:hyperlink>
    </w:p>
  </w:footnote>
  <w:footnote w:id="22">
    <w:p w14:paraId="73BB0906" w14:textId="6B8E1C5D" w:rsidR="00960899" w:rsidRDefault="00960899">
      <w:pPr>
        <w:pStyle w:val="FootnoteText"/>
      </w:pPr>
      <w:r>
        <w:rPr>
          <w:rStyle w:val="FootnoteReference"/>
        </w:rPr>
        <w:footnoteRef/>
      </w:r>
      <w:r>
        <w:t xml:space="preserve"> MRA. </w:t>
      </w:r>
      <w:hyperlink r:id="rId6" w:history="1">
        <w:r w:rsidRPr="00746703">
          <w:rPr>
            <w:rStyle w:val="Hyperlink"/>
          </w:rPr>
          <w:t>http://mra.gov.ge/eng/static/3193</w:t>
        </w:r>
      </w:hyperlink>
      <w:r>
        <w:t>, last accessed on January 7, 2016</w:t>
      </w:r>
    </w:p>
  </w:footnote>
  <w:footnote w:id="23">
    <w:p w14:paraId="773EAD7E" w14:textId="77777777" w:rsidR="00960899" w:rsidRPr="00C072A6" w:rsidRDefault="00960899" w:rsidP="004D4F1A">
      <w:pPr>
        <w:pStyle w:val="FootnoteText"/>
        <w:jc w:val="left"/>
        <w:rPr>
          <w:rFonts w:asciiTheme="minorHAnsi" w:hAnsiTheme="minorHAnsi"/>
          <w:sz w:val="18"/>
          <w:szCs w:val="18"/>
        </w:rPr>
      </w:pPr>
      <w:r w:rsidRPr="00C072A6">
        <w:rPr>
          <w:rStyle w:val="FootnoteReference"/>
          <w:rFonts w:asciiTheme="minorHAnsi" w:hAnsiTheme="minorHAnsi"/>
          <w:sz w:val="18"/>
          <w:szCs w:val="18"/>
        </w:rPr>
        <w:footnoteRef/>
      </w:r>
      <w:r w:rsidRPr="00C072A6">
        <w:rPr>
          <w:rFonts w:asciiTheme="minorHAnsi" w:hAnsiTheme="minorHAnsi"/>
          <w:sz w:val="18"/>
          <w:szCs w:val="18"/>
        </w:rPr>
        <w:t xml:space="preserve"> Action Plan for the Implementation of the State Strategy on IDPs during 2009-2012. </w:t>
      </w:r>
      <w:hyperlink r:id="rId7" w:history="1">
        <w:r w:rsidRPr="00C072A6">
          <w:rPr>
            <w:rStyle w:val="Hyperlink"/>
            <w:rFonts w:asciiTheme="minorHAnsi" w:hAnsiTheme="minorHAnsi"/>
            <w:sz w:val="18"/>
            <w:szCs w:val="18"/>
          </w:rPr>
          <w:t>http://www.europarl.europa.eu/meetdocs/2009_2014/documents/dsca/dv/dsca_20110315_14/dsca_20110315_14en.pdf</w:t>
        </w:r>
      </w:hyperlink>
    </w:p>
  </w:footnote>
  <w:footnote w:id="24">
    <w:p w14:paraId="3A92AF70" w14:textId="77777777" w:rsidR="00960899" w:rsidRPr="00C072A6" w:rsidRDefault="00960899" w:rsidP="004D4F1A">
      <w:pPr>
        <w:pStyle w:val="FootnoteText"/>
        <w:jc w:val="left"/>
        <w:rPr>
          <w:rFonts w:asciiTheme="minorHAnsi" w:hAnsiTheme="minorHAnsi"/>
          <w:sz w:val="18"/>
          <w:szCs w:val="18"/>
        </w:rPr>
      </w:pPr>
      <w:r w:rsidRPr="00C072A6">
        <w:rPr>
          <w:rStyle w:val="FootnoteReference"/>
          <w:rFonts w:asciiTheme="minorHAnsi" w:hAnsiTheme="minorHAnsi"/>
          <w:sz w:val="18"/>
          <w:szCs w:val="18"/>
        </w:rPr>
        <w:footnoteRef/>
      </w:r>
      <w:r w:rsidRPr="00C072A6">
        <w:rPr>
          <w:rFonts w:asciiTheme="minorHAnsi" w:hAnsiTheme="minorHAnsi"/>
          <w:sz w:val="18"/>
          <w:szCs w:val="18"/>
        </w:rPr>
        <w:t xml:space="preserve"> Ibid</w:t>
      </w:r>
    </w:p>
  </w:footnote>
  <w:footnote w:id="25">
    <w:p w14:paraId="28612E7C" w14:textId="77777777" w:rsidR="00960899" w:rsidRPr="00C072A6" w:rsidRDefault="00960899" w:rsidP="004D4F1A">
      <w:pPr>
        <w:pStyle w:val="FootnoteText"/>
        <w:jc w:val="left"/>
        <w:rPr>
          <w:rFonts w:asciiTheme="minorHAnsi" w:hAnsiTheme="minorHAnsi"/>
          <w:sz w:val="18"/>
          <w:szCs w:val="18"/>
        </w:rPr>
      </w:pPr>
      <w:r w:rsidRPr="00C072A6">
        <w:rPr>
          <w:rStyle w:val="FootnoteReference"/>
          <w:rFonts w:asciiTheme="minorHAnsi" w:hAnsiTheme="minorHAnsi"/>
          <w:sz w:val="18"/>
          <w:szCs w:val="18"/>
        </w:rPr>
        <w:footnoteRef/>
      </w:r>
      <w:r w:rsidRPr="00C072A6">
        <w:rPr>
          <w:rFonts w:asciiTheme="minorHAnsi" w:hAnsiTheme="minorHAnsi"/>
          <w:sz w:val="18"/>
          <w:szCs w:val="18"/>
        </w:rPr>
        <w:t xml:space="preserve"> IDPs living in privatized collective centers are classified as privately accommodated</w:t>
      </w:r>
    </w:p>
  </w:footnote>
  <w:footnote w:id="26">
    <w:p w14:paraId="334119DF" w14:textId="77777777" w:rsidR="00960899" w:rsidRDefault="00960899" w:rsidP="004D4F1A">
      <w:pPr>
        <w:pStyle w:val="FootnoteText"/>
        <w:jc w:val="left"/>
      </w:pPr>
      <w:r w:rsidRPr="00C072A6">
        <w:rPr>
          <w:rStyle w:val="FootnoteReference"/>
          <w:rFonts w:asciiTheme="minorHAnsi" w:hAnsiTheme="minorHAnsi"/>
          <w:sz w:val="18"/>
          <w:szCs w:val="18"/>
        </w:rPr>
        <w:footnoteRef/>
      </w:r>
      <w:r w:rsidRPr="00C072A6">
        <w:rPr>
          <w:rFonts w:asciiTheme="minorHAnsi" w:hAnsiTheme="minorHAnsi"/>
          <w:sz w:val="18"/>
          <w:szCs w:val="18"/>
        </w:rPr>
        <w:t xml:space="preserve">The World Bank. (2013). Supporting the livelihoods of Internally Displaced Persons in Georgia. </w:t>
      </w:r>
      <w:hyperlink r:id="rId8" w:history="1">
        <w:r w:rsidRPr="00C072A6">
          <w:rPr>
            <w:rStyle w:val="Hyperlink"/>
            <w:rFonts w:asciiTheme="minorHAnsi" w:hAnsiTheme="minorHAnsi"/>
            <w:sz w:val="18"/>
            <w:szCs w:val="18"/>
          </w:rPr>
          <w:t>http://imagebank.worldbank.org/servlet/WDSContentServer/IW3P/IB/2013/07/03/000333037_20130703101637/Rendered/PDF/791740WP0Georg0Box0377356B00PUBLIC0.pdf</w:t>
        </w:r>
      </w:hyperlink>
    </w:p>
  </w:footnote>
  <w:footnote w:id="27">
    <w:p w14:paraId="01358155" w14:textId="03E93AF0" w:rsidR="00960899" w:rsidRDefault="00960899">
      <w:pPr>
        <w:pStyle w:val="FootnoteText"/>
      </w:pPr>
      <w:r>
        <w:rPr>
          <w:rStyle w:val="FootnoteReference"/>
        </w:rPr>
        <w:footnoteRef/>
      </w:r>
      <w:r>
        <w:t xml:space="preserve"> Details on the qualitative sample are included in Annex III.</w:t>
      </w:r>
    </w:p>
  </w:footnote>
  <w:footnote w:id="28">
    <w:p w14:paraId="3557BA2D" w14:textId="77777777" w:rsidR="00960899" w:rsidRPr="00552612" w:rsidRDefault="00960899" w:rsidP="00707963">
      <w:pPr>
        <w:pStyle w:val="FootnoteText"/>
        <w:jc w:val="left"/>
        <w:rPr>
          <w:rFonts w:asciiTheme="minorHAnsi" w:hAnsiTheme="minorHAnsi"/>
          <w:sz w:val="18"/>
          <w:szCs w:val="18"/>
        </w:rPr>
      </w:pPr>
      <w:r w:rsidRPr="00552612">
        <w:rPr>
          <w:rStyle w:val="FootnoteReference"/>
          <w:rFonts w:asciiTheme="minorHAnsi" w:hAnsiTheme="minorHAnsi"/>
          <w:sz w:val="18"/>
          <w:szCs w:val="18"/>
        </w:rPr>
        <w:footnoteRef/>
      </w:r>
      <w:r w:rsidRPr="00552612">
        <w:rPr>
          <w:rFonts w:asciiTheme="minorHAnsi" w:hAnsiTheme="minorHAnsi"/>
          <w:sz w:val="18"/>
          <w:szCs w:val="18"/>
        </w:rPr>
        <w:t xml:space="preserve"> The Guiding Principles on Internal Displacement. http://www.ohchr.org/EN/Issues/IDPersons/Pages/Standards.aspx</w:t>
      </w:r>
    </w:p>
  </w:footnote>
  <w:footnote w:id="29">
    <w:p w14:paraId="018E1D01" w14:textId="77777777" w:rsidR="00960899" w:rsidRPr="00552612" w:rsidRDefault="00960899" w:rsidP="00707963">
      <w:pPr>
        <w:pStyle w:val="FootnoteText"/>
        <w:rPr>
          <w:rFonts w:asciiTheme="minorHAnsi" w:hAnsiTheme="minorHAnsi"/>
          <w:sz w:val="18"/>
          <w:szCs w:val="18"/>
        </w:rPr>
      </w:pPr>
      <w:r w:rsidRPr="00552612">
        <w:rPr>
          <w:rStyle w:val="FootnoteReference"/>
          <w:rFonts w:asciiTheme="minorHAnsi" w:hAnsiTheme="minorHAnsi"/>
          <w:sz w:val="18"/>
          <w:szCs w:val="18"/>
        </w:rPr>
        <w:footnoteRef/>
      </w:r>
      <w:r w:rsidRPr="00552612">
        <w:rPr>
          <w:rFonts w:asciiTheme="minorHAnsi" w:hAnsiTheme="minorHAnsi"/>
          <w:sz w:val="18"/>
          <w:szCs w:val="18"/>
        </w:rPr>
        <w:t xml:space="preserve"> UNHCR (2009). </w:t>
      </w:r>
      <w:r w:rsidRPr="00E457FF">
        <w:rPr>
          <w:rFonts w:asciiTheme="minorHAnsi" w:hAnsiTheme="minorHAnsi"/>
          <w:iCs/>
          <w:sz w:val="18"/>
          <w:szCs w:val="18"/>
        </w:rPr>
        <w:t>Protection of IDPs in Georgia: A Gap Analysis</w:t>
      </w:r>
      <w:r w:rsidRPr="00552612">
        <w:rPr>
          <w:rFonts w:asciiTheme="minorHAnsi" w:hAnsiTheme="minorHAnsi"/>
          <w:sz w:val="18"/>
          <w:szCs w:val="18"/>
        </w:rPr>
        <w:t xml:space="preserve">. Geneva: UNHCR. </w:t>
      </w:r>
      <w:hyperlink r:id="rId9" w:history="1">
        <w:r w:rsidRPr="00552612">
          <w:rPr>
            <w:rStyle w:val="Hyperlink"/>
            <w:rFonts w:asciiTheme="minorHAnsi" w:hAnsiTheme="minorHAnsi"/>
            <w:sz w:val="18"/>
            <w:szCs w:val="18"/>
          </w:rPr>
          <w:t>http://www.unhcr.org/4ad827f59.pdf</w:t>
        </w:r>
      </w:hyperlink>
      <w:r w:rsidRPr="00552612">
        <w:rPr>
          <w:rFonts w:asciiTheme="minorHAnsi" w:hAnsiTheme="minorHAnsi"/>
          <w:color w:val="414142"/>
          <w:sz w:val="18"/>
          <w:szCs w:val="18"/>
        </w:rPr>
        <w:t>.</w:t>
      </w:r>
    </w:p>
  </w:footnote>
  <w:footnote w:id="30">
    <w:p w14:paraId="43FB5BDF" w14:textId="77777777" w:rsidR="00960899" w:rsidRPr="00552612" w:rsidRDefault="00960899" w:rsidP="00707963">
      <w:pPr>
        <w:pStyle w:val="FootnoteText"/>
        <w:rPr>
          <w:rFonts w:asciiTheme="minorHAnsi" w:hAnsiTheme="minorHAnsi"/>
          <w:sz w:val="18"/>
          <w:szCs w:val="18"/>
        </w:rPr>
      </w:pPr>
      <w:r w:rsidRPr="00552612">
        <w:rPr>
          <w:rStyle w:val="FootnoteReference"/>
          <w:rFonts w:asciiTheme="minorHAnsi" w:hAnsiTheme="minorHAnsi"/>
          <w:sz w:val="18"/>
          <w:szCs w:val="18"/>
        </w:rPr>
        <w:footnoteRef/>
      </w:r>
      <w:r w:rsidRPr="00E457FF">
        <w:rPr>
          <w:rFonts w:asciiTheme="minorHAnsi" w:hAnsiTheme="minorHAnsi"/>
          <w:sz w:val="18"/>
          <w:szCs w:val="18"/>
        </w:rPr>
        <w:t xml:space="preserve"> Law of Georgia on Internally Displaced Persons – Persecuted from the Occupied Territories of Georgia. </w:t>
      </w:r>
      <w:hyperlink r:id="rId10" w:history="1">
        <w:r w:rsidRPr="00552612">
          <w:rPr>
            <w:rStyle w:val="Hyperlink"/>
            <w:rFonts w:asciiTheme="minorHAnsi" w:hAnsiTheme="minorHAnsi"/>
            <w:sz w:val="18"/>
            <w:szCs w:val="18"/>
          </w:rPr>
          <w:t>http://mra.gov.ge/res/docs/201406171444442634.pdf</w:t>
        </w:r>
      </w:hyperlink>
      <w:r w:rsidRPr="00552612">
        <w:rPr>
          <w:rFonts w:asciiTheme="minorHAnsi" w:hAnsiTheme="minorHAnsi"/>
          <w:sz w:val="18"/>
          <w:szCs w:val="18"/>
        </w:rPr>
        <w:t>.</w:t>
      </w:r>
    </w:p>
  </w:footnote>
  <w:footnote w:id="31">
    <w:p w14:paraId="1D004FCF" w14:textId="77777777" w:rsidR="00960899" w:rsidRPr="00552612" w:rsidRDefault="00960899" w:rsidP="00707963">
      <w:pPr>
        <w:pStyle w:val="FootnoteText"/>
        <w:rPr>
          <w:sz w:val="18"/>
          <w:szCs w:val="18"/>
        </w:rPr>
      </w:pPr>
      <w:r w:rsidRPr="00552612">
        <w:rPr>
          <w:rStyle w:val="FootnoteReference"/>
          <w:sz w:val="18"/>
          <w:szCs w:val="18"/>
        </w:rPr>
        <w:footnoteRef/>
      </w:r>
      <w:r w:rsidRPr="00552612">
        <w:rPr>
          <w:sz w:val="18"/>
          <w:szCs w:val="18"/>
        </w:rPr>
        <w:t xml:space="preserve"> Ibid</w:t>
      </w:r>
    </w:p>
  </w:footnote>
  <w:footnote w:id="32">
    <w:p w14:paraId="30027651" w14:textId="77777777" w:rsidR="00960899" w:rsidRPr="00552612" w:rsidRDefault="00960899" w:rsidP="00707963">
      <w:pPr>
        <w:pStyle w:val="FootnoteText"/>
        <w:rPr>
          <w:rFonts w:asciiTheme="minorHAnsi" w:hAnsiTheme="minorHAnsi"/>
          <w:sz w:val="18"/>
          <w:szCs w:val="18"/>
        </w:rPr>
      </w:pPr>
      <w:r w:rsidRPr="00552612">
        <w:rPr>
          <w:rStyle w:val="FootnoteReference"/>
          <w:rFonts w:asciiTheme="minorHAnsi" w:hAnsiTheme="minorHAnsi"/>
          <w:sz w:val="18"/>
          <w:szCs w:val="18"/>
        </w:rPr>
        <w:footnoteRef/>
      </w:r>
      <w:r w:rsidRPr="00552612">
        <w:rPr>
          <w:rFonts w:asciiTheme="minorHAnsi" w:hAnsiTheme="minorHAnsi"/>
          <w:sz w:val="18"/>
          <w:szCs w:val="18"/>
        </w:rPr>
        <w:t xml:space="preserve"> http://mra.gov.ge/eng/static/3421</w:t>
      </w:r>
    </w:p>
  </w:footnote>
  <w:footnote w:id="33">
    <w:p w14:paraId="6981CB27" w14:textId="77777777" w:rsidR="00960899" w:rsidRPr="00660172" w:rsidRDefault="00960899" w:rsidP="00707963">
      <w:pPr>
        <w:pStyle w:val="FootnoteText"/>
        <w:rPr>
          <w:rFonts w:asciiTheme="minorHAnsi" w:hAnsiTheme="minorHAnsi"/>
          <w:sz w:val="16"/>
          <w:szCs w:val="16"/>
        </w:rPr>
      </w:pPr>
      <w:r w:rsidRPr="00552612">
        <w:rPr>
          <w:rStyle w:val="FootnoteReference"/>
          <w:rFonts w:asciiTheme="minorHAnsi" w:hAnsiTheme="minorHAnsi"/>
          <w:sz w:val="18"/>
          <w:szCs w:val="18"/>
        </w:rPr>
        <w:footnoteRef/>
      </w:r>
      <w:r w:rsidRPr="00552612">
        <w:rPr>
          <w:rFonts w:asciiTheme="minorHAnsi" w:hAnsiTheme="minorHAnsi"/>
          <w:sz w:val="18"/>
          <w:szCs w:val="18"/>
        </w:rPr>
        <w:t xml:space="preserve"> Prior to legislative changes in 2014, I</w:t>
      </w:r>
      <w:r w:rsidRPr="00552612">
        <w:rPr>
          <w:rFonts w:asciiTheme="minorHAnsi" w:hAnsiTheme="minorHAnsi" w:cs="Times"/>
          <w:sz w:val="18"/>
          <w:szCs w:val="18"/>
        </w:rPr>
        <w:t>DPs who lived in collective centers received 22 GEL and those who lived in private accommodation received 28 GEL per month.</w:t>
      </w:r>
    </w:p>
  </w:footnote>
  <w:footnote w:id="34">
    <w:p w14:paraId="5A43FAC5" w14:textId="77777777" w:rsidR="00960899" w:rsidRPr="001C386F" w:rsidRDefault="00960899" w:rsidP="00707963">
      <w:pPr>
        <w:pStyle w:val="FootnoteText"/>
        <w:rPr>
          <w:rFonts w:asciiTheme="minorHAnsi" w:hAnsiTheme="minorHAnsi"/>
          <w:sz w:val="18"/>
          <w:szCs w:val="18"/>
        </w:rPr>
      </w:pPr>
      <w:r w:rsidRPr="001C386F">
        <w:rPr>
          <w:rStyle w:val="FootnoteReference"/>
          <w:rFonts w:asciiTheme="minorHAnsi" w:hAnsiTheme="minorHAnsi"/>
          <w:sz w:val="18"/>
          <w:szCs w:val="18"/>
        </w:rPr>
        <w:footnoteRef/>
      </w:r>
      <w:r w:rsidRPr="001C386F">
        <w:rPr>
          <w:rFonts w:asciiTheme="minorHAnsi" w:hAnsiTheme="minorHAnsi"/>
          <w:sz w:val="18"/>
          <w:szCs w:val="18"/>
        </w:rPr>
        <w:t xml:space="preserve"> State Strategy on Internally Displaced Persons-Persecuted (2007). </w:t>
      </w:r>
      <w:hyperlink r:id="rId11" w:history="1">
        <w:r w:rsidRPr="001C386F">
          <w:rPr>
            <w:rStyle w:val="Hyperlink"/>
            <w:rFonts w:asciiTheme="minorHAnsi" w:hAnsiTheme="minorHAnsi"/>
            <w:sz w:val="18"/>
            <w:szCs w:val="18"/>
          </w:rPr>
          <w:t>http://chca.org.ge/itst/_FILES/Legislation/3%20Eng.pdf</w:t>
        </w:r>
      </w:hyperlink>
    </w:p>
  </w:footnote>
  <w:footnote w:id="35">
    <w:p w14:paraId="7CF84855" w14:textId="77777777" w:rsidR="00960899" w:rsidRPr="001C386F" w:rsidRDefault="00960899" w:rsidP="00707963">
      <w:pPr>
        <w:pStyle w:val="FootnoteText"/>
        <w:rPr>
          <w:rFonts w:asciiTheme="minorHAnsi" w:hAnsiTheme="minorHAnsi"/>
          <w:sz w:val="18"/>
          <w:szCs w:val="18"/>
        </w:rPr>
      </w:pPr>
      <w:r w:rsidRPr="001C386F">
        <w:rPr>
          <w:rStyle w:val="FootnoteReference"/>
          <w:rFonts w:asciiTheme="minorHAnsi" w:hAnsiTheme="minorHAnsi"/>
          <w:sz w:val="18"/>
          <w:szCs w:val="18"/>
        </w:rPr>
        <w:footnoteRef/>
      </w:r>
      <w:r w:rsidRPr="001C386F">
        <w:rPr>
          <w:rFonts w:asciiTheme="minorHAnsi" w:hAnsiTheme="minorHAnsi"/>
          <w:sz w:val="18"/>
          <w:szCs w:val="18"/>
        </w:rPr>
        <w:t xml:space="preserve">Action Plan for the Implementation of the State Strategy on IDPs during 2009-2012. </w:t>
      </w:r>
      <w:hyperlink r:id="rId12" w:history="1">
        <w:r w:rsidRPr="001C386F">
          <w:rPr>
            <w:rStyle w:val="Hyperlink"/>
            <w:rFonts w:asciiTheme="minorHAnsi" w:hAnsiTheme="minorHAnsi"/>
            <w:sz w:val="18"/>
            <w:szCs w:val="18"/>
          </w:rPr>
          <w:t>http://www.europarl.europa.eu/meetdocs/2009_2014/documents/dsca/dv/dsca_20110315_14/dsca_20110315_14en.pdf</w:t>
        </w:r>
      </w:hyperlink>
    </w:p>
  </w:footnote>
  <w:footnote w:id="36">
    <w:p w14:paraId="5BFBCCE1" w14:textId="77777777" w:rsidR="00960899" w:rsidRPr="001C386F" w:rsidRDefault="00960899" w:rsidP="00707963">
      <w:pPr>
        <w:pStyle w:val="FootnoteText"/>
        <w:rPr>
          <w:rFonts w:asciiTheme="minorHAnsi" w:hAnsiTheme="minorHAnsi"/>
          <w:sz w:val="18"/>
          <w:szCs w:val="18"/>
        </w:rPr>
      </w:pPr>
      <w:r w:rsidRPr="001C386F">
        <w:rPr>
          <w:rStyle w:val="FootnoteReference"/>
          <w:rFonts w:asciiTheme="minorHAnsi" w:hAnsiTheme="minorHAnsi"/>
          <w:sz w:val="18"/>
          <w:szCs w:val="18"/>
        </w:rPr>
        <w:footnoteRef/>
      </w:r>
      <w:r w:rsidRPr="001C386F">
        <w:rPr>
          <w:rFonts w:asciiTheme="minorHAnsi" w:hAnsiTheme="minorHAnsi"/>
          <w:sz w:val="18"/>
          <w:szCs w:val="18"/>
        </w:rPr>
        <w:t xml:space="preserve"> Ibid</w:t>
      </w:r>
    </w:p>
  </w:footnote>
  <w:footnote w:id="37">
    <w:p w14:paraId="733BAFB9" w14:textId="77777777" w:rsidR="00960899" w:rsidRDefault="00960899" w:rsidP="00B766AC">
      <w:pPr>
        <w:pStyle w:val="FootnoteText"/>
      </w:pPr>
      <w:r w:rsidRPr="00367080">
        <w:rPr>
          <w:rStyle w:val="FootnoteReference"/>
          <w:rFonts w:ascii="Times New Roman" w:hAnsi="Times New Roman"/>
          <w:sz w:val="18"/>
          <w:szCs w:val="18"/>
        </w:rPr>
        <w:footnoteRef/>
      </w:r>
      <w:r w:rsidRPr="00C72AD4">
        <w:rPr>
          <w:rFonts w:ascii="Times New Roman" w:hAnsi="Times New Roman"/>
          <w:sz w:val="18"/>
          <w:szCs w:val="18"/>
          <w:lang w:val="es-PE"/>
        </w:rPr>
        <w:t xml:space="preserve"> </w:t>
      </w:r>
      <w:r w:rsidRPr="00C72AD4">
        <w:rPr>
          <w:rFonts w:asciiTheme="minorHAnsi" w:hAnsiTheme="minorHAnsi"/>
          <w:sz w:val="18"/>
          <w:szCs w:val="18"/>
          <w:lang w:val="es-PE"/>
        </w:rPr>
        <w:t xml:space="preserve">UNHCR (2009). </w:t>
      </w:r>
      <w:r w:rsidRPr="00367080">
        <w:rPr>
          <w:rFonts w:asciiTheme="minorHAnsi" w:hAnsiTheme="minorHAnsi"/>
          <w:iCs/>
          <w:sz w:val="18"/>
          <w:szCs w:val="18"/>
        </w:rPr>
        <w:t>Protection of IDPs in Georgia: A Gap Analysis</w:t>
      </w:r>
      <w:r w:rsidRPr="00367080">
        <w:rPr>
          <w:rFonts w:asciiTheme="minorHAnsi" w:hAnsiTheme="minorHAnsi"/>
          <w:sz w:val="18"/>
          <w:szCs w:val="18"/>
        </w:rPr>
        <w:t>. Geneva: UNHCR</w:t>
      </w:r>
      <w:r w:rsidRPr="008626FA">
        <w:rPr>
          <w:rFonts w:ascii="Times New Roman" w:hAnsi="Times New Roman"/>
          <w:color w:val="414142"/>
          <w:sz w:val="18"/>
          <w:szCs w:val="18"/>
        </w:rPr>
        <w:t xml:space="preserve">. </w:t>
      </w:r>
      <w:hyperlink r:id="rId13" w:history="1">
        <w:r w:rsidRPr="008626FA">
          <w:rPr>
            <w:rStyle w:val="Hyperlink"/>
            <w:rFonts w:ascii="Times New Roman" w:hAnsi="Times New Roman"/>
            <w:sz w:val="18"/>
            <w:szCs w:val="18"/>
          </w:rPr>
          <w:t>http://www.unhcr.org/4ad827f59.pdf</w:t>
        </w:r>
      </w:hyperlink>
    </w:p>
  </w:footnote>
  <w:footnote w:id="38">
    <w:p w14:paraId="53D12F30" w14:textId="77777777" w:rsidR="00960899" w:rsidRPr="00944D5C" w:rsidRDefault="00960899" w:rsidP="00B766AC">
      <w:pPr>
        <w:pStyle w:val="FootnoteText"/>
        <w:rPr>
          <w:rFonts w:asciiTheme="minorHAnsi" w:hAnsiTheme="minorHAnsi"/>
          <w:sz w:val="18"/>
          <w:szCs w:val="18"/>
        </w:rPr>
      </w:pPr>
      <w:r w:rsidRPr="00944D5C">
        <w:rPr>
          <w:rStyle w:val="FootnoteReference"/>
          <w:rFonts w:asciiTheme="minorHAnsi" w:hAnsiTheme="minorHAnsi"/>
          <w:sz w:val="18"/>
          <w:szCs w:val="18"/>
        </w:rPr>
        <w:footnoteRef/>
      </w:r>
      <w:r w:rsidRPr="00944D5C">
        <w:rPr>
          <w:rFonts w:asciiTheme="minorHAnsi" w:hAnsiTheme="minorHAnsi"/>
          <w:sz w:val="18"/>
          <w:szCs w:val="18"/>
        </w:rPr>
        <w:t xml:space="preserve"> State Strategy on Internally Displaced Persons-Persecuted (2007). </w:t>
      </w:r>
      <w:hyperlink r:id="rId14" w:history="1">
        <w:r w:rsidRPr="00944D5C">
          <w:rPr>
            <w:rStyle w:val="Hyperlink"/>
            <w:rFonts w:asciiTheme="minorHAnsi" w:hAnsiTheme="minorHAnsi"/>
            <w:sz w:val="18"/>
            <w:szCs w:val="18"/>
          </w:rPr>
          <w:t>http://chca.org.ge/itst/_FILES/Legislation/3%20Eng.pdf</w:t>
        </w:r>
      </w:hyperlink>
    </w:p>
  </w:footnote>
  <w:footnote w:id="39">
    <w:p w14:paraId="1B0C1C55" w14:textId="2FF088C7" w:rsidR="00960899" w:rsidRPr="006A009F" w:rsidRDefault="00960899" w:rsidP="00D8174A">
      <w:pPr>
        <w:pStyle w:val="FootnoteText"/>
        <w:rPr>
          <w:rFonts w:asciiTheme="minorHAnsi" w:hAnsiTheme="minorHAnsi"/>
          <w:sz w:val="18"/>
          <w:szCs w:val="18"/>
        </w:rPr>
      </w:pPr>
      <w:r w:rsidRPr="00D46076">
        <w:rPr>
          <w:rStyle w:val="FootnoteReference"/>
          <w:rFonts w:asciiTheme="minorHAnsi" w:hAnsiTheme="minorHAnsi"/>
          <w:sz w:val="18"/>
          <w:szCs w:val="18"/>
        </w:rPr>
        <w:footnoteRef/>
      </w:r>
      <w:r w:rsidRPr="00D46076">
        <w:rPr>
          <w:rFonts w:asciiTheme="minorHAnsi" w:hAnsiTheme="minorHAnsi"/>
          <w:sz w:val="18"/>
          <w:szCs w:val="18"/>
        </w:rPr>
        <w:t xml:space="preserve"> MRA, MoJ, MoLHSA, MoA, MRD</w:t>
      </w:r>
      <w:r>
        <w:rPr>
          <w:rFonts w:asciiTheme="minorHAnsi" w:hAnsiTheme="minorHAnsi"/>
          <w:sz w:val="18"/>
          <w:szCs w:val="18"/>
        </w:rPr>
        <w:t xml:space="preserve">I, MoF, MoESD, MDF, Government </w:t>
      </w:r>
      <w:r w:rsidRPr="00D46076">
        <w:rPr>
          <w:rFonts w:asciiTheme="minorHAnsi" w:hAnsiTheme="minorHAnsi"/>
          <w:sz w:val="18"/>
          <w:szCs w:val="18"/>
        </w:rPr>
        <w:t>of Abkhazia</w:t>
      </w:r>
      <w:r>
        <w:rPr>
          <w:rFonts w:asciiTheme="minorHAnsi" w:hAnsiTheme="minorHAnsi"/>
          <w:sz w:val="18"/>
          <w:szCs w:val="18"/>
        </w:rPr>
        <w:t>n Autonomous Republic</w:t>
      </w:r>
      <w:r w:rsidRPr="00D46076">
        <w:rPr>
          <w:rFonts w:asciiTheme="minorHAnsi" w:hAnsiTheme="minorHAnsi"/>
          <w:sz w:val="18"/>
          <w:szCs w:val="18"/>
        </w:rPr>
        <w:t>, EU, UNHCR, WB, UNCT, SDC, KFW, EUMM, PDO, GYLA, DRC, TA, BPRM.</w:t>
      </w:r>
      <w:r w:rsidRPr="006A009F">
        <w:rPr>
          <w:rFonts w:asciiTheme="minorHAnsi" w:hAnsiTheme="minorHAnsi"/>
          <w:sz w:val="18"/>
          <w:szCs w:val="18"/>
        </w:rPr>
        <w:t xml:space="preserve"> </w:t>
      </w:r>
    </w:p>
  </w:footnote>
  <w:footnote w:id="40">
    <w:p w14:paraId="3AA79ED4" w14:textId="77777777" w:rsidR="00960899" w:rsidRPr="006A009F" w:rsidRDefault="00960899">
      <w:pPr>
        <w:pStyle w:val="FootnoteText"/>
        <w:rPr>
          <w:rFonts w:asciiTheme="minorHAnsi" w:hAnsiTheme="minorHAnsi"/>
          <w:sz w:val="18"/>
          <w:szCs w:val="18"/>
        </w:rPr>
      </w:pPr>
      <w:r w:rsidRPr="006A009F">
        <w:rPr>
          <w:rStyle w:val="FootnoteReference"/>
          <w:rFonts w:asciiTheme="minorHAnsi" w:hAnsiTheme="minorHAnsi"/>
          <w:sz w:val="18"/>
          <w:szCs w:val="18"/>
        </w:rPr>
        <w:footnoteRef/>
      </w:r>
      <w:r w:rsidRPr="006A009F">
        <w:rPr>
          <w:rFonts w:asciiTheme="minorHAnsi" w:hAnsiTheme="minorHAnsi"/>
          <w:sz w:val="18"/>
          <w:szCs w:val="18"/>
        </w:rPr>
        <w:t xml:space="preserve"> Transparency International Georgia (2010). Concept Note: The Role of TI Georgia on the MRA Steering Committee for IDP Issues. </w:t>
      </w:r>
    </w:p>
    <w:p w14:paraId="4B84FC76" w14:textId="77777777" w:rsidR="00960899" w:rsidRPr="00F04B33" w:rsidRDefault="00960899">
      <w:pPr>
        <w:pStyle w:val="FootnoteText"/>
        <w:rPr>
          <w:rFonts w:asciiTheme="minorHAnsi" w:hAnsiTheme="minorHAnsi"/>
          <w:sz w:val="18"/>
          <w:szCs w:val="18"/>
        </w:rPr>
      </w:pPr>
      <w:r w:rsidRPr="00F04B33">
        <w:rPr>
          <w:rFonts w:asciiTheme="minorHAnsi" w:hAnsiTheme="minorHAnsi"/>
          <w:sz w:val="18"/>
          <w:szCs w:val="18"/>
        </w:rPr>
        <w:t>http://www.transparency.ge/sites/default/files/post_attachments/Concept_TI_Georgias_role_on_MRA_Steering_Committee_ENG.pdf</w:t>
      </w:r>
    </w:p>
  </w:footnote>
  <w:footnote w:id="41">
    <w:p w14:paraId="47D625B7" w14:textId="56BA4F28" w:rsidR="00960899" w:rsidRDefault="00960899" w:rsidP="00C7551F">
      <w:pPr>
        <w:pStyle w:val="FootnoteText"/>
      </w:pPr>
      <w:r>
        <w:rPr>
          <w:rStyle w:val="FootnoteReference"/>
        </w:rPr>
        <w:footnoteRef/>
      </w:r>
      <w:r>
        <w:t xml:space="preserve">FGD Samegrelo - </w:t>
      </w:r>
      <w:r w:rsidRPr="00816A4A">
        <w:t>IDPs having IDP allowance, living in private settlement, Rural</w:t>
      </w:r>
    </w:p>
  </w:footnote>
  <w:footnote w:id="42">
    <w:p w14:paraId="38873140" w14:textId="0119A8F0" w:rsidR="00960899" w:rsidRDefault="00960899">
      <w:pPr>
        <w:pStyle w:val="FootnoteText"/>
      </w:pPr>
      <w:r>
        <w:rPr>
          <w:rStyle w:val="FootnoteReference"/>
        </w:rPr>
        <w:footnoteRef/>
      </w:r>
      <w:r>
        <w:t xml:space="preserve"> The size of the housing subsidy is determined by the number of family members. </w:t>
      </w:r>
    </w:p>
  </w:footnote>
  <w:footnote w:id="43">
    <w:p w14:paraId="7D71B811" w14:textId="77777777" w:rsidR="00960899" w:rsidRDefault="00960899" w:rsidP="00731217">
      <w:pPr>
        <w:pStyle w:val="FootnoteText"/>
      </w:pPr>
      <w:r>
        <w:rPr>
          <w:rStyle w:val="FootnoteReference"/>
        </w:rPr>
        <w:footnoteRef/>
      </w:r>
      <w:r>
        <w:t xml:space="preserve"> FGD Samgrelo- </w:t>
      </w:r>
      <w:r w:rsidRPr="002E18A0">
        <w:rPr>
          <w:color w:val="4F81BD" w:themeColor="accent1"/>
        </w:rPr>
        <w:t xml:space="preserve">- </w:t>
      </w:r>
      <w:r w:rsidRPr="00816A4A">
        <w:t>IDPs having Social assistance living in compact settlements; Urban</w:t>
      </w:r>
    </w:p>
  </w:footnote>
  <w:footnote w:id="44">
    <w:p w14:paraId="354C70C8" w14:textId="39B79073" w:rsidR="00960899" w:rsidRDefault="00960899">
      <w:pPr>
        <w:pStyle w:val="FootnoteText"/>
      </w:pPr>
      <w:r>
        <w:rPr>
          <w:rStyle w:val="FootnoteReference"/>
        </w:rPr>
        <w:footnoteRef/>
      </w:r>
      <w:r>
        <w:t xml:space="preserve"> FGD Tbilisi – Urban IDP living in collective center. </w:t>
      </w:r>
    </w:p>
  </w:footnote>
  <w:footnote w:id="45">
    <w:p w14:paraId="0D428134" w14:textId="77777777" w:rsidR="00960899" w:rsidRPr="009905F7" w:rsidRDefault="00960899" w:rsidP="00C170FA">
      <w:pPr>
        <w:pStyle w:val="FootnoteText"/>
        <w:rPr>
          <w:rFonts w:ascii="Times New Roman" w:hAnsi="Times New Roman"/>
          <w:sz w:val="18"/>
          <w:szCs w:val="18"/>
        </w:rPr>
      </w:pPr>
      <w:r w:rsidRPr="00F04B33">
        <w:rPr>
          <w:rStyle w:val="FootnoteReference"/>
          <w:rFonts w:asciiTheme="minorHAnsi" w:hAnsiTheme="minorHAnsi"/>
          <w:sz w:val="18"/>
          <w:szCs w:val="18"/>
        </w:rPr>
        <w:footnoteRef/>
      </w:r>
      <w:r w:rsidRPr="00F04B33">
        <w:rPr>
          <w:rFonts w:asciiTheme="minorHAnsi" w:hAnsiTheme="minorHAnsi"/>
          <w:sz w:val="18"/>
          <w:szCs w:val="18"/>
        </w:rPr>
        <w:t xml:space="preserve">  Georgian Social Assistance Law, Article 16</w:t>
      </w:r>
      <w:r w:rsidRPr="009905F7">
        <w:rPr>
          <w:rFonts w:ascii="Times New Roman" w:hAnsi="Times New Roman"/>
          <w:sz w:val="18"/>
          <w:szCs w:val="18"/>
        </w:rPr>
        <w:t xml:space="preserve"> </w:t>
      </w:r>
    </w:p>
  </w:footnote>
  <w:footnote w:id="46">
    <w:p w14:paraId="76C29942" w14:textId="77777777" w:rsidR="00960899" w:rsidRDefault="00960899" w:rsidP="00C05D66">
      <w:pPr>
        <w:pStyle w:val="FootnoteText"/>
      </w:pPr>
      <w:r>
        <w:rPr>
          <w:rStyle w:val="FootnoteReference"/>
        </w:rPr>
        <w:footnoteRef/>
      </w:r>
      <w:r>
        <w:t xml:space="preserve"> </w:t>
      </w:r>
      <w:r w:rsidRPr="002C4394">
        <w:rPr>
          <w:rFonts w:ascii="Times New Roman" w:hAnsi="Times New Roman"/>
          <w:sz w:val="18"/>
          <w:szCs w:val="18"/>
        </w:rPr>
        <w:t>FGD with IDPs living in a rural compact settlement and with access to/receiving social allowance in Gori- Shida Kartli Region.</w:t>
      </w:r>
    </w:p>
  </w:footnote>
  <w:footnote w:id="47">
    <w:p w14:paraId="6BF5BF78" w14:textId="12382EDF" w:rsidR="00960899" w:rsidRDefault="00960899">
      <w:pPr>
        <w:pStyle w:val="FootnoteText"/>
      </w:pPr>
      <w:r>
        <w:rPr>
          <w:rStyle w:val="FootnoteReference"/>
        </w:rPr>
        <w:footnoteRef/>
      </w:r>
      <w:r>
        <w:t xml:space="preserve"> </w:t>
      </w:r>
      <w:r w:rsidRPr="003D304C">
        <w:rPr>
          <w:rFonts w:asciiTheme="minorHAnsi" w:hAnsiTheme="minorHAnsi"/>
          <w:sz w:val="18"/>
          <w:szCs w:val="18"/>
        </w:rPr>
        <w:t>Worl</w:t>
      </w:r>
      <w:r>
        <w:rPr>
          <w:rFonts w:asciiTheme="minorHAnsi" w:hAnsiTheme="minorHAnsi"/>
          <w:sz w:val="18"/>
          <w:szCs w:val="18"/>
        </w:rPr>
        <w:t xml:space="preserve">d Bank. (2013). </w:t>
      </w:r>
      <w:r w:rsidRPr="002C4394">
        <w:rPr>
          <w:rFonts w:asciiTheme="minorHAnsi" w:hAnsiTheme="minorHAnsi"/>
          <w:i/>
          <w:sz w:val="18"/>
          <w:szCs w:val="18"/>
        </w:rPr>
        <w:t>Supporting the Livelihoods of Internally Displaced Persons in Georgia</w:t>
      </w:r>
    </w:p>
  </w:footnote>
  <w:footnote w:id="48">
    <w:p w14:paraId="2F5971F9" w14:textId="53BE0040" w:rsidR="00960899" w:rsidRDefault="00960899">
      <w:pPr>
        <w:pStyle w:val="FootnoteText"/>
      </w:pPr>
      <w:r>
        <w:rPr>
          <w:rStyle w:val="FootnoteReference"/>
        </w:rPr>
        <w:footnoteRef/>
      </w:r>
      <w:r>
        <w:t xml:space="preserve"> IHS 2011-2013 reports a larger difference in poverty rates (41 and 45% for non-IDP and IDP respectively using a poverty line of USD 2.5/day) however the IDP sample in this survey is smaller (4,028 IDPs; 3.4%of the sample). UNDP survey (2011) which included a larger relative IDP sample (1,867 IDPs; 12.1% of the sample) show much lower and not statistically significant difference in poverty rates (46% for non-IDPs and 45% for IDPs). </w:t>
      </w:r>
    </w:p>
  </w:footnote>
  <w:footnote w:id="49">
    <w:p w14:paraId="063FEEA7" w14:textId="59E5F45D" w:rsidR="00960899" w:rsidRDefault="00960899">
      <w:pPr>
        <w:pStyle w:val="FootnoteText"/>
      </w:pPr>
      <w:r>
        <w:rPr>
          <w:rStyle w:val="FootnoteReference"/>
        </w:rPr>
        <w:footnoteRef/>
      </w:r>
      <w:r>
        <w:t xml:space="preserve"> UNHCR (2015) reports similar results for average monthly income of IDP households (GEL 453)</w:t>
      </w:r>
    </w:p>
  </w:footnote>
  <w:footnote w:id="50">
    <w:p w14:paraId="77632929" w14:textId="019F0692" w:rsidR="00960899" w:rsidRPr="0036006E" w:rsidRDefault="00960899" w:rsidP="0036006E">
      <w:pPr>
        <w:pStyle w:val="FootnoteText"/>
        <w:rPr>
          <w:rFonts w:ascii="Times New Roman" w:hAnsi="Times New Roman"/>
          <w:sz w:val="18"/>
          <w:szCs w:val="18"/>
        </w:rPr>
      </w:pPr>
      <w:r w:rsidRPr="00FA4F8D">
        <w:rPr>
          <w:rStyle w:val="FootnoteReference"/>
          <w:rFonts w:ascii="Times New Roman" w:hAnsi="Times New Roman"/>
          <w:sz w:val="18"/>
          <w:szCs w:val="18"/>
        </w:rPr>
        <w:footnoteRef/>
      </w:r>
      <w:r w:rsidRPr="00FA4F8D">
        <w:rPr>
          <w:rFonts w:ascii="Times New Roman" w:hAnsi="Times New Roman"/>
          <w:sz w:val="18"/>
          <w:szCs w:val="18"/>
        </w:rPr>
        <w:t xml:space="preserve"> </w:t>
      </w:r>
      <w:r w:rsidRPr="0036006E">
        <w:rPr>
          <w:rFonts w:ascii="Times New Roman" w:hAnsi="Times New Roman"/>
          <w:sz w:val="18"/>
          <w:szCs w:val="18"/>
        </w:rPr>
        <w:t>Integrated Household Survey (2011-2013)</w:t>
      </w:r>
    </w:p>
  </w:footnote>
  <w:footnote w:id="51">
    <w:p w14:paraId="2E882256" w14:textId="5F363328" w:rsidR="00960899" w:rsidRPr="00A713CD" w:rsidRDefault="00960899">
      <w:pPr>
        <w:pStyle w:val="FootnoteText"/>
        <w:rPr>
          <w:rFonts w:ascii="Times New Roman" w:hAnsi="Times New Roman"/>
          <w:sz w:val="18"/>
          <w:szCs w:val="18"/>
        </w:rPr>
      </w:pPr>
      <w:r w:rsidRPr="00A713CD">
        <w:rPr>
          <w:rStyle w:val="FootnoteReference"/>
          <w:rFonts w:ascii="Times New Roman" w:hAnsi="Times New Roman"/>
          <w:sz w:val="18"/>
          <w:szCs w:val="18"/>
        </w:rPr>
        <w:footnoteRef/>
      </w:r>
      <w:r w:rsidRPr="00A713CD">
        <w:rPr>
          <w:rFonts w:ascii="Times New Roman" w:hAnsi="Times New Roman"/>
          <w:sz w:val="18"/>
          <w:szCs w:val="18"/>
        </w:rPr>
        <w:t xml:space="preserve"> Ibid.</w:t>
      </w:r>
    </w:p>
  </w:footnote>
  <w:footnote w:id="52">
    <w:p w14:paraId="65D4002B" w14:textId="494A617F" w:rsidR="00960899" w:rsidRPr="0036006E" w:rsidRDefault="00960899" w:rsidP="0036006E">
      <w:pPr>
        <w:pStyle w:val="FootnoteText"/>
        <w:rPr>
          <w:rFonts w:ascii="Times New Roman" w:hAnsi="Times New Roman"/>
          <w:sz w:val="18"/>
          <w:szCs w:val="18"/>
        </w:rPr>
      </w:pPr>
      <w:r w:rsidRPr="0036006E">
        <w:rPr>
          <w:rStyle w:val="FootnoteReference"/>
          <w:rFonts w:ascii="Times New Roman" w:hAnsi="Times New Roman"/>
          <w:sz w:val="18"/>
          <w:szCs w:val="18"/>
        </w:rPr>
        <w:footnoteRef/>
      </w:r>
      <w:r w:rsidRPr="0036006E">
        <w:rPr>
          <w:rFonts w:ascii="Times New Roman" w:hAnsi="Times New Roman"/>
          <w:sz w:val="18"/>
          <w:szCs w:val="18"/>
        </w:rPr>
        <w:t xml:space="preserve"> Non-IDP in rural area, Zugdidi</w:t>
      </w:r>
    </w:p>
  </w:footnote>
  <w:footnote w:id="53">
    <w:p w14:paraId="5075607B" w14:textId="77777777" w:rsidR="00960899" w:rsidRPr="00FA4F8D" w:rsidRDefault="00960899" w:rsidP="0036006E">
      <w:pPr>
        <w:pStyle w:val="FootnoteText"/>
        <w:rPr>
          <w:rFonts w:ascii="Times New Roman" w:hAnsi="Times New Roman"/>
          <w:sz w:val="18"/>
          <w:szCs w:val="18"/>
        </w:rPr>
      </w:pPr>
      <w:r w:rsidRPr="0036006E">
        <w:rPr>
          <w:rStyle w:val="FootnoteReference"/>
          <w:rFonts w:ascii="Times New Roman" w:hAnsi="Times New Roman"/>
          <w:sz w:val="18"/>
          <w:szCs w:val="18"/>
        </w:rPr>
        <w:footnoteRef/>
      </w:r>
      <w:r w:rsidRPr="0036006E">
        <w:rPr>
          <w:rFonts w:ascii="Times New Roman" w:hAnsi="Times New Roman"/>
          <w:sz w:val="18"/>
          <w:szCs w:val="18"/>
        </w:rPr>
        <w:t>World Bank. 2013.</w:t>
      </w:r>
    </w:p>
  </w:footnote>
  <w:footnote w:id="54">
    <w:p w14:paraId="420340BA" w14:textId="77777777" w:rsidR="00960899" w:rsidRPr="00FA4F8D" w:rsidRDefault="00960899" w:rsidP="004D4F1A">
      <w:pPr>
        <w:pStyle w:val="FootnoteText"/>
        <w:jc w:val="left"/>
        <w:rPr>
          <w:rFonts w:ascii="Times New Roman" w:hAnsi="Times New Roman"/>
          <w:sz w:val="18"/>
          <w:szCs w:val="18"/>
        </w:rPr>
      </w:pPr>
      <w:r w:rsidRPr="00FA4F8D">
        <w:rPr>
          <w:rStyle w:val="FootnoteReference"/>
          <w:rFonts w:ascii="Times New Roman" w:hAnsi="Times New Roman"/>
          <w:sz w:val="18"/>
          <w:szCs w:val="18"/>
        </w:rPr>
        <w:footnoteRef/>
      </w:r>
      <w:r w:rsidRPr="00FA4F8D">
        <w:rPr>
          <w:rFonts w:ascii="Times New Roman" w:hAnsi="Times New Roman"/>
          <w:sz w:val="18"/>
          <w:szCs w:val="18"/>
        </w:rPr>
        <w:t xml:space="preserve"> The World Bank. (2013). Supporting the livelihoods of Internally Displaced Persons in Georgia. </w:t>
      </w:r>
      <w:hyperlink r:id="rId15" w:history="1">
        <w:r w:rsidRPr="00FA4F8D">
          <w:rPr>
            <w:rStyle w:val="Hyperlink"/>
            <w:rFonts w:ascii="Times New Roman" w:hAnsi="Times New Roman"/>
            <w:sz w:val="18"/>
            <w:szCs w:val="18"/>
          </w:rPr>
          <w:t>http://imagebank.worldbank.org/servlet/WDSContentServer/IW3P/IB/2013/07/03/000333037_20130703101637/Rendered/PDF/791740WP0Georg0Box0377356B00PUBLIC0.pdf</w:t>
        </w:r>
      </w:hyperlink>
    </w:p>
  </w:footnote>
  <w:footnote w:id="55">
    <w:p w14:paraId="11D6E495" w14:textId="77777777" w:rsidR="00960899" w:rsidRPr="00FA4F8D" w:rsidRDefault="00960899" w:rsidP="004D4F1A">
      <w:pPr>
        <w:pStyle w:val="FootnoteText"/>
        <w:jc w:val="left"/>
        <w:rPr>
          <w:rFonts w:ascii="Times New Roman" w:hAnsi="Times New Roman"/>
          <w:sz w:val="18"/>
          <w:szCs w:val="18"/>
        </w:rPr>
      </w:pPr>
      <w:r w:rsidRPr="00FA4F8D">
        <w:rPr>
          <w:rStyle w:val="FootnoteReference"/>
          <w:rFonts w:ascii="Times New Roman" w:hAnsi="Times New Roman"/>
          <w:sz w:val="18"/>
          <w:szCs w:val="18"/>
        </w:rPr>
        <w:footnoteRef/>
      </w:r>
      <w:r w:rsidRPr="00FA4F8D">
        <w:rPr>
          <w:rFonts w:ascii="Times New Roman" w:hAnsi="Times New Roman"/>
          <w:sz w:val="18"/>
          <w:szCs w:val="18"/>
        </w:rPr>
        <w:t xml:space="preserve"> Ibid</w:t>
      </w:r>
    </w:p>
  </w:footnote>
  <w:footnote w:id="56">
    <w:p w14:paraId="7C0BE6C4" w14:textId="77777777" w:rsidR="00960899" w:rsidRDefault="00960899" w:rsidP="004D4F1A">
      <w:pPr>
        <w:pStyle w:val="FootnoteText"/>
        <w:jc w:val="left"/>
      </w:pPr>
      <w:r w:rsidRPr="00FA4F8D">
        <w:rPr>
          <w:rStyle w:val="FootnoteReference"/>
          <w:rFonts w:ascii="Times New Roman" w:hAnsi="Times New Roman"/>
          <w:sz w:val="18"/>
          <w:szCs w:val="18"/>
        </w:rPr>
        <w:footnoteRef/>
      </w:r>
      <w:r w:rsidRPr="00FA4F8D">
        <w:rPr>
          <w:rFonts w:ascii="Times New Roman" w:hAnsi="Times New Roman"/>
          <w:sz w:val="18"/>
          <w:szCs w:val="18"/>
        </w:rPr>
        <w:t xml:space="preserve"> Ibid</w:t>
      </w:r>
    </w:p>
  </w:footnote>
  <w:footnote w:id="57">
    <w:p w14:paraId="6FA0E7B5" w14:textId="77777777" w:rsidR="00960899" w:rsidRPr="00DC56AE" w:rsidRDefault="00960899" w:rsidP="004D4F1A">
      <w:pPr>
        <w:pStyle w:val="FootnoteText"/>
        <w:jc w:val="left"/>
        <w:rPr>
          <w:rFonts w:asciiTheme="minorHAnsi" w:hAnsiTheme="minorHAnsi"/>
          <w:sz w:val="18"/>
          <w:szCs w:val="18"/>
        </w:rPr>
      </w:pPr>
      <w:r w:rsidRPr="00DC56AE">
        <w:rPr>
          <w:rStyle w:val="FootnoteReference"/>
          <w:rFonts w:asciiTheme="minorHAnsi" w:hAnsiTheme="minorHAnsi"/>
          <w:sz w:val="18"/>
          <w:szCs w:val="18"/>
        </w:rPr>
        <w:footnoteRef/>
      </w:r>
      <w:r w:rsidRPr="00DC56AE">
        <w:rPr>
          <w:rFonts w:asciiTheme="minorHAnsi" w:hAnsiTheme="minorHAnsi"/>
          <w:sz w:val="18"/>
          <w:szCs w:val="18"/>
        </w:rPr>
        <w:t xml:space="preserve"> The World Bank. (2013). Supporting the livelihoods of Internally Displaced Persons in Georgia. </w:t>
      </w:r>
      <w:hyperlink r:id="rId16" w:history="1">
        <w:r w:rsidRPr="00DC56AE">
          <w:rPr>
            <w:rStyle w:val="Hyperlink"/>
            <w:rFonts w:asciiTheme="minorHAnsi" w:hAnsiTheme="minorHAnsi"/>
            <w:sz w:val="18"/>
            <w:szCs w:val="18"/>
          </w:rPr>
          <w:t>http://imagebank.worldbank.org/servlet/WDSContentServer/IW3P/IB/2013/07/03/000333037_20130703101637/Rendered/PDF/791740WP0Georg0Box0377356B00PUBLIC0.pdf</w:t>
        </w:r>
      </w:hyperlink>
    </w:p>
  </w:footnote>
  <w:footnote w:id="58">
    <w:p w14:paraId="0AE60A5C" w14:textId="77777777" w:rsidR="00960899" w:rsidRPr="00DC56AE" w:rsidRDefault="00960899" w:rsidP="004D4F1A">
      <w:pPr>
        <w:pStyle w:val="FootnoteText"/>
        <w:jc w:val="left"/>
        <w:rPr>
          <w:rFonts w:asciiTheme="minorHAnsi" w:hAnsiTheme="minorHAnsi"/>
          <w:sz w:val="18"/>
          <w:szCs w:val="18"/>
        </w:rPr>
      </w:pPr>
      <w:r w:rsidRPr="00DC56AE">
        <w:rPr>
          <w:rStyle w:val="FootnoteReference"/>
          <w:rFonts w:asciiTheme="minorHAnsi" w:hAnsiTheme="minorHAnsi"/>
          <w:sz w:val="18"/>
          <w:szCs w:val="18"/>
        </w:rPr>
        <w:footnoteRef/>
      </w:r>
      <w:r w:rsidRPr="00DC56AE">
        <w:rPr>
          <w:rFonts w:asciiTheme="minorHAnsi" w:hAnsiTheme="minorHAnsi"/>
          <w:sz w:val="18"/>
          <w:szCs w:val="18"/>
        </w:rPr>
        <w:t xml:space="preserve"> Ibid</w:t>
      </w:r>
    </w:p>
  </w:footnote>
  <w:footnote w:id="59">
    <w:p w14:paraId="36282BC9" w14:textId="77777777" w:rsidR="00960899" w:rsidRPr="00D12EF1" w:rsidRDefault="00960899" w:rsidP="004D4F1A">
      <w:pPr>
        <w:pStyle w:val="FootnoteText"/>
        <w:jc w:val="left"/>
        <w:rPr>
          <w:rFonts w:ascii="Times New Roman" w:hAnsi="Times New Roman"/>
          <w:sz w:val="18"/>
          <w:szCs w:val="18"/>
        </w:rPr>
      </w:pPr>
      <w:r w:rsidRPr="00D12EF1">
        <w:rPr>
          <w:rStyle w:val="FootnoteReference"/>
          <w:rFonts w:ascii="Times New Roman" w:hAnsi="Times New Roman"/>
          <w:sz w:val="18"/>
          <w:szCs w:val="18"/>
        </w:rPr>
        <w:footnoteRef/>
      </w:r>
      <w:r w:rsidRPr="00D12EF1">
        <w:rPr>
          <w:rFonts w:ascii="Times New Roman" w:hAnsi="Times New Roman"/>
          <w:sz w:val="18"/>
          <w:szCs w:val="18"/>
        </w:rPr>
        <w:t xml:space="preserve"> Zugdidi-Samegrelo Focus Group Interview, May 2015</w:t>
      </w:r>
    </w:p>
  </w:footnote>
  <w:footnote w:id="60">
    <w:p w14:paraId="1D0DC2A8" w14:textId="77777777" w:rsidR="00960899" w:rsidRPr="00562841" w:rsidRDefault="00960899" w:rsidP="000118C4">
      <w:pPr>
        <w:pStyle w:val="NoSpacing"/>
        <w:rPr>
          <w:rFonts w:cs="Times New Roman"/>
          <w:sz w:val="18"/>
          <w:szCs w:val="18"/>
        </w:rPr>
      </w:pPr>
      <w:r w:rsidRPr="00DC56AE">
        <w:rPr>
          <w:rStyle w:val="FootnoteReference"/>
          <w:rFonts w:cs="Times New Roman"/>
          <w:sz w:val="18"/>
          <w:szCs w:val="18"/>
        </w:rPr>
        <w:footnoteRef/>
      </w:r>
      <w:r w:rsidRPr="00DC56AE">
        <w:rPr>
          <w:rFonts w:cs="Times New Roman"/>
          <w:sz w:val="18"/>
          <w:szCs w:val="18"/>
        </w:rPr>
        <w:t xml:space="preserve"> Government of Georgia, Ministry of Refugees and Accommodation (2010). IDP Housing Strategy and Working Plan. </w:t>
      </w:r>
      <w:hyperlink r:id="rId17" w:history="1">
        <w:r w:rsidRPr="00DC56AE">
          <w:rPr>
            <w:rStyle w:val="Hyperlink"/>
            <w:sz w:val="18"/>
            <w:szCs w:val="18"/>
          </w:rPr>
          <w:t>http://transparency.ge/sites/default/files/post_attachments/2010%20-%20MRA_Housing_Strategy_and_Work_Plan_ENG_0.pdf</w:t>
        </w:r>
      </w:hyperlink>
    </w:p>
  </w:footnote>
  <w:footnote w:id="61">
    <w:p w14:paraId="4F54C5F0" w14:textId="3B1C7A88" w:rsidR="00960899" w:rsidRDefault="00960899">
      <w:pPr>
        <w:pStyle w:val="FootnoteText"/>
      </w:pPr>
      <w:r>
        <w:rPr>
          <w:rStyle w:val="FootnoteReference"/>
        </w:rPr>
        <w:footnoteRef/>
      </w:r>
      <w:r w:rsidRPr="0036006E">
        <w:rPr>
          <w:rFonts w:ascii="Times New Roman" w:hAnsi="Times New Roman"/>
          <w:sz w:val="18"/>
          <w:szCs w:val="18"/>
        </w:rPr>
        <w:t>UNHCR (2015</w:t>
      </w:r>
      <w:r>
        <w:t>)</w:t>
      </w:r>
    </w:p>
  </w:footnote>
  <w:footnote w:id="62">
    <w:p w14:paraId="023A6BD9" w14:textId="77777777" w:rsidR="00960899" w:rsidRPr="00D12EF1" w:rsidRDefault="00960899" w:rsidP="000118C4">
      <w:pPr>
        <w:pStyle w:val="FootnoteText"/>
        <w:rPr>
          <w:rFonts w:ascii="Times New Roman" w:hAnsi="Times New Roman"/>
          <w:sz w:val="18"/>
          <w:szCs w:val="18"/>
        </w:rPr>
      </w:pPr>
      <w:r w:rsidRPr="00D12EF1">
        <w:rPr>
          <w:rStyle w:val="FootnoteReference"/>
          <w:rFonts w:ascii="Times New Roman" w:hAnsi="Times New Roman"/>
          <w:sz w:val="18"/>
          <w:szCs w:val="18"/>
        </w:rPr>
        <w:footnoteRef/>
      </w:r>
      <w:r w:rsidRPr="00D12EF1">
        <w:rPr>
          <w:rFonts w:ascii="Times New Roman" w:hAnsi="Times New Roman"/>
          <w:sz w:val="18"/>
          <w:szCs w:val="18"/>
        </w:rPr>
        <w:t xml:space="preserve"> </w:t>
      </w:r>
      <w:r>
        <w:rPr>
          <w:rFonts w:ascii="Times New Roman" w:hAnsi="Times New Roman"/>
          <w:sz w:val="18"/>
          <w:szCs w:val="18"/>
        </w:rPr>
        <w:t xml:space="preserve">Rural IDP, </w:t>
      </w:r>
      <w:r w:rsidRPr="00D12EF1">
        <w:rPr>
          <w:rFonts w:ascii="Times New Roman" w:hAnsi="Times New Roman"/>
          <w:sz w:val="18"/>
          <w:szCs w:val="18"/>
        </w:rPr>
        <w:t xml:space="preserve">Kakheti-Telavi Focus Group </w:t>
      </w:r>
      <w:r>
        <w:rPr>
          <w:rFonts w:ascii="Times New Roman" w:hAnsi="Times New Roman"/>
          <w:sz w:val="18"/>
          <w:szCs w:val="18"/>
        </w:rPr>
        <w:t>Discussion</w:t>
      </w:r>
      <w:r w:rsidRPr="00D12EF1">
        <w:rPr>
          <w:rFonts w:ascii="Times New Roman" w:hAnsi="Times New Roman"/>
          <w:sz w:val="18"/>
          <w:szCs w:val="18"/>
        </w:rPr>
        <w:t>, May 2015</w:t>
      </w:r>
    </w:p>
  </w:footnote>
  <w:footnote w:id="63">
    <w:p w14:paraId="16480747" w14:textId="77777777" w:rsidR="00960899" w:rsidRPr="00CA7F4F" w:rsidRDefault="00960899" w:rsidP="000118C4">
      <w:pPr>
        <w:pStyle w:val="FootnoteText"/>
        <w:rPr>
          <w:rFonts w:ascii="Times New Roman" w:hAnsi="Times New Roman"/>
          <w:sz w:val="18"/>
          <w:szCs w:val="18"/>
        </w:rPr>
      </w:pPr>
      <w:r w:rsidRPr="00CA7F4F">
        <w:rPr>
          <w:rStyle w:val="FootnoteReference"/>
          <w:rFonts w:ascii="Times New Roman" w:hAnsi="Times New Roman"/>
          <w:sz w:val="18"/>
          <w:szCs w:val="18"/>
        </w:rPr>
        <w:footnoteRef/>
      </w:r>
      <w:r w:rsidRPr="00CA7F4F">
        <w:rPr>
          <w:rFonts w:ascii="Times New Roman" w:hAnsi="Times New Roman"/>
          <w:sz w:val="18"/>
          <w:szCs w:val="18"/>
        </w:rPr>
        <w:t xml:space="preserve"> Urban IDP, Tbilisi, Focus Group Discussion, May 2015</w:t>
      </w:r>
    </w:p>
  </w:footnote>
  <w:footnote w:id="64">
    <w:p w14:paraId="644BDF0C" w14:textId="77777777" w:rsidR="00960899" w:rsidRPr="00CA7F4F" w:rsidRDefault="00960899" w:rsidP="000118C4">
      <w:pPr>
        <w:pStyle w:val="FootnoteText"/>
        <w:rPr>
          <w:rFonts w:ascii="Times New Roman" w:hAnsi="Times New Roman"/>
          <w:sz w:val="18"/>
          <w:szCs w:val="18"/>
        </w:rPr>
      </w:pPr>
      <w:r w:rsidRPr="00CA7F4F">
        <w:rPr>
          <w:rStyle w:val="FootnoteReference"/>
          <w:rFonts w:ascii="Times New Roman" w:hAnsi="Times New Roman"/>
          <w:sz w:val="18"/>
          <w:szCs w:val="18"/>
        </w:rPr>
        <w:footnoteRef/>
      </w:r>
      <w:r w:rsidRPr="00CA7F4F">
        <w:rPr>
          <w:rFonts w:ascii="Times New Roman" w:hAnsi="Times New Roman"/>
          <w:sz w:val="18"/>
          <w:szCs w:val="18"/>
        </w:rPr>
        <w:t xml:space="preserve"> Urban IDP, Telavi, Focus Group Discussion, May 2015</w:t>
      </w:r>
    </w:p>
  </w:footnote>
  <w:footnote w:id="65">
    <w:p w14:paraId="4DB8BF4D" w14:textId="77777777" w:rsidR="00960899" w:rsidRDefault="00960899" w:rsidP="000118C4">
      <w:pPr>
        <w:pStyle w:val="FootnoteText"/>
      </w:pPr>
      <w:r w:rsidRPr="00CA7F4F">
        <w:rPr>
          <w:rStyle w:val="FootnoteReference"/>
          <w:rFonts w:ascii="Times New Roman" w:hAnsi="Times New Roman"/>
          <w:sz w:val="18"/>
          <w:szCs w:val="18"/>
        </w:rPr>
        <w:footnoteRef/>
      </w:r>
      <w:r w:rsidRPr="00CA7F4F">
        <w:rPr>
          <w:rFonts w:ascii="Times New Roman" w:hAnsi="Times New Roman"/>
          <w:sz w:val="18"/>
          <w:szCs w:val="18"/>
        </w:rPr>
        <w:t xml:space="preserve"> Ibid.</w:t>
      </w:r>
    </w:p>
  </w:footnote>
  <w:footnote w:id="66">
    <w:p w14:paraId="438FD50C" w14:textId="77777777" w:rsidR="00960899" w:rsidRPr="00C813B4" w:rsidRDefault="00960899" w:rsidP="00DF7A85">
      <w:pPr>
        <w:pStyle w:val="FootnoteText"/>
        <w:rPr>
          <w:rFonts w:ascii="Times New Roman" w:hAnsi="Times New Roman"/>
          <w:sz w:val="18"/>
          <w:szCs w:val="18"/>
        </w:rPr>
      </w:pPr>
      <w:r w:rsidRPr="006F39F9">
        <w:rPr>
          <w:rStyle w:val="FootnoteReference"/>
          <w:rFonts w:ascii="Times New Roman" w:hAnsi="Times New Roman"/>
          <w:sz w:val="18"/>
          <w:szCs w:val="18"/>
        </w:rPr>
        <w:footnoteRef/>
      </w:r>
      <w:r w:rsidRPr="006F39F9">
        <w:rPr>
          <w:rFonts w:ascii="Times New Roman" w:hAnsi="Times New Roman"/>
          <w:sz w:val="18"/>
          <w:szCs w:val="18"/>
        </w:rPr>
        <w:t xml:space="preserve"> The World Bank. (2013). Supporting the livelihoods of Internally Displaced Persons in Georgia. </w:t>
      </w:r>
      <w:hyperlink r:id="rId18" w:history="1">
        <w:r w:rsidRPr="006F39F9">
          <w:rPr>
            <w:rStyle w:val="Hyperlink"/>
            <w:rFonts w:ascii="Times New Roman" w:hAnsi="Times New Roman"/>
            <w:sz w:val="18"/>
            <w:szCs w:val="18"/>
          </w:rPr>
          <w:t>http://imagebank.worldbank.org/servlet/WDSContentServer/IW3P/IB/2013/07/03/000333037_20130703101637/Rendered/PDF/791740WP0Georg0Box0377356B00PUBLIC0.pdf</w:t>
        </w:r>
      </w:hyperlink>
    </w:p>
  </w:footnote>
  <w:footnote w:id="67">
    <w:p w14:paraId="7FED12A9" w14:textId="77777777" w:rsidR="00960899" w:rsidRDefault="00960899" w:rsidP="00DF7A85">
      <w:pPr>
        <w:pStyle w:val="FootnoteText"/>
      </w:pPr>
      <w:r w:rsidRPr="00C813B4">
        <w:rPr>
          <w:rStyle w:val="FootnoteReference"/>
          <w:rFonts w:ascii="Times New Roman" w:hAnsi="Times New Roman"/>
          <w:sz w:val="18"/>
          <w:szCs w:val="18"/>
        </w:rPr>
        <w:footnoteRef/>
      </w:r>
      <w:r w:rsidRPr="00C813B4">
        <w:rPr>
          <w:rFonts w:ascii="Times New Roman" w:hAnsi="Times New Roman"/>
          <w:sz w:val="18"/>
          <w:szCs w:val="18"/>
        </w:rPr>
        <w:t xml:space="preserve"> Ibid</w:t>
      </w:r>
    </w:p>
  </w:footnote>
  <w:footnote w:id="68">
    <w:p w14:paraId="44F1CD6A" w14:textId="77777777" w:rsidR="00960899" w:rsidRPr="00065046" w:rsidRDefault="00960899" w:rsidP="00DF7A85">
      <w:pPr>
        <w:pStyle w:val="FootnoteText"/>
        <w:rPr>
          <w:rFonts w:ascii="Times New Roman" w:hAnsi="Times New Roman"/>
          <w:sz w:val="18"/>
          <w:szCs w:val="18"/>
        </w:rPr>
      </w:pPr>
      <w:r w:rsidRPr="00065046">
        <w:rPr>
          <w:rStyle w:val="FootnoteReference"/>
          <w:rFonts w:ascii="Times New Roman" w:hAnsi="Times New Roman"/>
          <w:sz w:val="18"/>
          <w:szCs w:val="18"/>
        </w:rPr>
        <w:footnoteRef/>
      </w:r>
      <w:r w:rsidRPr="00065046">
        <w:rPr>
          <w:rFonts w:ascii="Times New Roman" w:hAnsi="Times New Roman"/>
          <w:sz w:val="18"/>
          <w:szCs w:val="18"/>
        </w:rPr>
        <w:t xml:space="preserve"> Ibid</w:t>
      </w:r>
    </w:p>
  </w:footnote>
  <w:footnote w:id="69">
    <w:p w14:paraId="0B622444" w14:textId="77777777" w:rsidR="00960899" w:rsidRPr="00937493" w:rsidRDefault="00960899" w:rsidP="00232273">
      <w:pPr>
        <w:pStyle w:val="FootnoteText"/>
        <w:rPr>
          <w:rFonts w:asciiTheme="minorHAnsi" w:hAnsiTheme="minorHAnsi"/>
          <w:sz w:val="18"/>
          <w:szCs w:val="18"/>
        </w:rPr>
      </w:pPr>
      <w:r w:rsidRPr="00937493">
        <w:rPr>
          <w:rStyle w:val="FootnoteReference"/>
          <w:rFonts w:asciiTheme="minorHAnsi" w:hAnsiTheme="minorHAnsi"/>
          <w:sz w:val="18"/>
          <w:szCs w:val="18"/>
        </w:rPr>
        <w:footnoteRef/>
      </w:r>
      <w:r w:rsidRPr="00937493">
        <w:rPr>
          <w:rFonts w:asciiTheme="minorHAnsi" w:hAnsiTheme="minorHAnsi"/>
          <w:sz w:val="18"/>
          <w:szCs w:val="18"/>
        </w:rPr>
        <w:t xml:space="preserve"> The World Bank. (2013). Supporting the livelihoods of Internally Displaced Persons in Georgia. </w:t>
      </w:r>
      <w:hyperlink r:id="rId19" w:history="1">
        <w:r w:rsidRPr="00937493">
          <w:rPr>
            <w:rStyle w:val="Hyperlink"/>
            <w:rFonts w:asciiTheme="minorHAnsi" w:hAnsiTheme="minorHAnsi"/>
            <w:color w:val="auto"/>
            <w:sz w:val="18"/>
            <w:szCs w:val="18"/>
          </w:rPr>
          <w:t>http://imagebank.worldbank.org/servlet/WDSContentServer/IW3P/IB/2013/07/03/000333037_20130703101637/Rendered/PDF/791740WP0Georg0Box0377356B00PUBLIC0.pdf</w:t>
        </w:r>
      </w:hyperlink>
    </w:p>
  </w:footnote>
  <w:footnote w:id="70">
    <w:p w14:paraId="4F16067D" w14:textId="77777777" w:rsidR="00960899" w:rsidRPr="00937493" w:rsidRDefault="00960899" w:rsidP="00232273">
      <w:pPr>
        <w:pStyle w:val="FootnoteText"/>
        <w:rPr>
          <w:rFonts w:asciiTheme="minorHAnsi" w:hAnsiTheme="minorHAnsi"/>
          <w:sz w:val="18"/>
          <w:szCs w:val="18"/>
        </w:rPr>
      </w:pPr>
      <w:r w:rsidRPr="00937493">
        <w:rPr>
          <w:rStyle w:val="FootnoteReference"/>
          <w:rFonts w:asciiTheme="minorHAnsi" w:hAnsiTheme="minorHAnsi"/>
          <w:sz w:val="18"/>
          <w:szCs w:val="18"/>
        </w:rPr>
        <w:footnoteRef/>
      </w:r>
      <w:r w:rsidRPr="00937493">
        <w:rPr>
          <w:rFonts w:asciiTheme="minorHAnsi" w:hAnsiTheme="minorHAnsi"/>
          <w:sz w:val="18"/>
          <w:szCs w:val="18"/>
        </w:rPr>
        <w:t xml:space="preserve"> Ibid</w:t>
      </w:r>
    </w:p>
  </w:footnote>
  <w:footnote w:id="71">
    <w:p w14:paraId="1B03D5AF" w14:textId="77777777" w:rsidR="00960899" w:rsidRPr="00937493" w:rsidRDefault="00960899" w:rsidP="00070B4E">
      <w:pPr>
        <w:widowControl w:val="0"/>
        <w:autoSpaceDE w:val="0"/>
        <w:autoSpaceDN w:val="0"/>
        <w:adjustRightInd w:val="0"/>
        <w:spacing w:after="0"/>
        <w:rPr>
          <w:rFonts w:cs="Times New Roman"/>
          <w:sz w:val="18"/>
          <w:szCs w:val="18"/>
        </w:rPr>
      </w:pPr>
      <w:r w:rsidRPr="00937493">
        <w:rPr>
          <w:rStyle w:val="FootnoteReference"/>
          <w:rFonts w:cs="Times New Roman"/>
          <w:sz w:val="18"/>
          <w:szCs w:val="18"/>
        </w:rPr>
        <w:footnoteRef/>
      </w:r>
      <w:r w:rsidRPr="00937493">
        <w:rPr>
          <w:rFonts w:cs="Times New Roman"/>
          <w:sz w:val="18"/>
          <w:szCs w:val="18"/>
        </w:rPr>
        <w:t xml:space="preserve"> Government of Georgia, Decree No. 33 on “Approval of targeted state program to support covering population with the voluntary health insurance”. Issued 26 February, 2009.</w:t>
      </w:r>
    </w:p>
  </w:footnote>
  <w:footnote w:id="72">
    <w:p w14:paraId="7D29601B" w14:textId="77777777" w:rsidR="00960899" w:rsidRPr="00937493" w:rsidRDefault="00960899" w:rsidP="00070B4E">
      <w:pPr>
        <w:pStyle w:val="FootnoteText"/>
        <w:rPr>
          <w:rFonts w:asciiTheme="minorHAnsi" w:hAnsiTheme="minorHAnsi"/>
        </w:rPr>
      </w:pPr>
      <w:r w:rsidRPr="00937493">
        <w:rPr>
          <w:rStyle w:val="FootnoteReference"/>
          <w:rFonts w:asciiTheme="minorHAnsi" w:hAnsiTheme="minorHAnsi"/>
          <w:sz w:val="18"/>
          <w:szCs w:val="18"/>
        </w:rPr>
        <w:footnoteRef/>
      </w:r>
      <w:r w:rsidRPr="00937493">
        <w:rPr>
          <w:rFonts w:asciiTheme="minorHAnsi" w:hAnsiTheme="minorHAnsi"/>
          <w:sz w:val="18"/>
          <w:szCs w:val="18"/>
        </w:rPr>
        <w:t xml:space="preserve"> UNHCR (2009). </w:t>
      </w:r>
      <w:r w:rsidRPr="00937493">
        <w:rPr>
          <w:rFonts w:asciiTheme="minorHAnsi" w:hAnsiTheme="minorHAnsi"/>
          <w:iCs/>
          <w:sz w:val="18"/>
          <w:szCs w:val="18"/>
        </w:rPr>
        <w:t>Protection of IDPs in Georgia: A Gap Analysis</w:t>
      </w:r>
      <w:r w:rsidRPr="00937493">
        <w:rPr>
          <w:rFonts w:asciiTheme="minorHAnsi" w:hAnsiTheme="minorHAnsi"/>
          <w:sz w:val="18"/>
          <w:szCs w:val="18"/>
        </w:rPr>
        <w:t xml:space="preserve">. Geneva: UNHCR. </w:t>
      </w:r>
      <w:hyperlink r:id="rId20" w:history="1">
        <w:r w:rsidRPr="00937493">
          <w:rPr>
            <w:rStyle w:val="Hyperlink"/>
            <w:rFonts w:asciiTheme="minorHAnsi" w:hAnsiTheme="minorHAnsi"/>
            <w:color w:val="auto"/>
            <w:sz w:val="18"/>
            <w:szCs w:val="18"/>
          </w:rPr>
          <w:t>http://www.unhcr.org/4ad827f59.pdf</w:t>
        </w:r>
      </w:hyperlink>
      <w:r w:rsidRPr="00937493">
        <w:rPr>
          <w:rFonts w:asciiTheme="minorHAnsi" w:hAnsiTheme="minorHAnsi"/>
          <w:sz w:val="18"/>
          <w:szCs w:val="18"/>
        </w:rPr>
        <w:t>.</w:t>
      </w:r>
      <w:r w:rsidRPr="00937493">
        <w:rPr>
          <w:rFonts w:asciiTheme="minorHAnsi" w:hAnsiTheme="minorHAnsi"/>
        </w:rPr>
        <w:t xml:space="preserve"> </w:t>
      </w:r>
    </w:p>
  </w:footnote>
  <w:footnote w:id="73">
    <w:p w14:paraId="3758DB3A" w14:textId="085BEEEC" w:rsidR="00960899" w:rsidRPr="00A67311" w:rsidRDefault="00960899" w:rsidP="006A0F27">
      <w:pPr>
        <w:pStyle w:val="FootnoteText"/>
        <w:rPr>
          <w:rFonts w:asciiTheme="minorHAnsi" w:hAnsiTheme="minorHAnsi"/>
          <w:i/>
          <w:sz w:val="18"/>
          <w:szCs w:val="18"/>
        </w:rPr>
      </w:pPr>
      <w:r w:rsidRPr="00937493">
        <w:rPr>
          <w:rStyle w:val="FootnoteReference"/>
          <w:rFonts w:asciiTheme="minorHAnsi" w:hAnsiTheme="minorHAnsi"/>
          <w:sz w:val="18"/>
          <w:szCs w:val="18"/>
        </w:rPr>
        <w:footnoteRef/>
      </w:r>
      <w:r w:rsidRPr="00937493">
        <w:rPr>
          <w:rFonts w:asciiTheme="minorHAnsi" w:hAnsiTheme="minorHAnsi"/>
          <w:sz w:val="18"/>
          <w:szCs w:val="18"/>
        </w:rPr>
        <w:t xml:space="preserve"> The Johns Hopkins Bloomberg School of Public Health and the Institute for Policy Studies</w:t>
      </w:r>
      <w:r>
        <w:rPr>
          <w:rFonts w:asciiTheme="minorHAnsi" w:hAnsiTheme="minorHAnsi"/>
          <w:sz w:val="18"/>
          <w:szCs w:val="18"/>
        </w:rPr>
        <w:t>. 2012</w:t>
      </w:r>
      <w:r w:rsidRPr="00A67311">
        <w:rPr>
          <w:rFonts w:asciiTheme="minorHAnsi" w:hAnsiTheme="minorHAnsi"/>
          <w:i/>
          <w:sz w:val="18"/>
          <w:szCs w:val="18"/>
        </w:rPr>
        <w:t>. Aging in Displacement: Assessing Health Status of Displaced Older Adults in the Republic of Georgia.</w:t>
      </w:r>
    </w:p>
  </w:footnote>
  <w:footnote w:id="74">
    <w:p w14:paraId="66DF1DCE" w14:textId="23A8EB7E" w:rsidR="00960899" w:rsidRPr="000944EF" w:rsidRDefault="00960899">
      <w:pPr>
        <w:pStyle w:val="FootnoteText"/>
        <w:rPr>
          <w:sz w:val="18"/>
          <w:szCs w:val="18"/>
        </w:rPr>
      </w:pPr>
      <w:r w:rsidRPr="000944EF">
        <w:rPr>
          <w:rStyle w:val="FootnoteReference"/>
          <w:sz w:val="18"/>
          <w:szCs w:val="18"/>
        </w:rPr>
        <w:footnoteRef/>
      </w:r>
      <w:r w:rsidRPr="000944EF">
        <w:rPr>
          <w:sz w:val="18"/>
          <w:szCs w:val="18"/>
        </w:rPr>
        <w:t xml:space="preserve"> </w:t>
      </w:r>
      <w:r>
        <w:rPr>
          <w:sz w:val="18"/>
          <w:szCs w:val="18"/>
        </w:rPr>
        <w:t xml:space="preserve">Less than a year after the August 2008 conflict, </w:t>
      </w:r>
      <w:r w:rsidRPr="004D3B9F">
        <w:rPr>
          <w:sz w:val="18"/>
          <w:szCs w:val="18"/>
        </w:rPr>
        <w:t>t</w:t>
      </w:r>
      <w:r w:rsidRPr="000944EF">
        <w:rPr>
          <w:sz w:val="18"/>
          <w:szCs w:val="18"/>
        </w:rPr>
        <w:t xml:space="preserve">he government </w:t>
      </w:r>
      <w:r>
        <w:rPr>
          <w:sz w:val="18"/>
          <w:szCs w:val="18"/>
        </w:rPr>
        <w:t>completed the construction of o</w:t>
      </w:r>
      <w:r w:rsidRPr="000944EF">
        <w:rPr>
          <w:rFonts w:eastAsiaTheme="minorEastAsia"/>
          <w:sz w:val="18"/>
          <w:szCs w:val="18"/>
        </w:rPr>
        <w:t>ver 3,963 individual cottage homes, and rehabilitated 1,600 apartments for use by newly displaced persons. The largest settlement, constructed in Tserovani which is 23 kilometers from Tbilisi, consisted of over 2,000 cottages.</w:t>
      </w:r>
      <w:r w:rsidRPr="000944EF">
        <w:rPr>
          <w:sz w:val="18"/>
          <w:szCs w:val="18"/>
          <w:vertAlign w:val="superscript"/>
        </w:rPr>
        <w:footnoteRef/>
      </w:r>
    </w:p>
  </w:footnote>
  <w:footnote w:id="75">
    <w:p w14:paraId="18874A98" w14:textId="77777777" w:rsidR="00960899" w:rsidRPr="006F39F9" w:rsidRDefault="00960899" w:rsidP="009958CE">
      <w:pPr>
        <w:pStyle w:val="FootnoteText"/>
        <w:rPr>
          <w:rFonts w:ascii="Times New Roman" w:hAnsi="Times New Roman"/>
          <w:sz w:val="18"/>
          <w:szCs w:val="18"/>
        </w:rPr>
      </w:pPr>
      <w:r w:rsidRPr="006F39F9">
        <w:rPr>
          <w:rStyle w:val="FootnoteReference"/>
          <w:rFonts w:ascii="Times New Roman" w:hAnsi="Times New Roman"/>
          <w:sz w:val="18"/>
          <w:szCs w:val="18"/>
        </w:rPr>
        <w:footnoteRef/>
      </w:r>
      <w:r w:rsidRPr="006F39F9">
        <w:rPr>
          <w:rFonts w:ascii="Times New Roman" w:hAnsi="Times New Roman"/>
          <w:sz w:val="18"/>
          <w:szCs w:val="18"/>
        </w:rPr>
        <w:t xml:space="preserve"> Government of Georgia, Ministry of Refugees and Accommodation (2010). IDP Housing Strategy and Working Plan. </w:t>
      </w:r>
      <w:hyperlink r:id="rId21" w:history="1">
        <w:r w:rsidRPr="006F39F9">
          <w:rPr>
            <w:rStyle w:val="Hyperlink"/>
            <w:rFonts w:ascii="Times New Roman" w:hAnsi="Times New Roman"/>
            <w:sz w:val="18"/>
            <w:szCs w:val="18"/>
          </w:rPr>
          <w:t>http://transparency.ge/sites/default/files/post_attachments/2010%20-%20MRA_Housing_Strategy_and_Work_Plan_ENG_0.pdf</w:t>
        </w:r>
      </w:hyperlink>
    </w:p>
  </w:footnote>
  <w:footnote w:id="76">
    <w:p w14:paraId="19456C22" w14:textId="5503B1DD" w:rsidR="00960899" w:rsidRPr="006F39F9" w:rsidRDefault="00960899" w:rsidP="00DF7A85">
      <w:pPr>
        <w:spacing w:after="0"/>
        <w:rPr>
          <w:rFonts w:ascii="Times New Roman" w:hAnsi="Times New Roman" w:cs="Times New Roman"/>
          <w:color w:val="FF0000"/>
          <w:sz w:val="18"/>
          <w:szCs w:val="18"/>
        </w:rPr>
      </w:pPr>
      <w:r w:rsidRPr="00364537">
        <w:rPr>
          <w:rStyle w:val="FootnoteReference"/>
          <w:rFonts w:ascii="Times New Roman" w:hAnsi="Times New Roman" w:cs="Times New Roman"/>
          <w:sz w:val="18"/>
          <w:szCs w:val="18"/>
        </w:rPr>
        <w:footnoteRef/>
      </w:r>
      <w:r w:rsidRPr="00364537">
        <w:rPr>
          <w:rFonts w:ascii="Times New Roman" w:hAnsi="Times New Roman" w:cs="Times New Roman"/>
          <w:sz w:val="18"/>
          <w:szCs w:val="18"/>
        </w:rPr>
        <w:t xml:space="preserve"> </w:t>
      </w:r>
      <w:r>
        <w:rPr>
          <w:rFonts w:ascii="Times New Roman" w:hAnsi="Times New Roman" w:cs="Times New Roman"/>
          <w:sz w:val="18"/>
          <w:szCs w:val="18"/>
        </w:rPr>
        <w:t xml:space="preserve">Ethnographic </w:t>
      </w:r>
      <w:r w:rsidRPr="004D4F1A">
        <w:rPr>
          <w:rFonts w:ascii="Times New Roman" w:hAnsi="Times New Roman" w:cs="Times New Roman"/>
          <w:sz w:val="18"/>
          <w:szCs w:val="18"/>
        </w:rPr>
        <w:t>Case study 2: Inte</w:t>
      </w:r>
      <w:r>
        <w:rPr>
          <w:rFonts w:ascii="Times New Roman" w:hAnsi="Times New Roman" w:cs="Times New Roman"/>
          <w:sz w:val="18"/>
          <w:szCs w:val="18"/>
        </w:rPr>
        <w:t>rview with woman from Tskhinvali Region</w:t>
      </w:r>
      <w:r w:rsidRPr="004D4F1A">
        <w:rPr>
          <w:rFonts w:ascii="Times New Roman" w:hAnsi="Times New Roman" w:cs="Times New Roman"/>
          <w:sz w:val="18"/>
          <w:szCs w:val="18"/>
        </w:rPr>
        <w:t xml:space="preserve"> (</w:t>
      </w:r>
      <w:r>
        <w:rPr>
          <w:rFonts w:ascii="Times New Roman" w:hAnsi="Times New Roman" w:cs="Times New Roman"/>
          <w:sz w:val="18"/>
          <w:szCs w:val="18"/>
        </w:rPr>
        <w:t>displaced in 19</w:t>
      </w:r>
      <w:r w:rsidRPr="004D4F1A">
        <w:rPr>
          <w:rFonts w:ascii="Times New Roman" w:hAnsi="Times New Roman" w:cs="Times New Roman"/>
          <w:sz w:val="18"/>
          <w:szCs w:val="18"/>
        </w:rPr>
        <w:t xml:space="preserve">90s) </w:t>
      </w:r>
    </w:p>
  </w:footnote>
  <w:footnote w:id="77">
    <w:p w14:paraId="17520FB3" w14:textId="2354EC00" w:rsidR="00960899" w:rsidRPr="008E3F75" w:rsidRDefault="00960899" w:rsidP="00DF7A85">
      <w:pPr>
        <w:pStyle w:val="FootnoteText"/>
        <w:rPr>
          <w:rFonts w:ascii="Times New Roman" w:hAnsi="Times New Roman"/>
          <w:sz w:val="18"/>
          <w:szCs w:val="18"/>
        </w:rPr>
      </w:pPr>
      <w:r w:rsidRPr="008E3F75">
        <w:rPr>
          <w:rStyle w:val="FootnoteReference"/>
          <w:rFonts w:ascii="Times New Roman" w:hAnsi="Times New Roman"/>
          <w:sz w:val="18"/>
          <w:szCs w:val="18"/>
        </w:rPr>
        <w:footnoteRef/>
      </w:r>
      <w:r w:rsidRPr="008E3F75">
        <w:rPr>
          <w:rFonts w:ascii="Times New Roman" w:hAnsi="Times New Roman"/>
          <w:sz w:val="18"/>
          <w:szCs w:val="18"/>
        </w:rPr>
        <w:t xml:space="preserve"> Urban IDP from</w:t>
      </w:r>
      <w:r>
        <w:rPr>
          <w:rFonts w:ascii="Times New Roman" w:hAnsi="Times New Roman"/>
          <w:sz w:val="18"/>
          <w:szCs w:val="18"/>
        </w:rPr>
        <w:t xml:space="preserve"> the Abkhazian AR, Telavi, FGD May 2015</w:t>
      </w:r>
    </w:p>
  </w:footnote>
  <w:footnote w:id="78">
    <w:p w14:paraId="4230F41C" w14:textId="77777777" w:rsidR="00960899" w:rsidRDefault="00960899" w:rsidP="00DF7A85">
      <w:pPr>
        <w:pStyle w:val="FootnoteText"/>
      </w:pPr>
      <w:r w:rsidRPr="008E3F75">
        <w:rPr>
          <w:rStyle w:val="FootnoteReference"/>
          <w:rFonts w:ascii="Times New Roman" w:hAnsi="Times New Roman"/>
          <w:sz w:val="18"/>
          <w:szCs w:val="18"/>
        </w:rPr>
        <w:footnoteRef/>
      </w:r>
      <w:r w:rsidRPr="008E3F75">
        <w:rPr>
          <w:rFonts w:ascii="Times New Roman" w:hAnsi="Times New Roman"/>
          <w:sz w:val="18"/>
          <w:szCs w:val="18"/>
        </w:rPr>
        <w:t xml:space="preserve"> Ibid.</w:t>
      </w:r>
    </w:p>
  </w:footnote>
  <w:footnote w:id="79">
    <w:p w14:paraId="6B11A4D8" w14:textId="77777777" w:rsidR="00960899" w:rsidRPr="006F39F9" w:rsidRDefault="00960899" w:rsidP="000C742A">
      <w:pPr>
        <w:pStyle w:val="FootnoteText"/>
        <w:rPr>
          <w:rFonts w:ascii="Times New Roman" w:hAnsi="Times New Roman"/>
          <w:sz w:val="18"/>
          <w:szCs w:val="18"/>
        </w:rPr>
      </w:pPr>
      <w:r w:rsidRPr="006F39F9">
        <w:rPr>
          <w:rStyle w:val="FootnoteReference"/>
          <w:rFonts w:ascii="Times New Roman" w:hAnsi="Times New Roman"/>
          <w:sz w:val="18"/>
          <w:szCs w:val="18"/>
        </w:rPr>
        <w:footnoteRef/>
      </w:r>
      <w:r w:rsidRPr="006F39F9">
        <w:rPr>
          <w:rFonts w:ascii="Times New Roman" w:hAnsi="Times New Roman"/>
          <w:sz w:val="18"/>
          <w:szCs w:val="18"/>
        </w:rPr>
        <w:t xml:space="preserve"> IDPs living in privatized collective centers are classified as privately accommodated </w:t>
      </w:r>
    </w:p>
  </w:footnote>
  <w:footnote w:id="80">
    <w:p w14:paraId="1EEDE809" w14:textId="77777777" w:rsidR="00960899" w:rsidRPr="002328EA" w:rsidRDefault="00960899" w:rsidP="00683D34">
      <w:pPr>
        <w:spacing w:after="0"/>
        <w:rPr>
          <w:rFonts w:ascii="Times New Roman" w:hAnsi="Times New Roman" w:cs="Times New Roman"/>
          <w:sz w:val="18"/>
          <w:szCs w:val="18"/>
        </w:rPr>
      </w:pPr>
      <w:r w:rsidRPr="00D83F7E">
        <w:rPr>
          <w:rStyle w:val="FootnoteReference"/>
          <w:rFonts w:ascii="Times New Roman" w:hAnsi="Times New Roman" w:cs="Times New Roman"/>
          <w:sz w:val="18"/>
          <w:szCs w:val="18"/>
        </w:rPr>
        <w:footnoteRef/>
      </w:r>
      <w:r w:rsidRPr="00D83F7E">
        <w:rPr>
          <w:rFonts w:ascii="Times New Roman" w:hAnsi="Times New Roman" w:cs="Times New Roman"/>
          <w:sz w:val="18"/>
          <w:szCs w:val="18"/>
        </w:rPr>
        <w:t xml:space="preserve"> The Johns Hopkins Bloomberg School of Public Health and the Institute of Policy Studies. (2012). </w:t>
      </w:r>
      <w:r w:rsidRPr="00A67311">
        <w:rPr>
          <w:rFonts w:ascii="Times New Roman" w:hAnsi="Times New Roman" w:cs="Times New Roman"/>
          <w:i/>
          <w:sz w:val="18"/>
          <w:szCs w:val="18"/>
        </w:rPr>
        <w:t>Aging in Displacement: Assessing Health Status of Displaced Older Adults in the Republic of Georgi</w:t>
      </w:r>
      <w:r w:rsidRPr="00D83F7E">
        <w:rPr>
          <w:rFonts w:ascii="Times New Roman" w:hAnsi="Times New Roman" w:cs="Times New Roman"/>
          <w:sz w:val="18"/>
          <w:szCs w:val="18"/>
        </w:rPr>
        <w:t xml:space="preserve">a. </w:t>
      </w:r>
      <w:hyperlink r:id="rId22" w:history="1">
        <w:r w:rsidRPr="00D83F7E">
          <w:rPr>
            <w:rStyle w:val="Hyperlink"/>
            <w:rFonts w:ascii="Times New Roman" w:hAnsi="Times New Roman" w:cs="Times New Roman"/>
            <w:sz w:val="18"/>
            <w:szCs w:val="18"/>
          </w:rPr>
          <w:t>http://www.jhsph.edu/research/centers-and-institutes/center-for-refugee-and-disaster-response/publications_tools/GEORGIA%20PRM%20OLDER%20ADULT%20STUDY%2001May2012.pdf</w:t>
        </w:r>
      </w:hyperlink>
    </w:p>
  </w:footnote>
  <w:footnote w:id="81">
    <w:p w14:paraId="27EB5499" w14:textId="77777777" w:rsidR="00960899" w:rsidRDefault="00960899" w:rsidP="00E60BE5">
      <w:pPr>
        <w:pStyle w:val="FootnoteText"/>
      </w:pPr>
      <w:r w:rsidRPr="00D832D9">
        <w:rPr>
          <w:rStyle w:val="FootnoteReference"/>
          <w:rFonts w:ascii="Times New Roman" w:hAnsi="Times New Roman"/>
          <w:sz w:val="18"/>
          <w:szCs w:val="18"/>
        </w:rPr>
        <w:footnoteRef/>
      </w:r>
      <w:r w:rsidRPr="00D832D9">
        <w:rPr>
          <w:rFonts w:ascii="Times New Roman" w:hAnsi="Times New Roman"/>
          <w:sz w:val="18"/>
          <w:szCs w:val="18"/>
        </w:rPr>
        <w:t xml:space="preserve"> </w:t>
      </w:r>
      <w:r w:rsidRPr="0036006E">
        <w:rPr>
          <w:rFonts w:ascii="Times New Roman" w:hAnsi="Times New Roman"/>
          <w:sz w:val="18"/>
          <w:szCs w:val="18"/>
        </w:rPr>
        <w:t xml:space="preserve">UNHCR (2009). </w:t>
      </w:r>
      <w:r w:rsidRPr="0036006E">
        <w:rPr>
          <w:rFonts w:ascii="Times New Roman" w:hAnsi="Times New Roman"/>
          <w:iCs/>
          <w:sz w:val="18"/>
          <w:szCs w:val="18"/>
        </w:rPr>
        <w:t>Protection of IDPs in Georgia: A Gap Analysis</w:t>
      </w:r>
      <w:r w:rsidRPr="0036006E">
        <w:rPr>
          <w:rFonts w:ascii="Times New Roman" w:hAnsi="Times New Roman"/>
          <w:sz w:val="18"/>
          <w:szCs w:val="18"/>
        </w:rPr>
        <w:t>. Geneva: UNHCR.</w:t>
      </w:r>
      <w:r w:rsidRPr="00D832D9">
        <w:rPr>
          <w:rFonts w:ascii="Times New Roman" w:hAnsi="Times New Roman"/>
          <w:color w:val="414142"/>
          <w:sz w:val="18"/>
          <w:szCs w:val="18"/>
        </w:rPr>
        <w:t xml:space="preserve"> </w:t>
      </w:r>
      <w:hyperlink r:id="rId23" w:history="1">
        <w:r w:rsidRPr="00D832D9">
          <w:rPr>
            <w:rStyle w:val="Hyperlink"/>
            <w:rFonts w:ascii="Times New Roman" w:hAnsi="Times New Roman"/>
            <w:sz w:val="18"/>
            <w:szCs w:val="18"/>
          </w:rPr>
          <w:t>http://www.unhcr.org/4ad827f59.pdf</w:t>
        </w:r>
      </w:hyperlink>
      <w:r w:rsidRPr="00D832D9">
        <w:rPr>
          <w:rFonts w:ascii="Times New Roman" w:hAnsi="Times New Roman"/>
          <w:color w:val="414142"/>
          <w:sz w:val="18"/>
          <w:szCs w:val="18"/>
        </w:rPr>
        <w:t>.</w:t>
      </w:r>
    </w:p>
  </w:footnote>
  <w:footnote w:id="82">
    <w:p w14:paraId="041F4610" w14:textId="77777777" w:rsidR="00960899" w:rsidRPr="003D304C" w:rsidRDefault="00960899" w:rsidP="00534D9C">
      <w:pPr>
        <w:pStyle w:val="FootnoteText"/>
        <w:rPr>
          <w:rFonts w:asciiTheme="minorHAnsi" w:hAnsiTheme="minorHAnsi"/>
          <w:sz w:val="18"/>
          <w:szCs w:val="18"/>
        </w:rPr>
      </w:pPr>
      <w:r w:rsidRPr="003D304C">
        <w:rPr>
          <w:rStyle w:val="FootnoteReference"/>
          <w:rFonts w:asciiTheme="minorHAnsi" w:hAnsiTheme="minorHAnsi"/>
          <w:sz w:val="18"/>
          <w:szCs w:val="18"/>
        </w:rPr>
        <w:footnoteRef/>
      </w:r>
      <w:r w:rsidRPr="003D304C">
        <w:rPr>
          <w:rFonts w:asciiTheme="minorHAnsi" w:hAnsiTheme="minorHAnsi"/>
          <w:sz w:val="18"/>
          <w:szCs w:val="18"/>
        </w:rPr>
        <w:t xml:space="preserve"> The World Bank. (2013). Supporting the livelihoods of Internally Displaced Persons in Georgia. </w:t>
      </w:r>
      <w:hyperlink r:id="rId24" w:history="1">
        <w:r w:rsidRPr="003D304C">
          <w:rPr>
            <w:rStyle w:val="Hyperlink"/>
            <w:rFonts w:asciiTheme="minorHAnsi" w:hAnsiTheme="minorHAnsi"/>
            <w:sz w:val="18"/>
            <w:szCs w:val="18"/>
          </w:rPr>
          <w:t>http://imagebank.worldbank.org/servlet/WDSContentServer/IW3P/IB/2013/07/03/000333037_20130703101637/Rendered/PDF/791740WP0Georg0Box0377356B00PUBLIC0.pdf</w:t>
        </w:r>
      </w:hyperlink>
    </w:p>
  </w:footnote>
  <w:footnote w:id="83">
    <w:p w14:paraId="3ECF7AED" w14:textId="77777777" w:rsidR="00960899" w:rsidRPr="003D304C" w:rsidRDefault="00960899" w:rsidP="004D4F1A">
      <w:pPr>
        <w:pStyle w:val="FootnoteText"/>
        <w:jc w:val="left"/>
        <w:rPr>
          <w:rFonts w:asciiTheme="minorHAnsi" w:hAnsiTheme="minorHAnsi"/>
          <w:sz w:val="18"/>
          <w:szCs w:val="18"/>
        </w:rPr>
      </w:pPr>
      <w:r w:rsidRPr="003D304C">
        <w:rPr>
          <w:rStyle w:val="FootnoteReference"/>
          <w:rFonts w:asciiTheme="minorHAnsi" w:hAnsiTheme="minorHAnsi"/>
          <w:sz w:val="18"/>
          <w:szCs w:val="18"/>
        </w:rPr>
        <w:footnoteRef/>
      </w:r>
      <w:r w:rsidRPr="003D304C">
        <w:rPr>
          <w:rFonts w:asciiTheme="minorHAnsi" w:hAnsiTheme="minorHAnsi"/>
          <w:sz w:val="18"/>
          <w:szCs w:val="18"/>
        </w:rPr>
        <w:t xml:space="preserve"> The World Bank. (2013). Supporting the livelihoods of Internally Displaced Persons in Georgia. </w:t>
      </w:r>
      <w:hyperlink r:id="rId25" w:history="1">
        <w:r w:rsidRPr="003D304C">
          <w:rPr>
            <w:rStyle w:val="Hyperlink"/>
            <w:rFonts w:asciiTheme="minorHAnsi" w:hAnsiTheme="minorHAnsi"/>
            <w:sz w:val="18"/>
            <w:szCs w:val="18"/>
          </w:rPr>
          <w:t>http://imagebank.worldbank.org/servlet/WDSContentServer/IW3P/IB/2013/07/03/000333037_20130703101637/Rendered/PDF/791740WP0Georg0Box0377356B00PUBLIC0.pdf</w:t>
        </w:r>
      </w:hyperlink>
    </w:p>
  </w:footnote>
  <w:footnote w:id="84">
    <w:p w14:paraId="38ABA8E5" w14:textId="77777777" w:rsidR="00960899" w:rsidRPr="002043F4" w:rsidRDefault="00960899" w:rsidP="004D4F1A">
      <w:pPr>
        <w:pStyle w:val="FootnoteText"/>
        <w:jc w:val="left"/>
        <w:rPr>
          <w:rFonts w:ascii="Times New Roman" w:hAnsi="Times New Roman"/>
          <w:sz w:val="18"/>
          <w:szCs w:val="18"/>
        </w:rPr>
      </w:pPr>
      <w:r w:rsidRPr="003D304C">
        <w:rPr>
          <w:rStyle w:val="FootnoteReference"/>
          <w:rFonts w:asciiTheme="minorHAnsi" w:hAnsiTheme="minorHAnsi"/>
          <w:sz w:val="18"/>
          <w:szCs w:val="18"/>
        </w:rPr>
        <w:footnoteRef/>
      </w:r>
      <w:r w:rsidRPr="003D304C">
        <w:rPr>
          <w:rFonts w:asciiTheme="minorHAnsi" w:hAnsiTheme="minorHAnsi"/>
          <w:sz w:val="18"/>
          <w:szCs w:val="18"/>
        </w:rPr>
        <w:t xml:space="preserve"> Ibid</w:t>
      </w:r>
    </w:p>
  </w:footnote>
  <w:footnote w:id="85">
    <w:p w14:paraId="2C7B2804" w14:textId="77777777" w:rsidR="00960899" w:rsidRPr="002043F4" w:rsidRDefault="00960899" w:rsidP="004D4F1A">
      <w:pPr>
        <w:pStyle w:val="FootnoteText"/>
        <w:jc w:val="left"/>
        <w:rPr>
          <w:rFonts w:ascii="Times New Roman" w:hAnsi="Times New Roman"/>
          <w:sz w:val="18"/>
          <w:szCs w:val="18"/>
        </w:rPr>
      </w:pPr>
      <w:r w:rsidRPr="002043F4">
        <w:rPr>
          <w:rStyle w:val="FootnoteReference"/>
          <w:rFonts w:ascii="Times New Roman" w:hAnsi="Times New Roman"/>
          <w:sz w:val="18"/>
          <w:szCs w:val="18"/>
        </w:rPr>
        <w:footnoteRef/>
      </w:r>
      <w:r>
        <w:rPr>
          <w:rFonts w:ascii="Times New Roman" w:hAnsi="Times New Roman"/>
          <w:sz w:val="18"/>
          <w:szCs w:val="18"/>
        </w:rPr>
        <w:t xml:space="preserve"> I</w:t>
      </w:r>
      <w:r w:rsidRPr="002043F4">
        <w:rPr>
          <w:rFonts w:ascii="Times New Roman" w:hAnsi="Times New Roman"/>
          <w:sz w:val="18"/>
          <w:szCs w:val="18"/>
        </w:rPr>
        <w:t>bid</w:t>
      </w:r>
    </w:p>
  </w:footnote>
  <w:footnote w:id="86">
    <w:p w14:paraId="0BBAFE98" w14:textId="77777777" w:rsidR="00960899" w:rsidRPr="00832F4B" w:rsidRDefault="00960899" w:rsidP="004D4F1A">
      <w:pPr>
        <w:pStyle w:val="FootnoteText"/>
        <w:jc w:val="left"/>
        <w:rPr>
          <w:rFonts w:ascii="Times New Roman" w:hAnsi="Times New Roman"/>
          <w:sz w:val="18"/>
          <w:szCs w:val="18"/>
        </w:rPr>
      </w:pPr>
      <w:r w:rsidRPr="00832F4B">
        <w:rPr>
          <w:rStyle w:val="FootnoteReference"/>
          <w:rFonts w:ascii="Times New Roman" w:hAnsi="Times New Roman"/>
          <w:sz w:val="18"/>
          <w:szCs w:val="18"/>
        </w:rPr>
        <w:footnoteRef/>
      </w:r>
      <w:r w:rsidRPr="00832F4B">
        <w:rPr>
          <w:rFonts w:ascii="Times New Roman" w:hAnsi="Times New Roman"/>
          <w:sz w:val="18"/>
          <w:szCs w:val="18"/>
        </w:rPr>
        <w:t xml:space="preserve"> Ibid</w:t>
      </w:r>
    </w:p>
  </w:footnote>
  <w:footnote w:id="87">
    <w:p w14:paraId="1FC5B83B" w14:textId="77777777" w:rsidR="00960899" w:rsidRPr="000861BE" w:rsidRDefault="00960899" w:rsidP="006712A0">
      <w:pPr>
        <w:pStyle w:val="NormalWeb"/>
        <w:spacing w:before="0" w:beforeAutospacing="0" w:after="0" w:afterAutospacing="0"/>
        <w:rPr>
          <w:rFonts w:ascii="Times New Roman" w:hAnsi="Times New Roman"/>
          <w:sz w:val="18"/>
          <w:szCs w:val="18"/>
        </w:rPr>
      </w:pPr>
      <w:r w:rsidRPr="00832F4B">
        <w:rPr>
          <w:rStyle w:val="FootnoteReference"/>
          <w:rFonts w:ascii="Times New Roman" w:hAnsi="Times New Roman"/>
          <w:sz w:val="18"/>
          <w:szCs w:val="18"/>
        </w:rPr>
        <w:footnoteRef/>
      </w:r>
      <w:r w:rsidRPr="00832F4B">
        <w:rPr>
          <w:rFonts w:ascii="Times New Roman" w:hAnsi="Times New Roman"/>
          <w:sz w:val="18"/>
          <w:szCs w:val="18"/>
        </w:rPr>
        <w:t xml:space="preserve"> UNHCR (2010). Universal Periodic Review for Georgia. http://lib.ohchr.org/HRBodies/UPR/Documents/Session10/GE/UNHCR_UNHigh</w:t>
      </w:r>
      <w:r>
        <w:rPr>
          <w:rFonts w:ascii="Times New Roman" w:hAnsi="Times New Roman"/>
          <w:sz w:val="18"/>
          <w:szCs w:val="18"/>
        </w:rPr>
        <w:t>CommissionerforRefugees-eng.pdf</w:t>
      </w:r>
    </w:p>
  </w:footnote>
  <w:footnote w:id="88">
    <w:p w14:paraId="7F396CF2" w14:textId="77777777" w:rsidR="00960899" w:rsidRDefault="00960899" w:rsidP="004D4F1A">
      <w:pPr>
        <w:pStyle w:val="FootnoteText"/>
        <w:jc w:val="left"/>
      </w:pPr>
      <w:r w:rsidRPr="00562841">
        <w:rPr>
          <w:rStyle w:val="FootnoteReference"/>
          <w:rFonts w:ascii="Times New Roman" w:hAnsi="Times New Roman"/>
          <w:sz w:val="18"/>
          <w:szCs w:val="18"/>
        </w:rPr>
        <w:footnoteRef/>
      </w:r>
      <w:r w:rsidRPr="00562841">
        <w:rPr>
          <w:rFonts w:ascii="Times New Roman" w:hAnsi="Times New Roman"/>
          <w:sz w:val="18"/>
          <w:szCs w:val="18"/>
        </w:rPr>
        <w:t xml:space="preserve"> The World Bank. (2013). Supporting the livelihoods of Internally Displaced Persons in Georgia. </w:t>
      </w:r>
      <w:hyperlink r:id="rId26" w:history="1">
        <w:r w:rsidRPr="00BD7B6C">
          <w:rPr>
            <w:rStyle w:val="Hyperlink"/>
            <w:rFonts w:ascii="Times New Roman" w:hAnsi="Times New Roman"/>
            <w:sz w:val="18"/>
            <w:szCs w:val="18"/>
          </w:rPr>
          <w:t>http://imagebank.worldbank.org/servlet/WDSContentServer/IW3P/IB/2013/07/03/000333037_20130703101637/Rendered/PDF/791740WP0Georg0Box0377356B00PUBLIC0.pdf</w:t>
        </w:r>
      </w:hyperlink>
    </w:p>
  </w:footnote>
  <w:footnote w:id="89">
    <w:p w14:paraId="591584FC" w14:textId="77777777" w:rsidR="00960899" w:rsidRPr="005205D6" w:rsidRDefault="00960899" w:rsidP="004D4F1A">
      <w:pPr>
        <w:pStyle w:val="FootnoteText"/>
        <w:jc w:val="left"/>
        <w:rPr>
          <w:rFonts w:ascii="Times New Roman" w:hAnsi="Times New Roman"/>
          <w:sz w:val="18"/>
          <w:szCs w:val="18"/>
        </w:rPr>
      </w:pPr>
      <w:r w:rsidRPr="005205D6">
        <w:rPr>
          <w:rStyle w:val="FootnoteReference"/>
          <w:rFonts w:ascii="Times New Roman" w:hAnsi="Times New Roman"/>
          <w:sz w:val="18"/>
          <w:szCs w:val="18"/>
        </w:rPr>
        <w:footnoteRef/>
      </w:r>
      <w:r w:rsidRPr="005205D6">
        <w:rPr>
          <w:rFonts w:ascii="Times New Roman" w:hAnsi="Times New Roman"/>
          <w:sz w:val="18"/>
          <w:szCs w:val="18"/>
        </w:rPr>
        <w:t xml:space="preserve"> </w:t>
      </w:r>
      <w:r w:rsidRPr="005205D6">
        <w:rPr>
          <w:rFonts w:ascii="Times New Roman" w:hAnsi="Times New Roman"/>
          <w:color w:val="414142"/>
          <w:sz w:val="18"/>
          <w:szCs w:val="18"/>
        </w:rPr>
        <w:t xml:space="preserve">UNHCR (2009). </w:t>
      </w:r>
      <w:r w:rsidRPr="005205D6">
        <w:rPr>
          <w:rFonts w:ascii="Times New Roman" w:hAnsi="Times New Roman"/>
          <w:iCs/>
          <w:color w:val="414142"/>
          <w:sz w:val="18"/>
          <w:szCs w:val="18"/>
        </w:rPr>
        <w:t>Protection of IDPs in Georgia: A Gap Analysis</w:t>
      </w:r>
      <w:r w:rsidRPr="005205D6">
        <w:rPr>
          <w:rFonts w:ascii="Times New Roman" w:hAnsi="Times New Roman"/>
          <w:color w:val="414142"/>
          <w:sz w:val="18"/>
          <w:szCs w:val="18"/>
        </w:rPr>
        <w:t xml:space="preserve">. Geneva: UNHCR. </w:t>
      </w:r>
      <w:hyperlink r:id="rId27" w:history="1">
        <w:r w:rsidRPr="005205D6">
          <w:rPr>
            <w:rStyle w:val="Hyperlink"/>
            <w:rFonts w:ascii="Times New Roman" w:hAnsi="Times New Roman"/>
            <w:sz w:val="18"/>
            <w:szCs w:val="18"/>
          </w:rPr>
          <w:t>http://www.unhcr.org/4ad827f59.pdf</w:t>
        </w:r>
      </w:hyperlink>
      <w:r w:rsidRPr="005205D6">
        <w:rPr>
          <w:rFonts w:ascii="Times New Roman" w:hAnsi="Times New Roman"/>
          <w:color w:val="414142"/>
          <w:sz w:val="18"/>
          <w:szCs w:val="18"/>
        </w:rPr>
        <w:t>.</w:t>
      </w:r>
    </w:p>
  </w:footnote>
  <w:footnote w:id="90">
    <w:p w14:paraId="299BA82A" w14:textId="77777777" w:rsidR="00960899" w:rsidRPr="005205D6" w:rsidRDefault="00960899" w:rsidP="004D4F1A">
      <w:pPr>
        <w:pStyle w:val="FootnoteText"/>
        <w:jc w:val="left"/>
        <w:rPr>
          <w:rFonts w:ascii="Times New Roman" w:hAnsi="Times New Roman"/>
          <w:sz w:val="18"/>
          <w:szCs w:val="18"/>
        </w:rPr>
      </w:pPr>
      <w:r w:rsidRPr="005205D6">
        <w:rPr>
          <w:rStyle w:val="FootnoteReference"/>
          <w:rFonts w:ascii="Times New Roman" w:hAnsi="Times New Roman"/>
          <w:sz w:val="18"/>
          <w:szCs w:val="18"/>
        </w:rPr>
        <w:footnoteRef/>
      </w:r>
      <w:r w:rsidRPr="005205D6">
        <w:rPr>
          <w:rFonts w:ascii="Times New Roman" w:hAnsi="Times New Roman"/>
          <w:sz w:val="18"/>
          <w:szCs w:val="18"/>
        </w:rPr>
        <w:t xml:space="preserve"> Ibid</w:t>
      </w:r>
    </w:p>
  </w:footnote>
  <w:footnote w:id="91">
    <w:p w14:paraId="386F838D" w14:textId="77777777" w:rsidR="00960899" w:rsidRPr="0012089B" w:rsidRDefault="00960899" w:rsidP="001B2715">
      <w:pPr>
        <w:pStyle w:val="FootnoteText"/>
        <w:rPr>
          <w:rFonts w:ascii="Times New Roman" w:hAnsi="Times New Roman"/>
          <w:sz w:val="18"/>
          <w:szCs w:val="18"/>
        </w:rPr>
      </w:pPr>
      <w:r w:rsidRPr="0012089B">
        <w:rPr>
          <w:rStyle w:val="FootnoteReference"/>
          <w:rFonts w:ascii="Times New Roman" w:hAnsi="Times New Roman"/>
          <w:sz w:val="18"/>
          <w:szCs w:val="18"/>
        </w:rPr>
        <w:footnoteRef/>
      </w:r>
      <w:r w:rsidRPr="0012089B">
        <w:rPr>
          <w:rFonts w:ascii="Times New Roman" w:hAnsi="Times New Roman"/>
          <w:sz w:val="18"/>
          <w:szCs w:val="18"/>
        </w:rPr>
        <w:t xml:space="preserve"> 45 GEL, </w:t>
      </w:r>
      <w:r>
        <w:rPr>
          <w:rFonts w:ascii="Times New Roman" w:hAnsi="Times New Roman"/>
          <w:sz w:val="18"/>
          <w:szCs w:val="18"/>
        </w:rPr>
        <w:t xml:space="preserve">Georgian </w:t>
      </w:r>
      <w:r w:rsidRPr="0012089B">
        <w:rPr>
          <w:rFonts w:ascii="Times New Roman" w:hAnsi="Times New Roman"/>
          <w:sz w:val="18"/>
          <w:szCs w:val="18"/>
        </w:rPr>
        <w:t xml:space="preserve">Law on IDPs, available at </w:t>
      </w:r>
      <w:hyperlink r:id="rId28" w:history="1">
        <w:r w:rsidRPr="003119CB">
          <w:rPr>
            <w:rStyle w:val="Hyperlink"/>
            <w:rFonts w:ascii="Times New Roman" w:hAnsi="Times New Roman"/>
            <w:sz w:val="18"/>
            <w:szCs w:val="18"/>
          </w:rPr>
          <w:t>http://mra.gov.ge/res/docs/201406171444442634.pdf</w:t>
        </w:r>
      </w:hyperlink>
      <w:r>
        <w:rPr>
          <w:rFonts w:ascii="Times New Roman" w:hAnsi="Times New Roman"/>
          <w:sz w:val="18"/>
          <w:szCs w:val="18"/>
        </w:rPr>
        <w:t>.</w:t>
      </w:r>
    </w:p>
  </w:footnote>
  <w:footnote w:id="92">
    <w:p w14:paraId="538F2D52" w14:textId="77777777" w:rsidR="00960899" w:rsidRDefault="00960899" w:rsidP="001F1D19">
      <w:pPr>
        <w:pStyle w:val="FootnoteText"/>
      </w:pPr>
      <w:r>
        <w:rPr>
          <w:rStyle w:val="FootnoteReference"/>
        </w:rPr>
        <w:footnoteRef/>
      </w:r>
      <w:r>
        <w:t xml:space="preserve"> IDP (receiving targeted social assistance), Tbilisi, FGD May 2015</w:t>
      </w:r>
    </w:p>
  </w:footnote>
  <w:footnote w:id="93">
    <w:p w14:paraId="36CA895E" w14:textId="77777777" w:rsidR="00960899" w:rsidRDefault="00960899" w:rsidP="00D156FD">
      <w:pPr>
        <w:pStyle w:val="FootnoteText"/>
      </w:pPr>
      <w:r>
        <w:rPr>
          <w:rStyle w:val="FootnoteReference"/>
        </w:rPr>
        <w:footnoteRef/>
      </w:r>
      <w:r>
        <w:t xml:space="preserve"> Ibid</w:t>
      </w:r>
    </w:p>
  </w:footnote>
  <w:footnote w:id="94">
    <w:p w14:paraId="1304A82E" w14:textId="77777777" w:rsidR="00960899" w:rsidRDefault="00960899" w:rsidP="00D156FD">
      <w:pPr>
        <w:pStyle w:val="FootnoteText"/>
      </w:pPr>
      <w:r>
        <w:rPr>
          <w:rStyle w:val="FootnoteReference"/>
        </w:rPr>
        <w:footnoteRef/>
      </w:r>
      <w:r>
        <w:t xml:space="preserve"> Ibid</w:t>
      </w:r>
    </w:p>
  </w:footnote>
  <w:footnote w:id="95">
    <w:p w14:paraId="34B495B3" w14:textId="77777777" w:rsidR="00960899" w:rsidRDefault="00960899" w:rsidP="00D156FD">
      <w:pPr>
        <w:pStyle w:val="FootnoteText"/>
      </w:pPr>
      <w:r>
        <w:rPr>
          <w:rStyle w:val="FootnoteReference"/>
        </w:rPr>
        <w:footnoteRef/>
      </w:r>
      <w:r>
        <w:t xml:space="preserve"> Rural IDP, Zugdidi, FGD May 2015</w:t>
      </w:r>
    </w:p>
  </w:footnote>
  <w:footnote w:id="96">
    <w:p w14:paraId="0EDFB538" w14:textId="77777777" w:rsidR="00960899" w:rsidRDefault="00960899" w:rsidP="00D156FD">
      <w:pPr>
        <w:pStyle w:val="FootnoteText"/>
      </w:pPr>
      <w:r>
        <w:rPr>
          <w:rStyle w:val="FootnoteReference"/>
        </w:rPr>
        <w:footnoteRef/>
      </w:r>
      <w:r>
        <w:t xml:space="preserve"> Ibid.</w:t>
      </w:r>
    </w:p>
  </w:footnote>
  <w:footnote w:id="97">
    <w:p w14:paraId="3737D9DF" w14:textId="77777777" w:rsidR="00960899" w:rsidRDefault="00960899" w:rsidP="00D156FD">
      <w:pPr>
        <w:pStyle w:val="FootnoteText"/>
      </w:pPr>
      <w:r>
        <w:rPr>
          <w:rStyle w:val="FootnoteReference"/>
        </w:rPr>
        <w:footnoteRef/>
      </w:r>
      <w:r>
        <w:t xml:space="preserve"> Non-IDP, Tbilisi FGD May 2015</w:t>
      </w:r>
    </w:p>
  </w:footnote>
  <w:footnote w:id="98">
    <w:p w14:paraId="74AE0026" w14:textId="77777777" w:rsidR="00960899" w:rsidRDefault="00960899" w:rsidP="00167864">
      <w:pPr>
        <w:pStyle w:val="FootnoteText"/>
      </w:pPr>
      <w:r>
        <w:rPr>
          <w:rStyle w:val="FootnoteReference"/>
        </w:rPr>
        <w:footnoteRef/>
      </w:r>
      <w:r>
        <w:t xml:space="preserve"> IDP (receiving targeted social assistance), Tbilisi, FGD May 2015</w:t>
      </w:r>
    </w:p>
  </w:footnote>
  <w:footnote w:id="99">
    <w:p w14:paraId="52489E3A" w14:textId="77777777" w:rsidR="00960899" w:rsidRDefault="00960899" w:rsidP="00167864">
      <w:pPr>
        <w:pStyle w:val="FootnoteText"/>
      </w:pPr>
      <w:r>
        <w:rPr>
          <w:rStyle w:val="FootnoteReference"/>
        </w:rPr>
        <w:footnoteRef/>
      </w:r>
      <w:r>
        <w:t xml:space="preserve"> IDP (receiving IDP benefit), Tbilisi FGD May 2015</w:t>
      </w:r>
    </w:p>
  </w:footnote>
  <w:footnote w:id="100">
    <w:p w14:paraId="46EAEA9E" w14:textId="77777777" w:rsidR="00960899" w:rsidRDefault="00960899" w:rsidP="00167864">
      <w:pPr>
        <w:pStyle w:val="FootnoteText"/>
      </w:pPr>
      <w:r>
        <w:rPr>
          <w:rStyle w:val="FootnoteReference"/>
        </w:rPr>
        <w:footnoteRef/>
      </w:r>
      <w:r>
        <w:t xml:space="preserve"> IDP (receiving IDP benefit), Tbilisi FGD May 2015</w:t>
      </w:r>
    </w:p>
  </w:footnote>
  <w:footnote w:id="101">
    <w:p w14:paraId="13E3FA01" w14:textId="77777777" w:rsidR="00960899" w:rsidRPr="00D068E2" w:rsidRDefault="00960899" w:rsidP="00167864">
      <w:pPr>
        <w:pStyle w:val="FootnoteText"/>
        <w:rPr>
          <w:sz w:val="18"/>
          <w:szCs w:val="18"/>
        </w:rPr>
      </w:pPr>
      <w:r w:rsidRPr="00F51AB7">
        <w:rPr>
          <w:sz w:val="18"/>
          <w:szCs w:val="18"/>
        </w:rPr>
        <w:footnoteRef/>
      </w:r>
      <w:r w:rsidRPr="00F51AB7">
        <w:rPr>
          <w:sz w:val="18"/>
          <w:szCs w:val="18"/>
        </w:rPr>
        <w:t xml:space="preserve">  FGD Samegrelo</w:t>
      </w:r>
      <w:r>
        <w:rPr>
          <w:sz w:val="18"/>
          <w:szCs w:val="18"/>
        </w:rPr>
        <w:t>-</w:t>
      </w:r>
      <w:r w:rsidRPr="00F51AB7">
        <w:rPr>
          <w:sz w:val="18"/>
          <w:szCs w:val="18"/>
        </w:rPr>
        <w:t>Urban, IDPs having no IDP allowance, living in private housing (higher income 1250 GEL+ )</w:t>
      </w:r>
    </w:p>
  </w:footnote>
  <w:footnote w:id="102">
    <w:p w14:paraId="49EA10ED" w14:textId="77777777" w:rsidR="00960899" w:rsidRDefault="00960899" w:rsidP="00167864">
      <w:pPr>
        <w:pStyle w:val="FootnoteText"/>
      </w:pPr>
    </w:p>
  </w:footnote>
  <w:footnote w:id="103">
    <w:p w14:paraId="33982492" w14:textId="77777777" w:rsidR="00960899" w:rsidRDefault="00960899" w:rsidP="00167864">
      <w:pPr>
        <w:pStyle w:val="FootnoteText"/>
      </w:pPr>
      <w:r>
        <w:rPr>
          <w:rStyle w:val="FootnoteReference"/>
        </w:rPr>
        <w:footnoteRef/>
      </w:r>
      <w:r>
        <w:t xml:space="preserve"> IDI interview </w:t>
      </w:r>
    </w:p>
  </w:footnote>
  <w:footnote w:id="104">
    <w:p w14:paraId="4FE919FA" w14:textId="77777777" w:rsidR="00960899" w:rsidRPr="004B345E" w:rsidRDefault="00960899" w:rsidP="004C5FB3">
      <w:pPr>
        <w:pStyle w:val="FootnoteText"/>
        <w:rPr>
          <w:rFonts w:ascii="Times New Roman" w:hAnsi="Times New Roman"/>
          <w:sz w:val="18"/>
          <w:szCs w:val="18"/>
        </w:rPr>
      </w:pPr>
      <w:r w:rsidRPr="004B345E">
        <w:rPr>
          <w:rStyle w:val="FootnoteReference"/>
          <w:rFonts w:ascii="Times New Roman" w:hAnsi="Times New Roman"/>
          <w:sz w:val="18"/>
          <w:szCs w:val="18"/>
        </w:rPr>
        <w:footnoteRef/>
      </w:r>
      <w:r w:rsidRPr="004B345E">
        <w:rPr>
          <w:rFonts w:ascii="Times New Roman" w:hAnsi="Times New Roman"/>
          <w:sz w:val="18"/>
          <w:szCs w:val="18"/>
        </w:rPr>
        <w:t xml:space="preserve"> Rural IDP, Zugdidi, FGD May 2015</w:t>
      </w:r>
    </w:p>
  </w:footnote>
  <w:footnote w:id="105">
    <w:p w14:paraId="3C9677F1" w14:textId="77777777" w:rsidR="00960899" w:rsidRDefault="00960899" w:rsidP="004C5FB3">
      <w:pPr>
        <w:pStyle w:val="FootnoteText"/>
      </w:pPr>
      <w:r>
        <w:rPr>
          <w:rStyle w:val="FootnoteReference"/>
        </w:rPr>
        <w:footnoteRef/>
      </w:r>
      <w:r>
        <w:t xml:space="preserve"> </w:t>
      </w:r>
      <w:r w:rsidRPr="004B345E">
        <w:rPr>
          <w:rFonts w:ascii="Times New Roman" w:hAnsi="Times New Roman"/>
          <w:sz w:val="18"/>
          <w:szCs w:val="18"/>
        </w:rPr>
        <w:t>Urban IDP, Tbilisi, FGD May 2015</w:t>
      </w:r>
    </w:p>
  </w:footnote>
  <w:footnote w:id="106">
    <w:p w14:paraId="73843682" w14:textId="77777777" w:rsidR="00960899" w:rsidRDefault="00960899">
      <w:pPr>
        <w:pStyle w:val="FootnoteText"/>
      </w:pPr>
      <w:r>
        <w:rPr>
          <w:rStyle w:val="FootnoteReference"/>
        </w:rPr>
        <w:footnoteRef/>
      </w:r>
      <w:r>
        <w:t xml:space="preserve"> Amnesty International (2010). In the Waiting Room: Internally Displaced People in Georgia. </w:t>
      </w:r>
      <w:r w:rsidRPr="00DA002C">
        <w:t>http://www.refworld.org/pdfid/4c5fc1952.pdf</w:t>
      </w:r>
    </w:p>
  </w:footnote>
  <w:footnote w:id="107">
    <w:p w14:paraId="322C10E3" w14:textId="77777777" w:rsidR="00960899" w:rsidRDefault="00960899">
      <w:pPr>
        <w:pStyle w:val="FootnoteText"/>
      </w:pPr>
      <w:r>
        <w:rPr>
          <w:rStyle w:val="FootnoteReference"/>
        </w:rPr>
        <w:footnoteRef/>
      </w:r>
      <w:r>
        <w:t xml:space="preserve"> Ibid</w:t>
      </w:r>
    </w:p>
  </w:footnote>
  <w:footnote w:id="108">
    <w:p w14:paraId="79347223" w14:textId="3193D800" w:rsidR="00960899" w:rsidRPr="00CD080A" w:rsidRDefault="00960899">
      <w:pPr>
        <w:pStyle w:val="FootnoteText"/>
      </w:pPr>
      <w:r>
        <w:rPr>
          <w:rStyle w:val="FootnoteReference"/>
        </w:rPr>
        <w:footnoteRef/>
      </w:r>
      <w:r>
        <w:t xml:space="preserve"> Christensen, A. and Harild, N. 2009. </w:t>
      </w:r>
      <w:r>
        <w:rPr>
          <w:i/>
        </w:rPr>
        <w:t>Forced Displacement – The Development Challenge.</w:t>
      </w:r>
      <w:r>
        <w:t xml:space="preserve"> World Bank, Washington DC.</w:t>
      </w:r>
    </w:p>
  </w:footnote>
  <w:footnote w:id="109">
    <w:p w14:paraId="0C7A8D21" w14:textId="15BB5A49" w:rsidR="00960899" w:rsidRDefault="00960899" w:rsidP="00672E6F">
      <w:pPr>
        <w:pStyle w:val="FootnoteText"/>
      </w:pPr>
      <w:r>
        <w:rPr>
          <w:rStyle w:val="FootnoteReference"/>
        </w:rPr>
        <w:footnoteRef/>
      </w:r>
      <w:r>
        <w:t xml:space="preserve"> </w:t>
      </w:r>
      <w:r w:rsidRPr="00353CAB">
        <w:rPr>
          <w:rFonts w:ascii="Times New Roman" w:hAnsi="Times New Roman"/>
          <w:sz w:val="16"/>
          <w:szCs w:val="16"/>
        </w:rPr>
        <w:t>http://www.parliament.ge/files/68_1944_951190_CONSTIT_27_12.06.pdf</w:t>
      </w:r>
    </w:p>
  </w:footnote>
  <w:footnote w:id="110">
    <w:p w14:paraId="419425EF" w14:textId="77777777" w:rsidR="00960899" w:rsidRPr="001E27C6" w:rsidRDefault="00960899" w:rsidP="00672E6F">
      <w:pPr>
        <w:pStyle w:val="FootnoteText"/>
        <w:rPr>
          <w:rFonts w:ascii="Times New Roman" w:hAnsi="Times New Roman"/>
          <w:sz w:val="16"/>
          <w:szCs w:val="16"/>
        </w:rPr>
      </w:pPr>
      <w:r w:rsidRPr="001E27C6">
        <w:rPr>
          <w:rStyle w:val="FootnoteReference"/>
          <w:rFonts w:ascii="Times New Roman" w:hAnsi="Times New Roman"/>
          <w:sz w:val="16"/>
          <w:szCs w:val="16"/>
        </w:rPr>
        <w:footnoteRef/>
      </w:r>
      <w:r w:rsidRPr="001E27C6">
        <w:rPr>
          <w:rFonts w:ascii="Times New Roman" w:hAnsi="Times New Roman"/>
          <w:sz w:val="16"/>
          <w:szCs w:val="16"/>
        </w:rPr>
        <w:t xml:space="preserve"> Available at http://mra.gov.ge/res/docs/201406171444442634.pdf</w:t>
      </w:r>
    </w:p>
  </w:footnote>
  <w:footnote w:id="111">
    <w:p w14:paraId="6B80070E" w14:textId="77777777" w:rsidR="00960899" w:rsidRPr="00D45692" w:rsidRDefault="00960899" w:rsidP="00672E6F">
      <w:pPr>
        <w:pStyle w:val="FootnoteText"/>
        <w:rPr>
          <w:rFonts w:ascii="Times New Roman" w:hAnsi="Times New Roman"/>
          <w:sz w:val="18"/>
          <w:szCs w:val="18"/>
        </w:rPr>
      </w:pPr>
      <w:r w:rsidRPr="001E27C6">
        <w:rPr>
          <w:rStyle w:val="FootnoteReference"/>
          <w:rFonts w:ascii="Times New Roman" w:hAnsi="Times New Roman"/>
          <w:sz w:val="16"/>
          <w:szCs w:val="16"/>
        </w:rPr>
        <w:footnoteRef/>
      </w:r>
      <w:r w:rsidRPr="001E27C6">
        <w:rPr>
          <w:rFonts w:ascii="Times New Roman" w:hAnsi="Times New Roman"/>
          <w:sz w:val="16"/>
          <w:szCs w:val="16"/>
        </w:rPr>
        <w:t xml:space="preserve"> http://mra.gov.ge/eng/static/3421</w:t>
      </w:r>
    </w:p>
  </w:footnote>
  <w:footnote w:id="112">
    <w:p w14:paraId="299B9DFF" w14:textId="77777777" w:rsidR="00960899" w:rsidRPr="001E27C6" w:rsidRDefault="00960899" w:rsidP="00672E6F">
      <w:pPr>
        <w:pStyle w:val="NoSpacing"/>
        <w:jc w:val="both"/>
        <w:rPr>
          <w:rFonts w:cs="Times New Roman"/>
          <w:sz w:val="16"/>
          <w:szCs w:val="16"/>
        </w:rPr>
      </w:pPr>
      <w:r w:rsidRPr="001E27C6">
        <w:rPr>
          <w:rStyle w:val="FootnoteReference"/>
          <w:rFonts w:cs="Times New Roman"/>
          <w:sz w:val="16"/>
          <w:szCs w:val="16"/>
        </w:rPr>
        <w:footnoteRef/>
      </w:r>
      <w:r w:rsidRPr="001E27C6">
        <w:rPr>
          <w:rFonts w:cs="Times New Roman"/>
          <w:sz w:val="16"/>
          <w:szCs w:val="16"/>
        </w:rPr>
        <w:t xml:space="preserve"> </w:t>
      </w:r>
      <w:r w:rsidRPr="001E27C6">
        <w:rPr>
          <w:rFonts w:cs="Times New Roman"/>
          <w:noProof/>
          <w:sz w:val="16"/>
          <w:szCs w:val="16"/>
        </w:rPr>
        <w:t xml:space="preserve">Government of Georgia (2007): </w:t>
      </w:r>
      <w:r w:rsidRPr="001E27C6">
        <w:rPr>
          <w:rFonts w:cs="Times New Roman"/>
          <w:i/>
          <w:noProof/>
          <w:sz w:val="16"/>
          <w:szCs w:val="16"/>
        </w:rPr>
        <w:t>Decree no. 47. On approving the State Strategy for Internally Displaced Persons - Persecuted.</w:t>
      </w:r>
      <w:r w:rsidRPr="001E27C6">
        <w:rPr>
          <w:rFonts w:cs="Times New Roman"/>
          <w:noProof/>
          <w:sz w:val="16"/>
          <w:szCs w:val="16"/>
        </w:rPr>
        <w:t xml:space="preserve"> Ref:</w:t>
      </w:r>
      <w:r w:rsidRPr="001E27C6">
        <w:rPr>
          <w:rFonts w:cs="Times New Roman"/>
          <w:sz w:val="16"/>
          <w:szCs w:val="16"/>
        </w:rPr>
        <w:t xml:space="preserve"> </w:t>
      </w:r>
      <w:hyperlink r:id="rId29" w:anchor="index/1/ENG" w:history="1">
        <w:r w:rsidRPr="001E27C6">
          <w:rPr>
            <w:rStyle w:val="Hyperlink"/>
            <w:sz w:val="16"/>
            <w:szCs w:val="16"/>
          </w:rPr>
          <w:t>http://mra.gov.ge/index.php?lang_id=ENG#index/1/ENG</w:t>
        </w:r>
      </w:hyperlink>
      <w:r w:rsidRPr="001E27C6">
        <w:rPr>
          <w:rFonts w:cs="Times New Roman"/>
          <w:noProof/>
          <w:sz w:val="16"/>
          <w:szCs w:val="16"/>
        </w:rPr>
        <w:t xml:space="preserve"> </w:t>
      </w:r>
    </w:p>
  </w:footnote>
  <w:footnote w:id="113">
    <w:p w14:paraId="5209077E" w14:textId="77777777" w:rsidR="00960899" w:rsidRPr="004274F0" w:rsidRDefault="00960899" w:rsidP="00672E6F">
      <w:pPr>
        <w:pStyle w:val="FootnoteText"/>
        <w:rPr>
          <w:rFonts w:ascii="Times New Roman" w:hAnsi="Times New Roman"/>
          <w:sz w:val="16"/>
          <w:szCs w:val="16"/>
        </w:rPr>
      </w:pPr>
      <w:r w:rsidRPr="001E27C6">
        <w:rPr>
          <w:rStyle w:val="FootnoteReference"/>
          <w:rFonts w:ascii="Times New Roman" w:hAnsi="Times New Roman"/>
          <w:sz w:val="16"/>
          <w:szCs w:val="16"/>
        </w:rPr>
        <w:footnoteRef/>
      </w:r>
      <w:r w:rsidRPr="001E27C6">
        <w:rPr>
          <w:rFonts w:ascii="Times New Roman" w:hAnsi="Times New Roman"/>
          <w:sz w:val="16"/>
          <w:szCs w:val="16"/>
        </w:rPr>
        <w:t xml:space="preserve"> </w:t>
      </w:r>
      <w:r w:rsidRPr="004274F0">
        <w:rPr>
          <w:rFonts w:ascii="Times New Roman" w:hAnsi="Times New Roman"/>
          <w:bCs/>
          <w:sz w:val="16"/>
          <w:szCs w:val="16"/>
        </w:rPr>
        <w:t xml:space="preserve">Resolution of the Government of Georgia N128 On Adoption of the Action Plan for implementation </w:t>
      </w:r>
      <w:r w:rsidRPr="004274F0">
        <w:rPr>
          <w:rFonts w:ascii="Times New Roman" w:hAnsi="Times New Roman"/>
          <w:bCs/>
          <w:sz w:val="16"/>
          <w:szCs w:val="16"/>
        </w:rPr>
        <w:br/>
        <w:t>of the Strategy of 2015-2016 for Livelihood Access to Internally Displaced Persons – Persecuted, 4th February 2015 Tbilisi</w:t>
      </w:r>
    </w:p>
  </w:footnote>
  <w:footnote w:id="114">
    <w:p w14:paraId="3F714E08" w14:textId="77777777" w:rsidR="00960899" w:rsidRPr="00CF760B" w:rsidRDefault="00960899" w:rsidP="00672E6F">
      <w:pPr>
        <w:pStyle w:val="FootnoteText"/>
        <w:rPr>
          <w:rFonts w:ascii="Times New Roman" w:hAnsi="Times New Roman"/>
          <w:sz w:val="16"/>
          <w:szCs w:val="16"/>
          <w:lang w:val="en-GB"/>
        </w:rPr>
      </w:pPr>
      <w:r w:rsidRPr="00CF760B">
        <w:rPr>
          <w:rStyle w:val="FootnoteReference"/>
          <w:rFonts w:ascii="Times New Roman" w:hAnsi="Times New Roman"/>
          <w:sz w:val="16"/>
          <w:szCs w:val="16"/>
        </w:rPr>
        <w:footnoteRef/>
      </w:r>
      <w:r w:rsidRPr="00CF760B">
        <w:rPr>
          <w:rFonts w:ascii="Times New Roman" w:hAnsi="Times New Roman"/>
          <w:sz w:val="16"/>
          <w:szCs w:val="16"/>
        </w:rPr>
        <w:t xml:space="preserve"> </w:t>
      </w:r>
      <w:r w:rsidRPr="00CF760B">
        <w:rPr>
          <w:rFonts w:ascii="Times New Roman" w:hAnsi="Times New Roman"/>
          <w:sz w:val="16"/>
          <w:szCs w:val="16"/>
          <w:lang w:val="en-GB"/>
        </w:rPr>
        <w:t>Article 1, the Tax Code of Georgia</w:t>
      </w:r>
    </w:p>
  </w:footnote>
  <w:footnote w:id="115">
    <w:p w14:paraId="78CB59E7" w14:textId="77777777" w:rsidR="00960899" w:rsidRPr="0002190D" w:rsidRDefault="00960899" w:rsidP="00672E6F">
      <w:pPr>
        <w:pStyle w:val="FootnoteText"/>
        <w:rPr>
          <w:rFonts w:ascii="Times New Roman" w:hAnsi="Times New Roman"/>
          <w:sz w:val="16"/>
          <w:szCs w:val="16"/>
          <w:lang w:val="en-GB"/>
        </w:rPr>
      </w:pPr>
      <w:r w:rsidRPr="0002190D">
        <w:rPr>
          <w:rStyle w:val="FootnoteReference"/>
          <w:rFonts w:ascii="Times New Roman" w:hAnsi="Times New Roman"/>
          <w:sz w:val="16"/>
          <w:szCs w:val="16"/>
        </w:rPr>
        <w:footnoteRef/>
      </w:r>
      <w:r w:rsidRPr="0002190D">
        <w:rPr>
          <w:rFonts w:ascii="Times New Roman" w:hAnsi="Times New Roman"/>
          <w:sz w:val="16"/>
          <w:szCs w:val="16"/>
        </w:rPr>
        <w:t xml:space="preserve">  Article 82(1)(m)</w:t>
      </w:r>
    </w:p>
  </w:footnote>
  <w:footnote w:id="116">
    <w:p w14:paraId="2C44DA52" w14:textId="77777777" w:rsidR="00960899" w:rsidRPr="0002190D" w:rsidRDefault="00960899" w:rsidP="00672E6F">
      <w:pPr>
        <w:pStyle w:val="FootnoteText"/>
        <w:rPr>
          <w:rFonts w:ascii="Times New Roman" w:hAnsi="Times New Roman"/>
          <w:sz w:val="16"/>
          <w:szCs w:val="16"/>
          <w:lang w:val="en-GB"/>
        </w:rPr>
      </w:pPr>
      <w:r w:rsidRPr="0002190D">
        <w:rPr>
          <w:rStyle w:val="FootnoteReference"/>
          <w:rFonts w:ascii="Times New Roman" w:hAnsi="Times New Roman"/>
          <w:sz w:val="16"/>
          <w:szCs w:val="16"/>
        </w:rPr>
        <w:footnoteRef/>
      </w:r>
      <w:r w:rsidRPr="0002190D">
        <w:rPr>
          <w:rFonts w:ascii="Times New Roman" w:hAnsi="Times New Roman"/>
          <w:sz w:val="16"/>
          <w:szCs w:val="16"/>
        </w:rPr>
        <w:t xml:space="preserve"> </w:t>
      </w:r>
      <w:r w:rsidRPr="0002190D">
        <w:rPr>
          <w:rFonts w:ascii="Times New Roman" w:hAnsi="Times New Roman"/>
          <w:sz w:val="16"/>
          <w:szCs w:val="16"/>
          <w:lang w:val="en-GB"/>
        </w:rPr>
        <w:t>Article 207</w:t>
      </w:r>
    </w:p>
  </w:footnote>
  <w:footnote w:id="117">
    <w:p w14:paraId="687848BD" w14:textId="77777777" w:rsidR="00960899" w:rsidRPr="005F5537" w:rsidRDefault="00960899" w:rsidP="00672E6F">
      <w:pPr>
        <w:pStyle w:val="FootnoteText"/>
        <w:rPr>
          <w:rFonts w:ascii="Times New Roman" w:hAnsi="Times New Roman"/>
          <w:sz w:val="16"/>
          <w:szCs w:val="16"/>
          <w:lang w:val="en-GB"/>
        </w:rPr>
      </w:pPr>
      <w:r w:rsidRPr="005F5537">
        <w:rPr>
          <w:rStyle w:val="FootnoteReference"/>
          <w:rFonts w:ascii="Times New Roman" w:hAnsi="Times New Roman"/>
          <w:sz w:val="16"/>
          <w:szCs w:val="16"/>
        </w:rPr>
        <w:footnoteRef/>
      </w:r>
      <w:r w:rsidRPr="005F5537">
        <w:rPr>
          <w:rFonts w:ascii="Times New Roman" w:hAnsi="Times New Roman"/>
          <w:sz w:val="16"/>
          <w:szCs w:val="16"/>
        </w:rPr>
        <w:t xml:space="preserve"> Article 12 of the Law of Georgia on Forcibly Displaced Persons – Persecuted</w:t>
      </w:r>
    </w:p>
  </w:footnote>
  <w:footnote w:id="118">
    <w:p w14:paraId="698B6967" w14:textId="77777777" w:rsidR="00960899" w:rsidRPr="006B7671" w:rsidRDefault="00960899" w:rsidP="00672E6F">
      <w:pPr>
        <w:pStyle w:val="FootnoteText"/>
        <w:rPr>
          <w:lang w:val="en-GB"/>
        </w:rPr>
      </w:pPr>
      <w:r w:rsidRPr="006B7671">
        <w:rPr>
          <w:rStyle w:val="FootnoteReference"/>
          <w:sz w:val="16"/>
          <w:szCs w:val="16"/>
        </w:rPr>
        <w:footnoteRef/>
      </w:r>
      <w:r w:rsidRPr="006B7671">
        <w:rPr>
          <w:sz w:val="16"/>
          <w:szCs w:val="16"/>
        </w:rPr>
        <w:t xml:space="preserve"> </w:t>
      </w:r>
      <w:r w:rsidRPr="006B7671">
        <w:rPr>
          <w:rFonts w:ascii="Times New Roman" w:hAnsi="Times New Roman"/>
          <w:sz w:val="16"/>
          <w:szCs w:val="16"/>
        </w:rPr>
        <w:t>Article 11 (2)(d)</w:t>
      </w:r>
    </w:p>
  </w:footnote>
  <w:footnote w:id="119">
    <w:p w14:paraId="24578018" w14:textId="77777777" w:rsidR="00960899" w:rsidRDefault="00960899" w:rsidP="00672E6F">
      <w:pPr>
        <w:pStyle w:val="FootnoteText"/>
      </w:pPr>
      <w:r>
        <w:rPr>
          <w:rStyle w:val="FootnoteReference"/>
        </w:rPr>
        <w:footnoteRef/>
      </w:r>
      <w:r>
        <w:t xml:space="preserve"> insert</w:t>
      </w:r>
    </w:p>
  </w:footnote>
  <w:footnote w:id="120">
    <w:p w14:paraId="4BD9CCDE" w14:textId="77777777" w:rsidR="00960899" w:rsidRPr="002A2F89" w:rsidRDefault="00960899" w:rsidP="00672E6F">
      <w:pPr>
        <w:pStyle w:val="FootnoteText"/>
        <w:rPr>
          <w:rFonts w:ascii="Times New Roman" w:hAnsi="Times New Roman"/>
          <w:sz w:val="16"/>
          <w:szCs w:val="16"/>
          <w:lang w:val="en-GB"/>
        </w:rPr>
      </w:pPr>
      <w:r w:rsidRPr="002A2F89">
        <w:rPr>
          <w:rStyle w:val="FootnoteReference"/>
          <w:rFonts w:ascii="Times New Roman" w:hAnsi="Times New Roman"/>
          <w:sz w:val="16"/>
          <w:szCs w:val="16"/>
        </w:rPr>
        <w:footnoteRef/>
      </w:r>
      <w:r w:rsidRPr="002A2F89">
        <w:rPr>
          <w:rFonts w:ascii="Times New Roman" w:hAnsi="Times New Roman"/>
          <w:sz w:val="16"/>
          <w:szCs w:val="16"/>
        </w:rPr>
        <w:t xml:space="preserve"> </w:t>
      </w:r>
      <w:r w:rsidRPr="002A2F89">
        <w:rPr>
          <w:rFonts w:ascii="Times New Roman" w:hAnsi="Times New Roman"/>
          <w:sz w:val="16"/>
          <w:szCs w:val="16"/>
          <w:lang w:val="en-GB"/>
        </w:rPr>
        <w:t>Article 16</w:t>
      </w:r>
    </w:p>
  </w:footnote>
  <w:footnote w:id="121">
    <w:p w14:paraId="7D954AAB" w14:textId="77777777" w:rsidR="00960899" w:rsidRPr="002A2F89" w:rsidRDefault="00960899" w:rsidP="00672E6F">
      <w:pPr>
        <w:pStyle w:val="FootnoteText"/>
        <w:rPr>
          <w:rFonts w:ascii="Times New Roman" w:hAnsi="Times New Roman"/>
          <w:sz w:val="16"/>
          <w:szCs w:val="16"/>
          <w:lang w:val="en-GB"/>
        </w:rPr>
      </w:pPr>
      <w:r w:rsidRPr="002A2F89">
        <w:rPr>
          <w:rStyle w:val="FootnoteReference"/>
          <w:rFonts w:ascii="Times New Roman" w:hAnsi="Times New Roman"/>
          <w:sz w:val="16"/>
          <w:szCs w:val="16"/>
        </w:rPr>
        <w:footnoteRef/>
      </w:r>
      <w:r w:rsidRPr="002A2F89">
        <w:rPr>
          <w:rFonts w:ascii="Times New Roman" w:hAnsi="Times New Roman"/>
          <w:sz w:val="16"/>
          <w:szCs w:val="16"/>
        </w:rPr>
        <w:t xml:space="preserve"> Article 9 of the Law on General Education</w:t>
      </w:r>
    </w:p>
  </w:footnote>
  <w:footnote w:id="122">
    <w:p w14:paraId="635E8325" w14:textId="77777777" w:rsidR="00960899" w:rsidRPr="0016453D" w:rsidRDefault="00960899" w:rsidP="00672E6F">
      <w:pPr>
        <w:pStyle w:val="FootnoteText"/>
        <w:rPr>
          <w:lang w:val="en-GB"/>
        </w:rPr>
      </w:pPr>
      <w:r>
        <w:rPr>
          <w:rStyle w:val="FootnoteReference"/>
        </w:rPr>
        <w:footnoteRef/>
      </w:r>
      <w:r>
        <w:t xml:space="preserve"> </w:t>
      </w:r>
      <w:r w:rsidRPr="0016453D">
        <w:rPr>
          <w:rFonts w:ascii="Times New Roman" w:hAnsi="Times New Roman"/>
          <w:sz w:val="16"/>
          <w:szCs w:val="16"/>
        </w:rPr>
        <w:t>The report (2014) on the situation of Georgia with respect to the application of the Revised Social Charter</w:t>
      </w:r>
    </w:p>
  </w:footnote>
  <w:footnote w:id="123">
    <w:p w14:paraId="3BDA1A8D" w14:textId="77777777" w:rsidR="00960899" w:rsidRPr="001E27C6" w:rsidRDefault="00960899" w:rsidP="00672E6F">
      <w:pPr>
        <w:pStyle w:val="FootnoteText"/>
        <w:rPr>
          <w:rFonts w:ascii="Times New Roman" w:hAnsi="Times New Roman"/>
          <w:sz w:val="16"/>
          <w:szCs w:val="16"/>
        </w:rPr>
      </w:pPr>
      <w:r w:rsidRPr="001E27C6">
        <w:rPr>
          <w:rStyle w:val="FootnoteReference"/>
          <w:rFonts w:ascii="Times New Roman" w:hAnsi="Times New Roman"/>
          <w:sz w:val="16"/>
          <w:szCs w:val="16"/>
        </w:rPr>
        <w:footnoteRef/>
      </w:r>
      <w:r w:rsidRPr="001E27C6">
        <w:rPr>
          <w:rFonts w:ascii="Times New Roman" w:hAnsi="Times New Roman"/>
          <w:sz w:val="16"/>
          <w:szCs w:val="16"/>
        </w:rPr>
        <w:t xml:space="preserve"> http://www.coe.int/t/commissioner/source/NAP/Georgia-National-Action-Plan-on-Human-Rights.pdf</w:t>
      </w:r>
    </w:p>
  </w:footnote>
  <w:footnote w:id="124">
    <w:p w14:paraId="39397395" w14:textId="77777777" w:rsidR="00960899" w:rsidRDefault="00960899" w:rsidP="00672E6F">
      <w:pPr>
        <w:pStyle w:val="FootnoteText"/>
      </w:pPr>
      <w:r w:rsidRPr="001E27C6">
        <w:rPr>
          <w:rStyle w:val="FootnoteReference"/>
          <w:rFonts w:ascii="Times New Roman" w:hAnsi="Times New Roman"/>
          <w:sz w:val="16"/>
          <w:szCs w:val="16"/>
        </w:rPr>
        <w:footnoteRef/>
      </w:r>
      <w:r w:rsidRPr="001E27C6">
        <w:rPr>
          <w:rFonts w:ascii="Times New Roman" w:hAnsi="Times New Roman"/>
          <w:sz w:val="16"/>
          <w:szCs w:val="16"/>
        </w:rPr>
        <w:t xml:space="preserve"> http://yourhumanrights.ge/documents/national-human-rights-strategy-of-georgia/</w:t>
      </w:r>
    </w:p>
  </w:footnote>
  <w:footnote w:id="125">
    <w:p w14:paraId="6C13E53B" w14:textId="77777777" w:rsidR="00960899" w:rsidRPr="001E27C6" w:rsidRDefault="00960899" w:rsidP="00672E6F">
      <w:pPr>
        <w:pStyle w:val="FootnoteText"/>
        <w:rPr>
          <w:rFonts w:ascii="Times New Roman" w:hAnsi="Times New Roman"/>
          <w:sz w:val="16"/>
          <w:szCs w:val="16"/>
        </w:rPr>
      </w:pPr>
      <w:r w:rsidRPr="001E27C6">
        <w:rPr>
          <w:rStyle w:val="FootnoteReference"/>
          <w:rFonts w:ascii="Times New Roman" w:hAnsi="Times New Roman"/>
          <w:sz w:val="16"/>
          <w:szCs w:val="16"/>
        </w:rPr>
        <w:footnoteRef/>
      </w:r>
      <w:r w:rsidRPr="001E27C6">
        <w:rPr>
          <w:rFonts w:ascii="Times New Roman" w:hAnsi="Times New Roman"/>
          <w:sz w:val="16"/>
          <w:szCs w:val="16"/>
        </w:rPr>
        <w:t>https://matsne.gov.ge/index.php?option=com_ldmssearch&amp;view=docView&amp;id=91624&amp;lang=en</w:t>
      </w:r>
    </w:p>
  </w:footnote>
  <w:footnote w:id="126">
    <w:p w14:paraId="524DFAEC" w14:textId="77777777" w:rsidR="00960899" w:rsidRPr="001E27C6" w:rsidRDefault="00960899" w:rsidP="00672E6F">
      <w:pPr>
        <w:pStyle w:val="FootnoteText"/>
        <w:rPr>
          <w:rFonts w:ascii="Times New Roman" w:hAnsi="Times New Roman"/>
          <w:sz w:val="16"/>
          <w:szCs w:val="16"/>
        </w:rPr>
      </w:pPr>
      <w:r w:rsidRPr="001E27C6">
        <w:rPr>
          <w:rStyle w:val="FootnoteReference"/>
          <w:rFonts w:ascii="Times New Roman" w:hAnsi="Times New Roman"/>
          <w:sz w:val="16"/>
          <w:szCs w:val="16"/>
        </w:rPr>
        <w:footnoteRef/>
      </w:r>
      <w:r w:rsidRPr="001E27C6">
        <w:rPr>
          <w:rFonts w:ascii="Times New Roman" w:hAnsi="Times New Roman"/>
          <w:sz w:val="16"/>
          <w:szCs w:val="16"/>
        </w:rPr>
        <w:t>https://matsne.gov.ge/index.php?option=com_ldmssearch&amp;view=docView&amp;id=1557168&amp;lang=en</w:t>
      </w:r>
    </w:p>
  </w:footnote>
  <w:footnote w:id="127">
    <w:p w14:paraId="14A01E8E" w14:textId="77777777" w:rsidR="00960899" w:rsidRPr="001E27C6" w:rsidRDefault="00960899" w:rsidP="00672E6F">
      <w:pPr>
        <w:pStyle w:val="FootnoteText"/>
        <w:rPr>
          <w:rFonts w:ascii="Times New Roman" w:hAnsi="Times New Roman"/>
          <w:sz w:val="16"/>
          <w:szCs w:val="16"/>
        </w:rPr>
      </w:pPr>
      <w:r w:rsidRPr="001E27C6">
        <w:rPr>
          <w:rStyle w:val="FootnoteReference"/>
          <w:rFonts w:ascii="Times New Roman" w:hAnsi="Times New Roman"/>
          <w:sz w:val="16"/>
          <w:szCs w:val="16"/>
        </w:rPr>
        <w:footnoteRef/>
      </w:r>
      <w:r w:rsidRPr="001E27C6">
        <w:rPr>
          <w:rFonts w:ascii="Times New Roman" w:hAnsi="Times New Roman"/>
          <w:sz w:val="16"/>
          <w:szCs w:val="16"/>
        </w:rPr>
        <w:t>https://matsne.gov.ge/index.php?option=com_ldmssearch&amp;view=docView&amp;id=1557168&amp;lang=en</w:t>
      </w:r>
    </w:p>
  </w:footnote>
  <w:footnote w:id="128">
    <w:p w14:paraId="5DC0F9DD" w14:textId="77777777" w:rsidR="00960899" w:rsidRPr="00395599" w:rsidRDefault="00960899" w:rsidP="00672E6F">
      <w:pPr>
        <w:pStyle w:val="FootnoteText"/>
        <w:rPr>
          <w:sz w:val="18"/>
          <w:szCs w:val="18"/>
        </w:rPr>
      </w:pPr>
      <w:r w:rsidRPr="001E27C6">
        <w:rPr>
          <w:rStyle w:val="FootnoteReference"/>
          <w:rFonts w:ascii="Times New Roman" w:hAnsi="Times New Roman"/>
          <w:sz w:val="16"/>
          <w:szCs w:val="16"/>
        </w:rPr>
        <w:footnoteRef/>
      </w:r>
      <w:r w:rsidRPr="001E27C6">
        <w:rPr>
          <w:rFonts w:ascii="Times New Roman" w:hAnsi="Times New Roman"/>
          <w:sz w:val="16"/>
          <w:szCs w:val="16"/>
        </w:rPr>
        <w:t xml:space="preserve"> http://www.equalrightstrust.org/ertdocumentbank/Georgian%20Anti-D%20Law%20final%20version.pdf</w:t>
      </w:r>
    </w:p>
  </w:footnote>
  <w:footnote w:id="129">
    <w:p w14:paraId="4F3E69AD" w14:textId="77777777" w:rsidR="00960899" w:rsidRPr="001E27C6" w:rsidRDefault="00960899" w:rsidP="00672E6F">
      <w:pPr>
        <w:pStyle w:val="NormalWeb"/>
        <w:spacing w:before="0" w:beforeAutospacing="0" w:after="0" w:afterAutospacing="0"/>
        <w:rPr>
          <w:rFonts w:ascii="Times New Roman" w:hAnsi="Times New Roman"/>
          <w:sz w:val="16"/>
          <w:szCs w:val="16"/>
        </w:rPr>
      </w:pPr>
      <w:r w:rsidRPr="001E27C6">
        <w:rPr>
          <w:rStyle w:val="FootnoteReference"/>
          <w:rFonts w:ascii="Times New Roman" w:hAnsi="Times New Roman"/>
          <w:sz w:val="16"/>
          <w:szCs w:val="16"/>
        </w:rPr>
        <w:footnoteRef/>
      </w:r>
      <w:r w:rsidRPr="001E27C6">
        <w:rPr>
          <w:rFonts w:ascii="Times New Roman" w:hAnsi="Times New Roman"/>
          <w:sz w:val="16"/>
          <w:szCs w:val="16"/>
        </w:rPr>
        <w:t xml:space="preserve"> </w:t>
      </w:r>
      <w:hyperlink r:id="rId30" w:history="1">
        <w:r w:rsidRPr="001E27C6">
          <w:rPr>
            <w:rStyle w:val="Hyperlink"/>
            <w:rFonts w:ascii="Times New Roman" w:hAnsi="Times New Roman"/>
            <w:sz w:val="16"/>
            <w:szCs w:val="16"/>
          </w:rPr>
          <w:t>http://www.coe.int/t/dghl/monitoring/socialcharter/Reporting/StateReports/Georgia6_en.pdf</w:t>
        </w:r>
      </w:hyperlink>
      <w:r w:rsidRPr="001E27C6">
        <w:rPr>
          <w:rFonts w:ascii="Times New Roman" w:hAnsi="Times New Roman"/>
          <w:sz w:val="16"/>
          <w:szCs w:val="16"/>
        </w:rPr>
        <w:t xml:space="preserve"> </w:t>
      </w:r>
    </w:p>
  </w:footnote>
  <w:footnote w:id="130">
    <w:p w14:paraId="2868FC3F" w14:textId="77777777" w:rsidR="00960899" w:rsidRDefault="00960899" w:rsidP="00672E6F">
      <w:pPr>
        <w:pStyle w:val="FootnoteText"/>
      </w:pPr>
      <w:r w:rsidRPr="001E27C6">
        <w:rPr>
          <w:rStyle w:val="FootnoteReference"/>
          <w:rFonts w:ascii="Times New Roman" w:hAnsi="Times New Roman"/>
          <w:sz w:val="16"/>
          <w:szCs w:val="16"/>
        </w:rPr>
        <w:footnoteRef/>
      </w:r>
      <w:r w:rsidRPr="001E27C6">
        <w:rPr>
          <w:rFonts w:ascii="Times New Roman" w:hAnsi="Times New Roman"/>
          <w:sz w:val="16"/>
          <w:szCs w:val="16"/>
        </w:rPr>
        <w:t>http://tbinternet.ohchr.org/_layouts/TreatyBodyExternal/Treaty.aspx?CountryID=65&amp;Lang=EN</w:t>
      </w:r>
    </w:p>
  </w:footnote>
  <w:footnote w:id="131">
    <w:p w14:paraId="4A0EDEE6" w14:textId="77777777" w:rsidR="00960899" w:rsidRPr="003159D7" w:rsidRDefault="00960899" w:rsidP="008E263C">
      <w:pPr>
        <w:pStyle w:val="FootnoteText"/>
        <w:rPr>
          <w:rFonts w:ascii="Times New Roman" w:hAnsi="Times New Roman"/>
          <w:sz w:val="18"/>
          <w:szCs w:val="18"/>
        </w:rPr>
      </w:pPr>
      <w:r w:rsidRPr="009905F7">
        <w:rPr>
          <w:rStyle w:val="FootnoteReference"/>
          <w:rFonts w:ascii="Times New Roman" w:hAnsi="Times New Roman"/>
          <w:sz w:val="18"/>
          <w:szCs w:val="18"/>
        </w:rPr>
        <w:footnoteRef/>
      </w:r>
      <w:r w:rsidRPr="009905F7">
        <w:rPr>
          <w:rFonts w:ascii="Times New Roman" w:hAnsi="Times New Roman"/>
          <w:sz w:val="18"/>
          <w:szCs w:val="18"/>
        </w:rPr>
        <w:t xml:space="preserve"> MRA, MoJ, MoLHSA, MoA, MRDI, MoF, MoESD, MDF, Government </w:t>
      </w:r>
      <w:r>
        <w:rPr>
          <w:rFonts w:ascii="Times New Roman" w:hAnsi="Times New Roman"/>
          <w:sz w:val="18"/>
          <w:szCs w:val="18"/>
        </w:rPr>
        <w:t xml:space="preserve"> AR </w:t>
      </w:r>
      <w:r w:rsidRPr="009905F7">
        <w:rPr>
          <w:rFonts w:ascii="Times New Roman" w:hAnsi="Times New Roman"/>
          <w:sz w:val="18"/>
          <w:szCs w:val="18"/>
        </w:rPr>
        <w:t xml:space="preserve">of Abkhazia, EU, UNHCR, WB, UNCT, SDC, KFW, EUMM, PDO, GYLA, DRC, TA, BPRM. </w:t>
      </w:r>
    </w:p>
  </w:footnote>
  <w:footnote w:id="132">
    <w:p w14:paraId="0D223F33" w14:textId="4E9580BB" w:rsidR="00960899" w:rsidRPr="0036006E" w:rsidRDefault="00960899" w:rsidP="002C36AA">
      <w:pPr>
        <w:rPr>
          <w:rFonts w:ascii="Times New Roman" w:hAnsi="Times New Roman" w:cs="Times New Roman"/>
          <w:b/>
          <w:bCs/>
          <w:sz w:val="18"/>
          <w:szCs w:val="18"/>
        </w:rPr>
      </w:pPr>
      <w:r w:rsidRPr="0036006E">
        <w:rPr>
          <w:rStyle w:val="FootnoteReference"/>
          <w:rFonts w:ascii="Times New Roman" w:hAnsi="Times New Roman" w:cs="Times New Roman"/>
          <w:sz w:val="18"/>
          <w:szCs w:val="18"/>
        </w:rPr>
        <w:footnoteRef/>
      </w:r>
      <w:r w:rsidRPr="0036006E">
        <w:rPr>
          <w:rFonts w:ascii="Times New Roman" w:hAnsi="Times New Roman" w:cs="Times New Roman"/>
          <w:sz w:val="18"/>
          <w:szCs w:val="18"/>
        </w:rPr>
        <w:t xml:space="preserve"> Sources: Integrated Household Survey (IHS, by Geostat 2011-2013)</w:t>
      </w:r>
      <w:r w:rsidRPr="0036006E">
        <w:rPr>
          <w:rFonts w:ascii="Times New Roman" w:hAnsi="Times New Roman" w:cs="Times New Roman"/>
          <w:bCs/>
          <w:sz w:val="18"/>
          <w:szCs w:val="18"/>
        </w:rPr>
        <w:t>, Intentions Survey (UNHCR, 2015) and UNDP (2011)</w:t>
      </w:r>
    </w:p>
    <w:p w14:paraId="75DF4FAE" w14:textId="77777777" w:rsidR="00960899" w:rsidRDefault="00960899" w:rsidP="002C36AA">
      <w:pPr>
        <w:pStyle w:val="FootnoteText"/>
      </w:pPr>
    </w:p>
  </w:footnote>
  <w:footnote w:id="133">
    <w:p w14:paraId="63713F23" w14:textId="5CA333A0" w:rsidR="00960899" w:rsidRDefault="00960899">
      <w:pPr>
        <w:pStyle w:val="FootnoteText"/>
      </w:pPr>
      <w:r>
        <w:rPr>
          <w:rStyle w:val="FootnoteReference"/>
        </w:rPr>
        <w:footnoteRef/>
      </w:r>
      <w:r>
        <w:t xml:space="preserve"> Based on data provided by MRA at the time of data collection for the UNHCR Intentions Survey (October 2014)</w:t>
      </w:r>
    </w:p>
  </w:footnote>
  <w:footnote w:id="134">
    <w:p w14:paraId="467068A1" w14:textId="7B194B75" w:rsidR="00960899" w:rsidRDefault="00960899">
      <w:pPr>
        <w:pStyle w:val="FootnoteText"/>
      </w:pPr>
      <w:r>
        <w:rPr>
          <w:rStyle w:val="FootnoteReference"/>
        </w:rPr>
        <w:footnoteRef/>
      </w:r>
      <w:r>
        <w:t xml:space="preserve"> This simulation refers to a broad category of ‘social transfers’ that includes all types of state cash assistance (pensions, scholarships, and other forms of social assistance) as per Integrated Household Survey. With the data available it was not possible to perform the same simulation for poverty impacts of removing the IDP benefit for IDP households; however, such exercise is recommended for future analysis.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F6F2D"/>
    <w:multiLevelType w:val="multilevel"/>
    <w:tmpl w:val="FCD06934"/>
    <w:lvl w:ilvl="0">
      <w:start w:val="1"/>
      <w:numFmt w:val="upperRoman"/>
      <w:pStyle w:val="PDSHeading1"/>
      <w:lvlText w:val="%1."/>
      <w:lvlJc w:val="center"/>
      <w:pPr>
        <w:tabs>
          <w:tab w:val="num" w:pos="0"/>
        </w:tabs>
        <w:ind w:left="0"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upperLetter"/>
      <w:pStyle w:val="PDSHeading2"/>
      <w:lvlText w:val="%2."/>
      <w:lvlJc w:val="left"/>
      <w:pPr>
        <w:tabs>
          <w:tab w:val="num" w:pos="450"/>
        </w:tabs>
        <w:ind w:left="90" w:firstLine="0"/>
      </w:pPr>
      <w:rPr>
        <w:rFonts w:hint="default"/>
      </w:rPr>
    </w:lvl>
    <w:lvl w:ilvl="2">
      <w:start w:val="1"/>
      <w:numFmt w:val="decimal"/>
      <w:lvlText w:val="%3."/>
      <w:lvlJc w:val="left"/>
      <w:pPr>
        <w:tabs>
          <w:tab w:val="num" w:pos="720"/>
        </w:tabs>
        <w:ind w:left="720" w:firstLine="0"/>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 w15:restartNumberingAfterBreak="0">
    <w:nsid w:val="0A051F16"/>
    <w:multiLevelType w:val="hybridMultilevel"/>
    <w:tmpl w:val="65A29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6D3745"/>
    <w:multiLevelType w:val="hybridMultilevel"/>
    <w:tmpl w:val="B5CE3720"/>
    <w:lvl w:ilvl="0" w:tplc="0409000F">
      <w:start w:val="1"/>
      <w:numFmt w:val="decimal"/>
      <w:lvlText w:val="%1."/>
      <w:lvlJc w:val="left"/>
      <w:pPr>
        <w:ind w:left="720" w:hanging="360"/>
      </w:pPr>
      <w:rPr>
        <w:rFonts w:hint="default"/>
      </w:rPr>
    </w:lvl>
    <w:lvl w:ilvl="1" w:tplc="30FCB108">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370865"/>
    <w:multiLevelType w:val="hybridMultilevel"/>
    <w:tmpl w:val="9C0AD7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F21D0E"/>
    <w:multiLevelType w:val="hybridMultilevel"/>
    <w:tmpl w:val="94365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2E1BE0"/>
    <w:multiLevelType w:val="hybridMultilevel"/>
    <w:tmpl w:val="090083A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501E67"/>
    <w:multiLevelType w:val="hybridMultilevel"/>
    <w:tmpl w:val="2014E8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AA135E"/>
    <w:multiLevelType w:val="hybridMultilevel"/>
    <w:tmpl w:val="5E3CC21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C9A7119"/>
    <w:multiLevelType w:val="hybridMultilevel"/>
    <w:tmpl w:val="9B823A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F4D16F9"/>
    <w:multiLevelType w:val="hybridMultilevel"/>
    <w:tmpl w:val="1C44D4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CE269E"/>
    <w:multiLevelType w:val="hybridMultilevel"/>
    <w:tmpl w:val="6F9AEC2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600ABE"/>
    <w:multiLevelType w:val="hybridMultilevel"/>
    <w:tmpl w:val="EAC2B6EE"/>
    <w:lvl w:ilvl="0" w:tplc="0409000F">
      <w:start w:val="1"/>
      <w:numFmt w:val="decimal"/>
      <w:lvlText w:val="%1."/>
      <w:lvlJc w:val="left"/>
      <w:pPr>
        <w:ind w:left="720" w:hanging="360"/>
      </w:pPr>
      <w:rPr>
        <w:rFonts w:hint="default"/>
      </w:rPr>
    </w:lvl>
    <w:lvl w:ilvl="1" w:tplc="4992F046">
      <w:numFmt w:val="bullet"/>
      <w:lvlText w:val="•"/>
      <w:lvlJc w:val="left"/>
      <w:pPr>
        <w:ind w:left="1800" w:hanging="720"/>
      </w:pPr>
      <w:rPr>
        <w:rFonts w:ascii="Times New Roman" w:eastAsiaTheme="minorEastAsia"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153F0B"/>
    <w:multiLevelType w:val="hybridMultilevel"/>
    <w:tmpl w:val="AB4C3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C86B59"/>
    <w:multiLevelType w:val="hybridMultilevel"/>
    <w:tmpl w:val="C9BA7D34"/>
    <w:lvl w:ilvl="0" w:tplc="C0EEE11E">
      <w:start w:val="1"/>
      <w:numFmt w:val="lowerLetter"/>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B5516DD"/>
    <w:multiLevelType w:val="hybridMultilevel"/>
    <w:tmpl w:val="85D27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D41ACE"/>
    <w:multiLevelType w:val="hybridMultilevel"/>
    <w:tmpl w:val="E506D11C"/>
    <w:lvl w:ilvl="0" w:tplc="7E6C79F0">
      <w:start w:val="1"/>
      <w:numFmt w:val="decimal"/>
      <w:lvlText w:val="%1."/>
      <w:lvlJc w:val="left"/>
      <w:pPr>
        <w:tabs>
          <w:tab w:val="num" w:pos="360"/>
        </w:tabs>
        <w:ind w:left="0" w:firstLine="0"/>
      </w:pPr>
      <w:rPr>
        <w:b w:val="0"/>
        <w:i w:val="0"/>
        <w:color w:val="auto"/>
      </w:rPr>
    </w:lvl>
    <w:lvl w:ilvl="1" w:tplc="E4B21D22">
      <w:start w:val="1"/>
      <w:numFmt w:val="lowerLetter"/>
      <w:lvlText w:val="(%2)"/>
      <w:lvlJc w:val="left"/>
      <w:pPr>
        <w:tabs>
          <w:tab w:val="num" w:pos="720"/>
        </w:tabs>
        <w:ind w:left="1080" w:firstLine="0"/>
      </w:pPr>
    </w:lvl>
    <w:lvl w:ilvl="2" w:tplc="73C4CA50">
      <w:start w:val="1"/>
      <w:numFmt w:val="lowerRoman"/>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6" w15:restartNumberingAfterBreak="0">
    <w:nsid w:val="3A3010D7"/>
    <w:multiLevelType w:val="hybridMultilevel"/>
    <w:tmpl w:val="5B542C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A93692F"/>
    <w:multiLevelType w:val="hybridMultilevel"/>
    <w:tmpl w:val="1632E40A"/>
    <w:lvl w:ilvl="0" w:tplc="23AA72A0">
      <w:start w:val="1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4362F3"/>
    <w:multiLevelType w:val="hybridMultilevel"/>
    <w:tmpl w:val="D2267F12"/>
    <w:lvl w:ilvl="0" w:tplc="23AA72A0">
      <w:start w:val="1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8F0B0B"/>
    <w:multiLevelType w:val="hybridMultilevel"/>
    <w:tmpl w:val="B07E6768"/>
    <w:lvl w:ilvl="0" w:tplc="4C4ED19A">
      <w:start w:val="11"/>
      <w:numFmt w:val="bullet"/>
      <w:lvlText w:val="-"/>
      <w:lvlJc w:val="left"/>
      <w:pPr>
        <w:ind w:left="720" w:hanging="360"/>
      </w:pPr>
      <w:rPr>
        <w:rFonts w:ascii="Cambria" w:eastAsiaTheme="minorHAnsi" w:hAnsi="Cambria" w:cs="Cambria"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B2439C"/>
    <w:multiLevelType w:val="hybridMultilevel"/>
    <w:tmpl w:val="0AB04FC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4B63A05"/>
    <w:multiLevelType w:val="hybridMultilevel"/>
    <w:tmpl w:val="3DAAF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2C448F"/>
    <w:multiLevelType w:val="hybridMultilevel"/>
    <w:tmpl w:val="B94AE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560147"/>
    <w:multiLevelType w:val="hybridMultilevel"/>
    <w:tmpl w:val="718689D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64B50B7"/>
    <w:multiLevelType w:val="hybridMultilevel"/>
    <w:tmpl w:val="B7EC7E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D03B0B"/>
    <w:multiLevelType w:val="hybridMultilevel"/>
    <w:tmpl w:val="C8BE9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F008BE"/>
    <w:multiLevelType w:val="hybridMultilevel"/>
    <w:tmpl w:val="40F67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D7F0DD3"/>
    <w:multiLevelType w:val="hybridMultilevel"/>
    <w:tmpl w:val="48CAFDD6"/>
    <w:lvl w:ilvl="0" w:tplc="04090001">
      <w:start w:val="1"/>
      <w:numFmt w:val="bullet"/>
      <w:lvlText w:val=""/>
      <w:lvlJc w:val="left"/>
      <w:pPr>
        <w:ind w:left="1125" w:hanging="360"/>
      </w:pPr>
      <w:rPr>
        <w:rFonts w:ascii="Symbol" w:hAnsi="Symbol"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28" w15:restartNumberingAfterBreak="0">
    <w:nsid w:val="619C7747"/>
    <w:multiLevelType w:val="hybridMultilevel"/>
    <w:tmpl w:val="9F9A40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69654C5"/>
    <w:multiLevelType w:val="hybridMultilevel"/>
    <w:tmpl w:val="C330BB4E"/>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0" w15:restartNumberingAfterBreak="0">
    <w:nsid w:val="674E66A5"/>
    <w:multiLevelType w:val="hybridMultilevel"/>
    <w:tmpl w:val="09DEE7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84165CF"/>
    <w:multiLevelType w:val="hybridMultilevel"/>
    <w:tmpl w:val="9796E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C0D6F48"/>
    <w:multiLevelType w:val="hybridMultilevel"/>
    <w:tmpl w:val="3586CF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EE51B33"/>
    <w:multiLevelType w:val="hybridMultilevel"/>
    <w:tmpl w:val="6E8AFE00"/>
    <w:lvl w:ilvl="0" w:tplc="DCE28C84">
      <w:start w:val="1"/>
      <w:numFmt w:val="decimal"/>
      <w:lvlText w:val="%1."/>
      <w:lvlJc w:val="left"/>
      <w:pPr>
        <w:ind w:left="360" w:hanging="360"/>
      </w:pPr>
      <w:rPr>
        <w:b w:val="0"/>
        <w:i w:val="0"/>
        <w:color w:val="auto"/>
        <w:sz w:val="24"/>
        <w:szCs w:val="24"/>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79063A8F"/>
    <w:multiLevelType w:val="hybridMultilevel"/>
    <w:tmpl w:val="4BE4E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3"/>
  </w:num>
  <w:num w:numId="2">
    <w:abstractNumId w:val="9"/>
  </w:num>
  <w:num w:numId="3">
    <w:abstractNumId w:val="15"/>
  </w:num>
  <w:num w:numId="4">
    <w:abstractNumId w:val="22"/>
  </w:num>
  <w:num w:numId="5">
    <w:abstractNumId w:val="11"/>
  </w:num>
  <w:num w:numId="6">
    <w:abstractNumId w:val="12"/>
  </w:num>
  <w:num w:numId="7">
    <w:abstractNumId w:val="28"/>
  </w:num>
  <w:num w:numId="8">
    <w:abstractNumId w:val="0"/>
  </w:num>
  <w:num w:numId="9">
    <w:abstractNumId w:val="16"/>
  </w:num>
  <w:num w:numId="10">
    <w:abstractNumId w:val="23"/>
  </w:num>
  <w:num w:numId="11">
    <w:abstractNumId w:val="2"/>
  </w:num>
  <w:num w:numId="12">
    <w:abstractNumId w:val="25"/>
  </w:num>
  <w:num w:numId="13">
    <w:abstractNumId w:val="30"/>
  </w:num>
  <w:num w:numId="14">
    <w:abstractNumId w:val="3"/>
  </w:num>
  <w:num w:numId="15">
    <w:abstractNumId w:val="7"/>
  </w:num>
  <w:num w:numId="16">
    <w:abstractNumId w:val="27"/>
  </w:num>
  <w:num w:numId="17">
    <w:abstractNumId w:val="1"/>
  </w:num>
  <w:num w:numId="18">
    <w:abstractNumId w:val="5"/>
  </w:num>
  <w:num w:numId="19">
    <w:abstractNumId w:val="20"/>
  </w:num>
  <w:num w:numId="20">
    <w:abstractNumId w:val="29"/>
  </w:num>
  <w:num w:numId="21">
    <w:abstractNumId w:val="24"/>
  </w:num>
  <w:num w:numId="22">
    <w:abstractNumId w:val="10"/>
  </w:num>
  <w:num w:numId="23">
    <w:abstractNumId w:val="8"/>
  </w:num>
  <w:num w:numId="24">
    <w:abstractNumId w:val="34"/>
  </w:num>
  <w:num w:numId="25">
    <w:abstractNumId w:val="4"/>
  </w:num>
  <w:num w:numId="26">
    <w:abstractNumId w:val="31"/>
  </w:num>
  <w:num w:numId="27">
    <w:abstractNumId w:val="14"/>
  </w:num>
  <w:num w:numId="28">
    <w:abstractNumId w:val="26"/>
  </w:num>
  <w:num w:numId="29">
    <w:abstractNumId w:val="6"/>
  </w:num>
  <w:num w:numId="30">
    <w:abstractNumId w:val="21"/>
  </w:num>
  <w:num w:numId="31">
    <w:abstractNumId w:val="32"/>
  </w:num>
  <w:num w:numId="32">
    <w:abstractNumId w:val="13"/>
  </w:num>
  <w:num w:numId="33">
    <w:abstractNumId w:val="19"/>
  </w:num>
  <w:num w:numId="34">
    <w:abstractNumId w:val="18"/>
  </w:num>
  <w:num w:numId="3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174A"/>
    <w:rsid w:val="00000B84"/>
    <w:rsid w:val="00000CA8"/>
    <w:rsid w:val="000012BB"/>
    <w:rsid w:val="000012E3"/>
    <w:rsid w:val="00003A94"/>
    <w:rsid w:val="00003F34"/>
    <w:rsid w:val="00004098"/>
    <w:rsid w:val="00006571"/>
    <w:rsid w:val="00006EF9"/>
    <w:rsid w:val="00007002"/>
    <w:rsid w:val="0000792D"/>
    <w:rsid w:val="00007C58"/>
    <w:rsid w:val="00007F4D"/>
    <w:rsid w:val="00010CE5"/>
    <w:rsid w:val="000118C4"/>
    <w:rsid w:val="00012005"/>
    <w:rsid w:val="0001224F"/>
    <w:rsid w:val="00012E12"/>
    <w:rsid w:val="00013865"/>
    <w:rsid w:val="00015443"/>
    <w:rsid w:val="000155BB"/>
    <w:rsid w:val="000162B6"/>
    <w:rsid w:val="0001654B"/>
    <w:rsid w:val="00016946"/>
    <w:rsid w:val="00017443"/>
    <w:rsid w:val="00017C33"/>
    <w:rsid w:val="00020488"/>
    <w:rsid w:val="00020806"/>
    <w:rsid w:val="000213AF"/>
    <w:rsid w:val="00021FA7"/>
    <w:rsid w:val="00023965"/>
    <w:rsid w:val="00023FA4"/>
    <w:rsid w:val="00023FEF"/>
    <w:rsid w:val="00024A0F"/>
    <w:rsid w:val="0002620D"/>
    <w:rsid w:val="00026705"/>
    <w:rsid w:val="00026CA2"/>
    <w:rsid w:val="00027B76"/>
    <w:rsid w:val="00027FC7"/>
    <w:rsid w:val="0003156D"/>
    <w:rsid w:val="00032409"/>
    <w:rsid w:val="000325E2"/>
    <w:rsid w:val="00032932"/>
    <w:rsid w:val="00033F2E"/>
    <w:rsid w:val="0003526F"/>
    <w:rsid w:val="000354B0"/>
    <w:rsid w:val="00035737"/>
    <w:rsid w:val="00035D85"/>
    <w:rsid w:val="00035EC1"/>
    <w:rsid w:val="000368EE"/>
    <w:rsid w:val="00036A5E"/>
    <w:rsid w:val="0003774D"/>
    <w:rsid w:val="000400F9"/>
    <w:rsid w:val="000413A9"/>
    <w:rsid w:val="0004225B"/>
    <w:rsid w:val="00042AA7"/>
    <w:rsid w:val="00042DFF"/>
    <w:rsid w:val="0004374D"/>
    <w:rsid w:val="00043C50"/>
    <w:rsid w:val="0004642E"/>
    <w:rsid w:val="00046B8B"/>
    <w:rsid w:val="00050268"/>
    <w:rsid w:val="0005026B"/>
    <w:rsid w:val="0005211C"/>
    <w:rsid w:val="00052F9F"/>
    <w:rsid w:val="00053371"/>
    <w:rsid w:val="00053AE7"/>
    <w:rsid w:val="00054597"/>
    <w:rsid w:val="00054FBA"/>
    <w:rsid w:val="000556DE"/>
    <w:rsid w:val="0005686E"/>
    <w:rsid w:val="00056EBB"/>
    <w:rsid w:val="000600BF"/>
    <w:rsid w:val="00060FF2"/>
    <w:rsid w:val="00061299"/>
    <w:rsid w:val="00061EF3"/>
    <w:rsid w:val="000627C7"/>
    <w:rsid w:val="00062AB2"/>
    <w:rsid w:val="00062C7F"/>
    <w:rsid w:val="00064F45"/>
    <w:rsid w:val="000658B3"/>
    <w:rsid w:val="00065F41"/>
    <w:rsid w:val="000663E3"/>
    <w:rsid w:val="00066BDB"/>
    <w:rsid w:val="000672A1"/>
    <w:rsid w:val="000706C4"/>
    <w:rsid w:val="00070B4E"/>
    <w:rsid w:val="00072631"/>
    <w:rsid w:val="00072636"/>
    <w:rsid w:val="0007299D"/>
    <w:rsid w:val="00072BAC"/>
    <w:rsid w:val="00073292"/>
    <w:rsid w:val="000733E6"/>
    <w:rsid w:val="00074D15"/>
    <w:rsid w:val="0007588F"/>
    <w:rsid w:val="0007625A"/>
    <w:rsid w:val="00077DA5"/>
    <w:rsid w:val="00080862"/>
    <w:rsid w:val="00080A98"/>
    <w:rsid w:val="000819D6"/>
    <w:rsid w:val="00082249"/>
    <w:rsid w:val="00082428"/>
    <w:rsid w:val="0008293A"/>
    <w:rsid w:val="00085B31"/>
    <w:rsid w:val="000866A1"/>
    <w:rsid w:val="00090E69"/>
    <w:rsid w:val="00092435"/>
    <w:rsid w:val="00092A84"/>
    <w:rsid w:val="0009323F"/>
    <w:rsid w:val="000944EF"/>
    <w:rsid w:val="000A0F46"/>
    <w:rsid w:val="000A11BE"/>
    <w:rsid w:val="000A171E"/>
    <w:rsid w:val="000A221F"/>
    <w:rsid w:val="000A242B"/>
    <w:rsid w:val="000A25C1"/>
    <w:rsid w:val="000A38A3"/>
    <w:rsid w:val="000A3B3E"/>
    <w:rsid w:val="000A5387"/>
    <w:rsid w:val="000A5748"/>
    <w:rsid w:val="000A5F72"/>
    <w:rsid w:val="000A6D85"/>
    <w:rsid w:val="000A7EB5"/>
    <w:rsid w:val="000B02DC"/>
    <w:rsid w:val="000B0B76"/>
    <w:rsid w:val="000B1102"/>
    <w:rsid w:val="000B1E3F"/>
    <w:rsid w:val="000B1FB1"/>
    <w:rsid w:val="000B24DF"/>
    <w:rsid w:val="000B2BE7"/>
    <w:rsid w:val="000B3AA8"/>
    <w:rsid w:val="000B4B00"/>
    <w:rsid w:val="000B51C8"/>
    <w:rsid w:val="000B6E00"/>
    <w:rsid w:val="000B755F"/>
    <w:rsid w:val="000C16C8"/>
    <w:rsid w:val="000C17E4"/>
    <w:rsid w:val="000C21A0"/>
    <w:rsid w:val="000C248E"/>
    <w:rsid w:val="000C2512"/>
    <w:rsid w:val="000C302B"/>
    <w:rsid w:val="000C382D"/>
    <w:rsid w:val="000C4E0F"/>
    <w:rsid w:val="000C4F6A"/>
    <w:rsid w:val="000C6803"/>
    <w:rsid w:val="000C742A"/>
    <w:rsid w:val="000D00C6"/>
    <w:rsid w:val="000D0447"/>
    <w:rsid w:val="000D21CC"/>
    <w:rsid w:val="000D2228"/>
    <w:rsid w:val="000D2E92"/>
    <w:rsid w:val="000D2F65"/>
    <w:rsid w:val="000D52DA"/>
    <w:rsid w:val="000D5572"/>
    <w:rsid w:val="000D72D2"/>
    <w:rsid w:val="000D7551"/>
    <w:rsid w:val="000E0487"/>
    <w:rsid w:val="000E177C"/>
    <w:rsid w:val="000E25AE"/>
    <w:rsid w:val="000E36EC"/>
    <w:rsid w:val="000E3897"/>
    <w:rsid w:val="000E3A9E"/>
    <w:rsid w:val="000E4D3C"/>
    <w:rsid w:val="000E4F4F"/>
    <w:rsid w:val="000E6638"/>
    <w:rsid w:val="000E6F0C"/>
    <w:rsid w:val="000E7940"/>
    <w:rsid w:val="000F0E0A"/>
    <w:rsid w:val="000F2FBA"/>
    <w:rsid w:val="000F4480"/>
    <w:rsid w:val="000F4C99"/>
    <w:rsid w:val="000F70B8"/>
    <w:rsid w:val="000F75D0"/>
    <w:rsid w:val="00101EBC"/>
    <w:rsid w:val="00102D51"/>
    <w:rsid w:val="00103238"/>
    <w:rsid w:val="00103650"/>
    <w:rsid w:val="00104066"/>
    <w:rsid w:val="001049F3"/>
    <w:rsid w:val="00104A8C"/>
    <w:rsid w:val="00105228"/>
    <w:rsid w:val="00105860"/>
    <w:rsid w:val="00105FAA"/>
    <w:rsid w:val="00105FCE"/>
    <w:rsid w:val="0010694D"/>
    <w:rsid w:val="00106F83"/>
    <w:rsid w:val="001102AC"/>
    <w:rsid w:val="001107F3"/>
    <w:rsid w:val="00111D03"/>
    <w:rsid w:val="00112488"/>
    <w:rsid w:val="001135D1"/>
    <w:rsid w:val="00114567"/>
    <w:rsid w:val="00115058"/>
    <w:rsid w:val="00116525"/>
    <w:rsid w:val="001168A4"/>
    <w:rsid w:val="001170D0"/>
    <w:rsid w:val="001207D4"/>
    <w:rsid w:val="00120921"/>
    <w:rsid w:val="001225BB"/>
    <w:rsid w:val="00122A5F"/>
    <w:rsid w:val="001248D8"/>
    <w:rsid w:val="001252B9"/>
    <w:rsid w:val="00125D8D"/>
    <w:rsid w:val="001262F2"/>
    <w:rsid w:val="0012761B"/>
    <w:rsid w:val="001310B2"/>
    <w:rsid w:val="00131343"/>
    <w:rsid w:val="00131CB3"/>
    <w:rsid w:val="00132C16"/>
    <w:rsid w:val="00132CE2"/>
    <w:rsid w:val="00133139"/>
    <w:rsid w:val="00133823"/>
    <w:rsid w:val="00134BBB"/>
    <w:rsid w:val="00134E1F"/>
    <w:rsid w:val="001362C4"/>
    <w:rsid w:val="00136461"/>
    <w:rsid w:val="0013671F"/>
    <w:rsid w:val="00140106"/>
    <w:rsid w:val="00140379"/>
    <w:rsid w:val="00140C45"/>
    <w:rsid w:val="001414AE"/>
    <w:rsid w:val="00141F7B"/>
    <w:rsid w:val="001433B1"/>
    <w:rsid w:val="00143978"/>
    <w:rsid w:val="0014406B"/>
    <w:rsid w:val="001446DE"/>
    <w:rsid w:val="0014532C"/>
    <w:rsid w:val="001458CB"/>
    <w:rsid w:val="001466D5"/>
    <w:rsid w:val="001501B8"/>
    <w:rsid w:val="00151203"/>
    <w:rsid w:val="001519BC"/>
    <w:rsid w:val="00151D7E"/>
    <w:rsid w:val="00152BEC"/>
    <w:rsid w:val="00152D4D"/>
    <w:rsid w:val="001538BC"/>
    <w:rsid w:val="00155951"/>
    <w:rsid w:val="00155D96"/>
    <w:rsid w:val="001560C8"/>
    <w:rsid w:val="001565D5"/>
    <w:rsid w:val="00156633"/>
    <w:rsid w:val="0015722C"/>
    <w:rsid w:val="0016136A"/>
    <w:rsid w:val="00161C04"/>
    <w:rsid w:val="0016361C"/>
    <w:rsid w:val="00163CED"/>
    <w:rsid w:val="00165473"/>
    <w:rsid w:val="001656A8"/>
    <w:rsid w:val="00165D55"/>
    <w:rsid w:val="00166081"/>
    <w:rsid w:val="0016672D"/>
    <w:rsid w:val="00167032"/>
    <w:rsid w:val="00167864"/>
    <w:rsid w:val="0017150A"/>
    <w:rsid w:val="00174C4B"/>
    <w:rsid w:val="00175FE8"/>
    <w:rsid w:val="0017617C"/>
    <w:rsid w:val="00176391"/>
    <w:rsid w:val="00176B0B"/>
    <w:rsid w:val="00176D13"/>
    <w:rsid w:val="001771E1"/>
    <w:rsid w:val="0017786C"/>
    <w:rsid w:val="0018008D"/>
    <w:rsid w:val="00180261"/>
    <w:rsid w:val="0018175B"/>
    <w:rsid w:val="001818A7"/>
    <w:rsid w:val="001819CC"/>
    <w:rsid w:val="00184319"/>
    <w:rsid w:val="00185647"/>
    <w:rsid w:val="001868BC"/>
    <w:rsid w:val="00187386"/>
    <w:rsid w:val="00190251"/>
    <w:rsid w:val="00192415"/>
    <w:rsid w:val="00192CCF"/>
    <w:rsid w:val="001935FD"/>
    <w:rsid w:val="00193EE8"/>
    <w:rsid w:val="00194520"/>
    <w:rsid w:val="0019671B"/>
    <w:rsid w:val="00196ECA"/>
    <w:rsid w:val="001A0659"/>
    <w:rsid w:val="001A1BB7"/>
    <w:rsid w:val="001A2432"/>
    <w:rsid w:val="001A2A2A"/>
    <w:rsid w:val="001A5137"/>
    <w:rsid w:val="001A5959"/>
    <w:rsid w:val="001A5E07"/>
    <w:rsid w:val="001A6018"/>
    <w:rsid w:val="001A68CB"/>
    <w:rsid w:val="001A7EC6"/>
    <w:rsid w:val="001B02E5"/>
    <w:rsid w:val="001B194E"/>
    <w:rsid w:val="001B1950"/>
    <w:rsid w:val="001B197C"/>
    <w:rsid w:val="001B239E"/>
    <w:rsid w:val="001B2715"/>
    <w:rsid w:val="001B2E6B"/>
    <w:rsid w:val="001B3159"/>
    <w:rsid w:val="001B3D01"/>
    <w:rsid w:val="001B5AD7"/>
    <w:rsid w:val="001B5B18"/>
    <w:rsid w:val="001B638F"/>
    <w:rsid w:val="001B6EDD"/>
    <w:rsid w:val="001B7170"/>
    <w:rsid w:val="001B7654"/>
    <w:rsid w:val="001B792C"/>
    <w:rsid w:val="001C0D64"/>
    <w:rsid w:val="001C0E73"/>
    <w:rsid w:val="001C13B4"/>
    <w:rsid w:val="001C2FC8"/>
    <w:rsid w:val="001C386F"/>
    <w:rsid w:val="001C3E70"/>
    <w:rsid w:val="001C44B8"/>
    <w:rsid w:val="001C4665"/>
    <w:rsid w:val="001C4AE6"/>
    <w:rsid w:val="001C55F6"/>
    <w:rsid w:val="001C5E40"/>
    <w:rsid w:val="001C6090"/>
    <w:rsid w:val="001C7054"/>
    <w:rsid w:val="001C77CD"/>
    <w:rsid w:val="001D016A"/>
    <w:rsid w:val="001D19B2"/>
    <w:rsid w:val="001D2854"/>
    <w:rsid w:val="001D42AF"/>
    <w:rsid w:val="001D4AC4"/>
    <w:rsid w:val="001D4C25"/>
    <w:rsid w:val="001D529E"/>
    <w:rsid w:val="001D66B8"/>
    <w:rsid w:val="001D6D70"/>
    <w:rsid w:val="001E0A25"/>
    <w:rsid w:val="001E17BE"/>
    <w:rsid w:val="001E1857"/>
    <w:rsid w:val="001E2671"/>
    <w:rsid w:val="001E2958"/>
    <w:rsid w:val="001E4C2F"/>
    <w:rsid w:val="001E4DA3"/>
    <w:rsid w:val="001E69DA"/>
    <w:rsid w:val="001F1184"/>
    <w:rsid w:val="001F1D19"/>
    <w:rsid w:val="001F1EE6"/>
    <w:rsid w:val="001F1FCD"/>
    <w:rsid w:val="001F344F"/>
    <w:rsid w:val="001F37CB"/>
    <w:rsid w:val="001F4873"/>
    <w:rsid w:val="001F4D29"/>
    <w:rsid w:val="001F5434"/>
    <w:rsid w:val="001F6167"/>
    <w:rsid w:val="001F721F"/>
    <w:rsid w:val="002002F8"/>
    <w:rsid w:val="002010F6"/>
    <w:rsid w:val="0020163F"/>
    <w:rsid w:val="00202852"/>
    <w:rsid w:val="002042A9"/>
    <w:rsid w:val="00204B9C"/>
    <w:rsid w:val="00205B59"/>
    <w:rsid w:val="00206500"/>
    <w:rsid w:val="002066C6"/>
    <w:rsid w:val="002069F6"/>
    <w:rsid w:val="00206CA7"/>
    <w:rsid w:val="0021003B"/>
    <w:rsid w:val="0021031C"/>
    <w:rsid w:val="00210B70"/>
    <w:rsid w:val="00210EFA"/>
    <w:rsid w:val="002113A0"/>
    <w:rsid w:val="00211A96"/>
    <w:rsid w:val="00211B77"/>
    <w:rsid w:val="0021300A"/>
    <w:rsid w:val="002134D3"/>
    <w:rsid w:val="00213DF8"/>
    <w:rsid w:val="00213E3A"/>
    <w:rsid w:val="00214511"/>
    <w:rsid w:val="00214976"/>
    <w:rsid w:val="00214A62"/>
    <w:rsid w:val="00215A50"/>
    <w:rsid w:val="0021728E"/>
    <w:rsid w:val="002201CE"/>
    <w:rsid w:val="002203F6"/>
    <w:rsid w:val="0022070D"/>
    <w:rsid w:val="0022161C"/>
    <w:rsid w:val="00222766"/>
    <w:rsid w:val="00223272"/>
    <w:rsid w:val="00223838"/>
    <w:rsid w:val="00223ABF"/>
    <w:rsid w:val="00223D96"/>
    <w:rsid w:val="00223E38"/>
    <w:rsid w:val="00223F2D"/>
    <w:rsid w:val="00224A38"/>
    <w:rsid w:val="00224FD2"/>
    <w:rsid w:val="00225323"/>
    <w:rsid w:val="002266F1"/>
    <w:rsid w:val="002268C5"/>
    <w:rsid w:val="0023000E"/>
    <w:rsid w:val="00230D84"/>
    <w:rsid w:val="00231E9C"/>
    <w:rsid w:val="00232273"/>
    <w:rsid w:val="00232994"/>
    <w:rsid w:val="00233E0D"/>
    <w:rsid w:val="0023422E"/>
    <w:rsid w:val="002350CE"/>
    <w:rsid w:val="00235A45"/>
    <w:rsid w:val="00235A87"/>
    <w:rsid w:val="0023764A"/>
    <w:rsid w:val="00237C5E"/>
    <w:rsid w:val="00237F37"/>
    <w:rsid w:val="00240018"/>
    <w:rsid w:val="0024150C"/>
    <w:rsid w:val="00241A3B"/>
    <w:rsid w:val="00242FC3"/>
    <w:rsid w:val="00244E23"/>
    <w:rsid w:val="00245247"/>
    <w:rsid w:val="00245684"/>
    <w:rsid w:val="00245876"/>
    <w:rsid w:val="00245ED8"/>
    <w:rsid w:val="00246E80"/>
    <w:rsid w:val="002473EF"/>
    <w:rsid w:val="00247FCB"/>
    <w:rsid w:val="002502B0"/>
    <w:rsid w:val="00250D3A"/>
    <w:rsid w:val="002513CF"/>
    <w:rsid w:val="00251931"/>
    <w:rsid w:val="002529C6"/>
    <w:rsid w:val="00252A7B"/>
    <w:rsid w:val="00253AD3"/>
    <w:rsid w:val="00254050"/>
    <w:rsid w:val="00255414"/>
    <w:rsid w:val="002567E3"/>
    <w:rsid w:val="002578B7"/>
    <w:rsid w:val="002579A8"/>
    <w:rsid w:val="00257AD8"/>
    <w:rsid w:val="00260A33"/>
    <w:rsid w:val="00260E92"/>
    <w:rsid w:val="0026109D"/>
    <w:rsid w:val="00261BC0"/>
    <w:rsid w:val="00261C86"/>
    <w:rsid w:val="00262A34"/>
    <w:rsid w:val="00262BB1"/>
    <w:rsid w:val="0026395C"/>
    <w:rsid w:val="00263ACC"/>
    <w:rsid w:val="00264F2B"/>
    <w:rsid w:val="00265562"/>
    <w:rsid w:val="00265766"/>
    <w:rsid w:val="002665AF"/>
    <w:rsid w:val="002665FA"/>
    <w:rsid w:val="0027014B"/>
    <w:rsid w:val="00271BCD"/>
    <w:rsid w:val="0027346B"/>
    <w:rsid w:val="00273C82"/>
    <w:rsid w:val="00276075"/>
    <w:rsid w:val="00276559"/>
    <w:rsid w:val="002765DC"/>
    <w:rsid w:val="002771B9"/>
    <w:rsid w:val="002775FB"/>
    <w:rsid w:val="00277781"/>
    <w:rsid w:val="00277D11"/>
    <w:rsid w:val="0028004A"/>
    <w:rsid w:val="00280E4D"/>
    <w:rsid w:val="0028153C"/>
    <w:rsid w:val="002816B0"/>
    <w:rsid w:val="002827F3"/>
    <w:rsid w:val="002830D9"/>
    <w:rsid w:val="00283B28"/>
    <w:rsid w:val="0028461D"/>
    <w:rsid w:val="00286A02"/>
    <w:rsid w:val="00286F0E"/>
    <w:rsid w:val="002879FC"/>
    <w:rsid w:val="00290174"/>
    <w:rsid w:val="002901E7"/>
    <w:rsid w:val="00290F14"/>
    <w:rsid w:val="002948E0"/>
    <w:rsid w:val="0029555A"/>
    <w:rsid w:val="00295689"/>
    <w:rsid w:val="00295E40"/>
    <w:rsid w:val="0029649A"/>
    <w:rsid w:val="00297A2B"/>
    <w:rsid w:val="002A1A58"/>
    <w:rsid w:val="002A1BAD"/>
    <w:rsid w:val="002A1BC1"/>
    <w:rsid w:val="002A2E28"/>
    <w:rsid w:val="002A2FF2"/>
    <w:rsid w:val="002A3F0B"/>
    <w:rsid w:val="002A4401"/>
    <w:rsid w:val="002A459C"/>
    <w:rsid w:val="002A4BE6"/>
    <w:rsid w:val="002A4CAC"/>
    <w:rsid w:val="002A603D"/>
    <w:rsid w:val="002A61AA"/>
    <w:rsid w:val="002A66BE"/>
    <w:rsid w:val="002A6974"/>
    <w:rsid w:val="002A6C34"/>
    <w:rsid w:val="002B17DD"/>
    <w:rsid w:val="002B3E1A"/>
    <w:rsid w:val="002B414E"/>
    <w:rsid w:val="002B513D"/>
    <w:rsid w:val="002B59CE"/>
    <w:rsid w:val="002B739B"/>
    <w:rsid w:val="002C007B"/>
    <w:rsid w:val="002C0C14"/>
    <w:rsid w:val="002C0E31"/>
    <w:rsid w:val="002C1E3C"/>
    <w:rsid w:val="002C2674"/>
    <w:rsid w:val="002C36AA"/>
    <w:rsid w:val="002C3E23"/>
    <w:rsid w:val="002C4394"/>
    <w:rsid w:val="002C4AA4"/>
    <w:rsid w:val="002C5024"/>
    <w:rsid w:val="002C5648"/>
    <w:rsid w:val="002C7412"/>
    <w:rsid w:val="002C7463"/>
    <w:rsid w:val="002C799C"/>
    <w:rsid w:val="002C7C3C"/>
    <w:rsid w:val="002D1A89"/>
    <w:rsid w:val="002D2DAE"/>
    <w:rsid w:val="002D3515"/>
    <w:rsid w:val="002D3A4A"/>
    <w:rsid w:val="002D42AC"/>
    <w:rsid w:val="002D485B"/>
    <w:rsid w:val="002D579F"/>
    <w:rsid w:val="002D5946"/>
    <w:rsid w:val="002D783E"/>
    <w:rsid w:val="002D7B17"/>
    <w:rsid w:val="002E0785"/>
    <w:rsid w:val="002E0CB4"/>
    <w:rsid w:val="002E1208"/>
    <w:rsid w:val="002E146E"/>
    <w:rsid w:val="002E2009"/>
    <w:rsid w:val="002E29B9"/>
    <w:rsid w:val="002E3504"/>
    <w:rsid w:val="002E3C8A"/>
    <w:rsid w:val="002E41F5"/>
    <w:rsid w:val="002E5DAC"/>
    <w:rsid w:val="002E5F9C"/>
    <w:rsid w:val="002E633B"/>
    <w:rsid w:val="002F06A8"/>
    <w:rsid w:val="002F10EC"/>
    <w:rsid w:val="002F1A6A"/>
    <w:rsid w:val="002F1B71"/>
    <w:rsid w:val="002F2204"/>
    <w:rsid w:val="002F2B80"/>
    <w:rsid w:val="002F336C"/>
    <w:rsid w:val="002F6A8B"/>
    <w:rsid w:val="002F7B11"/>
    <w:rsid w:val="002F7F42"/>
    <w:rsid w:val="0030074F"/>
    <w:rsid w:val="00301613"/>
    <w:rsid w:val="00301AE7"/>
    <w:rsid w:val="00301E0A"/>
    <w:rsid w:val="00302331"/>
    <w:rsid w:val="00303E7B"/>
    <w:rsid w:val="0030583E"/>
    <w:rsid w:val="00305AEB"/>
    <w:rsid w:val="00305E33"/>
    <w:rsid w:val="00306474"/>
    <w:rsid w:val="00307421"/>
    <w:rsid w:val="00307908"/>
    <w:rsid w:val="0031023D"/>
    <w:rsid w:val="00311694"/>
    <w:rsid w:val="00311D7C"/>
    <w:rsid w:val="00312F4D"/>
    <w:rsid w:val="00313575"/>
    <w:rsid w:val="00315DA5"/>
    <w:rsid w:val="00316931"/>
    <w:rsid w:val="003169A3"/>
    <w:rsid w:val="00320CF1"/>
    <w:rsid w:val="003216A9"/>
    <w:rsid w:val="00321E96"/>
    <w:rsid w:val="003222E6"/>
    <w:rsid w:val="0032283E"/>
    <w:rsid w:val="0032303B"/>
    <w:rsid w:val="003246F0"/>
    <w:rsid w:val="0032581F"/>
    <w:rsid w:val="00326943"/>
    <w:rsid w:val="0032733E"/>
    <w:rsid w:val="003274B5"/>
    <w:rsid w:val="00330208"/>
    <w:rsid w:val="00330226"/>
    <w:rsid w:val="0033072C"/>
    <w:rsid w:val="00330C3A"/>
    <w:rsid w:val="00332DE3"/>
    <w:rsid w:val="00334137"/>
    <w:rsid w:val="0033489E"/>
    <w:rsid w:val="00334FF6"/>
    <w:rsid w:val="00335EC2"/>
    <w:rsid w:val="00336180"/>
    <w:rsid w:val="00337B52"/>
    <w:rsid w:val="00341683"/>
    <w:rsid w:val="00342065"/>
    <w:rsid w:val="00342304"/>
    <w:rsid w:val="003424D1"/>
    <w:rsid w:val="003439BC"/>
    <w:rsid w:val="00343CFA"/>
    <w:rsid w:val="00343D65"/>
    <w:rsid w:val="00343E77"/>
    <w:rsid w:val="00343FA3"/>
    <w:rsid w:val="0034415C"/>
    <w:rsid w:val="003447EC"/>
    <w:rsid w:val="00344826"/>
    <w:rsid w:val="00346D07"/>
    <w:rsid w:val="00347EB8"/>
    <w:rsid w:val="003506BA"/>
    <w:rsid w:val="003514C1"/>
    <w:rsid w:val="00353646"/>
    <w:rsid w:val="00353919"/>
    <w:rsid w:val="003542C9"/>
    <w:rsid w:val="00354685"/>
    <w:rsid w:val="00354E71"/>
    <w:rsid w:val="00354E9C"/>
    <w:rsid w:val="003555AB"/>
    <w:rsid w:val="003561A2"/>
    <w:rsid w:val="0035691B"/>
    <w:rsid w:val="0035697A"/>
    <w:rsid w:val="00357252"/>
    <w:rsid w:val="0036006E"/>
    <w:rsid w:val="00361300"/>
    <w:rsid w:val="00362CAC"/>
    <w:rsid w:val="00363ABB"/>
    <w:rsid w:val="00363F57"/>
    <w:rsid w:val="00364537"/>
    <w:rsid w:val="00364BA4"/>
    <w:rsid w:val="00367080"/>
    <w:rsid w:val="00370527"/>
    <w:rsid w:val="00371714"/>
    <w:rsid w:val="00374006"/>
    <w:rsid w:val="00374C42"/>
    <w:rsid w:val="003752E6"/>
    <w:rsid w:val="003753B2"/>
    <w:rsid w:val="00375989"/>
    <w:rsid w:val="003769B5"/>
    <w:rsid w:val="00376B13"/>
    <w:rsid w:val="003771BE"/>
    <w:rsid w:val="0038049E"/>
    <w:rsid w:val="003810A7"/>
    <w:rsid w:val="00382DFF"/>
    <w:rsid w:val="00383A9B"/>
    <w:rsid w:val="00383E12"/>
    <w:rsid w:val="00384915"/>
    <w:rsid w:val="00385CC7"/>
    <w:rsid w:val="003877B0"/>
    <w:rsid w:val="003919BF"/>
    <w:rsid w:val="0039255D"/>
    <w:rsid w:val="00392829"/>
    <w:rsid w:val="0039289E"/>
    <w:rsid w:val="00393DFD"/>
    <w:rsid w:val="00394BA7"/>
    <w:rsid w:val="00394CFF"/>
    <w:rsid w:val="003959F8"/>
    <w:rsid w:val="00395BC4"/>
    <w:rsid w:val="0039661B"/>
    <w:rsid w:val="003A06C5"/>
    <w:rsid w:val="003A2345"/>
    <w:rsid w:val="003A2A89"/>
    <w:rsid w:val="003A3CA2"/>
    <w:rsid w:val="003A40B6"/>
    <w:rsid w:val="003A4495"/>
    <w:rsid w:val="003A4825"/>
    <w:rsid w:val="003A4BA2"/>
    <w:rsid w:val="003A548D"/>
    <w:rsid w:val="003A78CC"/>
    <w:rsid w:val="003A790F"/>
    <w:rsid w:val="003A7DBA"/>
    <w:rsid w:val="003A7EA3"/>
    <w:rsid w:val="003B07B0"/>
    <w:rsid w:val="003B0A53"/>
    <w:rsid w:val="003B0C8E"/>
    <w:rsid w:val="003B135D"/>
    <w:rsid w:val="003B13A0"/>
    <w:rsid w:val="003B1A27"/>
    <w:rsid w:val="003B41F7"/>
    <w:rsid w:val="003B4E64"/>
    <w:rsid w:val="003B60A6"/>
    <w:rsid w:val="003B6D00"/>
    <w:rsid w:val="003B6DB3"/>
    <w:rsid w:val="003B7499"/>
    <w:rsid w:val="003B7617"/>
    <w:rsid w:val="003B7F19"/>
    <w:rsid w:val="003C0A3F"/>
    <w:rsid w:val="003C0AED"/>
    <w:rsid w:val="003C0F5F"/>
    <w:rsid w:val="003C1C53"/>
    <w:rsid w:val="003C2D79"/>
    <w:rsid w:val="003C3104"/>
    <w:rsid w:val="003C343A"/>
    <w:rsid w:val="003C4561"/>
    <w:rsid w:val="003C4A34"/>
    <w:rsid w:val="003C5ADB"/>
    <w:rsid w:val="003C5F06"/>
    <w:rsid w:val="003C68F1"/>
    <w:rsid w:val="003C6A78"/>
    <w:rsid w:val="003C752B"/>
    <w:rsid w:val="003C7975"/>
    <w:rsid w:val="003D0F86"/>
    <w:rsid w:val="003D2CC5"/>
    <w:rsid w:val="003D2CE3"/>
    <w:rsid w:val="003D304C"/>
    <w:rsid w:val="003D3714"/>
    <w:rsid w:val="003D3DB6"/>
    <w:rsid w:val="003D532E"/>
    <w:rsid w:val="003D53BE"/>
    <w:rsid w:val="003D5CD5"/>
    <w:rsid w:val="003D6880"/>
    <w:rsid w:val="003D789D"/>
    <w:rsid w:val="003D7C06"/>
    <w:rsid w:val="003E007E"/>
    <w:rsid w:val="003E0C2E"/>
    <w:rsid w:val="003E2F85"/>
    <w:rsid w:val="003E32C4"/>
    <w:rsid w:val="003E481C"/>
    <w:rsid w:val="003E486C"/>
    <w:rsid w:val="003E4947"/>
    <w:rsid w:val="003E5369"/>
    <w:rsid w:val="003E6EC2"/>
    <w:rsid w:val="003E79E9"/>
    <w:rsid w:val="003F177B"/>
    <w:rsid w:val="003F1B94"/>
    <w:rsid w:val="003F28B0"/>
    <w:rsid w:val="003F2A49"/>
    <w:rsid w:val="003F377E"/>
    <w:rsid w:val="003F3AB7"/>
    <w:rsid w:val="003F43D1"/>
    <w:rsid w:val="003F47CE"/>
    <w:rsid w:val="003F4B0E"/>
    <w:rsid w:val="003F6214"/>
    <w:rsid w:val="003F628A"/>
    <w:rsid w:val="003F6E35"/>
    <w:rsid w:val="003F7056"/>
    <w:rsid w:val="003F705E"/>
    <w:rsid w:val="00400FB8"/>
    <w:rsid w:val="0040244E"/>
    <w:rsid w:val="004026C1"/>
    <w:rsid w:val="0040538E"/>
    <w:rsid w:val="0040577D"/>
    <w:rsid w:val="00405868"/>
    <w:rsid w:val="00405E39"/>
    <w:rsid w:val="004068CC"/>
    <w:rsid w:val="0041056F"/>
    <w:rsid w:val="0041100D"/>
    <w:rsid w:val="00411011"/>
    <w:rsid w:val="00411EEF"/>
    <w:rsid w:val="004120FD"/>
    <w:rsid w:val="0041308C"/>
    <w:rsid w:val="004130CE"/>
    <w:rsid w:val="004131BA"/>
    <w:rsid w:val="00413C2C"/>
    <w:rsid w:val="00413F54"/>
    <w:rsid w:val="00414E94"/>
    <w:rsid w:val="004153F2"/>
    <w:rsid w:val="00415478"/>
    <w:rsid w:val="00416816"/>
    <w:rsid w:val="00417832"/>
    <w:rsid w:val="0042009C"/>
    <w:rsid w:val="004203AB"/>
    <w:rsid w:val="00420A5F"/>
    <w:rsid w:val="00423D1D"/>
    <w:rsid w:val="0042441D"/>
    <w:rsid w:val="004254FF"/>
    <w:rsid w:val="004261D0"/>
    <w:rsid w:val="0042638B"/>
    <w:rsid w:val="004264AF"/>
    <w:rsid w:val="00427203"/>
    <w:rsid w:val="00427722"/>
    <w:rsid w:val="00427DB8"/>
    <w:rsid w:val="004315C0"/>
    <w:rsid w:val="00431716"/>
    <w:rsid w:val="00431874"/>
    <w:rsid w:val="0043227F"/>
    <w:rsid w:val="00437C95"/>
    <w:rsid w:val="0044215E"/>
    <w:rsid w:val="00442B36"/>
    <w:rsid w:val="00442F2D"/>
    <w:rsid w:val="00443F78"/>
    <w:rsid w:val="00444C5D"/>
    <w:rsid w:val="00445DF2"/>
    <w:rsid w:val="00446A14"/>
    <w:rsid w:val="00447210"/>
    <w:rsid w:val="00447B2B"/>
    <w:rsid w:val="004505C1"/>
    <w:rsid w:val="00450BFD"/>
    <w:rsid w:val="00453727"/>
    <w:rsid w:val="00453977"/>
    <w:rsid w:val="00455304"/>
    <w:rsid w:val="0045576A"/>
    <w:rsid w:val="00455F8A"/>
    <w:rsid w:val="00456BD5"/>
    <w:rsid w:val="00460A0A"/>
    <w:rsid w:val="00461287"/>
    <w:rsid w:val="0046211F"/>
    <w:rsid w:val="00462512"/>
    <w:rsid w:val="00465C06"/>
    <w:rsid w:val="00465C81"/>
    <w:rsid w:val="00465E79"/>
    <w:rsid w:val="0046612E"/>
    <w:rsid w:val="00466F5A"/>
    <w:rsid w:val="00467825"/>
    <w:rsid w:val="00467CA0"/>
    <w:rsid w:val="004704F3"/>
    <w:rsid w:val="0047078C"/>
    <w:rsid w:val="0047086F"/>
    <w:rsid w:val="00470D23"/>
    <w:rsid w:val="004719B8"/>
    <w:rsid w:val="00472FBA"/>
    <w:rsid w:val="004731B2"/>
    <w:rsid w:val="004731C4"/>
    <w:rsid w:val="0047344B"/>
    <w:rsid w:val="00473E0C"/>
    <w:rsid w:val="00474372"/>
    <w:rsid w:val="00474DC8"/>
    <w:rsid w:val="00476F78"/>
    <w:rsid w:val="0047768D"/>
    <w:rsid w:val="004778C8"/>
    <w:rsid w:val="00480B8C"/>
    <w:rsid w:val="004819C6"/>
    <w:rsid w:val="00481ED8"/>
    <w:rsid w:val="00481FFB"/>
    <w:rsid w:val="00482352"/>
    <w:rsid w:val="00482A98"/>
    <w:rsid w:val="00483D59"/>
    <w:rsid w:val="00483E53"/>
    <w:rsid w:val="004845CD"/>
    <w:rsid w:val="00484F5F"/>
    <w:rsid w:val="004855AF"/>
    <w:rsid w:val="00486AC3"/>
    <w:rsid w:val="00486B12"/>
    <w:rsid w:val="00486BBD"/>
    <w:rsid w:val="00486EE8"/>
    <w:rsid w:val="00490FE5"/>
    <w:rsid w:val="00491596"/>
    <w:rsid w:val="004936AA"/>
    <w:rsid w:val="0049517D"/>
    <w:rsid w:val="004951F6"/>
    <w:rsid w:val="0049552D"/>
    <w:rsid w:val="004A120B"/>
    <w:rsid w:val="004A1414"/>
    <w:rsid w:val="004A281D"/>
    <w:rsid w:val="004A2AD1"/>
    <w:rsid w:val="004A2FE7"/>
    <w:rsid w:val="004A30C0"/>
    <w:rsid w:val="004A334D"/>
    <w:rsid w:val="004A38B3"/>
    <w:rsid w:val="004A4158"/>
    <w:rsid w:val="004A4961"/>
    <w:rsid w:val="004A4EA1"/>
    <w:rsid w:val="004A5A48"/>
    <w:rsid w:val="004A6A5F"/>
    <w:rsid w:val="004A6C77"/>
    <w:rsid w:val="004B01EE"/>
    <w:rsid w:val="004B12AC"/>
    <w:rsid w:val="004B1A05"/>
    <w:rsid w:val="004B345E"/>
    <w:rsid w:val="004B4BD1"/>
    <w:rsid w:val="004B6591"/>
    <w:rsid w:val="004B6BE3"/>
    <w:rsid w:val="004B72F8"/>
    <w:rsid w:val="004B7CA7"/>
    <w:rsid w:val="004C0AD2"/>
    <w:rsid w:val="004C0D41"/>
    <w:rsid w:val="004C0E5D"/>
    <w:rsid w:val="004C11D1"/>
    <w:rsid w:val="004C2528"/>
    <w:rsid w:val="004C2B7C"/>
    <w:rsid w:val="004C3304"/>
    <w:rsid w:val="004C370E"/>
    <w:rsid w:val="004C3EB5"/>
    <w:rsid w:val="004C3FC7"/>
    <w:rsid w:val="004C4093"/>
    <w:rsid w:val="004C5FB3"/>
    <w:rsid w:val="004C6004"/>
    <w:rsid w:val="004C6927"/>
    <w:rsid w:val="004C7718"/>
    <w:rsid w:val="004C7B3D"/>
    <w:rsid w:val="004D031F"/>
    <w:rsid w:val="004D0752"/>
    <w:rsid w:val="004D2387"/>
    <w:rsid w:val="004D2635"/>
    <w:rsid w:val="004D3B9F"/>
    <w:rsid w:val="004D4F1A"/>
    <w:rsid w:val="004D574D"/>
    <w:rsid w:val="004D5E92"/>
    <w:rsid w:val="004D5FD5"/>
    <w:rsid w:val="004D70A2"/>
    <w:rsid w:val="004D73D7"/>
    <w:rsid w:val="004D7421"/>
    <w:rsid w:val="004D752F"/>
    <w:rsid w:val="004D7CA4"/>
    <w:rsid w:val="004E03C1"/>
    <w:rsid w:val="004E05F8"/>
    <w:rsid w:val="004E07E1"/>
    <w:rsid w:val="004E19C4"/>
    <w:rsid w:val="004E201D"/>
    <w:rsid w:val="004E2554"/>
    <w:rsid w:val="004E2F5C"/>
    <w:rsid w:val="004E329A"/>
    <w:rsid w:val="004E384E"/>
    <w:rsid w:val="004E4209"/>
    <w:rsid w:val="004E4384"/>
    <w:rsid w:val="004E5527"/>
    <w:rsid w:val="004E5F03"/>
    <w:rsid w:val="004E6600"/>
    <w:rsid w:val="004E6BC1"/>
    <w:rsid w:val="004E757A"/>
    <w:rsid w:val="004F00AB"/>
    <w:rsid w:val="004F051E"/>
    <w:rsid w:val="004F1A79"/>
    <w:rsid w:val="004F41B6"/>
    <w:rsid w:val="004F4301"/>
    <w:rsid w:val="004F563B"/>
    <w:rsid w:val="004F6BBA"/>
    <w:rsid w:val="004F7173"/>
    <w:rsid w:val="00500481"/>
    <w:rsid w:val="00500597"/>
    <w:rsid w:val="00501A35"/>
    <w:rsid w:val="00501EEF"/>
    <w:rsid w:val="0050345D"/>
    <w:rsid w:val="0050395D"/>
    <w:rsid w:val="00504432"/>
    <w:rsid w:val="00505658"/>
    <w:rsid w:val="0050684A"/>
    <w:rsid w:val="00506A28"/>
    <w:rsid w:val="005075B5"/>
    <w:rsid w:val="0050770D"/>
    <w:rsid w:val="00507B31"/>
    <w:rsid w:val="005100B3"/>
    <w:rsid w:val="0051232B"/>
    <w:rsid w:val="0051252C"/>
    <w:rsid w:val="00513071"/>
    <w:rsid w:val="005137DC"/>
    <w:rsid w:val="005141D5"/>
    <w:rsid w:val="00514677"/>
    <w:rsid w:val="00514AF2"/>
    <w:rsid w:val="00514F59"/>
    <w:rsid w:val="0051547C"/>
    <w:rsid w:val="00515C66"/>
    <w:rsid w:val="0051651F"/>
    <w:rsid w:val="00516C6A"/>
    <w:rsid w:val="005170D6"/>
    <w:rsid w:val="005173C9"/>
    <w:rsid w:val="00520A99"/>
    <w:rsid w:val="00520C2F"/>
    <w:rsid w:val="00521600"/>
    <w:rsid w:val="005216E7"/>
    <w:rsid w:val="00522315"/>
    <w:rsid w:val="005229EE"/>
    <w:rsid w:val="00522F6A"/>
    <w:rsid w:val="0052334D"/>
    <w:rsid w:val="00523394"/>
    <w:rsid w:val="00524040"/>
    <w:rsid w:val="00524701"/>
    <w:rsid w:val="00524B5C"/>
    <w:rsid w:val="00525358"/>
    <w:rsid w:val="005317F7"/>
    <w:rsid w:val="005323DF"/>
    <w:rsid w:val="00532451"/>
    <w:rsid w:val="005327F8"/>
    <w:rsid w:val="00533243"/>
    <w:rsid w:val="00534482"/>
    <w:rsid w:val="00534651"/>
    <w:rsid w:val="00534A7D"/>
    <w:rsid w:val="00534D9C"/>
    <w:rsid w:val="00535A14"/>
    <w:rsid w:val="00536670"/>
    <w:rsid w:val="005366DA"/>
    <w:rsid w:val="00536EC3"/>
    <w:rsid w:val="005373F1"/>
    <w:rsid w:val="00537849"/>
    <w:rsid w:val="00537B79"/>
    <w:rsid w:val="00537E36"/>
    <w:rsid w:val="0054059D"/>
    <w:rsid w:val="005408FC"/>
    <w:rsid w:val="00540E6C"/>
    <w:rsid w:val="005411BC"/>
    <w:rsid w:val="00541B8A"/>
    <w:rsid w:val="00542ADC"/>
    <w:rsid w:val="005449E4"/>
    <w:rsid w:val="00544E77"/>
    <w:rsid w:val="00545497"/>
    <w:rsid w:val="00545C01"/>
    <w:rsid w:val="00546767"/>
    <w:rsid w:val="005467C1"/>
    <w:rsid w:val="00551638"/>
    <w:rsid w:val="0055229F"/>
    <w:rsid w:val="00552BC5"/>
    <w:rsid w:val="005541CF"/>
    <w:rsid w:val="005545FF"/>
    <w:rsid w:val="00554B0A"/>
    <w:rsid w:val="0055500F"/>
    <w:rsid w:val="00555A89"/>
    <w:rsid w:val="00555EF9"/>
    <w:rsid w:val="00557574"/>
    <w:rsid w:val="0056052F"/>
    <w:rsid w:val="0056177C"/>
    <w:rsid w:val="00561C6E"/>
    <w:rsid w:val="00561F3D"/>
    <w:rsid w:val="005622F4"/>
    <w:rsid w:val="00562F03"/>
    <w:rsid w:val="005643BF"/>
    <w:rsid w:val="00564B1C"/>
    <w:rsid w:val="005667B9"/>
    <w:rsid w:val="005716BC"/>
    <w:rsid w:val="00571DD1"/>
    <w:rsid w:val="005722BE"/>
    <w:rsid w:val="005736D8"/>
    <w:rsid w:val="005743DD"/>
    <w:rsid w:val="00575032"/>
    <w:rsid w:val="00575280"/>
    <w:rsid w:val="00575888"/>
    <w:rsid w:val="00576616"/>
    <w:rsid w:val="00576818"/>
    <w:rsid w:val="00576E9A"/>
    <w:rsid w:val="00577CC5"/>
    <w:rsid w:val="00581044"/>
    <w:rsid w:val="0058233A"/>
    <w:rsid w:val="00582758"/>
    <w:rsid w:val="0058281E"/>
    <w:rsid w:val="00582B14"/>
    <w:rsid w:val="00582F03"/>
    <w:rsid w:val="00582F20"/>
    <w:rsid w:val="005841D3"/>
    <w:rsid w:val="00584884"/>
    <w:rsid w:val="005852C2"/>
    <w:rsid w:val="005855B3"/>
    <w:rsid w:val="005857AE"/>
    <w:rsid w:val="00586A0F"/>
    <w:rsid w:val="005876E0"/>
    <w:rsid w:val="00587B74"/>
    <w:rsid w:val="00590134"/>
    <w:rsid w:val="00590631"/>
    <w:rsid w:val="005908BF"/>
    <w:rsid w:val="00590F90"/>
    <w:rsid w:val="005911CF"/>
    <w:rsid w:val="00591F8A"/>
    <w:rsid w:val="005927C8"/>
    <w:rsid w:val="005962DC"/>
    <w:rsid w:val="0059785D"/>
    <w:rsid w:val="005978BE"/>
    <w:rsid w:val="005A0223"/>
    <w:rsid w:val="005A02EF"/>
    <w:rsid w:val="005A13AB"/>
    <w:rsid w:val="005A1D4A"/>
    <w:rsid w:val="005A2051"/>
    <w:rsid w:val="005A3FC7"/>
    <w:rsid w:val="005A419C"/>
    <w:rsid w:val="005A51AD"/>
    <w:rsid w:val="005A5395"/>
    <w:rsid w:val="005A56FD"/>
    <w:rsid w:val="005A617C"/>
    <w:rsid w:val="005A62D7"/>
    <w:rsid w:val="005A631A"/>
    <w:rsid w:val="005A69D0"/>
    <w:rsid w:val="005A6F4D"/>
    <w:rsid w:val="005A77AA"/>
    <w:rsid w:val="005B028D"/>
    <w:rsid w:val="005B031C"/>
    <w:rsid w:val="005B1B49"/>
    <w:rsid w:val="005B1F25"/>
    <w:rsid w:val="005B3DB3"/>
    <w:rsid w:val="005B46A2"/>
    <w:rsid w:val="005B571D"/>
    <w:rsid w:val="005B65B9"/>
    <w:rsid w:val="005B6E0B"/>
    <w:rsid w:val="005B751A"/>
    <w:rsid w:val="005B7712"/>
    <w:rsid w:val="005C1011"/>
    <w:rsid w:val="005C122C"/>
    <w:rsid w:val="005C12DC"/>
    <w:rsid w:val="005C1538"/>
    <w:rsid w:val="005C1AC8"/>
    <w:rsid w:val="005C2339"/>
    <w:rsid w:val="005C3934"/>
    <w:rsid w:val="005C3A5E"/>
    <w:rsid w:val="005C3FBC"/>
    <w:rsid w:val="005C4728"/>
    <w:rsid w:val="005C583E"/>
    <w:rsid w:val="005C646A"/>
    <w:rsid w:val="005C6859"/>
    <w:rsid w:val="005C72C3"/>
    <w:rsid w:val="005C746F"/>
    <w:rsid w:val="005C784E"/>
    <w:rsid w:val="005D04EE"/>
    <w:rsid w:val="005D0B26"/>
    <w:rsid w:val="005D11BA"/>
    <w:rsid w:val="005D24D1"/>
    <w:rsid w:val="005D3941"/>
    <w:rsid w:val="005D3BF3"/>
    <w:rsid w:val="005D471C"/>
    <w:rsid w:val="005D4DAD"/>
    <w:rsid w:val="005D5A08"/>
    <w:rsid w:val="005D5E58"/>
    <w:rsid w:val="005D656F"/>
    <w:rsid w:val="005D700D"/>
    <w:rsid w:val="005D774D"/>
    <w:rsid w:val="005D7792"/>
    <w:rsid w:val="005D7D4B"/>
    <w:rsid w:val="005E0917"/>
    <w:rsid w:val="005E0E94"/>
    <w:rsid w:val="005E39E8"/>
    <w:rsid w:val="005E3A2C"/>
    <w:rsid w:val="005E4953"/>
    <w:rsid w:val="005E54F7"/>
    <w:rsid w:val="005E583F"/>
    <w:rsid w:val="005E58E0"/>
    <w:rsid w:val="005E5C17"/>
    <w:rsid w:val="005E5F49"/>
    <w:rsid w:val="005E6DDE"/>
    <w:rsid w:val="005E73ED"/>
    <w:rsid w:val="005E7F82"/>
    <w:rsid w:val="005F2C55"/>
    <w:rsid w:val="005F3819"/>
    <w:rsid w:val="005F52E5"/>
    <w:rsid w:val="005F5BA5"/>
    <w:rsid w:val="005F6517"/>
    <w:rsid w:val="00602014"/>
    <w:rsid w:val="006025E2"/>
    <w:rsid w:val="006026F8"/>
    <w:rsid w:val="0060343B"/>
    <w:rsid w:val="00603EAB"/>
    <w:rsid w:val="00604106"/>
    <w:rsid w:val="006043FD"/>
    <w:rsid w:val="00604865"/>
    <w:rsid w:val="006049AD"/>
    <w:rsid w:val="00604F25"/>
    <w:rsid w:val="00605661"/>
    <w:rsid w:val="00605A04"/>
    <w:rsid w:val="00606A22"/>
    <w:rsid w:val="00606BB8"/>
    <w:rsid w:val="00606DCA"/>
    <w:rsid w:val="00606F66"/>
    <w:rsid w:val="006071D0"/>
    <w:rsid w:val="00607A8C"/>
    <w:rsid w:val="00607D4E"/>
    <w:rsid w:val="00612F0E"/>
    <w:rsid w:val="0061549A"/>
    <w:rsid w:val="00615A16"/>
    <w:rsid w:val="00615D8B"/>
    <w:rsid w:val="00615E86"/>
    <w:rsid w:val="00616171"/>
    <w:rsid w:val="00616627"/>
    <w:rsid w:val="00616D39"/>
    <w:rsid w:val="00620979"/>
    <w:rsid w:val="00622470"/>
    <w:rsid w:val="006224B1"/>
    <w:rsid w:val="006224F9"/>
    <w:rsid w:val="00622E10"/>
    <w:rsid w:val="00623CA7"/>
    <w:rsid w:val="006251E3"/>
    <w:rsid w:val="00625C9A"/>
    <w:rsid w:val="00626392"/>
    <w:rsid w:val="00626571"/>
    <w:rsid w:val="00626AC5"/>
    <w:rsid w:val="00626E33"/>
    <w:rsid w:val="00627FC8"/>
    <w:rsid w:val="00630383"/>
    <w:rsid w:val="006310E7"/>
    <w:rsid w:val="006324D1"/>
    <w:rsid w:val="00633CF5"/>
    <w:rsid w:val="00633DF0"/>
    <w:rsid w:val="0063523C"/>
    <w:rsid w:val="006367EF"/>
    <w:rsid w:val="00637F49"/>
    <w:rsid w:val="006404ED"/>
    <w:rsid w:val="00640539"/>
    <w:rsid w:val="006406FA"/>
    <w:rsid w:val="00640A42"/>
    <w:rsid w:val="00640EC5"/>
    <w:rsid w:val="0064147D"/>
    <w:rsid w:val="00641C8E"/>
    <w:rsid w:val="0064280E"/>
    <w:rsid w:val="006455FB"/>
    <w:rsid w:val="006469B1"/>
    <w:rsid w:val="00647327"/>
    <w:rsid w:val="0064779C"/>
    <w:rsid w:val="006479FE"/>
    <w:rsid w:val="00647FF1"/>
    <w:rsid w:val="00652389"/>
    <w:rsid w:val="00652902"/>
    <w:rsid w:val="00652F18"/>
    <w:rsid w:val="006538C5"/>
    <w:rsid w:val="00654B1E"/>
    <w:rsid w:val="006558C0"/>
    <w:rsid w:val="006575C6"/>
    <w:rsid w:val="00657AF6"/>
    <w:rsid w:val="00660098"/>
    <w:rsid w:val="006601EA"/>
    <w:rsid w:val="00661775"/>
    <w:rsid w:val="00661DC1"/>
    <w:rsid w:val="006632D1"/>
    <w:rsid w:val="00663E9D"/>
    <w:rsid w:val="006640C4"/>
    <w:rsid w:val="00664497"/>
    <w:rsid w:val="00667B14"/>
    <w:rsid w:val="00667B4E"/>
    <w:rsid w:val="006708CF"/>
    <w:rsid w:val="00670E69"/>
    <w:rsid w:val="006712A0"/>
    <w:rsid w:val="006718D1"/>
    <w:rsid w:val="00671B64"/>
    <w:rsid w:val="00672750"/>
    <w:rsid w:val="00672E6F"/>
    <w:rsid w:val="0067356A"/>
    <w:rsid w:val="0067721E"/>
    <w:rsid w:val="006777B5"/>
    <w:rsid w:val="0067799A"/>
    <w:rsid w:val="0068011E"/>
    <w:rsid w:val="0068021E"/>
    <w:rsid w:val="00680EA2"/>
    <w:rsid w:val="00681052"/>
    <w:rsid w:val="00681211"/>
    <w:rsid w:val="0068190F"/>
    <w:rsid w:val="00682107"/>
    <w:rsid w:val="00682325"/>
    <w:rsid w:val="00683140"/>
    <w:rsid w:val="00683D34"/>
    <w:rsid w:val="00683F96"/>
    <w:rsid w:val="00685762"/>
    <w:rsid w:val="006859CD"/>
    <w:rsid w:val="00686437"/>
    <w:rsid w:val="00686CAC"/>
    <w:rsid w:val="00690DF7"/>
    <w:rsid w:val="00691459"/>
    <w:rsid w:val="00691D27"/>
    <w:rsid w:val="00692570"/>
    <w:rsid w:val="00693879"/>
    <w:rsid w:val="00693A05"/>
    <w:rsid w:val="00693D2A"/>
    <w:rsid w:val="00693FB4"/>
    <w:rsid w:val="006949D3"/>
    <w:rsid w:val="00695133"/>
    <w:rsid w:val="006961BB"/>
    <w:rsid w:val="00696BA6"/>
    <w:rsid w:val="00697617"/>
    <w:rsid w:val="00697AE4"/>
    <w:rsid w:val="006A009F"/>
    <w:rsid w:val="006A0F27"/>
    <w:rsid w:val="006A18A5"/>
    <w:rsid w:val="006A3581"/>
    <w:rsid w:val="006A45BA"/>
    <w:rsid w:val="006A46ED"/>
    <w:rsid w:val="006A4BCB"/>
    <w:rsid w:val="006A5285"/>
    <w:rsid w:val="006A53CB"/>
    <w:rsid w:val="006A5BE0"/>
    <w:rsid w:val="006A5CF2"/>
    <w:rsid w:val="006A6305"/>
    <w:rsid w:val="006B0DB3"/>
    <w:rsid w:val="006B130B"/>
    <w:rsid w:val="006B1DBF"/>
    <w:rsid w:val="006B5F03"/>
    <w:rsid w:val="006B63D9"/>
    <w:rsid w:val="006B66A6"/>
    <w:rsid w:val="006B7B63"/>
    <w:rsid w:val="006C0901"/>
    <w:rsid w:val="006C17EC"/>
    <w:rsid w:val="006C2C4F"/>
    <w:rsid w:val="006C2D3B"/>
    <w:rsid w:val="006C3480"/>
    <w:rsid w:val="006C3911"/>
    <w:rsid w:val="006C3ED2"/>
    <w:rsid w:val="006C43F7"/>
    <w:rsid w:val="006C4606"/>
    <w:rsid w:val="006C4688"/>
    <w:rsid w:val="006C46D2"/>
    <w:rsid w:val="006C4B1D"/>
    <w:rsid w:val="006C5052"/>
    <w:rsid w:val="006C542F"/>
    <w:rsid w:val="006C5F70"/>
    <w:rsid w:val="006C6B89"/>
    <w:rsid w:val="006C6C75"/>
    <w:rsid w:val="006C6DA1"/>
    <w:rsid w:val="006C782A"/>
    <w:rsid w:val="006C7AE3"/>
    <w:rsid w:val="006D0CAB"/>
    <w:rsid w:val="006D2372"/>
    <w:rsid w:val="006D315E"/>
    <w:rsid w:val="006D3454"/>
    <w:rsid w:val="006D3BB5"/>
    <w:rsid w:val="006D3E4C"/>
    <w:rsid w:val="006D6045"/>
    <w:rsid w:val="006D6447"/>
    <w:rsid w:val="006D6844"/>
    <w:rsid w:val="006D6DDA"/>
    <w:rsid w:val="006E0D9C"/>
    <w:rsid w:val="006E1430"/>
    <w:rsid w:val="006E179E"/>
    <w:rsid w:val="006E1ABD"/>
    <w:rsid w:val="006E208D"/>
    <w:rsid w:val="006E262B"/>
    <w:rsid w:val="006E3793"/>
    <w:rsid w:val="006E3ECA"/>
    <w:rsid w:val="006E40AE"/>
    <w:rsid w:val="006E47F5"/>
    <w:rsid w:val="006E494E"/>
    <w:rsid w:val="006E4B2E"/>
    <w:rsid w:val="006E4EDF"/>
    <w:rsid w:val="006E54FE"/>
    <w:rsid w:val="006E6C6B"/>
    <w:rsid w:val="006E6CAE"/>
    <w:rsid w:val="006E7B75"/>
    <w:rsid w:val="006F1190"/>
    <w:rsid w:val="006F1A6A"/>
    <w:rsid w:val="006F3E7B"/>
    <w:rsid w:val="006F4154"/>
    <w:rsid w:val="006F441F"/>
    <w:rsid w:val="006F4A47"/>
    <w:rsid w:val="006F4BE0"/>
    <w:rsid w:val="006F5399"/>
    <w:rsid w:val="006F5530"/>
    <w:rsid w:val="006F5780"/>
    <w:rsid w:val="006F582C"/>
    <w:rsid w:val="006F6CEE"/>
    <w:rsid w:val="00700453"/>
    <w:rsid w:val="007005A5"/>
    <w:rsid w:val="007008AF"/>
    <w:rsid w:val="00700CAB"/>
    <w:rsid w:val="007014F5"/>
    <w:rsid w:val="007015CB"/>
    <w:rsid w:val="007016DD"/>
    <w:rsid w:val="00701918"/>
    <w:rsid w:val="00702BE7"/>
    <w:rsid w:val="00703738"/>
    <w:rsid w:val="00705AE0"/>
    <w:rsid w:val="00705D3A"/>
    <w:rsid w:val="00706273"/>
    <w:rsid w:val="00707000"/>
    <w:rsid w:val="00707963"/>
    <w:rsid w:val="00707C71"/>
    <w:rsid w:val="00707D5D"/>
    <w:rsid w:val="00710BA2"/>
    <w:rsid w:val="00710C89"/>
    <w:rsid w:val="00711D81"/>
    <w:rsid w:val="00712312"/>
    <w:rsid w:val="00712418"/>
    <w:rsid w:val="00712EDB"/>
    <w:rsid w:val="00713ADC"/>
    <w:rsid w:val="00714266"/>
    <w:rsid w:val="00714877"/>
    <w:rsid w:val="00714E02"/>
    <w:rsid w:val="007151A1"/>
    <w:rsid w:val="00715207"/>
    <w:rsid w:val="00715530"/>
    <w:rsid w:val="00715B54"/>
    <w:rsid w:val="007166AE"/>
    <w:rsid w:val="00716977"/>
    <w:rsid w:val="00717A66"/>
    <w:rsid w:val="0072028C"/>
    <w:rsid w:val="00720B71"/>
    <w:rsid w:val="007215E2"/>
    <w:rsid w:val="00722B32"/>
    <w:rsid w:val="007236F1"/>
    <w:rsid w:val="00723BE9"/>
    <w:rsid w:val="00723DBF"/>
    <w:rsid w:val="00726F81"/>
    <w:rsid w:val="00731217"/>
    <w:rsid w:val="0073185C"/>
    <w:rsid w:val="007319D5"/>
    <w:rsid w:val="00733869"/>
    <w:rsid w:val="00733C4B"/>
    <w:rsid w:val="0073530D"/>
    <w:rsid w:val="00735613"/>
    <w:rsid w:val="00736986"/>
    <w:rsid w:val="00737FC9"/>
    <w:rsid w:val="007411C5"/>
    <w:rsid w:val="00742C8D"/>
    <w:rsid w:val="00742C97"/>
    <w:rsid w:val="00742D4C"/>
    <w:rsid w:val="00742FC2"/>
    <w:rsid w:val="00743878"/>
    <w:rsid w:val="00743F1E"/>
    <w:rsid w:val="00744B65"/>
    <w:rsid w:val="007473BD"/>
    <w:rsid w:val="0074742E"/>
    <w:rsid w:val="00750289"/>
    <w:rsid w:val="007508D2"/>
    <w:rsid w:val="00750D87"/>
    <w:rsid w:val="007512B6"/>
    <w:rsid w:val="00751A15"/>
    <w:rsid w:val="00752493"/>
    <w:rsid w:val="0075260A"/>
    <w:rsid w:val="00752896"/>
    <w:rsid w:val="00753051"/>
    <w:rsid w:val="00753227"/>
    <w:rsid w:val="0075351F"/>
    <w:rsid w:val="007542C6"/>
    <w:rsid w:val="00755293"/>
    <w:rsid w:val="0075576A"/>
    <w:rsid w:val="00756975"/>
    <w:rsid w:val="00756ADC"/>
    <w:rsid w:val="00756E40"/>
    <w:rsid w:val="0075701D"/>
    <w:rsid w:val="0076103C"/>
    <w:rsid w:val="007633D3"/>
    <w:rsid w:val="0076380B"/>
    <w:rsid w:val="00763BEC"/>
    <w:rsid w:val="00763CC6"/>
    <w:rsid w:val="00764439"/>
    <w:rsid w:val="00765E19"/>
    <w:rsid w:val="00766037"/>
    <w:rsid w:val="00766BEA"/>
    <w:rsid w:val="00766CAC"/>
    <w:rsid w:val="00770D5E"/>
    <w:rsid w:val="00770FEB"/>
    <w:rsid w:val="00771209"/>
    <w:rsid w:val="007713D6"/>
    <w:rsid w:val="00771BC3"/>
    <w:rsid w:val="00773397"/>
    <w:rsid w:val="0077375D"/>
    <w:rsid w:val="00774866"/>
    <w:rsid w:val="007751FD"/>
    <w:rsid w:val="00775AEB"/>
    <w:rsid w:val="0077664E"/>
    <w:rsid w:val="00776AC3"/>
    <w:rsid w:val="00776FA9"/>
    <w:rsid w:val="00777429"/>
    <w:rsid w:val="00780C71"/>
    <w:rsid w:val="00781420"/>
    <w:rsid w:val="00781AE3"/>
    <w:rsid w:val="00781B1B"/>
    <w:rsid w:val="00782591"/>
    <w:rsid w:val="007841FA"/>
    <w:rsid w:val="00784ABF"/>
    <w:rsid w:val="00784D86"/>
    <w:rsid w:val="007851A9"/>
    <w:rsid w:val="00786218"/>
    <w:rsid w:val="00786DD3"/>
    <w:rsid w:val="00787B0E"/>
    <w:rsid w:val="007912C0"/>
    <w:rsid w:val="00791E79"/>
    <w:rsid w:val="00791EE2"/>
    <w:rsid w:val="0079249A"/>
    <w:rsid w:val="0079276A"/>
    <w:rsid w:val="007928D6"/>
    <w:rsid w:val="0079345A"/>
    <w:rsid w:val="00793644"/>
    <w:rsid w:val="0079571A"/>
    <w:rsid w:val="00795CFA"/>
    <w:rsid w:val="00797B07"/>
    <w:rsid w:val="00797BA0"/>
    <w:rsid w:val="007A010A"/>
    <w:rsid w:val="007A16DD"/>
    <w:rsid w:val="007A1996"/>
    <w:rsid w:val="007A20E2"/>
    <w:rsid w:val="007A24CA"/>
    <w:rsid w:val="007A29F8"/>
    <w:rsid w:val="007A2A58"/>
    <w:rsid w:val="007A387E"/>
    <w:rsid w:val="007A3F30"/>
    <w:rsid w:val="007A5F7E"/>
    <w:rsid w:val="007A65AC"/>
    <w:rsid w:val="007A6D0D"/>
    <w:rsid w:val="007A76F3"/>
    <w:rsid w:val="007A7F5E"/>
    <w:rsid w:val="007B039A"/>
    <w:rsid w:val="007B072B"/>
    <w:rsid w:val="007B099A"/>
    <w:rsid w:val="007B0F03"/>
    <w:rsid w:val="007B1083"/>
    <w:rsid w:val="007B1308"/>
    <w:rsid w:val="007B1879"/>
    <w:rsid w:val="007B1AD6"/>
    <w:rsid w:val="007B1BA7"/>
    <w:rsid w:val="007B1D98"/>
    <w:rsid w:val="007B2302"/>
    <w:rsid w:val="007B2320"/>
    <w:rsid w:val="007B2AC7"/>
    <w:rsid w:val="007B2AE8"/>
    <w:rsid w:val="007B2AF2"/>
    <w:rsid w:val="007B2DCB"/>
    <w:rsid w:val="007B32B9"/>
    <w:rsid w:val="007B3763"/>
    <w:rsid w:val="007B4387"/>
    <w:rsid w:val="007B4E91"/>
    <w:rsid w:val="007B614D"/>
    <w:rsid w:val="007B61A5"/>
    <w:rsid w:val="007B65E3"/>
    <w:rsid w:val="007C01B4"/>
    <w:rsid w:val="007C0A67"/>
    <w:rsid w:val="007C0D64"/>
    <w:rsid w:val="007C0DBB"/>
    <w:rsid w:val="007C13BE"/>
    <w:rsid w:val="007C1E62"/>
    <w:rsid w:val="007C32B7"/>
    <w:rsid w:val="007C33DD"/>
    <w:rsid w:val="007C3D2F"/>
    <w:rsid w:val="007C4267"/>
    <w:rsid w:val="007C467A"/>
    <w:rsid w:val="007C4F77"/>
    <w:rsid w:val="007C5C50"/>
    <w:rsid w:val="007C5DD5"/>
    <w:rsid w:val="007C5FFC"/>
    <w:rsid w:val="007C65C7"/>
    <w:rsid w:val="007C6940"/>
    <w:rsid w:val="007D034E"/>
    <w:rsid w:val="007D04D0"/>
    <w:rsid w:val="007D0D08"/>
    <w:rsid w:val="007D1C72"/>
    <w:rsid w:val="007D2B6B"/>
    <w:rsid w:val="007D4C86"/>
    <w:rsid w:val="007D599C"/>
    <w:rsid w:val="007D5A1D"/>
    <w:rsid w:val="007D730A"/>
    <w:rsid w:val="007D7424"/>
    <w:rsid w:val="007E0372"/>
    <w:rsid w:val="007E03A2"/>
    <w:rsid w:val="007E0EA0"/>
    <w:rsid w:val="007E1ECD"/>
    <w:rsid w:val="007E2202"/>
    <w:rsid w:val="007E286B"/>
    <w:rsid w:val="007E2A5F"/>
    <w:rsid w:val="007E52A1"/>
    <w:rsid w:val="007E5643"/>
    <w:rsid w:val="007E6004"/>
    <w:rsid w:val="007E6668"/>
    <w:rsid w:val="007E68BF"/>
    <w:rsid w:val="007E7A54"/>
    <w:rsid w:val="007F091A"/>
    <w:rsid w:val="007F376E"/>
    <w:rsid w:val="007F4BAF"/>
    <w:rsid w:val="007F5CE5"/>
    <w:rsid w:val="007F6BF8"/>
    <w:rsid w:val="007F7ED1"/>
    <w:rsid w:val="0080000B"/>
    <w:rsid w:val="00800813"/>
    <w:rsid w:val="00800BBC"/>
    <w:rsid w:val="00802826"/>
    <w:rsid w:val="0080289F"/>
    <w:rsid w:val="008030F6"/>
    <w:rsid w:val="008034FF"/>
    <w:rsid w:val="00803B49"/>
    <w:rsid w:val="00803EC5"/>
    <w:rsid w:val="0080469E"/>
    <w:rsid w:val="008048D8"/>
    <w:rsid w:val="008049D2"/>
    <w:rsid w:val="00804F0E"/>
    <w:rsid w:val="00804F70"/>
    <w:rsid w:val="00805BE2"/>
    <w:rsid w:val="008103BD"/>
    <w:rsid w:val="00810AED"/>
    <w:rsid w:val="00811345"/>
    <w:rsid w:val="008114B8"/>
    <w:rsid w:val="008116D3"/>
    <w:rsid w:val="00811986"/>
    <w:rsid w:val="008119C2"/>
    <w:rsid w:val="00813F29"/>
    <w:rsid w:val="00814F34"/>
    <w:rsid w:val="0081507F"/>
    <w:rsid w:val="0081550A"/>
    <w:rsid w:val="0081564C"/>
    <w:rsid w:val="00815966"/>
    <w:rsid w:val="00815D4D"/>
    <w:rsid w:val="00816489"/>
    <w:rsid w:val="00816E29"/>
    <w:rsid w:val="008170A5"/>
    <w:rsid w:val="0081739B"/>
    <w:rsid w:val="008176E4"/>
    <w:rsid w:val="00817C2E"/>
    <w:rsid w:val="00821475"/>
    <w:rsid w:val="00822313"/>
    <w:rsid w:val="00822F78"/>
    <w:rsid w:val="008234F4"/>
    <w:rsid w:val="00823EF2"/>
    <w:rsid w:val="0082412A"/>
    <w:rsid w:val="008248F3"/>
    <w:rsid w:val="00827E4B"/>
    <w:rsid w:val="0083027F"/>
    <w:rsid w:val="00830DBF"/>
    <w:rsid w:val="00831150"/>
    <w:rsid w:val="00831A85"/>
    <w:rsid w:val="00832AFD"/>
    <w:rsid w:val="00833057"/>
    <w:rsid w:val="008335C5"/>
    <w:rsid w:val="00833882"/>
    <w:rsid w:val="00834584"/>
    <w:rsid w:val="0083470A"/>
    <w:rsid w:val="008420F9"/>
    <w:rsid w:val="00842E7F"/>
    <w:rsid w:val="00842EA3"/>
    <w:rsid w:val="00842F3F"/>
    <w:rsid w:val="00843164"/>
    <w:rsid w:val="00843898"/>
    <w:rsid w:val="0084394F"/>
    <w:rsid w:val="0084492D"/>
    <w:rsid w:val="00844D86"/>
    <w:rsid w:val="00845427"/>
    <w:rsid w:val="008460CD"/>
    <w:rsid w:val="0084623D"/>
    <w:rsid w:val="00846881"/>
    <w:rsid w:val="00847B1B"/>
    <w:rsid w:val="00847F2D"/>
    <w:rsid w:val="008512FF"/>
    <w:rsid w:val="0085132B"/>
    <w:rsid w:val="00852B49"/>
    <w:rsid w:val="00852BC1"/>
    <w:rsid w:val="0085352B"/>
    <w:rsid w:val="008537F0"/>
    <w:rsid w:val="008549BF"/>
    <w:rsid w:val="00855227"/>
    <w:rsid w:val="00855B05"/>
    <w:rsid w:val="008561EF"/>
    <w:rsid w:val="00856B4E"/>
    <w:rsid w:val="00861099"/>
    <w:rsid w:val="00861408"/>
    <w:rsid w:val="00861D1B"/>
    <w:rsid w:val="00862457"/>
    <w:rsid w:val="008626FA"/>
    <w:rsid w:val="0086297D"/>
    <w:rsid w:val="00862F88"/>
    <w:rsid w:val="00864E37"/>
    <w:rsid w:val="00865505"/>
    <w:rsid w:val="00865962"/>
    <w:rsid w:val="00866FB5"/>
    <w:rsid w:val="00870214"/>
    <w:rsid w:val="00871C29"/>
    <w:rsid w:val="00871D41"/>
    <w:rsid w:val="008727F9"/>
    <w:rsid w:val="00873402"/>
    <w:rsid w:val="00873647"/>
    <w:rsid w:val="00873ACD"/>
    <w:rsid w:val="00873D93"/>
    <w:rsid w:val="0087461E"/>
    <w:rsid w:val="00874D1B"/>
    <w:rsid w:val="00875978"/>
    <w:rsid w:val="008772B4"/>
    <w:rsid w:val="00877CEB"/>
    <w:rsid w:val="008802DE"/>
    <w:rsid w:val="0088081A"/>
    <w:rsid w:val="00881930"/>
    <w:rsid w:val="0088258B"/>
    <w:rsid w:val="00882DF5"/>
    <w:rsid w:val="00883BD2"/>
    <w:rsid w:val="008842F2"/>
    <w:rsid w:val="00884356"/>
    <w:rsid w:val="0088477F"/>
    <w:rsid w:val="008855E2"/>
    <w:rsid w:val="008868D3"/>
    <w:rsid w:val="00886EB7"/>
    <w:rsid w:val="00886FE1"/>
    <w:rsid w:val="00890293"/>
    <w:rsid w:val="008917BA"/>
    <w:rsid w:val="00892FEB"/>
    <w:rsid w:val="00893797"/>
    <w:rsid w:val="0089454F"/>
    <w:rsid w:val="00895CC2"/>
    <w:rsid w:val="008975B3"/>
    <w:rsid w:val="008A142C"/>
    <w:rsid w:val="008A1734"/>
    <w:rsid w:val="008A1AA2"/>
    <w:rsid w:val="008A22FD"/>
    <w:rsid w:val="008A24B4"/>
    <w:rsid w:val="008A2988"/>
    <w:rsid w:val="008A2DD6"/>
    <w:rsid w:val="008A2FCD"/>
    <w:rsid w:val="008A3690"/>
    <w:rsid w:val="008A3A5C"/>
    <w:rsid w:val="008A3E75"/>
    <w:rsid w:val="008A3F3A"/>
    <w:rsid w:val="008A42A4"/>
    <w:rsid w:val="008A44CF"/>
    <w:rsid w:val="008B0043"/>
    <w:rsid w:val="008B044E"/>
    <w:rsid w:val="008B0570"/>
    <w:rsid w:val="008B0725"/>
    <w:rsid w:val="008B0C37"/>
    <w:rsid w:val="008B0DCA"/>
    <w:rsid w:val="008B10A4"/>
    <w:rsid w:val="008B1124"/>
    <w:rsid w:val="008B4DC7"/>
    <w:rsid w:val="008B568B"/>
    <w:rsid w:val="008B57C3"/>
    <w:rsid w:val="008B59A1"/>
    <w:rsid w:val="008B5D60"/>
    <w:rsid w:val="008B6246"/>
    <w:rsid w:val="008B7A00"/>
    <w:rsid w:val="008B7FB8"/>
    <w:rsid w:val="008C00AB"/>
    <w:rsid w:val="008C0136"/>
    <w:rsid w:val="008C0530"/>
    <w:rsid w:val="008C0D7D"/>
    <w:rsid w:val="008C146B"/>
    <w:rsid w:val="008C1E27"/>
    <w:rsid w:val="008C286D"/>
    <w:rsid w:val="008C30BD"/>
    <w:rsid w:val="008C471D"/>
    <w:rsid w:val="008C59E1"/>
    <w:rsid w:val="008C6597"/>
    <w:rsid w:val="008C68C7"/>
    <w:rsid w:val="008C7450"/>
    <w:rsid w:val="008C7B71"/>
    <w:rsid w:val="008C7D71"/>
    <w:rsid w:val="008D11C2"/>
    <w:rsid w:val="008D2654"/>
    <w:rsid w:val="008D2D47"/>
    <w:rsid w:val="008D2E3F"/>
    <w:rsid w:val="008D2EC7"/>
    <w:rsid w:val="008D441B"/>
    <w:rsid w:val="008D4821"/>
    <w:rsid w:val="008D4895"/>
    <w:rsid w:val="008D5103"/>
    <w:rsid w:val="008D52EB"/>
    <w:rsid w:val="008D5429"/>
    <w:rsid w:val="008D57AB"/>
    <w:rsid w:val="008D59AA"/>
    <w:rsid w:val="008D7941"/>
    <w:rsid w:val="008E00FE"/>
    <w:rsid w:val="008E0C69"/>
    <w:rsid w:val="008E1132"/>
    <w:rsid w:val="008E1913"/>
    <w:rsid w:val="008E20DA"/>
    <w:rsid w:val="008E24CC"/>
    <w:rsid w:val="008E251C"/>
    <w:rsid w:val="008E263C"/>
    <w:rsid w:val="008E2B04"/>
    <w:rsid w:val="008E3F75"/>
    <w:rsid w:val="008E4AA8"/>
    <w:rsid w:val="008E5ECF"/>
    <w:rsid w:val="008E7B03"/>
    <w:rsid w:val="008F0227"/>
    <w:rsid w:val="008F0DDA"/>
    <w:rsid w:val="008F0EA6"/>
    <w:rsid w:val="008F2480"/>
    <w:rsid w:val="008F24F2"/>
    <w:rsid w:val="008F2E3C"/>
    <w:rsid w:val="008F3819"/>
    <w:rsid w:val="008F43FB"/>
    <w:rsid w:val="008F4B75"/>
    <w:rsid w:val="008F50A1"/>
    <w:rsid w:val="008F5441"/>
    <w:rsid w:val="008F5819"/>
    <w:rsid w:val="008F5BB1"/>
    <w:rsid w:val="008F618A"/>
    <w:rsid w:val="008F61CF"/>
    <w:rsid w:val="008F62E6"/>
    <w:rsid w:val="008F6720"/>
    <w:rsid w:val="008F7499"/>
    <w:rsid w:val="00900005"/>
    <w:rsid w:val="00900176"/>
    <w:rsid w:val="00900299"/>
    <w:rsid w:val="00900685"/>
    <w:rsid w:val="00901294"/>
    <w:rsid w:val="00901DC6"/>
    <w:rsid w:val="009022D6"/>
    <w:rsid w:val="00903613"/>
    <w:rsid w:val="009036B8"/>
    <w:rsid w:val="00903B2F"/>
    <w:rsid w:val="00905175"/>
    <w:rsid w:val="00905E18"/>
    <w:rsid w:val="009067D4"/>
    <w:rsid w:val="00911E02"/>
    <w:rsid w:val="00912590"/>
    <w:rsid w:val="00912701"/>
    <w:rsid w:val="00912D4F"/>
    <w:rsid w:val="00913486"/>
    <w:rsid w:val="00913BC3"/>
    <w:rsid w:val="00913DB6"/>
    <w:rsid w:val="00914DE2"/>
    <w:rsid w:val="00915409"/>
    <w:rsid w:val="00915893"/>
    <w:rsid w:val="00916323"/>
    <w:rsid w:val="00916835"/>
    <w:rsid w:val="00917CFD"/>
    <w:rsid w:val="00921415"/>
    <w:rsid w:val="00921B80"/>
    <w:rsid w:val="00923075"/>
    <w:rsid w:val="00923181"/>
    <w:rsid w:val="009235B0"/>
    <w:rsid w:val="009235C2"/>
    <w:rsid w:val="0092471B"/>
    <w:rsid w:val="009259BC"/>
    <w:rsid w:val="009262B1"/>
    <w:rsid w:val="00926659"/>
    <w:rsid w:val="00926861"/>
    <w:rsid w:val="00926C9B"/>
    <w:rsid w:val="00927B8C"/>
    <w:rsid w:val="009303CB"/>
    <w:rsid w:val="00930599"/>
    <w:rsid w:val="00930ADE"/>
    <w:rsid w:val="00930D88"/>
    <w:rsid w:val="009327FB"/>
    <w:rsid w:val="009329D3"/>
    <w:rsid w:val="00932ABC"/>
    <w:rsid w:val="00934C5D"/>
    <w:rsid w:val="00934C91"/>
    <w:rsid w:val="00935829"/>
    <w:rsid w:val="00935F75"/>
    <w:rsid w:val="00936542"/>
    <w:rsid w:val="00937493"/>
    <w:rsid w:val="00937D5A"/>
    <w:rsid w:val="00940C88"/>
    <w:rsid w:val="009410BB"/>
    <w:rsid w:val="00942760"/>
    <w:rsid w:val="009428E4"/>
    <w:rsid w:val="00943654"/>
    <w:rsid w:val="0094383B"/>
    <w:rsid w:val="009446D0"/>
    <w:rsid w:val="00944D5C"/>
    <w:rsid w:val="00945688"/>
    <w:rsid w:val="00947773"/>
    <w:rsid w:val="00947E48"/>
    <w:rsid w:val="00950CAE"/>
    <w:rsid w:val="009512D0"/>
    <w:rsid w:val="009513FC"/>
    <w:rsid w:val="009520B2"/>
    <w:rsid w:val="00952105"/>
    <w:rsid w:val="00953A6E"/>
    <w:rsid w:val="00953B58"/>
    <w:rsid w:val="00953ED4"/>
    <w:rsid w:val="00954F04"/>
    <w:rsid w:val="0095518B"/>
    <w:rsid w:val="00955783"/>
    <w:rsid w:val="00955B86"/>
    <w:rsid w:val="00955E3F"/>
    <w:rsid w:val="00956954"/>
    <w:rsid w:val="009573E1"/>
    <w:rsid w:val="00957829"/>
    <w:rsid w:val="00957F66"/>
    <w:rsid w:val="00957FB0"/>
    <w:rsid w:val="00960899"/>
    <w:rsid w:val="00961895"/>
    <w:rsid w:val="009627B0"/>
    <w:rsid w:val="00963B3F"/>
    <w:rsid w:val="009641A4"/>
    <w:rsid w:val="00964BEB"/>
    <w:rsid w:val="009662CE"/>
    <w:rsid w:val="0096689B"/>
    <w:rsid w:val="009708B7"/>
    <w:rsid w:val="00971D2E"/>
    <w:rsid w:val="00972189"/>
    <w:rsid w:val="009728D4"/>
    <w:rsid w:val="009744FD"/>
    <w:rsid w:val="00975673"/>
    <w:rsid w:val="0097580D"/>
    <w:rsid w:val="009758E2"/>
    <w:rsid w:val="009815C9"/>
    <w:rsid w:val="00981A3C"/>
    <w:rsid w:val="00981B86"/>
    <w:rsid w:val="00984083"/>
    <w:rsid w:val="009848E5"/>
    <w:rsid w:val="00984AB2"/>
    <w:rsid w:val="00984C7E"/>
    <w:rsid w:val="009852AB"/>
    <w:rsid w:val="0098621D"/>
    <w:rsid w:val="00986641"/>
    <w:rsid w:val="0098680D"/>
    <w:rsid w:val="009876AC"/>
    <w:rsid w:val="009876CA"/>
    <w:rsid w:val="0099080E"/>
    <w:rsid w:val="0099126F"/>
    <w:rsid w:val="0099145A"/>
    <w:rsid w:val="009918F7"/>
    <w:rsid w:val="00991D5E"/>
    <w:rsid w:val="00993342"/>
    <w:rsid w:val="009940C1"/>
    <w:rsid w:val="0099439E"/>
    <w:rsid w:val="009948D3"/>
    <w:rsid w:val="00994C6C"/>
    <w:rsid w:val="00995290"/>
    <w:rsid w:val="009956DE"/>
    <w:rsid w:val="009958CE"/>
    <w:rsid w:val="009966A5"/>
    <w:rsid w:val="00996745"/>
    <w:rsid w:val="00997409"/>
    <w:rsid w:val="009A05AE"/>
    <w:rsid w:val="009A0F47"/>
    <w:rsid w:val="009A1817"/>
    <w:rsid w:val="009A1975"/>
    <w:rsid w:val="009A23F6"/>
    <w:rsid w:val="009A35EE"/>
    <w:rsid w:val="009A37BC"/>
    <w:rsid w:val="009A3A1A"/>
    <w:rsid w:val="009A516E"/>
    <w:rsid w:val="009A5542"/>
    <w:rsid w:val="009A5C2F"/>
    <w:rsid w:val="009A5C80"/>
    <w:rsid w:val="009A67D7"/>
    <w:rsid w:val="009A6B46"/>
    <w:rsid w:val="009A6CB9"/>
    <w:rsid w:val="009A76B6"/>
    <w:rsid w:val="009A7C39"/>
    <w:rsid w:val="009B081B"/>
    <w:rsid w:val="009B0BE1"/>
    <w:rsid w:val="009B0D7C"/>
    <w:rsid w:val="009B1E85"/>
    <w:rsid w:val="009B46DF"/>
    <w:rsid w:val="009B5B94"/>
    <w:rsid w:val="009B5D28"/>
    <w:rsid w:val="009B5ED4"/>
    <w:rsid w:val="009B6D3D"/>
    <w:rsid w:val="009C2B9F"/>
    <w:rsid w:val="009C3376"/>
    <w:rsid w:val="009C3637"/>
    <w:rsid w:val="009C3708"/>
    <w:rsid w:val="009C4340"/>
    <w:rsid w:val="009C457B"/>
    <w:rsid w:val="009C567A"/>
    <w:rsid w:val="009C609C"/>
    <w:rsid w:val="009C6BA6"/>
    <w:rsid w:val="009C6C9E"/>
    <w:rsid w:val="009C6FCB"/>
    <w:rsid w:val="009C7617"/>
    <w:rsid w:val="009C7C1B"/>
    <w:rsid w:val="009D05CA"/>
    <w:rsid w:val="009D252F"/>
    <w:rsid w:val="009D2ADC"/>
    <w:rsid w:val="009D2B1B"/>
    <w:rsid w:val="009D2FA8"/>
    <w:rsid w:val="009D48CB"/>
    <w:rsid w:val="009D57DB"/>
    <w:rsid w:val="009D6355"/>
    <w:rsid w:val="009D6A95"/>
    <w:rsid w:val="009D7AE2"/>
    <w:rsid w:val="009E017C"/>
    <w:rsid w:val="009E06AC"/>
    <w:rsid w:val="009E0CC9"/>
    <w:rsid w:val="009E1CDA"/>
    <w:rsid w:val="009E1D30"/>
    <w:rsid w:val="009E2ADB"/>
    <w:rsid w:val="009E3C15"/>
    <w:rsid w:val="009E4BFA"/>
    <w:rsid w:val="009E5241"/>
    <w:rsid w:val="009E5547"/>
    <w:rsid w:val="009E682A"/>
    <w:rsid w:val="009E6C52"/>
    <w:rsid w:val="009E7CB2"/>
    <w:rsid w:val="009F12BF"/>
    <w:rsid w:val="009F29D0"/>
    <w:rsid w:val="009F2F40"/>
    <w:rsid w:val="009F49BD"/>
    <w:rsid w:val="009F5A32"/>
    <w:rsid w:val="009F69C2"/>
    <w:rsid w:val="009F7190"/>
    <w:rsid w:val="00A01607"/>
    <w:rsid w:val="00A01874"/>
    <w:rsid w:val="00A04577"/>
    <w:rsid w:val="00A0467F"/>
    <w:rsid w:val="00A04BDC"/>
    <w:rsid w:val="00A05776"/>
    <w:rsid w:val="00A061AF"/>
    <w:rsid w:val="00A0622F"/>
    <w:rsid w:val="00A06515"/>
    <w:rsid w:val="00A0667A"/>
    <w:rsid w:val="00A06A29"/>
    <w:rsid w:val="00A06A71"/>
    <w:rsid w:val="00A06F62"/>
    <w:rsid w:val="00A115BA"/>
    <w:rsid w:val="00A1189E"/>
    <w:rsid w:val="00A1278C"/>
    <w:rsid w:val="00A12F05"/>
    <w:rsid w:val="00A13312"/>
    <w:rsid w:val="00A13B28"/>
    <w:rsid w:val="00A1419C"/>
    <w:rsid w:val="00A14A27"/>
    <w:rsid w:val="00A14EFA"/>
    <w:rsid w:val="00A151FA"/>
    <w:rsid w:val="00A17800"/>
    <w:rsid w:val="00A20BA0"/>
    <w:rsid w:val="00A24430"/>
    <w:rsid w:val="00A26805"/>
    <w:rsid w:val="00A30C01"/>
    <w:rsid w:val="00A321B6"/>
    <w:rsid w:val="00A3414D"/>
    <w:rsid w:val="00A35396"/>
    <w:rsid w:val="00A355DF"/>
    <w:rsid w:val="00A35756"/>
    <w:rsid w:val="00A357E8"/>
    <w:rsid w:val="00A35BC0"/>
    <w:rsid w:val="00A366F0"/>
    <w:rsid w:val="00A37AB6"/>
    <w:rsid w:val="00A41006"/>
    <w:rsid w:val="00A418D5"/>
    <w:rsid w:val="00A445F1"/>
    <w:rsid w:val="00A46D4F"/>
    <w:rsid w:val="00A46D8E"/>
    <w:rsid w:val="00A47630"/>
    <w:rsid w:val="00A476AF"/>
    <w:rsid w:val="00A501A7"/>
    <w:rsid w:val="00A502CA"/>
    <w:rsid w:val="00A50C28"/>
    <w:rsid w:val="00A511DA"/>
    <w:rsid w:val="00A51264"/>
    <w:rsid w:val="00A51D57"/>
    <w:rsid w:val="00A52CBB"/>
    <w:rsid w:val="00A5413B"/>
    <w:rsid w:val="00A5445A"/>
    <w:rsid w:val="00A56142"/>
    <w:rsid w:val="00A56836"/>
    <w:rsid w:val="00A573E5"/>
    <w:rsid w:val="00A57C7E"/>
    <w:rsid w:val="00A62150"/>
    <w:rsid w:val="00A62701"/>
    <w:rsid w:val="00A62A63"/>
    <w:rsid w:val="00A62F8B"/>
    <w:rsid w:val="00A636FF"/>
    <w:rsid w:val="00A63701"/>
    <w:rsid w:val="00A63A31"/>
    <w:rsid w:val="00A63EFE"/>
    <w:rsid w:val="00A6423B"/>
    <w:rsid w:val="00A64E47"/>
    <w:rsid w:val="00A65436"/>
    <w:rsid w:val="00A655C5"/>
    <w:rsid w:val="00A65A7C"/>
    <w:rsid w:val="00A66A35"/>
    <w:rsid w:val="00A66DAB"/>
    <w:rsid w:val="00A67311"/>
    <w:rsid w:val="00A70439"/>
    <w:rsid w:val="00A70987"/>
    <w:rsid w:val="00A71366"/>
    <w:rsid w:val="00A713CD"/>
    <w:rsid w:val="00A715F7"/>
    <w:rsid w:val="00A71BEE"/>
    <w:rsid w:val="00A71E6C"/>
    <w:rsid w:val="00A7224B"/>
    <w:rsid w:val="00A727F8"/>
    <w:rsid w:val="00A73426"/>
    <w:rsid w:val="00A73F92"/>
    <w:rsid w:val="00A74113"/>
    <w:rsid w:val="00A7527C"/>
    <w:rsid w:val="00A80B0A"/>
    <w:rsid w:val="00A812E1"/>
    <w:rsid w:val="00A82D18"/>
    <w:rsid w:val="00A834B0"/>
    <w:rsid w:val="00A841E3"/>
    <w:rsid w:val="00A843D1"/>
    <w:rsid w:val="00A85D81"/>
    <w:rsid w:val="00A86140"/>
    <w:rsid w:val="00A861E2"/>
    <w:rsid w:val="00A86761"/>
    <w:rsid w:val="00A86AC6"/>
    <w:rsid w:val="00A9066C"/>
    <w:rsid w:val="00A9080F"/>
    <w:rsid w:val="00A90C3F"/>
    <w:rsid w:val="00A90F67"/>
    <w:rsid w:val="00A910D3"/>
    <w:rsid w:val="00A911D7"/>
    <w:rsid w:val="00A91698"/>
    <w:rsid w:val="00A91AA0"/>
    <w:rsid w:val="00A926C3"/>
    <w:rsid w:val="00A926CF"/>
    <w:rsid w:val="00A9317A"/>
    <w:rsid w:val="00A93A16"/>
    <w:rsid w:val="00A9401B"/>
    <w:rsid w:val="00A94728"/>
    <w:rsid w:val="00A94AAD"/>
    <w:rsid w:val="00A958B0"/>
    <w:rsid w:val="00A95D87"/>
    <w:rsid w:val="00A96C3D"/>
    <w:rsid w:val="00A96F8B"/>
    <w:rsid w:val="00A97DE3"/>
    <w:rsid w:val="00AA05AE"/>
    <w:rsid w:val="00AA0731"/>
    <w:rsid w:val="00AA0B8B"/>
    <w:rsid w:val="00AA1303"/>
    <w:rsid w:val="00AA15A0"/>
    <w:rsid w:val="00AA261C"/>
    <w:rsid w:val="00AA48A2"/>
    <w:rsid w:val="00AA538B"/>
    <w:rsid w:val="00AA6BBE"/>
    <w:rsid w:val="00AB002C"/>
    <w:rsid w:val="00AB00BB"/>
    <w:rsid w:val="00AB0FCC"/>
    <w:rsid w:val="00AB1800"/>
    <w:rsid w:val="00AB18ED"/>
    <w:rsid w:val="00AB29DF"/>
    <w:rsid w:val="00AB2A3E"/>
    <w:rsid w:val="00AB376F"/>
    <w:rsid w:val="00AB3844"/>
    <w:rsid w:val="00AB3865"/>
    <w:rsid w:val="00AB3B61"/>
    <w:rsid w:val="00AB7D06"/>
    <w:rsid w:val="00AC0715"/>
    <w:rsid w:val="00AC0BD0"/>
    <w:rsid w:val="00AC0DC1"/>
    <w:rsid w:val="00AC12BE"/>
    <w:rsid w:val="00AC31E1"/>
    <w:rsid w:val="00AC376C"/>
    <w:rsid w:val="00AC4B02"/>
    <w:rsid w:val="00AC4F7B"/>
    <w:rsid w:val="00AC5D4C"/>
    <w:rsid w:val="00AC6A68"/>
    <w:rsid w:val="00AC6C68"/>
    <w:rsid w:val="00AC6D96"/>
    <w:rsid w:val="00AC79E5"/>
    <w:rsid w:val="00AC7D68"/>
    <w:rsid w:val="00AD0353"/>
    <w:rsid w:val="00AD0567"/>
    <w:rsid w:val="00AD0AB1"/>
    <w:rsid w:val="00AD1692"/>
    <w:rsid w:val="00AD1851"/>
    <w:rsid w:val="00AD1DF1"/>
    <w:rsid w:val="00AD2021"/>
    <w:rsid w:val="00AD2263"/>
    <w:rsid w:val="00AD27D8"/>
    <w:rsid w:val="00AD2A5A"/>
    <w:rsid w:val="00AD3D9D"/>
    <w:rsid w:val="00AD5A15"/>
    <w:rsid w:val="00AD5D9C"/>
    <w:rsid w:val="00AD60FE"/>
    <w:rsid w:val="00AD6456"/>
    <w:rsid w:val="00AD697C"/>
    <w:rsid w:val="00AD7030"/>
    <w:rsid w:val="00AD7140"/>
    <w:rsid w:val="00AD7D87"/>
    <w:rsid w:val="00AE0F5C"/>
    <w:rsid w:val="00AE163E"/>
    <w:rsid w:val="00AE301F"/>
    <w:rsid w:val="00AE30A6"/>
    <w:rsid w:val="00AE37B1"/>
    <w:rsid w:val="00AE393B"/>
    <w:rsid w:val="00AE3B36"/>
    <w:rsid w:val="00AE454D"/>
    <w:rsid w:val="00AE479D"/>
    <w:rsid w:val="00AE4850"/>
    <w:rsid w:val="00AE494B"/>
    <w:rsid w:val="00AE5027"/>
    <w:rsid w:val="00AE5E64"/>
    <w:rsid w:val="00AE5F46"/>
    <w:rsid w:val="00AE61DD"/>
    <w:rsid w:val="00AE6790"/>
    <w:rsid w:val="00AE73D1"/>
    <w:rsid w:val="00AF0019"/>
    <w:rsid w:val="00AF18A2"/>
    <w:rsid w:val="00AF2CAD"/>
    <w:rsid w:val="00AF2D84"/>
    <w:rsid w:val="00AF3432"/>
    <w:rsid w:val="00AF4BE3"/>
    <w:rsid w:val="00AF6789"/>
    <w:rsid w:val="00AF74DE"/>
    <w:rsid w:val="00AF74FA"/>
    <w:rsid w:val="00B000A8"/>
    <w:rsid w:val="00B00D21"/>
    <w:rsid w:val="00B01163"/>
    <w:rsid w:val="00B011EC"/>
    <w:rsid w:val="00B018F1"/>
    <w:rsid w:val="00B019D0"/>
    <w:rsid w:val="00B0260F"/>
    <w:rsid w:val="00B02844"/>
    <w:rsid w:val="00B033A1"/>
    <w:rsid w:val="00B03422"/>
    <w:rsid w:val="00B03A16"/>
    <w:rsid w:val="00B03E01"/>
    <w:rsid w:val="00B03F0D"/>
    <w:rsid w:val="00B044C6"/>
    <w:rsid w:val="00B04692"/>
    <w:rsid w:val="00B0515B"/>
    <w:rsid w:val="00B055D4"/>
    <w:rsid w:val="00B0561D"/>
    <w:rsid w:val="00B05B43"/>
    <w:rsid w:val="00B06644"/>
    <w:rsid w:val="00B06658"/>
    <w:rsid w:val="00B07078"/>
    <w:rsid w:val="00B11295"/>
    <w:rsid w:val="00B11298"/>
    <w:rsid w:val="00B11597"/>
    <w:rsid w:val="00B11B06"/>
    <w:rsid w:val="00B12BDE"/>
    <w:rsid w:val="00B12D4D"/>
    <w:rsid w:val="00B12DC6"/>
    <w:rsid w:val="00B12F98"/>
    <w:rsid w:val="00B13770"/>
    <w:rsid w:val="00B13A95"/>
    <w:rsid w:val="00B13CBC"/>
    <w:rsid w:val="00B14ED4"/>
    <w:rsid w:val="00B1528E"/>
    <w:rsid w:val="00B15386"/>
    <w:rsid w:val="00B154BE"/>
    <w:rsid w:val="00B167BB"/>
    <w:rsid w:val="00B174E0"/>
    <w:rsid w:val="00B20461"/>
    <w:rsid w:val="00B211EC"/>
    <w:rsid w:val="00B221F9"/>
    <w:rsid w:val="00B2315D"/>
    <w:rsid w:val="00B23792"/>
    <w:rsid w:val="00B23DE4"/>
    <w:rsid w:val="00B24A35"/>
    <w:rsid w:val="00B27090"/>
    <w:rsid w:val="00B27CC0"/>
    <w:rsid w:val="00B306C4"/>
    <w:rsid w:val="00B30F83"/>
    <w:rsid w:val="00B31273"/>
    <w:rsid w:val="00B315C3"/>
    <w:rsid w:val="00B31798"/>
    <w:rsid w:val="00B31B0A"/>
    <w:rsid w:val="00B33D69"/>
    <w:rsid w:val="00B34C6B"/>
    <w:rsid w:val="00B35566"/>
    <w:rsid w:val="00B3557A"/>
    <w:rsid w:val="00B36459"/>
    <w:rsid w:val="00B36F6D"/>
    <w:rsid w:val="00B370FB"/>
    <w:rsid w:val="00B37BE9"/>
    <w:rsid w:val="00B37DB9"/>
    <w:rsid w:val="00B406BC"/>
    <w:rsid w:val="00B413AC"/>
    <w:rsid w:val="00B4155A"/>
    <w:rsid w:val="00B415A8"/>
    <w:rsid w:val="00B42AF9"/>
    <w:rsid w:val="00B42DF3"/>
    <w:rsid w:val="00B43466"/>
    <w:rsid w:val="00B440FA"/>
    <w:rsid w:val="00B443A6"/>
    <w:rsid w:val="00B44DA0"/>
    <w:rsid w:val="00B452A8"/>
    <w:rsid w:val="00B45480"/>
    <w:rsid w:val="00B45F4B"/>
    <w:rsid w:val="00B46C73"/>
    <w:rsid w:val="00B470B6"/>
    <w:rsid w:val="00B47F4E"/>
    <w:rsid w:val="00B50260"/>
    <w:rsid w:val="00B50660"/>
    <w:rsid w:val="00B5143A"/>
    <w:rsid w:val="00B528CE"/>
    <w:rsid w:val="00B5318C"/>
    <w:rsid w:val="00B54266"/>
    <w:rsid w:val="00B56730"/>
    <w:rsid w:val="00B575C6"/>
    <w:rsid w:val="00B57DA6"/>
    <w:rsid w:val="00B60B50"/>
    <w:rsid w:val="00B624E5"/>
    <w:rsid w:val="00B62E76"/>
    <w:rsid w:val="00B6364A"/>
    <w:rsid w:val="00B636E4"/>
    <w:rsid w:val="00B65217"/>
    <w:rsid w:val="00B65AC0"/>
    <w:rsid w:val="00B65D22"/>
    <w:rsid w:val="00B6688C"/>
    <w:rsid w:val="00B66933"/>
    <w:rsid w:val="00B66E12"/>
    <w:rsid w:val="00B67965"/>
    <w:rsid w:val="00B70E58"/>
    <w:rsid w:val="00B71307"/>
    <w:rsid w:val="00B72935"/>
    <w:rsid w:val="00B72D5A"/>
    <w:rsid w:val="00B74B11"/>
    <w:rsid w:val="00B7554F"/>
    <w:rsid w:val="00B759B0"/>
    <w:rsid w:val="00B766AC"/>
    <w:rsid w:val="00B77BAA"/>
    <w:rsid w:val="00B80D03"/>
    <w:rsid w:val="00B82EA8"/>
    <w:rsid w:val="00B83E63"/>
    <w:rsid w:val="00B848B0"/>
    <w:rsid w:val="00B84B89"/>
    <w:rsid w:val="00B84E74"/>
    <w:rsid w:val="00B85127"/>
    <w:rsid w:val="00B859B7"/>
    <w:rsid w:val="00B86058"/>
    <w:rsid w:val="00B868CB"/>
    <w:rsid w:val="00B86F35"/>
    <w:rsid w:val="00B875CF"/>
    <w:rsid w:val="00B87732"/>
    <w:rsid w:val="00B87CC3"/>
    <w:rsid w:val="00B9010A"/>
    <w:rsid w:val="00B90B98"/>
    <w:rsid w:val="00B917BD"/>
    <w:rsid w:val="00B927D0"/>
    <w:rsid w:val="00B94306"/>
    <w:rsid w:val="00B9495F"/>
    <w:rsid w:val="00B94BCB"/>
    <w:rsid w:val="00B952BD"/>
    <w:rsid w:val="00B953C6"/>
    <w:rsid w:val="00B96012"/>
    <w:rsid w:val="00B9643E"/>
    <w:rsid w:val="00B976A7"/>
    <w:rsid w:val="00B97D69"/>
    <w:rsid w:val="00B97F67"/>
    <w:rsid w:val="00BA10D1"/>
    <w:rsid w:val="00BA125A"/>
    <w:rsid w:val="00BA15A9"/>
    <w:rsid w:val="00BA1A39"/>
    <w:rsid w:val="00BA1B9F"/>
    <w:rsid w:val="00BA3167"/>
    <w:rsid w:val="00BA3F8D"/>
    <w:rsid w:val="00BA41DC"/>
    <w:rsid w:val="00BA510E"/>
    <w:rsid w:val="00BA588E"/>
    <w:rsid w:val="00BA5940"/>
    <w:rsid w:val="00BA5C65"/>
    <w:rsid w:val="00BA5E52"/>
    <w:rsid w:val="00BA6C20"/>
    <w:rsid w:val="00BA6C7C"/>
    <w:rsid w:val="00BA6F49"/>
    <w:rsid w:val="00BA77F7"/>
    <w:rsid w:val="00BB0CC7"/>
    <w:rsid w:val="00BB0F7E"/>
    <w:rsid w:val="00BB103B"/>
    <w:rsid w:val="00BB131C"/>
    <w:rsid w:val="00BB1EDD"/>
    <w:rsid w:val="00BB43DB"/>
    <w:rsid w:val="00BB53C1"/>
    <w:rsid w:val="00BB53F3"/>
    <w:rsid w:val="00BB70B5"/>
    <w:rsid w:val="00BB785A"/>
    <w:rsid w:val="00BC198D"/>
    <w:rsid w:val="00BC237E"/>
    <w:rsid w:val="00BC26BA"/>
    <w:rsid w:val="00BC2B5C"/>
    <w:rsid w:val="00BC3BC1"/>
    <w:rsid w:val="00BC5A95"/>
    <w:rsid w:val="00BC63CF"/>
    <w:rsid w:val="00BC7F9A"/>
    <w:rsid w:val="00BD1D97"/>
    <w:rsid w:val="00BD2FCF"/>
    <w:rsid w:val="00BD38EC"/>
    <w:rsid w:val="00BD4781"/>
    <w:rsid w:val="00BD5D73"/>
    <w:rsid w:val="00BD5FAD"/>
    <w:rsid w:val="00BD6F59"/>
    <w:rsid w:val="00BD7584"/>
    <w:rsid w:val="00BE02B5"/>
    <w:rsid w:val="00BE0A14"/>
    <w:rsid w:val="00BE0CFC"/>
    <w:rsid w:val="00BE1185"/>
    <w:rsid w:val="00BE1B3C"/>
    <w:rsid w:val="00BE1D66"/>
    <w:rsid w:val="00BE277B"/>
    <w:rsid w:val="00BE31A1"/>
    <w:rsid w:val="00BE3614"/>
    <w:rsid w:val="00BE361F"/>
    <w:rsid w:val="00BE4498"/>
    <w:rsid w:val="00BE4795"/>
    <w:rsid w:val="00BE47BD"/>
    <w:rsid w:val="00BE6728"/>
    <w:rsid w:val="00BE6B3D"/>
    <w:rsid w:val="00BE6EA1"/>
    <w:rsid w:val="00BE74FE"/>
    <w:rsid w:val="00BE75D3"/>
    <w:rsid w:val="00BE7D27"/>
    <w:rsid w:val="00BF06B1"/>
    <w:rsid w:val="00BF06C1"/>
    <w:rsid w:val="00BF0AA8"/>
    <w:rsid w:val="00BF15FE"/>
    <w:rsid w:val="00BF2067"/>
    <w:rsid w:val="00BF23F4"/>
    <w:rsid w:val="00BF2A24"/>
    <w:rsid w:val="00BF2B82"/>
    <w:rsid w:val="00BF357C"/>
    <w:rsid w:val="00BF36C5"/>
    <w:rsid w:val="00BF39BA"/>
    <w:rsid w:val="00BF3FC2"/>
    <w:rsid w:val="00BF4BDC"/>
    <w:rsid w:val="00BF4D19"/>
    <w:rsid w:val="00BF5CAE"/>
    <w:rsid w:val="00BF6040"/>
    <w:rsid w:val="00BF606B"/>
    <w:rsid w:val="00BF7735"/>
    <w:rsid w:val="00C000B2"/>
    <w:rsid w:val="00C00FEF"/>
    <w:rsid w:val="00C025F6"/>
    <w:rsid w:val="00C02926"/>
    <w:rsid w:val="00C034DA"/>
    <w:rsid w:val="00C0373D"/>
    <w:rsid w:val="00C03F04"/>
    <w:rsid w:val="00C04E66"/>
    <w:rsid w:val="00C057DD"/>
    <w:rsid w:val="00C05CAB"/>
    <w:rsid w:val="00C05D66"/>
    <w:rsid w:val="00C064C9"/>
    <w:rsid w:val="00C06D43"/>
    <w:rsid w:val="00C072A6"/>
    <w:rsid w:val="00C07B98"/>
    <w:rsid w:val="00C07DBB"/>
    <w:rsid w:val="00C07FB7"/>
    <w:rsid w:val="00C113A4"/>
    <w:rsid w:val="00C11539"/>
    <w:rsid w:val="00C11C51"/>
    <w:rsid w:val="00C1216B"/>
    <w:rsid w:val="00C121DA"/>
    <w:rsid w:val="00C1253B"/>
    <w:rsid w:val="00C13477"/>
    <w:rsid w:val="00C15870"/>
    <w:rsid w:val="00C15FE3"/>
    <w:rsid w:val="00C16231"/>
    <w:rsid w:val="00C1699E"/>
    <w:rsid w:val="00C170FA"/>
    <w:rsid w:val="00C171CC"/>
    <w:rsid w:val="00C1722A"/>
    <w:rsid w:val="00C17F53"/>
    <w:rsid w:val="00C20628"/>
    <w:rsid w:val="00C21408"/>
    <w:rsid w:val="00C217E3"/>
    <w:rsid w:val="00C225C3"/>
    <w:rsid w:val="00C22C7F"/>
    <w:rsid w:val="00C23A73"/>
    <w:rsid w:val="00C255F4"/>
    <w:rsid w:val="00C259C2"/>
    <w:rsid w:val="00C261A6"/>
    <w:rsid w:val="00C30366"/>
    <w:rsid w:val="00C303D8"/>
    <w:rsid w:val="00C30CF8"/>
    <w:rsid w:val="00C30F0D"/>
    <w:rsid w:val="00C32130"/>
    <w:rsid w:val="00C327EB"/>
    <w:rsid w:val="00C328DD"/>
    <w:rsid w:val="00C32CE1"/>
    <w:rsid w:val="00C32D9D"/>
    <w:rsid w:val="00C33014"/>
    <w:rsid w:val="00C33143"/>
    <w:rsid w:val="00C3383D"/>
    <w:rsid w:val="00C33C3A"/>
    <w:rsid w:val="00C33E80"/>
    <w:rsid w:val="00C34791"/>
    <w:rsid w:val="00C34B82"/>
    <w:rsid w:val="00C35374"/>
    <w:rsid w:val="00C359C6"/>
    <w:rsid w:val="00C36089"/>
    <w:rsid w:val="00C361AD"/>
    <w:rsid w:val="00C365A1"/>
    <w:rsid w:val="00C36811"/>
    <w:rsid w:val="00C37F10"/>
    <w:rsid w:val="00C4031F"/>
    <w:rsid w:val="00C41BA4"/>
    <w:rsid w:val="00C41CD2"/>
    <w:rsid w:val="00C41FE2"/>
    <w:rsid w:val="00C429CA"/>
    <w:rsid w:val="00C42CBD"/>
    <w:rsid w:val="00C42D35"/>
    <w:rsid w:val="00C43228"/>
    <w:rsid w:val="00C4382E"/>
    <w:rsid w:val="00C43C1E"/>
    <w:rsid w:val="00C44437"/>
    <w:rsid w:val="00C4488A"/>
    <w:rsid w:val="00C448DE"/>
    <w:rsid w:val="00C45B00"/>
    <w:rsid w:val="00C46474"/>
    <w:rsid w:val="00C46CD5"/>
    <w:rsid w:val="00C47022"/>
    <w:rsid w:val="00C5014D"/>
    <w:rsid w:val="00C5069A"/>
    <w:rsid w:val="00C5296D"/>
    <w:rsid w:val="00C53AE3"/>
    <w:rsid w:val="00C53B11"/>
    <w:rsid w:val="00C556B3"/>
    <w:rsid w:val="00C55A69"/>
    <w:rsid w:val="00C56DF1"/>
    <w:rsid w:val="00C575E1"/>
    <w:rsid w:val="00C5767E"/>
    <w:rsid w:val="00C57FBA"/>
    <w:rsid w:val="00C612D6"/>
    <w:rsid w:val="00C61486"/>
    <w:rsid w:val="00C64843"/>
    <w:rsid w:val="00C64B82"/>
    <w:rsid w:val="00C6552E"/>
    <w:rsid w:val="00C65866"/>
    <w:rsid w:val="00C65EC8"/>
    <w:rsid w:val="00C6618C"/>
    <w:rsid w:val="00C6642D"/>
    <w:rsid w:val="00C66E03"/>
    <w:rsid w:val="00C67250"/>
    <w:rsid w:val="00C67D50"/>
    <w:rsid w:val="00C70079"/>
    <w:rsid w:val="00C71379"/>
    <w:rsid w:val="00C71E88"/>
    <w:rsid w:val="00C72AD4"/>
    <w:rsid w:val="00C7313A"/>
    <w:rsid w:val="00C738D8"/>
    <w:rsid w:val="00C73A38"/>
    <w:rsid w:val="00C73CF7"/>
    <w:rsid w:val="00C7452A"/>
    <w:rsid w:val="00C750D4"/>
    <w:rsid w:val="00C75291"/>
    <w:rsid w:val="00C7551F"/>
    <w:rsid w:val="00C756BD"/>
    <w:rsid w:val="00C7700E"/>
    <w:rsid w:val="00C77C8A"/>
    <w:rsid w:val="00C8109D"/>
    <w:rsid w:val="00C814DA"/>
    <w:rsid w:val="00C82DAC"/>
    <w:rsid w:val="00C830BA"/>
    <w:rsid w:val="00C83A5B"/>
    <w:rsid w:val="00C83AA4"/>
    <w:rsid w:val="00C845F0"/>
    <w:rsid w:val="00C84B2A"/>
    <w:rsid w:val="00C84DE3"/>
    <w:rsid w:val="00C85928"/>
    <w:rsid w:val="00C85AB4"/>
    <w:rsid w:val="00C86401"/>
    <w:rsid w:val="00C87257"/>
    <w:rsid w:val="00C87511"/>
    <w:rsid w:val="00C87DCA"/>
    <w:rsid w:val="00C91CBE"/>
    <w:rsid w:val="00C923C4"/>
    <w:rsid w:val="00C9430E"/>
    <w:rsid w:val="00CA0AF0"/>
    <w:rsid w:val="00CA0CE9"/>
    <w:rsid w:val="00CA2627"/>
    <w:rsid w:val="00CA26DB"/>
    <w:rsid w:val="00CA2B82"/>
    <w:rsid w:val="00CA5567"/>
    <w:rsid w:val="00CA7068"/>
    <w:rsid w:val="00CA7F4F"/>
    <w:rsid w:val="00CB0295"/>
    <w:rsid w:val="00CB0990"/>
    <w:rsid w:val="00CB0E2A"/>
    <w:rsid w:val="00CB3A4E"/>
    <w:rsid w:val="00CB559F"/>
    <w:rsid w:val="00CB57B9"/>
    <w:rsid w:val="00CB5963"/>
    <w:rsid w:val="00CB5E22"/>
    <w:rsid w:val="00CB6446"/>
    <w:rsid w:val="00CB66DD"/>
    <w:rsid w:val="00CB7274"/>
    <w:rsid w:val="00CB75CD"/>
    <w:rsid w:val="00CB7D10"/>
    <w:rsid w:val="00CC14E5"/>
    <w:rsid w:val="00CC288E"/>
    <w:rsid w:val="00CC50E8"/>
    <w:rsid w:val="00CC5EA1"/>
    <w:rsid w:val="00CC639C"/>
    <w:rsid w:val="00CC68C6"/>
    <w:rsid w:val="00CC7670"/>
    <w:rsid w:val="00CD03E4"/>
    <w:rsid w:val="00CD080A"/>
    <w:rsid w:val="00CD0CA1"/>
    <w:rsid w:val="00CD19B2"/>
    <w:rsid w:val="00CD2F6A"/>
    <w:rsid w:val="00CD36F9"/>
    <w:rsid w:val="00CD379E"/>
    <w:rsid w:val="00CD48D9"/>
    <w:rsid w:val="00CD4C00"/>
    <w:rsid w:val="00CD620B"/>
    <w:rsid w:val="00CD6983"/>
    <w:rsid w:val="00CD6BF1"/>
    <w:rsid w:val="00CD6E11"/>
    <w:rsid w:val="00CD6FB2"/>
    <w:rsid w:val="00CD7208"/>
    <w:rsid w:val="00CE00C4"/>
    <w:rsid w:val="00CE09FA"/>
    <w:rsid w:val="00CE1BCA"/>
    <w:rsid w:val="00CE1CA4"/>
    <w:rsid w:val="00CE21BD"/>
    <w:rsid w:val="00CE3F2C"/>
    <w:rsid w:val="00CE4ADF"/>
    <w:rsid w:val="00CE4B41"/>
    <w:rsid w:val="00CE5341"/>
    <w:rsid w:val="00CE54C0"/>
    <w:rsid w:val="00CE6182"/>
    <w:rsid w:val="00CE7DBF"/>
    <w:rsid w:val="00CF01E6"/>
    <w:rsid w:val="00CF06E2"/>
    <w:rsid w:val="00CF2540"/>
    <w:rsid w:val="00CF2B51"/>
    <w:rsid w:val="00CF2BB0"/>
    <w:rsid w:val="00CF50E4"/>
    <w:rsid w:val="00CF52CF"/>
    <w:rsid w:val="00CF551F"/>
    <w:rsid w:val="00CF6D8D"/>
    <w:rsid w:val="00CF7C1A"/>
    <w:rsid w:val="00D01D59"/>
    <w:rsid w:val="00D01E6C"/>
    <w:rsid w:val="00D0262D"/>
    <w:rsid w:val="00D03C7F"/>
    <w:rsid w:val="00D03CA3"/>
    <w:rsid w:val="00D04169"/>
    <w:rsid w:val="00D0453C"/>
    <w:rsid w:val="00D04B93"/>
    <w:rsid w:val="00D06A40"/>
    <w:rsid w:val="00D06BD1"/>
    <w:rsid w:val="00D07BC3"/>
    <w:rsid w:val="00D10284"/>
    <w:rsid w:val="00D10873"/>
    <w:rsid w:val="00D10DC3"/>
    <w:rsid w:val="00D12D4E"/>
    <w:rsid w:val="00D14778"/>
    <w:rsid w:val="00D14DD0"/>
    <w:rsid w:val="00D156FD"/>
    <w:rsid w:val="00D16FDD"/>
    <w:rsid w:val="00D171E3"/>
    <w:rsid w:val="00D172A6"/>
    <w:rsid w:val="00D2045D"/>
    <w:rsid w:val="00D208C1"/>
    <w:rsid w:val="00D20F0E"/>
    <w:rsid w:val="00D2145C"/>
    <w:rsid w:val="00D21693"/>
    <w:rsid w:val="00D21AC6"/>
    <w:rsid w:val="00D23B12"/>
    <w:rsid w:val="00D23BA4"/>
    <w:rsid w:val="00D24278"/>
    <w:rsid w:val="00D246DA"/>
    <w:rsid w:val="00D24B75"/>
    <w:rsid w:val="00D254F8"/>
    <w:rsid w:val="00D262BB"/>
    <w:rsid w:val="00D26D10"/>
    <w:rsid w:val="00D277DF"/>
    <w:rsid w:val="00D31FF4"/>
    <w:rsid w:val="00D328E5"/>
    <w:rsid w:val="00D32918"/>
    <w:rsid w:val="00D32994"/>
    <w:rsid w:val="00D32B2D"/>
    <w:rsid w:val="00D331DB"/>
    <w:rsid w:val="00D3357D"/>
    <w:rsid w:val="00D34648"/>
    <w:rsid w:val="00D36DC8"/>
    <w:rsid w:val="00D373F7"/>
    <w:rsid w:val="00D37D93"/>
    <w:rsid w:val="00D40016"/>
    <w:rsid w:val="00D402C4"/>
    <w:rsid w:val="00D410F1"/>
    <w:rsid w:val="00D418E8"/>
    <w:rsid w:val="00D43631"/>
    <w:rsid w:val="00D439B6"/>
    <w:rsid w:val="00D46076"/>
    <w:rsid w:val="00D466C7"/>
    <w:rsid w:val="00D46868"/>
    <w:rsid w:val="00D46AB1"/>
    <w:rsid w:val="00D47FBE"/>
    <w:rsid w:val="00D5017A"/>
    <w:rsid w:val="00D5036E"/>
    <w:rsid w:val="00D52A56"/>
    <w:rsid w:val="00D532D7"/>
    <w:rsid w:val="00D540C6"/>
    <w:rsid w:val="00D551AC"/>
    <w:rsid w:val="00D5660A"/>
    <w:rsid w:val="00D566A8"/>
    <w:rsid w:val="00D56CC5"/>
    <w:rsid w:val="00D56E3C"/>
    <w:rsid w:val="00D57657"/>
    <w:rsid w:val="00D60274"/>
    <w:rsid w:val="00D60A01"/>
    <w:rsid w:val="00D60B15"/>
    <w:rsid w:val="00D64E6E"/>
    <w:rsid w:val="00D65AEC"/>
    <w:rsid w:val="00D65E67"/>
    <w:rsid w:val="00D66C58"/>
    <w:rsid w:val="00D6710B"/>
    <w:rsid w:val="00D67554"/>
    <w:rsid w:val="00D718DF"/>
    <w:rsid w:val="00D72034"/>
    <w:rsid w:val="00D72491"/>
    <w:rsid w:val="00D7282D"/>
    <w:rsid w:val="00D72CCF"/>
    <w:rsid w:val="00D7382C"/>
    <w:rsid w:val="00D73A94"/>
    <w:rsid w:val="00D743EC"/>
    <w:rsid w:val="00D74610"/>
    <w:rsid w:val="00D74970"/>
    <w:rsid w:val="00D75428"/>
    <w:rsid w:val="00D75B60"/>
    <w:rsid w:val="00D76DA7"/>
    <w:rsid w:val="00D76DAF"/>
    <w:rsid w:val="00D7754E"/>
    <w:rsid w:val="00D77BDD"/>
    <w:rsid w:val="00D80251"/>
    <w:rsid w:val="00D80961"/>
    <w:rsid w:val="00D80F20"/>
    <w:rsid w:val="00D8174A"/>
    <w:rsid w:val="00D81757"/>
    <w:rsid w:val="00D827DA"/>
    <w:rsid w:val="00D82987"/>
    <w:rsid w:val="00D82E66"/>
    <w:rsid w:val="00D82EC6"/>
    <w:rsid w:val="00D836BC"/>
    <w:rsid w:val="00D838F1"/>
    <w:rsid w:val="00D847A5"/>
    <w:rsid w:val="00D84B3E"/>
    <w:rsid w:val="00D8631B"/>
    <w:rsid w:val="00D86C67"/>
    <w:rsid w:val="00D8784E"/>
    <w:rsid w:val="00D87D01"/>
    <w:rsid w:val="00D932A0"/>
    <w:rsid w:val="00D93DE2"/>
    <w:rsid w:val="00D941CC"/>
    <w:rsid w:val="00D9462A"/>
    <w:rsid w:val="00D964EC"/>
    <w:rsid w:val="00D96A48"/>
    <w:rsid w:val="00D96E17"/>
    <w:rsid w:val="00D9754F"/>
    <w:rsid w:val="00D97CC2"/>
    <w:rsid w:val="00DA002C"/>
    <w:rsid w:val="00DA0420"/>
    <w:rsid w:val="00DA11F4"/>
    <w:rsid w:val="00DA1D39"/>
    <w:rsid w:val="00DA23D6"/>
    <w:rsid w:val="00DA2407"/>
    <w:rsid w:val="00DA25FD"/>
    <w:rsid w:val="00DA2F31"/>
    <w:rsid w:val="00DA3223"/>
    <w:rsid w:val="00DA388D"/>
    <w:rsid w:val="00DA3ADA"/>
    <w:rsid w:val="00DA4C7F"/>
    <w:rsid w:val="00DA4DA2"/>
    <w:rsid w:val="00DA4E50"/>
    <w:rsid w:val="00DA4F89"/>
    <w:rsid w:val="00DB00F9"/>
    <w:rsid w:val="00DB0DBC"/>
    <w:rsid w:val="00DB1970"/>
    <w:rsid w:val="00DB1D53"/>
    <w:rsid w:val="00DB3115"/>
    <w:rsid w:val="00DB44C0"/>
    <w:rsid w:val="00DB4CF4"/>
    <w:rsid w:val="00DB53DB"/>
    <w:rsid w:val="00DB5ABE"/>
    <w:rsid w:val="00DB62E5"/>
    <w:rsid w:val="00DC0109"/>
    <w:rsid w:val="00DC0363"/>
    <w:rsid w:val="00DC0413"/>
    <w:rsid w:val="00DC243D"/>
    <w:rsid w:val="00DC3501"/>
    <w:rsid w:val="00DC4640"/>
    <w:rsid w:val="00DC4901"/>
    <w:rsid w:val="00DC4A70"/>
    <w:rsid w:val="00DC56AE"/>
    <w:rsid w:val="00DC57B7"/>
    <w:rsid w:val="00DC57F1"/>
    <w:rsid w:val="00DC6B26"/>
    <w:rsid w:val="00DC7780"/>
    <w:rsid w:val="00DC7D29"/>
    <w:rsid w:val="00DD06C7"/>
    <w:rsid w:val="00DD1BBD"/>
    <w:rsid w:val="00DD286C"/>
    <w:rsid w:val="00DD3749"/>
    <w:rsid w:val="00DD4039"/>
    <w:rsid w:val="00DD66A1"/>
    <w:rsid w:val="00DD6B6E"/>
    <w:rsid w:val="00DD71A8"/>
    <w:rsid w:val="00DD7CF6"/>
    <w:rsid w:val="00DD7E25"/>
    <w:rsid w:val="00DE02F2"/>
    <w:rsid w:val="00DE2E1C"/>
    <w:rsid w:val="00DE3271"/>
    <w:rsid w:val="00DE33A8"/>
    <w:rsid w:val="00DE35FB"/>
    <w:rsid w:val="00DE6BC6"/>
    <w:rsid w:val="00DE734B"/>
    <w:rsid w:val="00DE7934"/>
    <w:rsid w:val="00DE7B7C"/>
    <w:rsid w:val="00DE7D54"/>
    <w:rsid w:val="00DF0C1A"/>
    <w:rsid w:val="00DF23C2"/>
    <w:rsid w:val="00DF4F1D"/>
    <w:rsid w:val="00DF6A69"/>
    <w:rsid w:val="00DF6CA2"/>
    <w:rsid w:val="00DF7A85"/>
    <w:rsid w:val="00E00371"/>
    <w:rsid w:val="00E00B64"/>
    <w:rsid w:val="00E01535"/>
    <w:rsid w:val="00E01CB9"/>
    <w:rsid w:val="00E01F6C"/>
    <w:rsid w:val="00E0203B"/>
    <w:rsid w:val="00E025CE"/>
    <w:rsid w:val="00E03718"/>
    <w:rsid w:val="00E03FA7"/>
    <w:rsid w:val="00E062C3"/>
    <w:rsid w:val="00E06527"/>
    <w:rsid w:val="00E06E9B"/>
    <w:rsid w:val="00E0727C"/>
    <w:rsid w:val="00E07C29"/>
    <w:rsid w:val="00E10466"/>
    <w:rsid w:val="00E10C61"/>
    <w:rsid w:val="00E119AD"/>
    <w:rsid w:val="00E11F30"/>
    <w:rsid w:val="00E1279D"/>
    <w:rsid w:val="00E13565"/>
    <w:rsid w:val="00E13F1A"/>
    <w:rsid w:val="00E1403C"/>
    <w:rsid w:val="00E143E7"/>
    <w:rsid w:val="00E1483F"/>
    <w:rsid w:val="00E15043"/>
    <w:rsid w:val="00E154F9"/>
    <w:rsid w:val="00E15904"/>
    <w:rsid w:val="00E166F8"/>
    <w:rsid w:val="00E16971"/>
    <w:rsid w:val="00E16A9F"/>
    <w:rsid w:val="00E177CE"/>
    <w:rsid w:val="00E209D2"/>
    <w:rsid w:val="00E21F84"/>
    <w:rsid w:val="00E2273F"/>
    <w:rsid w:val="00E23852"/>
    <w:rsid w:val="00E257BE"/>
    <w:rsid w:val="00E258EE"/>
    <w:rsid w:val="00E25AC1"/>
    <w:rsid w:val="00E269F7"/>
    <w:rsid w:val="00E27C45"/>
    <w:rsid w:val="00E32296"/>
    <w:rsid w:val="00E3244F"/>
    <w:rsid w:val="00E3294B"/>
    <w:rsid w:val="00E32B56"/>
    <w:rsid w:val="00E32FDE"/>
    <w:rsid w:val="00E33799"/>
    <w:rsid w:val="00E3428F"/>
    <w:rsid w:val="00E361ED"/>
    <w:rsid w:val="00E36B6E"/>
    <w:rsid w:val="00E40187"/>
    <w:rsid w:val="00E4053A"/>
    <w:rsid w:val="00E41A77"/>
    <w:rsid w:val="00E41AA8"/>
    <w:rsid w:val="00E42987"/>
    <w:rsid w:val="00E42BD8"/>
    <w:rsid w:val="00E465C4"/>
    <w:rsid w:val="00E46C1E"/>
    <w:rsid w:val="00E47517"/>
    <w:rsid w:val="00E500A4"/>
    <w:rsid w:val="00E50C9F"/>
    <w:rsid w:val="00E50CD9"/>
    <w:rsid w:val="00E51317"/>
    <w:rsid w:val="00E51CB7"/>
    <w:rsid w:val="00E52AE1"/>
    <w:rsid w:val="00E5381D"/>
    <w:rsid w:val="00E53832"/>
    <w:rsid w:val="00E53921"/>
    <w:rsid w:val="00E53C3D"/>
    <w:rsid w:val="00E54546"/>
    <w:rsid w:val="00E547D1"/>
    <w:rsid w:val="00E54A52"/>
    <w:rsid w:val="00E556B1"/>
    <w:rsid w:val="00E56908"/>
    <w:rsid w:val="00E5729A"/>
    <w:rsid w:val="00E5768A"/>
    <w:rsid w:val="00E57B74"/>
    <w:rsid w:val="00E57FF5"/>
    <w:rsid w:val="00E60BE5"/>
    <w:rsid w:val="00E62A39"/>
    <w:rsid w:val="00E63DC2"/>
    <w:rsid w:val="00E64851"/>
    <w:rsid w:val="00E64C35"/>
    <w:rsid w:val="00E6543B"/>
    <w:rsid w:val="00E65EB0"/>
    <w:rsid w:val="00E66B8D"/>
    <w:rsid w:val="00E67360"/>
    <w:rsid w:val="00E6774A"/>
    <w:rsid w:val="00E6799A"/>
    <w:rsid w:val="00E67E44"/>
    <w:rsid w:val="00E72779"/>
    <w:rsid w:val="00E72BAE"/>
    <w:rsid w:val="00E7401C"/>
    <w:rsid w:val="00E741F3"/>
    <w:rsid w:val="00E75EFB"/>
    <w:rsid w:val="00E764F0"/>
    <w:rsid w:val="00E766F4"/>
    <w:rsid w:val="00E77881"/>
    <w:rsid w:val="00E77AE8"/>
    <w:rsid w:val="00E80312"/>
    <w:rsid w:val="00E81030"/>
    <w:rsid w:val="00E81D20"/>
    <w:rsid w:val="00E821A8"/>
    <w:rsid w:val="00E82DBC"/>
    <w:rsid w:val="00E835ED"/>
    <w:rsid w:val="00E84663"/>
    <w:rsid w:val="00E84D51"/>
    <w:rsid w:val="00E8547D"/>
    <w:rsid w:val="00E85C0F"/>
    <w:rsid w:val="00E87A5B"/>
    <w:rsid w:val="00E87B80"/>
    <w:rsid w:val="00E902A5"/>
    <w:rsid w:val="00E92959"/>
    <w:rsid w:val="00E93550"/>
    <w:rsid w:val="00E93EED"/>
    <w:rsid w:val="00E946C6"/>
    <w:rsid w:val="00E94846"/>
    <w:rsid w:val="00E94A32"/>
    <w:rsid w:val="00E94DF0"/>
    <w:rsid w:val="00E95C5B"/>
    <w:rsid w:val="00E96B6A"/>
    <w:rsid w:val="00E96C23"/>
    <w:rsid w:val="00E97228"/>
    <w:rsid w:val="00E978BB"/>
    <w:rsid w:val="00EA03A8"/>
    <w:rsid w:val="00EA1234"/>
    <w:rsid w:val="00EA17D4"/>
    <w:rsid w:val="00EA1B5C"/>
    <w:rsid w:val="00EA1B77"/>
    <w:rsid w:val="00EA28B4"/>
    <w:rsid w:val="00EA2BB6"/>
    <w:rsid w:val="00EA2C52"/>
    <w:rsid w:val="00EA2FA2"/>
    <w:rsid w:val="00EA33A5"/>
    <w:rsid w:val="00EA3550"/>
    <w:rsid w:val="00EA43A3"/>
    <w:rsid w:val="00EA4509"/>
    <w:rsid w:val="00EA49C1"/>
    <w:rsid w:val="00EA4BF4"/>
    <w:rsid w:val="00EA4D1B"/>
    <w:rsid w:val="00EA56CE"/>
    <w:rsid w:val="00EA5E8E"/>
    <w:rsid w:val="00EA5F8D"/>
    <w:rsid w:val="00EB09EB"/>
    <w:rsid w:val="00EB17B7"/>
    <w:rsid w:val="00EB1947"/>
    <w:rsid w:val="00EB19C1"/>
    <w:rsid w:val="00EB2514"/>
    <w:rsid w:val="00EB2AD1"/>
    <w:rsid w:val="00EB2BF6"/>
    <w:rsid w:val="00EB3382"/>
    <w:rsid w:val="00EB3B0F"/>
    <w:rsid w:val="00EB3D7C"/>
    <w:rsid w:val="00EB4348"/>
    <w:rsid w:val="00EB4C1D"/>
    <w:rsid w:val="00EB666D"/>
    <w:rsid w:val="00EB755B"/>
    <w:rsid w:val="00EC0900"/>
    <w:rsid w:val="00EC0B5A"/>
    <w:rsid w:val="00EC1630"/>
    <w:rsid w:val="00EC18EC"/>
    <w:rsid w:val="00EC28F8"/>
    <w:rsid w:val="00EC2C02"/>
    <w:rsid w:val="00EC30F3"/>
    <w:rsid w:val="00EC3147"/>
    <w:rsid w:val="00EC3447"/>
    <w:rsid w:val="00EC4BF4"/>
    <w:rsid w:val="00EC5832"/>
    <w:rsid w:val="00EC6779"/>
    <w:rsid w:val="00EC6A59"/>
    <w:rsid w:val="00EC6EB2"/>
    <w:rsid w:val="00EC72EE"/>
    <w:rsid w:val="00ED0893"/>
    <w:rsid w:val="00ED14BB"/>
    <w:rsid w:val="00ED14FA"/>
    <w:rsid w:val="00ED1967"/>
    <w:rsid w:val="00ED1A4E"/>
    <w:rsid w:val="00ED234F"/>
    <w:rsid w:val="00ED28EF"/>
    <w:rsid w:val="00ED2A9C"/>
    <w:rsid w:val="00ED2E37"/>
    <w:rsid w:val="00ED30B0"/>
    <w:rsid w:val="00ED3D4F"/>
    <w:rsid w:val="00ED4436"/>
    <w:rsid w:val="00ED4825"/>
    <w:rsid w:val="00ED56A6"/>
    <w:rsid w:val="00ED56DC"/>
    <w:rsid w:val="00ED5D0D"/>
    <w:rsid w:val="00ED5E42"/>
    <w:rsid w:val="00ED6850"/>
    <w:rsid w:val="00ED693D"/>
    <w:rsid w:val="00ED73D9"/>
    <w:rsid w:val="00ED766F"/>
    <w:rsid w:val="00ED79A3"/>
    <w:rsid w:val="00EE0183"/>
    <w:rsid w:val="00EE03F9"/>
    <w:rsid w:val="00EE1B39"/>
    <w:rsid w:val="00EE2CBC"/>
    <w:rsid w:val="00EE351C"/>
    <w:rsid w:val="00EE3699"/>
    <w:rsid w:val="00EE3A82"/>
    <w:rsid w:val="00EE3FC1"/>
    <w:rsid w:val="00EE5189"/>
    <w:rsid w:val="00EE5BFD"/>
    <w:rsid w:val="00EE5E94"/>
    <w:rsid w:val="00EE61F7"/>
    <w:rsid w:val="00EE62ED"/>
    <w:rsid w:val="00EE65C6"/>
    <w:rsid w:val="00EE66A4"/>
    <w:rsid w:val="00EE6CDB"/>
    <w:rsid w:val="00EE71F4"/>
    <w:rsid w:val="00EF043C"/>
    <w:rsid w:val="00EF0A0D"/>
    <w:rsid w:val="00EF1E37"/>
    <w:rsid w:val="00EF294E"/>
    <w:rsid w:val="00EF4831"/>
    <w:rsid w:val="00EF4A1B"/>
    <w:rsid w:val="00EF592B"/>
    <w:rsid w:val="00EF6B04"/>
    <w:rsid w:val="00F0095D"/>
    <w:rsid w:val="00F01828"/>
    <w:rsid w:val="00F02A23"/>
    <w:rsid w:val="00F02ECF"/>
    <w:rsid w:val="00F030F5"/>
    <w:rsid w:val="00F03C2F"/>
    <w:rsid w:val="00F04691"/>
    <w:rsid w:val="00F04B33"/>
    <w:rsid w:val="00F06265"/>
    <w:rsid w:val="00F06625"/>
    <w:rsid w:val="00F073A8"/>
    <w:rsid w:val="00F079BA"/>
    <w:rsid w:val="00F11058"/>
    <w:rsid w:val="00F114A1"/>
    <w:rsid w:val="00F11986"/>
    <w:rsid w:val="00F12B72"/>
    <w:rsid w:val="00F12EB4"/>
    <w:rsid w:val="00F14016"/>
    <w:rsid w:val="00F140DC"/>
    <w:rsid w:val="00F1434C"/>
    <w:rsid w:val="00F172ED"/>
    <w:rsid w:val="00F1767D"/>
    <w:rsid w:val="00F17766"/>
    <w:rsid w:val="00F1789F"/>
    <w:rsid w:val="00F207C6"/>
    <w:rsid w:val="00F208AB"/>
    <w:rsid w:val="00F20FEC"/>
    <w:rsid w:val="00F21A82"/>
    <w:rsid w:val="00F225EB"/>
    <w:rsid w:val="00F22DF9"/>
    <w:rsid w:val="00F22EF3"/>
    <w:rsid w:val="00F2304D"/>
    <w:rsid w:val="00F24EA5"/>
    <w:rsid w:val="00F24F5A"/>
    <w:rsid w:val="00F2557E"/>
    <w:rsid w:val="00F25E1A"/>
    <w:rsid w:val="00F261D3"/>
    <w:rsid w:val="00F265D6"/>
    <w:rsid w:val="00F303D3"/>
    <w:rsid w:val="00F30BF4"/>
    <w:rsid w:val="00F315F8"/>
    <w:rsid w:val="00F31A9B"/>
    <w:rsid w:val="00F32997"/>
    <w:rsid w:val="00F33395"/>
    <w:rsid w:val="00F33951"/>
    <w:rsid w:val="00F34214"/>
    <w:rsid w:val="00F34424"/>
    <w:rsid w:val="00F36709"/>
    <w:rsid w:val="00F36E1E"/>
    <w:rsid w:val="00F41C17"/>
    <w:rsid w:val="00F420A9"/>
    <w:rsid w:val="00F42D1A"/>
    <w:rsid w:val="00F42EAE"/>
    <w:rsid w:val="00F43749"/>
    <w:rsid w:val="00F43BB1"/>
    <w:rsid w:val="00F43BFF"/>
    <w:rsid w:val="00F446B7"/>
    <w:rsid w:val="00F44C28"/>
    <w:rsid w:val="00F45941"/>
    <w:rsid w:val="00F45C89"/>
    <w:rsid w:val="00F4733D"/>
    <w:rsid w:val="00F47D4E"/>
    <w:rsid w:val="00F50575"/>
    <w:rsid w:val="00F50822"/>
    <w:rsid w:val="00F5268A"/>
    <w:rsid w:val="00F52DA9"/>
    <w:rsid w:val="00F55CF5"/>
    <w:rsid w:val="00F55E47"/>
    <w:rsid w:val="00F55E5A"/>
    <w:rsid w:val="00F579E5"/>
    <w:rsid w:val="00F57DA3"/>
    <w:rsid w:val="00F603DC"/>
    <w:rsid w:val="00F60EB6"/>
    <w:rsid w:val="00F6134D"/>
    <w:rsid w:val="00F61464"/>
    <w:rsid w:val="00F61933"/>
    <w:rsid w:val="00F621C6"/>
    <w:rsid w:val="00F642C0"/>
    <w:rsid w:val="00F64C6B"/>
    <w:rsid w:val="00F64EB9"/>
    <w:rsid w:val="00F64EFA"/>
    <w:rsid w:val="00F65285"/>
    <w:rsid w:val="00F658D3"/>
    <w:rsid w:val="00F65943"/>
    <w:rsid w:val="00F66008"/>
    <w:rsid w:val="00F6607F"/>
    <w:rsid w:val="00F67627"/>
    <w:rsid w:val="00F70A70"/>
    <w:rsid w:val="00F70E41"/>
    <w:rsid w:val="00F71979"/>
    <w:rsid w:val="00F71A76"/>
    <w:rsid w:val="00F71FE4"/>
    <w:rsid w:val="00F727C1"/>
    <w:rsid w:val="00F73634"/>
    <w:rsid w:val="00F750DF"/>
    <w:rsid w:val="00F757AF"/>
    <w:rsid w:val="00F76164"/>
    <w:rsid w:val="00F77725"/>
    <w:rsid w:val="00F77BD1"/>
    <w:rsid w:val="00F801CB"/>
    <w:rsid w:val="00F81679"/>
    <w:rsid w:val="00F82657"/>
    <w:rsid w:val="00F82AD6"/>
    <w:rsid w:val="00F83D60"/>
    <w:rsid w:val="00F846F1"/>
    <w:rsid w:val="00F84C64"/>
    <w:rsid w:val="00F851EC"/>
    <w:rsid w:val="00F85CB3"/>
    <w:rsid w:val="00F87D3E"/>
    <w:rsid w:val="00F90013"/>
    <w:rsid w:val="00F9065E"/>
    <w:rsid w:val="00F919CC"/>
    <w:rsid w:val="00F91C50"/>
    <w:rsid w:val="00F92230"/>
    <w:rsid w:val="00F92658"/>
    <w:rsid w:val="00F93794"/>
    <w:rsid w:val="00F93996"/>
    <w:rsid w:val="00F9541F"/>
    <w:rsid w:val="00F95C29"/>
    <w:rsid w:val="00F95FB2"/>
    <w:rsid w:val="00F961EA"/>
    <w:rsid w:val="00F964EA"/>
    <w:rsid w:val="00F97397"/>
    <w:rsid w:val="00F9761F"/>
    <w:rsid w:val="00FA15D4"/>
    <w:rsid w:val="00FA23C4"/>
    <w:rsid w:val="00FA38C4"/>
    <w:rsid w:val="00FA4F8D"/>
    <w:rsid w:val="00FA59F6"/>
    <w:rsid w:val="00FA6518"/>
    <w:rsid w:val="00FA760B"/>
    <w:rsid w:val="00FB07A6"/>
    <w:rsid w:val="00FB0823"/>
    <w:rsid w:val="00FB0F36"/>
    <w:rsid w:val="00FB180C"/>
    <w:rsid w:val="00FB1EA5"/>
    <w:rsid w:val="00FB1FBC"/>
    <w:rsid w:val="00FB2D41"/>
    <w:rsid w:val="00FB367C"/>
    <w:rsid w:val="00FB3BE4"/>
    <w:rsid w:val="00FB42A6"/>
    <w:rsid w:val="00FB4E35"/>
    <w:rsid w:val="00FB5868"/>
    <w:rsid w:val="00FB61B3"/>
    <w:rsid w:val="00FB6ACE"/>
    <w:rsid w:val="00FB6E4A"/>
    <w:rsid w:val="00FB76E0"/>
    <w:rsid w:val="00FB79AB"/>
    <w:rsid w:val="00FB7EBD"/>
    <w:rsid w:val="00FC0BC4"/>
    <w:rsid w:val="00FC0C7A"/>
    <w:rsid w:val="00FC105F"/>
    <w:rsid w:val="00FC32E4"/>
    <w:rsid w:val="00FC3E7C"/>
    <w:rsid w:val="00FC4546"/>
    <w:rsid w:val="00FC4678"/>
    <w:rsid w:val="00FC520D"/>
    <w:rsid w:val="00FC5251"/>
    <w:rsid w:val="00FC55B7"/>
    <w:rsid w:val="00FC583E"/>
    <w:rsid w:val="00FC5BFB"/>
    <w:rsid w:val="00FC762E"/>
    <w:rsid w:val="00FC79D5"/>
    <w:rsid w:val="00FC7CE9"/>
    <w:rsid w:val="00FD06E3"/>
    <w:rsid w:val="00FD0B49"/>
    <w:rsid w:val="00FD12CD"/>
    <w:rsid w:val="00FD17C8"/>
    <w:rsid w:val="00FD2290"/>
    <w:rsid w:val="00FD2372"/>
    <w:rsid w:val="00FD43E8"/>
    <w:rsid w:val="00FD48B8"/>
    <w:rsid w:val="00FD5CEE"/>
    <w:rsid w:val="00FD5E18"/>
    <w:rsid w:val="00FD6418"/>
    <w:rsid w:val="00FE034E"/>
    <w:rsid w:val="00FE0C15"/>
    <w:rsid w:val="00FE1096"/>
    <w:rsid w:val="00FE3985"/>
    <w:rsid w:val="00FE4386"/>
    <w:rsid w:val="00FE4943"/>
    <w:rsid w:val="00FE4EBD"/>
    <w:rsid w:val="00FF1097"/>
    <w:rsid w:val="00FF16C7"/>
    <w:rsid w:val="00FF2654"/>
    <w:rsid w:val="00FF26E0"/>
    <w:rsid w:val="00FF4C50"/>
    <w:rsid w:val="00FF53BF"/>
    <w:rsid w:val="00FF5EF1"/>
    <w:rsid w:val="00FF6BBC"/>
    <w:rsid w:val="00FF6D59"/>
    <w:rsid w:val="00FF7885"/>
    <w:rsid w:val="00FF7BD9"/>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F88B28F"/>
  <w15:docId w15:val="{974BA11C-9724-4BAD-A589-27AC06700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uiPriority="45"/>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174A"/>
    <w:pPr>
      <w:spacing w:after="120" w:line="240" w:lineRule="auto"/>
      <w:jc w:val="both"/>
    </w:pPr>
  </w:style>
  <w:style w:type="paragraph" w:styleId="Heading1">
    <w:name w:val="heading 1"/>
    <w:basedOn w:val="Normal"/>
    <w:next w:val="Normal"/>
    <w:link w:val="Heading1Char"/>
    <w:uiPriority w:val="9"/>
    <w:qFormat/>
    <w:rsid w:val="00D8174A"/>
    <w:pPr>
      <w:keepNext/>
      <w:keepLines/>
      <w:spacing w:before="12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8174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14ED4"/>
    <w:pPr>
      <w:keepNext/>
      <w:keepLines/>
      <w:spacing w:before="200" w:after="0" w:line="276" w:lineRule="auto"/>
      <w:jc w:val="left"/>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14ED4"/>
    <w:pPr>
      <w:keepNext/>
      <w:keepLines/>
      <w:spacing w:before="200" w:after="0" w:line="276" w:lineRule="auto"/>
      <w:jc w:val="left"/>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174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8174A"/>
    <w:rPr>
      <w:rFonts w:asciiTheme="majorHAnsi" w:eastAsiaTheme="majorEastAsia" w:hAnsiTheme="majorHAnsi" w:cstheme="majorBidi"/>
      <w:b/>
      <w:bCs/>
      <w:color w:val="4F81BD" w:themeColor="accent1"/>
      <w:sz w:val="26"/>
      <w:szCs w:val="26"/>
    </w:rPr>
  </w:style>
  <w:style w:type="paragraph" w:styleId="FootnoteText">
    <w:name w:val="footnote text"/>
    <w:aliases w:val=" Char1,Char1, Char11 Char, Char11,Footnote Text Char Char,Fußnote,single space,FOOTNOTES,fn,Podrozdział,fn Char Char Char,fn Char Char,fn Char,Fußnote Char Char Char,Fußnote Char,Fußnote Char Char Char Char,stile 1,Footnote1,ft,Char11 Char"/>
    <w:basedOn w:val="Normal"/>
    <w:link w:val="FootnoteTextChar"/>
    <w:uiPriority w:val="99"/>
    <w:unhideWhenUsed/>
    <w:qFormat/>
    <w:rsid w:val="00D8174A"/>
    <w:pPr>
      <w:spacing w:after="0"/>
    </w:pPr>
    <w:rPr>
      <w:rFonts w:ascii="Calibri" w:eastAsia="Calibri" w:hAnsi="Calibri" w:cs="Times New Roman"/>
      <w:sz w:val="20"/>
      <w:szCs w:val="20"/>
    </w:rPr>
  </w:style>
  <w:style w:type="character" w:customStyle="1" w:styleId="FootnoteTextChar">
    <w:name w:val="Footnote Text Char"/>
    <w:aliases w:val=" Char1 Char,Char1 Char, Char11 Char Char, Char11 Char1,Footnote Text Char Char Char,Fußnote Char1,single space Char,FOOTNOTES Char,fn Char1,Podrozdział Char,fn Char Char Char Char,fn Char Char Char1,fn Char Char1,Fußnote Char Char"/>
    <w:basedOn w:val="DefaultParagraphFont"/>
    <w:link w:val="FootnoteText"/>
    <w:uiPriority w:val="99"/>
    <w:rsid w:val="00D8174A"/>
    <w:rPr>
      <w:rFonts w:ascii="Calibri" w:eastAsia="Calibri" w:hAnsi="Calibri" w:cs="Times New Roman"/>
      <w:sz w:val="20"/>
      <w:szCs w:val="20"/>
    </w:rPr>
  </w:style>
  <w:style w:type="character" w:styleId="FootnoteReference">
    <w:name w:val="footnote reference"/>
    <w:aliases w:val=" BVI fnr,BVI fnr,Footnote,Footnote symbol,Times 10 Point,Exposant 3 Point,SUPERS,-E Fußnotenzeichen,number,Footnote reference number,note TESI,EN Footnote Reference,Footnote Reference/,Footnote Reference Number,ftref,fr,16 Point"/>
    <w:uiPriority w:val="99"/>
    <w:unhideWhenUsed/>
    <w:qFormat/>
    <w:rsid w:val="00D8174A"/>
    <w:rPr>
      <w:vertAlign w:val="superscript"/>
    </w:rPr>
  </w:style>
  <w:style w:type="paragraph" w:styleId="ListParagraph">
    <w:name w:val="List Paragraph"/>
    <w:aliases w:val="Akapit z listą BS,List Paragraph 1,NUMBERED PARAGRAPH,References,Numbered List Paragraph,Numbered Paragraph,Main numbered paragraph,Colorful List - Accent 11,List_Paragraph,Multilevel para_II,List Paragraph1,Bullets,123 List Paragraph"/>
    <w:basedOn w:val="Normal"/>
    <w:link w:val="ListParagraphChar"/>
    <w:uiPriority w:val="34"/>
    <w:qFormat/>
    <w:rsid w:val="00D8174A"/>
    <w:pPr>
      <w:ind w:left="720"/>
      <w:contextualSpacing/>
    </w:pPr>
  </w:style>
  <w:style w:type="character" w:customStyle="1" w:styleId="ListParagraphChar">
    <w:name w:val="List Paragraph Char"/>
    <w:aliases w:val="Akapit z listą BS Char,List Paragraph 1 Char,NUMBERED PARAGRAPH Char,References Char,Numbered List Paragraph Char,Numbered Paragraph Char,Main numbered paragraph Char,Colorful List - Accent 11 Char,List_Paragraph Char,Bullets Char"/>
    <w:link w:val="ListParagraph"/>
    <w:uiPriority w:val="34"/>
    <w:rsid w:val="00D8174A"/>
  </w:style>
  <w:style w:type="paragraph" w:styleId="Caption">
    <w:name w:val="caption"/>
    <w:basedOn w:val="Normal"/>
    <w:next w:val="Normal"/>
    <w:uiPriority w:val="35"/>
    <w:unhideWhenUsed/>
    <w:qFormat/>
    <w:rsid w:val="00D8174A"/>
    <w:pPr>
      <w:jc w:val="center"/>
    </w:pPr>
    <w:rPr>
      <w:b/>
      <w:bCs/>
      <w:szCs w:val="18"/>
    </w:rPr>
  </w:style>
  <w:style w:type="paragraph" w:styleId="CommentText">
    <w:name w:val="annotation text"/>
    <w:basedOn w:val="Normal"/>
    <w:link w:val="CommentTextChar"/>
    <w:uiPriority w:val="99"/>
    <w:unhideWhenUsed/>
    <w:rsid w:val="00D8174A"/>
    <w:pPr>
      <w:spacing w:after="0"/>
    </w:pPr>
    <w:rPr>
      <w:rFonts w:eastAsiaTheme="minorEastAsia"/>
      <w:sz w:val="20"/>
      <w:szCs w:val="20"/>
    </w:rPr>
  </w:style>
  <w:style w:type="character" w:customStyle="1" w:styleId="CommentTextChar">
    <w:name w:val="Comment Text Char"/>
    <w:basedOn w:val="DefaultParagraphFont"/>
    <w:link w:val="CommentText"/>
    <w:uiPriority w:val="99"/>
    <w:rsid w:val="00D8174A"/>
    <w:rPr>
      <w:rFonts w:eastAsiaTheme="minorEastAsia"/>
      <w:sz w:val="20"/>
      <w:szCs w:val="20"/>
    </w:rPr>
  </w:style>
  <w:style w:type="character" w:styleId="Hyperlink">
    <w:name w:val="Hyperlink"/>
    <w:basedOn w:val="DefaultParagraphFont"/>
    <w:uiPriority w:val="99"/>
    <w:unhideWhenUsed/>
    <w:rsid w:val="00D8174A"/>
    <w:rPr>
      <w:color w:val="0000FF" w:themeColor="hyperlink"/>
      <w:u w:val="single"/>
    </w:rPr>
  </w:style>
  <w:style w:type="character" w:styleId="CommentReference">
    <w:name w:val="annotation reference"/>
    <w:basedOn w:val="DefaultParagraphFont"/>
    <w:uiPriority w:val="99"/>
    <w:unhideWhenUsed/>
    <w:rsid w:val="00D8174A"/>
    <w:rPr>
      <w:sz w:val="16"/>
      <w:szCs w:val="16"/>
    </w:rPr>
  </w:style>
  <w:style w:type="paragraph" w:styleId="BalloonText">
    <w:name w:val="Balloon Text"/>
    <w:basedOn w:val="Normal"/>
    <w:link w:val="BalloonTextChar"/>
    <w:uiPriority w:val="99"/>
    <w:semiHidden/>
    <w:unhideWhenUsed/>
    <w:rsid w:val="00D8174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174A"/>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9B081B"/>
    <w:pPr>
      <w:spacing w:after="120"/>
    </w:pPr>
    <w:rPr>
      <w:rFonts w:eastAsiaTheme="minorHAnsi"/>
      <w:b/>
      <w:bCs/>
    </w:rPr>
  </w:style>
  <w:style w:type="character" w:customStyle="1" w:styleId="CommentSubjectChar">
    <w:name w:val="Comment Subject Char"/>
    <w:basedOn w:val="CommentTextChar"/>
    <w:link w:val="CommentSubject"/>
    <w:uiPriority w:val="99"/>
    <w:semiHidden/>
    <w:rsid w:val="009B081B"/>
    <w:rPr>
      <w:rFonts w:eastAsiaTheme="minorEastAsia"/>
      <w:b/>
      <w:bCs/>
      <w:sz w:val="20"/>
      <w:szCs w:val="20"/>
    </w:rPr>
  </w:style>
  <w:style w:type="paragraph" w:styleId="Revision">
    <w:name w:val="Revision"/>
    <w:hidden/>
    <w:uiPriority w:val="99"/>
    <w:semiHidden/>
    <w:rsid w:val="008F5441"/>
    <w:pPr>
      <w:spacing w:after="0" w:line="240" w:lineRule="auto"/>
    </w:pPr>
  </w:style>
  <w:style w:type="paragraph" w:styleId="NoSpacing">
    <w:name w:val="No Spacing"/>
    <w:link w:val="NoSpacingChar"/>
    <w:uiPriority w:val="1"/>
    <w:qFormat/>
    <w:rsid w:val="00232273"/>
    <w:pPr>
      <w:spacing w:after="0" w:line="240" w:lineRule="auto"/>
    </w:pPr>
    <w:rPr>
      <w:rFonts w:eastAsiaTheme="minorEastAsia"/>
      <w:sz w:val="24"/>
      <w:szCs w:val="24"/>
    </w:rPr>
  </w:style>
  <w:style w:type="character" w:customStyle="1" w:styleId="NoSpacingChar">
    <w:name w:val="No Spacing Char"/>
    <w:basedOn w:val="DefaultParagraphFont"/>
    <w:link w:val="NoSpacing"/>
    <w:uiPriority w:val="1"/>
    <w:locked/>
    <w:rsid w:val="00232273"/>
    <w:rPr>
      <w:rFonts w:eastAsiaTheme="minorEastAsia"/>
      <w:sz w:val="24"/>
      <w:szCs w:val="24"/>
    </w:rPr>
  </w:style>
  <w:style w:type="paragraph" w:styleId="NormalWeb">
    <w:name w:val="Normal (Web)"/>
    <w:basedOn w:val="Normal"/>
    <w:uiPriority w:val="99"/>
    <w:unhideWhenUsed/>
    <w:rsid w:val="004F41B6"/>
    <w:pPr>
      <w:spacing w:before="100" w:beforeAutospacing="1" w:after="100" w:afterAutospacing="1"/>
      <w:jc w:val="left"/>
    </w:pPr>
    <w:rPr>
      <w:rFonts w:ascii="Times" w:hAnsi="Times" w:cs="Times New Roman"/>
      <w:sz w:val="20"/>
      <w:szCs w:val="20"/>
    </w:rPr>
  </w:style>
  <w:style w:type="paragraph" w:customStyle="1" w:styleId="PDSHeading2">
    <w:name w:val="PDS Heading 2"/>
    <w:next w:val="Normal"/>
    <w:rsid w:val="00070B4E"/>
    <w:pPr>
      <w:keepNext/>
      <w:numPr>
        <w:ilvl w:val="1"/>
        <w:numId w:val="8"/>
      </w:numPr>
      <w:spacing w:after="0" w:line="240" w:lineRule="auto"/>
    </w:pPr>
    <w:rPr>
      <w:rFonts w:ascii="Times New Roman" w:eastAsia="Times New Roman" w:hAnsi="Times New Roman" w:cs="Times New Roman"/>
      <w:b/>
      <w:sz w:val="24"/>
      <w:szCs w:val="20"/>
    </w:rPr>
  </w:style>
  <w:style w:type="paragraph" w:customStyle="1" w:styleId="PDSHeading1">
    <w:name w:val="PDS Heading 1"/>
    <w:next w:val="PDSHeading2"/>
    <w:rsid w:val="00070B4E"/>
    <w:pPr>
      <w:keepNext/>
      <w:numPr>
        <w:numId w:val="8"/>
      </w:numPr>
      <w:spacing w:after="0" w:line="240" w:lineRule="auto"/>
      <w:outlineLvl w:val="0"/>
    </w:pPr>
    <w:rPr>
      <w:rFonts w:ascii="Times New Roman" w:eastAsia="Times New Roman" w:hAnsi="Times New Roman" w:cs="Times New Roman"/>
      <w:b/>
      <w:caps/>
      <w:sz w:val="24"/>
      <w:szCs w:val="20"/>
    </w:rPr>
  </w:style>
  <w:style w:type="paragraph" w:customStyle="1" w:styleId="Normail1">
    <w:name w:val="Normail1"/>
    <w:basedOn w:val="Normal"/>
    <w:link w:val="Normail1Char"/>
    <w:qFormat/>
    <w:rsid w:val="00A63701"/>
    <w:pPr>
      <w:spacing w:after="240"/>
    </w:pPr>
    <w:rPr>
      <w:rFonts w:ascii="Times New Roman" w:eastAsia="Times New Roman" w:hAnsi="Times New Roman" w:cs="Times New Roman"/>
      <w:bCs/>
      <w:sz w:val="24"/>
      <w:szCs w:val="24"/>
    </w:rPr>
  </w:style>
  <w:style w:type="character" w:customStyle="1" w:styleId="Normail1Char">
    <w:name w:val="Normail1 Char"/>
    <w:basedOn w:val="DefaultParagraphFont"/>
    <w:link w:val="Normail1"/>
    <w:rsid w:val="00A63701"/>
    <w:rPr>
      <w:rFonts w:ascii="Times New Roman" w:eastAsia="Times New Roman" w:hAnsi="Times New Roman" w:cs="Times New Roman"/>
      <w:bCs/>
      <w:sz w:val="24"/>
      <w:szCs w:val="24"/>
    </w:rPr>
  </w:style>
  <w:style w:type="character" w:customStyle="1" w:styleId="apple-converted-space">
    <w:name w:val="apple-converted-space"/>
    <w:basedOn w:val="DefaultParagraphFont"/>
    <w:rsid w:val="009303CB"/>
  </w:style>
  <w:style w:type="character" w:customStyle="1" w:styleId="Heading3Char">
    <w:name w:val="Heading 3 Char"/>
    <w:basedOn w:val="DefaultParagraphFont"/>
    <w:link w:val="Heading3"/>
    <w:uiPriority w:val="9"/>
    <w:rsid w:val="00B14ED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B14ED4"/>
    <w:rPr>
      <w:rFonts w:asciiTheme="majorHAnsi" w:eastAsiaTheme="majorEastAsia" w:hAnsiTheme="majorHAnsi" w:cstheme="majorBidi"/>
      <w:b/>
      <w:bCs/>
      <w:i/>
      <w:iCs/>
      <w:color w:val="4F81BD" w:themeColor="accent1"/>
    </w:rPr>
  </w:style>
  <w:style w:type="character" w:styleId="FollowedHyperlink">
    <w:name w:val="FollowedHyperlink"/>
    <w:basedOn w:val="DefaultParagraphFont"/>
    <w:uiPriority w:val="99"/>
    <w:semiHidden/>
    <w:unhideWhenUsed/>
    <w:rsid w:val="00612F0E"/>
    <w:rPr>
      <w:color w:val="800080" w:themeColor="followedHyperlink"/>
      <w:u w:val="single"/>
    </w:rPr>
  </w:style>
  <w:style w:type="paragraph" w:styleId="TOCHeading">
    <w:name w:val="TOC Heading"/>
    <w:basedOn w:val="Heading1"/>
    <w:next w:val="Normal"/>
    <w:uiPriority w:val="39"/>
    <w:unhideWhenUsed/>
    <w:qFormat/>
    <w:rsid w:val="00BC63CF"/>
    <w:pPr>
      <w:spacing w:before="240" w:after="0" w:line="259" w:lineRule="auto"/>
      <w:jc w:val="left"/>
      <w:outlineLvl w:val="9"/>
    </w:pPr>
    <w:rPr>
      <w:b w:val="0"/>
      <w:bCs w:val="0"/>
      <w:sz w:val="32"/>
      <w:szCs w:val="32"/>
    </w:rPr>
  </w:style>
  <w:style w:type="paragraph" w:styleId="TOC1">
    <w:name w:val="toc 1"/>
    <w:basedOn w:val="Normal"/>
    <w:next w:val="Normal"/>
    <w:autoRedefine/>
    <w:uiPriority w:val="39"/>
    <w:unhideWhenUsed/>
    <w:rsid w:val="00BC63CF"/>
    <w:pPr>
      <w:spacing w:after="100"/>
    </w:pPr>
  </w:style>
  <w:style w:type="paragraph" w:styleId="TOC2">
    <w:name w:val="toc 2"/>
    <w:basedOn w:val="Normal"/>
    <w:next w:val="Normal"/>
    <w:autoRedefine/>
    <w:uiPriority w:val="39"/>
    <w:unhideWhenUsed/>
    <w:rsid w:val="00BC63CF"/>
    <w:pPr>
      <w:spacing w:after="100"/>
      <w:ind w:left="220"/>
    </w:pPr>
  </w:style>
  <w:style w:type="paragraph" w:styleId="Header">
    <w:name w:val="header"/>
    <w:basedOn w:val="Normal"/>
    <w:link w:val="HeaderChar"/>
    <w:uiPriority w:val="99"/>
    <w:unhideWhenUsed/>
    <w:rsid w:val="00A958B0"/>
    <w:pPr>
      <w:tabs>
        <w:tab w:val="center" w:pos="4680"/>
        <w:tab w:val="right" w:pos="9360"/>
      </w:tabs>
      <w:spacing w:after="0"/>
    </w:pPr>
  </w:style>
  <w:style w:type="character" w:customStyle="1" w:styleId="HeaderChar">
    <w:name w:val="Header Char"/>
    <w:basedOn w:val="DefaultParagraphFont"/>
    <w:link w:val="Header"/>
    <w:uiPriority w:val="99"/>
    <w:rsid w:val="00A958B0"/>
  </w:style>
  <w:style w:type="paragraph" w:styleId="Footer">
    <w:name w:val="footer"/>
    <w:basedOn w:val="Normal"/>
    <w:link w:val="FooterChar"/>
    <w:uiPriority w:val="99"/>
    <w:unhideWhenUsed/>
    <w:rsid w:val="00A958B0"/>
    <w:pPr>
      <w:tabs>
        <w:tab w:val="center" w:pos="4680"/>
        <w:tab w:val="right" w:pos="9360"/>
      </w:tabs>
      <w:spacing w:after="0"/>
    </w:pPr>
  </w:style>
  <w:style w:type="character" w:customStyle="1" w:styleId="FooterChar">
    <w:name w:val="Footer Char"/>
    <w:basedOn w:val="DefaultParagraphFont"/>
    <w:link w:val="Footer"/>
    <w:uiPriority w:val="99"/>
    <w:rsid w:val="00A958B0"/>
  </w:style>
  <w:style w:type="table" w:styleId="LightGrid-Accent3">
    <w:name w:val="Light Grid Accent 3"/>
    <w:basedOn w:val="TableNormal"/>
    <w:uiPriority w:val="62"/>
    <w:rsid w:val="00916835"/>
    <w:pPr>
      <w:spacing w:after="0" w:line="240" w:lineRule="auto"/>
    </w:pPr>
    <w:rPr>
      <w:rFonts w:eastAsiaTheme="minorEastAsia"/>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TableGrid">
    <w:name w:val="Table Grid"/>
    <w:basedOn w:val="TableNormal"/>
    <w:uiPriority w:val="39"/>
    <w:rsid w:val="00672E6F"/>
    <w:pPr>
      <w:spacing w:after="0" w:line="240" w:lineRule="auto"/>
    </w:pPr>
    <w:rPr>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ngleTxt">
    <w:name w:val="__Single Txt"/>
    <w:basedOn w:val="Normal"/>
    <w:rsid w:val="00672E6F"/>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line="240" w:lineRule="exact"/>
      <w:ind w:left="1267" w:right="1267"/>
    </w:pPr>
    <w:rPr>
      <w:rFonts w:ascii="Times New Roman" w:eastAsia="Calibri" w:hAnsi="Times New Roman" w:cs="Times New Roman"/>
      <w:spacing w:val="4"/>
      <w:w w:val="103"/>
      <w:kern w:val="14"/>
      <w:sz w:val="20"/>
      <w:szCs w:val="20"/>
      <w:lang w:val="en-GB"/>
    </w:rPr>
  </w:style>
  <w:style w:type="table" w:styleId="PlainTable5">
    <w:name w:val="Plain Table 5"/>
    <w:basedOn w:val="TableNormal"/>
    <w:uiPriority w:val="45"/>
    <w:rsid w:val="009A37B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93837">
      <w:bodyDiv w:val="1"/>
      <w:marLeft w:val="0"/>
      <w:marRight w:val="0"/>
      <w:marTop w:val="0"/>
      <w:marBottom w:val="0"/>
      <w:divBdr>
        <w:top w:val="none" w:sz="0" w:space="0" w:color="auto"/>
        <w:left w:val="none" w:sz="0" w:space="0" w:color="auto"/>
        <w:bottom w:val="none" w:sz="0" w:space="0" w:color="auto"/>
        <w:right w:val="none" w:sz="0" w:space="0" w:color="auto"/>
      </w:divBdr>
    </w:div>
    <w:div w:id="13461527">
      <w:bodyDiv w:val="1"/>
      <w:marLeft w:val="0"/>
      <w:marRight w:val="0"/>
      <w:marTop w:val="0"/>
      <w:marBottom w:val="0"/>
      <w:divBdr>
        <w:top w:val="none" w:sz="0" w:space="0" w:color="auto"/>
        <w:left w:val="none" w:sz="0" w:space="0" w:color="auto"/>
        <w:bottom w:val="none" w:sz="0" w:space="0" w:color="auto"/>
        <w:right w:val="none" w:sz="0" w:space="0" w:color="auto"/>
      </w:divBdr>
    </w:div>
    <w:div w:id="82916111">
      <w:bodyDiv w:val="1"/>
      <w:marLeft w:val="0"/>
      <w:marRight w:val="0"/>
      <w:marTop w:val="0"/>
      <w:marBottom w:val="0"/>
      <w:divBdr>
        <w:top w:val="none" w:sz="0" w:space="0" w:color="auto"/>
        <w:left w:val="none" w:sz="0" w:space="0" w:color="auto"/>
        <w:bottom w:val="none" w:sz="0" w:space="0" w:color="auto"/>
        <w:right w:val="none" w:sz="0" w:space="0" w:color="auto"/>
      </w:divBdr>
    </w:div>
    <w:div w:id="125046689">
      <w:bodyDiv w:val="1"/>
      <w:marLeft w:val="0"/>
      <w:marRight w:val="0"/>
      <w:marTop w:val="0"/>
      <w:marBottom w:val="0"/>
      <w:divBdr>
        <w:top w:val="none" w:sz="0" w:space="0" w:color="auto"/>
        <w:left w:val="none" w:sz="0" w:space="0" w:color="auto"/>
        <w:bottom w:val="none" w:sz="0" w:space="0" w:color="auto"/>
        <w:right w:val="none" w:sz="0" w:space="0" w:color="auto"/>
      </w:divBdr>
    </w:div>
    <w:div w:id="250891500">
      <w:bodyDiv w:val="1"/>
      <w:marLeft w:val="0"/>
      <w:marRight w:val="0"/>
      <w:marTop w:val="0"/>
      <w:marBottom w:val="0"/>
      <w:divBdr>
        <w:top w:val="none" w:sz="0" w:space="0" w:color="auto"/>
        <w:left w:val="none" w:sz="0" w:space="0" w:color="auto"/>
        <w:bottom w:val="none" w:sz="0" w:space="0" w:color="auto"/>
        <w:right w:val="none" w:sz="0" w:space="0" w:color="auto"/>
      </w:divBdr>
    </w:div>
    <w:div w:id="301272785">
      <w:bodyDiv w:val="1"/>
      <w:marLeft w:val="0"/>
      <w:marRight w:val="0"/>
      <w:marTop w:val="0"/>
      <w:marBottom w:val="0"/>
      <w:divBdr>
        <w:top w:val="none" w:sz="0" w:space="0" w:color="auto"/>
        <w:left w:val="none" w:sz="0" w:space="0" w:color="auto"/>
        <w:bottom w:val="none" w:sz="0" w:space="0" w:color="auto"/>
        <w:right w:val="none" w:sz="0" w:space="0" w:color="auto"/>
      </w:divBdr>
    </w:div>
    <w:div w:id="411589498">
      <w:bodyDiv w:val="1"/>
      <w:marLeft w:val="0"/>
      <w:marRight w:val="0"/>
      <w:marTop w:val="0"/>
      <w:marBottom w:val="0"/>
      <w:divBdr>
        <w:top w:val="none" w:sz="0" w:space="0" w:color="auto"/>
        <w:left w:val="none" w:sz="0" w:space="0" w:color="auto"/>
        <w:bottom w:val="none" w:sz="0" w:space="0" w:color="auto"/>
        <w:right w:val="none" w:sz="0" w:space="0" w:color="auto"/>
      </w:divBdr>
    </w:div>
    <w:div w:id="511535623">
      <w:bodyDiv w:val="1"/>
      <w:marLeft w:val="0"/>
      <w:marRight w:val="0"/>
      <w:marTop w:val="0"/>
      <w:marBottom w:val="0"/>
      <w:divBdr>
        <w:top w:val="none" w:sz="0" w:space="0" w:color="auto"/>
        <w:left w:val="none" w:sz="0" w:space="0" w:color="auto"/>
        <w:bottom w:val="none" w:sz="0" w:space="0" w:color="auto"/>
        <w:right w:val="none" w:sz="0" w:space="0" w:color="auto"/>
      </w:divBdr>
    </w:div>
    <w:div w:id="535974289">
      <w:bodyDiv w:val="1"/>
      <w:marLeft w:val="0"/>
      <w:marRight w:val="0"/>
      <w:marTop w:val="0"/>
      <w:marBottom w:val="0"/>
      <w:divBdr>
        <w:top w:val="none" w:sz="0" w:space="0" w:color="auto"/>
        <w:left w:val="none" w:sz="0" w:space="0" w:color="auto"/>
        <w:bottom w:val="none" w:sz="0" w:space="0" w:color="auto"/>
        <w:right w:val="none" w:sz="0" w:space="0" w:color="auto"/>
      </w:divBdr>
    </w:div>
    <w:div w:id="619339384">
      <w:bodyDiv w:val="1"/>
      <w:marLeft w:val="0"/>
      <w:marRight w:val="0"/>
      <w:marTop w:val="0"/>
      <w:marBottom w:val="0"/>
      <w:divBdr>
        <w:top w:val="none" w:sz="0" w:space="0" w:color="auto"/>
        <w:left w:val="none" w:sz="0" w:space="0" w:color="auto"/>
        <w:bottom w:val="none" w:sz="0" w:space="0" w:color="auto"/>
        <w:right w:val="none" w:sz="0" w:space="0" w:color="auto"/>
      </w:divBdr>
    </w:div>
    <w:div w:id="854198705">
      <w:bodyDiv w:val="1"/>
      <w:marLeft w:val="0"/>
      <w:marRight w:val="0"/>
      <w:marTop w:val="0"/>
      <w:marBottom w:val="0"/>
      <w:divBdr>
        <w:top w:val="none" w:sz="0" w:space="0" w:color="auto"/>
        <w:left w:val="none" w:sz="0" w:space="0" w:color="auto"/>
        <w:bottom w:val="none" w:sz="0" w:space="0" w:color="auto"/>
        <w:right w:val="none" w:sz="0" w:space="0" w:color="auto"/>
      </w:divBdr>
    </w:div>
    <w:div w:id="920794526">
      <w:bodyDiv w:val="1"/>
      <w:marLeft w:val="0"/>
      <w:marRight w:val="0"/>
      <w:marTop w:val="0"/>
      <w:marBottom w:val="0"/>
      <w:divBdr>
        <w:top w:val="none" w:sz="0" w:space="0" w:color="auto"/>
        <w:left w:val="none" w:sz="0" w:space="0" w:color="auto"/>
        <w:bottom w:val="none" w:sz="0" w:space="0" w:color="auto"/>
        <w:right w:val="none" w:sz="0" w:space="0" w:color="auto"/>
      </w:divBdr>
    </w:div>
    <w:div w:id="952173803">
      <w:bodyDiv w:val="1"/>
      <w:marLeft w:val="0"/>
      <w:marRight w:val="0"/>
      <w:marTop w:val="0"/>
      <w:marBottom w:val="0"/>
      <w:divBdr>
        <w:top w:val="none" w:sz="0" w:space="0" w:color="auto"/>
        <w:left w:val="none" w:sz="0" w:space="0" w:color="auto"/>
        <w:bottom w:val="none" w:sz="0" w:space="0" w:color="auto"/>
        <w:right w:val="none" w:sz="0" w:space="0" w:color="auto"/>
      </w:divBdr>
    </w:div>
    <w:div w:id="995259485">
      <w:bodyDiv w:val="1"/>
      <w:marLeft w:val="0"/>
      <w:marRight w:val="0"/>
      <w:marTop w:val="0"/>
      <w:marBottom w:val="0"/>
      <w:divBdr>
        <w:top w:val="none" w:sz="0" w:space="0" w:color="auto"/>
        <w:left w:val="none" w:sz="0" w:space="0" w:color="auto"/>
        <w:bottom w:val="none" w:sz="0" w:space="0" w:color="auto"/>
        <w:right w:val="none" w:sz="0" w:space="0" w:color="auto"/>
      </w:divBdr>
    </w:div>
    <w:div w:id="1018698028">
      <w:bodyDiv w:val="1"/>
      <w:marLeft w:val="0"/>
      <w:marRight w:val="0"/>
      <w:marTop w:val="0"/>
      <w:marBottom w:val="0"/>
      <w:divBdr>
        <w:top w:val="none" w:sz="0" w:space="0" w:color="auto"/>
        <w:left w:val="none" w:sz="0" w:space="0" w:color="auto"/>
        <w:bottom w:val="none" w:sz="0" w:space="0" w:color="auto"/>
        <w:right w:val="none" w:sz="0" w:space="0" w:color="auto"/>
      </w:divBdr>
    </w:div>
    <w:div w:id="1019967853">
      <w:bodyDiv w:val="1"/>
      <w:marLeft w:val="0"/>
      <w:marRight w:val="0"/>
      <w:marTop w:val="0"/>
      <w:marBottom w:val="0"/>
      <w:divBdr>
        <w:top w:val="none" w:sz="0" w:space="0" w:color="auto"/>
        <w:left w:val="none" w:sz="0" w:space="0" w:color="auto"/>
        <w:bottom w:val="none" w:sz="0" w:space="0" w:color="auto"/>
        <w:right w:val="none" w:sz="0" w:space="0" w:color="auto"/>
      </w:divBdr>
    </w:div>
    <w:div w:id="1064984878">
      <w:bodyDiv w:val="1"/>
      <w:marLeft w:val="0"/>
      <w:marRight w:val="0"/>
      <w:marTop w:val="0"/>
      <w:marBottom w:val="0"/>
      <w:divBdr>
        <w:top w:val="none" w:sz="0" w:space="0" w:color="auto"/>
        <w:left w:val="none" w:sz="0" w:space="0" w:color="auto"/>
        <w:bottom w:val="none" w:sz="0" w:space="0" w:color="auto"/>
        <w:right w:val="none" w:sz="0" w:space="0" w:color="auto"/>
      </w:divBdr>
    </w:div>
    <w:div w:id="1512184617">
      <w:bodyDiv w:val="1"/>
      <w:marLeft w:val="0"/>
      <w:marRight w:val="0"/>
      <w:marTop w:val="0"/>
      <w:marBottom w:val="0"/>
      <w:divBdr>
        <w:top w:val="none" w:sz="0" w:space="0" w:color="auto"/>
        <w:left w:val="none" w:sz="0" w:space="0" w:color="auto"/>
        <w:bottom w:val="none" w:sz="0" w:space="0" w:color="auto"/>
        <w:right w:val="none" w:sz="0" w:space="0" w:color="auto"/>
      </w:divBdr>
    </w:div>
    <w:div w:id="1531339106">
      <w:bodyDiv w:val="1"/>
      <w:marLeft w:val="0"/>
      <w:marRight w:val="0"/>
      <w:marTop w:val="0"/>
      <w:marBottom w:val="0"/>
      <w:divBdr>
        <w:top w:val="none" w:sz="0" w:space="0" w:color="auto"/>
        <w:left w:val="none" w:sz="0" w:space="0" w:color="auto"/>
        <w:bottom w:val="none" w:sz="0" w:space="0" w:color="auto"/>
        <w:right w:val="none" w:sz="0" w:space="0" w:color="auto"/>
      </w:divBdr>
    </w:div>
    <w:div w:id="1730297583">
      <w:bodyDiv w:val="1"/>
      <w:marLeft w:val="0"/>
      <w:marRight w:val="0"/>
      <w:marTop w:val="0"/>
      <w:marBottom w:val="0"/>
      <w:divBdr>
        <w:top w:val="none" w:sz="0" w:space="0" w:color="auto"/>
        <w:left w:val="none" w:sz="0" w:space="0" w:color="auto"/>
        <w:bottom w:val="none" w:sz="0" w:space="0" w:color="auto"/>
        <w:right w:val="none" w:sz="0" w:space="0" w:color="auto"/>
      </w:divBdr>
    </w:div>
    <w:div w:id="1818381607">
      <w:bodyDiv w:val="1"/>
      <w:marLeft w:val="0"/>
      <w:marRight w:val="0"/>
      <w:marTop w:val="0"/>
      <w:marBottom w:val="0"/>
      <w:divBdr>
        <w:top w:val="none" w:sz="0" w:space="0" w:color="auto"/>
        <w:left w:val="none" w:sz="0" w:space="0" w:color="auto"/>
        <w:bottom w:val="none" w:sz="0" w:space="0" w:color="auto"/>
        <w:right w:val="none" w:sz="0" w:space="0" w:color="auto"/>
      </w:divBdr>
    </w:div>
    <w:div w:id="1851795571">
      <w:bodyDiv w:val="1"/>
      <w:marLeft w:val="0"/>
      <w:marRight w:val="0"/>
      <w:marTop w:val="0"/>
      <w:marBottom w:val="0"/>
      <w:divBdr>
        <w:top w:val="none" w:sz="0" w:space="0" w:color="auto"/>
        <w:left w:val="none" w:sz="0" w:space="0" w:color="auto"/>
        <w:bottom w:val="none" w:sz="0" w:space="0" w:color="auto"/>
        <w:right w:val="none" w:sz="0" w:space="0" w:color="auto"/>
      </w:divBdr>
    </w:div>
    <w:div w:id="1969389562">
      <w:bodyDiv w:val="1"/>
      <w:marLeft w:val="0"/>
      <w:marRight w:val="0"/>
      <w:marTop w:val="0"/>
      <w:marBottom w:val="0"/>
      <w:divBdr>
        <w:top w:val="none" w:sz="0" w:space="0" w:color="auto"/>
        <w:left w:val="none" w:sz="0" w:space="0" w:color="auto"/>
        <w:bottom w:val="none" w:sz="0" w:space="0" w:color="auto"/>
        <w:right w:val="none" w:sz="0" w:space="0" w:color="auto"/>
      </w:divBdr>
    </w:div>
    <w:div w:id="2037149156">
      <w:bodyDiv w:val="1"/>
      <w:marLeft w:val="0"/>
      <w:marRight w:val="0"/>
      <w:marTop w:val="0"/>
      <w:marBottom w:val="0"/>
      <w:divBdr>
        <w:top w:val="none" w:sz="0" w:space="0" w:color="auto"/>
        <w:left w:val="none" w:sz="0" w:space="0" w:color="auto"/>
        <w:bottom w:val="none" w:sz="0" w:space="0" w:color="auto"/>
        <w:right w:val="none" w:sz="0" w:space="0" w:color="auto"/>
      </w:divBdr>
    </w:div>
    <w:div w:id="2117286993">
      <w:bodyDiv w:val="1"/>
      <w:marLeft w:val="0"/>
      <w:marRight w:val="0"/>
      <w:marTop w:val="0"/>
      <w:marBottom w:val="0"/>
      <w:divBdr>
        <w:top w:val="none" w:sz="0" w:space="0" w:color="auto"/>
        <w:left w:val="none" w:sz="0" w:space="0" w:color="auto"/>
        <w:bottom w:val="none" w:sz="0" w:space="0" w:color="auto"/>
        <w:right w:val="none" w:sz="0" w:space="0" w:color="auto"/>
      </w:divBdr>
    </w:div>
    <w:div w:id="2117553210">
      <w:bodyDiv w:val="1"/>
      <w:marLeft w:val="0"/>
      <w:marRight w:val="0"/>
      <w:marTop w:val="0"/>
      <w:marBottom w:val="0"/>
      <w:divBdr>
        <w:top w:val="none" w:sz="0" w:space="0" w:color="auto"/>
        <w:left w:val="none" w:sz="0" w:space="0" w:color="auto"/>
        <w:bottom w:val="none" w:sz="0" w:space="0" w:color="auto"/>
        <w:right w:val="none" w:sz="0" w:space="0" w:color="auto"/>
      </w:divBdr>
    </w:div>
    <w:div w:id="2132899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hyperlink" Target="http://www.unhcr.org/4ad827f59.pdf" TargetMode="External"/><Relationship Id="rId39"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hyperlink" Target="http://chca.org.ge/itst/_FILES/Legislation/3%20Eng.pdf" TargetMode="External"/><Relationship Id="rId34" Type="http://schemas.openxmlformats.org/officeDocument/2006/relationships/image" Target="media/image13.emf"/><Relationship Id="rId42" Type="http://schemas.openxmlformats.org/officeDocument/2006/relationships/image" Target="media/image21.emf"/><Relationship Id="rId47" Type="http://schemas.openxmlformats.org/officeDocument/2006/relationships/image" Target="media/image26.emf"/><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refworld.org/publisher/UNHCR.html" TargetMode="External"/><Relationship Id="rId17" Type="http://schemas.openxmlformats.org/officeDocument/2006/relationships/image" Target="media/image7.emf"/><Relationship Id="rId25" Type="http://schemas.openxmlformats.org/officeDocument/2006/relationships/hyperlink" Target="http://www.transparency.ge/sites/default/files/post_attachments/Concept_TI_Georgias_role_on_MRA_Steering_Committee_ENG.pdf" TargetMode="External"/><Relationship Id="rId33" Type="http://schemas.openxmlformats.org/officeDocument/2006/relationships/image" Target="media/image12.emf"/><Relationship Id="rId38" Type="http://schemas.openxmlformats.org/officeDocument/2006/relationships/image" Target="media/image17.emf"/><Relationship Id="rId46" Type="http://schemas.openxmlformats.org/officeDocument/2006/relationships/image" Target="media/image25.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hyperlink" Target="http://mra.gov.ge/res/docs/201406171444442634.pdf" TargetMode="External"/><Relationship Id="rId29" Type="http://schemas.openxmlformats.org/officeDocument/2006/relationships/hyperlink" Target="http://www.ohchr.org/EN/Issues/IDPersons/Pages/Standards.aspx" TargetMode="External"/><Relationship Id="rId41"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ww.geostat.ge/?action=meurneoba&amp;mpid=1&amp;lang=eng" TargetMode="External"/><Relationship Id="rId32" Type="http://schemas.openxmlformats.org/officeDocument/2006/relationships/image" Target="media/image11.emf"/><Relationship Id="rId37" Type="http://schemas.openxmlformats.org/officeDocument/2006/relationships/image" Target="media/image16.emf"/><Relationship Id="rId40" Type="http://schemas.openxmlformats.org/officeDocument/2006/relationships/image" Target="media/image19.emf"/><Relationship Id="rId45" Type="http://schemas.openxmlformats.org/officeDocument/2006/relationships/image" Target="media/image24.emf"/><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yperlink" Target="http://transparency.ge/sites/default/files/post_attachments/2010%20-%20MRA_Housing_Strategy_and_Work_Plan_ENG_0.pdf" TargetMode="External"/><Relationship Id="rId28" Type="http://schemas.openxmlformats.org/officeDocument/2006/relationships/hyperlink" Target="http://www.un.org/apps/news/story.asp?NewsID=28032" TargetMode="External"/><Relationship Id="rId36" Type="http://schemas.openxmlformats.org/officeDocument/2006/relationships/image" Target="media/image15.emf"/><Relationship Id="rId49" Type="http://schemas.openxmlformats.org/officeDocument/2006/relationships/footer" Target="footer1.xml"/><Relationship Id="rId10" Type="http://schemas.openxmlformats.org/officeDocument/2006/relationships/hyperlink" Target="mailto:pubrights@worldbank.org" TargetMode="External"/><Relationship Id="rId19" Type="http://schemas.openxmlformats.org/officeDocument/2006/relationships/image" Target="media/image9.emf"/><Relationship Id="rId31" Type="http://schemas.openxmlformats.org/officeDocument/2006/relationships/image" Target="media/image10.emf"/><Relationship Id="rId44"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hyperlink" Target="http://www.copyright.com" TargetMode="External"/><Relationship Id="rId14" Type="http://schemas.openxmlformats.org/officeDocument/2006/relationships/image" Target="media/image4.emf"/><Relationship Id="rId22" Type="http://schemas.openxmlformats.org/officeDocument/2006/relationships/hyperlink" Target="http://www.europarl.europa.eu/meetdocs/2009_2014/documents/dsca/dv/dsca_20110315_14/dsca_20110315_14en.pdf" TargetMode="External"/><Relationship Id="rId27" Type="http://schemas.openxmlformats.org/officeDocument/2006/relationships/hyperlink" Target="http://lib.ohchr.org/HRBodies/UPR/Documents/Session10/GE/UNHCR_UNHighCommissionerforRefugees-eng.pdf" TargetMode="External"/><Relationship Id="rId30" Type="http://schemas.openxmlformats.org/officeDocument/2006/relationships/hyperlink" Target="http://imagebank.worldbank.org/servlet/WDSContentServer/IW3P/IB/2013/07/03/000333037_20130703101637/Rendered/PDF/791740WP0Georg0Box0377356B00PUBLIC0.pdf" TargetMode="External"/><Relationship Id="rId35" Type="http://schemas.openxmlformats.org/officeDocument/2006/relationships/image" Target="media/image14.emf"/><Relationship Id="rId43" Type="http://schemas.openxmlformats.org/officeDocument/2006/relationships/image" Target="media/image22.emf"/><Relationship Id="rId48" Type="http://schemas.openxmlformats.org/officeDocument/2006/relationships/image" Target="media/image27.jpeg"/><Relationship Id="rId8" Type="http://schemas.openxmlformats.org/officeDocument/2006/relationships/image" Target="media/image1.jpeg"/><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imagebank.worldbank.org/servlet/WDSContentServer/IW3P/IB/2013/07/03/000333037_20130703101637/Rendered/PDF/791740WP0Georg0Box0377356B00PUBLIC0.pdf" TargetMode="External"/><Relationship Id="rId13" Type="http://schemas.openxmlformats.org/officeDocument/2006/relationships/hyperlink" Target="http://www.unhcr.org/4ad827f59.pdf" TargetMode="External"/><Relationship Id="rId18" Type="http://schemas.openxmlformats.org/officeDocument/2006/relationships/hyperlink" Target="http://imagebank.worldbank.org/servlet/WDSContentServer/IW3P/IB/2013/07/03/000333037_20130703101637/Rendered/PDF/791740WP0Georg0Box0377356B00PUBLIC0.pdf" TargetMode="External"/><Relationship Id="rId26" Type="http://schemas.openxmlformats.org/officeDocument/2006/relationships/hyperlink" Target="http://imagebank.worldbank.org/servlet/WDSContentServer/IW3P/IB/2013/07/03/000333037_20130703101637/Rendered/PDF/791740WP0Georg0Box0377356B00PUBLIC0.pdf" TargetMode="External"/><Relationship Id="rId3" Type="http://schemas.openxmlformats.org/officeDocument/2006/relationships/hyperlink" Target="http://www.unhcr.org/4ad827f59.pdf" TargetMode="External"/><Relationship Id="rId21" Type="http://schemas.openxmlformats.org/officeDocument/2006/relationships/hyperlink" Target="http://transparency.ge/sites/default/files/post_attachments/2010%20-%20MRA_Housing_Strategy_and_Work_Plan_ENG_0.pdf" TargetMode="External"/><Relationship Id="rId7" Type="http://schemas.openxmlformats.org/officeDocument/2006/relationships/hyperlink" Target="http://www.europarl.europa.eu/meetdocs/2009_2014/documents/dsca/dv/dsca_20110315_14/dsca_20110315_14en.pdf" TargetMode="External"/><Relationship Id="rId12" Type="http://schemas.openxmlformats.org/officeDocument/2006/relationships/hyperlink" Target="http://www.europarl.europa.eu/meetdocs/2009_2014/documents/dsca/dv/dsca_20110315_14/dsca_20110315_14en.pdf" TargetMode="External"/><Relationship Id="rId17" Type="http://schemas.openxmlformats.org/officeDocument/2006/relationships/hyperlink" Target="http://transparency.ge/sites/default/files/post_attachments/2010%20-%20MRA_Housing_Strategy_and_Work_Plan_ENG_0.pdf" TargetMode="External"/><Relationship Id="rId25" Type="http://schemas.openxmlformats.org/officeDocument/2006/relationships/hyperlink" Target="http://imagebank.worldbank.org/servlet/WDSContentServer/IW3P/IB/2013/07/03/000333037_20130703101637/Rendered/PDF/791740WP0Georg0Box0377356B00PUBLIC0.pdf" TargetMode="External"/><Relationship Id="rId2" Type="http://schemas.openxmlformats.org/officeDocument/2006/relationships/hyperlink" Target="http://mra.gov.ge/eng/static/3181" TargetMode="External"/><Relationship Id="rId16" Type="http://schemas.openxmlformats.org/officeDocument/2006/relationships/hyperlink" Target="http://imagebank.worldbank.org/servlet/WDSContentServer/IW3P/IB/2013/07/03/000333037_20130703101637/Rendered/PDF/791740WP0Georg0Box0377356B00PUBLIC0.pdf" TargetMode="External"/><Relationship Id="rId20" Type="http://schemas.openxmlformats.org/officeDocument/2006/relationships/hyperlink" Target="http://www.unhcr.org/4ad827f59.pdf" TargetMode="External"/><Relationship Id="rId29" Type="http://schemas.openxmlformats.org/officeDocument/2006/relationships/hyperlink" Target="http://mra.gov.ge/index.php?lang_id=ENG" TargetMode="External"/><Relationship Id="rId1" Type="http://schemas.openxmlformats.org/officeDocument/2006/relationships/hyperlink" Target="http://imagebank.worldbank.org/servlet/WDSContentServer/IW3P/ECA/2013/03/18/090224b0819f0f8c/1_0/Rendered/PDF/Georgia000IDP00Report000Sequence005.pdf" TargetMode="External"/><Relationship Id="rId6" Type="http://schemas.openxmlformats.org/officeDocument/2006/relationships/hyperlink" Target="http://mra.gov.ge/eng/static/3193" TargetMode="External"/><Relationship Id="rId11" Type="http://schemas.openxmlformats.org/officeDocument/2006/relationships/hyperlink" Target="http://chca.org.ge/itst/_FILES/Legislation/3%20Eng.pdf" TargetMode="External"/><Relationship Id="rId24" Type="http://schemas.openxmlformats.org/officeDocument/2006/relationships/hyperlink" Target="http://imagebank.worldbank.org/servlet/WDSContentServer/IW3P/IB/2013/07/03/000333037_20130703101637/Rendered/PDF/791740WP0Georg0Box0377356B00PUBLIC0.pdf" TargetMode="External"/><Relationship Id="rId5" Type="http://schemas.openxmlformats.org/officeDocument/2006/relationships/hyperlink" Target="http://imagebank.worldbank.org/servlet/WDSContentServer/IW3P/IB/2013/07/03/000333037_20130703101637/Rendered/PDF/791740WP0Georg0Box0377356B00PUBLIC0.pdf" TargetMode="External"/><Relationship Id="rId15" Type="http://schemas.openxmlformats.org/officeDocument/2006/relationships/hyperlink" Target="http://imagebank.worldbank.org/servlet/WDSContentServer/IW3P/IB/2013/07/03/000333037_20130703101637/Rendered/PDF/791740WP0Georg0Box0377356B00PUBLIC0.pdf" TargetMode="External"/><Relationship Id="rId23" Type="http://schemas.openxmlformats.org/officeDocument/2006/relationships/hyperlink" Target="http://www.unhcr.org/4ad827f59.pdf" TargetMode="External"/><Relationship Id="rId28" Type="http://schemas.openxmlformats.org/officeDocument/2006/relationships/hyperlink" Target="http://mra.gov.ge/res/docs/201406171444442634.pdf" TargetMode="External"/><Relationship Id="rId10" Type="http://schemas.openxmlformats.org/officeDocument/2006/relationships/hyperlink" Target="http://mra.gov.ge/res/docs/201406171444442634.pdf" TargetMode="External"/><Relationship Id="rId19" Type="http://schemas.openxmlformats.org/officeDocument/2006/relationships/hyperlink" Target="http://imagebank.worldbank.org/servlet/WDSContentServer/IW3P/IB/2013/07/03/000333037_20130703101637/Rendered/PDF/791740WP0Georg0Box0377356B00PUBLIC0.pdf" TargetMode="External"/><Relationship Id="rId4" Type="http://schemas.openxmlformats.org/officeDocument/2006/relationships/hyperlink" Target="http://www.un.org/apps/news/story.asp?NewsID=28032" TargetMode="External"/><Relationship Id="rId9" Type="http://schemas.openxmlformats.org/officeDocument/2006/relationships/hyperlink" Target="http://www.unhcr.org/4ad827f59.pdf" TargetMode="External"/><Relationship Id="rId14" Type="http://schemas.openxmlformats.org/officeDocument/2006/relationships/hyperlink" Target="http://chca.org.ge/itst/_FILES/Legislation/3%20Eng.pdf" TargetMode="External"/><Relationship Id="rId22" Type="http://schemas.openxmlformats.org/officeDocument/2006/relationships/hyperlink" Target="http://www.jhsph.edu/research/centers-and-institutes/center-for-refugee-and-disaster-response/publications_tools/GEORGIA%20PRM%20OLDER%20ADULT%20STUDY%2001May2012.pdf" TargetMode="External"/><Relationship Id="rId27" Type="http://schemas.openxmlformats.org/officeDocument/2006/relationships/hyperlink" Target="http://www.unhcr.org/4ad827f59.pdf" TargetMode="External"/><Relationship Id="rId30" Type="http://schemas.openxmlformats.org/officeDocument/2006/relationships/hyperlink" Target="http://www.coe.int/t/dghl/monitoring/socialcharter/Reporting/StateReports/Georgia6_e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0DEF1E-2FD0-4111-BC12-2545FF55F6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77</Pages>
  <Words>24355</Words>
  <Characters>138829</Characters>
  <Application>Microsoft Office Word</Application>
  <DocSecurity>0</DocSecurity>
  <Lines>1156</Lines>
  <Paragraphs>325</Paragraphs>
  <ScaleCrop>false</ScaleCrop>
  <HeadingPairs>
    <vt:vector size="2" baseType="variant">
      <vt:variant>
        <vt:lpstr>Title</vt:lpstr>
      </vt:variant>
      <vt:variant>
        <vt:i4>1</vt:i4>
      </vt:variant>
    </vt:vector>
  </HeadingPairs>
  <TitlesOfParts>
    <vt:vector size="1" baseType="lpstr">
      <vt:lpstr/>
    </vt:vector>
  </TitlesOfParts>
  <Company>The World Bank Group</Company>
  <LinksUpToDate>false</LinksUpToDate>
  <CharactersWithSpaces>162859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Michelle Rebosio</dc:creator>
  <cp:lastModifiedBy>Sophia V. Georgieva</cp:lastModifiedBy>
  <cp:revision>9</cp:revision>
  <cp:lastPrinted>2015-11-18T16:23:00Z</cp:lastPrinted>
  <dcterms:created xsi:type="dcterms:W3CDTF">2016-02-12T18:13:00Z</dcterms:created>
  <dcterms:modified xsi:type="dcterms:W3CDTF">2016-02-12T18:25:00Z</dcterms:modified>
</cp:coreProperties>
</file>