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Default="008627D4">
      <w:pPr>
        <w:jc w:val="center"/>
        <w:rPr>
          <w:b/>
          <w:bCs/>
          <w:lang w:val="fr-FR"/>
        </w:rPr>
      </w:pPr>
      <w:r>
        <w:rPr>
          <w:b/>
          <w:bCs/>
          <w:lang w:val="fr-FR"/>
        </w:rPr>
        <w:t>PROGRAM INFORMATION DOCUMENT (PID)</w:t>
      </w:r>
    </w:p>
    <w:p w:rsidR="008627D4" w:rsidRDefault="008627D4">
      <w:pPr>
        <w:jc w:val="center"/>
        <w:rPr>
          <w:b/>
          <w:bCs/>
        </w:rPr>
      </w:pPr>
      <w:r>
        <w:rPr>
          <w:b/>
          <w:bCs/>
        </w:rPr>
        <w:t>APPRAISAL STAGE</w:t>
      </w:r>
    </w:p>
    <w:p w:rsidR="00876A71" w:rsidRDefault="00383108">
      <w:pPr>
        <w:ind w:right="720"/>
        <w:jc w:val="right"/>
      </w:pPr>
      <w:r>
        <w:t>March 20, 2014</w:t>
      </w:r>
    </w:p>
    <w:p w:rsidR="008627D4" w:rsidRDefault="008627D4">
      <w:pPr>
        <w:ind w:right="720"/>
        <w:jc w:val="right"/>
      </w:pPr>
      <w:r>
        <w:t xml:space="preserve">Report No.:  </w:t>
      </w:r>
      <w:bookmarkStart w:id="0" w:name="ReportNo"/>
      <w:r w:rsidR="00D619C3">
        <w:t>AB7545</w:t>
      </w:r>
      <w:bookmarkEnd w:id="0"/>
    </w:p>
    <w:p w:rsidR="00876A71" w:rsidRDefault="00876A71" w:rsidP="00876A71">
      <w:pPr>
        <w:jc w:val="right"/>
      </w:pPr>
      <w:r>
        <w:rPr>
          <w:sz w:val="16"/>
          <w:szCs w:val="16"/>
        </w:rPr>
        <w:t>(</w:t>
      </w:r>
      <w:r w:rsidRPr="00C82216">
        <w:rPr>
          <w:sz w:val="16"/>
          <w:szCs w:val="16"/>
        </w:rPr>
        <w:t xml:space="preserve">The report </w:t>
      </w:r>
      <w:r>
        <w:rPr>
          <w:sz w:val="16"/>
          <w:szCs w:val="16"/>
        </w:rPr>
        <w:t># is automatically generated by IDU and should not be changed)</w:t>
      </w:r>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Default="00D619C3">
            <w:bookmarkStart w:id="1" w:name="PROJECTNAME"/>
            <w:r>
              <w:t>First Fiscal Effectiveness and Growth Development Policy Loan</w:t>
            </w:r>
            <w:bookmarkEnd w:id="1"/>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8627D4" w:rsidRDefault="00D619C3">
            <w:bookmarkStart w:id="2" w:name="REGION"/>
            <w:r>
              <w:t>EUROPE AND CENTRAL ASIA</w:t>
            </w:r>
            <w:bookmarkEnd w:id="2"/>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876A71" w:rsidRDefault="00D619C3">
            <w:bookmarkStart w:id="3" w:name="COUNTRY"/>
            <w:r>
              <w:t>Romania</w:t>
            </w:r>
            <w:bookmarkEnd w:id="3"/>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8627D4" w:rsidRDefault="00383108">
            <w:bookmarkStart w:id="4" w:name="SECTOR"/>
            <w:r>
              <w:t>Fiscal Effectiveness (70%);</w:t>
            </w:r>
            <w:r w:rsidR="00D03E8A">
              <w:t xml:space="preserve"> </w:t>
            </w:r>
            <w:r>
              <w:t>Growth (15%);</w:t>
            </w:r>
            <w:r w:rsidR="00D03E8A">
              <w:t xml:space="preserve"> </w:t>
            </w:r>
            <w:r>
              <w:t>Public Expenditure (15%)</w:t>
            </w:r>
            <w:bookmarkEnd w:id="4"/>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Pr>
                <w:b/>
                <w:bCs/>
              </w:rPr>
              <w:t>Operation</w:t>
            </w:r>
            <w:r w:rsidR="008627D4">
              <w:rPr>
                <w:b/>
                <w:bCs/>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Default="00D619C3">
            <w:bookmarkStart w:id="5" w:name="PROJECTCODE"/>
            <w:r>
              <w:t>P148957</w:t>
            </w:r>
            <w:bookmarkEnd w:id="5"/>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Default="00D619C3">
            <w:bookmarkStart w:id="6" w:name="INSTR_NAME"/>
            <w:r>
              <w:t>Development Policy Lending</w:t>
            </w:r>
            <w:bookmarkEnd w:id="6"/>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8627D4" w:rsidRDefault="00D619C3">
            <w:bookmarkStart w:id="7" w:name="BORROWERNAME"/>
            <w:r>
              <w:t>MINISTRY OF PUBLIC FINANCE</w:t>
            </w:r>
            <w:bookmarkEnd w:id="7"/>
          </w:p>
        </w:tc>
      </w:tr>
      <w:tr w:rsidR="00D619C3" w:rsidTr="00876A71">
        <w:trPr>
          <w:trHeight w:val="140"/>
        </w:trPr>
        <w:tc>
          <w:tcPr>
            <w:tcW w:w="3420" w:type="dxa"/>
            <w:tcBorders>
              <w:top w:val="single" w:sz="4" w:space="0" w:color="auto"/>
              <w:left w:val="single" w:sz="4" w:space="0" w:color="auto"/>
              <w:bottom w:val="nil"/>
              <w:right w:val="single" w:sz="4" w:space="0" w:color="auto"/>
            </w:tcBorders>
          </w:tcPr>
          <w:p w:rsidR="00D619C3" w:rsidRDefault="00D619C3">
            <w:pPr>
              <w:rPr>
                <w:b/>
                <w:bCs/>
              </w:rPr>
            </w:pPr>
          </w:p>
        </w:tc>
        <w:tc>
          <w:tcPr>
            <w:tcW w:w="6120" w:type="dxa"/>
            <w:tcBorders>
              <w:top w:val="single" w:sz="4" w:space="0" w:color="auto"/>
              <w:left w:val="single" w:sz="4" w:space="0" w:color="auto"/>
              <w:bottom w:val="nil"/>
              <w:right w:val="single" w:sz="4" w:space="0" w:color="auto"/>
            </w:tcBorders>
          </w:tcPr>
          <w:p w:rsidR="00D619C3" w:rsidRDefault="00D619C3">
            <w:r>
              <w:t>Ministry of Finance</w:t>
            </w:r>
          </w:p>
          <w:p w:rsidR="00D619C3" w:rsidRDefault="00D619C3">
            <w:r>
              <w:t>Romania</w:t>
            </w:r>
          </w:p>
          <w:p w:rsidR="00D619C3" w:rsidRDefault="00D619C3"/>
        </w:tc>
      </w:tr>
      <w:tr w:rsidR="008627D4" w:rsidTr="00876A71">
        <w:trPr>
          <w:trHeight w:val="140"/>
        </w:trPr>
        <w:tc>
          <w:tcPr>
            <w:tcW w:w="3420" w:type="dxa"/>
            <w:tcBorders>
              <w:top w:val="single" w:sz="4" w:space="0" w:color="auto"/>
              <w:left w:val="single" w:sz="4" w:space="0" w:color="auto"/>
              <w:bottom w:val="nil"/>
              <w:right w:val="single" w:sz="4" w:space="0" w:color="auto"/>
            </w:tcBorders>
          </w:tcPr>
          <w:p w:rsidR="008627D4" w:rsidRDefault="008627D4">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8627D4" w:rsidRDefault="008627D4">
            <w:bookmarkStart w:id="8" w:name="IMPLEMENTINGAGENCY"/>
            <w:bookmarkEnd w:id="8"/>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Default="00D03E8A">
            <w:bookmarkStart w:id="9" w:name="DATEPREPARED"/>
            <w:r>
              <w:t>April 8</w:t>
            </w:r>
            <w:r w:rsidR="00D619C3">
              <w:t>, 2014</w:t>
            </w:r>
            <w:bookmarkEnd w:id="9"/>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Default="00D03E8A">
            <w:bookmarkStart w:id="10" w:name="APPRAISALDATE"/>
            <w:r>
              <w:t>April 8</w:t>
            </w:r>
            <w:r w:rsidR="00D619C3">
              <w:t>, 2014</w:t>
            </w:r>
            <w:bookmarkEnd w:id="10"/>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rsidP="00876A71">
            <w:pPr>
              <w:rPr>
                <w:b/>
                <w:bCs/>
              </w:rPr>
            </w:pPr>
            <w:r>
              <w:rPr>
                <w:b/>
                <w:bCs/>
              </w:rPr>
              <w:t xml:space="preserve">Estimated </w:t>
            </w:r>
            <w:r w:rsidR="008627D4">
              <w:rPr>
                <w:b/>
                <w:bCs/>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Default="00D619C3">
            <w:bookmarkStart w:id="11" w:name="BOARDAPPROVALDATE"/>
            <w:r>
              <w:t>May 27, 2014</w:t>
            </w:r>
            <w:bookmarkEnd w:id="11"/>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rsidP="00876A71">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DE739D" w:rsidRDefault="00876A71" w:rsidP="00383108">
            <w:pPr>
              <w:rPr>
                <w:i/>
                <w:u w:val="single"/>
              </w:rPr>
            </w:pPr>
            <w:r w:rsidRPr="00577870">
              <w:t xml:space="preserve">Following the </w:t>
            </w:r>
            <w:r>
              <w:t xml:space="preserve">corporate </w:t>
            </w:r>
            <w:r w:rsidRPr="00577870">
              <w:t xml:space="preserve">review, the decision was taken to proceed with the </w:t>
            </w:r>
            <w:r w:rsidR="00383108">
              <w:t>Appraisal</w:t>
            </w:r>
            <w:r w:rsidR="00D03E8A">
              <w:t xml:space="preserve"> and Negotiations</w:t>
            </w:r>
            <w:r w:rsidRPr="00577870">
              <w:t>.</w:t>
            </w:r>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Del="00AD4588" w:rsidRDefault="00876A71" w:rsidP="00876A71">
            <w:pPr>
              <w:rPr>
                <w:b/>
                <w:bCs/>
              </w:rPr>
            </w:pPr>
            <w:r>
              <w:rPr>
                <w:b/>
                <w:bCs/>
              </w:rPr>
              <w:t>Other Decision</w:t>
            </w:r>
          </w:p>
        </w:tc>
        <w:tc>
          <w:tcPr>
            <w:tcW w:w="6120" w:type="dxa"/>
            <w:tcBorders>
              <w:top w:val="single" w:sz="4" w:space="0" w:color="auto"/>
              <w:left w:val="single" w:sz="4" w:space="0" w:color="auto"/>
              <w:bottom w:val="single" w:sz="4" w:space="0" w:color="auto"/>
              <w:right w:val="single" w:sz="4" w:space="0" w:color="auto"/>
            </w:tcBorders>
          </w:tcPr>
          <w:p w:rsidR="00876A71" w:rsidRPr="00577870" w:rsidRDefault="00383108" w:rsidP="00876A71">
            <w:r>
              <w:t>N/A</w:t>
            </w:r>
          </w:p>
        </w:tc>
      </w:tr>
    </w:tbl>
    <w:p w:rsidR="008627D4" w:rsidRDefault="008627D4"/>
    <w:p w:rsidR="00383108" w:rsidRPr="00E017B4" w:rsidRDefault="00383108" w:rsidP="00383108">
      <w:pPr>
        <w:numPr>
          <w:ilvl w:val="0"/>
          <w:numId w:val="7"/>
        </w:numPr>
        <w:rPr>
          <w:b/>
          <w:i/>
        </w:rPr>
      </w:pPr>
      <w:r w:rsidRPr="00671A99">
        <w:rPr>
          <w:b/>
          <w:sz w:val="23"/>
          <w:szCs w:val="23"/>
        </w:rPr>
        <w:t>Key development issues and rationale for Bank involvement</w:t>
      </w:r>
    </w:p>
    <w:p w:rsidR="00383108" w:rsidRPr="00671A99" w:rsidRDefault="00383108" w:rsidP="00383108">
      <w:pPr>
        <w:ind w:left="720"/>
        <w:rPr>
          <w:b/>
          <w:i/>
        </w:rPr>
      </w:pPr>
    </w:p>
    <w:p w:rsidR="00383108" w:rsidRPr="00E017B4" w:rsidRDefault="00383108" w:rsidP="00383108">
      <w:pPr>
        <w:ind w:firstLine="720"/>
        <w:jc w:val="both"/>
      </w:pPr>
      <w:r w:rsidRPr="00E01FD3">
        <w:t xml:space="preserve">The Key Development objective of the proposed DPL series is to support Romania’s goal of </w:t>
      </w:r>
      <w:r>
        <w:t>(</w:t>
      </w:r>
      <w:proofErr w:type="spellStart"/>
      <w:r>
        <w:t>i</w:t>
      </w:r>
      <w:proofErr w:type="spellEnd"/>
      <w:r>
        <w:t xml:space="preserve">) </w:t>
      </w:r>
      <w:r w:rsidR="005D6754">
        <w:t>strengthening fiscal management</w:t>
      </w:r>
      <w:r>
        <w:t xml:space="preserve"> and SOE performance; and (ii) improving the functioning of property, energy, and capital markets.</w:t>
      </w:r>
    </w:p>
    <w:p w:rsidR="00383108" w:rsidRDefault="00383108" w:rsidP="00383108">
      <w:pPr>
        <w:rPr>
          <w:b/>
        </w:rPr>
      </w:pPr>
    </w:p>
    <w:p w:rsidR="00383108" w:rsidRDefault="00383108" w:rsidP="00383108">
      <w:pPr>
        <w:numPr>
          <w:ilvl w:val="0"/>
          <w:numId w:val="7"/>
        </w:numPr>
        <w:rPr>
          <w:b/>
        </w:rPr>
      </w:pPr>
      <w:r w:rsidRPr="008D1059">
        <w:rPr>
          <w:b/>
        </w:rPr>
        <w:t>Proposed</w:t>
      </w:r>
      <w:r>
        <w:rPr>
          <w:b/>
        </w:rPr>
        <w:t xml:space="preserve"> O</w:t>
      </w:r>
      <w:r w:rsidRPr="008D1059">
        <w:rPr>
          <w:b/>
        </w:rPr>
        <w:t>bjective(s)</w:t>
      </w:r>
    </w:p>
    <w:p w:rsidR="00383108" w:rsidRDefault="00383108" w:rsidP="00383108">
      <w:pPr>
        <w:ind w:left="720"/>
        <w:rPr>
          <w:b/>
        </w:rPr>
      </w:pPr>
    </w:p>
    <w:p w:rsidR="00383108" w:rsidRDefault="00383108" w:rsidP="00383108">
      <w:pPr>
        <w:pStyle w:val="ListParagraph"/>
        <w:ind w:left="0" w:firstLine="720"/>
      </w:pPr>
      <w:r w:rsidRPr="00E01FD3">
        <w:t>The proposed DPL series wil</w:t>
      </w:r>
      <w:r>
        <w:t>l more specifically aim at:</w:t>
      </w:r>
    </w:p>
    <w:p w:rsidR="005D6754" w:rsidRDefault="005D6754" w:rsidP="00383108">
      <w:pPr>
        <w:pStyle w:val="ListParagraph"/>
        <w:ind w:left="0" w:firstLine="720"/>
      </w:pPr>
    </w:p>
    <w:p w:rsidR="00383108" w:rsidRDefault="00383108" w:rsidP="00383108">
      <w:pPr>
        <w:pStyle w:val="ListParagraph"/>
        <w:numPr>
          <w:ilvl w:val="0"/>
          <w:numId w:val="8"/>
        </w:numPr>
        <w:rPr>
          <w:sz w:val="22"/>
          <w:szCs w:val="22"/>
        </w:rPr>
      </w:pPr>
      <w:r w:rsidRPr="00265BC8">
        <w:rPr>
          <w:b/>
        </w:rPr>
        <w:t xml:space="preserve">Strengthening </w:t>
      </w:r>
      <w:r w:rsidR="005D6754">
        <w:rPr>
          <w:b/>
        </w:rPr>
        <w:t>debt</w:t>
      </w:r>
      <w:r w:rsidRPr="00265BC8">
        <w:rPr>
          <w:b/>
        </w:rPr>
        <w:t xml:space="preserve"> management</w:t>
      </w:r>
      <w:r w:rsidR="005057D4">
        <w:t xml:space="preserve"> by improving the debt management strategy, the annual borrowing plan, and the electronic platforms for primary and secondary issuances of government securities.</w:t>
      </w:r>
      <w:r>
        <w:t xml:space="preserve"> </w:t>
      </w:r>
    </w:p>
    <w:p w:rsidR="00383108" w:rsidRPr="008F6ABC" w:rsidRDefault="00383108" w:rsidP="00383108">
      <w:pPr>
        <w:pStyle w:val="ListParagraph"/>
        <w:numPr>
          <w:ilvl w:val="0"/>
          <w:numId w:val="8"/>
        </w:numPr>
        <w:autoSpaceDE w:val="0"/>
        <w:autoSpaceDN w:val="0"/>
        <w:adjustRightInd w:val="0"/>
        <w:contextualSpacing w:val="0"/>
        <w:jc w:val="both"/>
        <w:rPr>
          <w:sz w:val="22"/>
          <w:szCs w:val="22"/>
        </w:rPr>
      </w:pPr>
      <w:r w:rsidRPr="008F6ABC">
        <w:rPr>
          <w:b/>
          <w:sz w:val="22"/>
          <w:szCs w:val="22"/>
        </w:rPr>
        <w:t>Improving the quality of public spending</w:t>
      </w:r>
      <w:r w:rsidR="005057D4">
        <w:rPr>
          <w:b/>
          <w:sz w:val="22"/>
          <w:szCs w:val="22"/>
        </w:rPr>
        <w:t xml:space="preserve"> </w:t>
      </w:r>
      <w:r w:rsidR="005057D4" w:rsidRPr="005057D4">
        <w:rPr>
          <w:sz w:val="22"/>
          <w:szCs w:val="22"/>
        </w:rPr>
        <w:t>particularl</w:t>
      </w:r>
      <w:r w:rsidR="005057D4">
        <w:rPr>
          <w:sz w:val="22"/>
          <w:szCs w:val="22"/>
        </w:rPr>
        <w:t xml:space="preserve">y by supporting improvements in areas, such as; the results-orientation of the budget, the management of investment projects, and the consolidation of means-tested social programs. </w:t>
      </w:r>
    </w:p>
    <w:p w:rsidR="00383108" w:rsidRDefault="00383108" w:rsidP="005D6754">
      <w:pPr>
        <w:pStyle w:val="ListParagraph"/>
        <w:numPr>
          <w:ilvl w:val="0"/>
          <w:numId w:val="8"/>
        </w:numPr>
        <w:jc w:val="both"/>
        <w:rPr>
          <w:sz w:val="22"/>
          <w:szCs w:val="22"/>
        </w:rPr>
      </w:pPr>
      <w:r w:rsidRPr="008F6ABC">
        <w:rPr>
          <w:b/>
          <w:sz w:val="22"/>
          <w:szCs w:val="22"/>
        </w:rPr>
        <w:t>Improving S</w:t>
      </w:r>
      <w:r w:rsidR="005057D4">
        <w:rPr>
          <w:b/>
          <w:sz w:val="22"/>
          <w:szCs w:val="22"/>
        </w:rPr>
        <w:t xml:space="preserve">tate-owned </w:t>
      </w:r>
      <w:r w:rsidRPr="008F6ABC">
        <w:rPr>
          <w:b/>
          <w:sz w:val="22"/>
          <w:szCs w:val="22"/>
        </w:rPr>
        <w:t>E</w:t>
      </w:r>
      <w:r w:rsidR="005057D4">
        <w:rPr>
          <w:b/>
          <w:sz w:val="22"/>
          <w:szCs w:val="22"/>
        </w:rPr>
        <w:t>nterprise</w:t>
      </w:r>
      <w:r w:rsidRPr="008F6ABC">
        <w:rPr>
          <w:b/>
          <w:sz w:val="22"/>
          <w:szCs w:val="22"/>
        </w:rPr>
        <w:t xml:space="preserve"> </w:t>
      </w:r>
      <w:r>
        <w:rPr>
          <w:b/>
          <w:sz w:val="22"/>
          <w:szCs w:val="22"/>
        </w:rPr>
        <w:t>governance</w:t>
      </w:r>
      <w:r w:rsidRPr="008F6ABC">
        <w:rPr>
          <w:b/>
          <w:sz w:val="22"/>
          <w:szCs w:val="22"/>
        </w:rPr>
        <w:t xml:space="preserve"> and performance</w:t>
      </w:r>
      <w:r w:rsidR="005057D4" w:rsidRPr="005057D4">
        <w:rPr>
          <w:sz w:val="22"/>
          <w:szCs w:val="22"/>
        </w:rPr>
        <w:t xml:space="preserve">, </w:t>
      </w:r>
      <w:r w:rsidR="005057D4">
        <w:rPr>
          <w:sz w:val="22"/>
          <w:szCs w:val="22"/>
        </w:rPr>
        <w:t xml:space="preserve">by focusing on improving the government’s SOE ownership and policies and by continuing to support the listing of State-owned enterprises in the stock market. </w:t>
      </w:r>
    </w:p>
    <w:p w:rsidR="00383108" w:rsidRPr="005D6754" w:rsidRDefault="00383108" w:rsidP="005D6754">
      <w:pPr>
        <w:pStyle w:val="ListParagraph"/>
        <w:numPr>
          <w:ilvl w:val="0"/>
          <w:numId w:val="8"/>
        </w:numPr>
        <w:spacing w:after="200"/>
        <w:jc w:val="both"/>
        <w:rPr>
          <w:sz w:val="22"/>
          <w:szCs w:val="22"/>
        </w:rPr>
      </w:pPr>
      <w:r w:rsidRPr="005D6754">
        <w:rPr>
          <w:b/>
          <w:sz w:val="22"/>
          <w:szCs w:val="22"/>
        </w:rPr>
        <w:lastRenderedPageBreak/>
        <w:t>Strengthen</w:t>
      </w:r>
      <w:r w:rsidR="005D6754" w:rsidRPr="005D6754">
        <w:rPr>
          <w:b/>
          <w:sz w:val="22"/>
          <w:szCs w:val="22"/>
        </w:rPr>
        <w:t>ing</w:t>
      </w:r>
      <w:r w:rsidRPr="005D6754">
        <w:rPr>
          <w:b/>
          <w:sz w:val="22"/>
          <w:szCs w:val="22"/>
        </w:rPr>
        <w:t xml:space="preserve"> institutions and safeguards for private property rights</w:t>
      </w:r>
      <w:r w:rsidR="005057D4" w:rsidRPr="005057D4">
        <w:rPr>
          <w:sz w:val="22"/>
          <w:szCs w:val="22"/>
        </w:rPr>
        <w:t xml:space="preserve">, by </w:t>
      </w:r>
      <w:r w:rsidR="005057D4">
        <w:rPr>
          <w:sz w:val="22"/>
          <w:szCs w:val="22"/>
        </w:rPr>
        <w:t xml:space="preserve">improving the institutional and regulatory ability of the </w:t>
      </w:r>
      <w:r w:rsidR="005D6754" w:rsidRPr="005D6754">
        <w:t xml:space="preserve">National Agency of </w:t>
      </w:r>
      <w:proofErr w:type="spellStart"/>
      <w:r w:rsidR="005D6754" w:rsidRPr="005D6754">
        <w:t>Cadastre</w:t>
      </w:r>
      <w:proofErr w:type="spellEnd"/>
      <w:r w:rsidR="005D6754" w:rsidRPr="005D6754">
        <w:t xml:space="preserve"> and Land Registration</w:t>
      </w:r>
      <w:r w:rsidR="005D6754">
        <w:t xml:space="preserve"> (</w:t>
      </w:r>
      <w:r w:rsidR="005D6754" w:rsidRPr="005D6754">
        <w:rPr>
          <w:sz w:val="22"/>
          <w:szCs w:val="22"/>
        </w:rPr>
        <w:t xml:space="preserve">ANCPI) </w:t>
      </w:r>
      <w:r w:rsidR="005057D4">
        <w:rPr>
          <w:sz w:val="22"/>
          <w:szCs w:val="22"/>
        </w:rPr>
        <w:t>to roll out its</w:t>
      </w:r>
      <w:r w:rsidR="005D6754" w:rsidRPr="005D6754">
        <w:rPr>
          <w:sz w:val="22"/>
          <w:szCs w:val="22"/>
        </w:rPr>
        <w:t xml:space="preserve"> electronic cadaster and a land registration system </w:t>
      </w:r>
      <w:r w:rsidR="005057D4">
        <w:rPr>
          <w:sz w:val="22"/>
          <w:szCs w:val="22"/>
        </w:rPr>
        <w:t>(</w:t>
      </w:r>
      <w:r w:rsidR="005D6754" w:rsidRPr="005D6754">
        <w:rPr>
          <w:sz w:val="22"/>
          <w:szCs w:val="22"/>
        </w:rPr>
        <w:t xml:space="preserve">called </w:t>
      </w:r>
      <w:proofErr w:type="spellStart"/>
      <w:r w:rsidR="005D6754" w:rsidRPr="005D6754">
        <w:rPr>
          <w:sz w:val="22"/>
          <w:szCs w:val="22"/>
        </w:rPr>
        <w:t>eTerra</w:t>
      </w:r>
      <w:proofErr w:type="spellEnd"/>
      <w:r w:rsidR="005057D4">
        <w:rPr>
          <w:sz w:val="22"/>
          <w:szCs w:val="22"/>
        </w:rPr>
        <w:t>) across the country (currently covering only about 15 percent of total properties)</w:t>
      </w:r>
      <w:r w:rsidR="005D6754" w:rsidRPr="005D6754">
        <w:rPr>
          <w:sz w:val="22"/>
          <w:szCs w:val="22"/>
        </w:rPr>
        <w:t xml:space="preserve">. </w:t>
      </w:r>
      <w:r w:rsidR="005D6754">
        <w:rPr>
          <w:sz w:val="22"/>
          <w:szCs w:val="22"/>
        </w:rPr>
        <w:t xml:space="preserve"> </w:t>
      </w:r>
    </w:p>
    <w:p w:rsidR="00383108" w:rsidRPr="008F437D" w:rsidRDefault="00383108" w:rsidP="005D6754">
      <w:pPr>
        <w:pStyle w:val="ListParagraph"/>
        <w:numPr>
          <w:ilvl w:val="0"/>
          <w:numId w:val="8"/>
        </w:numPr>
        <w:spacing w:after="200"/>
        <w:jc w:val="both"/>
        <w:rPr>
          <w:sz w:val="22"/>
          <w:szCs w:val="22"/>
        </w:rPr>
      </w:pPr>
      <w:r w:rsidRPr="008F437D">
        <w:rPr>
          <w:sz w:val="22"/>
          <w:szCs w:val="22"/>
        </w:rPr>
        <w:t>Complet</w:t>
      </w:r>
      <w:r w:rsidR="005D6754">
        <w:rPr>
          <w:sz w:val="22"/>
          <w:szCs w:val="22"/>
        </w:rPr>
        <w:t>ing</w:t>
      </w:r>
      <w:r w:rsidRPr="008F437D">
        <w:rPr>
          <w:sz w:val="22"/>
          <w:szCs w:val="22"/>
        </w:rPr>
        <w:t xml:space="preserve"> </w:t>
      </w:r>
      <w:r>
        <w:rPr>
          <w:sz w:val="22"/>
          <w:szCs w:val="22"/>
        </w:rPr>
        <w:t xml:space="preserve">the </w:t>
      </w:r>
      <w:r w:rsidRPr="008F437D">
        <w:rPr>
          <w:b/>
          <w:sz w:val="22"/>
          <w:szCs w:val="22"/>
        </w:rPr>
        <w:t>liberalization of</w:t>
      </w:r>
      <w:r w:rsidRPr="008F437D">
        <w:rPr>
          <w:sz w:val="22"/>
          <w:szCs w:val="22"/>
        </w:rPr>
        <w:t xml:space="preserve"> </w:t>
      </w:r>
      <w:r w:rsidRPr="008F437D">
        <w:rPr>
          <w:b/>
          <w:sz w:val="22"/>
          <w:szCs w:val="22"/>
        </w:rPr>
        <w:t xml:space="preserve">energy </w:t>
      </w:r>
      <w:r w:rsidR="005057D4">
        <w:rPr>
          <w:b/>
          <w:sz w:val="22"/>
          <w:szCs w:val="22"/>
        </w:rPr>
        <w:t xml:space="preserve">(electricity and gas) </w:t>
      </w:r>
      <w:r w:rsidRPr="008F437D">
        <w:rPr>
          <w:b/>
          <w:sz w:val="22"/>
          <w:szCs w:val="22"/>
        </w:rPr>
        <w:t>markets</w:t>
      </w:r>
      <w:r w:rsidR="005057D4">
        <w:rPr>
          <w:b/>
          <w:sz w:val="22"/>
          <w:szCs w:val="22"/>
        </w:rPr>
        <w:t>,</w:t>
      </w:r>
      <w:r w:rsidR="005057D4">
        <w:rPr>
          <w:sz w:val="22"/>
          <w:szCs w:val="22"/>
        </w:rPr>
        <w:t xml:space="preserve"> to bring Romania into closer compliance with the European Union Third Energy Package.</w:t>
      </w:r>
    </w:p>
    <w:p w:rsidR="00383108" w:rsidRPr="00055998" w:rsidRDefault="00383108" w:rsidP="005D6754">
      <w:pPr>
        <w:pStyle w:val="ListParagraph"/>
        <w:numPr>
          <w:ilvl w:val="0"/>
          <w:numId w:val="8"/>
        </w:numPr>
        <w:spacing w:after="200"/>
        <w:jc w:val="both"/>
        <w:rPr>
          <w:sz w:val="22"/>
          <w:szCs w:val="22"/>
        </w:rPr>
      </w:pPr>
      <w:r w:rsidRPr="005D6754">
        <w:rPr>
          <w:b/>
          <w:sz w:val="22"/>
          <w:szCs w:val="22"/>
        </w:rPr>
        <w:t>Improv</w:t>
      </w:r>
      <w:r w:rsidR="005D6754" w:rsidRPr="005D6754">
        <w:rPr>
          <w:b/>
          <w:sz w:val="22"/>
          <w:szCs w:val="22"/>
        </w:rPr>
        <w:t>ing</w:t>
      </w:r>
      <w:r w:rsidRPr="005D6754">
        <w:rPr>
          <w:b/>
          <w:sz w:val="22"/>
          <w:szCs w:val="22"/>
        </w:rPr>
        <w:t xml:space="preserve"> the functioning of capital markets</w:t>
      </w:r>
      <w:r w:rsidR="005057D4">
        <w:rPr>
          <w:b/>
          <w:sz w:val="22"/>
          <w:szCs w:val="22"/>
        </w:rPr>
        <w:t xml:space="preserve">, </w:t>
      </w:r>
      <w:r w:rsidR="005057D4">
        <w:rPr>
          <w:sz w:val="22"/>
          <w:szCs w:val="22"/>
        </w:rPr>
        <w:t>by starting the process to improve the governance of the unified non-bank regulatory authority and improving capital market regulations.</w:t>
      </w:r>
    </w:p>
    <w:p w:rsidR="00383108" w:rsidRPr="00E01FD3" w:rsidRDefault="00383108" w:rsidP="00383108">
      <w:pPr>
        <w:pStyle w:val="ListParagraph"/>
        <w:ind w:left="0" w:firstLine="720"/>
      </w:pPr>
    </w:p>
    <w:p w:rsidR="00383108" w:rsidRDefault="00383108" w:rsidP="00383108">
      <w:pPr>
        <w:pStyle w:val="ListParagraph"/>
        <w:numPr>
          <w:ilvl w:val="0"/>
          <w:numId w:val="7"/>
        </w:numPr>
        <w:rPr>
          <w:b/>
        </w:rPr>
      </w:pPr>
      <w:r w:rsidRPr="00BD21FB">
        <w:rPr>
          <w:b/>
        </w:rPr>
        <w:t>Preliminary Description</w:t>
      </w:r>
    </w:p>
    <w:p w:rsidR="00383108" w:rsidRPr="00BD21FB" w:rsidRDefault="00383108" w:rsidP="00383108">
      <w:pPr>
        <w:pStyle w:val="ListParagraph"/>
        <w:rPr>
          <w:b/>
        </w:rPr>
      </w:pPr>
    </w:p>
    <w:p w:rsidR="00D03E8A" w:rsidRPr="00166948" w:rsidRDefault="00D03E8A" w:rsidP="00D03E8A">
      <w:pPr>
        <w:pStyle w:val="ListParagraph"/>
        <w:tabs>
          <w:tab w:val="left" w:pos="720"/>
        </w:tabs>
        <w:autoSpaceDE w:val="0"/>
        <w:autoSpaceDN w:val="0"/>
        <w:adjustRightInd w:val="0"/>
        <w:ind w:left="0"/>
        <w:contextualSpacing w:val="0"/>
        <w:jc w:val="both"/>
        <w:rPr>
          <w:rFonts w:eastAsiaTheme="minorHAnsi"/>
          <w:color w:val="000000"/>
          <w:sz w:val="22"/>
          <w:szCs w:val="22"/>
        </w:rPr>
      </w:pPr>
      <w:r w:rsidRPr="00166948">
        <w:rPr>
          <w:rFonts w:eastAsiaTheme="minorHAnsi"/>
          <w:b/>
          <w:bCs/>
          <w:color w:val="000000"/>
          <w:sz w:val="22"/>
          <w:szCs w:val="22"/>
        </w:rPr>
        <w:t xml:space="preserve">The proposed Fiscal Effectiveness and Growth Development Policy Loan (FEG-DPL) </w:t>
      </w:r>
      <w:r w:rsidRPr="00904680">
        <w:rPr>
          <w:rFonts w:eastAsiaTheme="minorHAnsi"/>
          <w:b/>
          <w:color w:val="000000"/>
          <w:sz w:val="22"/>
          <w:szCs w:val="22"/>
        </w:rPr>
        <w:t>of €</w:t>
      </w:r>
      <w:r>
        <w:rPr>
          <w:rFonts w:eastAsiaTheme="minorHAnsi"/>
          <w:b/>
          <w:color w:val="000000"/>
          <w:sz w:val="22"/>
          <w:szCs w:val="22"/>
        </w:rPr>
        <w:t>7</w:t>
      </w:r>
      <w:r w:rsidRPr="00904680">
        <w:rPr>
          <w:rFonts w:eastAsiaTheme="minorHAnsi"/>
          <w:b/>
          <w:color w:val="000000"/>
          <w:sz w:val="22"/>
          <w:szCs w:val="22"/>
        </w:rPr>
        <w:t>50 million (about US$</w:t>
      </w:r>
      <w:r>
        <w:rPr>
          <w:rFonts w:eastAsiaTheme="minorHAnsi"/>
          <w:b/>
          <w:color w:val="000000"/>
          <w:sz w:val="22"/>
          <w:szCs w:val="22"/>
        </w:rPr>
        <w:t>1,035</w:t>
      </w:r>
      <w:r w:rsidRPr="00904680">
        <w:rPr>
          <w:rFonts w:eastAsiaTheme="minorHAnsi"/>
          <w:b/>
          <w:color w:val="000000"/>
          <w:sz w:val="22"/>
          <w:szCs w:val="22"/>
        </w:rPr>
        <w:t xml:space="preserve"> million equivalent) </w:t>
      </w:r>
      <w:r w:rsidRPr="00051D5D">
        <w:rPr>
          <w:rFonts w:eastAsiaTheme="minorHAnsi"/>
          <w:b/>
          <w:bCs/>
          <w:color w:val="000000"/>
          <w:sz w:val="22"/>
          <w:szCs w:val="22"/>
        </w:rPr>
        <w:t>is the first of t</w:t>
      </w:r>
      <w:r w:rsidRPr="00166948">
        <w:rPr>
          <w:rFonts w:eastAsiaTheme="minorHAnsi"/>
          <w:b/>
          <w:bCs/>
          <w:color w:val="000000"/>
          <w:sz w:val="22"/>
          <w:szCs w:val="22"/>
        </w:rPr>
        <w:t>wo DPLs to Romania</w:t>
      </w:r>
      <w:r w:rsidRPr="00166948">
        <w:rPr>
          <w:rFonts w:eastAsiaTheme="minorHAnsi"/>
          <w:color w:val="000000"/>
          <w:sz w:val="22"/>
          <w:szCs w:val="22"/>
        </w:rPr>
        <w:t xml:space="preserve">. The FEG-DPL series supports measures to strengthen fiscal management (public debt management and the quality of public spending) and SOE </w:t>
      </w:r>
      <w:r>
        <w:rPr>
          <w:rFonts w:eastAsiaTheme="minorHAnsi"/>
          <w:color w:val="000000"/>
          <w:sz w:val="22"/>
          <w:szCs w:val="22"/>
        </w:rPr>
        <w:t xml:space="preserve">governance and </w:t>
      </w:r>
      <w:r w:rsidRPr="00166948">
        <w:rPr>
          <w:rFonts w:eastAsiaTheme="minorHAnsi"/>
          <w:color w:val="000000"/>
          <w:sz w:val="22"/>
          <w:szCs w:val="22"/>
        </w:rPr>
        <w:t>performance, as well as measures to improve the functioning of property, energy, and capital markets that are key to private sector investment. After the 2008 global financial crisis, sound macroeconomic policies helped Romania restore stability and modest growth</w:t>
      </w:r>
      <w:r>
        <w:rPr>
          <w:rFonts w:eastAsiaTheme="minorHAnsi"/>
          <w:color w:val="000000"/>
          <w:sz w:val="22"/>
          <w:szCs w:val="22"/>
        </w:rPr>
        <w:t>,</w:t>
      </w:r>
      <w:r w:rsidRPr="00166948">
        <w:rPr>
          <w:rFonts w:eastAsiaTheme="minorHAnsi"/>
          <w:color w:val="000000"/>
          <w:sz w:val="22"/>
          <w:szCs w:val="22"/>
        </w:rPr>
        <w:t xml:space="preserve"> but its medium term growth prospects are compromised by constraints on productivity growth that are associated with the ineffectiveness of public interventions and the poor functioning of markets supporting private sector activities. The series, which build upon previous policy lending to Romania, is at the core of the Country Partnership Strategy (CPS) for 2014–18</w:t>
      </w:r>
      <w:r>
        <w:rPr>
          <w:rFonts w:eastAsiaTheme="minorHAnsi"/>
          <w:color w:val="000000"/>
          <w:sz w:val="22"/>
          <w:szCs w:val="22"/>
        </w:rPr>
        <w:t>, particularly the pillars on growth and modernization of the public sector</w:t>
      </w:r>
      <w:r w:rsidRPr="00166948">
        <w:rPr>
          <w:rFonts w:eastAsiaTheme="minorHAnsi"/>
          <w:color w:val="000000"/>
          <w:sz w:val="22"/>
          <w:szCs w:val="22"/>
        </w:rPr>
        <w:t>.</w:t>
      </w:r>
    </w:p>
    <w:p w:rsidR="00D03E8A" w:rsidRPr="00D20D13" w:rsidRDefault="00D03E8A" w:rsidP="00D03E8A">
      <w:pPr>
        <w:jc w:val="both"/>
        <w:rPr>
          <w:sz w:val="22"/>
          <w:szCs w:val="22"/>
        </w:rPr>
      </w:pPr>
    </w:p>
    <w:p w:rsidR="00D03E8A" w:rsidRPr="00D20D13" w:rsidRDefault="00D03E8A" w:rsidP="00D03E8A">
      <w:pPr>
        <w:numPr>
          <w:ilvl w:val="0"/>
          <w:numId w:val="9"/>
        </w:numPr>
        <w:jc w:val="both"/>
        <w:rPr>
          <w:bCs/>
          <w:color w:val="000000"/>
          <w:sz w:val="22"/>
          <w:szCs w:val="22"/>
        </w:rPr>
      </w:pPr>
      <w:r w:rsidRPr="00D20D13">
        <w:rPr>
          <w:b/>
          <w:bCs/>
          <w:color w:val="000000"/>
          <w:sz w:val="22"/>
          <w:szCs w:val="22"/>
        </w:rPr>
        <w:t xml:space="preserve">The government is working to </w:t>
      </w:r>
      <w:r>
        <w:rPr>
          <w:b/>
          <w:bCs/>
          <w:color w:val="000000"/>
          <w:sz w:val="22"/>
          <w:szCs w:val="22"/>
        </w:rPr>
        <w:t xml:space="preserve">increase the </w:t>
      </w:r>
      <w:r w:rsidRPr="00D20D13">
        <w:rPr>
          <w:b/>
          <w:bCs/>
          <w:color w:val="000000"/>
          <w:sz w:val="22"/>
          <w:szCs w:val="22"/>
        </w:rPr>
        <w:t>effective</w:t>
      </w:r>
      <w:r>
        <w:rPr>
          <w:b/>
          <w:bCs/>
          <w:color w:val="000000"/>
          <w:sz w:val="22"/>
          <w:szCs w:val="22"/>
        </w:rPr>
        <w:t>ness of fiscal policy as part of the next stage of fiscal reforms</w:t>
      </w:r>
      <w:r w:rsidRPr="00D20D13">
        <w:rPr>
          <w:bCs/>
          <w:color w:val="000000"/>
          <w:sz w:val="22"/>
          <w:szCs w:val="22"/>
        </w:rPr>
        <w:t>. Although fiscal adjustment in recent years has been substantial, structural</w:t>
      </w:r>
      <w:r>
        <w:rPr>
          <w:bCs/>
          <w:color w:val="000000"/>
          <w:sz w:val="22"/>
          <w:szCs w:val="22"/>
        </w:rPr>
        <w:t xml:space="preserve"> fiscal</w:t>
      </w:r>
      <w:r w:rsidRPr="00D20D13">
        <w:rPr>
          <w:bCs/>
          <w:color w:val="000000"/>
          <w:sz w:val="22"/>
          <w:szCs w:val="22"/>
        </w:rPr>
        <w:t xml:space="preserve"> reforms have advanced slowly, to the detriment of private economic activity, entrepreneurship, and investment. The government is therefore moving to accelerate second-generation </w:t>
      </w:r>
      <w:r>
        <w:rPr>
          <w:bCs/>
          <w:color w:val="000000"/>
          <w:sz w:val="22"/>
          <w:szCs w:val="22"/>
        </w:rPr>
        <w:t xml:space="preserve">fiscal management </w:t>
      </w:r>
      <w:r w:rsidRPr="00D20D13">
        <w:rPr>
          <w:bCs/>
          <w:color w:val="000000"/>
          <w:sz w:val="22"/>
          <w:szCs w:val="22"/>
        </w:rPr>
        <w:t xml:space="preserve">reforms </w:t>
      </w:r>
      <w:r>
        <w:rPr>
          <w:bCs/>
          <w:color w:val="000000"/>
          <w:sz w:val="22"/>
          <w:szCs w:val="22"/>
        </w:rPr>
        <w:t xml:space="preserve">to improve the </w:t>
      </w:r>
      <w:r w:rsidRPr="00D20D13">
        <w:rPr>
          <w:bCs/>
          <w:color w:val="000000"/>
          <w:sz w:val="22"/>
          <w:szCs w:val="22"/>
        </w:rPr>
        <w:t>efficiency, delivery, and targeting of public programs. Better management of debt and other aspects of public finances</w:t>
      </w:r>
      <w:r>
        <w:rPr>
          <w:bCs/>
          <w:color w:val="000000"/>
          <w:sz w:val="22"/>
          <w:szCs w:val="22"/>
        </w:rPr>
        <w:t xml:space="preserve"> </w:t>
      </w:r>
      <w:r w:rsidRPr="00D20D13">
        <w:rPr>
          <w:bCs/>
          <w:color w:val="000000"/>
          <w:sz w:val="22"/>
          <w:szCs w:val="22"/>
        </w:rPr>
        <w:t>would promote continued fiscal adjustment</w:t>
      </w:r>
      <w:r>
        <w:rPr>
          <w:bCs/>
          <w:color w:val="000000"/>
          <w:sz w:val="22"/>
          <w:szCs w:val="22"/>
        </w:rPr>
        <w:t xml:space="preserve">, and </w:t>
      </w:r>
      <w:r w:rsidRPr="00D20D13">
        <w:rPr>
          <w:bCs/>
          <w:color w:val="000000"/>
          <w:sz w:val="22"/>
          <w:szCs w:val="22"/>
        </w:rPr>
        <w:t>more effective social spending would better target the poor.</w:t>
      </w:r>
    </w:p>
    <w:p w:rsidR="00D03E8A" w:rsidRPr="00512933" w:rsidRDefault="00D03E8A" w:rsidP="00D03E8A">
      <w:pPr>
        <w:jc w:val="both"/>
        <w:rPr>
          <w:sz w:val="22"/>
          <w:szCs w:val="22"/>
        </w:rPr>
      </w:pPr>
    </w:p>
    <w:p w:rsidR="00D03E8A" w:rsidRPr="00D20D13" w:rsidRDefault="00D03E8A" w:rsidP="00D03E8A">
      <w:pPr>
        <w:numPr>
          <w:ilvl w:val="0"/>
          <w:numId w:val="9"/>
        </w:numPr>
        <w:jc w:val="both"/>
        <w:rPr>
          <w:sz w:val="22"/>
          <w:szCs w:val="22"/>
        </w:rPr>
      </w:pPr>
      <w:r w:rsidRPr="00D20D13">
        <w:rPr>
          <w:b/>
          <w:sz w:val="22"/>
          <w:szCs w:val="22"/>
        </w:rPr>
        <w:t>Though Romania’s private sector has developed substantially in recent years, key markets</w:t>
      </w:r>
      <w:r>
        <w:rPr>
          <w:b/>
          <w:sz w:val="22"/>
          <w:szCs w:val="22"/>
        </w:rPr>
        <w:t xml:space="preserve"> supporting it</w:t>
      </w:r>
      <w:r w:rsidRPr="00D20D13">
        <w:rPr>
          <w:b/>
          <w:sz w:val="22"/>
          <w:szCs w:val="22"/>
        </w:rPr>
        <w:t xml:space="preserve"> are not yet functioning efficiently</w:t>
      </w:r>
      <w:r w:rsidRPr="00D20D13">
        <w:rPr>
          <w:sz w:val="22"/>
          <w:szCs w:val="22"/>
        </w:rPr>
        <w:t xml:space="preserve">. Because the rights to less than </w:t>
      </w:r>
      <w:r>
        <w:rPr>
          <w:sz w:val="22"/>
          <w:szCs w:val="22"/>
        </w:rPr>
        <w:t xml:space="preserve">15 percent of total estimated number of properties </w:t>
      </w:r>
      <w:r w:rsidRPr="00D20D13">
        <w:rPr>
          <w:sz w:val="22"/>
          <w:szCs w:val="22"/>
        </w:rPr>
        <w:t>are registered in the Romanian cadastral</w:t>
      </w:r>
      <w:r>
        <w:rPr>
          <w:sz w:val="22"/>
          <w:szCs w:val="22"/>
        </w:rPr>
        <w:t xml:space="preserve"> electronic</w:t>
      </w:r>
      <w:r w:rsidRPr="00D20D13">
        <w:rPr>
          <w:sz w:val="22"/>
          <w:szCs w:val="22"/>
        </w:rPr>
        <w:t xml:space="preserve"> records, the functioning of both urban and rural property markets and collateral</w:t>
      </w:r>
      <w:r>
        <w:rPr>
          <w:sz w:val="22"/>
          <w:szCs w:val="22"/>
        </w:rPr>
        <w:t>-</w:t>
      </w:r>
      <w:r w:rsidRPr="00D20D13">
        <w:rPr>
          <w:sz w:val="22"/>
          <w:szCs w:val="22"/>
        </w:rPr>
        <w:t xml:space="preserve">based credit markets is severely limited. Also, the stock market capitalization </w:t>
      </w:r>
      <w:r>
        <w:rPr>
          <w:sz w:val="22"/>
          <w:szCs w:val="22"/>
        </w:rPr>
        <w:t>at</w:t>
      </w:r>
      <w:r w:rsidRPr="00D20D13">
        <w:rPr>
          <w:sz w:val="22"/>
          <w:szCs w:val="22"/>
        </w:rPr>
        <w:t xml:space="preserve"> €</w:t>
      </w:r>
      <w:r>
        <w:rPr>
          <w:sz w:val="22"/>
          <w:szCs w:val="22"/>
        </w:rPr>
        <w:t>17.8</w:t>
      </w:r>
      <w:r w:rsidRPr="00D20D13">
        <w:rPr>
          <w:sz w:val="22"/>
          <w:szCs w:val="22"/>
        </w:rPr>
        <w:t xml:space="preserve"> billion</w:t>
      </w:r>
      <w:r>
        <w:rPr>
          <w:sz w:val="22"/>
          <w:szCs w:val="22"/>
        </w:rPr>
        <w:t xml:space="preserve"> (12.5 percent of GDP) and</w:t>
      </w:r>
      <w:r w:rsidRPr="00D20D13">
        <w:rPr>
          <w:sz w:val="22"/>
          <w:szCs w:val="22"/>
        </w:rPr>
        <w:t xml:space="preserve"> </w:t>
      </w:r>
      <w:r>
        <w:rPr>
          <w:sz w:val="22"/>
          <w:szCs w:val="22"/>
        </w:rPr>
        <w:t xml:space="preserve">the </w:t>
      </w:r>
      <w:r w:rsidRPr="00D20D13">
        <w:rPr>
          <w:sz w:val="22"/>
          <w:szCs w:val="22"/>
        </w:rPr>
        <w:t>daily average turnover at €</w:t>
      </w:r>
      <w:r>
        <w:rPr>
          <w:sz w:val="22"/>
          <w:szCs w:val="22"/>
        </w:rPr>
        <w:t>6.9</w:t>
      </w:r>
      <w:r w:rsidRPr="00D20D13">
        <w:rPr>
          <w:sz w:val="22"/>
          <w:szCs w:val="22"/>
        </w:rPr>
        <w:t xml:space="preserve"> m</w:t>
      </w:r>
      <w:r>
        <w:rPr>
          <w:sz w:val="22"/>
          <w:szCs w:val="22"/>
        </w:rPr>
        <w:t xml:space="preserve">illion, </w:t>
      </w:r>
      <w:r w:rsidRPr="00D20D13">
        <w:rPr>
          <w:sz w:val="22"/>
          <w:szCs w:val="22"/>
        </w:rPr>
        <w:t xml:space="preserve">are all far below other </w:t>
      </w:r>
      <w:r>
        <w:rPr>
          <w:sz w:val="22"/>
          <w:szCs w:val="22"/>
        </w:rPr>
        <w:t>European Union (</w:t>
      </w:r>
      <w:r w:rsidRPr="00D20D13">
        <w:rPr>
          <w:sz w:val="22"/>
          <w:szCs w:val="22"/>
        </w:rPr>
        <w:t>EU</w:t>
      </w:r>
      <w:r>
        <w:rPr>
          <w:sz w:val="22"/>
          <w:szCs w:val="22"/>
        </w:rPr>
        <w:t>)</w:t>
      </w:r>
      <w:r w:rsidRPr="00D20D13">
        <w:rPr>
          <w:sz w:val="22"/>
          <w:szCs w:val="22"/>
        </w:rPr>
        <w:t xml:space="preserve"> countries. This poses constraints </w:t>
      </w:r>
      <w:r>
        <w:rPr>
          <w:sz w:val="22"/>
          <w:szCs w:val="22"/>
        </w:rPr>
        <w:t>to</w:t>
      </w:r>
      <w:r w:rsidRPr="00D20D13">
        <w:rPr>
          <w:sz w:val="22"/>
          <w:szCs w:val="22"/>
        </w:rPr>
        <w:t xml:space="preserve"> both corporate finance and credit recovery. In fact, stock market capitalization has </w:t>
      </w:r>
      <w:r w:rsidRPr="00D20D13">
        <w:rPr>
          <w:i/>
          <w:sz w:val="22"/>
          <w:szCs w:val="22"/>
        </w:rPr>
        <w:t>declined</w:t>
      </w:r>
      <w:r w:rsidRPr="00D20D13">
        <w:rPr>
          <w:sz w:val="22"/>
          <w:szCs w:val="22"/>
        </w:rPr>
        <w:t xml:space="preserve"> in recent years despite growth of the economy, the activities of private pension funds, and recent issuance of shares by state-owned energy companies. F</w:t>
      </w:r>
      <w:r>
        <w:rPr>
          <w:sz w:val="22"/>
          <w:szCs w:val="22"/>
        </w:rPr>
        <w:t>urther</w:t>
      </w:r>
      <w:r w:rsidRPr="00D20D13">
        <w:rPr>
          <w:sz w:val="22"/>
          <w:szCs w:val="22"/>
        </w:rPr>
        <w:t xml:space="preserve">, incomplete liberalization of electricity and gas </w:t>
      </w:r>
      <w:r>
        <w:rPr>
          <w:sz w:val="22"/>
          <w:szCs w:val="22"/>
        </w:rPr>
        <w:t>markets constrains energy efficiency, investments, and exports</w:t>
      </w:r>
      <w:r w:rsidRPr="00D20D13">
        <w:rPr>
          <w:sz w:val="22"/>
          <w:szCs w:val="22"/>
        </w:rPr>
        <w:t xml:space="preserve">. In response, in 2011 </w:t>
      </w:r>
      <w:r>
        <w:rPr>
          <w:sz w:val="22"/>
          <w:szCs w:val="22"/>
        </w:rPr>
        <w:t>the government</w:t>
      </w:r>
      <w:r w:rsidRPr="00D20D13">
        <w:rPr>
          <w:sz w:val="22"/>
          <w:szCs w:val="22"/>
        </w:rPr>
        <w:t xml:space="preserve"> re-launched reforms to ensure compliance with </w:t>
      </w:r>
      <w:r>
        <w:rPr>
          <w:sz w:val="22"/>
          <w:szCs w:val="22"/>
        </w:rPr>
        <w:t xml:space="preserve">the </w:t>
      </w:r>
      <w:r w:rsidRPr="00D20D13">
        <w:rPr>
          <w:sz w:val="22"/>
          <w:szCs w:val="22"/>
        </w:rPr>
        <w:t xml:space="preserve">EU </w:t>
      </w:r>
      <w:r>
        <w:rPr>
          <w:sz w:val="22"/>
          <w:szCs w:val="22"/>
        </w:rPr>
        <w:t xml:space="preserve">third </w:t>
      </w:r>
      <w:r w:rsidRPr="00D20D13">
        <w:rPr>
          <w:sz w:val="22"/>
          <w:szCs w:val="22"/>
        </w:rPr>
        <w:t xml:space="preserve">energy </w:t>
      </w:r>
      <w:r>
        <w:rPr>
          <w:sz w:val="22"/>
          <w:szCs w:val="22"/>
        </w:rPr>
        <w:t>package</w:t>
      </w:r>
      <w:r w:rsidRPr="00D20D13">
        <w:rPr>
          <w:sz w:val="22"/>
          <w:szCs w:val="22"/>
        </w:rPr>
        <w:t xml:space="preserve"> </w:t>
      </w:r>
      <w:r>
        <w:rPr>
          <w:sz w:val="22"/>
          <w:szCs w:val="22"/>
        </w:rPr>
        <w:t xml:space="preserve">for electricity and gas, </w:t>
      </w:r>
      <w:r w:rsidRPr="00D20D13">
        <w:rPr>
          <w:sz w:val="22"/>
          <w:szCs w:val="22"/>
        </w:rPr>
        <w:t xml:space="preserve">and </w:t>
      </w:r>
      <w:r>
        <w:rPr>
          <w:sz w:val="22"/>
          <w:szCs w:val="22"/>
        </w:rPr>
        <w:t xml:space="preserve">it </w:t>
      </w:r>
      <w:r w:rsidRPr="00D20D13">
        <w:rPr>
          <w:sz w:val="22"/>
          <w:szCs w:val="22"/>
        </w:rPr>
        <w:t xml:space="preserve">expects to fully liberalize nonresidential </w:t>
      </w:r>
      <w:r>
        <w:rPr>
          <w:sz w:val="22"/>
          <w:szCs w:val="22"/>
        </w:rPr>
        <w:t xml:space="preserve">electricity and gas </w:t>
      </w:r>
      <w:r w:rsidRPr="00D20D13">
        <w:rPr>
          <w:sz w:val="22"/>
          <w:szCs w:val="22"/>
        </w:rPr>
        <w:t>markets by the end of 2015.</w:t>
      </w:r>
    </w:p>
    <w:p w:rsidR="00383108" w:rsidRPr="0028606F" w:rsidRDefault="00383108" w:rsidP="0028606F">
      <w:pPr>
        <w:pStyle w:val="ListParagraph"/>
        <w:ind w:left="0"/>
        <w:contextualSpacing w:val="0"/>
        <w:jc w:val="both"/>
        <w:rPr>
          <w:sz w:val="22"/>
          <w:szCs w:val="22"/>
        </w:rPr>
      </w:pPr>
    </w:p>
    <w:p w:rsidR="00383108" w:rsidRDefault="00383108" w:rsidP="00383108">
      <w:pPr>
        <w:pStyle w:val="ListParagraph"/>
        <w:numPr>
          <w:ilvl w:val="0"/>
          <w:numId w:val="7"/>
        </w:numPr>
        <w:rPr>
          <w:b/>
        </w:rPr>
      </w:pPr>
      <w:r w:rsidRPr="00C4392F">
        <w:rPr>
          <w:b/>
        </w:rPr>
        <w:t>Poverty and Social Impacts (PSI) and Environmental Aspects</w:t>
      </w:r>
    </w:p>
    <w:p w:rsidR="00383108" w:rsidRPr="00383108" w:rsidRDefault="00383108" w:rsidP="00383108">
      <w:pPr>
        <w:rPr>
          <w:b/>
        </w:rPr>
      </w:pPr>
    </w:p>
    <w:p w:rsidR="00383108" w:rsidRDefault="00D03E8A" w:rsidP="00383108">
      <w:pPr>
        <w:pStyle w:val="ListParagraph"/>
        <w:ind w:left="0" w:firstLine="720"/>
        <w:jc w:val="both"/>
        <w:rPr>
          <w:rFonts w:eastAsiaTheme="minorHAnsi"/>
          <w:sz w:val="22"/>
          <w:szCs w:val="22"/>
        </w:rPr>
      </w:pPr>
      <w:r w:rsidRPr="004B4591">
        <w:rPr>
          <w:rFonts w:eastAsiaTheme="minorHAnsi"/>
          <w:b/>
          <w:bCs/>
          <w:color w:val="000000"/>
          <w:sz w:val="22"/>
          <w:szCs w:val="22"/>
        </w:rPr>
        <w:t xml:space="preserve">The overall poverty and social impacts of the DPL are expected to be neutral or positive. </w:t>
      </w:r>
      <w:r w:rsidRPr="004B4591">
        <w:rPr>
          <w:rFonts w:eastAsiaTheme="minorHAnsi"/>
          <w:color w:val="000000"/>
          <w:sz w:val="22"/>
          <w:szCs w:val="22"/>
        </w:rPr>
        <w:t xml:space="preserve">Measures supported aim to help strengthen Romania’s growth potential and improve the effectiveness of public spending and, therefore, create the basis for sustained, future poverty reduction and shared </w:t>
      </w:r>
      <w:r w:rsidRPr="004B4591">
        <w:rPr>
          <w:rFonts w:eastAsiaTheme="minorHAnsi"/>
          <w:color w:val="000000"/>
          <w:sz w:val="22"/>
          <w:szCs w:val="22"/>
        </w:rPr>
        <w:lastRenderedPageBreak/>
        <w:t xml:space="preserve">prosperity. The DPL measures support better quality of public spending and targeting of social spending (Pillar A) which has been important for shared prosperity. It also aims to improve the functioning of property, energy and capital markets, which should improve the ability of individuals and businesses to mobilize human and physical capital </w:t>
      </w:r>
      <w:r>
        <w:rPr>
          <w:rFonts w:eastAsiaTheme="minorHAnsi"/>
          <w:color w:val="000000"/>
          <w:sz w:val="22"/>
          <w:szCs w:val="22"/>
        </w:rPr>
        <w:t xml:space="preserve">and to mitigate risks </w:t>
      </w:r>
      <w:r w:rsidRPr="004B4591">
        <w:rPr>
          <w:rFonts w:eastAsiaTheme="minorHAnsi"/>
          <w:color w:val="000000"/>
          <w:sz w:val="22"/>
          <w:szCs w:val="22"/>
        </w:rPr>
        <w:t>(Pillar B). The SOE restructuring reforms will result in loss of some employment, but the overall social impact will be limited because only 19 percent of SOE workers were found to belong to the bottom forty percent of the population and also because of compen</w:t>
      </w:r>
      <w:r>
        <w:rPr>
          <w:rFonts w:eastAsiaTheme="minorHAnsi"/>
          <w:color w:val="000000"/>
          <w:sz w:val="22"/>
          <w:szCs w:val="22"/>
        </w:rPr>
        <w:t>sating severance payments. As</w:t>
      </w:r>
      <w:r w:rsidRPr="004B4591">
        <w:rPr>
          <w:rFonts w:eastAsiaTheme="minorHAnsi"/>
          <w:color w:val="000000"/>
          <w:sz w:val="22"/>
          <w:szCs w:val="22"/>
        </w:rPr>
        <w:t xml:space="preserve"> severance payments are generous (fully covering the </w:t>
      </w:r>
      <w:r>
        <w:rPr>
          <w:rFonts w:eastAsiaTheme="minorHAnsi"/>
          <w:color w:val="000000"/>
          <w:sz w:val="22"/>
          <w:szCs w:val="22"/>
        </w:rPr>
        <w:t xml:space="preserve">lost </w:t>
      </w:r>
      <w:r w:rsidRPr="004B4591">
        <w:rPr>
          <w:rFonts w:eastAsiaTheme="minorHAnsi"/>
          <w:color w:val="000000"/>
          <w:sz w:val="22"/>
          <w:szCs w:val="22"/>
        </w:rPr>
        <w:t xml:space="preserve">income of the bottom forty percent), </w:t>
      </w:r>
      <w:r>
        <w:rPr>
          <w:rFonts w:eastAsiaTheme="minorHAnsi"/>
          <w:color w:val="000000"/>
          <w:sz w:val="22"/>
          <w:szCs w:val="22"/>
        </w:rPr>
        <w:t>the long-term impact depends on whether those who</w:t>
      </w:r>
      <w:r w:rsidRPr="004B4591">
        <w:rPr>
          <w:rFonts w:eastAsiaTheme="minorHAnsi"/>
          <w:color w:val="000000"/>
          <w:sz w:val="22"/>
          <w:szCs w:val="22"/>
        </w:rPr>
        <w:t xml:space="preserve"> belong to the bottom forty percent will find employment once severance payments are exhausted</w:t>
      </w:r>
      <w:r>
        <w:rPr>
          <w:rFonts w:eastAsiaTheme="minorHAnsi"/>
          <w:color w:val="000000"/>
          <w:sz w:val="22"/>
          <w:szCs w:val="22"/>
        </w:rPr>
        <w:t xml:space="preserve"> after 12-14 months</w:t>
      </w:r>
      <w:r w:rsidRPr="004B4591">
        <w:rPr>
          <w:rFonts w:eastAsiaTheme="minorHAnsi"/>
          <w:color w:val="000000"/>
          <w:sz w:val="22"/>
          <w:szCs w:val="22"/>
        </w:rPr>
        <w:t>. If none of them find a job and cannot receive social benefits, the poverty rate (</w:t>
      </w:r>
      <w:r>
        <w:rPr>
          <w:rFonts w:eastAsiaTheme="minorHAnsi"/>
          <w:color w:val="000000"/>
          <w:sz w:val="22"/>
          <w:szCs w:val="22"/>
        </w:rPr>
        <w:t xml:space="preserve">at </w:t>
      </w:r>
      <w:r w:rsidRPr="004B4591">
        <w:rPr>
          <w:rFonts w:eastAsiaTheme="minorHAnsi"/>
          <w:color w:val="000000"/>
          <w:sz w:val="22"/>
          <w:szCs w:val="22"/>
        </w:rPr>
        <w:t>US$5 PPP) can be expected to increase by between 0.2 and 0.3 percentage points. This scenario is unlikely however, given the envisaged expansion of safety nets supported by the operation</w:t>
      </w:r>
      <w:r>
        <w:rPr>
          <w:rFonts w:eastAsiaTheme="minorHAnsi"/>
          <w:color w:val="000000"/>
          <w:sz w:val="22"/>
          <w:szCs w:val="22"/>
        </w:rPr>
        <w:t>.</w:t>
      </w:r>
    </w:p>
    <w:p w:rsidR="00383108" w:rsidRDefault="00383108" w:rsidP="00383108">
      <w:pPr>
        <w:pStyle w:val="ListParagraph"/>
        <w:ind w:left="0" w:firstLine="720"/>
        <w:jc w:val="both"/>
        <w:rPr>
          <w:b/>
        </w:rPr>
      </w:pPr>
    </w:p>
    <w:p w:rsidR="00383108" w:rsidRDefault="00383108" w:rsidP="00383108">
      <w:pPr>
        <w:pStyle w:val="ListParagraph"/>
        <w:ind w:left="0" w:firstLine="720"/>
        <w:jc w:val="both"/>
        <w:rPr>
          <w:color w:val="000000" w:themeColor="text1"/>
          <w:sz w:val="22"/>
          <w:szCs w:val="22"/>
        </w:rPr>
      </w:pPr>
      <w:r w:rsidRPr="008F437D">
        <w:rPr>
          <w:b/>
          <w:sz w:val="22"/>
          <w:szCs w:val="22"/>
        </w:rPr>
        <w:t xml:space="preserve">The policies supported by the </w:t>
      </w:r>
      <w:r>
        <w:rPr>
          <w:b/>
          <w:sz w:val="22"/>
          <w:szCs w:val="22"/>
        </w:rPr>
        <w:t>FEG</w:t>
      </w:r>
      <w:r w:rsidRPr="008F437D">
        <w:rPr>
          <w:b/>
          <w:sz w:val="22"/>
          <w:szCs w:val="22"/>
        </w:rPr>
        <w:t xml:space="preserve">-DPL series are not likely to have much </w:t>
      </w:r>
      <w:r w:rsidRPr="008F437D">
        <w:rPr>
          <w:b/>
          <w:color w:val="000000" w:themeColor="text1"/>
          <w:sz w:val="22"/>
          <w:szCs w:val="22"/>
        </w:rPr>
        <w:t xml:space="preserve">impact on Romania’s environment, forests, water resources, habitats, or other natural resources. </w:t>
      </w:r>
      <w:r w:rsidRPr="008F437D">
        <w:rPr>
          <w:color w:val="000000" w:themeColor="text1"/>
          <w:sz w:val="22"/>
          <w:szCs w:val="22"/>
        </w:rPr>
        <w:t>Credible scenarios for significant direct or indirect negative impacts appear very unlikely. Romania has adequate environmental controls, and its legislation and regulations are closely aligned with EU directives. Romania has adopted the EU guidelines for integrating environmental assessments into project planning and programming and the EU Environmental Liabilities Directive setting out liability for damage to pr</w:t>
      </w:r>
      <w:r>
        <w:rPr>
          <w:color w:val="000000" w:themeColor="text1"/>
          <w:sz w:val="22"/>
          <w:szCs w:val="22"/>
        </w:rPr>
        <w:t>operties and natural resources.</w:t>
      </w:r>
    </w:p>
    <w:p w:rsidR="00D03E8A" w:rsidRDefault="00D03E8A" w:rsidP="00D03E8A">
      <w:pPr>
        <w:pStyle w:val="ListParagraph"/>
        <w:autoSpaceDE w:val="0"/>
        <w:autoSpaceDN w:val="0"/>
        <w:adjustRightInd w:val="0"/>
        <w:ind w:left="0"/>
        <w:contextualSpacing w:val="0"/>
        <w:jc w:val="both"/>
        <w:rPr>
          <w:color w:val="000000" w:themeColor="text1"/>
          <w:sz w:val="22"/>
          <w:szCs w:val="22"/>
        </w:rPr>
      </w:pPr>
    </w:p>
    <w:p w:rsidR="00D03E8A" w:rsidRDefault="00D03E8A" w:rsidP="00D03E8A">
      <w:pPr>
        <w:pStyle w:val="ListParagraph"/>
        <w:autoSpaceDE w:val="0"/>
        <w:autoSpaceDN w:val="0"/>
        <w:adjustRightInd w:val="0"/>
        <w:ind w:left="0" w:firstLine="720"/>
        <w:contextualSpacing w:val="0"/>
        <w:jc w:val="both"/>
        <w:rPr>
          <w:rFonts w:eastAsiaTheme="minorHAnsi"/>
          <w:sz w:val="22"/>
          <w:szCs w:val="22"/>
        </w:rPr>
      </w:pPr>
      <w:r w:rsidRPr="000830DE">
        <w:rPr>
          <w:b/>
          <w:sz w:val="22"/>
        </w:rPr>
        <w:t xml:space="preserve">The overall gender impact of the DPL is expected to be positive. </w:t>
      </w:r>
      <w:r w:rsidRPr="00F52AB3">
        <w:rPr>
          <w:rFonts w:eastAsiaTheme="minorHAnsi"/>
          <w:sz w:val="22"/>
          <w:szCs w:val="22"/>
        </w:rPr>
        <w:t xml:space="preserve">The majority of reforms will not affect men and women in a differentiated way, but the </w:t>
      </w:r>
      <w:r>
        <w:rPr>
          <w:rFonts w:eastAsiaTheme="minorHAnsi"/>
          <w:sz w:val="22"/>
          <w:szCs w:val="22"/>
        </w:rPr>
        <w:t xml:space="preserve">planned revision of the benefit formula for the MSIP aimed at incentivizing work </w:t>
      </w:r>
      <w:r w:rsidRPr="00F52AB3">
        <w:rPr>
          <w:rFonts w:eastAsiaTheme="minorHAnsi"/>
          <w:sz w:val="22"/>
          <w:szCs w:val="22"/>
        </w:rPr>
        <w:t xml:space="preserve">should be particularly beneficial to </w:t>
      </w:r>
      <w:r>
        <w:rPr>
          <w:rFonts w:eastAsiaTheme="minorHAnsi"/>
          <w:sz w:val="22"/>
          <w:szCs w:val="22"/>
        </w:rPr>
        <w:t xml:space="preserve">poor working </w:t>
      </w:r>
      <w:r w:rsidRPr="00F52AB3">
        <w:rPr>
          <w:rFonts w:eastAsiaTheme="minorHAnsi"/>
          <w:sz w:val="22"/>
          <w:szCs w:val="22"/>
        </w:rPr>
        <w:t>women.</w:t>
      </w:r>
      <w:r>
        <w:rPr>
          <w:rFonts w:eastAsiaTheme="minorHAnsi"/>
          <w:sz w:val="22"/>
          <w:szCs w:val="22"/>
        </w:rPr>
        <w:t xml:space="preserve"> </w:t>
      </w:r>
      <w:r w:rsidRPr="00F52AB3">
        <w:rPr>
          <w:rFonts w:eastAsiaTheme="minorHAnsi"/>
          <w:sz w:val="22"/>
          <w:szCs w:val="22"/>
        </w:rPr>
        <w:t>A</w:t>
      </w:r>
      <w:r>
        <w:rPr>
          <w:rFonts w:eastAsiaTheme="minorHAnsi"/>
          <w:sz w:val="22"/>
          <w:szCs w:val="22"/>
        </w:rPr>
        <w:t>s for the gender impact of the SOE</w:t>
      </w:r>
      <w:r w:rsidRPr="00F52AB3">
        <w:rPr>
          <w:rFonts w:eastAsiaTheme="minorHAnsi"/>
          <w:sz w:val="22"/>
          <w:szCs w:val="22"/>
        </w:rPr>
        <w:t xml:space="preserve"> reforms a detailed examination of the sectors where SOE dominates (transportation and energy sectors) suggest female employment is relatively low: 51 percent of the country’s employees are male compared to 79 percent of SOE employees in the transportation and energy (according to the 2011 Household Budget Survey).</w:t>
      </w:r>
      <w:r>
        <w:rPr>
          <w:rFonts w:eastAsiaTheme="minorHAnsi"/>
          <w:sz w:val="22"/>
          <w:szCs w:val="22"/>
        </w:rPr>
        <w:t xml:space="preserve"> As for property registration reforms, the Bank and the European Union will encourage a gender-responsive expansion of property registration to further enhance the gender equality impact of the reforms supported by this DPL.</w:t>
      </w:r>
    </w:p>
    <w:p w:rsidR="00383108" w:rsidRPr="00383108" w:rsidRDefault="00383108" w:rsidP="00383108">
      <w:pPr>
        <w:jc w:val="both"/>
        <w:rPr>
          <w:b/>
        </w:rPr>
      </w:pPr>
      <w:bookmarkStart w:id="12" w:name="_GoBack"/>
      <w:bookmarkEnd w:id="12"/>
    </w:p>
    <w:p w:rsidR="00383108" w:rsidRPr="00B14B1C" w:rsidRDefault="00383108" w:rsidP="00383108">
      <w:pPr>
        <w:numPr>
          <w:ilvl w:val="0"/>
          <w:numId w:val="7"/>
        </w:numPr>
        <w:rPr>
          <w:b/>
        </w:rPr>
      </w:pPr>
      <w:r w:rsidRPr="00B14B1C">
        <w:rPr>
          <w:b/>
        </w:rPr>
        <w:t>Tentative financing</w:t>
      </w:r>
    </w:p>
    <w:p w:rsidR="00383108" w:rsidRDefault="00383108" w:rsidP="00383108"/>
    <w:tbl>
      <w:tblPr>
        <w:tblW w:w="0" w:type="auto"/>
        <w:tblLook w:val="0000" w:firstRow="0" w:lastRow="0" w:firstColumn="0" w:lastColumn="0" w:noHBand="0" w:noVBand="0"/>
      </w:tblPr>
      <w:tblGrid>
        <w:gridCol w:w="7488"/>
        <w:gridCol w:w="1980"/>
      </w:tblGrid>
      <w:tr w:rsidR="00383108" w:rsidTr="0076243D">
        <w:tc>
          <w:tcPr>
            <w:tcW w:w="7488" w:type="dxa"/>
          </w:tcPr>
          <w:p w:rsidR="00383108" w:rsidRDefault="00383108" w:rsidP="0076243D">
            <w:r>
              <w:t>Source:</w:t>
            </w:r>
            <w:bookmarkStart w:id="13" w:name="FINANCINGTAB_PID"/>
            <w:bookmarkEnd w:id="13"/>
          </w:p>
        </w:tc>
        <w:tc>
          <w:tcPr>
            <w:tcW w:w="1980" w:type="dxa"/>
          </w:tcPr>
          <w:p w:rsidR="00383108" w:rsidRDefault="00383108" w:rsidP="0076243D">
            <w:pPr>
              <w:tabs>
                <w:tab w:val="decimal" w:pos="252"/>
              </w:tabs>
              <w:jc w:val="center"/>
            </w:pPr>
            <w:r>
              <w:t>($m.)</w:t>
            </w:r>
          </w:p>
        </w:tc>
      </w:tr>
      <w:tr w:rsidR="00383108" w:rsidTr="0076243D">
        <w:tc>
          <w:tcPr>
            <w:tcW w:w="7488" w:type="dxa"/>
          </w:tcPr>
          <w:p w:rsidR="00383108" w:rsidRDefault="00383108" w:rsidP="0076243D">
            <w:pPr>
              <w:tabs>
                <w:tab w:val="right" w:pos="7200"/>
              </w:tabs>
            </w:pPr>
            <w:r>
              <w:t>Borrower</w:t>
            </w:r>
          </w:p>
        </w:tc>
        <w:tc>
          <w:tcPr>
            <w:tcW w:w="1980" w:type="dxa"/>
          </w:tcPr>
          <w:p w:rsidR="00383108" w:rsidRDefault="00383108" w:rsidP="0076243D">
            <w:pPr>
              <w:tabs>
                <w:tab w:val="decimal" w:pos="252"/>
              </w:tabs>
              <w:jc w:val="center"/>
            </w:pPr>
            <w:r>
              <w:t>0</w:t>
            </w:r>
          </w:p>
        </w:tc>
      </w:tr>
      <w:tr w:rsidR="00383108" w:rsidTr="0076243D">
        <w:tc>
          <w:tcPr>
            <w:tcW w:w="7488" w:type="dxa"/>
          </w:tcPr>
          <w:p w:rsidR="00383108" w:rsidRDefault="00383108" w:rsidP="0076243D">
            <w:pPr>
              <w:tabs>
                <w:tab w:val="right" w:pos="7200"/>
              </w:tabs>
            </w:pPr>
            <w:r>
              <w:t>International Bank for Reconstruction and Development</w:t>
            </w:r>
          </w:p>
        </w:tc>
        <w:tc>
          <w:tcPr>
            <w:tcW w:w="1980" w:type="dxa"/>
          </w:tcPr>
          <w:p w:rsidR="00383108" w:rsidRDefault="00D03E8A" w:rsidP="0076243D">
            <w:pPr>
              <w:tabs>
                <w:tab w:val="decimal" w:pos="252"/>
              </w:tabs>
              <w:jc w:val="center"/>
            </w:pPr>
            <w:r>
              <w:t>1,034,800,000</w:t>
            </w:r>
          </w:p>
        </w:tc>
      </w:tr>
      <w:tr w:rsidR="00383108" w:rsidTr="0076243D">
        <w:tc>
          <w:tcPr>
            <w:tcW w:w="7488" w:type="dxa"/>
          </w:tcPr>
          <w:p w:rsidR="00383108" w:rsidRDefault="00383108" w:rsidP="0076243D">
            <w:pPr>
              <w:tabs>
                <w:tab w:val="right" w:pos="7200"/>
              </w:tabs>
            </w:pPr>
            <w:r>
              <w:t>Borrower/Recipient</w:t>
            </w:r>
          </w:p>
        </w:tc>
        <w:tc>
          <w:tcPr>
            <w:tcW w:w="1980" w:type="dxa"/>
          </w:tcPr>
          <w:p w:rsidR="00383108" w:rsidRDefault="00383108" w:rsidP="0076243D">
            <w:pPr>
              <w:tabs>
                <w:tab w:val="decimal" w:pos="252"/>
              </w:tabs>
              <w:jc w:val="center"/>
            </w:pPr>
          </w:p>
        </w:tc>
      </w:tr>
      <w:tr w:rsidR="00383108" w:rsidTr="0076243D">
        <w:tc>
          <w:tcPr>
            <w:tcW w:w="7488" w:type="dxa"/>
          </w:tcPr>
          <w:p w:rsidR="00383108" w:rsidRDefault="00383108" w:rsidP="0076243D">
            <w:pPr>
              <w:tabs>
                <w:tab w:val="right" w:pos="7200"/>
              </w:tabs>
            </w:pPr>
            <w:r>
              <w:t>IBRD</w:t>
            </w:r>
          </w:p>
          <w:p w:rsidR="00383108" w:rsidRDefault="00383108" w:rsidP="0076243D">
            <w:pPr>
              <w:tabs>
                <w:tab w:val="right" w:pos="7200"/>
              </w:tabs>
            </w:pPr>
            <w:r>
              <w:t>Others (</w:t>
            </w:r>
            <w:r w:rsidR="00D03E8A">
              <w:t>specify</w:t>
            </w:r>
            <w:r>
              <w:t>)</w:t>
            </w:r>
          </w:p>
        </w:tc>
        <w:tc>
          <w:tcPr>
            <w:tcW w:w="1980" w:type="dxa"/>
          </w:tcPr>
          <w:p w:rsidR="00383108" w:rsidRDefault="00383108" w:rsidP="0076243D">
            <w:pPr>
              <w:tabs>
                <w:tab w:val="decimal" w:pos="252"/>
              </w:tabs>
              <w:jc w:val="center"/>
            </w:pPr>
          </w:p>
        </w:tc>
      </w:tr>
      <w:tr w:rsidR="00383108" w:rsidTr="0076243D">
        <w:tc>
          <w:tcPr>
            <w:tcW w:w="7488" w:type="dxa"/>
          </w:tcPr>
          <w:p w:rsidR="00383108" w:rsidRDefault="00383108" w:rsidP="0076243D">
            <w:pPr>
              <w:tabs>
                <w:tab w:val="right" w:pos="7200"/>
              </w:tabs>
            </w:pPr>
            <w:r>
              <w:tab/>
              <w:t>Total</w:t>
            </w:r>
          </w:p>
        </w:tc>
        <w:tc>
          <w:tcPr>
            <w:tcW w:w="1980" w:type="dxa"/>
          </w:tcPr>
          <w:p w:rsidR="00383108" w:rsidRDefault="00383108" w:rsidP="0076243D">
            <w:pPr>
              <w:tabs>
                <w:tab w:val="decimal" w:pos="252"/>
              </w:tabs>
              <w:jc w:val="center"/>
            </w:pPr>
          </w:p>
        </w:tc>
      </w:tr>
    </w:tbl>
    <w:p w:rsidR="00383108" w:rsidRDefault="00383108" w:rsidP="00383108">
      <w:pPr>
        <w:ind w:left="720"/>
        <w:rPr>
          <w:b/>
        </w:rPr>
      </w:pPr>
    </w:p>
    <w:p w:rsidR="00383108" w:rsidRPr="003E3D6A" w:rsidRDefault="00383108" w:rsidP="00383108">
      <w:pPr>
        <w:numPr>
          <w:ilvl w:val="0"/>
          <w:numId w:val="7"/>
        </w:numPr>
        <w:rPr>
          <w:b/>
        </w:rPr>
      </w:pPr>
      <w:r w:rsidRPr="00B14B1C">
        <w:rPr>
          <w:b/>
        </w:rPr>
        <w:t>Contact point</w:t>
      </w:r>
    </w:p>
    <w:p w:rsidR="00383108" w:rsidRDefault="00383108" w:rsidP="00383108">
      <w:pPr>
        <w:pStyle w:val="ListParagraph"/>
        <w:ind w:left="0"/>
      </w:pPr>
      <w:r w:rsidRPr="00225112">
        <w:rPr>
          <w:b/>
        </w:rPr>
        <w:t>World Bank</w:t>
      </w:r>
      <w:r>
        <w:rPr>
          <w:b/>
        </w:rPr>
        <w:t xml:space="preserve"> </w:t>
      </w:r>
    </w:p>
    <w:p w:rsidR="00383108" w:rsidRDefault="00383108" w:rsidP="00383108">
      <w:bookmarkStart w:id="14" w:name="ContactInfo"/>
      <w:r>
        <w:t>Contact: Pedro L. Rodriguez</w:t>
      </w:r>
    </w:p>
    <w:p w:rsidR="00383108" w:rsidRDefault="00383108" w:rsidP="00383108">
      <w:r>
        <w:t>Title: Lead Economist</w:t>
      </w:r>
    </w:p>
    <w:p w:rsidR="00383108" w:rsidRDefault="00383108" w:rsidP="00383108">
      <w:r>
        <w:t>Tel: (202) 473-1770</w:t>
      </w:r>
    </w:p>
    <w:p w:rsidR="00383108" w:rsidRDefault="00383108" w:rsidP="00383108">
      <w:r>
        <w:t xml:space="preserve">Fax: </w:t>
      </w:r>
    </w:p>
    <w:p w:rsidR="00383108" w:rsidRDefault="00383108" w:rsidP="00383108">
      <w:r>
        <w:t>Email: Prodriguez1@worldbank.org</w:t>
      </w:r>
      <w:bookmarkEnd w:id="14"/>
    </w:p>
    <w:p w:rsidR="00383108" w:rsidRPr="00225112" w:rsidRDefault="00383108" w:rsidP="00383108">
      <w:pPr>
        <w:rPr>
          <w:b/>
        </w:rPr>
      </w:pPr>
      <w:r w:rsidRPr="00225112">
        <w:rPr>
          <w:b/>
        </w:rPr>
        <w:t>Borrower</w:t>
      </w:r>
    </w:p>
    <w:p w:rsidR="00383108" w:rsidRDefault="00383108" w:rsidP="00383108">
      <w:r w:rsidRPr="00A30F2B">
        <w:lastRenderedPageBreak/>
        <w:t>Contact</w:t>
      </w:r>
      <w:r>
        <w:t>:</w:t>
      </w:r>
      <w:r>
        <w:tab/>
      </w:r>
      <w:proofErr w:type="spellStart"/>
      <w:r>
        <w:t>Boni</w:t>
      </w:r>
      <w:proofErr w:type="spellEnd"/>
      <w:r>
        <w:t xml:space="preserve"> </w:t>
      </w:r>
      <w:proofErr w:type="spellStart"/>
      <w:r>
        <w:t>Cucu</w:t>
      </w:r>
      <w:proofErr w:type="spellEnd"/>
    </w:p>
    <w:p w:rsidR="00383108" w:rsidRDefault="00383108" w:rsidP="00383108">
      <w:r>
        <w:t>Title:</w:t>
      </w:r>
      <w:r>
        <w:tab/>
      </w:r>
      <w:r>
        <w:tab/>
        <w:t>General Director, International Financial Relations General Directorate</w:t>
      </w:r>
    </w:p>
    <w:p w:rsidR="00383108" w:rsidRDefault="00383108" w:rsidP="00383108">
      <w:r>
        <w:t>Tel:</w:t>
      </w:r>
      <w:r>
        <w:tab/>
      </w:r>
      <w:r>
        <w:tab/>
        <w:t>+40 21 319 9854</w:t>
      </w:r>
    </w:p>
    <w:p w:rsidR="00383108" w:rsidRDefault="00383108" w:rsidP="00383108">
      <w:r>
        <w:t>Email:</w:t>
      </w:r>
      <w:r>
        <w:tab/>
      </w:r>
      <w:r>
        <w:tab/>
        <w:t>Boni.cucu@mfinante.ro</w:t>
      </w:r>
    </w:p>
    <w:p w:rsidR="00383108" w:rsidRDefault="00383108" w:rsidP="00383108"/>
    <w:p w:rsidR="00383108" w:rsidRPr="0059349F" w:rsidRDefault="00383108" w:rsidP="00383108">
      <w:pPr>
        <w:numPr>
          <w:ilvl w:val="0"/>
          <w:numId w:val="7"/>
        </w:numPr>
        <w:rPr>
          <w:b/>
        </w:rPr>
      </w:pPr>
      <w:r w:rsidRPr="0059349F">
        <w:rPr>
          <w:b/>
        </w:rPr>
        <w:t>For more information contact:</w:t>
      </w:r>
    </w:p>
    <w:p w:rsidR="00383108" w:rsidRPr="00C82216" w:rsidRDefault="00383108" w:rsidP="00383108">
      <w:r w:rsidRPr="00C82216">
        <w:t xml:space="preserve">The </w:t>
      </w:r>
      <w:proofErr w:type="spellStart"/>
      <w:r w:rsidRPr="00C82216">
        <w:t>InfoShop</w:t>
      </w:r>
      <w:proofErr w:type="spellEnd"/>
    </w:p>
    <w:p w:rsidR="00383108" w:rsidRPr="00C82216" w:rsidRDefault="00383108" w:rsidP="00383108">
      <w:r w:rsidRPr="00C82216">
        <w:t>The World Bank</w:t>
      </w:r>
    </w:p>
    <w:p w:rsidR="00383108" w:rsidRPr="00C82216" w:rsidRDefault="00383108" w:rsidP="00383108">
      <w:r w:rsidRPr="00C82216">
        <w:t>1818 H Street, NW</w:t>
      </w:r>
    </w:p>
    <w:p w:rsidR="00383108" w:rsidRPr="00C82216" w:rsidRDefault="00383108" w:rsidP="00383108">
      <w:r w:rsidRPr="00C82216">
        <w:t>Washington, D.C. 20433</w:t>
      </w:r>
    </w:p>
    <w:p w:rsidR="00383108" w:rsidRPr="00C82216" w:rsidRDefault="00383108" w:rsidP="00383108">
      <w:r w:rsidRPr="00C82216">
        <w:t>Telephone:  (202) 458-</w:t>
      </w:r>
      <w:r>
        <w:t>4500</w:t>
      </w:r>
    </w:p>
    <w:p w:rsidR="00383108" w:rsidRPr="00C82216" w:rsidRDefault="00383108" w:rsidP="00383108">
      <w:r w:rsidRPr="00C82216">
        <w:t>Fax:  (202) 522-1500</w:t>
      </w:r>
    </w:p>
    <w:p w:rsidR="00383108" w:rsidRPr="00C82216" w:rsidRDefault="00383108" w:rsidP="00383108">
      <w:r w:rsidRPr="00C82216">
        <w:t>Web: http://www.worldbank.org/infoshop</w:t>
      </w:r>
    </w:p>
    <w:p w:rsidR="00383108" w:rsidRDefault="00383108"/>
    <w:sectPr w:rsidR="00383108" w:rsidSect="0095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367E3"/>
    <w:multiLevelType w:val="hybridMultilevel"/>
    <w:tmpl w:val="73BC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001319"/>
    <w:multiLevelType w:val="hybridMultilevel"/>
    <w:tmpl w:val="9BEC316C"/>
    <w:lvl w:ilvl="0" w:tplc="C478E652">
      <w:start w:val="1"/>
      <w:numFmt w:val="decimal"/>
      <w:lvlText w:val="%1."/>
      <w:lvlJc w:val="left"/>
      <w:pPr>
        <w:tabs>
          <w:tab w:val="num" w:pos="720"/>
        </w:tabs>
        <w:ind w:left="0" w:firstLine="0"/>
      </w:pPr>
      <w:rPr>
        <w:rFonts w:ascii="Times New Roman" w:hAnsi="Times New Roman" w:cs="Times New Roman" w:hint="default"/>
        <w:b w:val="0"/>
        <w:i w:val="0"/>
        <w:color w:val="000000" w:themeColor="text1"/>
        <w:sz w:val="24"/>
        <w:szCs w:val="24"/>
      </w:rPr>
    </w:lvl>
    <w:lvl w:ilvl="1" w:tplc="96CED3C4">
      <w:start w:val="1"/>
      <w:numFmt w:val="bullet"/>
      <w:lvlText w:val=""/>
      <w:lvlJc w:val="left"/>
      <w:pPr>
        <w:tabs>
          <w:tab w:val="num" w:pos="1440"/>
        </w:tabs>
        <w:ind w:left="1440" w:hanging="360"/>
      </w:pPr>
      <w:rPr>
        <w:rFonts w:ascii="Symbol" w:hAnsi="Symbol" w:hint="default"/>
      </w:rPr>
    </w:lvl>
    <w:lvl w:ilvl="2" w:tplc="8A94F2A2">
      <w:start w:val="1"/>
      <w:numFmt w:val="lowerRoman"/>
      <w:lvlText w:val="%3."/>
      <w:lvlJc w:val="right"/>
      <w:pPr>
        <w:tabs>
          <w:tab w:val="num" w:pos="2160"/>
        </w:tabs>
        <w:ind w:left="2160" w:hanging="180"/>
      </w:pPr>
    </w:lvl>
    <w:lvl w:ilvl="3" w:tplc="D3CE2DA8" w:tentative="1">
      <w:start w:val="1"/>
      <w:numFmt w:val="decimal"/>
      <w:lvlText w:val="%4."/>
      <w:lvlJc w:val="left"/>
      <w:pPr>
        <w:tabs>
          <w:tab w:val="num" w:pos="2880"/>
        </w:tabs>
        <w:ind w:left="2880" w:hanging="360"/>
      </w:pPr>
    </w:lvl>
    <w:lvl w:ilvl="4" w:tplc="E36C470E" w:tentative="1">
      <w:start w:val="1"/>
      <w:numFmt w:val="lowerLetter"/>
      <w:lvlText w:val="%5."/>
      <w:lvlJc w:val="left"/>
      <w:pPr>
        <w:tabs>
          <w:tab w:val="num" w:pos="3600"/>
        </w:tabs>
        <w:ind w:left="3600" w:hanging="360"/>
      </w:pPr>
    </w:lvl>
    <w:lvl w:ilvl="5" w:tplc="6B40E18E" w:tentative="1">
      <w:start w:val="1"/>
      <w:numFmt w:val="lowerRoman"/>
      <w:lvlText w:val="%6."/>
      <w:lvlJc w:val="right"/>
      <w:pPr>
        <w:tabs>
          <w:tab w:val="num" w:pos="4320"/>
        </w:tabs>
        <w:ind w:left="4320" w:hanging="180"/>
      </w:pPr>
    </w:lvl>
    <w:lvl w:ilvl="6" w:tplc="868645C8" w:tentative="1">
      <w:start w:val="1"/>
      <w:numFmt w:val="decimal"/>
      <w:lvlText w:val="%7."/>
      <w:lvlJc w:val="left"/>
      <w:pPr>
        <w:tabs>
          <w:tab w:val="num" w:pos="5040"/>
        </w:tabs>
        <w:ind w:left="5040" w:hanging="360"/>
      </w:pPr>
    </w:lvl>
    <w:lvl w:ilvl="7" w:tplc="845EAC62" w:tentative="1">
      <w:start w:val="1"/>
      <w:numFmt w:val="lowerLetter"/>
      <w:lvlText w:val="%8."/>
      <w:lvlJc w:val="left"/>
      <w:pPr>
        <w:tabs>
          <w:tab w:val="num" w:pos="5760"/>
        </w:tabs>
        <w:ind w:left="5760" w:hanging="360"/>
      </w:pPr>
    </w:lvl>
    <w:lvl w:ilvl="8" w:tplc="A404B976" w:tentative="1">
      <w:start w:val="1"/>
      <w:numFmt w:val="lowerRoman"/>
      <w:lvlText w:val="%9."/>
      <w:lvlJc w:val="right"/>
      <w:pPr>
        <w:tabs>
          <w:tab w:val="num" w:pos="6480"/>
        </w:tabs>
        <w:ind w:left="6480" w:hanging="180"/>
      </w:pPr>
    </w:lvl>
  </w:abstractNum>
  <w:abstractNum w:abstractNumId="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957452"/>
    <w:multiLevelType w:val="hybridMultilevel"/>
    <w:tmpl w:val="9BEC316C"/>
    <w:lvl w:ilvl="0" w:tplc="C478E652">
      <w:start w:val="1"/>
      <w:numFmt w:val="decimal"/>
      <w:lvlText w:val="%1."/>
      <w:lvlJc w:val="left"/>
      <w:pPr>
        <w:tabs>
          <w:tab w:val="num" w:pos="720"/>
        </w:tabs>
        <w:ind w:left="0" w:firstLine="0"/>
      </w:pPr>
      <w:rPr>
        <w:rFonts w:ascii="Times New Roman" w:hAnsi="Times New Roman" w:cs="Times New Roman" w:hint="default"/>
        <w:b w:val="0"/>
        <w:i w:val="0"/>
        <w:color w:val="000000" w:themeColor="text1"/>
        <w:sz w:val="24"/>
        <w:szCs w:val="24"/>
      </w:rPr>
    </w:lvl>
    <w:lvl w:ilvl="1" w:tplc="96CED3C4">
      <w:start w:val="1"/>
      <w:numFmt w:val="bullet"/>
      <w:lvlText w:val=""/>
      <w:lvlJc w:val="left"/>
      <w:pPr>
        <w:tabs>
          <w:tab w:val="num" w:pos="1440"/>
        </w:tabs>
        <w:ind w:left="1440" w:hanging="360"/>
      </w:pPr>
      <w:rPr>
        <w:rFonts w:ascii="Symbol" w:hAnsi="Symbol" w:hint="default"/>
      </w:rPr>
    </w:lvl>
    <w:lvl w:ilvl="2" w:tplc="8A94F2A2">
      <w:start w:val="1"/>
      <w:numFmt w:val="lowerRoman"/>
      <w:lvlText w:val="%3."/>
      <w:lvlJc w:val="right"/>
      <w:pPr>
        <w:tabs>
          <w:tab w:val="num" w:pos="2160"/>
        </w:tabs>
        <w:ind w:left="2160" w:hanging="180"/>
      </w:pPr>
    </w:lvl>
    <w:lvl w:ilvl="3" w:tplc="D3CE2DA8" w:tentative="1">
      <w:start w:val="1"/>
      <w:numFmt w:val="decimal"/>
      <w:lvlText w:val="%4."/>
      <w:lvlJc w:val="left"/>
      <w:pPr>
        <w:tabs>
          <w:tab w:val="num" w:pos="2880"/>
        </w:tabs>
        <w:ind w:left="2880" w:hanging="360"/>
      </w:pPr>
    </w:lvl>
    <w:lvl w:ilvl="4" w:tplc="E36C470E" w:tentative="1">
      <w:start w:val="1"/>
      <w:numFmt w:val="lowerLetter"/>
      <w:lvlText w:val="%5."/>
      <w:lvlJc w:val="left"/>
      <w:pPr>
        <w:tabs>
          <w:tab w:val="num" w:pos="3600"/>
        </w:tabs>
        <w:ind w:left="3600" w:hanging="360"/>
      </w:pPr>
    </w:lvl>
    <w:lvl w:ilvl="5" w:tplc="6B40E18E" w:tentative="1">
      <w:start w:val="1"/>
      <w:numFmt w:val="lowerRoman"/>
      <w:lvlText w:val="%6."/>
      <w:lvlJc w:val="right"/>
      <w:pPr>
        <w:tabs>
          <w:tab w:val="num" w:pos="4320"/>
        </w:tabs>
        <w:ind w:left="4320" w:hanging="180"/>
      </w:pPr>
    </w:lvl>
    <w:lvl w:ilvl="6" w:tplc="868645C8" w:tentative="1">
      <w:start w:val="1"/>
      <w:numFmt w:val="decimal"/>
      <w:lvlText w:val="%7."/>
      <w:lvlJc w:val="left"/>
      <w:pPr>
        <w:tabs>
          <w:tab w:val="num" w:pos="5040"/>
        </w:tabs>
        <w:ind w:left="5040" w:hanging="360"/>
      </w:pPr>
    </w:lvl>
    <w:lvl w:ilvl="7" w:tplc="845EAC62" w:tentative="1">
      <w:start w:val="1"/>
      <w:numFmt w:val="lowerLetter"/>
      <w:lvlText w:val="%8."/>
      <w:lvlJc w:val="left"/>
      <w:pPr>
        <w:tabs>
          <w:tab w:val="num" w:pos="5760"/>
        </w:tabs>
        <w:ind w:left="5760" w:hanging="360"/>
      </w:pPr>
    </w:lvl>
    <w:lvl w:ilvl="8" w:tplc="A404B976" w:tentative="1">
      <w:start w:val="1"/>
      <w:numFmt w:val="lowerRoman"/>
      <w:lvlText w:val="%9."/>
      <w:lvlJc w:val="right"/>
      <w:pPr>
        <w:tabs>
          <w:tab w:val="num" w:pos="6480"/>
        </w:tabs>
        <w:ind w:left="6480" w:hanging="180"/>
      </w:pPr>
    </w:lvl>
  </w:abstractNum>
  <w:abstractNum w:abstractNumId="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1"/>
  </w:num>
  <w:num w:numId="5">
    <w:abstractNumId w:val="5"/>
  </w:num>
  <w:num w:numId="6">
    <w:abstractNumId w:val="0"/>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28606F"/>
    <w:rsid w:val="00383108"/>
    <w:rsid w:val="004239CB"/>
    <w:rsid w:val="005057D4"/>
    <w:rsid w:val="00547929"/>
    <w:rsid w:val="005D6754"/>
    <w:rsid w:val="00734742"/>
    <w:rsid w:val="008627D4"/>
    <w:rsid w:val="00876A71"/>
    <w:rsid w:val="00956013"/>
    <w:rsid w:val="00BD6216"/>
    <w:rsid w:val="00D03E8A"/>
    <w:rsid w:val="00D619C3"/>
    <w:rsid w:val="00D9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16"/>
    <w:rPr>
      <w:sz w:val="24"/>
      <w:szCs w:val="24"/>
    </w:rPr>
  </w:style>
  <w:style w:type="paragraph" w:styleId="Heading1">
    <w:name w:val="heading 1"/>
    <w:basedOn w:val="Normal"/>
    <w:next w:val="Normal"/>
    <w:qFormat/>
    <w:rsid w:val="00BD6216"/>
    <w:pPr>
      <w:keepNext/>
      <w:outlineLvl w:val="0"/>
    </w:pPr>
    <w:rPr>
      <w:b/>
      <w:bCs/>
    </w:rPr>
  </w:style>
  <w:style w:type="paragraph" w:styleId="Heading2">
    <w:name w:val="heading 2"/>
    <w:basedOn w:val="Normal"/>
    <w:next w:val="Normal"/>
    <w:qFormat/>
    <w:rsid w:val="00BD621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6216"/>
    <w:pPr>
      <w:ind w:left="-108"/>
      <w:jc w:val="both"/>
    </w:pPr>
  </w:style>
  <w:style w:type="paragraph" w:styleId="CommentText">
    <w:name w:val="annotation text"/>
    <w:basedOn w:val="Normal"/>
    <w:semiHidden/>
    <w:rsid w:val="00BD6216"/>
    <w:rPr>
      <w:sz w:val="20"/>
      <w:szCs w:val="20"/>
    </w:rPr>
  </w:style>
  <w:style w:type="character" w:styleId="CommentReference">
    <w:name w:val="annotation reference"/>
    <w:basedOn w:val="DefaultParagraphFont"/>
    <w:semiHidden/>
    <w:rsid w:val="00BD6216"/>
    <w:rPr>
      <w:sz w:val="16"/>
      <w:szCs w:val="16"/>
    </w:rPr>
  </w:style>
  <w:style w:type="paragraph" w:styleId="HTMLPreformatted">
    <w:name w:val="HTML Preformatted"/>
    <w:basedOn w:val="Normal"/>
    <w:rsid w:val="00BD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BD6216"/>
    <w:pPr>
      <w:spacing w:after="240"/>
    </w:pPr>
    <w:rPr>
      <w:szCs w:val="20"/>
    </w:rPr>
  </w:style>
  <w:style w:type="character" w:styleId="Hyperlink">
    <w:name w:val="Hyperlink"/>
    <w:basedOn w:val="DefaultParagraphFont"/>
    <w:rsid w:val="00BD6216"/>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customStyle="1" w:styleId="ListParagraphChar">
    <w:name w:val="List Paragraph Char"/>
    <w:basedOn w:val="DefaultParagraphFont"/>
    <w:link w:val="ListParagraph"/>
    <w:uiPriority w:val="34"/>
    <w:locked/>
    <w:rsid w:val="00383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16"/>
    <w:rPr>
      <w:sz w:val="24"/>
      <w:szCs w:val="24"/>
    </w:rPr>
  </w:style>
  <w:style w:type="paragraph" w:styleId="Heading1">
    <w:name w:val="heading 1"/>
    <w:basedOn w:val="Normal"/>
    <w:next w:val="Normal"/>
    <w:qFormat/>
    <w:rsid w:val="00BD6216"/>
    <w:pPr>
      <w:keepNext/>
      <w:outlineLvl w:val="0"/>
    </w:pPr>
    <w:rPr>
      <w:b/>
      <w:bCs/>
    </w:rPr>
  </w:style>
  <w:style w:type="paragraph" w:styleId="Heading2">
    <w:name w:val="heading 2"/>
    <w:basedOn w:val="Normal"/>
    <w:next w:val="Normal"/>
    <w:qFormat/>
    <w:rsid w:val="00BD621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6216"/>
    <w:pPr>
      <w:ind w:left="-108"/>
      <w:jc w:val="both"/>
    </w:pPr>
  </w:style>
  <w:style w:type="paragraph" w:styleId="CommentText">
    <w:name w:val="annotation text"/>
    <w:basedOn w:val="Normal"/>
    <w:semiHidden/>
    <w:rsid w:val="00BD6216"/>
    <w:rPr>
      <w:sz w:val="20"/>
      <w:szCs w:val="20"/>
    </w:rPr>
  </w:style>
  <w:style w:type="character" w:styleId="CommentReference">
    <w:name w:val="annotation reference"/>
    <w:basedOn w:val="DefaultParagraphFont"/>
    <w:semiHidden/>
    <w:rsid w:val="00BD6216"/>
    <w:rPr>
      <w:sz w:val="16"/>
      <w:szCs w:val="16"/>
    </w:rPr>
  </w:style>
  <w:style w:type="paragraph" w:styleId="HTMLPreformatted">
    <w:name w:val="HTML Preformatted"/>
    <w:basedOn w:val="Normal"/>
    <w:rsid w:val="00BD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BD6216"/>
    <w:pPr>
      <w:spacing w:after="240"/>
    </w:pPr>
    <w:rPr>
      <w:szCs w:val="20"/>
    </w:rPr>
  </w:style>
  <w:style w:type="character" w:styleId="Hyperlink">
    <w:name w:val="Hyperlink"/>
    <w:basedOn w:val="DefaultParagraphFont"/>
    <w:rsid w:val="00BD6216"/>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customStyle="1" w:styleId="ListParagraphChar">
    <w:name w:val="List Paragraph Char"/>
    <w:basedOn w:val="DefaultParagraphFont"/>
    <w:link w:val="ListParagraph"/>
    <w:uiPriority w:val="34"/>
    <w:locked/>
    <w:rsid w:val="00383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Nancy Sabina Davies-Cole</cp:lastModifiedBy>
  <cp:revision>2</cp:revision>
  <cp:lastPrinted>2003-05-02T15:42:00Z</cp:lastPrinted>
  <dcterms:created xsi:type="dcterms:W3CDTF">2014-04-08T15:33:00Z</dcterms:created>
  <dcterms:modified xsi:type="dcterms:W3CDTF">2014-04-08T15:33:00Z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AB7545</vt:lpwstr>
  </property>
  <property fmtid="{D5CDD505-2E9C-101B-9397-08002B2CF9AE}" pid="3" name="TEAMLEADER">
    <vt:lpwstr>Mr Pedro L. Rodriguez</vt:lpwstr>
  </property>
</Properties>
</file>