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25" w:rsidRDefault="00A36A25">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180"/>
        <w:gridCol w:w="8"/>
        <w:gridCol w:w="2341"/>
        <w:gridCol w:w="281"/>
        <w:gridCol w:w="187"/>
        <w:gridCol w:w="936"/>
        <w:gridCol w:w="749"/>
        <w:gridCol w:w="655"/>
        <w:gridCol w:w="936"/>
        <w:gridCol w:w="468"/>
        <w:gridCol w:w="281"/>
        <w:gridCol w:w="281"/>
        <w:gridCol w:w="468"/>
        <w:gridCol w:w="187"/>
        <w:gridCol w:w="374"/>
        <w:gridCol w:w="468"/>
        <w:gridCol w:w="562"/>
      </w:tblGrid>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jc w:val="center"/>
              <w:rPr>
                <w:rFonts w:ascii="Times New Roman" w:hAnsi="Times New Roman" w:cs="Times New Roman"/>
              </w:rPr>
            </w:pPr>
            <w:r>
              <w:rPr>
                <w:rFonts w:ascii="Times New Roman" w:hAnsi="Times New Roman" w:cs="Times New Roman"/>
                <w:b/>
                <w:bCs/>
              </w:rPr>
              <w:t>INTEGRATED SAFEGUARDS DATA SHEET</w:t>
            </w: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jc w:val="center"/>
              <w:rPr>
                <w:rFonts w:ascii="Times New Roman" w:hAnsi="Times New Roman" w:cs="Times New Roman"/>
              </w:rPr>
            </w:pPr>
            <w:r>
              <w:rPr>
                <w:rFonts w:ascii="Times New Roman" w:hAnsi="Times New Roman" w:cs="Times New Roman"/>
                <w:b/>
                <w:bCs/>
              </w:rPr>
              <w:t>APPRAISAL STAGE</w:t>
            </w: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w:hAnsi="Times" w:cs="Times"/>
                <w:color w:val="FFFFFF"/>
                <w:sz w:val="2"/>
                <w:szCs w:val="2"/>
              </w:rPr>
            </w:pPr>
            <w:r>
              <w:rPr>
                <w:rFonts w:ascii="Times" w:hAnsi="Times" w:cs="Times"/>
                <w:color w:val="FFFFFF"/>
                <w:sz w:val="2"/>
                <w:szCs w:val="2"/>
              </w:rPr>
              <w:t>.</w:t>
            </w:r>
          </w:p>
        </w:tc>
      </w:tr>
      <w:tr w:rsidR="00A36A25" w:rsidTr="000028CA">
        <w:tc>
          <w:tcPr>
            <w:tcW w:w="7958" w:type="dxa"/>
            <w:gridSpan w:val="14"/>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jc w:val="right"/>
              <w:rPr>
                <w:rFonts w:ascii="Times New Roman" w:hAnsi="Times New Roman" w:cs="Times New Roman"/>
              </w:rPr>
            </w:pPr>
            <w:r>
              <w:rPr>
                <w:rFonts w:ascii="Times New Roman" w:hAnsi="Times New Roman" w:cs="Times New Roman"/>
              </w:rPr>
              <w:t>Report No.:</w:t>
            </w:r>
            <w:r w:rsidR="00FE325B">
              <w:rPr>
                <w:rFonts w:ascii="Times New Roman" w:hAnsi="Times New Roman" w:cs="Times New Roman"/>
              </w:rPr>
              <w:t xml:space="preserve"> 87124</w:t>
            </w:r>
            <w:bookmarkStart w:id="0" w:name="_GoBack"/>
            <w:bookmarkEnd w:id="0"/>
          </w:p>
        </w:tc>
        <w:tc>
          <w:tcPr>
            <w:tcW w:w="1404" w:type="dxa"/>
            <w:gridSpan w:val="3"/>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rPr>
            </w:pP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w:hAnsi="Times" w:cs="Times"/>
                <w:color w:val="FFFFFF"/>
                <w:sz w:val="4"/>
                <w:szCs w:val="4"/>
              </w:rPr>
            </w:pPr>
            <w:r>
              <w:rPr>
                <w:rFonts w:ascii="Times" w:hAnsi="Times" w:cs="Times"/>
                <w:color w:val="FFFFFF"/>
                <w:sz w:val="4"/>
                <w:szCs w:val="4"/>
              </w:rPr>
              <w:t>.</w:t>
            </w:r>
          </w:p>
        </w:tc>
      </w:tr>
      <w:tr w:rsidR="00A36A25" w:rsidTr="000028CA">
        <w:tc>
          <w:tcPr>
            <w:tcW w:w="2529" w:type="dxa"/>
            <w:gridSpan w:val="3"/>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New Roman" w:hAnsi="Times New Roman" w:cs="Times New Roman"/>
              </w:rPr>
            </w:pPr>
            <w:r>
              <w:rPr>
                <w:rFonts w:ascii="Times New Roman" w:hAnsi="Times New Roman" w:cs="Times New Roman"/>
                <w:b/>
                <w:bCs/>
                <w:sz w:val="22"/>
                <w:szCs w:val="22"/>
              </w:rPr>
              <w:t>Date ISDS Prepared/Updated:</w:t>
            </w:r>
          </w:p>
        </w:tc>
        <w:tc>
          <w:tcPr>
            <w:tcW w:w="6833" w:type="dxa"/>
            <w:gridSpan w:val="14"/>
            <w:tcBorders>
              <w:top w:val="nil"/>
              <w:left w:val="nil"/>
              <w:bottom w:val="nil"/>
              <w:right w:val="nil"/>
            </w:tcBorders>
            <w:shd w:val="clear" w:color="auto" w:fill="FFFFFF"/>
            <w:tcMar>
              <w:top w:w="50" w:type="dxa"/>
              <w:left w:w="50" w:type="dxa"/>
              <w:bottom w:w="50" w:type="dxa"/>
              <w:right w:w="50" w:type="dxa"/>
            </w:tcMar>
            <w:vAlign w:val="center"/>
          </w:tcPr>
          <w:p w:rsidR="00A36A25" w:rsidRDefault="00136646" w:rsidP="00642812">
            <w:pPr>
              <w:rPr>
                <w:rFonts w:ascii="Times New Roman" w:hAnsi="Times New Roman" w:cs="Times New Roman"/>
              </w:rPr>
            </w:pPr>
            <w:r>
              <w:rPr>
                <w:rFonts w:ascii="Times New Roman" w:hAnsi="Times New Roman" w:cs="Times New Roman"/>
                <w:sz w:val="22"/>
                <w:szCs w:val="22"/>
              </w:rPr>
              <w:t>2</w:t>
            </w:r>
            <w:r w:rsidR="00642812">
              <w:rPr>
                <w:rFonts w:ascii="Times New Roman" w:hAnsi="Times New Roman" w:cs="Times New Roman"/>
                <w:sz w:val="22"/>
                <w:szCs w:val="22"/>
              </w:rPr>
              <w:t>7</w:t>
            </w:r>
            <w:r w:rsidR="00447440">
              <w:rPr>
                <w:rFonts w:ascii="Times New Roman" w:hAnsi="Times New Roman" w:cs="Times New Roman"/>
                <w:sz w:val="22"/>
                <w:szCs w:val="22"/>
              </w:rPr>
              <w:t>-</w:t>
            </w:r>
            <w:r w:rsidR="001A540C">
              <w:rPr>
                <w:rFonts w:ascii="Times New Roman" w:hAnsi="Times New Roman" w:cs="Times New Roman"/>
                <w:sz w:val="22"/>
                <w:szCs w:val="22"/>
              </w:rPr>
              <w:t>March</w:t>
            </w:r>
            <w:r w:rsidR="00447440">
              <w:rPr>
                <w:rFonts w:ascii="Times New Roman" w:hAnsi="Times New Roman" w:cs="Times New Roman"/>
                <w:sz w:val="22"/>
                <w:szCs w:val="22"/>
              </w:rPr>
              <w:t>-201</w:t>
            </w:r>
            <w:r w:rsidR="00BE7451">
              <w:rPr>
                <w:rFonts w:ascii="Times New Roman" w:hAnsi="Times New Roman" w:cs="Times New Roman"/>
                <w:sz w:val="22"/>
                <w:szCs w:val="22"/>
              </w:rPr>
              <w:t>4</w:t>
            </w: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New Roman" w:hAnsi="Times New Roman" w:cs="Times New Roman"/>
              </w:rPr>
            </w:pPr>
            <w:r>
              <w:rPr>
                <w:rFonts w:ascii="Times New Roman" w:hAnsi="Times New Roman" w:cs="Times New Roman"/>
                <w:b/>
                <w:bCs/>
              </w:rPr>
              <w:t>I. BASIC INFORMATION</w:t>
            </w:r>
          </w:p>
        </w:tc>
      </w:tr>
      <w:tr w:rsidR="00A36A25"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New Roman" w:hAnsi="Times New Roman" w:cs="Times New Roman"/>
              </w:rPr>
            </w:pPr>
            <w:r>
              <w:rPr>
                <w:rFonts w:ascii="Times New Roman" w:hAnsi="Times New Roman" w:cs="Times New Roman"/>
                <w:b/>
                <w:bCs/>
              </w:rPr>
              <w:t>1. Basic Project Data</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Country:</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Mexico</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Project ID:</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P145578</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Project Name:</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3C4F26">
            <w:pPr>
              <w:rPr>
                <w:rFonts w:ascii="Times New Roman" w:hAnsi="Times New Roman" w:cs="Times New Roman"/>
              </w:rPr>
            </w:pPr>
            <w:r w:rsidRPr="00C06669">
              <w:rPr>
                <w:rFonts w:ascii="Times New Roman" w:hAnsi="Times New Roman" w:cs="Times New Roman"/>
              </w:rPr>
              <w:t>Oaxaca Water and Sanitation Sector Modernization</w:t>
            </w:r>
            <w:r>
              <w:rPr>
                <w:rFonts w:ascii="Times New Roman" w:hAnsi="Times New Roman" w:cs="Times New Roman"/>
              </w:rPr>
              <w:t xml:space="preserve"> </w:t>
            </w:r>
            <w:r w:rsidR="003C4F26">
              <w:rPr>
                <w:rFonts w:ascii="Times New Roman" w:hAnsi="Times New Roman" w:cs="Times New Roman"/>
              </w:rPr>
              <w:t>Operation</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Task Team Leader:</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 xml:space="preserve">Charles </w:t>
            </w:r>
            <w:proofErr w:type="spellStart"/>
            <w:r w:rsidRPr="00C06669">
              <w:rPr>
                <w:rFonts w:ascii="Times New Roman" w:hAnsi="Times New Roman" w:cs="Times New Roman"/>
              </w:rPr>
              <w:t>Delfieux</w:t>
            </w:r>
            <w:proofErr w:type="spellEnd"/>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Estimated Appraisal Date:</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642812" w:rsidP="00E54F37">
            <w:pPr>
              <w:rPr>
                <w:rFonts w:ascii="Times New Roman" w:hAnsi="Times New Roman" w:cs="Times New Roman"/>
              </w:rPr>
            </w:pPr>
            <w:r>
              <w:rPr>
                <w:rFonts w:ascii="Times New Roman" w:hAnsi="Times New Roman" w:cs="Times New Roman"/>
              </w:rPr>
              <w:t>March 27</w:t>
            </w:r>
            <w:r w:rsidR="00C31D54" w:rsidRPr="000E1B42">
              <w:rPr>
                <w:rFonts w:ascii="Times New Roman" w:hAnsi="Times New Roman" w:cs="Times New Roman"/>
              </w:rPr>
              <w:t>, 2014</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Estimated Board Date:</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642812" w:rsidP="00642812">
            <w:pPr>
              <w:rPr>
                <w:rFonts w:ascii="Times New Roman" w:hAnsi="Times New Roman" w:cs="Times New Roman"/>
              </w:rPr>
            </w:pPr>
            <w:r>
              <w:rPr>
                <w:rFonts w:ascii="Times New Roman" w:hAnsi="Times New Roman" w:cs="Times New Roman"/>
              </w:rPr>
              <w:t>June</w:t>
            </w:r>
            <w:r w:rsidR="00C31D54">
              <w:rPr>
                <w:rFonts w:ascii="Times New Roman" w:hAnsi="Times New Roman" w:cs="Times New Roman"/>
              </w:rPr>
              <w:t xml:space="preserve"> </w:t>
            </w:r>
            <w:r>
              <w:rPr>
                <w:rFonts w:ascii="Times New Roman" w:hAnsi="Times New Roman" w:cs="Times New Roman"/>
              </w:rPr>
              <w:t>4</w:t>
            </w:r>
            <w:r w:rsidR="00C31D54">
              <w:rPr>
                <w:rFonts w:ascii="Times New Roman" w:hAnsi="Times New Roman" w:cs="Times New Roman"/>
              </w:rPr>
              <w:t>, 2014</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Managing Unit: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LCSWS</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Lending Instrument:</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C31D54">
            <w:pPr>
              <w:rPr>
                <w:rFonts w:ascii="Times New Roman" w:hAnsi="Times New Roman" w:cs="Times New Roman"/>
              </w:rPr>
            </w:pPr>
            <w:r w:rsidRPr="00C06669">
              <w:rPr>
                <w:rFonts w:ascii="Times New Roman" w:hAnsi="Times New Roman" w:cs="Times New Roman"/>
              </w:rPr>
              <w:t xml:space="preserve">Program for Results </w:t>
            </w:r>
            <w:r w:rsidR="00C31D54">
              <w:rPr>
                <w:rFonts w:ascii="Times New Roman" w:hAnsi="Times New Roman" w:cs="Times New Roman"/>
              </w:rPr>
              <w:t xml:space="preserve">and </w:t>
            </w:r>
            <w:r w:rsidRPr="00C06669">
              <w:rPr>
                <w:rFonts w:ascii="Times New Roman" w:hAnsi="Times New Roman" w:cs="Times New Roman"/>
              </w:rPr>
              <w:t xml:space="preserve"> Investment Project Financing </w:t>
            </w:r>
            <w:r w:rsidR="00C31D54">
              <w:rPr>
                <w:rFonts w:ascii="Times New Roman" w:hAnsi="Times New Roman" w:cs="Times New Roman"/>
              </w:rPr>
              <w:t xml:space="preserve">(TA </w:t>
            </w:r>
            <w:r w:rsidRPr="00C06669">
              <w:rPr>
                <w:rFonts w:ascii="Times New Roman" w:hAnsi="Times New Roman" w:cs="Times New Roman"/>
              </w:rPr>
              <w:t>component</w:t>
            </w:r>
            <w:r w:rsidR="00C31D54">
              <w:rPr>
                <w:rFonts w:ascii="Times New Roman" w:hAnsi="Times New Roman" w:cs="Times New Roman"/>
              </w:rPr>
              <w:t>)</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Sector:</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31D54" w:rsidRPr="00C31D54" w:rsidRDefault="00C31D54" w:rsidP="00C31D54">
            <w:pPr>
              <w:rPr>
                <w:rFonts w:ascii="Times New Roman" w:hAnsi="Times New Roman" w:cs="Times New Roman"/>
              </w:rPr>
            </w:pPr>
            <w:r w:rsidRPr="00C31D54">
              <w:rPr>
                <w:rFonts w:ascii="Times New Roman" w:hAnsi="Times New Roman" w:cs="Times New Roman"/>
              </w:rPr>
              <w:t>Water Supply (65%)</w:t>
            </w:r>
          </w:p>
          <w:p w:rsidR="00C31D54" w:rsidRPr="00C31D54" w:rsidRDefault="00C31D54" w:rsidP="00C31D54">
            <w:pPr>
              <w:rPr>
                <w:rFonts w:ascii="Times New Roman" w:hAnsi="Times New Roman" w:cs="Times New Roman"/>
              </w:rPr>
            </w:pPr>
            <w:r w:rsidRPr="00C31D54">
              <w:rPr>
                <w:rFonts w:ascii="Times New Roman" w:hAnsi="Times New Roman" w:cs="Times New Roman"/>
              </w:rPr>
              <w:t>Sanitation (10%)</w:t>
            </w:r>
          </w:p>
          <w:p w:rsidR="00C31D54" w:rsidRPr="00C31D54" w:rsidRDefault="00C31D54" w:rsidP="00C31D54">
            <w:pPr>
              <w:rPr>
                <w:rFonts w:ascii="Times New Roman" w:hAnsi="Times New Roman" w:cs="Times New Roman"/>
              </w:rPr>
            </w:pPr>
            <w:r w:rsidRPr="00C31D54">
              <w:rPr>
                <w:rFonts w:ascii="Times New Roman" w:hAnsi="Times New Roman" w:cs="Times New Roman"/>
              </w:rPr>
              <w:t xml:space="preserve">Public administration-Water, Sanitation and </w:t>
            </w:r>
          </w:p>
          <w:p w:rsidR="00D440A0" w:rsidRDefault="00C31D54" w:rsidP="00C31D54">
            <w:pPr>
              <w:rPr>
                <w:rFonts w:ascii="Times New Roman" w:hAnsi="Times New Roman" w:cs="Times New Roman"/>
              </w:rPr>
            </w:pPr>
            <w:r w:rsidRPr="00C31D54">
              <w:rPr>
                <w:rFonts w:ascii="Times New Roman" w:hAnsi="Times New Roman" w:cs="Times New Roman"/>
              </w:rPr>
              <w:t>Flood Protection (25%)</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Theme:</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31D54" w:rsidRPr="00C31D54" w:rsidRDefault="00C31D54" w:rsidP="00C31D54">
            <w:pPr>
              <w:rPr>
                <w:rFonts w:ascii="Times New Roman" w:hAnsi="Times New Roman" w:cs="Times New Roman"/>
              </w:rPr>
            </w:pPr>
            <w:r w:rsidRPr="00C31D54">
              <w:rPr>
                <w:rFonts w:ascii="Times New Roman" w:hAnsi="Times New Roman" w:cs="Times New Roman"/>
              </w:rPr>
              <w:t>City-wide Infrastructure and Service Delivery</w:t>
            </w:r>
          </w:p>
          <w:p w:rsidR="00C31D54" w:rsidRPr="00C31D54" w:rsidRDefault="00C31D54" w:rsidP="00C31D54">
            <w:pPr>
              <w:rPr>
                <w:rFonts w:ascii="Times New Roman" w:hAnsi="Times New Roman" w:cs="Times New Roman"/>
              </w:rPr>
            </w:pPr>
            <w:r w:rsidRPr="00C31D54">
              <w:rPr>
                <w:rFonts w:ascii="Times New Roman" w:hAnsi="Times New Roman" w:cs="Times New Roman"/>
              </w:rPr>
              <w:t xml:space="preserve"> (60%)</w:t>
            </w:r>
          </w:p>
          <w:p w:rsidR="00C31D54" w:rsidRPr="00C31D54" w:rsidRDefault="00C31D54" w:rsidP="00C31D54">
            <w:pPr>
              <w:rPr>
                <w:rFonts w:ascii="Times New Roman" w:hAnsi="Times New Roman" w:cs="Times New Roman"/>
              </w:rPr>
            </w:pPr>
            <w:r w:rsidRPr="00C31D54">
              <w:rPr>
                <w:rFonts w:ascii="Times New Roman" w:hAnsi="Times New Roman" w:cs="Times New Roman"/>
              </w:rPr>
              <w:t>Rural Services and Infrastructure (10%)</w:t>
            </w:r>
          </w:p>
          <w:p w:rsidR="00D440A0" w:rsidRDefault="00C31D54" w:rsidP="00D440A0">
            <w:pPr>
              <w:rPr>
                <w:rFonts w:ascii="Times New Roman" w:hAnsi="Times New Roman" w:cs="Times New Roman"/>
              </w:rPr>
            </w:pPr>
            <w:r w:rsidRPr="00C31D54">
              <w:rPr>
                <w:rFonts w:ascii="Times New Roman" w:hAnsi="Times New Roman" w:cs="Times New Roman"/>
              </w:rPr>
              <w:t>Managing for development results (30%)</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Financing (in USD Million)</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C31D54">
            <w:pPr>
              <w:rPr>
                <w:rFonts w:ascii="Times New Roman" w:hAnsi="Times New Roman" w:cs="Times New Roman"/>
              </w:rPr>
            </w:pPr>
            <w:r w:rsidRPr="00C06669">
              <w:rPr>
                <w:rFonts w:ascii="Times New Roman" w:hAnsi="Times New Roman" w:cs="Times New Roman"/>
                <w:b/>
                <w:bCs/>
              </w:rPr>
              <w:t xml:space="preserve">    Financing Source (Program and </w:t>
            </w:r>
            <w:r w:rsidR="00C31D54">
              <w:rPr>
                <w:rFonts w:ascii="Times New Roman" w:hAnsi="Times New Roman" w:cs="Times New Roman"/>
                <w:b/>
                <w:bCs/>
              </w:rPr>
              <w:t xml:space="preserve">TA </w:t>
            </w:r>
            <w:r w:rsidRPr="00C06669">
              <w:rPr>
                <w:rFonts w:ascii="Times New Roman" w:hAnsi="Times New Roman" w:cs="Times New Roman"/>
                <w:b/>
                <w:bCs/>
              </w:rPr>
              <w:t>component)</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jc w:val="right"/>
              <w:rPr>
                <w:rFonts w:ascii="Times New Roman" w:hAnsi="Times New Roman" w:cs="Times New Roman"/>
              </w:rPr>
            </w:pPr>
            <w:r w:rsidRPr="00C06669">
              <w:rPr>
                <w:rFonts w:ascii="Times New Roman" w:hAnsi="Times New Roman" w:cs="Times New Roman"/>
                <w:b/>
                <w:bCs/>
              </w:rPr>
              <w:t>Amount</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0E1B42">
            <w:pPr>
              <w:rPr>
                <w:rFonts w:ascii="Times New Roman" w:hAnsi="Times New Roman" w:cs="Times New Roman"/>
              </w:rPr>
            </w:pPr>
            <w:r w:rsidRPr="00C06669">
              <w:rPr>
                <w:rFonts w:ascii="Times New Roman" w:hAnsi="Times New Roman" w:cs="Times New Roman"/>
              </w:rPr>
              <w:t xml:space="preserve">    </w:t>
            </w:r>
            <w:r w:rsidR="000E1B42">
              <w:rPr>
                <w:rFonts w:ascii="Times New Roman" w:hAnsi="Times New Roman" w:cs="Times New Roman"/>
              </w:rPr>
              <w:t>CONAGUA (APAZU)</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jc w:val="right"/>
              <w:rPr>
                <w:rFonts w:ascii="Times New Roman" w:hAnsi="Times New Roman" w:cs="Times New Roman"/>
              </w:rPr>
            </w:pPr>
            <w:r w:rsidRPr="00C06669">
              <w:rPr>
                <w:rFonts w:ascii="Times New Roman" w:hAnsi="Times New Roman" w:cs="Times New Roman"/>
              </w:rPr>
              <w:t>US$3</w:t>
            </w:r>
            <w:r w:rsidR="00C31D54">
              <w:rPr>
                <w:rFonts w:ascii="Times New Roman" w:hAnsi="Times New Roman" w:cs="Times New Roman"/>
              </w:rPr>
              <w:t>8.5</w:t>
            </w:r>
            <w:r w:rsidRPr="00C06669">
              <w:rPr>
                <w:rFonts w:ascii="Times New Roman" w:hAnsi="Times New Roman" w:cs="Times New Roman"/>
              </w:rPr>
              <w:t>M</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 xml:space="preserve">    International Bank for Reconstruction and Development</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C31D54">
            <w:pPr>
              <w:jc w:val="right"/>
              <w:rPr>
                <w:rFonts w:ascii="Times New Roman" w:hAnsi="Times New Roman" w:cs="Times New Roman"/>
              </w:rPr>
            </w:pPr>
            <w:r w:rsidRPr="00C06669">
              <w:rPr>
                <w:rFonts w:ascii="Times New Roman" w:hAnsi="Times New Roman" w:cs="Times New Roman"/>
              </w:rPr>
              <w:t>US$</w:t>
            </w:r>
            <w:r w:rsidR="00C31D54" w:rsidRPr="00C06669">
              <w:rPr>
                <w:rFonts w:ascii="Times New Roman" w:hAnsi="Times New Roman" w:cs="Times New Roman"/>
              </w:rPr>
              <w:t>5</w:t>
            </w:r>
            <w:r w:rsidR="00C31D54">
              <w:rPr>
                <w:rFonts w:ascii="Times New Roman" w:hAnsi="Times New Roman" w:cs="Times New Roman"/>
              </w:rPr>
              <w:t>5</w:t>
            </w:r>
            <w:r w:rsidR="00C31D54" w:rsidRPr="00C06669">
              <w:rPr>
                <w:rFonts w:ascii="Times New Roman" w:hAnsi="Times New Roman" w:cs="Times New Roman"/>
              </w:rPr>
              <w:t>M</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rPr>
              <w:t xml:space="preserve">    Total</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jc w:val="right"/>
              <w:rPr>
                <w:rFonts w:ascii="Times New Roman" w:hAnsi="Times New Roman" w:cs="Times New Roman"/>
              </w:rPr>
            </w:pPr>
            <w:r w:rsidRPr="00C06669">
              <w:rPr>
                <w:rFonts w:ascii="Times New Roman" w:hAnsi="Times New Roman" w:cs="Times New Roman"/>
              </w:rPr>
              <w:t>US$</w:t>
            </w:r>
            <w:r w:rsidR="00C31D54">
              <w:rPr>
                <w:rFonts w:ascii="Times New Roman" w:hAnsi="Times New Roman" w:cs="Times New Roman"/>
              </w:rPr>
              <w:t>93.5</w:t>
            </w:r>
            <w:r w:rsidRPr="00C06669">
              <w:rPr>
                <w:rFonts w:ascii="Times New Roman" w:hAnsi="Times New Roman" w:cs="Times New Roman"/>
              </w:rPr>
              <w:t>M</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Environmental Category</w:t>
            </w:r>
            <w:r w:rsidR="006C2C09">
              <w:rPr>
                <w:rFonts w:ascii="Times New Roman" w:hAnsi="Times New Roman" w:cs="Times New Roman"/>
                <w:b/>
                <w:bCs/>
              </w:rPr>
              <w:t xml:space="preserve"> (IPF</w:t>
            </w:r>
            <w:r w:rsidR="009079F5">
              <w:rPr>
                <w:rFonts w:ascii="Times New Roman" w:hAnsi="Times New Roman" w:cs="Times New Roman"/>
                <w:b/>
                <w:bCs/>
              </w:rPr>
              <w:t xml:space="preserve"> Component</w:t>
            </w:r>
            <w:r w:rsidR="006C2C09">
              <w:rPr>
                <w:rFonts w:ascii="Times New Roman" w:hAnsi="Times New Roman" w:cs="Times New Roman"/>
                <w:b/>
                <w:bCs/>
              </w:rPr>
              <w:t>)</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color w:val="auto"/>
              </w:rPr>
              <w:t>C</w:t>
            </w:r>
          </w:p>
        </w:tc>
      </w:tr>
      <w:tr w:rsidR="00D440A0"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D440A0" w:rsidP="00D440A0">
            <w:pPr>
              <w:rPr>
                <w:rFonts w:ascii="Times New Roman" w:hAnsi="Times New Roman" w:cs="Times New Roman"/>
              </w:rPr>
            </w:pPr>
            <w:r w:rsidRPr="00C06669">
              <w:rPr>
                <w:rFonts w:ascii="Times New Roman" w:hAnsi="Times New Roman" w:cs="Times New Roman"/>
                <w:b/>
                <w:bCs/>
              </w:rPr>
              <w:t>Is this a Repeater project?</w:t>
            </w:r>
          </w:p>
        </w:tc>
        <w:tc>
          <w:tcPr>
            <w:tcW w:w="655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440A0" w:rsidRDefault="00BE7451" w:rsidP="00D440A0">
            <w:pPr>
              <w:rPr>
                <w:rFonts w:ascii="Times New Roman" w:hAnsi="Times New Roman" w:cs="Times New Roman"/>
              </w:rPr>
            </w:pPr>
            <w:r>
              <w:rPr>
                <w:rFonts w:ascii="Times New Roman" w:hAnsi="Times New Roman" w:cs="Times New Roman"/>
              </w:rPr>
              <w:t>No</w:t>
            </w: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w:hAnsi="Times" w:cs="Times"/>
                <w:color w:val="FFFFFF"/>
                <w:sz w:val="4"/>
                <w:szCs w:val="4"/>
              </w:rPr>
            </w:pPr>
            <w:r>
              <w:rPr>
                <w:rFonts w:ascii="Times" w:hAnsi="Times" w:cs="Times"/>
                <w:color w:val="FFFFFF"/>
                <w:sz w:val="4"/>
                <w:szCs w:val="4"/>
              </w:rPr>
              <w:t>.</w:t>
            </w: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447440">
            <w:pPr>
              <w:rPr>
                <w:rFonts w:ascii="Times" w:hAnsi="Times" w:cs="Times"/>
                <w:color w:val="FFFFFF"/>
                <w:sz w:val="4"/>
                <w:szCs w:val="4"/>
              </w:rPr>
            </w:pPr>
            <w:r>
              <w:rPr>
                <w:rFonts w:ascii="Times" w:hAnsi="Times" w:cs="Times"/>
                <w:color w:val="FFFFFF"/>
                <w:sz w:val="4"/>
                <w:szCs w:val="4"/>
              </w:rPr>
              <w:t>.</w:t>
            </w:r>
          </w:p>
        </w:tc>
      </w:tr>
      <w:tr w:rsidR="00A36A25"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rPr>
            </w:pPr>
          </w:p>
        </w:tc>
      </w:tr>
      <w:tr w:rsidR="00A36A25" w:rsidTr="000028CA">
        <w:trPr>
          <w:trHeight w:val="2380"/>
        </w:trPr>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pPr>
              <w:rPr>
                <w:rFonts w:ascii="Times New Roman" w:hAnsi="Times New Roman" w:cs="Times New Roman"/>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9074"/>
            </w:tblGrid>
            <w:tr w:rsidR="00D440A0" w:rsidTr="000028CA">
              <w:trPr>
                <w:trHeight w:val="445"/>
              </w:trPr>
              <w:tc>
                <w:tcPr>
                  <w:tcW w:w="0" w:type="auto"/>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822418">
                  <w:pPr>
                    <w:rPr>
                      <w:rFonts w:ascii="Times New Roman" w:hAnsi="Times New Roman" w:cs="Times New Roman"/>
                    </w:rPr>
                  </w:pPr>
                  <w:r>
                    <w:rPr>
                      <w:rFonts w:ascii="Times New Roman" w:hAnsi="Times New Roman" w:cs="Times New Roman"/>
                      <w:b/>
                      <w:bCs/>
                    </w:rPr>
                    <w:t xml:space="preserve">2. Program </w:t>
                  </w:r>
                  <w:r w:rsidR="006221BD">
                    <w:rPr>
                      <w:rFonts w:ascii="Times New Roman" w:hAnsi="Times New Roman" w:cs="Times New Roman"/>
                      <w:b/>
                      <w:bCs/>
                    </w:rPr>
                    <w:t>Objective</w:t>
                  </w:r>
                  <w:r w:rsidR="00F62912">
                    <w:rPr>
                      <w:rFonts w:ascii="Times New Roman" w:hAnsi="Times New Roman" w:cs="Times New Roman"/>
                      <w:b/>
                      <w:bCs/>
                    </w:rPr>
                    <w:t xml:space="preserve"> (supported by the TA</w:t>
                  </w:r>
                  <w:r>
                    <w:rPr>
                      <w:rFonts w:ascii="Times New Roman" w:hAnsi="Times New Roman" w:cs="Times New Roman"/>
                      <w:b/>
                      <w:bCs/>
                    </w:rPr>
                    <w:t xml:space="preserve"> component)</w:t>
                  </w:r>
                </w:p>
              </w:tc>
            </w:tr>
            <w:tr w:rsidR="00D440A0" w:rsidRPr="007F628C" w:rsidTr="00E72AED">
              <w:trPr>
                <w:trHeight w:val="1363"/>
              </w:trPr>
              <w:tc>
                <w:tcPr>
                  <w:tcW w:w="0" w:type="auto"/>
                  <w:tcBorders>
                    <w:top w:val="nil"/>
                    <w:left w:val="nil"/>
                    <w:bottom w:val="nil"/>
                    <w:right w:val="nil"/>
                  </w:tcBorders>
                  <w:shd w:val="clear" w:color="auto" w:fill="FFFFFF"/>
                  <w:tcMar>
                    <w:top w:w="50" w:type="dxa"/>
                    <w:left w:w="50" w:type="dxa"/>
                    <w:bottom w:w="50" w:type="dxa"/>
                    <w:right w:w="50" w:type="dxa"/>
                  </w:tcMar>
                  <w:vAlign w:val="center"/>
                </w:tcPr>
                <w:p w:rsidR="00BE7451" w:rsidRPr="002D1031" w:rsidRDefault="005D04E5" w:rsidP="00E72AED">
                  <w:pPr>
                    <w:pStyle w:val="NoSpacing"/>
                    <w:tabs>
                      <w:tab w:val="left" w:pos="720"/>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BF612A" w:rsidRPr="002D1031">
                    <w:rPr>
                      <w:rFonts w:ascii="Times New Roman" w:hAnsi="Times New Roman" w:cs="Times New Roman"/>
                      <w:b/>
                      <w:i/>
                      <w:sz w:val="24"/>
                      <w:szCs w:val="24"/>
                    </w:rPr>
                    <w:t xml:space="preserve">Program Development Objective. </w:t>
                  </w:r>
                  <w:r w:rsidR="00E54F37" w:rsidRPr="001A540C">
                    <w:rPr>
                      <w:rFonts w:ascii="Times New Roman" w:hAnsi="Times New Roman" w:cs="Times New Roman"/>
                      <w:sz w:val="24"/>
                      <w:szCs w:val="24"/>
                    </w:rPr>
                    <w:t>The MA</w:t>
                  </w:r>
                  <w:r w:rsidR="009B058A" w:rsidRPr="001A540C">
                    <w:rPr>
                      <w:rFonts w:ascii="Times New Roman" w:hAnsi="Times New Roman" w:cs="Times New Roman"/>
                      <w:sz w:val="24"/>
                      <w:szCs w:val="24"/>
                    </w:rPr>
                    <w:t>S</w:t>
                  </w:r>
                  <w:r w:rsidR="009B058A" w:rsidRPr="001A540C">
                    <w:rPr>
                      <w:rStyle w:val="FootnoteReference"/>
                      <w:rFonts w:ascii="Times New Roman" w:hAnsi="Times New Roman" w:cs="Times New Roman"/>
                      <w:sz w:val="24"/>
                      <w:szCs w:val="24"/>
                    </w:rPr>
                    <w:footnoteReference w:id="1"/>
                  </w:r>
                  <w:r w:rsidR="009B058A" w:rsidRPr="001A540C">
                    <w:rPr>
                      <w:rFonts w:ascii="Times New Roman" w:hAnsi="Times New Roman" w:cs="Times New Roman"/>
                      <w:sz w:val="24"/>
                      <w:szCs w:val="24"/>
                    </w:rPr>
                    <w:t xml:space="preserve"> </w:t>
                  </w:r>
                  <w:r w:rsidR="00E54F37" w:rsidRPr="001A540C">
                    <w:rPr>
                      <w:rFonts w:ascii="Times New Roman" w:hAnsi="Times New Roman" w:cs="Times New Roman"/>
                      <w:sz w:val="24"/>
                      <w:szCs w:val="24"/>
                    </w:rPr>
                    <w:t>Oaxaca</w:t>
                  </w:r>
                  <w:r w:rsidR="00E54F37" w:rsidRPr="00E54F37">
                    <w:rPr>
                      <w:rFonts w:ascii="Times New Roman" w:hAnsi="Times New Roman" w:cs="Times New Roman"/>
                      <w:sz w:val="24"/>
                      <w:szCs w:val="24"/>
                    </w:rPr>
                    <w:t xml:space="preserve"> </w:t>
                  </w:r>
                  <w:r w:rsidR="001A540C">
                    <w:rPr>
                      <w:rFonts w:ascii="Times New Roman" w:hAnsi="Times New Roman" w:cs="Times New Roman"/>
                      <w:sz w:val="24"/>
                      <w:szCs w:val="24"/>
                    </w:rPr>
                    <w:t>Program</w:t>
                  </w:r>
                  <w:r w:rsidR="001A540C" w:rsidRPr="007C7E05">
                    <w:rPr>
                      <w:rFonts w:ascii="Times New Roman" w:hAnsi="Times New Roman" w:cs="Times New Roman"/>
                      <w:sz w:val="24"/>
                      <w:szCs w:val="24"/>
                    </w:rPr>
                    <w:t xml:space="preserve"> Development Objective (PDO) </w:t>
                  </w:r>
                  <w:r w:rsidR="001A540C" w:rsidRPr="003C6816">
                    <w:rPr>
                      <w:rFonts w:ascii="Times New Roman" w:hAnsi="Times New Roman" w:cs="Times New Roman"/>
                      <w:sz w:val="24"/>
                      <w:szCs w:val="24"/>
                    </w:rPr>
                    <w:t>is to</w:t>
                  </w:r>
                  <w:r w:rsidR="001A540C" w:rsidRPr="003C6816">
                    <w:rPr>
                      <w:rFonts w:ascii="Times New Roman" w:hAnsi="Times New Roman" w:cs="Times New Roman"/>
                      <w:i/>
                      <w:sz w:val="24"/>
                      <w:szCs w:val="24"/>
                    </w:rPr>
                    <w:t xml:space="preserve"> </w:t>
                  </w:r>
                  <w:r w:rsidR="001A540C" w:rsidRPr="00E26E2E">
                    <w:rPr>
                      <w:rFonts w:ascii="Times New Roman" w:hAnsi="Times New Roman" w:cs="Times New Roman"/>
                      <w:sz w:val="24"/>
                      <w:szCs w:val="24"/>
                    </w:rPr>
                    <w:t>support</w:t>
                  </w:r>
                  <w:r w:rsidR="001A540C" w:rsidRPr="003C6816">
                    <w:rPr>
                      <w:rFonts w:ascii="Times New Roman" w:hAnsi="Times New Roman" w:cs="Times New Roman"/>
                      <w:i/>
                      <w:sz w:val="24"/>
                      <w:szCs w:val="24"/>
                    </w:rPr>
                    <w:t xml:space="preserve"> the </w:t>
                  </w:r>
                  <w:r w:rsidR="00642812">
                    <w:rPr>
                      <w:rFonts w:ascii="Times New Roman" w:hAnsi="Times New Roman" w:cs="Times New Roman"/>
                      <w:i/>
                      <w:sz w:val="24"/>
                      <w:szCs w:val="24"/>
                    </w:rPr>
                    <w:t>improvement</w:t>
                  </w:r>
                  <w:r w:rsidR="001A540C" w:rsidRPr="003C6816">
                    <w:rPr>
                      <w:rFonts w:ascii="Times New Roman" w:hAnsi="Times New Roman" w:cs="Times New Roman"/>
                      <w:i/>
                      <w:sz w:val="24"/>
                      <w:szCs w:val="24"/>
                    </w:rPr>
                    <w:t xml:space="preserve"> of the institutional framework of the water supply and sanitation sector of the State of Oaxaca, and the improvement of t</w:t>
                  </w:r>
                  <w:r w:rsidR="001A540C" w:rsidRPr="003C6816">
                    <w:rPr>
                      <w:rFonts w:ascii="Times New Roman" w:hAnsi="Times New Roman" w:cs="Times New Roman"/>
                      <w:i/>
                      <w:iCs/>
                      <w:color w:val="000000"/>
                      <w:sz w:val="24"/>
                      <w:szCs w:val="24"/>
                    </w:rPr>
                    <w:t>he quality and sustainability of water supply service in selected urban areas</w:t>
                  </w:r>
                  <w:r w:rsidR="001A540C" w:rsidRPr="003C6816">
                    <w:rPr>
                      <w:rFonts w:ascii="Times New Roman" w:hAnsi="Times New Roman" w:cs="Times New Roman"/>
                      <w:i/>
                      <w:sz w:val="24"/>
                      <w:szCs w:val="24"/>
                    </w:rPr>
                    <w:t>.</w:t>
                  </w:r>
                </w:p>
              </w:tc>
            </w:tr>
          </w:tbl>
          <w:p w:rsidR="00D440A0" w:rsidRDefault="00D440A0">
            <w:pPr>
              <w:rPr>
                <w:rFonts w:ascii="Times New Roman" w:hAnsi="Times New Roman" w:cs="Times New Roman"/>
              </w:rPr>
            </w:pPr>
          </w:p>
        </w:tc>
      </w:tr>
      <w:tr w:rsidR="00D440A0" w:rsidTr="000028CA">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color w:val="auto"/>
              </w:rPr>
            </w:pPr>
          </w:p>
        </w:tc>
        <w:tc>
          <w:tcPr>
            <w:tcW w:w="9182" w:type="dxa"/>
            <w:gridSpan w:val="16"/>
            <w:tcBorders>
              <w:top w:val="nil"/>
              <w:left w:val="nil"/>
              <w:bottom w:val="nil"/>
              <w:right w:val="nil"/>
            </w:tcBorders>
            <w:shd w:val="clear" w:color="auto" w:fill="FFFFFF"/>
            <w:tcMar>
              <w:top w:w="50" w:type="dxa"/>
              <w:left w:w="50" w:type="dxa"/>
              <w:bottom w:w="50" w:type="dxa"/>
              <w:right w:w="50" w:type="dxa"/>
            </w:tcMar>
          </w:tcPr>
          <w:tbl>
            <w:tblPr>
              <w:tblW w:w="9026"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9026"/>
            </w:tblGrid>
            <w:tr w:rsidR="00D440A0" w:rsidRPr="002E50A3" w:rsidTr="000028CA">
              <w:tc>
                <w:tcPr>
                  <w:tcW w:w="9026" w:type="dxa"/>
                  <w:tcBorders>
                    <w:top w:val="nil"/>
                    <w:left w:val="nil"/>
                    <w:bottom w:val="nil"/>
                    <w:right w:val="nil"/>
                  </w:tcBorders>
                  <w:shd w:val="clear" w:color="auto" w:fill="FFFFFF"/>
                  <w:tcMar>
                    <w:top w:w="50" w:type="dxa"/>
                    <w:left w:w="50" w:type="dxa"/>
                    <w:bottom w:w="50" w:type="dxa"/>
                    <w:right w:w="50" w:type="dxa"/>
                  </w:tcMar>
                  <w:vAlign w:val="center"/>
                </w:tcPr>
                <w:p w:rsidR="00D440A0" w:rsidRDefault="00D440A0" w:rsidP="00D440A0">
                  <w:pPr>
                    <w:rPr>
                      <w:rFonts w:ascii="Times New Roman" w:hAnsi="Times New Roman" w:cs="Times New Roman"/>
                      <w:b/>
                      <w:bCs/>
                    </w:rPr>
                  </w:pPr>
                  <w:r>
                    <w:rPr>
                      <w:rFonts w:ascii="Times New Roman" w:hAnsi="Times New Roman" w:cs="Times New Roman"/>
                      <w:b/>
                      <w:bCs/>
                    </w:rPr>
                    <w:t>3</w:t>
                  </w:r>
                  <w:r w:rsidRPr="002E50A3">
                    <w:rPr>
                      <w:rFonts w:ascii="Times New Roman" w:hAnsi="Times New Roman" w:cs="Times New Roman"/>
                      <w:b/>
                      <w:bCs/>
                    </w:rPr>
                    <w:t>. Description</w:t>
                  </w:r>
                  <w:r w:rsidR="003C4F26">
                    <w:rPr>
                      <w:rFonts w:ascii="Times New Roman" w:hAnsi="Times New Roman" w:cs="Times New Roman"/>
                      <w:b/>
                      <w:bCs/>
                    </w:rPr>
                    <w:t xml:space="preserve"> of the Operation</w:t>
                  </w:r>
                </w:p>
                <w:p w:rsidR="00B76364" w:rsidRPr="002E50A3" w:rsidRDefault="00B76364" w:rsidP="00D440A0">
                  <w:pPr>
                    <w:rPr>
                      <w:rFonts w:ascii="Times New Roman" w:hAnsi="Times New Roman" w:cs="Times New Roman"/>
                    </w:rPr>
                  </w:pPr>
                </w:p>
              </w:tc>
            </w:tr>
            <w:tr w:rsidR="00D440A0" w:rsidRPr="002E50A3" w:rsidTr="00B83156">
              <w:trPr>
                <w:trHeight w:val="5764"/>
              </w:trPr>
              <w:tc>
                <w:tcPr>
                  <w:tcW w:w="9026" w:type="dxa"/>
                  <w:tcBorders>
                    <w:top w:val="nil"/>
                    <w:left w:val="nil"/>
                    <w:bottom w:val="nil"/>
                    <w:right w:val="nil"/>
                  </w:tcBorders>
                  <w:shd w:val="clear" w:color="auto" w:fill="FFFFFF"/>
                  <w:tcMar>
                    <w:top w:w="50" w:type="dxa"/>
                    <w:left w:w="50" w:type="dxa"/>
                    <w:bottom w:w="50" w:type="dxa"/>
                    <w:right w:w="50" w:type="dxa"/>
                  </w:tcMar>
                  <w:vAlign w:val="center"/>
                </w:tcPr>
                <w:p w:rsidR="008E4AB9" w:rsidRPr="00C3693C" w:rsidRDefault="008E4AB9" w:rsidP="00080593">
                  <w:pPr>
                    <w:pStyle w:val="NoSpacing"/>
                    <w:tabs>
                      <w:tab w:val="left" w:pos="990"/>
                    </w:tabs>
                    <w:jc w:val="both"/>
                    <w:rPr>
                      <w:rFonts w:ascii="Times New Roman" w:hAnsi="Times New Roman" w:cs="Times New Roman"/>
                      <w:b/>
                      <w:i/>
                      <w:sz w:val="24"/>
                      <w:szCs w:val="24"/>
                    </w:rPr>
                  </w:pPr>
                  <w:r w:rsidRPr="00C3693C">
                    <w:rPr>
                      <w:rFonts w:ascii="Times New Roman" w:hAnsi="Times New Roman" w:cs="Times New Roman"/>
                      <w:b/>
                      <w:i/>
                      <w:sz w:val="24"/>
                      <w:szCs w:val="24"/>
                    </w:rPr>
                    <w:t>Structure of the Operation</w:t>
                  </w:r>
                </w:p>
                <w:p w:rsidR="008E4AB9" w:rsidRDefault="008E4AB9" w:rsidP="00080593">
                  <w:pPr>
                    <w:pStyle w:val="NoSpacing"/>
                    <w:tabs>
                      <w:tab w:val="left" w:pos="990"/>
                    </w:tabs>
                    <w:jc w:val="both"/>
                    <w:rPr>
                      <w:rFonts w:ascii="Times New Roman" w:hAnsi="Times New Roman" w:cs="Times New Roman"/>
                      <w:sz w:val="24"/>
                      <w:szCs w:val="24"/>
                    </w:rPr>
                  </w:pPr>
                </w:p>
                <w:p w:rsidR="00B76364" w:rsidRDefault="005D04E5" w:rsidP="00C11F63">
                  <w:pPr>
                    <w:pStyle w:val="NoSpacing"/>
                    <w:tabs>
                      <w:tab w:val="left" w:pos="990"/>
                    </w:tabs>
                    <w:jc w:val="both"/>
                    <w:rPr>
                      <w:rFonts w:ascii="Times New Roman" w:hAnsi="Times New Roman" w:cs="Times New Roman"/>
                      <w:sz w:val="24"/>
                      <w:szCs w:val="24"/>
                    </w:rPr>
                  </w:pPr>
                  <w:r>
                    <w:rPr>
                      <w:rFonts w:ascii="Times New Roman" w:hAnsi="Times New Roman" w:cs="Times New Roman"/>
                      <w:sz w:val="24"/>
                      <w:szCs w:val="24"/>
                    </w:rPr>
                    <w:t xml:space="preserve">2. </w:t>
                  </w:r>
                  <w:r w:rsidR="00474AEA">
                    <w:rPr>
                      <w:rFonts w:ascii="Times New Roman" w:hAnsi="Times New Roman" w:cs="Times New Roman"/>
                      <w:sz w:val="24"/>
                      <w:szCs w:val="24"/>
                    </w:rPr>
                    <w:t>The Bank</w:t>
                  </w:r>
                  <w:r w:rsidR="001F4386">
                    <w:rPr>
                      <w:rFonts w:ascii="Times New Roman" w:hAnsi="Times New Roman" w:cs="Times New Roman"/>
                      <w:sz w:val="24"/>
                      <w:szCs w:val="24"/>
                    </w:rPr>
                    <w:t xml:space="preserve"> </w:t>
                  </w:r>
                  <w:r w:rsidR="00C3693C">
                    <w:rPr>
                      <w:rFonts w:ascii="Times New Roman" w:hAnsi="Times New Roman" w:cs="Times New Roman"/>
                      <w:sz w:val="24"/>
                      <w:szCs w:val="24"/>
                    </w:rPr>
                    <w:t>O</w:t>
                  </w:r>
                  <w:r w:rsidR="001F4386">
                    <w:rPr>
                      <w:rFonts w:ascii="Times New Roman" w:hAnsi="Times New Roman" w:cs="Times New Roman"/>
                      <w:sz w:val="24"/>
                      <w:szCs w:val="24"/>
                    </w:rPr>
                    <w:t>peration</w:t>
                  </w:r>
                  <w:r w:rsidR="00F14D36">
                    <w:rPr>
                      <w:rFonts w:ascii="Times New Roman" w:hAnsi="Times New Roman" w:cs="Times New Roman"/>
                      <w:sz w:val="24"/>
                      <w:szCs w:val="24"/>
                    </w:rPr>
                    <w:t>,</w:t>
                  </w:r>
                  <w:r w:rsidR="001F4386">
                    <w:rPr>
                      <w:rFonts w:ascii="Times New Roman" w:hAnsi="Times New Roman" w:cs="Times New Roman"/>
                      <w:sz w:val="24"/>
                      <w:szCs w:val="24"/>
                    </w:rPr>
                    <w:t xml:space="preserve"> </w:t>
                  </w:r>
                  <w:r w:rsidR="00474AEA">
                    <w:rPr>
                      <w:rFonts w:ascii="Times New Roman" w:hAnsi="Times New Roman" w:cs="Times New Roman"/>
                      <w:sz w:val="24"/>
                      <w:szCs w:val="24"/>
                    </w:rPr>
                    <w:t>called</w:t>
                  </w:r>
                  <w:r w:rsidR="00B76364" w:rsidRPr="00F62912">
                    <w:rPr>
                      <w:rFonts w:ascii="Times New Roman" w:hAnsi="Times New Roman" w:cs="Times New Roman"/>
                      <w:sz w:val="24"/>
                      <w:szCs w:val="24"/>
                    </w:rPr>
                    <w:t xml:space="preserve"> the Water Supply and Sanitation Sector Modernization </w:t>
                  </w:r>
                  <w:r w:rsidR="006D06D5">
                    <w:rPr>
                      <w:rFonts w:ascii="Times New Roman" w:hAnsi="Times New Roman" w:cs="Times New Roman"/>
                      <w:sz w:val="24"/>
                      <w:szCs w:val="24"/>
                    </w:rPr>
                    <w:t>Operation</w:t>
                  </w:r>
                  <w:r w:rsidR="00B76364" w:rsidRPr="00F62912">
                    <w:rPr>
                      <w:rFonts w:ascii="Times New Roman" w:hAnsi="Times New Roman" w:cs="Times New Roman"/>
                      <w:sz w:val="24"/>
                      <w:szCs w:val="24"/>
                    </w:rPr>
                    <w:t xml:space="preserve"> (</w:t>
                  </w:r>
                  <w:r w:rsidR="00B76364" w:rsidRPr="00F62912">
                    <w:rPr>
                      <w:rFonts w:ascii="Times New Roman" w:hAnsi="Times New Roman" w:cs="Times New Roman"/>
                      <w:i/>
                      <w:sz w:val="24"/>
                      <w:szCs w:val="24"/>
                    </w:rPr>
                    <w:t>MAS Oaxaca</w:t>
                  </w:r>
                  <w:r w:rsidR="00B76364" w:rsidRPr="00F62912">
                    <w:rPr>
                      <w:rFonts w:ascii="Times New Roman" w:hAnsi="Times New Roman" w:cs="Times New Roman"/>
                      <w:sz w:val="24"/>
                      <w:szCs w:val="24"/>
                    </w:rPr>
                    <w:t xml:space="preserve">), </w:t>
                  </w:r>
                  <w:r w:rsidR="00474AEA">
                    <w:rPr>
                      <w:rFonts w:ascii="Times New Roman" w:hAnsi="Times New Roman" w:cs="Times New Roman"/>
                      <w:sz w:val="24"/>
                      <w:szCs w:val="24"/>
                    </w:rPr>
                    <w:t xml:space="preserve">is </w:t>
                  </w:r>
                  <w:r w:rsidR="00474AEA" w:rsidRPr="00474AEA">
                    <w:rPr>
                      <w:rFonts w:ascii="Times New Roman" w:hAnsi="Times New Roman" w:cs="Times New Roman"/>
                      <w:sz w:val="24"/>
                      <w:szCs w:val="24"/>
                    </w:rPr>
                    <w:t>a hybrid operation financed through a combination of two financial instruments: Program for Results (</w:t>
                  </w:r>
                  <w:proofErr w:type="spellStart"/>
                  <w:r w:rsidR="00474AEA" w:rsidRPr="00474AEA">
                    <w:rPr>
                      <w:rFonts w:ascii="Times New Roman" w:hAnsi="Times New Roman" w:cs="Times New Roman"/>
                      <w:sz w:val="24"/>
                      <w:szCs w:val="24"/>
                    </w:rPr>
                    <w:t>PforR</w:t>
                  </w:r>
                  <w:proofErr w:type="spellEnd"/>
                  <w:r w:rsidR="00474AEA" w:rsidRPr="00474AEA">
                    <w:rPr>
                      <w:rFonts w:ascii="Times New Roman" w:hAnsi="Times New Roman" w:cs="Times New Roman"/>
                      <w:sz w:val="24"/>
                      <w:szCs w:val="24"/>
                    </w:rPr>
                    <w:t>) and Investment Project Financing (IPF)</w:t>
                  </w:r>
                  <w:r w:rsidR="00822418">
                    <w:rPr>
                      <w:rStyle w:val="FootnoteReference"/>
                      <w:rFonts w:ascii="Times New Roman" w:hAnsi="Times New Roman" w:cs="Times New Roman"/>
                      <w:sz w:val="24"/>
                      <w:szCs w:val="24"/>
                    </w:rPr>
                    <w:footnoteReference w:id="2"/>
                  </w:r>
                  <w:r w:rsidR="00474AEA" w:rsidRPr="00474AEA">
                    <w:rPr>
                      <w:rFonts w:ascii="Times New Roman" w:hAnsi="Times New Roman" w:cs="Times New Roman"/>
                      <w:sz w:val="24"/>
                      <w:szCs w:val="24"/>
                    </w:rPr>
                    <w:t>, the latter funding a Technical Assistance (TA) Component supporting the achievement of the objectives of the Program.</w:t>
                  </w:r>
                  <w:r w:rsidR="00F14D36">
                    <w:rPr>
                      <w:rFonts w:ascii="Times New Roman" w:hAnsi="Times New Roman" w:cs="Times New Roman"/>
                      <w:sz w:val="24"/>
                      <w:szCs w:val="24"/>
                    </w:rPr>
                    <w:t xml:space="preserve"> </w:t>
                  </w:r>
                  <w:r w:rsidR="00F14D36" w:rsidRPr="00F14D36">
                    <w:rPr>
                      <w:rFonts w:ascii="Times New Roman" w:hAnsi="Times New Roman" w:cs="Times New Roman"/>
                      <w:sz w:val="24"/>
                      <w:szCs w:val="24"/>
                    </w:rPr>
                    <w:t>This ISDS and definition of the environmental category apply solely to this TA component financed through the IPF instrument.</w:t>
                  </w:r>
                </w:p>
                <w:p w:rsidR="00E54F37" w:rsidRDefault="00E54F37" w:rsidP="00080593">
                  <w:pPr>
                    <w:pStyle w:val="NoSpacing"/>
                    <w:tabs>
                      <w:tab w:val="left" w:pos="990"/>
                    </w:tabs>
                    <w:jc w:val="both"/>
                    <w:rPr>
                      <w:rFonts w:ascii="Times New Roman" w:hAnsi="Times New Roman" w:cs="Times New Roman"/>
                      <w:color w:val="000000"/>
                      <w:sz w:val="24"/>
                      <w:szCs w:val="24"/>
                    </w:rPr>
                  </w:pPr>
                </w:p>
                <w:p w:rsidR="00C3693C" w:rsidRPr="00C3693C" w:rsidRDefault="00C3693C" w:rsidP="00080593">
                  <w:pPr>
                    <w:pStyle w:val="NoSpacing"/>
                    <w:tabs>
                      <w:tab w:val="left" w:pos="990"/>
                    </w:tabs>
                    <w:jc w:val="both"/>
                    <w:rPr>
                      <w:rFonts w:ascii="Times New Roman" w:hAnsi="Times New Roman" w:cs="Times New Roman"/>
                      <w:b/>
                      <w:i/>
                      <w:color w:val="000000"/>
                      <w:sz w:val="24"/>
                      <w:szCs w:val="24"/>
                    </w:rPr>
                  </w:pPr>
                  <w:r w:rsidRPr="00C3693C">
                    <w:rPr>
                      <w:rFonts w:ascii="Times New Roman" w:hAnsi="Times New Roman" w:cs="Times New Roman"/>
                      <w:b/>
                      <w:i/>
                      <w:color w:val="000000"/>
                      <w:sz w:val="24"/>
                      <w:szCs w:val="24"/>
                    </w:rPr>
                    <w:t>Description of the Program Activities</w:t>
                  </w:r>
                </w:p>
                <w:p w:rsidR="00C3693C" w:rsidRPr="00F62912" w:rsidRDefault="00C3693C" w:rsidP="00080593">
                  <w:pPr>
                    <w:pStyle w:val="NoSpacing"/>
                    <w:tabs>
                      <w:tab w:val="left" w:pos="990"/>
                    </w:tabs>
                    <w:jc w:val="both"/>
                    <w:rPr>
                      <w:rFonts w:ascii="Times New Roman" w:hAnsi="Times New Roman" w:cs="Times New Roman"/>
                      <w:color w:val="000000"/>
                      <w:sz w:val="24"/>
                      <w:szCs w:val="24"/>
                    </w:rPr>
                  </w:pPr>
                </w:p>
                <w:p w:rsidR="00BE7451" w:rsidRPr="00F62912" w:rsidRDefault="005D04E5" w:rsidP="00C11F63">
                  <w:pPr>
                    <w:pStyle w:val="NoSpacing"/>
                    <w:tabs>
                      <w:tab w:val="left" w:pos="990"/>
                    </w:tabs>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15283C">
                    <w:rPr>
                      <w:rFonts w:ascii="Times New Roman" w:hAnsi="Times New Roman" w:cs="Times New Roman"/>
                      <w:sz w:val="24"/>
                      <w:szCs w:val="24"/>
                    </w:rPr>
                    <w:t>Program activities</w:t>
                  </w:r>
                  <w:r w:rsidR="00496AA2">
                    <w:rPr>
                      <w:rStyle w:val="FootnoteReference"/>
                      <w:rFonts w:ascii="Times New Roman" w:hAnsi="Times New Roman" w:cs="Times New Roman"/>
                      <w:sz w:val="24"/>
                      <w:szCs w:val="24"/>
                    </w:rPr>
                    <w:footnoteReference w:id="3"/>
                  </w:r>
                  <w:r w:rsidR="00904ACD">
                    <w:t xml:space="preserve"> </w:t>
                  </w:r>
                  <w:r w:rsidR="0015283C">
                    <w:rPr>
                      <w:rFonts w:ascii="Times New Roman" w:hAnsi="Times New Roman" w:cs="Times New Roman"/>
                      <w:sz w:val="24"/>
                      <w:szCs w:val="24"/>
                    </w:rPr>
                    <w:t>financed t</w:t>
                  </w:r>
                  <w:r w:rsidR="00BE7451" w:rsidRPr="00F62912">
                    <w:rPr>
                      <w:rFonts w:ascii="Times New Roman" w:hAnsi="Times New Roman" w:cs="Times New Roman"/>
                      <w:sz w:val="24"/>
                      <w:szCs w:val="24"/>
                    </w:rPr>
                    <w:t xml:space="preserve">hrough the </w:t>
                  </w:r>
                  <w:proofErr w:type="spellStart"/>
                  <w:r w:rsidR="00BE7451" w:rsidRPr="00F62912">
                    <w:rPr>
                      <w:rFonts w:ascii="Times New Roman" w:hAnsi="Times New Roman" w:cs="Times New Roman"/>
                      <w:sz w:val="24"/>
                      <w:szCs w:val="24"/>
                    </w:rPr>
                    <w:t>PforR</w:t>
                  </w:r>
                  <w:proofErr w:type="spellEnd"/>
                  <w:r w:rsidR="00BE7451" w:rsidRPr="00F62912">
                    <w:rPr>
                      <w:rFonts w:ascii="Times New Roman" w:hAnsi="Times New Roman" w:cs="Times New Roman"/>
                      <w:sz w:val="24"/>
                      <w:szCs w:val="24"/>
                    </w:rPr>
                    <w:t xml:space="preserve"> instrument </w:t>
                  </w:r>
                  <w:r w:rsidR="0015283C">
                    <w:rPr>
                      <w:rFonts w:ascii="Times New Roman" w:hAnsi="Times New Roman" w:cs="Times New Roman"/>
                      <w:sz w:val="24"/>
                      <w:szCs w:val="24"/>
                    </w:rPr>
                    <w:t>include</w:t>
                  </w:r>
                  <w:r w:rsidR="00BE7451" w:rsidRPr="00F62912">
                    <w:rPr>
                      <w:rFonts w:ascii="Times New Roman" w:hAnsi="Times New Roman" w:cs="Times New Roman"/>
                      <w:sz w:val="24"/>
                      <w:szCs w:val="24"/>
                    </w:rPr>
                    <w:t xml:space="preserve"> an integrated set of institutional reforms, institutional strengthening activities and investments in participating institutions to achieve t</w:t>
                  </w:r>
                  <w:r w:rsidR="007C3E06">
                    <w:rPr>
                      <w:rFonts w:ascii="Times New Roman" w:hAnsi="Times New Roman" w:cs="Times New Roman"/>
                      <w:sz w:val="24"/>
                      <w:szCs w:val="24"/>
                    </w:rPr>
                    <w:t>he Program’s objectives</w:t>
                  </w:r>
                  <w:r w:rsidR="00037DA7">
                    <w:rPr>
                      <w:rFonts w:ascii="Times New Roman" w:hAnsi="Times New Roman" w:cs="Times New Roman"/>
                      <w:sz w:val="24"/>
                      <w:szCs w:val="24"/>
                    </w:rPr>
                    <w:t xml:space="preserve">, </w:t>
                  </w:r>
                  <w:r w:rsidR="00340B4E">
                    <w:rPr>
                      <w:rFonts w:ascii="Times New Roman" w:hAnsi="Times New Roman" w:cs="Times New Roman"/>
                      <w:sz w:val="24"/>
                      <w:szCs w:val="24"/>
                    </w:rPr>
                    <w:t>which</w:t>
                  </w:r>
                  <w:r w:rsidR="00037DA7">
                    <w:rPr>
                      <w:rFonts w:ascii="Times New Roman" w:hAnsi="Times New Roman" w:cs="Times New Roman"/>
                      <w:sz w:val="24"/>
                      <w:szCs w:val="24"/>
                    </w:rPr>
                    <w:t xml:space="preserve"> have been </w:t>
                  </w:r>
                  <w:r w:rsidR="00BE7451" w:rsidRPr="00F62912">
                    <w:rPr>
                      <w:rFonts w:ascii="Times New Roman" w:hAnsi="Times New Roman" w:cs="Times New Roman"/>
                      <w:sz w:val="24"/>
                      <w:szCs w:val="24"/>
                    </w:rPr>
                    <w:t xml:space="preserve">structured in four Results Areas. </w:t>
                  </w:r>
                </w:p>
                <w:p w:rsidR="00BE7451" w:rsidRPr="00F62912" w:rsidRDefault="00BE7451" w:rsidP="00BE7451">
                  <w:pPr>
                    <w:pStyle w:val="NoSpacing"/>
                    <w:tabs>
                      <w:tab w:val="left" w:pos="990"/>
                    </w:tabs>
                    <w:ind w:left="360"/>
                    <w:jc w:val="both"/>
                    <w:rPr>
                      <w:rFonts w:ascii="Times New Roman" w:hAnsi="Times New Roman" w:cs="Times New Roman"/>
                      <w:sz w:val="24"/>
                      <w:szCs w:val="24"/>
                    </w:rPr>
                  </w:pPr>
                </w:p>
                <w:p w:rsidR="00BE7451" w:rsidRPr="00F62912" w:rsidRDefault="00BE7451" w:rsidP="00BE7451">
                  <w:pPr>
                    <w:pStyle w:val="NoSpacing"/>
                    <w:numPr>
                      <w:ilvl w:val="0"/>
                      <w:numId w:val="8"/>
                    </w:numPr>
                    <w:tabs>
                      <w:tab w:val="left" w:pos="1080"/>
                    </w:tabs>
                    <w:jc w:val="both"/>
                    <w:rPr>
                      <w:rFonts w:ascii="Times New Roman" w:hAnsi="Times New Roman" w:cs="Times New Roman"/>
                      <w:i/>
                      <w:sz w:val="24"/>
                      <w:szCs w:val="24"/>
                    </w:rPr>
                  </w:pPr>
                  <w:r w:rsidRPr="00F62912">
                    <w:rPr>
                      <w:rFonts w:ascii="Times New Roman" w:hAnsi="Times New Roman" w:cs="Times New Roman"/>
                      <w:i/>
                      <w:sz w:val="24"/>
                      <w:szCs w:val="24"/>
                    </w:rPr>
                    <w:t>Result Area 1: Modernizatio</w:t>
                  </w:r>
                  <w:r w:rsidR="004C1889" w:rsidRPr="00F62912">
                    <w:rPr>
                      <w:rFonts w:ascii="Times New Roman" w:hAnsi="Times New Roman" w:cs="Times New Roman"/>
                      <w:i/>
                      <w:sz w:val="24"/>
                      <w:szCs w:val="24"/>
                    </w:rPr>
                    <w:t>n of the</w:t>
                  </w:r>
                  <w:r w:rsidRPr="00F62912">
                    <w:rPr>
                      <w:rFonts w:ascii="Times New Roman" w:hAnsi="Times New Roman" w:cs="Times New Roman"/>
                      <w:i/>
                      <w:sz w:val="24"/>
                      <w:szCs w:val="24"/>
                    </w:rPr>
                    <w:t xml:space="preserve"> legal and </w:t>
                  </w:r>
                  <w:r w:rsidR="00AE7E62">
                    <w:rPr>
                      <w:rFonts w:ascii="Times New Roman" w:hAnsi="Times New Roman" w:cs="Times New Roman"/>
                      <w:i/>
                      <w:sz w:val="24"/>
                      <w:szCs w:val="24"/>
                    </w:rPr>
                    <w:t>regulatory</w:t>
                  </w:r>
                  <w:r w:rsidRPr="00F62912">
                    <w:rPr>
                      <w:rFonts w:ascii="Times New Roman" w:hAnsi="Times New Roman" w:cs="Times New Roman"/>
                      <w:i/>
                      <w:sz w:val="24"/>
                      <w:szCs w:val="24"/>
                    </w:rPr>
                    <w:t xml:space="preserve"> framework</w:t>
                  </w:r>
                  <w:r w:rsidR="004C1889" w:rsidRPr="00F62912">
                    <w:rPr>
                      <w:rFonts w:ascii="Times New Roman" w:hAnsi="Times New Roman" w:cs="Times New Roman"/>
                      <w:i/>
                      <w:sz w:val="24"/>
                      <w:szCs w:val="24"/>
                    </w:rPr>
                    <w:t xml:space="preserve"> of the WSS sector in the State</w:t>
                  </w:r>
                </w:p>
                <w:p w:rsidR="00BE7451" w:rsidRPr="00F62912" w:rsidRDefault="00BE7451" w:rsidP="00BE7451">
                  <w:pPr>
                    <w:pStyle w:val="NoSpacing"/>
                    <w:tabs>
                      <w:tab w:val="left" w:pos="1080"/>
                    </w:tabs>
                    <w:ind w:left="360"/>
                    <w:jc w:val="both"/>
                    <w:rPr>
                      <w:rFonts w:ascii="Times New Roman" w:hAnsi="Times New Roman" w:cs="Times New Roman"/>
                      <w:sz w:val="24"/>
                      <w:szCs w:val="24"/>
                    </w:rPr>
                  </w:pPr>
                </w:p>
                <w:p w:rsidR="00136646" w:rsidRDefault="005D04E5" w:rsidP="00C11F63">
                  <w:pPr>
                    <w:pStyle w:val="NoSpacing"/>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4. </w:t>
                  </w:r>
                  <w:r w:rsidR="00136646" w:rsidRPr="00147212">
                    <w:rPr>
                      <w:rFonts w:ascii="Times New Roman" w:hAnsi="Times New Roman" w:cs="Times New Roman"/>
                      <w:sz w:val="24"/>
                      <w:szCs w:val="24"/>
                    </w:rPr>
                    <w:t xml:space="preserve">The Program activities will consist of preparing revised versions of key legal and regulation tools of the WSS sector’s legal and </w:t>
                  </w:r>
                  <w:r w:rsidR="00B24E8A">
                    <w:rPr>
                      <w:rFonts w:ascii="Times New Roman" w:hAnsi="Times New Roman" w:cs="Times New Roman"/>
                      <w:sz w:val="24"/>
                      <w:szCs w:val="24"/>
                    </w:rPr>
                    <w:t>regulatory framework</w:t>
                  </w:r>
                  <w:r w:rsidR="00136646" w:rsidRPr="00147212">
                    <w:rPr>
                      <w:rFonts w:ascii="Times New Roman" w:hAnsi="Times New Roman" w:cs="Times New Roman"/>
                      <w:sz w:val="24"/>
                      <w:szCs w:val="24"/>
                    </w:rPr>
                    <w:t xml:space="preserve"> in order to align them with </w:t>
                  </w:r>
                  <w:proofErr w:type="spellStart"/>
                  <w:r w:rsidR="00136646" w:rsidRPr="00147212">
                    <w:rPr>
                      <w:rFonts w:ascii="Times New Roman" w:hAnsi="Times New Roman" w:cs="Times New Roman"/>
                      <w:sz w:val="24"/>
                      <w:szCs w:val="24"/>
                    </w:rPr>
                    <w:t>GoO’s</w:t>
                  </w:r>
                  <w:proofErr w:type="spellEnd"/>
                  <w:r w:rsidR="00136646" w:rsidRPr="00147212">
                    <w:rPr>
                      <w:rFonts w:ascii="Times New Roman" w:hAnsi="Times New Roman" w:cs="Times New Roman"/>
                      <w:sz w:val="24"/>
                      <w:szCs w:val="24"/>
                    </w:rPr>
                    <w:t xml:space="preserve"> vision to modernize the sector, including:</w:t>
                  </w:r>
                  <w:r w:rsidR="00136646">
                    <w:rPr>
                      <w:rFonts w:ascii="Times New Roman" w:hAnsi="Times New Roman" w:cs="Times New Roman"/>
                      <w:sz w:val="24"/>
                      <w:szCs w:val="24"/>
                    </w:rPr>
                    <w:t xml:space="preserve"> </w:t>
                  </w:r>
                  <w:r w:rsidR="00642812" w:rsidRPr="009E4A2C">
                    <w:rPr>
                      <w:rFonts w:ascii="Times New Roman" w:hAnsi="Times New Roman" w:cs="Times New Roman"/>
                      <w:sz w:val="24"/>
                      <w:szCs w:val="24"/>
                    </w:rPr>
                    <w:t>(a) a WSS sector law</w:t>
                  </w:r>
                  <w:r w:rsidR="00642812" w:rsidRPr="009E4A2C">
                    <w:rPr>
                      <w:rStyle w:val="FootnoteReference"/>
                      <w:rFonts w:ascii="Times New Roman" w:hAnsi="Times New Roman" w:cs="Times New Roman"/>
                      <w:sz w:val="24"/>
                      <w:szCs w:val="24"/>
                    </w:rPr>
                    <w:footnoteReference w:id="4"/>
                  </w:r>
                  <w:r w:rsidR="00642812" w:rsidRPr="009E4A2C">
                    <w:rPr>
                      <w:rFonts w:ascii="Times New Roman" w:hAnsi="Times New Roman" w:cs="Times New Roman"/>
                      <w:sz w:val="24"/>
                      <w:szCs w:val="24"/>
                    </w:rPr>
                    <w:t xml:space="preserve"> and related regulations; (b) standard regulations for municipal or inter-municipal WSS service provision; (c) the SAPAO law; and (d) the CEA and SAPAO organizational manuals and internal regulations. The </w:t>
                  </w:r>
                  <w:r w:rsidR="00642812" w:rsidRPr="009E4A2C">
                    <w:rPr>
                      <w:rFonts w:ascii="Times New Roman" w:hAnsi="Times New Roman" w:cs="Times New Roman"/>
                      <w:sz w:val="24"/>
                      <w:szCs w:val="24"/>
                    </w:rPr>
                    <w:lastRenderedPageBreak/>
                    <w:t xml:space="preserve">revision of the State WSS sector law </w:t>
                  </w:r>
                  <w:r w:rsidR="00642812">
                    <w:rPr>
                      <w:rFonts w:ascii="Times New Roman" w:hAnsi="Times New Roman" w:cs="Times New Roman"/>
                      <w:sz w:val="24"/>
                      <w:szCs w:val="24"/>
                    </w:rPr>
                    <w:t xml:space="preserve">and its subsequent legal and regulatory tools aims at embodying the modernization of the institutional framework into the State’s legal framework.  The activities under this Result Area 1 as well as the possible approval of the law by the State Congress are however not a pre-requisite for the achievement of </w:t>
                  </w:r>
                  <w:r w:rsidR="002869B4">
                    <w:rPr>
                      <w:rFonts w:ascii="Times New Roman" w:hAnsi="Times New Roman" w:cs="Times New Roman"/>
                      <w:sz w:val="24"/>
                      <w:szCs w:val="24"/>
                    </w:rPr>
                    <w:t xml:space="preserve">the </w:t>
                  </w:r>
                  <w:r w:rsidR="00642812">
                    <w:rPr>
                      <w:rFonts w:ascii="Times New Roman" w:hAnsi="Times New Roman" w:cs="Times New Roman"/>
                      <w:sz w:val="24"/>
                      <w:szCs w:val="24"/>
                    </w:rPr>
                    <w:t>objectives under the other Results Areas</w:t>
                  </w:r>
                  <w:r w:rsidR="00136646" w:rsidRPr="00147212">
                    <w:rPr>
                      <w:rFonts w:ascii="Times New Roman" w:hAnsi="Times New Roman" w:cs="Times New Roman"/>
                      <w:sz w:val="24"/>
                      <w:szCs w:val="24"/>
                    </w:rPr>
                    <w:t>.</w:t>
                  </w:r>
                  <w:r w:rsidR="00136646">
                    <w:rPr>
                      <w:rFonts w:ascii="Times New Roman" w:hAnsi="Times New Roman" w:cs="Times New Roman"/>
                      <w:sz w:val="24"/>
                      <w:szCs w:val="24"/>
                    </w:rPr>
                    <w:t xml:space="preserve"> </w:t>
                  </w:r>
                </w:p>
                <w:p w:rsidR="004C1889" w:rsidRPr="00F62912" w:rsidRDefault="004C1889" w:rsidP="004C1889">
                  <w:pPr>
                    <w:pStyle w:val="NoSpacing"/>
                    <w:tabs>
                      <w:tab w:val="left" w:pos="1080"/>
                    </w:tabs>
                    <w:ind w:left="360"/>
                    <w:jc w:val="both"/>
                    <w:rPr>
                      <w:rFonts w:ascii="Times New Roman" w:hAnsi="Times New Roman" w:cs="Times New Roman"/>
                      <w:i/>
                      <w:sz w:val="24"/>
                      <w:szCs w:val="24"/>
                    </w:rPr>
                  </w:pPr>
                </w:p>
                <w:p w:rsidR="004C1889" w:rsidRPr="00F62912" w:rsidRDefault="004C1889" w:rsidP="004C1889">
                  <w:pPr>
                    <w:pStyle w:val="NoSpacing"/>
                    <w:numPr>
                      <w:ilvl w:val="0"/>
                      <w:numId w:val="8"/>
                    </w:numPr>
                    <w:tabs>
                      <w:tab w:val="left" w:pos="1080"/>
                    </w:tabs>
                    <w:jc w:val="both"/>
                    <w:rPr>
                      <w:rFonts w:ascii="Times New Roman" w:hAnsi="Times New Roman" w:cs="Times New Roman"/>
                      <w:i/>
                      <w:sz w:val="24"/>
                      <w:szCs w:val="24"/>
                    </w:rPr>
                  </w:pPr>
                  <w:r w:rsidRPr="00F62912">
                    <w:rPr>
                      <w:rFonts w:ascii="Times New Roman" w:hAnsi="Times New Roman" w:cs="Times New Roman"/>
                      <w:i/>
                      <w:sz w:val="24"/>
                      <w:szCs w:val="24"/>
                    </w:rPr>
                    <w:t xml:space="preserve">Result Area 2: Improvement of water services in Oaxaca Metropolitan Area </w:t>
                  </w:r>
                </w:p>
                <w:p w:rsidR="004C1889" w:rsidRPr="00F62912" w:rsidRDefault="004C1889" w:rsidP="004C1889">
                  <w:pPr>
                    <w:pStyle w:val="NoSpacing"/>
                    <w:tabs>
                      <w:tab w:val="left" w:pos="1080"/>
                    </w:tabs>
                    <w:jc w:val="both"/>
                    <w:rPr>
                      <w:rFonts w:ascii="Times New Roman" w:hAnsi="Times New Roman" w:cs="Times New Roman"/>
                      <w:i/>
                      <w:sz w:val="24"/>
                      <w:szCs w:val="24"/>
                    </w:rPr>
                  </w:pPr>
                </w:p>
                <w:p w:rsidR="00CD3767" w:rsidRPr="003550C0" w:rsidRDefault="005D04E5" w:rsidP="00C11F63">
                  <w:pPr>
                    <w:pStyle w:val="NoSpacing"/>
                    <w:tabs>
                      <w:tab w:val="left" w:pos="1080"/>
                    </w:tabs>
                    <w:jc w:val="both"/>
                    <w:rPr>
                      <w:rFonts w:ascii="Times New Roman" w:hAnsi="Times New Roman" w:cs="Times New Roman"/>
                      <w:i/>
                      <w:sz w:val="24"/>
                      <w:szCs w:val="24"/>
                    </w:rPr>
                  </w:pPr>
                  <w:r>
                    <w:rPr>
                      <w:rFonts w:ascii="Times New Roman" w:hAnsi="Times New Roman" w:cs="Times New Roman"/>
                      <w:sz w:val="24"/>
                      <w:szCs w:val="24"/>
                    </w:rPr>
                    <w:t xml:space="preserve">5. </w:t>
                  </w:r>
                  <w:r w:rsidR="00CD3767" w:rsidRPr="00147212">
                    <w:rPr>
                      <w:rFonts w:ascii="Times New Roman" w:hAnsi="Times New Roman" w:cs="Times New Roman"/>
                      <w:sz w:val="24"/>
                      <w:szCs w:val="24"/>
                    </w:rPr>
                    <w:t xml:space="preserve">The Program activities financed through CONAGUA’s APAZU program will aim at improving the quality and efficiency of water supply service in a selected service area of the Oaxaca </w:t>
                  </w:r>
                  <w:r w:rsidR="00CD3767" w:rsidRPr="003550C0">
                    <w:rPr>
                      <w:rFonts w:ascii="Times New Roman" w:hAnsi="Times New Roman" w:cs="Times New Roman"/>
                      <w:sz w:val="24"/>
                      <w:szCs w:val="24"/>
                    </w:rPr>
                    <w:t xml:space="preserve">Metropolitan Area’s water utility (SAPAO) – namely the </w:t>
                  </w:r>
                  <w:r w:rsidR="00E72AED">
                    <w:rPr>
                      <w:rFonts w:ascii="Times New Roman" w:hAnsi="Times New Roman" w:cs="Times New Roman"/>
                      <w:sz w:val="24"/>
                      <w:szCs w:val="24"/>
                    </w:rPr>
                    <w:t xml:space="preserve">San Juan </w:t>
                  </w:r>
                  <w:r w:rsidR="00CD3767" w:rsidRPr="003550C0">
                    <w:rPr>
                      <w:rFonts w:ascii="Times New Roman" w:hAnsi="Times New Roman" w:cs="Times New Roman"/>
                      <w:sz w:val="24"/>
                      <w:szCs w:val="24"/>
                    </w:rPr>
                    <w:t xml:space="preserve">Chapultepec Sector which represents 20 percent of SAPAO’s total number of connections, serving 50,000 people, through: </w:t>
                  </w:r>
                  <w:r w:rsidR="00642812" w:rsidRPr="008A7EA3">
                    <w:rPr>
                      <w:rFonts w:ascii="Times New Roman" w:hAnsi="Times New Roman" w:cs="Times New Roman"/>
                      <w:sz w:val="24"/>
                      <w:szCs w:val="24"/>
                    </w:rPr>
                    <w:t xml:space="preserve">(a) the rehabilitation of the boreholes supplying the sector; (b) the construction of interconnection between the boreholes and water treatment facility; (c) the construction of interconnection with main distribution lines; (d) the construction of </w:t>
                  </w:r>
                  <w:r w:rsidR="002869B4">
                    <w:rPr>
                      <w:rFonts w:ascii="Times New Roman" w:hAnsi="Times New Roman" w:cs="Times New Roman"/>
                      <w:sz w:val="24"/>
                      <w:szCs w:val="24"/>
                    </w:rPr>
                    <w:t xml:space="preserve">a </w:t>
                  </w:r>
                  <w:r w:rsidR="00642812" w:rsidRPr="008A7EA3">
                    <w:rPr>
                      <w:rFonts w:ascii="Times New Roman" w:hAnsi="Times New Roman" w:cs="Times New Roman"/>
                      <w:sz w:val="24"/>
                      <w:szCs w:val="24"/>
                    </w:rPr>
                    <w:t xml:space="preserve">water treatment facility; (e) the construction of a pumping station; (f) the construction of </w:t>
                  </w:r>
                  <w:r w:rsidR="002869B4">
                    <w:rPr>
                      <w:rFonts w:ascii="Times New Roman" w:hAnsi="Times New Roman" w:cs="Times New Roman"/>
                      <w:sz w:val="24"/>
                      <w:szCs w:val="24"/>
                    </w:rPr>
                    <w:t xml:space="preserve">a </w:t>
                  </w:r>
                  <w:r w:rsidR="00642812" w:rsidRPr="008A7EA3">
                    <w:rPr>
                      <w:rFonts w:ascii="Times New Roman" w:hAnsi="Times New Roman" w:cs="Times New Roman"/>
                      <w:sz w:val="24"/>
                      <w:szCs w:val="24"/>
                    </w:rPr>
                    <w:t xml:space="preserve">transmission line from the pumping station to storage tanks; (g) the rehabilitation and construction of storage tanks; (h) the rehabilitation, hydraulic optimization and </w:t>
                  </w:r>
                  <w:proofErr w:type="spellStart"/>
                  <w:r w:rsidR="00642812" w:rsidRPr="008A7EA3">
                    <w:rPr>
                      <w:rFonts w:ascii="Times New Roman" w:hAnsi="Times New Roman" w:cs="Times New Roman"/>
                      <w:sz w:val="24"/>
                      <w:szCs w:val="24"/>
                    </w:rPr>
                    <w:t>sectorization</w:t>
                  </w:r>
                  <w:proofErr w:type="spellEnd"/>
                  <w:r w:rsidR="00642812" w:rsidRPr="008A7EA3">
                    <w:rPr>
                      <w:rFonts w:ascii="Times New Roman" w:hAnsi="Times New Roman" w:cs="Times New Roman"/>
                      <w:sz w:val="24"/>
                      <w:szCs w:val="24"/>
                    </w:rPr>
                    <w:t xml:space="preserve"> of the water distribution network; (</w:t>
                  </w:r>
                  <w:proofErr w:type="spellStart"/>
                  <w:r w:rsidR="00642812" w:rsidRPr="008A7EA3">
                    <w:rPr>
                      <w:rFonts w:ascii="Times New Roman" w:hAnsi="Times New Roman" w:cs="Times New Roman"/>
                      <w:sz w:val="24"/>
                      <w:szCs w:val="24"/>
                    </w:rPr>
                    <w:t>i</w:t>
                  </w:r>
                  <w:proofErr w:type="spellEnd"/>
                  <w:r w:rsidR="00642812" w:rsidRPr="008A7EA3">
                    <w:rPr>
                      <w:rFonts w:ascii="Times New Roman" w:hAnsi="Times New Roman" w:cs="Times New Roman"/>
                      <w:sz w:val="24"/>
                      <w:szCs w:val="24"/>
                    </w:rPr>
                    <w:t>) the rehabilitation of water connections and the installation of micro-metering; (j) the installation of macro-metering and pressure gauges; (k) the update of the network mapping and commercial system; and (l) the carrying out of WSS studies, preparation of bidding documents and works supervision</w:t>
                  </w:r>
                  <w:r w:rsidR="00CF2015">
                    <w:rPr>
                      <w:rFonts w:ascii="Times New Roman" w:hAnsi="Times New Roman" w:cs="Times New Roman"/>
                      <w:sz w:val="24"/>
                      <w:szCs w:val="24"/>
                    </w:rPr>
                    <w:t>.</w:t>
                  </w:r>
                </w:p>
                <w:p w:rsidR="004C1889" w:rsidRPr="00F62912" w:rsidRDefault="004C1889" w:rsidP="00DF2991">
                  <w:pPr>
                    <w:pStyle w:val="NoSpacing"/>
                    <w:tabs>
                      <w:tab w:val="left" w:pos="1080"/>
                    </w:tabs>
                    <w:jc w:val="both"/>
                    <w:rPr>
                      <w:rFonts w:ascii="Times New Roman" w:hAnsi="Times New Roman" w:cs="Times New Roman"/>
                      <w:sz w:val="24"/>
                      <w:szCs w:val="24"/>
                    </w:rPr>
                  </w:pPr>
                </w:p>
                <w:p w:rsidR="004C1889" w:rsidRPr="00F62912" w:rsidRDefault="004C1889" w:rsidP="004C1889">
                  <w:pPr>
                    <w:pStyle w:val="NoSpacing"/>
                    <w:numPr>
                      <w:ilvl w:val="0"/>
                      <w:numId w:val="9"/>
                    </w:numPr>
                    <w:tabs>
                      <w:tab w:val="left" w:pos="1080"/>
                    </w:tabs>
                    <w:jc w:val="both"/>
                    <w:rPr>
                      <w:rFonts w:ascii="Times New Roman" w:hAnsi="Times New Roman" w:cs="Times New Roman"/>
                      <w:i/>
                      <w:sz w:val="24"/>
                      <w:szCs w:val="24"/>
                    </w:rPr>
                  </w:pPr>
                  <w:r w:rsidRPr="00F62912">
                    <w:rPr>
                      <w:rFonts w:ascii="Times New Roman" w:hAnsi="Times New Roman" w:cs="Times New Roman"/>
                      <w:i/>
                      <w:sz w:val="24"/>
                      <w:szCs w:val="24"/>
                    </w:rPr>
                    <w:t>Result Area 3: Improvement of water services in secondary towns</w:t>
                  </w:r>
                </w:p>
                <w:p w:rsidR="004C1889" w:rsidRPr="00F62912" w:rsidRDefault="004C1889" w:rsidP="004C1889">
                  <w:pPr>
                    <w:pStyle w:val="NoSpacing"/>
                    <w:tabs>
                      <w:tab w:val="left" w:pos="1080"/>
                    </w:tabs>
                    <w:ind w:left="720"/>
                    <w:jc w:val="both"/>
                    <w:rPr>
                      <w:rFonts w:ascii="Times New Roman" w:hAnsi="Times New Roman" w:cs="Times New Roman"/>
                      <w:i/>
                      <w:sz w:val="24"/>
                      <w:szCs w:val="24"/>
                    </w:rPr>
                  </w:pPr>
                </w:p>
                <w:p w:rsidR="00BC276E" w:rsidRPr="00BC276E" w:rsidRDefault="005D04E5" w:rsidP="00C11F63">
                  <w:pPr>
                    <w:pStyle w:val="NoSpacing"/>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6. </w:t>
                  </w:r>
                  <w:r w:rsidR="00CD3767" w:rsidRPr="00147212">
                    <w:rPr>
                      <w:rFonts w:ascii="Times New Roman" w:hAnsi="Times New Roman" w:cs="Times New Roman"/>
                      <w:sz w:val="24"/>
                      <w:szCs w:val="24"/>
                    </w:rPr>
                    <w:t xml:space="preserve">The Program activities financed through CONAGUA’s APAZU program will aim at improving the quality of water services and the financial sustainability of the </w:t>
                  </w:r>
                  <w:r w:rsidR="00CD3767">
                    <w:rPr>
                      <w:rFonts w:ascii="Times New Roman" w:hAnsi="Times New Roman" w:cs="Times New Roman"/>
                      <w:sz w:val="24"/>
                      <w:szCs w:val="24"/>
                    </w:rPr>
                    <w:t>water utilities</w:t>
                  </w:r>
                  <w:r w:rsidR="00CD3767" w:rsidRPr="00147212">
                    <w:rPr>
                      <w:rFonts w:ascii="Times New Roman" w:hAnsi="Times New Roman" w:cs="Times New Roman"/>
                      <w:sz w:val="24"/>
                      <w:szCs w:val="24"/>
                    </w:rPr>
                    <w:t xml:space="preserve"> operating in 18 selected secondary towns</w:t>
                  </w:r>
                  <w:r w:rsidR="00CD3767" w:rsidRPr="00147212">
                    <w:rPr>
                      <w:rStyle w:val="FootnoteReference"/>
                      <w:rFonts w:ascii="Times New Roman" w:hAnsi="Times New Roman" w:cs="Times New Roman"/>
                      <w:sz w:val="24"/>
                      <w:szCs w:val="24"/>
                    </w:rPr>
                    <w:footnoteReference w:id="5"/>
                  </w:r>
                  <w:r w:rsidR="00CD3767" w:rsidRPr="00147212">
                    <w:rPr>
                      <w:rFonts w:ascii="Times New Roman" w:hAnsi="Times New Roman" w:cs="Times New Roman"/>
                      <w:sz w:val="24"/>
                      <w:szCs w:val="24"/>
                    </w:rPr>
                    <w:t xml:space="preserve">, located outside of the Oaxaca Metropolitan Area.  The selected secondary towns </w:t>
                  </w:r>
                  <w:r w:rsidR="002869B4">
                    <w:rPr>
                      <w:rFonts w:ascii="Times New Roman" w:hAnsi="Times New Roman" w:cs="Times New Roman"/>
                      <w:sz w:val="24"/>
                      <w:szCs w:val="24"/>
                    </w:rPr>
                    <w:t>comprise</w:t>
                  </w:r>
                  <w:r w:rsidR="00CD3767" w:rsidRPr="00147212">
                    <w:rPr>
                      <w:rFonts w:ascii="Times New Roman" w:hAnsi="Times New Roman" w:cs="Times New Roman"/>
                      <w:sz w:val="24"/>
                      <w:szCs w:val="24"/>
                    </w:rPr>
                    <w:t xml:space="preserve"> those with a population above 15,000 habitants and/or where CEA currently operates the systems.  The participating </w:t>
                  </w:r>
                  <w:r w:rsidR="00CD3767">
                    <w:rPr>
                      <w:rFonts w:ascii="Times New Roman" w:hAnsi="Times New Roman" w:cs="Times New Roman"/>
                      <w:sz w:val="24"/>
                      <w:szCs w:val="24"/>
                    </w:rPr>
                    <w:t>water utilities</w:t>
                  </w:r>
                  <w:r w:rsidR="00CD3767" w:rsidRPr="00147212">
                    <w:rPr>
                      <w:rFonts w:ascii="Times New Roman" w:hAnsi="Times New Roman" w:cs="Times New Roman"/>
                      <w:sz w:val="24"/>
                      <w:szCs w:val="24"/>
                    </w:rPr>
                    <w:t xml:space="preserve"> account for about 50 percent of the total State urban population outside of the Oaxaca Metropolitan Area</w:t>
                  </w:r>
                  <w:r w:rsidR="00CD3767">
                    <w:rPr>
                      <w:rFonts w:ascii="Times New Roman" w:hAnsi="Times New Roman" w:cs="Times New Roman"/>
                      <w:sz w:val="24"/>
                      <w:szCs w:val="24"/>
                    </w:rPr>
                    <w:t xml:space="preserve">, </w:t>
                  </w:r>
                  <w:r w:rsidR="002869B4">
                    <w:rPr>
                      <w:rFonts w:ascii="Times New Roman" w:hAnsi="Times New Roman" w:cs="Times New Roman"/>
                      <w:sz w:val="24"/>
                      <w:szCs w:val="24"/>
                    </w:rPr>
                    <w:t xml:space="preserve">with an </w:t>
                  </w:r>
                  <w:proofErr w:type="gramStart"/>
                  <w:r w:rsidR="002869B4">
                    <w:rPr>
                      <w:rFonts w:ascii="Times New Roman" w:hAnsi="Times New Roman" w:cs="Times New Roman"/>
                      <w:sz w:val="24"/>
                      <w:szCs w:val="24"/>
                    </w:rPr>
                    <w:t xml:space="preserve">estimated </w:t>
                  </w:r>
                  <w:r w:rsidR="00CD3767">
                    <w:rPr>
                      <w:rFonts w:ascii="Times New Roman" w:hAnsi="Times New Roman" w:cs="Times New Roman"/>
                      <w:sz w:val="24"/>
                      <w:szCs w:val="24"/>
                    </w:rPr>
                    <w:t xml:space="preserve"> </w:t>
                  </w:r>
                  <w:r w:rsidR="00CD3767" w:rsidRPr="009C2845">
                    <w:rPr>
                      <w:rFonts w:ascii="Times New Roman" w:hAnsi="Times New Roman" w:cs="Times New Roman"/>
                      <w:sz w:val="24"/>
                      <w:szCs w:val="24"/>
                    </w:rPr>
                    <w:t>600,000</w:t>
                  </w:r>
                  <w:proofErr w:type="gramEnd"/>
                  <w:r w:rsidR="00CD3767" w:rsidRPr="009C2845">
                    <w:rPr>
                      <w:rFonts w:ascii="Times New Roman" w:hAnsi="Times New Roman" w:cs="Times New Roman"/>
                      <w:sz w:val="24"/>
                      <w:szCs w:val="24"/>
                    </w:rPr>
                    <w:t xml:space="preserve"> beneficiaries.  Planning of the activities financed in each town will be based on available diagnostics and master plans and will be strengthened through the TA Component.  Activities will be geared to the local conditions and needs, and could include the following: </w:t>
                  </w:r>
                  <w:r w:rsidR="00CF2015" w:rsidRPr="009E4A2C">
                    <w:rPr>
                      <w:rFonts w:ascii="Times New Roman" w:hAnsi="Times New Roman" w:cs="Times New Roman"/>
                      <w:sz w:val="24"/>
                      <w:szCs w:val="24"/>
                    </w:rPr>
                    <w:t xml:space="preserve">(a) the rehabilitation and extension of production, storage and pumping systems; (b) the rehabilitation, hydraulic optimization and </w:t>
                  </w:r>
                  <w:proofErr w:type="spellStart"/>
                  <w:r w:rsidR="00CF2015" w:rsidRPr="009E4A2C">
                    <w:rPr>
                      <w:rFonts w:ascii="Times New Roman" w:hAnsi="Times New Roman" w:cs="Times New Roman"/>
                      <w:sz w:val="24"/>
                      <w:szCs w:val="24"/>
                    </w:rPr>
                    <w:t>sectorization</w:t>
                  </w:r>
                  <w:proofErr w:type="spellEnd"/>
                  <w:r w:rsidR="00CF2015" w:rsidRPr="009E4A2C">
                    <w:rPr>
                      <w:rFonts w:ascii="Times New Roman" w:hAnsi="Times New Roman" w:cs="Times New Roman"/>
                      <w:sz w:val="24"/>
                      <w:szCs w:val="24"/>
                    </w:rPr>
                    <w:t xml:space="preserve"> of the water network; (c) the rehabilitation of water connections; (d) the installation of macro and micro metering and pressure gauges; (e) the update of the network mapping and commercial systems; (f) the improvement of accounting systems; and (h) the carrying out of WSS studies, preparation of bidding documents and works supervision.</w:t>
                  </w:r>
                  <w:r w:rsidR="00CF2015">
                    <w:rPr>
                      <w:rFonts w:ascii="Times New Roman" w:hAnsi="Times New Roman" w:cs="Times New Roman"/>
                      <w:sz w:val="24"/>
                      <w:szCs w:val="24"/>
                    </w:rPr>
                    <w:t xml:space="preserve"> </w:t>
                  </w:r>
                  <w:r w:rsidR="00CF2015" w:rsidRPr="009C2845">
                    <w:rPr>
                      <w:rFonts w:ascii="Times New Roman" w:hAnsi="Times New Roman" w:cs="Times New Roman"/>
                      <w:sz w:val="24"/>
                      <w:szCs w:val="24"/>
                    </w:rPr>
                    <w:t xml:space="preserve">CEA will grant access to financial support to the </w:t>
                  </w:r>
                  <w:r w:rsidR="00CF2015">
                    <w:rPr>
                      <w:rFonts w:ascii="Times New Roman" w:hAnsi="Times New Roman" w:cs="Times New Roman"/>
                      <w:sz w:val="24"/>
                      <w:szCs w:val="24"/>
                    </w:rPr>
                    <w:t>selected</w:t>
                  </w:r>
                  <w:r w:rsidR="00CF2015" w:rsidRPr="009C2845">
                    <w:rPr>
                      <w:rFonts w:ascii="Times New Roman" w:hAnsi="Times New Roman" w:cs="Times New Roman"/>
                      <w:sz w:val="24"/>
                      <w:szCs w:val="24"/>
                    </w:rPr>
                    <w:t xml:space="preserve"> water utilities subject to meeting certain conditions and results, as specified in a Results Agreement that will be signed with CEA</w:t>
                  </w:r>
                  <w:r w:rsidR="00CD3767" w:rsidRPr="009C2845">
                    <w:rPr>
                      <w:rFonts w:ascii="Times New Roman" w:hAnsi="Times New Roman" w:cs="Times New Roman"/>
                      <w:sz w:val="24"/>
                      <w:szCs w:val="24"/>
                    </w:rPr>
                    <w:t>.</w:t>
                  </w:r>
                </w:p>
                <w:p w:rsidR="004C1889" w:rsidRPr="00F62912" w:rsidRDefault="004C1889" w:rsidP="004C1889">
                  <w:pPr>
                    <w:pStyle w:val="NoSpacing"/>
                    <w:numPr>
                      <w:ilvl w:val="0"/>
                      <w:numId w:val="10"/>
                    </w:numPr>
                    <w:tabs>
                      <w:tab w:val="left" w:pos="1080"/>
                    </w:tabs>
                    <w:jc w:val="both"/>
                    <w:rPr>
                      <w:rFonts w:ascii="Times New Roman" w:hAnsi="Times New Roman" w:cs="Times New Roman"/>
                      <w:i/>
                      <w:sz w:val="24"/>
                      <w:szCs w:val="24"/>
                    </w:rPr>
                  </w:pPr>
                  <w:r w:rsidRPr="00F62912">
                    <w:rPr>
                      <w:rFonts w:ascii="Times New Roman" w:hAnsi="Times New Roman" w:cs="Times New Roman"/>
                      <w:i/>
                      <w:sz w:val="24"/>
                      <w:szCs w:val="24"/>
                    </w:rPr>
                    <w:lastRenderedPageBreak/>
                    <w:t>Result Area 4: Improvement of information in rural areas</w:t>
                  </w:r>
                </w:p>
                <w:p w:rsidR="004C1889" w:rsidRPr="00F62912" w:rsidRDefault="004C1889" w:rsidP="004C1889">
                  <w:pPr>
                    <w:pStyle w:val="NoSpacing"/>
                    <w:tabs>
                      <w:tab w:val="left" w:pos="1080"/>
                    </w:tabs>
                    <w:ind w:left="360"/>
                    <w:jc w:val="both"/>
                    <w:rPr>
                      <w:rFonts w:ascii="Times New Roman" w:hAnsi="Times New Roman" w:cs="Times New Roman"/>
                      <w:i/>
                      <w:sz w:val="24"/>
                      <w:szCs w:val="24"/>
                    </w:rPr>
                  </w:pPr>
                </w:p>
                <w:p w:rsidR="00C11F63" w:rsidRPr="00C11F63" w:rsidRDefault="005D04E5" w:rsidP="00C11F63">
                  <w:pPr>
                    <w:pStyle w:val="NoSpacing"/>
                    <w:tabs>
                      <w:tab w:val="left" w:pos="1080"/>
                    </w:tabs>
                    <w:jc w:val="both"/>
                    <w:rPr>
                      <w:rFonts w:ascii="Times New Roman" w:hAnsi="Times New Roman" w:cs="Times New Roman"/>
                      <w:i/>
                      <w:sz w:val="24"/>
                      <w:szCs w:val="24"/>
                    </w:rPr>
                  </w:pPr>
                  <w:r>
                    <w:rPr>
                      <w:rFonts w:ascii="Times New Roman" w:hAnsi="Times New Roman" w:cs="Times New Roman"/>
                      <w:sz w:val="24"/>
                      <w:szCs w:val="24"/>
                    </w:rPr>
                    <w:t xml:space="preserve">7. </w:t>
                  </w:r>
                  <w:r w:rsidR="00EE0AE7" w:rsidRPr="00147212">
                    <w:rPr>
                      <w:rFonts w:ascii="Times New Roman" w:hAnsi="Times New Roman" w:cs="Times New Roman"/>
                      <w:sz w:val="24"/>
                      <w:szCs w:val="24"/>
                    </w:rPr>
                    <w:t xml:space="preserve">The Program activities will consist of establishing an information system designed to capture the status and sustainability of rural WSS services in the 1,130 localities with populations between 500 and 2,500 inhabitants throughout the State, through: </w:t>
                  </w:r>
                  <w:r w:rsidR="00CF2015" w:rsidRPr="00875A9D">
                    <w:rPr>
                      <w:rFonts w:ascii="Times New Roman" w:hAnsi="Times New Roman" w:cs="Times New Roman"/>
                      <w:sz w:val="24"/>
                      <w:szCs w:val="24"/>
                    </w:rPr>
                    <w:t xml:space="preserve">(a) the provision of information technology infrastructure and equipment and carrying out of training in the use of </w:t>
                  </w:r>
                  <w:r w:rsidR="002869B4">
                    <w:rPr>
                      <w:rFonts w:ascii="Times New Roman" w:hAnsi="Times New Roman" w:cs="Times New Roman"/>
                      <w:sz w:val="24"/>
                      <w:szCs w:val="24"/>
                    </w:rPr>
                    <w:t xml:space="preserve">the </w:t>
                  </w:r>
                  <w:r w:rsidR="00CF2015" w:rsidRPr="00875A9D">
                    <w:rPr>
                      <w:rFonts w:ascii="Times New Roman" w:hAnsi="Times New Roman" w:cs="Times New Roman"/>
                      <w:sz w:val="24"/>
                      <w:szCs w:val="24"/>
                    </w:rPr>
                    <w:t>said information technology’s systems; and (b) the carrying out of data survey activities.</w:t>
                  </w:r>
                </w:p>
                <w:p w:rsidR="001F4386" w:rsidRDefault="001F4386" w:rsidP="00F14D36">
                  <w:pPr>
                    <w:pStyle w:val="NoSpacing"/>
                    <w:tabs>
                      <w:tab w:val="left" w:pos="450"/>
                      <w:tab w:val="left" w:pos="990"/>
                    </w:tabs>
                    <w:autoSpaceDE w:val="0"/>
                    <w:autoSpaceDN w:val="0"/>
                    <w:adjustRightInd w:val="0"/>
                    <w:jc w:val="both"/>
                    <w:rPr>
                      <w:rFonts w:ascii="Times New Roman" w:hAnsi="Times New Roman" w:cs="Times New Roman"/>
                      <w:sz w:val="24"/>
                      <w:szCs w:val="24"/>
                    </w:rPr>
                  </w:pPr>
                </w:p>
                <w:p w:rsidR="00A94336" w:rsidRPr="00A94336" w:rsidRDefault="00A94336" w:rsidP="00F14D36">
                  <w:pPr>
                    <w:pStyle w:val="NoSpacing"/>
                    <w:tabs>
                      <w:tab w:val="left" w:pos="450"/>
                      <w:tab w:val="left" w:pos="990"/>
                    </w:tabs>
                    <w:autoSpaceDE w:val="0"/>
                    <w:autoSpaceDN w:val="0"/>
                    <w:adjustRightInd w:val="0"/>
                    <w:jc w:val="both"/>
                    <w:rPr>
                      <w:rFonts w:ascii="Times New Roman" w:hAnsi="Times New Roman" w:cs="Times New Roman"/>
                      <w:b/>
                      <w:i/>
                      <w:sz w:val="24"/>
                      <w:szCs w:val="24"/>
                    </w:rPr>
                  </w:pPr>
                  <w:r w:rsidRPr="00A94336">
                    <w:rPr>
                      <w:rFonts w:ascii="Times New Roman" w:hAnsi="Times New Roman" w:cs="Times New Roman"/>
                      <w:b/>
                      <w:i/>
                      <w:sz w:val="24"/>
                      <w:szCs w:val="24"/>
                    </w:rPr>
                    <w:t>Description of the TA Component Activities</w:t>
                  </w:r>
                  <w:r>
                    <w:rPr>
                      <w:rFonts w:ascii="Times New Roman" w:hAnsi="Times New Roman" w:cs="Times New Roman"/>
                      <w:b/>
                      <w:i/>
                      <w:sz w:val="24"/>
                      <w:szCs w:val="24"/>
                    </w:rPr>
                    <w:t xml:space="preserve"> (to which the safeguard policies</w:t>
                  </w:r>
                  <w:r w:rsidR="004751A9">
                    <w:rPr>
                      <w:rFonts w:ascii="Times New Roman" w:hAnsi="Times New Roman" w:cs="Times New Roman"/>
                      <w:b/>
                      <w:i/>
                      <w:sz w:val="24"/>
                      <w:szCs w:val="24"/>
                    </w:rPr>
                    <w:t xml:space="preserve"> apply</w:t>
                  </w:r>
                  <w:r>
                    <w:rPr>
                      <w:rFonts w:ascii="Times New Roman" w:hAnsi="Times New Roman" w:cs="Times New Roman"/>
                      <w:b/>
                      <w:i/>
                      <w:sz w:val="24"/>
                      <w:szCs w:val="24"/>
                    </w:rPr>
                    <w:t>)</w:t>
                  </w:r>
                </w:p>
                <w:p w:rsidR="00A94336" w:rsidRDefault="00A94336" w:rsidP="00F14D36">
                  <w:pPr>
                    <w:pStyle w:val="NoSpacing"/>
                    <w:tabs>
                      <w:tab w:val="left" w:pos="450"/>
                      <w:tab w:val="left" w:pos="990"/>
                    </w:tabs>
                    <w:autoSpaceDE w:val="0"/>
                    <w:autoSpaceDN w:val="0"/>
                    <w:adjustRightInd w:val="0"/>
                    <w:jc w:val="both"/>
                    <w:rPr>
                      <w:rFonts w:ascii="Times New Roman" w:hAnsi="Times New Roman" w:cs="Times New Roman"/>
                      <w:sz w:val="24"/>
                      <w:szCs w:val="24"/>
                    </w:rPr>
                  </w:pPr>
                </w:p>
                <w:p w:rsidR="001A0D49" w:rsidRPr="00F62912" w:rsidRDefault="005D04E5" w:rsidP="008F059B">
                  <w:pPr>
                    <w:jc w:val="both"/>
                  </w:pPr>
                  <w:r>
                    <w:rPr>
                      <w:rFonts w:ascii="Times New Roman" w:hAnsi="Times New Roman" w:cs="Times New Roman"/>
                      <w:color w:val="auto"/>
                    </w:rPr>
                    <w:t xml:space="preserve">8. </w:t>
                  </w:r>
                  <w:r w:rsidR="006D730F" w:rsidRPr="005D04E5">
                    <w:rPr>
                      <w:rFonts w:ascii="Times New Roman" w:hAnsi="Times New Roman" w:cs="Times New Roman"/>
                      <w:color w:val="auto"/>
                    </w:rPr>
                    <w:t>A</w:t>
                  </w:r>
                  <w:r w:rsidR="001F4386" w:rsidRPr="005D04E5">
                    <w:rPr>
                      <w:rFonts w:ascii="Times New Roman" w:hAnsi="Times New Roman" w:cs="Times New Roman"/>
                      <w:color w:val="auto"/>
                    </w:rPr>
                    <w:t xml:space="preserve">ctivities </w:t>
                  </w:r>
                  <w:r w:rsidR="006D730F" w:rsidRPr="005D04E5">
                    <w:rPr>
                      <w:rFonts w:ascii="Times New Roman" w:hAnsi="Times New Roman" w:cs="Times New Roman"/>
                      <w:color w:val="auto"/>
                    </w:rPr>
                    <w:t>financed through the TA Component</w:t>
                  </w:r>
                  <w:r w:rsidR="003D5B2F" w:rsidRPr="005D04E5">
                    <w:rPr>
                      <w:rFonts w:ascii="Times New Roman" w:hAnsi="Times New Roman" w:cs="Times New Roman"/>
                      <w:color w:val="auto"/>
                    </w:rPr>
                    <w:t>, following IPF policies,</w:t>
                  </w:r>
                  <w:r w:rsidR="006D730F" w:rsidRPr="005D04E5">
                    <w:rPr>
                      <w:rFonts w:ascii="Times New Roman" w:hAnsi="Times New Roman" w:cs="Times New Roman"/>
                      <w:color w:val="auto"/>
                    </w:rPr>
                    <w:t xml:space="preserve"> will support</w:t>
                  </w:r>
                  <w:r w:rsidR="001F4386" w:rsidRPr="005D04E5">
                    <w:rPr>
                      <w:rFonts w:ascii="Times New Roman" w:hAnsi="Times New Roman" w:cs="Times New Roman"/>
                      <w:color w:val="auto"/>
                    </w:rPr>
                    <w:t xml:space="preserve"> the achievement of</w:t>
                  </w:r>
                  <w:r w:rsidR="002B224E" w:rsidRPr="005D04E5">
                    <w:rPr>
                      <w:rFonts w:ascii="Times New Roman" w:hAnsi="Times New Roman" w:cs="Times New Roman"/>
                      <w:color w:val="auto"/>
                    </w:rPr>
                    <w:t xml:space="preserve"> the Program’s</w:t>
                  </w:r>
                  <w:r w:rsidR="001F4386" w:rsidRPr="005D04E5">
                    <w:rPr>
                      <w:rFonts w:ascii="Times New Roman" w:hAnsi="Times New Roman" w:cs="Times New Roman"/>
                      <w:color w:val="auto"/>
                    </w:rPr>
                    <w:t xml:space="preserve"> objectives.  </w:t>
                  </w:r>
                  <w:r w:rsidR="003D5B2F" w:rsidRPr="005D04E5">
                    <w:rPr>
                      <w:rFonts w:ascii="Times New Roman" w:hAnsi="Times New Roman" w:cs="Times New Roman"/>
                      <w:color w:val="auto"/>
                    </w:rPr>
                    <w:t xml:space="preserve">World Bank environmental and social </w:t>
                  </w:r>
                  <w:r w:rsidR="00882CE0" w:rsidRPr="005D04E5">
                    <w:rPr>
                      <w:rFonts w:ascii="Times New Roman" w:hAnsi="Times New Roman" w:cs="Times New Roman"/>
                      <w:color w:val="auto"/>
                    </w:rPr>
                    <w:t xml:space="preserve">policies </w:t>
                  </w:r>
                  <w:r w:rsidR="003D5B2F" w:rsidRPr="005D04E5">
                    <w:rPr>
                      <w:rFonts w:ascii="Times New Roman" w:hAnsi="Times New Roman" w:cs="Times New Roman"/>
                      <w:color w:val="auto"/>
                    </w:rPr>
                    <w:t xml:space="preserve">as described in section 5 below will apply </w:t>
                  </w:r>
                  <w:r w:rsidR="00F4341D" w:rsidRPr="005D04E5">
                    <w:rPr>
                      <w:rFonts w:ascii="Times New Roman" w:hAnsi="Times New Roman" w:cs="Times New Roman"/>
                      <w:color w:val="auto"/>
                    </w:rPr>
                    <w:t>solely to this C</w:t>
                  </w:r>
                  <w:r w:rsidR="003D5B2F" w:rsidRPr="005D04E5">
                    <w:rPr>
                      <w:rFonts w:ascii="Times New Roman" w:hAnsi="Times New Roman" w:cs="Times New Roman"/>
                      <w:color w:val="auto"/>
                    </w:rPr>
                    <w:t xml:space="preserve">omponent.  </w:t>
                  </w:r>
                  <w:r w:rsidR="00EE0AE7" w:rsidRPr="005D04E5">
                    <w:rPr>
                      <w:rFonts w:ascii="Times New Roman" w:hAnsi="Times New Roman" w:cs="Times New Roman"/>
                      <w:color w:val="auto"/>
                    </w:rPr>
                    <w:t xml:space="preserve">These activities </w:t>
                  </w:r>
                  <w:r w:rsidR="00A24050" w:rsidRPr="005D04E5">
                    <w:rPr>
                      <w:rFonts w:ascii="Times New Roman" w:hAnsi="Times New Roman" w:cs="Times New Roman"/>
                      <w:color w:val="auto"/>
                    </w:rPr>
                    <w:t>consist of strategic support for services improvement and sector studies critical to improve Program performance and to increase the likelihood of achieving its objectives: (</w:t>
                  </w:r>
                  <w:proofErr w:type="spellStart"/>
                  <w:r w:rsidR="00A24050" w:rsidRPr="005D04E5">
                    <w:rPr>
                      <w:rFonts w:ascii="Times New Roman" w:hAnsi="Times New Roman" w:cs="Times New Roman"/>
                      <w:color w:val="auto"/>
                    </w:rPr>
                    <w:t>i</w:t>
                  </w:r>
                  <w:proofErr w:type="spellEnd"/>
                  <w:r w:rsidR="00A24050" w:rsidRPr="005D04E5">
                    <w:rPr>
                      <w:rFonts w:ascii="Times New Roman" w:hAnsi="Times New Roman" w:cs="Times New Roman"/>
                      <w:color w:val="auto"/>
                    </w:rPr>
                    <w:t>) Multi-annual strategic TA to CEA, SAPAO and selected water utilities in secondary towns through the contracting of a professional operator/consultancy firm to improve the planning of activities, to review the quality of bidding documents</w:t>
                  </w:r>
                  <w:r w:rsidR="00A24050" w:rsidRPr="0088468A">
                    <w:rPr>
                      <w:rFonts w:ascii="Times New Roman" w:hAnsi="Times New Roman" w:cs="Times New Roman"/>
                      <w:color w:val="auto"/>
                    </w:rPr>
                    <w:t xml:space="preserve">, and to improve the operational, commercial, social and environmental management of the operation of the water systems; and (ii) WSS sector studies designed to underpin the modernization of the sector institutional framework, including: (a) the preparation of a Rural and an Urban Water Supply and Sanitation Strategy for the long-term development and organization of the sector, including a diagnosis of the rural WSS sector in Oaxaca, the definition of optimal institutional arrangements for promoting sustainable rural WSS provision in the State, the review of current approaches to urban sanitation and wastewater management in the State, the definition of optimal institutional, technological and financial arrangements for sustainable urban sanitation; (b) the undertaking of a </w:t>
                  </w:r>
                  <w:r w:rsidR="0088468A">
                    <w:rPr>
                      <w:rFonts w:ascii="Times New Roman" w:hAnsi="Times New Roman" w:cs="Times New Roman"/>
                      <w:color w:val="auto"/>
                    </w:rPr>
                    <w:t xml:space="preserve">new </w:t>
                  </w:r>
                  <w:r w:rsidR="00A24050" w:rsidRPr="0088468A">
                    <w:rPr>
                      <w:rFonts w:ascii="Times New Roman" w:hAnsi="Times New Roman" w:cs="Times New Roman"/>
                      <w:color w:val="auto"/>
                    </w:rPr>
                    <w:t>Public Expenditure Review of the Oaxaca WSS Sector to inform the aforementioned strategies; and (c) the design of pilot approaches to provide sustainable rural WSS implementation and support services. (iii) The TA Component activities will also finance activities pertaining specifically to the management of the Operation, including the financing of: (a) the Independent Verification Agent of the Program’s Results; (b) the Operation’s financial audit; (c) the hiring of MAS Oaxaca Operation Coordinators; and (d) the carrying out of training and TA to strengthen fiduciary systems</w:t>
                  </w:r>
                  <w:r w:rsidR="009F7BEA" w:rsidRPr="0088468A">
                    <w:rPr>
                      <w:rFonts w:ascii="Times New Roman" w:hAnsi="Times New Roman" w:cs="Times New Roman"/>
                      <w:color w:val="auto"/>
                    </w:rPr>
                    <w:t>.</w:t>
                  </w:r>
                </w:p>
              </w:tc>
            </w:tr>
            <w:tr w:rsidR="00D440A0" w:rsidRPr="002E50A3" w:rsidTr="00FD00AB">
              <w:trPr>
                <w:trHeight w:val="1345"/>
              </w:trPr>
              <w:tc>
                <w:tcPr>
                  <w:tcW w:w="9026" w:type="dxa"/>
                  <w:tcBorders>
                    <w:top w:val="nil"/>
                    <w:left w:val="nil"/>
                    <w:bottom w:val="nil"/>
                    <w:right w:val="nil"/>
                  </w:tcBorders>
                  <w:shd w:val="clear" w:color="auto" w:fill="FFFFFF"/>
                  <w:tcMar>
                    <w:top w:w="50" w:type="dxa"/>
                    <w:left w:w="50" w:type="dxa"/>
                    <w:bottom w:w="50" w:type="dxa"/>
                    <w:right w:w="50" w:type="dxa"/>
                  </w:tcMar>
                  <w:vAlign w:val="center"/>
                </w:tcPr>
                <w:p w:rsidR="00D440A0" w:rsidRPr="00F62912" w:rsidRDefault="00D440A0" w:rsidP="00D440A0">
                  <w:pPr>
                    <w:rPr>
                      <w:rFonts w:ascii="Times New Roman" w:hAnsi="Times New Roman" w:cs="Times New Roman"/>
                      <w:b/>
                      <w:bCs/>
                    </w:rPr>
                  </w:pPr>
                  <w:r w:rsidRPr="00F62912">
                    <w:rPr>
                      <w:rFonts w:ascii="Times New Roman" w:hAnsi="Times New Roman" w:cs="Times New Roman"/>
                      <w:b/>
                      <w:bCs/>
                    </w:rPr>
                    <w:lastRenderedPageBreak/>
                    <w:t xml:space="preserve">4. Location and salient physical characteristics of the </w:t>
                  </w:r>
                  <w:r w:rsidR="00C31D54" w:rsidRPr="00F62912">
                    <w:rPr>
                      <w:rFonts w:ascii="Times New Roman" w:hAnsi="Times New Roman" w:cs="Times New Roman"/>
                      <w:b/>
                      <w:bCs/>
                    </w:rPr>
                    <w:t xml:space="preserve">TA </w:t>
                  </w:r>
                  <w:r w:rsidR="00134E34">
                    <w:rPr>
                      <w:rFonts w:ascii="Times New Roman" w:hAnsi="Times New Roman" w:cs="Times New Roman"/>
                      <w:b/>
                      <w:bCs/>
                    </w:rPr>
                    <w:t xml:space="preserve">component activities </w:t>
                  </w:r>
                  <w:r w:rsidRPr="00F62912">
                    <w:rPr>
                      <w:rFonts w:ascii="Times New Roman" w:hAnsi="Times New Roman" w:cs="Times New Roman"/>
                      <w:b/>
                      <w:bCs/>
                    </w:rPr>
                    <w:t>relevant to the safeguard analysis (if known)</w:t>
                  </w:r>
                </w:p>
                <w:p w:rsidR="00B10EFE" w:rsidRPr="00F62912" w:rsidRDefault="00B10EFE" w:rsidP="00B10EFE">
                  <w:pPr>
                    <w:pStyle w:val="NoSpacing"/>
                    <w:tabs>
                      <w:tab w:val="left" w:pos="450"/>
                      <w:tab w:val="left" w:pos="990"/>
                    </w:tabs>
                    <w:autoSpaceDE w:val="0"/>
                    <w:autoSpaceDN w:val="0"/>
                    <w:adjustRightInd w:val="0"/>
                    <w:ind w:left="360"/>
                    <w:jc w:val="both"/>
                    <w:rPr>
                      <w:color w:val="000000"/>
                      <w:sz w:val="24"/>
                      <w:szCs w:val="24"/>
                    </w:rPr>
                  </w:pPr>
                </w:p>
                <w:p w:rsidR="00E37FB3" w:rsidRPr="00F62912" w:rsidRDefault="005D04E5" w:rsidP="00B10EFE">
                  <w:pPr>
                    <w:pStyle w:val="NoSpacing"/>
                    <w:tabs>
                      <w:tab w:val="left" w:pos="450"/>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00D440A0" w:rsidRPr="00F62912">
                    <w:rPr>
                      <w:rFonts w:ascii="Times New Roman" w:hAnsi="Times New Roman" w:cs="Times New Roman"/>
                      <w:color w:val="000000"/>
                      <w:sz w:val="24"/>
                      <w:szCs w:val="24"/>
                    </w:rPr>
                    <w:t xml:space="preserve">The </w:t>
                  </w:r>
                  <w:r w:rsidR="00C31D54" w:rsidRPr="00F62912">
                    <w:rPr>
                      <w:rFonts w:ascii="Times New Roman" w:hAnsi="Times New Roman" w:cs="Times New Roman"/>
                      <w:color w:val="000000"/>
                      <w:sz w:val="24"/>
                      <w:szCs w:val="24"/>
                    </w:rPr>
                    <w:t xml:space="preserve">TA </w:t>
                  </w:r>
                  <w:r w:rsidR="00521DF5" w:rsidRPr="00F62912">
                    <w:rPr>
                      <w:rFonts w:ascii="Times New Roman" w:hAnsi="Times New Roman" w:cs="Times New Roman"/>
                      <w:sz w:val="24"/>
                      <w:szCs w:val="24"/>
                    </w:rPr>
                    <w:t xml:space="preserve">Component is financing activities </w:t>
                  </w:r>
                  <w:r w:rsidR="00964C7F" w:rsidRPr="00F62912">
                    <w:rPr>
                      <w:rFonts w:ascii="Times New Roman" w:hAnsi="Times New Roman" w:cs="Times New Roman"/>
                      <w:sz w:val="24"/>
                      <w:szCs w:val="24"/>
                    </w:rPr>
                    <w:t>that support the Program performance and thus the TA to SAPAO and CEA</w:t>
                  </w:r>
                  <w:r w:rsidR="00EB4073" w:rsidRPr="00F62912">
                    <w:rPr>
                      <w:rFonts w:ascii="Times New Roman" w:hAnsi="Times New Roman" w:cs="Times New Roman"/>
                      <w:sz w:val="24"/>
                      <w:szCs w:val="24"/>
                    </w:rPr>
                    <w:t xml:space="preserve">, as well as the activities of the Independent Verification Agent </w:t>
                  </w:r>
                  <w:r w:rsidR="002869B4">
                    <w:rPr>
                      <w:rFonts w:ascii="Times New Roman" w:hAnsi="Times New Roman" w:cs="Times New Roman"/>
                      <w:sz w:val="24"/>
                      <w:szCs w:val="24"/>
                    </w:rPr>
                    <w:t xml:space="preserve">and </w:t>
                  </w:r>
                  <w:r w:rsidR="00EB4073" w:rsidRPr="00F62912">
                    <w:rPr>
                      <w:rFonts w:ascii="Times New Roman" w:hAnsi="Times New Roman" w:cs="Times New Roman"/>
                      <w:sz w:val="24"/>
                      <w:szCs w:val="24"/>
                    </w:rPr>
                    <w:t>are</w:t>
                  </w:r>
                  <w:r w:rsidR="00964C7F" w:rsidRPr="00F62912">
                    <w:rPr>
                      <w:rFonts w:ascii="Times New Roman" w:hAnsi="Times New Roman" w:cs="Times New Roman"/>
                      <w:sz w:val="24"/>
                      <w:szCs w:val="24"/>
                    </w:rPr>
                    <w:t xml:space="preserve"> expec</w:t>
                  </w:r>
                  <w:r w:rsidR="00466517">
                    <w:rPr>
                      <w:rFonts w:ascii="Times New Roman" w:hAnsi="Times New Roman" w:cs="Times New Roman"/>
                      <w:sz w:val="24"/>
                      <w:szCs w:val="24"/>
                    </w:rPr>
                    <w:t>ted to impact the works in the Metropolitan A</w:t>
                  </w:r>
                  <w:r w:rsidR="00964C7F" w:rsidRPr="00F62912">
                    <w:rPr>
                      <w:rFonts w:ascii="Times New Roman" w:hAnsi="Times New Roman" w:cs="Times New Roman"/>
                      <w:sz w:val="24"/>
                      <w:szCs w:val="24"/>
                    </w:rPr>
                    <w:t xml:space="preserve">rea of Oaxaca and </w:t>
                  </w:r>
                  <w:r w:rsidR="002869B4">
                    <w:rPr>
                      <w:rFonts w:ascii="Times New Roman" w:hAnsi="Times New Roman" w:cs="Times New Roman"/>
                      <w:sz w:val="24"/>
                      <w:szCs w:val="24"/>
                    </w:rPr>
                    <w:t xml:space="preserve">the </w:t>
                  </w:r>
                  <w:r w:rsidR="00964C7F" w:rsidRPr="00F62912">
                    <w:rPr>
                      <w:rFonts w:ascii="Times New Roman" w:hAnsi="Times New Roman" w:cs="Times New Roman"/>
                      <w:sz w:val="24"/>
                      <w:szCs w:val="24"/>
                    </w:rPr>
                    <w:t xml:space="preserve">18 secondary </w:t>
                  </w:r>
                  <w:r w:rsidR="00466517">
                    <w:rPr>
                      <w:rFonts w:ascii="Times New Roman" w:hAnsi="Times New Roman" w:cs="Times New Roman"/>
                      <w:sz w:val="24"/>
                      <w:szCs w:val="24"/>
                    </w:rPr>
                    <w:t>t</w:t>
                  </w:r>
                  <w:r w:rsidR="00C31D54" w:rsidRPr="00F62912">
                    <w:rPr>
                      <w:rFonts w:ascii="Times New Roman" w:hAnsi="Times New Roman" w:cs="Times New Roman"/>
                      <w:sz w:val="24"/>
                      <w:szCs w:val="24"/>
                    </w:rPr>
                    <w:t>own</w:t>
                  </w:r>
                  <w:r w:rsidR="00964C7F" w:rsidRPr="00F62912">
                    <w:rPr>
                      <w:rFonts w:ascii="Times New Roman" w:hAnsi="Times New Roman" w:cs="Times New Roman"/>
                      <w:sz w:val="24"/>
                      <w:szCs w:val="24"/>
                    </w:rPr>
                    <w:t xml:space="preserve">s where </w:t>
                  </w:r>
                  <w:r w:rsidR="00C31D54" w:rsidRPr="00F62912">
                    <w:rPr>
                      <w:rFonts w:ascii="Times New Roman" w:hAnsi="Times New Roman" w:cs="Times New Roman"/>
                      <w:sz w:val="24"/>
                      <w:szCs w:val="24"/>
                    </w:rPr>
                    <w:t xml:space="preserve">Result Areas </w:t>
                  </w:r>
                  <w:r w:rsidR="00964C7F" w:rsidRPr="00F62912">
                    <w:rPr>
                      <w:rFonts w:ascii="Times New Roman" w:hAnsi="Times New Roman" w:cs="Times New Roman"/>
                      <w:sz w:val="24"/>
                      <w:szCs w:val="24"/>
                    </w:rPr>
                    <w:t xml:space="preserve">2 and 3 of the Program </w:t>
                  </w:r>
                  <w:r w:rsidR="004751A9">
                    <w:rPr>
                      <w:rFonts w:ascii="Times New Roman" w:hAnsi="Times New Roman" w:cs="Times New Roman"/>
                      <w:sz w:val="24"/>
                      <w:szCs w:val="24"/>
                    </w:rPr>
                    <w:t xml:space="preserve">will be </w:t>
                  </w:r>
                  <w:r w:rsidR="00964C7F" w:rsidRPr="00F62912">
                    <w:rPr>
                      <w:rFonts w:ascii="Times New Roman" w:hAnsi="Times New Roman" w:cs="Times New Roman"/>
                      <w:sz w:val="24"/>
                      <w:szCs w:val="24"/>
                    </w:rPr>
                    <w:t>implemented. Nonetheless, it is expected that any review of the quality of the bidding documents and strengthening of the supervision</w:t>
                  </w:r>
                  <w:r w:rsidR="00E37FB3" w:rsidRPr="00F62912">
                    <w:rPr>
                      <w:rFonts w:ascii="Times New Roman" w:hAnsi="Times New Roman" w:cs="Times New Roman"/>
                      <w:sz w:val="24"/>
                      <w:szCs w:val="24"/>
                    </w:rPr>
                    <w:t xml:space="preserve"> and social and environmental management of the water systems’ operations will have an impact across all the areas in the State where these agencies function. </w:t>
                  </w:r>
                  <w:r w:rsidR="00964C7F" w:rsidRPr="00F62912">
                    <w:rPr>
                      <w:rFonts w:ascii="Times New Roman" w:hAnsi="Times New Roman" w:cs="Times New Roman"/>
                      <w:sz w:val="24"/>
                      <w:szCs w:val="24"/>
                    </w:rPr>
                    <w:t xml:space="preserve"> </w:t>
                  </w:r>
                </w:p>
                <w:p w:rsidR="00E37FB3" w:rsidRPr="00F62912" w:rsidRDefault="00E37FB3" w:rsidP="00B10EFE">
                  <w:pPr>
                    <w:pStyle w:val="NoSpacing"/>
                    <w:tabs>
                      <w:tab w:val="left" w:pos="450"/>
                      <w:tab w:val="left" w:pos="990"/>
                    </w:tabs>
                    <w:autoSpaceDE w:val="0"/>
                    <w:autoSpaceDN w:val="0"/>
                    <w:adjustRightInd w:val="0"/>
                    <w:jc w:val="both"/>
                    <w:rPr>
                      <w:rFonts w:ascii="Times New Roman" w:hAnsi="Times New Roman" w:cs="Times New Roman"/>
                      <w:sz w:val="24"/>
                      <w:szCs w:val="24"/>
                    </w:rPr>
                  </w:pPr>
                </w:p>
                <w:p w:rsidR="00573262" w:rsidRDefault="005D04E5" w:rsidP="00466517">
                  <w:pPr>
                    <w:pStyle w:val="NoSpacing"/>
                    <w:tabs>
                      <w:tab w:val="left" w:pos="450"/>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10. </w:t>
                  </w:r>
                  <w:r w:rsidR="00E37FB3" w:rsidRPr="00F62912">
                    <w:rPr>
                      <w:rFonts w:ascii="Times New Roman" w:hAnsi="Times New Roman" w:cs="Times New Roman"/>
                      <w:sz w:val="24"/>
                      <w:szCs w:val="24"/>
                    </w:rPr>
                    <w:t xml:space="preserve">The WSS Sector studies, in particular the Rural and </w:t>
                  </w:r>
                  <w:r w:rsidR="00047652">
                    <w:rPr>
                      <w:rFonts w:ascii="Times New Roman" w:hAnsi="Times New Roman" w:cs="Times New Roman"/>
                      <w:sz w:val="24"/>
                      <w:szCs w:val="24"/>
                    </w:rPr>
                    <w:t xml:space="preserve">the </w:t>
                  </w:r>
                  <w:r w:rsidR="00E37FB3" w:rsidRPr="00F62912">
                    <w:rPr>
                      <w:rFonts w:ascii="Times New Roman" w:hAnsi="Times New Roman" w:cs="Times New Roman"/>
                      <w:sz w:val="24"/>
                      <w:szCs w:val="24"/>
                    </w:rPr>
                    <w:t xml:space="preserve">Urban Water Supply and Sanitation Strategy </w:t>
                  </w:r>
                  <w:r w:rsidR="00047652">
                    <w:rPr>
                      <w:rFonts w:ascii="Times New Roman" w:hAnsi="Times New Roman" w:cs="Times New Roman"/>
                      <w:sz w:val="24"/>
                      <w:szCs w:val="24"/>
                    </w:rPr>
                    <w:t>as well as the</w:t>
                  </w:r>
                  <w:r w:rsidR="001816C9">
                    <w:rPr>
                      <w:rFonts w:ascii="Times New Roman" w:hAnsi="Times New Roman" w:cs="Times New Roman"/>
                      <w:sz w:val="24"/>
                      <w:szCs w:val="24"/>
                    </w:rPr>
                    <w:t xml:space="preserve"> </w:t>
                  </w:r>
                  <w:r w:rsidR="00A84F81">
                    <w:rPr>
                      <w:rFonts w:ascii="Times New Roman" w:hAnsi="Times New Roman" w:cs="Times New Roman"/>
                      <w:sz w:val="24"/>
                      <w:szCs w:val="24"/>
                    </w:rPr>
                    <w:t>Public Expenditure Review</w:t>
                  </w:r>
                  <w:r w:rsidR="004751A9">
                    <w:rPr>
                      <w:rFonts w:ascii="Times New Roman" w:hAnsi="Times New Roman" w:cs="Times New Roman"/>
                      <w:sz w:val="24"/>
                      <w:szCs w:val="24"/>
                    </w:rPr>
                    <w:t>,</w:t>
                  </w:r>
                  <w:r w:rsidR="00A84F81">
                    <w:rPr>
                      <w:rFonts w:ascii="Times New Roman" w:hAnsi="Times New Roman" w:cs="Times New Roman"/>
                      <w:sz w:val="24"/>
                      <w:szCs w:val="24"/>
                    </w:rPr>
                    <w:t xml:space="preserve"> are state-wide activities</w:t>
                  </w:r>
                  <w:r w:rsidR="001816C9">
                    <w:rPr>
                      <w:rFonts w:ascii="Times New Roman" w:hAnsi="Times New Roman" w:cs="Times New Roman"/>
                      <w:sz w:val="24"/>
                      <w:szCs w:val="24"/>
                    </w:rPr>
                    <w:t>. T</w:t>
                  </w:r>
                  <w:r w:rsidR="00521DF5" w:rsidRPr="00F62912">
                    <w:rPr>
                      <w:rFonts w:ascii="Times New Roman" w:hAnsi="Times New Roman" w:cs="Times New Roman"/>
                      <w:sz w:val="24"/>
                      <w:szCs w:val="24"/>
                    </w:rPr>
                    <w:t xml:space="preserve">he </w:t>
                  </w:r>
                  <w:r w:rsidR="00504697" w:rsidRPr="00F62912">
                    <w:rPr>
                      <w:rFonts w:ascii="Times New Roman" w:hAnsi="Times New Roman" w:cs="Times New Roman"/>
                      <w:sz w:val="24"/>
                      <w:szCs w:val="24"/>
                    </w:rPr>
                    <w:t xml:space="preserve">design </w:t>
                  </w:r>
                  <w:r w:rsidR="00047652" w:rsidRPr="00703848">
                    <w:rPr>
                      <w:rFonts w:ascii="Times New Roman" w:hAnsi="Times New Roman" w:cs="Times New Roman"/>
                      <w:sz w:val="24"/>
                      <w:szCs w:val="24"/>
                    </w:rPr>
                    <w:t>of pilot approaches to providing sustainable rural WSS implementation and support services</w:t>
                  </w:r>
                  <w:r w:rsidR="006B67CC">
                    <w:rPr>
                      <w:rFonts w:ascii="Times New Roman" w:hAnsi="Times New Roman" w:cs="Times New Roman"/>
                      <w:sz w:val="24"/>
                      <w:szCs w:val="24"/>
                    </w:rPr>
                    <w:t xml:space="preserve"> </w:t>
                  </w:r>
                  <w:r w:rsidR="00EB4073" w:rsidRPr="00F62912">
                    <w:rPr>
                      <w:rFonts w:ascii="Times New Roman" w:hAnsi="Times New Roman" w:cs="Times New Roman"/>
                      <w:sz w:val="24"/>
                      <w:szCs w:val="24"/>
                    </w:rPr>
                    <w:t xml:space="preserve">will only </w:t>
                  </w:r>
                  <w:r w:rsidR="00863450">
                    <w:rPr>
                      <w:rFonts w:ascii="Times New Roman" w:hAnsi="Times New Roman" w:cs="Times New Roman"/>
                      <w:sz w:val="24"/>
                      <w:szCs w:val="24"/>
                    </w:rPr>
                    <w:t>apply to</w:t>
                  </w:r>
                  <w:r w:rsidR="00EB4073" w:rsidRPr="00F62912">
                    <w:rPr>
                      <w:rFonts w:ascii="Times New Roman" w:hAnsi="Times New Roman" w:cs="Times New Roman"/>
                      <w:sz w:val="24"/>
                      <w:szCs w:val="24"/>
                    </w:rPr>
                    <w:t xml:space="preserve"> a subset</w:t>
                  </w:r>
                  <w:r w:rsidR="001816C9">
                    <w:rPr>
                      <w:rFonts w:ascii="Times New Roman" w:hAnsi="Times New Roman" w:cs="Times New Roman"/>
                      <w:sz w:val="24"/>
                      <w:szCs w:val="24"/>
                    </w:rPr>
                    <w:t xml:space="preserve"> of rural localities</w:t>
                  </w:r>
                  <w:r w:rsidR="0088468A">
                    <w:rPr>
                      <w:rFonts w:ascii="Times New Roman" w:hAnsi="Times New Roman" w:cs="Times New Roman"/>
                      <w:sz w:val="24"/>
                      <w:szCs w:val="24"/>
                    </w:rPr>
                    <w:t xml:space="preserve"> in order to </w:t>
                  </w:r>
                  <w:r w:rsidR="00B34BF0">
                    <w:rPr>
                      <w:rFonts w:ascii="Times New Roman" w:hAnsi="Times New Roman" w:cs="Times New Roman"/>
                      <w:sz w:val="24"/>
                      <w:szCs w:val="24"/>
                    </w:rPr>
                    <w:t>be properly designed in a limited number of communities before it can be scaled-up in other parts of the State</w:t>
                  </w:r>
                  <w:r w:rsidR="001816C9">
                    <w:rPr>
                      <w:rFonts w:ascii="Times New Roman" w:hAnsi="Times New Roman" w:cs="Times New Roman"/>
                      <w:sz w:val="24"/>
                      <w:szCs w:val="24"/>
                    </w:rPr>
                    <w:t>. T</w:t>
                  </w:r>
                  <w:r w:rsidR="00EB4073" w:rsidRPr="00F62912">
                    <w:rPr>
                      <w:rFonts w:ascii="Times New Roman" w:hAnsi="Times New Roman" w:cs="Times New Roman"/>
                      <w:sz w:val="24"/>
                      <w:szCs w:val="24"/>
                    </w:rPr>
                    <w:t xml:space="preserve">he </w:t>
                  </w:r>
                  <w:r w:rsidR="00003A7B" w:rsidRPr="00F62912">
                    <w:rPr>
                      <w:rFonts w:ascii="Times New Roman" w:hAnsi="Times New Roman" w:cs="Times New Roman"/>
                      <w:sz w:val="24"/>
                      <w:szCs w:val="24"/>
                    </w:rPr>
                    <w:t>location</w:t>
                  </w:r>
                  <w:r w:rsidR="00EB4073" w:rsidRPr="00F62912">
                    <w:rPr>
                      <w:rFonts w:ascii="Times New Roman" w:hAnsi="Times New Roman" w:cs="Times New Roman"/>
                      <w:sz w:val="24"/>
                      <w:szCs w:val="24"/>
                    </w:rPr>
                    <w:t xml:space="preserve"> of these localities </w:t>
                  </w:r>
                  <w:r w:rsidR="00003A7B" w:rsidRPr="00F62912">
                    <w:rPr>
                      <w:rFonts w:ascii="Times New Roman" w:hAnsi="Times New Roman" w:cs="Times New Roman"/>
                      <w:sz w:val="24"/>
                      <w:szCs w:val="24"/>
                    </w:rPr>
                    <w:t>is not yet known and these will be selected</w:t>
                  </w:r>
                  <w:r w:rsidR="00EB4073" w:rsidRPr="00F62912">
                    <w:rPr>
                      <w:rFonts w:ascii="Times New Roman" w:hAnsi="Times New Roman" w:cs="Times New Roman"/>
                      <w:sz w:val="24"/>
                      <w:szCs w:val="24"/>
                    </w:rPr>
                    <w:t xml:space="preserve"> during implementation</w:t>
                  </w:r>
                  <w:r w:rsidR="00AF3B42">
                    <w:rPr>
                      <w:rFonts w:ascii="Times New Roman" w:hAnsi="Times New Roman" w:cs="Times New Roman"/>
                      <w:sz w:val="24"/>
                      <w:szCs w:val="24"/>
                    </w:rPr>
                    <w:t>,</w:t>
                  </w:r>
                  <w:r w:rsidR="00EB4073" w:rsidRPr="00F62912">
                    <w:rPr>
                      <w:rFonts w:ascii="Times New Roman" w:hAnsi="Times New Roman" w:cs="Times New Roman"/>
                      <w:sz w:val="24"/>
                      <w:szCs w:val="24"/>
                    </w:rPr>
                    <w:t xml:space="preserve"> i</w:t>
                  </w:r>
                  <w:r w:rsidR="00080593" w:rsidRPr="00F62912">
                    <w:rPr>
                      <w:rFonts w:ascii="Times New Roman" w:hAnsi="Times New Roman" w:cs="Times New Roman"/>
                      <w:sz w:val="24"/>
                      <w:szCs w:val="24"/>
                    </w:rPr>
                    <w:t>n consultation with CEA and other relevant State institutions</w:t>
                  </w:r>
                  <w:r w:rsidR="00EB4073" w:rsidRPr="00F62912">
                    <w:rPr>
                      <w:rFonts w:ascii="Times New Roman" w:hAnsi="Times New Roman" w:cs="Times New Roman"/>
                      <w:sz w:val="24"/>
                      <w:szCs w:val="24"/>
                    </w:rPr>
                    <w:t>.</w:t>
                  </w:r>
                  <w:r w:rsidR="00E37FB3" w:rsidRPr="00F62912">
                    <w:rPr>
                      <w:rFonts w:ascii="Times New Roman" w:hAnsi="Times New Roman" w:cs="Times New Roman"/>
                      <w:sz w:val="24"/>
                      <w:szCs w:val="24"/>
                    </w:rPr>
                    <w:t xml:space="preserve"> </w:t>
                  </w:r>
                </w:p>
                <w:p w:rsidR="008936EE" w:rsidRDefault="008936EE" w:rsidP="00466517">
                  <w:pPr>
                    <w:pStyle w:val="NoSpacing"/>
                    <w:tabs>
                      <w:tab w:val="left" w:pos="450"/>
                      <w:tab w:val="left" w:pos="990"/>
                    </w:tabs>
                    <w:autoSpaceDE w:val="0"/>
                    <w:autoSpaceDN w:val="0"/>
                    <w:adjustRightInd w:val="0"/>
                    <w:jc w:val="both"/>
                    <w:rPr>
                      <w:rFonts w:ascii="Times New Roman" w:hAnsi="Times New Roman" w:cs="Times New Roman"/>
                      <w:sz w:val="24"/>
                      <w:szCs w:val="24"/>
                    </w:rPr>
                  </w:pPr>
                </w:p>
                <w:p w:rsidR="00573262" w:rsidRPr="00FD00AB" w:rsidRDefault="005D04E5" w:rsidP="00CA31A6">
                  <w:pPr>
                    <w:pStyle w:val="NoSpacing"/>
                    <w:tabs>
                      <w:tab w:val="left" w:pos="450"/>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 </w:t>
                  </w:r>
                  <w:r w:rsidR="008936EE" w:rsidRPr="00FD00AB">
                    <w:rPr>
                      <w:rFonts w:ascii="Times New Roman" w:hAnsi="Times New Roman" w:cs="Times New Roman"/>
                      <w:sz w:val="24"/>
                      <w:szCs w:val="24"/>
                    </w:rPr>
                    <w:t xml:space="preserve">Oaxaca has a </w:t>
                  </w:r>
                  <w:proofErr w:type="spellStart"/>
                  <w:r w:rsidR="008936EE" w:rsidRPr="00FD00AB">
                    <w:rPr>
                      <w:rFonts w:ascii="Times New Roman" w:hAnsi="Times New Roman" w:cs="Times New Roman"/>
                      <w:sz w:val="24"/>
                      <w:szCs w:val="24"/>
                    </w:rPr>
                    <w:t>pluri</w:t>
                  </w:r>
                  <w:proofErr w:type="spellEnd"/>
                  <w:r w:rsidR="008936EE" w:rsidRPr="00FD00AB">
                    <w:rPr>
                      <w:rFonts w:ascii="Times New Roman" w:hAnsi="Times New Roman" w:cs="Times New Roman"/>
                      <w:sz w:val="24"/>
                      <w:szCs w:val="24"/>
                    </w:rPr>
                    <w:t xml:space="preserve">-ethnic composition that includes the following indigenous peoples: </w:t>
                  </w:r>
                  <w:proofErr w:type="spellStart"/>
                  <w:r w:rsidR="008936EE" w:rsidRPr="00FD00AB">
                    <w:rPr>
                      <w:rFonts w:ascii="Times New Roman" w:hAnsi="Times New Roman" w:cs="Times New Roman"/>
                      <w:sz w:val="24"/>
                      <w:szCs w:val="24"/>
                    </w:rPr>
                    <w:t>Amuzgos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Cuicatecos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Chatinos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Chinantecos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Chocholtecos</w:t>
                  </w:r>
                  <w:proofErr w:type="spellEnd"/>
                  <w:r w:rsidR="008936EE" w:rsidRPr="00FD00AB">
                    <w:rPr>
                      <w:rFonts w:ascii="Times New Roman" w:hAnsi="Times New Roman" w:cs="Times New Roman"/>
                      <w:sz w:val="24"/>
                      <w:szCs w:val="24"/>
                    </w:rPr>
                    <w:t xml:space="preserve">, Chontales, </w:t>
                  </w:r>
                  <w:proofErr w:type="spellStart"/>
                  <w:r w:rsidR="008936EE" w:rsidRPr="00FD00AB">
                    <w:rPr>
                      <w:rFonts w:ascii="Times New Roman" w:hAnsi="Times New Roman" w:cs="Times New Roman"/>
                      <w:sz w:val="24"/>
                      <w:szCs w:val="24"/>
                    </w:rPr>
                    <w:t>Huaves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Ixcatecos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Mazatecos</w:t>
                  </w:r>
                  <w:proofErr w:type="spellEnd"/>
                  <w:r w:rsidR="008936EE" w:rsidRPr="00FD00AB">
                    <w:rPr>
                      <w:rFonts w:ascii="Times New Roman" w:hAnsi="Times New Roman" w:cs="Times New Roman"/>
                      <w:sz w:val="24"/>
                      <w:szCs w:val="24"/>
                    </w:rPr>
                    <w:t xml:space="preserve">, Mixes, </w:t>
                  </w:r>
                  <w:proofErr w:type="spellStart"/>
                  <w:r w:rsidR="008936EE" w:rsidRPr="00FD00AB">
                    <w:rPr>
                      <w:rFonts w:ascii="Times New Roman" w:hAnsi="Times New Roman" w:cs="Times New Roman"/>
                      <w:sz w:val="24"/>
                      <w:szCs w:val="24"/>
                    </w:rPr>
                    <w:t>Mixtecos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Nahuatls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Triquis</w:t>
                  </w:r>
                  <w:proofErr w:type="spellEnd"/>
                  <w:r w:rsidR="008936EE" w:rsidRPr="00FD00AB">
                    <w:rPr>
                      <w:rFonts w:ascii="Times New Roman" w:hAnsi="Times New Roman" w:cs="Times New Roman"/>
                      <w:sz w:val="24"/>
                      <w:szCs w:val="24"/>
                    </w:rPr>
                    <w:t xml:space="preserve">, </w:t>
                  </w:r>
                  <w:proofErr w:type="spellStart"/>
                  <w:r w:rsidR="008936EE" w:rsidRPr="00FD00AB">
                    <w:rPr>
                      <w:rFonts w:ascii="Times New Roman" w:hAnsi="Times New Roman" w:cs="Times New Roman"/>
                      <w:sz w:val="24"/>
                      <w:szCs w:val="24"/>
                    </w:rPr>
                    <w:t>Zapotecos</w:t>
                  </w:r>
                  <w:proofErr w:type="spellEnd"/>
                  <w:r w:rsidR="008936EE" w:rsidRPr="00FD00AB">
                    <w:rPr>
                      <w:rFonts w:ascii="Times New Roman" w:hAnsi="Times New Roman" w:cs="Times New Roman"/>
                      <w:sz w:val="24"/>
                      <w:szCs w:val="24"/>
                    </w:rPr>
                    <w:t xml:space="preserve"> y </w:t>
                  </w:r>
                  <w:proofErr w:type="spellStart"/>
                  <w:r w:rsidR="008936EE" w:rsidRPr="00FD00AB">
                    <w:rPr>
                      <w:rFonts w:ascii="Times New Roman" w:hAnsi="Times New Roman" w:cs="Times New Roman"/>
                      <w:sz w:val="24"/>
                      <w:szCs w:val="24"/>
                    </w:rPr>
                    <w:t>Zoques</w:t>
                  </w:r>
                  <w:proofErr w:type="spellEnd"/>
                  <w:r w:rsidR="008936EE" w:rsidRPr="00FD00AB">
                    <w:rPr>
                      <w:rFonts w:ascii="Times New Roman" w:hAnsi="Times New Roman" w:cs="Times New Roman"/>
                      <w:sz w:val="24"/>
                      <w:szCs w:val="24"/>
                    </w:rPr>
                    <w:t xml:space="preserve">, as well as </w:t>
                  </w:r>
                  <w:proofErr w:type="spellStart"/>
                  <w:r w:rsidR="008936EE" w:rsidRPr="00FD00AB">
                    <w:rPr>
                      <w:rFonts w:ascii="Times New Roman" w:hAnsi="Times New Roman" w:cs="Times New Roman"/>
                      <w:sz w:val="24"/>
                      <w:szCs w:val="24"/>
                    </w:rPr>
                    <w:t>Tacuates</w:t>
                  </w:r>
                  <w:proofErr w:type="spellEnd"/>
                  <w:r w:rsidR="008936EE" w:rsidRPr="00FD00AB">
                    <w:rPr>
                      <w:rFonts w:ascii="Times New Roman" w:hAnsi="Times New Roman" w:cs="Times New Roman"/>
                      <w:sz w:val="24"/>
                      <w:szCs w:val="24"/>
                    </w:rPr>
                    <w:t>. In addition, there is presence of Afro-Mexican or Negro-Mexican communities in the State. Depending on the criteria utilized</w:t>
                  </w:r>
                  <w:r w:rsidR="004751A9">
                    <w:rPr>
                      <w:rFonts w:ascii="Times New Roman" w:hAnsi="Times New Roman" w:cs="Times New Roman"/>
                      <w:sz w:val="24"/>
                      <w:szCs w:val="24"/>
                    </w:rPr>
                    <w:t>,</w:t>
                  </w:r>
                  <w:r w:rsidR="008936EE" w:rsidRPr="00FD00AB">
                    <w:rPr>
                      <w:rFonts w:ascii="Times New Roman" w:hAnsi="Times New Roman" w:cs="Times New Roman"/>
                      <w:sz w:val="24"/>
                      <w:szCs w:val="24"/>
                    </w:rPr>
                    <w:t xml:space="preserve"> </w:t>
                  </w:r>
                  <w:r w:rsidR="00CA31A6">
                    <w:rPr>
                      <w:rFonts w:ascii="Times New Roman" w:hAnsi="Times New Roman" w:cs="Times New Roman"/>
                      <w:sz w:val="24"/>
                      <w:szCs w:val="24"/>
                    </w:rPr>
                    <w:t>32</w:t>
                  </w:r>
                  <w:r w:rsidR="008936EE" w:rsidRPr="00FD00AB">
                    <w:rPr>
                      <w:rFonts w:ascii="Times New Roman" w:hAnsi="Times New Roman" w:cs="Times New Roman"/>
                      <w:sz w:val="24"/>
                      <w:szCs w:val="24"/>
                    </w:rPr>
                    <w:t xml:space="preserve"> percent (linguistic criteria) or 58 percent (self-selection) of the population is indigenous in the State (INEGI, 2010).</w:t>
                  </w:r>
                </w:p>
              </w:tc>
            </w:tr>
          </w:tbl>
          <w:p w:rsidR="00D440A0" w:rsidRDefault="00D440A0" w:rsidP="00D440A0">
            <w:pPr>
              <w:rPr>
                <w:rFonts w:ascii="Times New Roman" w:hAnsi="Times New Roman" w:cs="Times New Roman"/>
              </w:rPr>
            </w:pPr>
          </w:p>
        </w:tc>
      </w:tr>
      <w:tr w:rsidR="00A36A25"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466517" w:rsidRPr="00B83156" w:rsidRDefault="00447440">
            <w:pPr>
              <w:rPr>
                <w:rFonts w:ascii="Times New Roman" w:hAnsi="Times New Roman" w:cs="Times New Roman"/>
                <w:b/>
                <w:bCs/>
              </w:rPr>
            </w:pPr>
            <w:r>
              <w:rPr>
                <w:rFonts w:ascii="Times New Roman" w:hAnsi="Times New Roman" w:cs="Times New Roman"/>
                <w:b/>
                <w:bCs/>
              </w:rPr>
              <w:t>5. Environmental and Social Safeguards Specialists on the Team</w:t>
            </w:r>
          </w:p>
        </w:tc>
      </w:tr>
      <w:tr w:rsidR="00A36A25"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1E5FDA" w:rsidRPr="00F62912" w:rsidRDefault="001E5FDA" w:rsidP="00711B91">
            <w:pPr>
              <w:rPr>
                <w:rFonts w:ascii="Times New Roman" w:hAnsi="Times New Roman" w:cs="Times New Roman"/>
              </w:rPr>
            </w:pPr>
            <w:r w:rsidRPr="00F62912">
              <w:rPr>
                <w:rFonts w:ascii="Times New Roman" w:hAnsi="Times New Roman" w:cs="Times New Roman"/>
              </w:rPr>
              <w:t>Robert Montgomery, Lead Environmental Specialist</w:t>
            </w:r>
          </w:p>
          <w:p w:rsidR="00A36A25" w:rsidRPr="00F62912" w:rsidRDefault="00447440" w:rsidP="00711B91">
            <w:pPr>
              <w:rPr>
                <w:rFonts w:ascii="Times New Roman" w:hAnsi="Times New Roman" w:cs="Times New Roman"/>
              </w:rPr>
            </w:pPr>
            <w:r w:rsidRPr="00F62912">
              <w:rPr>
                <w:rFonts w:ascii="Times New Roman" w:hAnsi="Times New Roman" w:cs="Times New Roman"/>
              </w:rPr>
              <w:t xml:space="preserve">Jose Luis Calderon </w:t>
            </w:r>
            <w:proofErr w:type="spellStart"/>
            <w:r w:rsidRPr="00F62912">
              <w:rPr>
                <w:rFonts w:ascii="Times New Roman" w:hAnsi="Times New Roman" w:cs="Times New Roman"/>
              </w:rPr>
              <w:t>Bartheneuf</w:t>
            </w:r>
            <w:proofErr w:type="spellEnd"/>
            <w:r w:rsidRPr="00F62912">
              <w:rPr>
                <w:rFonts w:ascii="Times New Roman" w:hAnsi="Times New Roman" w:cs="Times New Roman"/>
              </w:rPr>
              <w:t xml:space="preserve"> </w:t>
            </w:r>
            <w:r w:rsidR="00C31D54" w:rsidRPr="00F62912">
              <w:rPr>
                <w:rFonts w:ascii="Times New Roman" w:hAnsi="Times New Roman" w:cs="Times New Roman"/>
              </w:rPr>
              <w:t xml:space="preserve">, </w:t>
            </w:r>
            <w:r w:rsidR="00D440A0" w:rsidRPr="00F62912">
              <w:rPr>
                <w:rFonts w:ascii="Times New Roman" w:hAnsi="Times New Roman" w:cs="Times New Roman"/>
              </w:rPr>
              <w:t>Senior Environmental Specialist</w:t>
            </w:r>
          </w:p>
          <w:p w:rsidR="00D440A0" w:rsidRPr="006E6C2A" w:rsidRDefault="00D440A0" w:rsidP="00711B91">
            <w:pPr>
              <w:rPr>
                <w:rFonts w:ascii="Times New Roman" w:hAnsi="Times New Roman" w:cs="Times New Roman"/>
                <w:lang w:val="pt-BR"/>
              </w:rPr>
            </w:pPr>
            <w:r w:rsidRPr="006E6C2A">
              <w:rPr>
                <w:rFonts w:ascii="Times New Roman" w:hAnsi="Times New Roman" w:cs="Times New Roman"/>
                <w:lang w:val="pt-BR"/>
              </w:rPr>
              <w:t>Maria Elena Garcia Mora</w:t>
            </w:r>
            <w:r w:rsidR="00C31D54" w:rsidRPr="006E6C2A">
              <w:rPr>
                <w:rFonts w:ascii="Times New Roman" w:hAnsi="Times New Roman" w:cs="Times New Roman"/>
                <w:lang w:val="pt-BR"/>
              </w:rPr>
              <w:t>,</w:t>
            </w:r>
            <w:r w:rsidRPr="006E6C2A">
              <w:rPr>
                <w:rFonts w:ascii="Times New Roman" w:hAnsi="Times New Roman" w:cs="Times New Roman"/>
                <w:lang w:val="pt-BR"/>
              </w:rPr>
              <w:t xml:space="preserve"> Social Development </w:t>
            </w:r>
            <w:r w:rsidR="00870327" w:rsidRPr="006E6C2A">
              <w:rPr>
                <w:rFonts w:ascii="Times New Roman" w:hAnsi="Times New Roman" w:cs="Times New Roman"/>
                <w:lang w:val="pt-BR"/>
              </w:rPr>
              <w:t>Specialist</w:t>
            </w:r>
          </w:p>
          <w:p w:rsidR="00D440A0" w:rsidRPr="00F62912" w:rsidRDefault="00E54F37" w:rsidP="00711B91">
            <w:pPr>
              <w:rPr>
                <w:rFonts w:ascii="Times New Roman" w:hAnsi="Times New Roman" w:cs="Times New Roman"/>
              </w:rPr>
            </w:pPr>
            <w:r>
              <w:rPr>
                <w:rFonts w:ascii="Times New Roman" w:hAnsi="Times New Roman" w:cs="Times New Roman"/>
              </w:rPr>
              <w:t>Mar</w:t>
            </w:r>
            <w:r w:rsidR="00D440A0" w:rsidRPr="00F62912">
              <w:rPr>
                <w:rFonts w:ascii="Times New Roman" w:hAnsi="Times New Roman" w:cs="Times New Roman"/>
              </w:rPr>
              <w:t xml:space="preserve">tin </w:t>
            </w:r>
            <w:proofErr w:type="spellStart"/>
            <w:r w:rsidR="00D440A0" w:rsidRPr="00F62912">
              <w:rPr>
                <w:rFonts w:ascii="Times New Roman" w:hAnsi="Times New Roman" w:cs="Times New Roman"/>
              </w:rPr>
              <w:t>Leninhan</w:t>
            </w:r>
            <w:proofErr w:type="spellEnd"/>
            <w:r w:rsidR="00C31D54" w:rsidRPr="00F62912">
              <w:rPr>
                <w:rFonts w:ascii="Times New Roman" w:hAnsi="Times New Roman" w:cs="Times New Roman"/>
              </w:rPr>
              <w:t>,</w:t>
            </w:r>
            <w:r w:rsidR="006E6C2A">
              <w:rPr>
                <w:rFonts w:ascii="Times New Roman" w:hAnsi="Times New Roman" w:cs="Times New Roman"/>
              </w:rPr>
              <w:t xml:space="preserve"> </w:t>
            </w:r>
            <w:r w:rsidR="00D440A0" w:rsidRPr="00F62912">
              <w:rPr>
                <w:rFonts w:ascii="Times New Roman" w:hAnsi="Times New Roman" w:cs="Times New Roman"/>
              </w:rPr>
              <w:t>Senior Social Development Specialist</w:t>
            </w:r>
          </w:p>
          <w:p w:rsidR="00D440A0" w:rsidRDefault="00D440A0" w:rsidP="00711B91">
            <w:pPr>
              <w:rPr>
                <w:rFonts w:ascii="Times New Roman" w:hAnsi="Times New Roman" w:cs="Times New Roman"/>
              </w:rPr>
            </w:pPr>
          </w:p>
        </w:tc>
      </w:tr>
      <w:tr w:rsidR="00A36A25"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A36A25" w:rsidRDefault="00A36A25">
            <w:pPr>
              <w:rPr>
                <w:rFonts w:ascii="Times" w:hAnsi="Times" w:cs="Times"/>
                <w:color w:val="FFFFFF"/>
                <w:sz w:val="4"/>
                <w:szCs w:val="4"/>
              </w:rPr>
            </w:pP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6. Safeguard Policies</w:t>
            </w:r>
            <w:r w:rsidR="00FF4ABF">
              <w:rPr>
                <w:rFonts w:ascii="Times New Roman" w:hAnsi="Times New Roman" w:cs="Times New Roman"/>
                <w:b/>
                <w:bCs/>
                <w:sz w:val="22"/>
                <w:szCs w:val="22"/>
              </w:rPr>
              <w:t xml:space="preserve"> applying to the TA component </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545CE">
            <w:pPr>
              <w:rPr>
                <w:rFonts w:ascii="Times New Roman" w:hAnsi="Times New Roman" w:cs="Times New Roman"/>
              </w:rPr>
            </w:pPr>
            <w:r>
              <w:rPr>
                <w:rFonts w:ascii="Times New Roman" w:hAnsi="Times New Roman" w:cs="Times New Roman"/>
                <w:b/>
                <w:bCs/>
                <w:sz w:val="22"/>
                <w:szCs w:val="22"/>
              </w:rPr>
              <w:t>Triggered?</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sidRPr="005E3535">
              <w:rPr>
                <w:rFonts w:ascii="Times New Roman" w:hAnsi="Times New Roman" w:cs="Times New Roman"/>
                <w:b/>
                <w:bCs/>
                <w:sz w:val="22"/>
                <w:szCs w:val="22"/>
              </w:rPr>
              <w:t>Explanation (Optional)</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1A76AA" w:rsidP="001A76AA">
            <w:pPr>
              <w:rPr>
                <w:rFonts w:ascii="Times New Roman" w:hAnsi="Times New Roman" w:cs="Times New Roman"/>
                <w:sz w:val="22"/>
                <w:szCs w:val="22"/>
              </w:rPr>
            </w:pPr>
            <w:r w:rsidRPr="007A2B55">
              <w:rPr>
                <w:rFonts w:ascii="Times New Roman" w:hAnsi="Times New Roman" w:cs="Times New Roman"/>
                <w:sz w:val="22"/>
                <w:szCs w:val="22"/>
              </w:rPr>
              <w:t>Environmental Assessment OP/BP 4.01</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003A7B"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Yes</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92A66" w:rsidRPr="007A2B55" w:rsidRDefault="00F92A66" w:rsidP="00870327">
            <w:pPr>
              <w:rPr>
                <w:rFonts w:ascii="Times New Roman" w:hAnsi="Times New Roman" w:cs="Times New Roman"/>
                <w:color w:val="auto"/>
                <w:sz w:val="22"/>
                <w:szCs w:val="22"/>
              </w:rPr>
            </w:pPr>
            <w:r w:rsidRPr="007A2B55">
              <w:rPr>
                <w:rFonts w:ascii="Times New Roman" w:hAnsi="Times New Roman" w:cs="Times New Roman"/>
                <w:color w:val="auto"/>
                <w:sz w:val="22"/>
                <w:szCs w:val="22"/>
              </w:rPr>
              <w:t xml:space="preserve">This policy is triggered </w:t>
            </w:r>
            <w:r w:rsidR="008936EE" w:rsidRPr="007A2B55">
              <w:rPr>
                <w:rFonts w:ascii="Times New Roman" w:hAnsi="Times New Roman" w:cs="Times New Roman"/>
                <w:color w:val="auto"/>
                <w:sz w:val="22"/>
                <w:szCs w:val="22"/>
              </w:rPr>
              <w:t xml:space="preserve">to ensure that </w:t>
            </w:r>
            <w:r w:rsidRPr="007A2B55">
              <w:rPr>
                <w:rFonts w:ascii="Times New Roman" w:hAnsi="Times New Roman" w:cs="Times New Roman"/>
                <w:color w:val="auto"/>
                <w:sz w:val="22"/>
                <w:szCs w:val="22"/>
              </w:rPr>
              <w:t xml:space="preserve">the Rural and </w:t>
            </w:r>
            <w:r w:rsidR="00DD5D42" w:rsidRPr="007A2B55">
              <w:rPr>
                <w:rFonts w:ascii="Times New Roman" w:hAnsi="Times New Roman" w:cs="Times New Roman"/>
                <w:color w:val="auto"/>
                <w:sz w:val="22"/>
                <w:szCs w:val="22"/>
              </w:rPr>
              <w:t xml:space="preserve">the </w:t>
            </w:r>
            <w:r w:rsidRPr="007A2B55">
              <w:rPr>
                <w:rFonts w:ascii="Times New Roman" w:hAnsi="Times New Roman" w:cs="Times New Roman"/>
                <w:color w:val="auto"/>
                <w:sz w:val="22"/>
                <w:szCs w:val="22"/>
              </w:rPr>
              <w:t>Urban Water Supply and Sanitation Strategy</w:t>
            </w:r>
            <w:r w:rsidR="00882CE0">
              <w:rPr>
                <w:rFonts w:ascii="Times New Roman" w:hAnsi="Times New Roman" w:cs="Times New Roman"/>
                <w:color w:val="auto"/>
                <w:sz w:val="22"/>
                <w:szCs w:val="22"/>
              </w:rPr>
              <w:t xml:space="preserve"> and the pilot approaches to providing sustainable rural WSS implementation and support services</w:t>
            </w:r>
            <w:r w:rsidR="008936EE" w:rsidRPr="007A2B55">
              <w:rPr>
                <w:rFonts w:ascii="Times New Roman" w:hAnsi="Times New Roman" w:cs="Times New Roman"/>
                <w:color w:val="auto"/>
                <w:sz w:val="22"/>
                <w:szCs w:val="22"/>
              </w:rPr>
              <w:t xml:space="preserve"> to be financed under this TA take</w:t>
            </w:r>
            <w:r w:rsidR="004751A9">
              <w:rPr>
                <w:rFonts w:ascii="Times New Roman" w:hAnsi="Times New Roman" w:cs="Times New Roman"/>
                <w:color w:val="auto"/>
                <w:sz w:val="22"/>
                <w:szCs w:val="22"/>
              </w:rPr>
              <w:t>s</w:t>
            </w:r>
            <w:r w:rsidR="008936EE" w:rsidRPr="007A2B55">
              <w:rPr>
                <w:rFonts w:ascii="Times New Roman" w:hAnsi="Times New Roman" w:cs="Times New Roman"/>
                <w:color w:val="auto"/>
                <w:sz w:val="22"/>
                <w:szCs w:val="22"/>
              </w:rPr>
              <w:t xml:space="preserve"> into account</w:t>
            </w:r>
            <w:r w:rsidR="00234AB7" w:rsidRPr="007A2B55">
              <w:rPr>
                <w:rFonts w:ascii="Times New Roman" w:hAnsi="Times New Roman" w:cs="Times New Roman"/>
                <w:color w:val="auto"/>
                <w:sz w:val="22"/>
                <w:szCs w:val="22"/>
              </w:rPr>
              <w:t xml:space="preserve"> app</w:t>
            </w:r>
            <w:r w:rsidRPr="007A2B55">
              <w:rPr>
                <w:rFonts w:ascii="Times New Roman" w:hAnsi="Times New Roman" w:cs="Times New Roman"/>
                <w:color w:val="auto"/>
                <w:sz w:val="22"/>
                <w:szCs w:val="22"/>
              </w:rPr>
              <w:t>ropriate environmental and social objectives</w:t>
            </w:r>
            <w:r w:rsidR="00234AB7" w:rsidRPr="007A2B55">
              <w:rPr>
                <w:rFonts w:ascii="Times New Roman" w:hAnsi="Times New Roman" w:cs="Times New Roman"/>
                <w:color w:val="auto"/>
                <w:sz w:val="22"/>
                <w:szCs w:val="22"/>
              </w:rPr>
              <w:t xml:space="preserve"> and considerations</w:t>
            </w:r>
            <w:r w:rsidRPr="007A2B55">
              <w:rPr>
                <w:rFonts w:ascii="Times New Roman" w:hAnsi="Times New Roman" w:cs="Times New Roman"/>
                <w:color w:val="auto"/>
                <w:sz w:val="22"/>
                <w:szCs w:val="22"/>
              </w:rPr>
              <w:t>.</w:t>
            </w:r>
          </w:p>
          <w:p w:rsidR="00F92A66" w:rsidRPr="007A2B55" w:rsidRDefault="00F92A66" w:rsidP="00870327">
            <w:pPr>
              <w:rPr>
                <w:rFonts w:ascii="Times New Roman" w:hAnsi="Times New Roman" w:cs="Times New Roman"/>
                <w:color w:val="auto"/>
                <w:sz w:val="22"/>
                <w:szCs w:val="22"/>
              </w:rPr>
            </w:pPr>
          </w:p>
          <w:p w:rsidR="00F92A66" w:rsidRPr="007A2B55" w:rsidRDefault="001A76AA" w:rsidP="00870327">
            <w:pPr>
              <w:rPr>
                <w:rFonts w:ascii="Times New Roman" w:hAnsi="Times New Roman" w:cs="Times New Roman"/>
                <w:color w:val="auto"/>
                <w:sz w:val="22"/>
                <w:szCs w:val="22"/>
              </w:rPr>
            </w:pPr>
            <w:r w:rsidRPr="007A2B55">
              <w:rPr>
                <w:rFonts w:ascii="Times New Roman" w:hAnsi="Times New Roman" w:cs="Times New Roman"/>
                <w:color w:val="auto"/>
                <w:sz w:val="22"/>
                <w:szCs w:val="22"/>
              </w:rPr>
              <w:t xml:space="preserve">The </w:t>
            </w:r>
            <w:r w:rsidR="00C31D54" w:rsidRPr="007A2B55">
              <w:rPr>
                <w:rFonts w:ascii="Times New Roman" w:hAnsi="Times New Roman" w:cs="Times New Roman"/>
                <w:color w:val="auto"/>
                <w:sz w:val="22"/>
                <w:szCs w:val="22"/>
              </w:rPr>
              <w:t xml:space="preserve">TA </w:t>
            </w:r>
            <w:r w:rsidRPr="007A2B55">
              <w:rPr>
                <w:rFonts w:ascii="Times New Roman" w:hAnsi="Times New Roman" w:cs="Times New Roman"/>
                <w:color w:val="auto"/>
                <w:sz w:val="22"/>
                <w:szCs w:val="22"/>
              </w:rPr>
              <w:t xml:space="preserve">component of the operation is classified as environmental category C per OP/BP 4.01, as </w:t>
            </w:r>
            <w:r w:rsidR="00F92A66" w:rsidRPr="007A2B55">
              <w:rPr>
                <w:rFonts w:ascii="Times New Roman" w:hAnsi="Times New Roman" w:cs="Times New Roman"/>
                <w:color w:val="auto"/>
                <w:sz w:val="22"/>
                <w:szCs w:val="22"/>
              </w:rPr>
              <w:t xml:space="preserve">there are no direct </w:t>
            </w:r>
            <w:r w:rsidR="00AF3B42" w:rsidRPr="007A2B55">
              <w:rPr>
                <w:rFonts w:ascii="Times New Roman" w:hAnsi="Times New Roman" w:cs="Times New Roman"/>
                <w:color w:val="auto"/>
                <w:sz w:val="22"/>
                <w:szCs w:val="22"/>
              </w:rPr>
              <w:t xml:space="preserve">negative environmental </w:t>
            </w:r>
            <w:r w:rsidRPr="007A2B55">
              <w:rPr>
                <w:rFonts w:ascii="Times New Roman" w:hAnsi="Times New Roman" w:cs="Times New Roman"/>
                <w:color w:val="auto"/>
                <w:sz w:val="22"/>
                <w:szCs w:val="22"/>
              </w:rPr>
              <w:t>impacts</w:t>
            </w:r>
            <w:r w:rsidR="00F92A66" w:rsidRPr="007A2B55">
              <w:rPr>
                <w:rFonts w:ascii="Times New Roman" w:hAnsi="Times New Roman" w:cs="Times New Roman"/>
                <w:color w:val="auto"/>
                <w:sz w:val="22"/>
                <w:szCs w:val="22"/>
              </w:rPr>
              <w:t xml:space="preserve"> that could result from the TA activities</w:t>
            </w:r>
            <w:r w:rsidRPr="007A2B55">
              <w:rPr>
                <w:rFonts w:ascii="Times New Roman" w:hAnsi="Times New Roman" w:cs="Times New Roman"/>
                <w:color w:val="auto"/>
                <w:sz w:val="22"/>
                <w:szCs w:val="22"/>
              </w:rPr>
              <w:t xml:space="preserve">.  </w:t>
            </w:r>
          </w:p>
          <w:p w:rsidR="00F92A66" w:rsidRPr="007A2B55" w:rsidRDefault="00F92A66" w:rsidP="00870327">
            <w:pPr>
              <w:rPr>
                <w:rFonts w:ascii="Times New Roman" w:hAnsi="Times New Roman" w:cs="Times New Roman"/>
                <w:color w:val="auto"/>
                <w:sz w:val="22"/>
                <w:szCs w:val="22"/>
              </w:rPr>
            </w:pPr>
          </w:p>
          <w:p w:rsidR="00F92A66" w:rsidRPr="007A2B55" w:rsidRDefault="00F92A66" w:rsidP="00870327">
            <w:pPr>
              <w:rPr>
                <w:rFonts w:ascii="Times New Roman" w:hAnsi="Times New Roman" w:cs="Times New Roman"/>
                <w:sz w:val="22"/>
                <w:szCs w:val="22"/>
              </w:rPr>
            </w:pPr>
            <w:r w:rsidRPr="007A2B55">
              <w:rPr>
                <w:rFonts w:ascii="Times New Roman" w:hAnsi="Times New Roman" w:cs="Times New Roman"/>
                <w:sz w:val="22"/>
                <w:szCs w:val="22"/>
              </w:rPr>
              <w:t>The Terms of Reference (</w:t>
            </w:r>
            <w:proofErr w:type="spellStart"/>
            <w:r w:rsidRPr="007A2B55">
              <w:rPr>
                <w:rFonts w:ascii="Times New Roman" w:hAnsi="Times New Roman" w:cs="Times New Roman"/>
                <w:sz w:val="22"/>
                <w:szCs w:val="22"/>
              </w:rPr>
              <w:t>ToRs</w:t>
            </w:r>
            <w:proofErr w:type="spellEnd"/>
            <w:r w:rsidRPr="007A2B55">
              <w:rPr>
                <w:rFonts w:ascii="Times New Roman" w:hAnsi="Times New Roman" w:cs="Times New Roman"/>
                <w:sz w:val="22"/>
                <w:szCs w:val="22"/>
              </w:rPr>
              <w:t>) for the TA</w:t>
            </w:r>
            <w:r w:rsidR="008F059B">
              <w:rPr>
                <w:rFonts w:ascii="Times New Roman" w:hAnsi="Times New Roman" w:cs="Times New Roman"/>
                <w:sz w:val="22"/>
                <w:szCs w:val="22"/>
              </w:rPr>
              <w:t xml:space="preserve"> –to be ready by the loan’s effectiveness-</w:t>
            </w:r>
            <w:r w:rsidRPr="007A2B55">
              <w:rPr>
                <w:rFonts w:ascii="Times New Roman" w:hAnsi="Times New Roman" w:cs="Times New Roman"/>
                <w:sz w:val="22"/>
                <w:szCs w:val="22"/>
              </w:rPr>
              <w:t xml:space="preserve"> to improve bidding documents and strengthen supervision will</w:t>
            </w:r>
            <w:r w:rsidR="00234AB7" w:rsidRPr="007A2B55">
              <w:rPr>
                <w:rFonts w:ascii="Times New Roman" w:hAnsi="Times New Roman" w:cs="Times New Roman"/>
                <w:sz w:val="22"/>
                <w:szCs w:val="22"/>
              </w:rPr>
              <w:t xml:space="preserve"> include, as appropriate, </w:t>
            </w:r>
            <w:r w:rsidRPr="007A2B55">
              <w:rPr>
                <w:rFonts w:ascii="Times New Roman" w:hAnsi="Times New Roman" w:cs="Times New Roman"/>
                <w:sz w:val="22"/>
                <w:szCs w:val="22"/>
              </w:rPr>
              <w:t>the necessary environmental and social criteria.</w:t>
            </w:r>
          </w:p>
          <w:p w:rsidR="00F92A66" w:rsidRPr="007A2B55" w:rsidRDefault="00F92A66" w:rsidP="00870327">
            <w:pPr>
              <w:rPr>
                <w:rFonts w:ascii="Times New Roman" w:hAnsi="Times New Roman" w:cs="Times New Roman"/>
                <w:sz w:val="22"/>
                <w:szCs w:val="22"/>
              </w:rPr>
            </w:pPr>
          </w:p>
          <w:p w:rsidR="00F92A66" w:rsidRDefault="00F92A66" w:rsidP="00F92A66">
            <w:pPr>
              <w:rPr>
                <w:rFonts w:ascii="Times New Roman" w:hAnsi="Times New Roman" w:cs="Times New Roman"/>
                <w:sz w:val="22"/>
                <w:szCs w:val="22"/>
              </w:rPr>
            </w:pPr>
            <w:r w:rsidRPr="007A2B55">
              <w:rPr>
                <w:rFonts w:ascii="Times New Roman" w:hAnsi="Times New Roman" w:cs="Times New Roman"/>
                <w:sz w:val="22"/>
                <w:szCs w:val="22"/>
              </w:rPr>
              <w:t xml:space="preserve">The </w:t>
            </w:r>
            <w:proofErr w:type="spellStart"/>
            <w:r w:rsidRPr="007A2B55">
              <w:rPr>
                <w:rFonts w:ascii="Times New Roman" w:hAnsi="Times New Roman" w:cs="Times New Roman"/>
                <w:sz w:val="22"/>
                <w:szCs w:val="22"/>
              </w:rPr>
              <w:t>ToRs</w:t>
            </w:r>
            <w:proofErr w:type="spellEnd"/>
            <w:r w:rsidRPr="007A2B55">
              <w:rPr>
                <w:rFonts w:ascii="Times New Roman" w:hAnsi="Times New Roman" w:cs="Times New Roman"/>
                <w:sz w:val="22"/>
                <w:szCs w:val="22"/>
              </w:rPr>
              <w:t xml:space="preserve"> for the </w:t>
            </w:r>
            <w:r w:rsidR="008936EE" w:rsidRPr="007A2B55">
              <w:rPr>
                <w:rFonts w:ascii="Times New Roman" w:hAnsi="Times New Roman" w:cs="Times New Roman"/>
                <w:sz w:val="22"/>
                <w:szCs w:val="22"/>
              </w:rPr>
              <w:t xml:space="preserve">preparation </w:t>
            </w:r>
            <w:r w:rsidRPr="007A2B55">
              <w:rPr>
                <w:rFonts w:ascii="Times New Roman" w:hAnsi="Times New Roman" w:cs="Times New Roman"/>
                <w:sz w:val="22"/>
                <w:szCs w:val="22"/>
              </w:rPr>
              <w:t xml:space="preserve">of the </w:t>
            </w:r>
            <w:r w:rsidR="00DD5D42" w:rsidRPr="007A2B55">
              <w:rPr>
                <w:rFonts w:ascii="Times New Roman" w:hAnsi="Times New Roman" w:cs="Times New Roman"/>
                <w:sz w:val="22"/>
                <w:szCs w:val="22"/>
              </w:rPr>
              <w:t xml:space="preserve">Rural and the Urban Water Supply and Sanitation </w:t>
            </w:r>
            <w:r w:rsidR="00DD5D42" w:rsidRPr="007A2B55">
              <w:rPr>
                <w:rFonts w:ascii="Times New Roman" w:hAnsi="Times New Roman" w:cs="Times New Roman"/>
                <w:sz w:val="22"/>
                <w:szCs w:val="22"/>
              </w:rPr>
              <w:lastRenderedPageBreak/>
              <w:t>Strategy</w:t>
            </w:r>
            <w:r w:rsidRPr="007A2B55">
              <w:rPr>
                <w:rFonts w:ascii="Times New Roman" w:hAnsi="Times New Roman" w:cs="Times New Roman"/>
                <w:sz w:val="22"/>
                <w:szCs w:val="22"/>
              </w:rPr>
              <w:t xml:space="preserve"> </w:t>
            </w:r>
            <w:r w:rsidR="008F059B">
              <w:rPr>
                <w:rFonts w:ascii="Times New Roman" w:hAnsi="Times New Roman" w:cs="Times New Roman"/>
                <w:sz w:val="22"/>
                <w:szCs w:val="22"/>
              </w:rPr>
              <w:t xml:space="preserve">–that will be prepared during the second year of the operation - </w:t>
            </w:r>
            <w:r w:rsidRPr="007A2B55">
              <w:rPr>
                <w:rFonts w:ascii="Times New Roman" w:hAnsi="Times New Roman" w:cs="Times New Roman"/>
                <w:sz w:val="22"/>
                <w:szCs w:val="22"/>
              </w:rPr>
              <w:t>will</w:t>
            </w:r>
            <w:r w:rsidR="00234AB7" w:rsidRPr="007A2B55">
              <w:rPr>
                <w:rFonts w:ascii="Times New Roman" w:hAnsi="Times New Roman" w:cs="Times New Roman"/>
                <w:sz w:val="22"/>
                <w:szCs w:val="22"/>
              </w:rPr>
              <w:t xml:space="preserve"> include, as appropriate, </w:t>
            </w:r>
            <w:r w:rsidRPr="007A2B55">
              <w:rPr>
                <w:rFonts w:ascii="Times New Roman" w:hAnsi="Times New Roman" w:cs="Times New Roman"/>
                <w:sz w:val="22"/>
                <w:szCs w:val="22"/>
              </w:rPr>
              <w:t xml:space="preserve">environmental and social considerations. </w:t>
            </w:r>
            <w:r w:rsidR="000B2A23" w:rsidRPr="007A2B55">
              <w:rPr>
                <w:rFonts w:ascii="Times New Roman" w:hAnsi="Times New Roman" w:cs="Times New Roman"/>
                <w:sz w:val="22"/>
                <w:szCs w:val="22"/>
              </w:rPr>
              <w:t xml:space="preserve">The </w:t>
            </w:r>
            <w:r w:rsidR="00882CE0">
              <w:rPr>
                <w:rFonts w:ascii="Times New Roman" w:hAnsi="Times New Roman" w:cs="Times New Roman"/>
                <w:sz w:val="22"/>
                <w:szCs w:val="22"/>
              </w:rPr>
              <w:t>S</w:t>
            </w:r>
            <w:r w:rsidR="000B2A23" w:rsidRPr="007A2B55">
              <w:rPr>
                <w:rFonts w:ascii="Times New Roman" w:hAnsi="Times New Roman" w:cs="Times New Roman"/>
                <w:sz w:val="22"/>
                <w:szCs w:val="22"/>
              </w:rPr>
              <w:t>trategy</w:t>
            </w:r>
            <w:r w:rsidRPr="007A2B55">
              <w:rPr>
                <w:rFonts w:ascii="Times New Roman" w:hAnsi="Times New Roman" w:cs="Times New Roman"/>
                <w:sz w:val="22"/>
                <w:szCs w:val="22"/>
              </w:rPr>
              <w:t xml:space="preserve"> will be adequately consulted with the relevant stakeholders (</w:t>
            </w:r>
            <w:r w:rsidR="00DD7F9E" w:rsidRPr="007A2B55">
              <w:rPr>
                <w:rFonts w:ascii="Times New Roman" w:hAnsi="Times New Roman" w:cs="Times New Roman"/>
                <w:sz w:val="22"/>
                <w:szCs w:val="22"/>
              </w:rPr>
              <w:t>Civil Society Organizations</w:t>
            </w:r>
            <w:r w:rsidRPr="007A2B55">
              <w:rPr>
                <w:rFonts w:ascii="Times New Roman" w:hAnsi="Times New Roman" w:cs="Times New Roman"/>
                <w:sz w:val="22"/>
                <w:szCs w:val="22"/>
              </w:rPr>
              <w:t xml:space="preserve"> and </w:t>
            </w:r>
            <w:r w:rsidR="00DD7F9E" w:rsidRPr="007A2B55">
              <w:rPr>
                <w:rFonts w:ascii="Times New Roman" w:hAnsi="Times New Roman" w:cs="Times New Roman"/>
                <w:sz w:val="22"/>
                <w:szCs w:val="22"/>
              </w:rPr>
              <w:t>Indigenous Peoples Organizations</w:t>
            </w:r>
            <w:r w:rsidRPr="007A2B55">
              <w:rPr>
                <w:rFonts w:ascii="Times New Roman" w:hAnsi="Times New Roman" w:cs="Times New Roman"/>
                <w:sz w:val="22"/>
                <w:szCs w:val="22"/>
              </w:rPr>
              <w:t xml:space="preserve"> working in the water sector).</w:t>
            </w:r>
          </w:p>
          <w:p w:rsidR="00882CE0" w:rsidRDefault="00882CE0" w:rsidP="00F92A66">
            <w:pPr>
              <w:rPr>
                <w:rFonts w:ascii="Times New Roman" w:hAnsi="Times New Roman" w:cs="Times New Roman"/>
                <w:sz w:val="22"/>
                <w:szCs w:val="22"/>
              </w:rPr>
            </w:pPr>
          </w:p>
          <w:p w:rsidR="00882CE0" w:rsidRPr="007A2B55" w:rsidRDefault="00882CE0" w:rsidP="00F92A66">
            <w:pPr>
              <w:rPr>
                <w:rFonts w:ascii="Times New Roman" w:hAnsi="Times New Roman" w:cs="Times New Roman"/>
                <w:sz w:val="22"/>
                <w:szCs w:val="22"/>
              </w:rPr>
            </w:pPr>
            <w:r>
              <w:rPr>
                <w:rFonts w:ascii="Times New Roman" w:hAnsi="Times New Roman" w:cs="Times New Roman"/>
                <w:sz w:val="22"/>
                <w:szCs w:val="22"/>
              </w:rPr>
              <w:t xml:space="preserve">The World Bank will be responsible </w:t>
            </w:r>
            <w:proofErr w:type="gramStart"/>
            <w:r w:rsidR="002869B4">
              <w:rPr>
                <w:rFonts w:ascii="Times New Roman" w:hAnsi="Times New Roman" w:cs="Times New Roman"/>
                <w:sz w:val="22"/>
                <w:szCs w:val="22"/>
              </w:rPr>
              <w:t xml:space="preserve">for </w:t>
            </w:r>
            <w:r>
              <w:rPr>
                <w:rFonts w:ascii="Times New Roman" w:hAnsi="Times New Roman" w:cs="Times New Roman"/>
                <w:sz w:val="22"/>
                <w:szCs w:val="22"/>
              </w:rPr>
              <w:t xml:space="preserve"> providing</w:t>
            </w:r>
            <w:proofErr w:type="gramEnd"/>
            <w:r>
              <w:rPr>
                <w:rFonts w:ascii="Times New Roman" w:hAnsi="Times New Roman" w:cs="Times New Roman"/>
                <w:sz w:val="22"/>
                <w:szCs w:val="22"/>
              </w:rPr>
              <w:t xml:space="preserve"> no-</w:t>
            </w:r>
            <w:r w:rsidR="00720605">
              <w:rPr>
                <w:rFonts w:ascii="Times New Roman" w:hAnsi="Times New Roman" w:cs="Times New Roman"/>
                <w:sz w:val="22"/>
                <w:szCs w:val="22"/>
              </w:rPr>
              <w:t>objection to the TORs for the preparation of the Rural and Urban Water Supply and Sanitation and for the TORs related to the technical assistance to improve bidding documents and strengthen supervision.</w:t>
            </w:r>
            <w:r>
              <w:rPr>
                <w:rFonts w:ascii="Times New Roman" w:hAnsi="Times New Roman" w:cs="Times New Roman"/>
                <w:sz w:val="22"/>
                <w:szCs w:val="22"/>
              </w:rPr>
              <w:t xml:space="preserve"> </w:t>
            </w:r>
          </w:p>
          <w:p w:rsidR="00DD5D42" w:rsidRPr="007A2B55" w:rsidRDefault="00DD5D42" w:rsidP="00F92A66">
            <w:pPr>
              <w:rPr>
                <w:rFonts w:ascii="Times New Roman" w:hAnsi="Times New Roman" w:cs="Times New Roman"/>
                <w:sz w:val="22"/>
                <w:szCs w:val="22"/>
              </w:rPr>
            </w:pPr>
          </w:p>
          <w:p w:rsidR="00F92A66" w:rsidRPr="007A2B55" w:rsidRDefault="00AF3B42" w:rsidP="00F92A66">
            <w:pPr>
              <w:rPr>
                <w:rFonts w:ascii="Times New Roman" w:hAnsi="Times New Roman" w:cs="Times New Roman"/>
                <w:color w:val="auto"/>
                <w:sz w:val="22"/>
                <w:szCs w:val="22"/>
              </w:rPr>
            </w:pPr>
            <w:r w:rsidRPr="007A2B55">
              <w:rPr>
                <w:rFonts w:ascii="Times New Roman" w:hAnsi="Times New Roman" w:cs="Times New Roman"/>
                <w:color w:val="auto"/>
                <w:sz w:val="22"/>
                <w:szCs w:val="22"/>
              </w:rPr>
              <w:t xml:space="preserve">The TA will also provide assistance to improve </w:t>
            </w:r>
            <w:r w:rsidR="00F92A66" w:rsidRPr="007A2B55">
              <w:rPr>
                <w:rFonts w:ascii="Times New Roman" w:hAnsi="Times New Roman" w:cs="Times New Roman"/>
                <w:color w:val="auto"/>
                <w:sz w:val="22"/>
                <w:szCs w:val="22"/>
              </w:rPr>
              <w:t xml:space="preserve">environmental </w:t>
            </w:r>
            <w:r w:rsidR="00234AB7" w:rsidRPr="007A2B55">
              <w:rPr>
                <w:rFonts w:ascii="Times New Roman" w:hAnsi="Times New Roman" w:cs="Times New Roman"/>
                <w:color w:val="auto"/>
                <w:sz w:val="22"/>
                <w:szCs w:val="22"/>
              </w:rPr>
              <w:t xml:space="preserve">and social </w:t>
            </w:r>
            <w:r w:rsidR="00F92A66" w:rsidRPr="007A2B55">
              <w:rPr>
                <w:rFonts w:ascii="Times New Roman" w:hAnsi="Times New Roman" w:cs="Times New Roman"/>
                <w:color w:val="auto"/>
                <w:sz w:val="22"/>
                <w:szCs w:val="22"/>
              </w:rPr>
              <w:t xml:space="preserve">management systems of the </w:t>
            </w:r>
            <w:r w:rsidR="00234AB7" w:rsidRPr="007A2B55">
              <w:rPr>
                <w:rFonts w:ascii="Times New Roman" w:hAnsi="Times New Roman" w:cs="Times New Roman"/>
                <w:color w:val="auto"/>
                <w:sz w:val="22"/>
                <w:szCs w:val="22"/>
              </w:rPr>
              <w:t xml:space="preserve">two main project </w:t>
            </w:r>
            <w:r w:rsidR="00F92A66" w:rsidRPr="007A2B55">
              <w:rPr>
                <w:rFonts w:ascii="Times New Roman" w:hAnsi="Times New Roman" w:cs="Times New Roman"/>
                <w:color w:val="auto"/>
                <w:sz w:val="22"/>
                <w:szCs w:val="22"/>
              </w:rPr>
              <w:t>counterparts</w:t>
            </w:r>
            <w:r w:rsidR="004433E4">
              <w:rPr>
                <w:rFonts w:ascii="Times New Roman" w:hAnsi="Times New Roman" w:cs="Times New Roman"/>
                <w:color w:val="auto"/>
                <w:sz w:val="22"/>
                <w:szCs w:val="22"/>
              </w:rPr>
              <w:t>, CEA and SAPAO</w:t>
            </w:r>
            <w:r w:rsidR="00F92A66" w:rsidRPr="007A2B55">
              <w:rPr>
                <w:rFonts w:ascii="Times New Roman" w:hAnsi="Times New Roman" w:cs="Times New Roman"/>
                <w:color w:val="auto"/>
                <w:sz w:val="22"/>
                <w:szCs w:val="22"/>
              </w:rPr>
              <w: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Natural Habitats OP/BP 4.04</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E647CF" w:rsidP="001A76AA">
            <w:pPr>
              <w:rPr>
                <w:rFonts w:ascii="Times New Roman" w:hAnsi="Times New Roman" w:cs="Times New Roman"/>
                <w:sz w:val="22"/>
                <w:szCs w:val="22"/>
              </w:rPr>
            </w:pPr>
            <w:r w:rsidRPr="007A2B55">
              <w:rPr>
                <w:rFonts w:ascii="Times New Roman" w:hAnsi="Times New Roman" w:cs="Times New Roman"/>
                <w:color w:val="auto"/>
                <w:sz w:val="22"/>
                <w:szCs w:val="22"/>
              </w:rPr>
              <w:t>This policy is</w:t>
            </w:r>
            <w:r w:rsidR="00BE01BA" w:rsidRPr="007A2B55">
              <w:rPr>
                <w:rFonts w:ascii="Times New Roman" w:hAnsi="Times New Roman" w:cs="Times New Roman"/>
                <w:color w:val="auto"/>
                <w:sz w:val="22"/>
                <w:szCs w:val="22"/>
              </w:rPr>
              <w:t xml:space="preserve"> not</w:t>
            </w:r>
            <w:r w:rsidR="00F62912" w:rsidRPr="007A2B55">
              <w:rPr>
                <w:rFonts w:ascii="Times New Roman" w:hAnsi="Times New Roman" w:cs="Times New Roman"/>
                <w:color w:val="auto"/>
                <w:sz w:val="22"/>
                <w:szCs w:val="22"/>
              </w:rPr>
              <w:t xml:space="preserve"> triggered since the TA</w:t>
            </w:r>
            <w:r w:rsidR="001A76AA" w:rsidRPr="007A2B55">
              <w:rPr>
                <w:rFonts w:ascii="Times New Roman" w:hAnsi="Times New Roman" w:cs="Times New Roman"/>
                <w:color w:val="auto"/>
                <w:sz w:val="22"/>
                <w:szCs w:val="22"/>
              </w:rPr>
              <w:t xml:space="preserve"> component will not involve any conversion of natural habitats or critical natural habitats.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Forests OP/BP 4.36</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BE01BA" w:rsidP="001A76AA">
            <w:pPr>
              <w:rPr>
                <w:rFonts w:ascii="Times New Roman" w:hAnsi="Times New Roman" w:cs="Times New Roman"/>
                <w:sz w:val="22"/>
                <w:szCs w:val="22"/>
              </w:rPr>
            </w:pPr>
            <w:r w:rsidRPr="007A2B55">
              <w:rPr>
                <w:rFonts w:ascii="Times New Roman" w:hAnsi="Times New Roman" w:cs="Times New Roman"/>
                <w:color w:val="auto"/>
                <w:sz w:val="22"/>
                <w:szCs w:val="22"/>
              </w:rPr>
              <w:t>This policy is not</w:t>
            </w:r>
            <w:r w:rsidR="00F62912" w:rsidRPr="007A2B55">
              <w:rPr>
                <w:rFonts w:ascii="Times New Roman" w:hAnsi="Times New Roman" w:cs="Times New Roman"/>
                <w:color w:val="auto"/>
                <w:sz w:val="22"/>
                <w:szCs w:val="22"/>
              </w:rPr>
              <w:t xml:space="preserve"> triggered since the TA</w:t>
            </w:r>
            <w:r w:rsidR="001A76AA" w:rsidRPr="007A2B55">
              <w:rPr>
                <w:rFonts w:ascii="Times New Roman" w:hAnsi="Times New Roman" w:cs="Times New Roman"/>
                <w:color w:val="auto"/>
                <w:sz w:val="22"/>
                <w:szCs w:val="22"/>
              </w:rPr>
              <w:t xml:space="preserve"> component will not affect forests, forest dependent communities </w:t>
            </w:r>
            <w:r w:rsidR="004751A9">
              <w:rPr>
                <w:rFonts w:ascii="Times New Roman" w:hAnsi="Times New Roman" w:cs="Times New Roman"/>
                <w:color w:val="auto"/>
                <w:sz w:val="22"/>
                <w:szCs w:val="22"/>
              </w:rPr>
              <w:t xml:space="preserve">and </w:t>
            </w:r>
            <w:r w:rsidR="001A76AA" w:rsidRPr="007A2B55">
              <w:rPr>
                <w:rFonts w:ascii="Times New Roman" w:hAnsi="Times New Roman" w:cs="Times New Roman"/>
                <w:color w:val="auto"/>
                <w:sz w:val="22"/>
                <w:szCs w:val="22"/>
              </w:rPr>
              <w:t>will not involve changes in the management of forests.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Pest Management OP 4.09</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BE01BA" w:rsidP="001A76AA">
            <w:pPr>
              <w:rPr>
                <w:rFonts w:ascii="Times New Roman" w:hAnsi="Times New Roman" w:cs="Times New Roman"/>
                <w:sz w:val="22"/>
                <w:szCs w:val="22"/>
              </w:rPr>
            </w:pPr>
            <w:r w:rsidRPr="007A2B55">
              <w:rPr>
                <w:rFonts w:ascii="Times New Roman" w:hAnsi="Times New Roman" w:cs="Times New Roman"/>
                <w:color w:val="auto"/>
                <w:sz w:val="22"/>
                <w:szCs w:val="22"/>
              </w:rPr>
              <w:t>This policy is</w:t>
            </w:r>
            <w:r w:rsidR="001A76AA" w:rsidRPr="007A2B55">
              <w:rPr>
                <w:rFonts w:ascii="Times New Roman" w:hAnsi="Times New Roman" w:cs="Times New Roman"/>
                <w:color w:val="auto"/>
                <w:sz w:val="22"/>
                <w:szCs w:val="22"/>
              </w:rPr>
              <w:t xml:space="preserve"> not </w:t>
            </w:r>
            <w:r w:rsidR="00F62912" w:rsidRPr="007A2B55">
              <w:rPr>
                <w:rFonts w:ascii="Times New Roman" w:hAnsi="Times New Roman" w:cs="Times New Roman"/>
                <w:color w:val="auto"/>
                <w:sz w:val="22"/>
                <w:szCs w:val="22"/>
              </w:rPr>
              <w:t>triggered since the TA</w:t>
            </w:r>
            <w:r w:rsidR="001A76AA" w:rsidRPr="007A2B55">
              <w:rPr>
                <w:rFonts w:ascii="Times New Roman" w:hAnsi="Times New Roman" w:cs="Times New Roman"/>
                <w:color w:val="auto"/>
                <w:sz w:val="22"/>
                <w:szCs w:val="22"/>
              </w:rPr>
              <w:t xml:space="preserve"> component does not involve the purchase or use of pesticides.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Physical Cultural Resources OP/BP 4.11</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BE01BA" w:rsidP="001A76AA">
            <w:pPr>
              <w:rPr>
                <w:rFonts w:ascii="Times New Roman" w:hAnsi="Times New Roman" w:cs="Times New Roman"/>
                <w:sz w:val="22"/>
                <w:szCs w:val="22"/>
              </w:rPr>
            </w:pPr>
            <w:r w:rsidRPr="007A2B55">
              <w:rPr>
                <w:rFonts w:ascii="Times New Roman" w:hAnsi="Times New Roman" w:cs="Times New Roman"/>
                <w:color w:val="auto"/>
                <w:sz w:val="22"/>
                <w:szCs w:val="22"/>
              </w:rPr>
              <w:t xml:space="preserve">This policy is not </w:t>
            </w:r>
            <w:r w:rsidR="00F62912" w:rsidRPr="007A2B55">
              <w:rPr>
                <w:rFonts w:ascii="Times New Roman" w:hAnsi="Times New Roman" w:cs="Times New Roman"/>
                <w:color w:val="auto"/>
                <w:sz w:val="22"/>
                <w:szCs w:val="22"/>
              </w:rPr>
              <w:t>triggered since the TA</w:t>
            </w:r>
            <w:r w:rsidR="001A76AA" w:rsidRPr="007A2B55">
              <w:rPr>
                <w:rFonts w:ascii="Times New Roman" w:hAnsi="Times New Roman" w:cs="Times New Roman"/>
                <w:color w:val="auto"/>
                <w:sz w:val="22"/>
                <w:szCs w:val="22"/>
              </w:rPr>
              <w:t xml:space="preserve"> component does not contemplate any impacts related to physical cultural resources.</w:t>
            </w:r>
          </w:p>
        </w:tc>
      </w:tr>
      <w:tr w:rsidR="001A76AA" w:rsidTr="000028CA">
        <w:trPr>
          <w:trHeight w:val="6501"/>
        </w:trPr>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1A76AA" w:rsidP="001A76AA">
            <w:pPr>
              <w:rPr>
                <w:rFonts w:ascii="Times New Roman" w:hAnsi="Times New Roman" w:cs="Times New Roman"/>
                <w:sz w:val="22"/>
                <w:szCs w:val="22"/>
              </w:rPr>
            </w:pPr>
            <w:r w:rsidRPr="007A2B55">
              <w:rPr>
                <w:rFonts w:ascii="Times New Roman" w:hAnsi="Times New Roman" w:cs="Times New Roman"/>
                <w:sz w:val="22"/>
                <w:szCs w:val="22"/>
              </w:rPr>
              <w:t>Indigenous Peoples OP/BP 4.10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545CE"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Yes</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D7F9E" w:rsidRPr="007A2B55" w:rsidRDefault="001A76AA" w:rsidP="002D641D">
            <w:pPr>
              <w:rPr>
                <w:rFonts w:ascii="Times New Roman" w:hAnsi="Times New Roman" w:cs="Times New Roman"/>
                <w:color w:val="auto"/>
                <w:sz w:val="22"/>
                <w:szCs w:val="22"/>
              </w:rPr>
            </w:pPr>
            <w:r w:rsidRPr="007A2B55">
              <w:rPr>
                <w:rFonts w:ascii="Times New Roman" w:hAnsi="Times New Roman" w:cs="Times New Roman"/>
                <w:color w:val="auto"/>
                <w:sz w:val="22"/>
                <w:szCs w:val="22"/>
              </w:rPr>
              <w:t xml:space="preserve">This policy </w:t>
            </w:r>
            <w:r w:rsidR="00F92A66" w:rsidRPr="007A2B55">
              <w:rPr>
                <w:rFonts w:ascii="Times New Roman" w:hAnsi="Times New Roman" w:cs="Times New Roman"/>
                <w:color w:val="auto"/>
                <w:sz w:val="22"/>
                <w:szCs w:val="22"/>
              </w:rPr>
              <w:t>is</w:t>
            </w:r>
            <w:r w:rsidRPr="007A2B55">
              <w:rPr>
                <w:rFonts w:ascii="Times New Roman" w:hAnsi="Times New Roman" w:cs="Times New Roman"/>
                <w:color w:val="auto"/>
                <w:sz w:val="22"/>
                <w:szCs w:val="22"/>
              </w:rPr>
              <w:t xml:space="preserve"> triggered as the </w:t>
            </w:r>
            <w:r w:rsidR="00080593" w:rsidRPr="007A2B55">
              <w:rPr>
                <w:rFonts w:ascii="Times New Roman" w:hAnsi="Times New Roman" w:cs="Times New Roman"/>
                <w:color w:val="auto"/>
                <w:sz w:val="22"/>
                <w:szCs w:val="22"/>
              </w:rPr>
              <w:t xml:space="preserve">TA </w:t>
            </w:r>
            <w:r w:rsidRPr="007A2B55">
              <w:rPr>
                <w:rFonts w:ascii="Times New Roman" w:hAnsi="Times New Roman" w:cs="Times New Roman"/>
                <w:color w:val="auto"/>
                <w:sz w:val="22"/>
                <w:szCs w:val="22"/>
              </w:rPr>
              <w:t xml:space="preserve">component will finance </w:t>
            </w:r>
            <w:r w:rsidR="002D641D" w:rsidRPr="007A2B55">
              <w:rPr>
                <w:rFonts w:ascii="Times New Roman" w:hAnsi="Times New Roman" w:cs="Times New Roman"/>
                <w:color w:val="auto"/>
                <w:sz w:val="22"/>
                <w:szCs w:val="22"/>
              </w:rPr>
              <w:t xml:space="preserve">the development of </w:t>
            </w:r>
            <w:r w:rsidR="001D3D91" w:rsidRPr="007A2B55">
              <w:rPr>
                <w:rFonts w:ascii="Times New Roman" w:hAnsi="Times New Roman" w:cs="Times New Roman"/>
                <w:color w:val="auto"/>
                <w:sz w:val="22"/>
                <w:szCs w:val="22"/>
              </w:rPr>
              <w:t>a</w:t>
            </w:r>
            <w:r w:rsidR="00DD7F9E" w:rsidRPr="007A2B55">
              <w:rPr>
                <w:rFonts w:ascii="Times New Roman" w:hAnsi="Times New Roman" w:cs="Times New Roman"/>
                <w:color w:val="auto"/>
                <w:sz w:val="22"/>
                <w:szCs w:val="22"/>
              </w:rPr>
              <w:t xml:space="preserve"> Rural and </w:t>
            </w:r>
            <w:r w:rsidR="001D3D91" w:rsidRPr="007A2B55">
              <w:rPr>
                <w:rFonts w:ascii="Times New Roman" w:hAnsi="Times New Roman" w:cs="Times New Roman"/>
                <w:color w:val="auto"/>
                <w:sz w:val="22"/>
                <w:szCs w:val="22"/>
              </w:rPr>
              <w:t xml:space="preserve">an </w:t>
            </w:r>
            <w:r w:rsidR="00DD7F9E" w:rsidRPr="007A2B55">
              <w:rPr>
                <w:rFonts w:ascii="Times New Roman" w:hAnsi="Times New Roman" w:cs="Times New Roman"/>
                <w:color w:val="auto"/>
                <w:sz w:val="22"/>
                <w:szCs w:val="22"/>
              </w:rPr>
              <w:t>Urban Water Supply and Sanitation Strategy</w:t>
            </w:r>
            <w:r w:rsidR="002D641D" w:rsidRPr="007A2B55">
              <w:rPr>
                <w:rFonts w:ascii="Times New Roman" w:hAnsi="Times New Roman" w:cs="Times New Roman"/>
                <w:color w:val="auto"/>
                <w:sz w:val="22"/>
                <w:szCs w:val="22"/>
              </w:rPr>
              <w:t xml:space="preserve">, and </w:t>
            </w:r>
            <w:r w:rsidR="001D3D91" w:rsidRPr="007A2B55">
              <w:rPr>
                <w:rFonts w:ascii="Times New Roman" w:hAnsi="Times New Roman" w:cs="Times New Roman"/>
                <w:sz w:val="22"/>
                <w:szCs w:val="22"/>
              </w:rPr>
              <w:t>the design of pilot approaches to providing sustainable rural WSS implementation and support services</w:t>
            </w:r>
            <w:r w:rsidR="00DD7F9E" w:rsidRPr="007A2B55">
              <w:rPr>
                <w:rFonts w:ascii="Times New Roman" w:hAnsi="Times New Roman" w:cs="Times New Roman"/>
                <w:color w:val="auto"/>
                <w:sz w:val="22"/>
                <w:szCs w:val="22"/>
              </w:rPr>
              <w:t>.</w:t>
            </w:r>
          </w:p>
          <w:p w:rsidR="00DD7F9E" w:rsidRPr="007A2B55" w:rsidRDefault="00DD7F9E" w:rsidP="002D641D">
            <w:pPr>
              <w:rPr>
                <w:rFonts w:ascii="Times New Roman" w:hAnsi="Times New Roman" w:cs="Times New Roman"/>
                <w:color w:val="auto"/>
                <w:sz w:val="22"/>
                <w:szCs w:val="22"/>
              </w:rPr>
            </w:pPr>
          </w:p>
          <w:p w:rsidR="00DD7F9E" w:rsidRPr="007A2B55" w:rsidRDefault="00882CE0" w:rsidP="00DD7F9E">
            <w:pPr>
              <w:rPr>
                <w:rFonts w:ascii="Times New Roman" w:hAnsi="Times New Roman" w:cs="Times New Roman"/>
                <w:sz w:val="22"/>
                <w:szCs w:val="22"/>
              </w:rPr>
            </w:pPr>
            <w:r>
              <w:rPr>
                <w:rFonts w:ascii="Times New Roman" w:hAnsi="Times New Roman" w:cs="Times New Roman"/>
                <w:color w:val="auto"/>
                <w:sz w:val="22"/>
                <w:szCs w:val="22"/>
              </w:rPr>
              <w:t>The World Bank will provide the no-objection to t</w:t>
            </w:r>
            <w:r w:rsidR="00DD7F9E" w:rsidRPr="007A2B55">
              <w:rPr>
                <w:rFonts w:ascii="Times New Roman" w:hAnsi="Times New Roman" w:cs="Times New Roman"/>
                <w:color w:val="auto"/>
                <w:sz w:val="22"/>
                <w:szCs w:val="22"/>
              </w:rPr>
              <w:t xml:space="preserve">he </w:t>
            </w:r>
            <w:proofErr w:type="spellStart"/>
            <w:r w:rsidR="00BE01BA" w:rsidRPr="007A2B55">
              <w:rPr>
                <w:rFonts w:ascii="Times New Roman" w:hAnsi="Times New Roman" w:cs="Times New Roman"/>
                <w:sz w:val="22"/>
                <w:szCs w:val="22"/>
              </w:rPr>
              <w:t>ToR</w:t>
            </w:r>
            <w:proofErr w:type="spellEnd"/>
            <w:r w:rsidR="00DD7F9E" w:rsidRPr="007A2B55">
              <w:rPr>
                <w:rFonts w:ascii="Times New Roman" w:hAnsi="Times New Roman" w:cs="Times New Roman"/>
                <w:sz w:val="22"/>
                <w:szCs w:val="22"/>
              </w:rPr>
              <w:t xml:space="preserve"> for the </w:t>
            </w:r>
            <w:r w:rsidR="001D3D91" w:rsidRPr="007A2B55">
              <w:rPr>
                <w:rFonts w:ascii="Times New Roman" w:hAnsi="Times New Roman" w:cs="Times New Roman"/>
                <w:sz w:val="22"/>
                <w:szCs w:val="22"/>
              </w:rPr>
              <w:t xml:space="preserve">preparation of the Rural and the Urban Water Supply and Sanitation Strategy </w:t>
            </w:r>
            <w:r w:rsidR="00DD7F9E" w:rsidRPr="007A2B55">
              <w:rPr>
                <w:rFonts w:ascii="Times New Roman" w:hAnsi="Times New Roman" w:cs="Times New Roman"/>
                <w:sz w:val="22"/>
                <w:szCs w:val="22"/>
              </w:rPr>
              <w:t>to ensure that any activity and advice is in line with the principles of OP 4.10. In addition, th</w:t>
            </w:r>
            <w:r w:rsidR="001D3D91" w:rsidRPr="007A2B55">
              <w:rPr>
                <w:rFonts w:ascii="Times New Roman" w:hAnsi="Times New Roman" w:cs="Times New Roman"/>
                <w:sz w:val="22"/>
                <w:szCs w:val="22"/>
              </w:rPr>
              <w:t>e</w:t>
            </w:r>
            <w:r w:rsidR="00DD7F9E" w:rsidRPr="007A2B55">
              <w:rPr>
                <w:rFonts w:ascii="Times New Roman" w:hAnsi="Times New Roman" w:cs="Times New Roman"/>
                <w:sz w:val="22"/>
                <w:szCs w:val="22"/>
              </w:rPr>
              <w:t xml:space="preserve"> Strat</w:t>
            </w:r>
            <w:r w:rsidR="00BE01BA" w:rsidRPr="007A2B55">
              <w:rPr>
                <w:rFonts w:ascii="Times New Roman" w:hAnsi="Times New Roman" w:cs="Times New Roman"/>
                <w:sz w:val="22"/>
                <w:szCs w:val="22"/>
              </w:rPr>
              <w:t>eg</w:t>
            </w:r>
            <w:r w:rsidR="000B2A23" w:rsidRPr="007A2B55">
              <w:rPr>
                <w:rFonts w:ascii="Times New Roman" w:hAnsi="Times New Roman" w:cs="Times New Roman"/>
                <w:sz w:val="22"/>
                <w:szCs w:val="22"/>
              </w:rPr>
              <w:t>y</w:t>
            </w:r>
            <w:r w:rsidR="007A2B55" w:rsidRPr="007A2B55">
              <w:rPr>
                <w:rFonts w:ascii="Times New Roman" w:hAnsi="Times New Roman" w:cs="Times New Roman"/>
                <w:sz w:val="22"/>
                <w:szCs w:val="22"/>
              </w:rPr>
              <w:t xml:space="preserve"> </w:t>
            </w:r>
            <w:r w:rsidR="00BE01BA" w:rsidRPr="007A2B55">
              <w:rPr>
                <w:rFonts w:ascii="Times New Roman" w:hAnsi="Times New Roman" w:cs="Times New Roman"/>
                <w:sz w:val="22"/>
                <w:szCs w:val="22"/>
              </w:rPr>
              <w:t>will be adequately discussed</w:t>
            </w:r>
            <w:r w:rsidR="00DD7F9E" w:rsidRPr="007A2B55">
              <w:rPr>
                <w:rFonts w:ascii="Times New Roman" w:hAnsi="Times New Roman" w:cs="Times New Roman"/>
                <w:sz w:val="22"/>
                <w:szCs w:val="22"/>
              </w:rPr>
              <w:t xml:space="preserve"> with the relevant IPOs working in the water sector.</w:t>
            </w:r>
          </w:p>
          <w:p w:rsidR="00DD7F9E" w:rsidRPr="007A2B55" w:rsidRDefault="00DD7F9E" w:rsidP="002D641D">
            <w:pPr>
              <w:rPr>
                <w:rFonts w:ascii="Times New Roman" w:hAnsi="Times New Roman" w:cs="Times New Roman"/>
                <w:color w:val="auto"/>
                <w:sz w:val="22"/>
                <w:szCs w:val="22"/>
              </w:rPr>
            </w:pPr>
          </w:p>
          <w:p w:rsidR="001A76AA" w:rsidRDefault="007C6ED1" w:rsidP="007C6ED1">
            <w:pPr>
              <w:pStyle w:val="NoSpacing"/>
              <w:tabs>
                <w:tab w:val="left" w:pos="990"/>
              </w:tabs>
              <w:autoSpaceDE w:val="0"/>
              <w:autoSpaceDN w:val="0"/>
              <w:adjustRightInd w:val="0"/>
              <w:rPr>
                <w:rFonts w:ascii="Times New Roman" w:hAnsi="Times New Roman" w:cs="Times New Roman"/>
              </w:rPr>
            </w:pPr>
            <w:r w:rsidRPr="007C6ED1">
              <w:rPr>
                <w:rFonts w:ascii="Times New Roman" w:hAnsi="Times New Roman" w:cs="Times New Roman"/>
                <w:color w:val="000000"/>
              </w:rPr>
              <w:t xml:space="preserve">Indigenous Peoples comprise the majority of beneficiaries of the </w:t>
            </w:r>
            <w:r w:rsidRPr="007C6ED1">
              <w:rPr>
                <w:rFonts w:ascii="Times New Roman" w:hAnsi="Times New Roman" w:cs="Times New Roman"/>
              </w:rPr>
              <w:t>design of the pilot approaches to providing sustainable rural WSS and support services</w:t>
            </w:r>
            <w:r w:rsidRPr="007C6ED1">
              <w:rPr>
                <w:rFonts w:ascii="Times New Roman" w:hAnsi="Times New Roman" w:cs="Times New Roman"/>
                <w:color w:val="000000"/>
              </w:rPr>
              <w:t xml:space="preserve">. </w:t>
            </w:r>
            <w:r w:rsidR="00DD7F9E" w:rsidRPr="007C6ED1">
              <w:rPr>
                <w:rFonts w:ascii="Times New Roman" w:hAnsi="Times New Roman" w:cs="Times New Roman"/>
                <w:color w:val="000000"/>
              </w:rPr>
              <w:t xml:space="preserve">In </w:t>
            </w:r>
            <w:r w:rsidRPr="007C6ED1">
              <w:rPr>
                <w:rFonts w:ascii="Times New Roman" w:hAnsi="Times New Roman" w:cs="Times New Roman"/>
                <w:color w:val="000000"/>
              </w:rPr>
              <w:t xml:space="preserve">this </w:t>
            </w:r>
            <w:r w:rsidR="00DD7F9E" w:rsidRPr="007C6ED1">
              <w:rPr>
                <w:rFonts w:ascii="Times New Roman" w:hAnsi="Times New Roman" w:cs="Times New Roman"/>
                <w:color w:val="000000"/>
              </w:rPr>
              <w:t>regard</w:t>
            </w:r>
            <w:r w:rsidRPr="007C6ED1">
              <w:rPr>
                <w:rFonts w:ascii="Times New Roman" w:hAnsi="Times New Roman" w:cs="Times New Roman"/>
                <w:color w:val="000000"/>
              </w:rPr>
              <w:t xml:space="preserve">, the design of the pilot will not require a separate </w:t>
            </w:r>
            <w:r w:rsidRPr="006108EB">
              <w:rPr>
                <w:rFonts w:ascii="Times New Roman" w:hAnsi="Times New Roman" w:cs="Times New Roman"/>
              </w:rPr>
              <w:t>Indigenous Peoples Plan.</w:t>
            </w:r>
            <w:r w:rsidR="00DD7F9E" w:rsidRPr="007A2B55">
              <w:rPr>
                <w:rFonts w:ascii="Times New Roman" w:hAnsi="Times New Roman" w:cs="Times New Roman"/>
              </w:rPr>
              <w:t xml:space="preserve"> </w:t>
            </w:r>
            <w:r>
              <w:rPr>
                <w:rFonts w:ascii="Times New Roman" w:hAnsi="Times New Roman" w:cs="Times New Roman"/>
              </w:rPr>
              <w:t>However, i</w:t>
            </w:r>
            <w:r w:rsidR="00DD7F9E" w:rsidRPr="007A2B55">
              <w:rPr>
                <w:rFonts w:ascii="Times New Roman" w:hAnsi="Times New Roman" w:cs="Times New Roman"/>
              </w:rPr>
              <w:t>n conformity with OP 4.10</w:t>
            </w:r>
            <w:r>
              <w:rPr>
                <w:rFonts w:ascii="Times New Roman" w:hAnsi="Times New Roman" w:cs="Times New Roman"/>
              </w:rPr>
              <w:t>,</w:t>
            </w:r>
            <w:r w:rsidR="00DD7F9E" w:rsidRPr="007A2B55">
              <w:rPr>
                <w:rFonts w:ascii="Times New Roman" w:hAnsi="Times New Roman" w:cs="Times New Roman"/>
              </w:rPr>
              <w:t xml:space="preserve"> the elements of an Indigenous Peoples Plan will be included in the overall activity design. The detailed design of this activity will be done during implementation in consultation with the </w:t>
            </w:r>
            <w:r w:rsidR="00573262" w:rsidRPr="007A2B55">
              <w:rPr>
                <w:rFonts w:ascii="Times New Roman" w:hAnsi="Times New Roman" w:cs="Times New Roman"/>
              </w:rPr>
              <w:t xml:space="preserve">relevant </w:t>
            </w:r>
            <w:r w:rsidR="00DD7F9E" w:rsidRPr="007A2B55">
              <w:rPr>
                <w:rFonts w:ascii="Times New Roman" w:hAnsi="Times New Roman" w:cs="Times New Roman"/>
              </w:rPr>
              <w:t xml:space="preserve">IPOs. </w:t>
            </w:r>
            <w:r w:rsidR="004433E4">
              <w:rPr>
                <w:rFonts w:ascii="Times New Roman" w:hAnsi="Times New Roman" w:cs="Times New Roman"/>
              </w:rPr>
              <w:t xml:space="preserve">The World Bank will be responsible </w:t>
            </w:r>
            <w:r w:rsidR="002869B4">
              <w:rPr>
                <w:rFonts w:ascii="Times New Roman" w:hAnsi="Times New Roman" w:cs="Times New Roman"/>
              </w:rPr>
              <w:t xml:space="preserve">for </w:t>
            </w:r>
            <w:r w:rsidR="004433E4">
              <w:rPr>
                <w:rFonts w:ascii="Times New Roman" w:hAnsi="Times New Roman" w:cs="Times New Roman"/>
              </w:rPr>
              <w:t>providing no-objection to the TORs of the design of the pilot approaches to providing sustainable rural WSS and support services</w:t>
            </w:r>
            <w:r w:rsidR="00D4344B">
              <w:rPr>
                <w:rFonts w:ascii="Times New Roman" w:hAnsi="Times New Roman" w:cs="Times New Roman"/>
              </w:rPr>
              <w:t xml:space="preserve"> –to be prepared during the second year of the operation</w:t>
            </w:r>
            <w:r w:rsidR="004433E4">
              <w:rPr>
                <w:rFonts w:ascii="Times New Roman" w:hAnsi="Times New Roman" w:cs="Times New Roman"/>
              </w:rPr>
              <w:t>.</w:t>
            </w:r>
          </w:p>
          <w:p w:rsidR="00720605" w:rsidRDefault="00720605" w:rsidP="007C6ED1">
            <w:pPr>
              <w:pStyle w:val="NoSpacing"/>
              <w:tabs>
                <w:tab w:val="left" w:pos="990"/>
              </w:tabs>
              <w:autoSpaceDE w:val="0"/>
              <w:autoSpaceDN w:val="0"/>
              <w:adjustRightInd w:val="0"/>
              <w:rPr>
                <w:rFonts w:ascii="Times New Roman" w:hAnsi="Times New Roman" w:cs="Times New Roman"/>
              </w:rPr>
            </w:pPr>
          </w:p>
          <w:p w:rsidR="00720605" w:rsidRPr="007A2B55" w:rsidRDefault="00BB641A" w:rsidP="0067370A">
            <w:pPr>
              <w:pStyle w:val="NoSpacing"/>
              <w:tabs>
                <w:tab w:val="left" w:pos="990"/>
              </w:tabs>
              <w:autoSpaceDE w:val="0"/>
              <w:autoSpaceDN w:val="0"/>
              <w:adjustRightInd w:val="0"/>
              <w:rPr>
                <w:rFonts w:ascii="Times New Roman Bold" w:eastAsia="Times New Roman" w:hAnsi="Times New Roman Bold" w:cs="Arial"/>
                <w:iCs/>
                <w:kern w:val="32"/>
              </w:rPr>
            </w:pPr>
            <w:r>
              <w:rPr>
                <w:rFonts w:ascii="Times New Roman" w:hAnsi="Times New Roman" w:cs="Times New Roman"/>
              </w:rPr>
              <w:t xml:space="preserve">The team will </w:t>
            </w:r>
            <w:r w:rsidR="0067370A">
              <w:rPr>
                <w:rFonts w:ascii="Times New Roman" w:hAnsi="Times New Roman" w:cs="Times New Roman"/>
              </w:rPr>
              <w:t>assist the State of Oaxaca in the preparation of the TORs of t</w:t>
            </w:r>
            <w:r w:rsidR="00720605">
              <w:rPr>
                <w:rFonts w:ascii="Times New Roman" w:hAnsi="Times New Roman" w:cs="Times New Roman"/>
              </w:rPr>
              <w:t xml:space="preserve">he Public Expenditure review of the Oaxaca WSS Sector </w:t>
            </w:r>
            <w:r w:rsidR="0067370A">
              <w:rPr>
                <w:rFonts w:ascii="Times New Roman" w:hAnsi="Times New Roman" w:cs="Times New Roman"/>
              </w:rPr>
              <w:t xml:space="preserve">to </w:t>
            </w:r>
            <w:r w:rsidR="00720605">
              <w:rPr>
                <w:rFonts w:ascii="Times New Roman" w:hAnsi="Times New Roman" w:cs="Times New Roman"/>
              </w:rPr>
              <w:t>include</w:t>
            </w:r>
            <w:r w:rsidR="0067370A">
              <w:rPr>
                <w:rFonts w:ascii="Times New Roman" w:hAnsi="Times New Roman" w:cs="Times New Roman"/>
              </w:rPr>
              <w:t>, when information allows it,</w:t>
            </w:r>
            <w:r w:rsidR="00720605">
              <w:rPr>
                <w:rFonts w:ascii="Times New Roman" w:hAnsi="Times New Roman" w:cs="Times New Roman"/>
              </w:rPr>
              <w:t xml:space="preserve"> disaggregated data to assess how much of the resources have reached </w:t>
            </w:r>
            <w:r w:rsidR="0067370A">
              <w:rPr>
                <w:rFonts w:ascii="Times New Roman" w:hAnsi="Times New Roman" w:cs="Times New Roman"/>
              </w:rPr>
              <w:t xml:space="preserve">the poorest and </w:t>
            </w:r>
            <w:r w:rsidR="00720605">
              <w:rPr>
                <w:rFonts w:ascii="Times New Roman" w:hAnsi="Times New Roman" w:cs="Times New Roman"/>
              </w:rPr>
              <w:t>IPs.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Involuntary Resettlement OP/BP 4.12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 xml:space="preserve">No  </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E39D1" w:rsidRPr="007A2B55" w:rsidRDefault="001A76AA" w:rsidP="00CE39D1">
            <w:pPr>
              <w:rPr>
                <w:rFonts w:ascii="Times New Roman" w:hAnsi="Times New Roman" w:cs="Times New Roman"/>
                <w:color w:val="auto"/>
                <w:sz w:val="22"/>
                <w:szCs w:val="22"/>
              </w:rPr>
            </w:pPr>
            <w:r w:rsidRPr="007A2B55">
              <w:rPr>
                <w:rFonts w:ascii="Times New Roman" w:hAnsi="Times New Roman" w:cs="Times New Roman"/>
                <w:color w:val="auto"/>
                <w:sz w:val="22"/>
                <w:szCs w:val="22"/>
              </w:rPr>
              <w:t xml:space="preserve">This policy </w:t>
            </w:r>
            <w:r w:rsidR="00547B9D" w:rsidRPr="007A2B55">
              <w:rPr>
                <w:rFonts w:ascii="Times New Roman" w:hAnsi="Times New Roman" w:cs="Times New Roman"/>
                <w:color w:val="auto"/>
                <w:sz w:val="22"/>
                <w:szCs w:val="22"/>
              </w:rPr>
              <w:t xml:space="preserve">is not </w:t>
            </w:r>
            <w:r w:rsidR="00F62912" w:rsidRPr="007A2B55">
              <w:rPr>
                <w:rFonts w:ascii="Times New Roman" w:hAnsi="Times New Roman" w:cs="Times New Roman"/>
                <w:color w:val="auto"/>
                <w:sz w:val="22"/>
                <w:szCs w:val="22"/>
              </w:rPr>
              <w:t>triggered because the TA</w:t>
            </w:r>
            <w:r w:rsidRPr="007A2B55">
              <w:rPr>
                <w:rFonts w:ascii="Times New Roman" w:hAnsi="Times New Roman" w:cs="Times New Roman"/>
                <w:color w:val="auto"/>
                <w:sz w:val="22"/>
                <w:szCs w:val="22"/>
              </w:rPr>
              <w:t xml:space="preserve"> component will finance technical assistance activities</w:t>
            </w:r>
            <w:r w:rsidR="00DD7F9E" w:rsidRPr="007A2B55">
              <w:rPr>
                <w:rFonts w:ascii="Times New Roman" w:hAnsi="Times New Roman" w:cs="Times New Roman"/>
                <w:color w:val="auto"/>
                <w:sz w:val="22"/>
                <w:szCs w:val="22"/>
              </w:rPr>
              <w:t xml:space="preserve"> at a strategic level</w:t>
            </w:r>
            <w:r w:rsidRPr="007A2B55">
              <w:rPr>
                <w:rFonts w:ascii="Times New Roman" w:hAnsi="Times New Roman" w:cs="Times New Roman"/>
                <w:color w:val="auto"/>
                <w:sz w:val="22"/>
                <w:szCs w:val="22"/>
              </w:rPr>
              <w:t>.</w:t>
            </w:r>
            <w:r w:rsidR="00504697" w:rsidRPr="007A2B55">
              <w:rPr>
                <w:rFonts w:ascii="Times New Roman" w:hAnsi="Times New Roman" w:cs="Times New Roman"/>
                <w:color w:val="auto"/>
                <w:sz w:val="22"/>
                <w:szCs w:val="22"/>
              </w:rPr>
              <w:t xml:space="preserve"> The </w:t>
            </w:r>
            <w:r w:rsidR="006E6C2A" w:rsidRPr="007A2B55">
              <w:rPr>
                <w:rFonts w:ascii="Times New Roman" w:hAnsi="Times New Roman" w:cs="Times New Roman"/>
                <w:color w:val="auto"/>
                <w:sz w:val="22"/>
                <w:szCs w:val="22"/>
              </w:rPr>
              <w:t>R</w:t>
            </w:r>
            <w:r w:rsidR="00504697" w:rsidRPr="007A2B55">
              <w:rPr>
                <w:rFonts w:ascii="Times New Roman" w:hAnsi="Times New Roman" w:cs="Times New Roman"/>
                <w:color w:val="auto"/>
                <w:sz w:val="22"/>
                <w:szCs w:val="22"/>
              </w:rPr>
              <w:t>ural and</w:t>
            </w:r>
            <w:r w:rsidR="001D3D91" w:rsidRPr="007A2B55">
              <w:rPr>
                <w:rFonts w:ascii="Times New Roman" w:hAnsi="Times New Roman" w:cs="Times New Roman"/>
                <w:color w:val="auto"/>
                <w:sz w:val="22"/>
                <w:szCs w:val="22"/>
              </w:rPr>
              <w:t xml:space="preserve"> the</w:t>
            </w:r>
            <w:r w:rsidR="00504697" w:rsidRPr="007A2B55">
              <w:rPr>
                <w:rFonts w:ascii="Times New Roman" w:hAnsi="Times New Roman" w:cs="Times New Roman"/>
                <w:color w:val="auto"/>
                <w:sz w:val="22"/>
                <w:szCs w:val="22"/>
              </w:rPr>
              <w:t xml:space="preserve"> </w:t>
            </w:r>
            <w:r w:rsidR="006E6C2A" w:rsidRPr="007A2B55">
              <w:rPr>
                <w:rFonts w:ascii="Times New Roman" w:hAnsi="Times New Roman" w:cs="Times New Roman"/>
                <w:color w:val="auto"/>
                <w:sz w:val="22"/>
                <w:szCs w:val="22"/>
              </w:rPr>
              <w:t>U</w:t>
            </w:r>
            <w:r w:rsidR="00504697" w:rsidRPr="007A2B55">
              <w:rPr>
                <w:rFonts w:ascii="Times New Roman" w:hAnsi="Times New Roman" w:cs="Times New Roman"/>
                <w:color w:val="auto"/>
                <w:sz w:val="22"/>
                <w:szCs w:val="22"/>
              </w:rPr>
              <w:t xml:space="preserve">rban </w:t>
            </w:r>
            <w:r w:rsidR="006E6C2A" w:rsidRPr="007A2B55">
              <w:rPr>
                <w:rFonts w:ascii="Times New Roman" w:hAnsi="Times New Roman" w:cs="Times New Roman"/>
                <w:color w:val="auto"/>
                <w:sz w:val="22"/>
                <w:szCs w:val="22"/>
              </w:rPr>
              <w:t>W</w:t>
            </w:r>
            <w:r w:rsidR="00504697" w:rsidRPr="007A2B55">
              <w:rPr>
                <w:rFonts w:ascii="Times New Roman" w:hAnsi="Times New Roman" w:cs="Times New Roman"/>
                <w:color w:val="auto"/>
                <w:sz w:val="22"/>
                <w:szCs w:val="22"/>
              </w:rPr>
              <w:t xml:space="preserve">ater </w:t>
            </w:r>
            <w:r w:rsidR="006E6C2A" w:rsidRPr="007A2B55">
              <w:rPr>
                <w:rFonts w:ascii="Times New Roman" w:hAnsi="Times New Roman" w:cs="Times New Roman"/>
                <w:color w:val="auto"/>
                <w:sz w:val="22"/>
                <w:szCs w:val="22"/>
              </w:rPr>
              <w:t>S</w:t>
            </w:r>
            <w:r w:rsidR="00504697" w:rsidRPr="007A2B55">
              <w:rPr>
                <w:rFonts w:ascii="Times New Roman" w:hAnsi="Times New Roman" w:cs="Times New Roman"/>
                <w:color w:val="auto"/>
                <w:sz w:val="22"/>
                <w:szCs w:val="22"/>
              </w:rPr>
              <w:t xml:space="preserve">upply and </w:t>
            </w:r>
            <w:r w:rsidR="006E6C2A" w:rsidRPr="007A2B55">
              <w:rPr>
                <w:rFonts w:ascii="Times New Roman" w:hAnsi="Times New Roman" w:cs="Times New Roman"/>
                <w:color w:val="auto"/>
                <w:sz w:val="22"/>
                <w:szCs w:val="22"/>
              </w:rPr>
              <w:t>S</w:t>
            </w:r>
            <w:r w:rsidR="00504697" w:rsidRPr="007A2B55">
              <w:rPr>
                <w:rFonts w:ascii="Times New Roman" w:hAnsi="Times New Roman" w:cs="Times New Roman"/>
                <w:color w:val="auto"/>
                <w:sz w:val="22"/>
                <w:szCs w:val="22"/>
              </w:rPr>
              <w:t xml:space="preserve">anitation </w:t>
            </w:r>
            <w:r w:rsidR="006E6C2A" w:rsidRPr="007A2B55">
              <w:rPr>
                <w:rFonts w:ascii="Times New Roman" w:hAnsi="Times New Roman" w:cs="Times New Roman"/>
                <w:color w:val="auto"/>
                <w:sz w:val="22"/>
                <w:szCs w:val="22"/>
              </w:rPr>
              <w:t>S</w:t>
            </w:r>
            <w:r w:rsidR="00504697" w:rsidRPr="007A2B55">
              <w:rPr>
                <w:rFonts w:ascii="Times New Roman" w:hAnsi="Times New Roman" w:cs="Times New Roman"/>
                <w:color w:val="auto"/>
                <w:sz w:val="22"/>
                <w:szCs w:val="22"/>
              </w:rPr>
              <w:t xml:space="preserve">trategy will help the client identify necessary investments for the long term development of the sector. </w:t>
            </w:r>
            <w:r w:rsidR="002D641D" w:rsidRPr="007A2B55">
              <w:rPr>
                <w:rFonts w:ascii="Times New Roman" w:hAnsi="Times New Roman" w:cs="Times New Roman"/>
                <w:color w:val="auto"/>
                <w:sz w:val="22"/>
                <w:szCs w:val="22"/>
              </w:rPr>
              <w:t xml:space="preserve">Given the nature of this activity where broad sector </w:t>
            </w:r>
            <w:r w:rsidR="002D641D" w:rsidRPr="007A2B55">
              <w:rPr>
                <w:rFonts w:ascii="Times New Roman" w:hAnsi="Times New Roman" w:cs="Times New Roman"/>
                <w:color w:val="auto"/>
                <w:sz w:val="22"/>
                <w:szCs w:val="22"/>
              </w:rPr>
              <w:lastRenderedPageBreak/>
              <w:t>invest</w:t>
            </w:r>
            <w:r w:rsidR="00547B9D" w:rsidRPr="007A2B55">
              <w:rPr>
                <w:rFonts w:ascii="Times New Roman" w:hAnsi="Times New Roman" w:cs="Times New Roman"/>
                <w:color w:val="auto"/>
                <w:sz w:val="22"/>
                <w:szCs w:val="22"/>
              </w:rPr>
              <w:t>ment priorities are identified,</w:t>
            </w:r>
            <w:r w:rsidR="00504697" w:rsidRPr="007A2B55">
              <w:rPr>
                <w:rFonts w:ascii="Times New Roman" w:hAnsi="Times New Roman" w:cs="Times New Roman"/>
                <w:color w:val="auto"/>
                <w:sz w:val="22"/>
                <w:szCs w:val="22"/>
              </w:rPr>
              <w:t xml:space="preserve"> </w:t>
            </w:r>
            <w:r w:rsidR="002D641D" w:rsidRPr="007A2B55">
              <w:rPr>
                <w:rFonts w:ascii="Times New Roman" w:hAnsi="Times New Roman" w:cs="Times New Roman"/>
                <w:color w:val="auto"/>
                <w:sz w:val="22"/>
                <w:szCs w:val="22"/>
              </w:rPr>
              <w:t>the strateg</w:t>
            </w:r>
            <w:r w:rsidR="000B2A23" w:rsidRPr="007A2B55">
              <w:rPr>
                <w:rFonts w:ascii="Times New Roman" w:hAnsi="Times New Roman" w:cs="Times New Roman"/>
                <w:color w:val="auto"/>
                <w:sz w:val="22"/>
                <w:szCs w:val="22"/>
              </w:rPr>
              <w:t>y</w:t>
            </w:r>
            <w:r w:rsidR="002D641D" w:rsidRPr="007A2B55">
              <w:rPr>
                <w:rFonts w:ascii="Times New Roman" w:hAnsi="Times New Roman" w:cs="Times New Roman"/>
                <w:color w:val="auto"/>
                <w:sz w:val="22"/>
                <w:szCs w:val="22"/>
              </w:rPr>
              <w:t xml:space="preserve"> will</w:t>
            </w:r>
            <w:r w:rsidR="00504697" w:rsidRPr="007A2B55">
              <w:rPr>
                <w:rFonts w:ascii="Times New Roman" w:hAnsi="Times New Roman" w:cs="Times New Roman"/>
                <w:color w:val="auto"/>
                <w:sz w:val="22"/>
                <w:szCs w:val="22"/>
              </w:rPr>
              <w:t xml:space="preserve"> not support the design of site specific investments that may require involuntary resettlement, nor the design of water </w:t>
            </w:r>
            <w:r w:rsidR="00B10EFE" w:rsidRPr="007A2B55">
              <w:rPr>
                <w:rFonts w:ascii="Times New Roman" w:hAnsi="Times New Roman" w:cs="Times New Roman"/>
                <w:color w:val="auto"/>
                <w:sz w:val="22"/>
                <w:szCs w:val="22"/>
              </w:rPr>
              <w:t>resource</w:t>
            </w:r>
            <w:r w:rsidR="00504697" w:rsidRPr="007A2B55">
              <w:rPr>
                <w:rFonts w:ascii="Times New Roman" w:hAnsi="Times New Roman" w:cs="Times New Roman"/>
                <w:color w:val="auto"/>
                <w:sz w:val="22"/>
                <w:szCs w:val="22"/>
              </w:rPr>
              <w:t xml:space="preserve"> management plans that may result in </w:t>
            </w:r>
            <w:r w:rsidR="002D641D" w:rsidRPr="007A2B55">
              <w:rPr>
                <w:rFonts w:ascii="Times New Roman" w:hAnsi="Times New Roman" w:cs="Times New Roman"/>
                <w:color w:val="auto"/>
                <w:sz w:val="22"/>
                <w:szCs w:val="22"/>
              </w:rPr>
              <w:t xml:space="preserve">restrictions in land use or access to natural resources. </w:t>
            </w:r>
          </w:p>
          <w:p w:rsidR="00CE39D1" w:rsidRPr="007A2B55" w:rsidRDefault="00CE39D1" w:rsidP="00CE39D1">
            <w:pPr>
              <w:rPr>
                <w:rFonts w:ascii="Times New Roman" w:hAnsi="Times New Roman" w:cs="Times New Roman"/>
                <w:color w:val="auto"/>
                <w:sz w:val="22"/>
                <w:szCs w:val="22"/>
              </w:rPr>
            </w:pPr>
          </w:p>
          <w:p w:rsidR="001A76AA" w:rsidRPr="007A2B55" w:rsidRDefault="00CE39D1" w:rsidP="000B2A23">
            <w:pPr>
              <w:rPr>
                <w:rFonts w:ascii="Times New Roman" w:hAnsi="Times New Roman" w:cs="Times New Roman"/>
                <w:sz w:val="22"/>
                <w:szCs w:val="22"/>
              </w:rPr>
            </w:pPr>
            <w:r w:rsidRPr="007A2B55">
              <w:rPr>
                <w:rFonts w:ascii="Times New Roman" w:hAnsi="Times New Roman" w:cs="Times New Roman"/>
                <w:color w:val="auto"/>
                <w:sz w:val="22"/>
                <w:szCs w:val="22"/>
              </w:rPr>
              <w:t xml:space="preserve">Nonetheless, any advice given in the design of </w:t>
            </w:r>
            <w:r w:rsidR="000B2A23" w:rsidRPr="007A2B55">
              <w:rPr>
                <w:rFonts w:ascii="Times New Roman" w:hAnsi="Times New Roman" w:cs="Times New Roman"/>
                <w:color w:val="auto"/>
                <w:sz w:val="22"/>
                <w:szCs w:val="22"/>
              </w:rPr>
              <w:t>the strategy</w:t>
            </w:r>
            <w:r w:rsidRPr="007A2B55">
              <w:rPr>
                <w:rFonts w:ascii="Times New Roman" w:hAnsi="Times New Roman" w:cs="Times New Roman"/>
                <w:color w:val="auto"/>
                <w:sz w:val="22"/>
                <w:szCs w:val="22"/>
              </w:rPr>
              <w:t xml:space="preserve"> will be done in line with the principles embedded under OP4.12.</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Safety of Dams OP/BP 4.37</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1A76AA" w:rsidP="00DE3996">
            <w:pPr>
              <w:rPr>
                <w:rFonts w:ascii="Times New Roman" w:hAnsi="Times New Roman" w:cs="Times New Roman"/>
                <w:sz w:val="22"/>
                <w:szCs w:val="22"/>
              </w:rPr>
            </w:pPr>
            <w:r w:rsidRPr="007A2B55">
              <w:rPr>
                <w:rFonts w:ascii="Times New Roman" w:hAnsi="Times New Roman" w:cs="Times New Roman"/>
                <w:color w:val="auto"/>
                <w:sz w:val="22"/>
                <w:szCs w:val="22"/>
              </w:rPr>
              <w:t xml:space="preserve">This policy </w:t>
            </w:r>
            <w:r w:rsidR="00547B9D" w:rsidRPr="007A2B55">
              <w:rPr>
                <w:rFonts w:ascii="Times New Roman" w:hAnsi="Times New Roman" w:cs="Times New Roman"/>
                <w:color w:val="auto"/>
                <w:sz w:val="22"/>
                <w:szCs w:val="22"/>
              </w:rPr>
              <w:t xml:space="preserve">is not </w:t>
            </w:r>
            <w:r w:rsidR="00F62912" w:rsidRPr="007A2B55">
              <w:rPr>
                <w:rFonts w:ascii="Times New Roman" w:hAnsi="Times New Roman" w:cs="Times New Roman"/>
                <w:color w:val="auto"/>
                <w:sz w:val="22"/>
                <w:szCs w:val="22"/>
              </w:rPr>
              <w:t>triggered since the TA</w:t>
            </w:r>
            <w:r w:rsidRPr="007A2B55">
              <w:rPr>
                <w:rFonts w:ascii="Times New Roman" w:hAnsi="Times New Roman" w:cs="Times New Roman"/>
                <w:color w:val="auto"/>
                <w:sz w:val="22"/>
                <w:szCs w:val="22"/>
              </w:rPr>
              <w:t xml:space="preserve"> component does not support the construction or rehabilitation of dams</w:t>
            </w:r>
            <w:r w:rsidR="00DE3996" w:rsidRPr="007A2B55">
              <w:rPr>
                <w:rFonts w:ascii="Times New Roman" w:hAnsi="Times New Roman" w:cs="Times New Roman"/>
                <w:color w:val="auto"/>
                <w:sz w:val="22"/>
                <w:szCs w:val="22"/>
              </w:rPr>
              <w:t xml:space="preserve"> nor rely</w:t>
            </w:r>
            <w:r w:rsidR="00B56DEF" w:rsidRPr="007A2B55">
              <w:rPr>
                <w:rFonts w:ascii="Times New Roman" w:hAnsi="Times New Roman" w:cs="Times New Roman"/>
                <w:color w:val="auto"/>
                <w:sz w:val="22"/>
                <w:szCs w:val="22"/>
              </w:rPr>
              <w:t xml:space="preserve"> on the operation of existing dams.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Projects on International Waterways OP/BP 7.50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1A76AA" w:rsidP="00547B9D">
            <w:pPr>
              <w:rPr>
                <w:rFonts w:ascii="Times New Roman" w:hAnsi="Times New Roman" w:cs="Times New Roman"/>
                <w:sz w:val="22"/>
                <w:szCs w:val="22"/>
              </w:rPr>
            </w:pPr>
            <w:r w:rsidRPr="007A2B55">
              <w:rPr>
                <w:rFonts w:ascii="Times New Roman" w:hAnsi="Times New Roman" w:cs="Times New Roman"/>
                <w:color w:val="auto"/>
                <w:sz w:val="22"/>
                <w:szCs w:val="22"/>
              </w:rPr>
              <w:t xml:space="preserve">This policy </w:t>
            </w:r>
            <w:r w:rsidR="00547B9D" w:rsidRPr="007A2B55">
              <w:rPr>
                <w:rFonts w:ascii="Times New Roman" w:hAnsi="Times New Roman" w:cs="Times New Roman"/>
                <w:color w:val="auto"/>
                <w:sz w:val="22"/>
                <w:szCs w:val="22"/>
              </w:rPr>
              <w:t xml:space="preserve">is not </w:t>
            </w:r>
            <w:r w:rsidR="00F62912" w:rsidRPr="007A2B55">
              <w:rPr>
                <w:rFonts w:ascii="Times New Roman" w:hAnsi="Times New Roman" w:cs="Times New Roman"/>
                <w:color w:val="auto"/>
                <w:sz w:val="22"/>
                <w:szCs w:val="22"/>
              </w:rPr>
              <w:t>triggered as the TA</w:t>
            </w:r>
            <w:r w:rsidRPr="007A2B55">
              <w:rPr>
                <w:rFonts w:ascii="Times New Roman" w:hAnsi="Times New Roman" w:cs="Times New Roman"/>
                <w:color w:val="auto"/>
                <w:sz w:val="22"/>
                <w:szCs w:val="22"/>
              </w:rPr>
              <w:t xml:space="preserve"> component will not finance activities involving the use or potential pollution of international waterways.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Projects in Disputed Areas OP/BP 7.60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A76AA" w:rsidRPr="007A2B55" w:rsidRDefault="001A76AA" w:rsidP="00711B91">
            <w:pPr>
              <w:jc w:val="center"/>
              <w:rPr>
                <w:rFonts w:ascii="Times New Roman" w:hAnsi="Times New Roman" w:cs="Times New Roman"/>
                <w:sz w:val="22"/>
                <w:szCs w:val="22"/>
              </w:rPr>
            </w:pPr>
            <w:r w:rsidRPr="007A2B55">
              <w:rPr>
                <w:rFonts w:ascii="Times New Roman" w:hAnsi="Times New Roman" w:cs="Times New Roman"/>
                <w:color w:val="auto"/>
                <w:sz w:val="22"/>
                <w:szCs w:val="22"/>
              </w:rPr>
              <w:t>No</w:t>
            </w:r>
          </w:p>
        </w:tc>
        <w:tc>
          <w:tcPr>
            <w:tcW w:w="402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7A2B55" w:rsidRDefault="001A76AA" w:rsidP="00547B9D">
            <w:pPr>
              <w:rPr>
                <w:rFonts w:ascii="Times New Roman" w:hAnsi="Times New Roman" w:cs="Times New Roman"/>
                <w:sz w:val="22"/>
                <w:szCs w:val="22"/>
              </w:rPr>
            </w:pPr>
            <w:r w:rsidRPr="007A2B55">
              <w:rPr>
                <w:rFonts w:ascii="Times New Roman" w:hAnsi="Times New Roman" w:cs="Times New Roman"/>
                <w:color w:val="auto"/>
                <w:sz w:val="22"/>
                <w:szCs w:val="22"/>
              </w:rPr>
              <w:t xml:space="preserve">This policy </w:t>
            </w:r>
            <w:r w:rsidR="00547B9D" w:rsidRPr="007A2B55">
              <w:rPr>
                <w:rFonts w:ascii="Times New Roman" w:hAnsi="Times New Roman" w:cs="Times New Roman"/>
                <w:color w:val="auto"/>
                <w:sz w:val="22"/>
                <w:szCs w:val="22"/>
              </w:rPr>
              <w:t xml:space="preserve">is not </w:t>
            </w:r>
            <w:r w:rsidR="00F62912" w:rsidRPr="007A2B55">
              <w:rPr>
                <w:rFonts w:ascii="Times New Roman" w:hAnsi="Times New Roman" w:cs="Times New Roman"/>
                <w:color w:val="auto"/>
                <w:sz w:val="22"/>
                <w:szCs w:val="22"/>
              </w:rPr>
              <w:t>triggered as the TA</w:t>
            </w:r>
            <w:r w:rsidRPr="007A2B55">
              <w:rPr>
                <w:rFonts w:ascii="Times New Roman" w:hAnsi="Times New Roman" w:cs="Times New Roman"/>
                <w:color w:val="auto"/>
                <w:sz w:val="22"/>
                <w:szCs w:val="22"/>
              </w:rPr>
              <w:t xml:space="preserve"> component will not finance activities in disputed areas as defined in the policy.</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4"/>
                <w:szCs w:val="4"/>
              </w:rPr>
            </w:pP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b/>
                <w:bCs/>
              </w:rPr>
            </w:pPr>
          </w:p>
          <w:p w:rsidR="001A76AA" w:rsidRDefault="001A76AA" w:rsidP="001A76AA">
            <w:pPr>
              <w:rPr>
                <w:rFonts w:ascii="Times New Roman" w:hAnsi="Times New Roman" w:cs="Times New Roman"/>
              </w:rPr>
            </w:pPr>
            <w:r>
              <w:rPr>
                <w:rFonts w:ascii="Times New Roman" w:hAnsi="Times New Roman" w:cs="Times New Roman"/>
                <w:b/>
                <w:bCs/>
              </w:rPr>
              <w:t>II. Key Safeguard Policy Issues and Their Management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rPr>
            </w:pPr>
            <w:r>
              <w:rPr>
                <w:rFonts w:ascii="Times New Roman" w:hAnsi="Times New Roman" w:cs="Times New Roman"/>
                <w:b/>
                <w:bCs/>
                <w:i/>
                <w:iCs/>
                <w:sz w:val="22"/>
                <w:szCs w:val="22"/>
              </w:rPr>
              <w:t>A. Summary of Key Safeguard Issues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711B91">
            <w:pPr>
              <w:rPr>
                <w:rFonts w:ascii="Times New Roman" w:hAnsi="Times New Roman" w:cs="Times New Roman"/>
              </w:rPr>
            </w:pPr>
            <w:r>
              <w:rPr>
                <w:rFonts w:ascii="Times New Roman" w:hAnsi="Times New Roman" w:cs="Times New Roman"/>
                <w:b/>
                <w:bCs/>
                <w:sz w:val="22"/>
                <w:szCs w:val="22"/>
              </w:rPr>
              <w:t xml:space="preserve">1. Describe any safeguard issues and impacts associated with the </w:t>
            </w:r>
            <w:r w:rsidRPr="00547B9D">
              <w:rPr>
                <w:rFonts w:ascii="Times New Roman" w:hAnsi="Times New Roman" w:cs="Times New Roman"/>
                <w:b/>
                <w:bCs/>
                <w:sz w:val="22"/>
                <w:szCs w:val="22"/>
              </w:rPr>
              <w:t>Restructured project. Identify</w:t>
            </w:r>
            <w:r>
              <w:rPr>
                <w:rFonts w:ascii="Times New Roman" w:hAnsi="Times New Roman" w:cs="Times New Roman"/>
                <w:b/>
                <w:bCs/>
                <w:sz w:val="22"/>
                <w:szCs w:val="22"/>
              </w:rPr>
              <w:t xml:space="preserve"> and describe any potential large scale, significant and/or irreversible impacts: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080593" w:rsidRDefault="00B56C37" w:rsidP="001A76AA">
            <w:pPr>
              <w:rPr>
                <w:rFonts w:ascii="Times New Roman" w:hAnsi="Times New Roman" w:cs="Times New Roman"/>
                <w:sz w:val="22"/>
                <w:szCs w:val="22"/>
              </w:rPr>
            </w:pPr>
            <w:r>
              <w:rPr>
                <w:rFonts w:ascii="Times New Roman" w:hAnsi="Times New Roman" w:cs="Times New Roman"/>
                <w:sz w:val="22"/>
                <w:szCs w:val="22"/>
              </w:rPr>
              <w:t xml:space="preserve">There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no potential large scale, significant or irreversible impacts that could result from the activities under this TA</w:t>
            </w:r>
            <w:r w:rsidR="00AE715A">
              <w:rPr>
                <w:rFonts w:ascii="Times New Roman" w:hAnsi="Times New Roman" w:cs="Times New Roman"/>
                <w:sz w:val="22"/>
                <w:szCs w:val="22"/>
              </w:rPr>
              <w:t xml:space="preserve"> component</w:t>
            </w:r>
            <w:r>
              <w:rPr>
                <w:rFonts w:ascii="Times New Roman" w:hAnsi="Times New Roman" w:cs="Times New Roman"/>
                <w:sz w:val="22"/>
                <w:szCs w:val="22"/>
              </w:rPr>
              <w: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AE715A">
            <w:pPr>
              <w:rPr>
                <w:rFonts w:ascii="Times New Roman" w:hAnsi="Times New Roman" w:cs="Times New Roman"/>
              </w:rPr>
            </w:pPr>
            <w:r>
              <w:rPr>
                <w:rFonts w:ascii="Times New Roman" w:hAnsi="Times New Roman" w:cs="Times New Roman"/>
                <w:b/>
                <w:bCs/>
                <w:sz w:val="22"/>
                <w:szCs w:val="22"/>
              </w:rPr>
              <w:t xml:space="preserve">2. Describe any potential indirect and/or long term impacts due to anticipated future activities in the </w:t>
            </w:r>
            <w:r w:rsidR="00AE715A">
              <w:rPr>
                <w:rFonts w:ascii="Times New Roman" w:hAnsi="Times New Roman" w:cs="Times New Roman"/>
                <w:b/>
                <w:bCs/>
                <w:sz w:val="22"/>
                <w:szCs w:val="22"/>
              </w:rPr>
              <w:t xml:space="preserve">TA component </w:t>
            </w:r>
            <w:r>
              <w:rPr>
                <w:rFonts w:ascii="Times New Roman" w:hAnsi="Times New Roman" w:cs="Times New Roman"/>
                <w:b/>
                <w:bCs/>
                <w:sz w:val="22"/>
                <w:szCs w:val="22"/>
              </w:rPr>
              <w:t>area:</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Pr="00080593" w:rsidRDefault="00B56C37" w:rsidP="000B2A23">
            <w:pPr>
              <w:rPr>
                <w:rFonts w:ascii="Times New Roman" w:hAnsi="Times New Roman" w:cs="Times New Roman"/>
                <w:sz w:val="22"/>
                <w:szCs w:val="22"/>
              </w:rPr>
            </w:pPr>
            <w:r>
              <w:rPr>
                <w:rFonts w:ascii="Times New Roman" w:hAnsi="Times New Roman" w:cs="Times New Roman"/>
                <w:sz w:val="22"/>
                <w:szCs w:val="22"/>
              </w:rPr>
              <w:t xml:space="preserve">Given the strategic nature of the </w:t>
            </w:r>
            <w:r>
              <w:rPr>
                <w:rFonts w:ascii="Times New Roman" w:hAnsi="Times New Roman" w:cs="Times New Roman"/>
                <w:color w:val="auto"/>
                <w:sz w:val="22"/>
                <w:szCs w:val="22"/>
              </w:rPr>
              <w:t xml:space="preserve">Rural and </w:t>
            </w:r>
            <w:r w:rsidR="00625D11">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Urban Water </w:t>
            </w:r>
            <w:r w:rsidR="001D379D">
              <w:rPr>
                <w:rFonts w:ascii="Times New Roman" w:hAnsi="Times New Roman" w:cs="Times New Roman"/>
                <w:color w:val="auto"/>
                <w:sz w:val="22"/>
                <w:szCs w:val="22"/>
              </w:rPr>
              <w:t>Supply and Sanitation Strategy</w:t>
            </w:r>
            <w:r w:rsidR="002869B4">
              <w:rPr>
                <w:rFonts w:ascii="Times New Roman" w:hAnsi="Times New Roman" w:cs="Times New Roman"/>
                <w:color w:val="auto"/>
                <w:sz w:val="22"/>
                <w:szCs w:val="22"/>
              </w:rPr>
              <w:t>,</w:t>
            </w:r>
            <w:r w:rsidR="001D379D">
              <w:rPr>
                <w:rFonts w:ascii="Times New Roman" w:hAnsi="Times New Roman" w:cs="Times New Roman"/>
                <w:color w:val="auto"/>
                <w:sz w:val="22"/>
                <w:szCs w:val="22"/>
              </w:rPr>
              <w:t xml:space="preserve"> no downstream impacts are expected that could cause indirect and/or long term impacts. Nonetheless, any advice given for the preparation of </w:t>
            </w:r>
            <w:r w:rsidR="000B2A23">
              <w:rPr>
                <w:rFonts w:ascii="Times New Roman" w:hAnsi="Times New Roman" w:cs="Times New Roman"/>
                <w:color w:val="auto"/>
                <w:sz w:val="22"/>
                <w:szCs w:val="22"/>
              </w:rPr>
              <w:t>the strategy</w:t>
            </w:r>
            <w:r w:rsidR="001D379D">
              <w:rPr>
                <w:rFonts w:ascii="Times New Roman" w:hAnsi="Times New Roman" w:cs="Times New Roman"/>
                <w:color w:val="auto"/>
                <w:sz w:val="22"/>
                <w:szCs w:val="22"/>
              </w:rPr>
              <w:t xml:space="preserve"> will embed the social and environmental principles under the World Bank’s safeguard policies. </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AE715A">
            <w:pPr>
              <w:rPr>
                <w:rFonts w:ascii="Times New Roman" w:hAnsi="Times New Roman" w:cs="Times New Roman"/>
              </w:rPr>
            </w:pPr>
            <w:r>
              <w:rPr>
                <w:rFonts w:ascii="Times New Roman" w:hAnsi="Times New Roman" w:cs="Times New Roman"/>
                <w:b/>
                <w:bCs/>
                <w:sz w:val="22"/>
                <w:szCs w:val="22"/>
              </w:rPr>
              <w:t xml:space="preserve">3. Describe any </w:t>
            </w:r>
            <w:r w:rsidR="00AE715A">
              <w:rPr>
                <w:rFonts w:ascii="Times New Roman" w:hAnsi="Times New Roman" w:cs="Times New Roman"/>
                <w:b/>
                <w:bCs/>
                <w:sz w:val="22"/>
                <w:szCs w:val="22"/>
              </w:rPr>
              <w:t xml:space="preserve">TA component </w:t>
            </w:r>
            <w:r>
              <w:rPr>
                <w:rFonts w:ascii="Times New Roman" w:hAnsi="Times New Roman" w:cs="Times New Roman"/>
                <w:b/>
                <w:bCs/>
                <w:sz w:val="22"/>
                <w:szCs w:val="22"/>
              </w:rPr>
              <w:t>alternatives (if relevant) considered to help avoid or minimize adverse impacts.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870327" w:rsidP="001A76AA">
            <w:pPr>
              <w:rPr>
                <w:rFonts w:ascii="Times New Roman" w:hAnsi="Times New Roman" w:cs="Times New Roman"/>
              </w:rPr>
            </w:pPr>
            <w:r w:rsidRPr="004E6EF0">
              <w:rPr>
                <w:rFonts w:ascii="Times New Roman" w:hAnsi="Times New Roman" w:cs="Times New Roman"/>
                <w:sz w:val="22"/>
                <w:szCs w:val="22"/>
              </w:rPr>
              <w:t>Not Applicable</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4. Describe measures taken by the borrower to address safeguard policy issues. Provide an assessment of borrower capacity to plan and implement the measures described.</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870327" w:rsidP="00711B91">
            <w:pPr>
              <w:rPr>
                <w:rFonts w:ascii="Times New Roman" w:hAnsi="Times New Roman" w:cs="Times New Roman"/>
              </w:rPr>
            </w:pPr>
            <w:r w:rsidRPr="004E6EF0">
              <w:rPr>
                <w:rFonts w:ascii="Times New Roman" w:hAnsi="Times New Roman" w:cs="Times New Roman"/>
                <w:sz w:val="22"/>
                <w:szCs w:val="22"/>
              </w:rPr>
              <w:t>Not Applicable</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5. Identify the key stakeholders and describe the mechanisms for consultation and disclosure on safeguard policies, with an emphasis on potentially affected people.</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234AB7" w:rsidP="00625D11">
            <w:pPr>
              <w:rPr>
                <w:rFonts w:ascii="Times New Roman" w:hAnsi="Times New Roman" w:cs="Times New Roman"/>
              </w:rPr>
            </w:pPr>
            <w:r>
              <w:rPr>
                <w:rFonts w:ascii="Times New Roman" w:hAnsi="Times New Roman" w:cs="Times New Roman"/>
                <w:sz w:val="22"/>
                <w:szCs w:val="22"/>
              </w:rPr>
              <w:t xml:space="preserve">When the </w:t>
            </w:r>
            <w:r w:rsidR="001D379D">
              <w:rPr>
                <w:rFonts w:ascii="Times New Roman" w:hAnsi="Times New Roman" w:cs="Times New Roman"/>
                <w:color w:val="auto"/>
                <w:sz w:val="22"/>
                <w:szCs w:val="22"/>
              </w:rPr>
              <w:t xml:space="preserve">Rural and </w:t>
            </w:r>
            <w:r w:rsidR="00625D11">
              <w:rPr>
                <w:rFonts w:ascii="Times New Roman" w:hAnsi="Times New Roman" w:cs="Times New Roman"/>
                <w:color w:val="auto"/>
                <w:sz w:val="22"/>
                <w:szCs w:val="22"/>
              </w:rPr>
              <w:t xml:space="preserve">the </w:t>
            </w:r>
            <w:r w:rsidR="001D379D">
              <w:rPr>
                <w:rFonts w:ascii="Times New Roman" w:hAnsi="Times New Roman" w:cs="Times New Roman"/>
                <w:color w:val="auto"/>
                <w:sz w:val="22"/>
                <w:szCs w:val="22"/>
              </w:rPr>
              <w:t>Urban Water Supply and Sanitation Strategy</w:t>
            </w:r>
            <w:r w:rsidR="00625D11">
              <w:rPr>
                <w:rFonts w:ascii="Times New Roman" w:hAnsi="Times New Roman" w:cs="Times New Roman"/>
                <w:color w:val="auto"/>
                <w:sz w:val="22"/>
                <w:szCs w:val="22"/>
              </w:rPr>
              <w:t xml:space="preserve"> are </w:t>
            </w:r>
            <w:r>
              <w:rPr>
                <w:rFonts w:ascii="Times New Roman" w:hAnsi="Times New Roman" w:cs="Times New Roman"/>
                <w:color w:val="auto"/>
                <w:sz w:val="22"/>
                <w:szCs w:val="22"/>
              </w:rPr>
              <w:t xml:space="preserve">developed, it </w:t>
            </w:r>
            <w:r w:rsidR="001D379D">
              <w:rPr>
                <w:rFonts w:ascii="Times New Roman" w:hAnsi="Times New Roman" w:cs="Times New Roman"/>
                <w:color w:val="auto"/>
                <w:sz w:val="22"/>
                <w:szCs w:val="22"/>
              </w:rPr>
              <w:t xml:space="preserve">will be adequately </w:t>
            </w:r>
            <w:r w:rsidR="00547B9D">
              <w:rPr>
                <w:rFonts w:ascii="Times New Roman" w:hAnsi="Times New Roman" w:cs="Times New Roman"/>
                <w:color w:val="auto"/>
                <w:sz w:val="22"/>
                <w:szCs w:val="22"/>
              </w:rPr>
              <w:t>discussed</w:t>
            </w:r>
            <w:r w:rsidR="001D379D">
              <w:rPr>
                <w:rFonts w:ascii="Times New Roman" w:hAnsi="Times New Roman" w:cs="Times New Roman"/>
                <w:color w:val="auto"/>
                <w:sz w:val="22"/>
                <w:szCs w:val="22"/>
              </w:rPr>
              <w:t xml:space="preserve"> with members of CSOs and IPOs working in the water sector.</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4"/>
                <w:szCs w:val="4"/>
              </w:rPr>
            </w:pPr>
            <w:r>
              <w:rPr>
                <w:rFonts w:ascii="Times" w:hAnsi="Times" w:cs="Times"/>
                <w:color w:val="FFFFFF"/>
                <w:sz w:val="4"/>
                <w:szCs w:val="4"/>
              </w:rPr>
              <w: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rPr>
            </w:pPr>
            <w:r>
              <w:rPr>
                <w:rFonts w:ascii="Times New Roman" w:hAnsi="Times New Roman" w:cs="Times New Roman"/>
                <w:b/>
                <w:bCs/>
                <w:i/>
                <w:iCs/>
                <w:sz w:val="22"/>
                <w:szCs w:val="22"/>
              </w:rPr>
              <w:t>B. Disclosure Requirements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327225">
            <w:pPr>
              <w:rPr>
                <w:rFonts w:ascii="Times New Roman" w:hAnsi="Times New Roman" w:cs="Times New Roman"/>
              </w:rPr>
            </w:pPr>
            <w:r>
              <w:rPr>
                <w:rFonts w:ascii="Times New Roman" w:hAnsi="Times New Roman" w:cs="Times New Roman"/>
                <w:b/>
                <w:bCs/>
                <w:sz w:val="22"/>
                <w:szCs w:val="22"/>
              </w:rPr>
              <w:t xml:space="preserve">If the </w:t>
            </w:r>
            <w:r w:rsidR="00327225">
              <w:rPr>
                <w:rFonts w:ascii="Times New Roman" w:hAnsi="Times New Roman" w:cs="Times New Roman"/>
                <w:b/>
                <w:bCs/>
                <w:sz w:val="22"/>
                <w:szCs w:val="22"/>
              </w:rPr>
              <w:t>TA component</w:t>
            </w:r>
            <w:r>
              <w:rPr>
                <w:rFonts w:ascii="Times New Roman" w:hAnsi="Times New Roman" w:cs="Times New Roman"/>
                <w:b/>
                <w:bCs/>
                <w:sz w:val="22"/>
                <w:szCs w:val="22"/>
              </w:rPr>
              <w:t xml:space="preserve"> triggers the Pest Management and/or Physical Cultural Resources policies, the respective issues are to be addressed and disclosed as part of the Environmental Assessment/Audit/or EMP.</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If in-country disclosure of any of the above documents is not expected, please explain why:</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870327" w:rsidP="001A76AA">
            <w:pPr>
              <w:rPr>
                <w:rFonts w:ascii="Times New Roman" w:hAnsi="Times New Roman" w:cs="Times New Roman"/>
                <w:color w:val="auto"/>
              </w:rPr>
            </w:pPr>
            <w:r w:rsidRPr="004E6EF0">
              <w:rPr>
                <w:rFonts w:ascii="Times New Roman" w:hAnsi="Times New Roman" w:cs="Times New Roman"/>
                <w:sz w:val="22"/>
                <w:szCs w:val="22"/>
              </w:rPr>
              <w:t>Not Applicable</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4"/>
                <w:szCs w:val="4"/>
              </w:rPr>
            </w:pPr>
            <w:r>
              <w:rPr>
                <w:rFonts w:ascii="Times" w:hAnsi="Times" w:cs="Times"/>
                <w:color w:val="FFFFFF"/>
                <w:sz w:val="4"/>
                <w:szCs w:val="4"/>
              </w:rPr>
              <w:t>.</w:t>
            </w: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p w:rsidR="0048593B" w:rsidRDefault="0048593B" w:rsidP="001A76AA">
            <w:pPr>
              <w:rPr>
                <w:rFonts w:ascii="Times" w:hAnsi="Times" w:cs="Times"/>
                <w:color w:val="FFFFFF"/>
                <w:sz w:val="4"/>
                <w:szCs w:val="4"/>
              </w:rPr>
            </w:pP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327225">
            <w:pPr>
              <w:rPr>
                <w:rFonts w:ascii="Times New Roman" w:hAnsi="Times New Roman" w:cs="Times New Roman"/>
              </w:rPr>
            </w:pPr>
            <w:r>
              <w:rPr>
                <w:rFonts w:ascii="Times New Roman" w:hAnsi="Times New Roman" w:cs="Times New Roman"/>
                <w:b/>
                <w:bCs/>
                <w:i/>
                <w:iCs/>
                <w:sz w:val="22"/>
                <w:szCs w:val="22"/>
              </w:rPr>
              <w:t xml:space="preserve">C. Compliance Monitoring Indicators at the Corporate Level (to be filled in when the ISDS is finalized by the </w:t>
            </w:r>
            <w:r w:rsidR="00327225">
              <w:rPr>
                <w:rFonts w:ascii="Times New Roman" w:hAnsi="Times New Roman" w:cs="Times New Roman"/>
                <w:b/>
                <w:bCs/>
                <w:i/>
                <w:iCs/>
                <w:sz w:val="22"/>
                <w:szCs w:val="22"/>
              </w:rPr>
              <w:t xml:space="preserve">operation </w:t>
            </w:r>
            <w:r>
              <w:rPr>
                <w:rFonts w:ascii="Times New Roman" w:hAnsi="Times New Roman" w:cs="Times New Roman"/>
                <w:b/>
                <w:bCs/>
                <w:i/>
                <w:iCs/>
                <w:sz w:val="22"/>
                <w:szCs w:val="22"/>
              </w:rPr>
              <w:t>decision meeting)</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The World Bank Policy on Disclosure of Information</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 xml:space="preserve">Have relevant safeguard policies documents been sent to the World Bank's </w:t>
            </w:r>
            <w:proofErr w:type="spellStart"/>
            <w:r>
              <w:rPr>
                <w:rFonts w:ascii="Times New Roman" w:hAnsi="Times New Roman" w:cs="Times New Roman"/>
                <w:sz w:val="22"/>
                <w:szCs w:val="22"/>
              </w:rPr>
              <w:t>Infoshop</w:t>
            </w:r>
            <w:proofErr w:type="spellEnd"/>
            <w:r>
              <w:rPr>
                <w:rFonts w:ascii="Times New Roman" w:hAnsi="Times New Roman" w:cs="Times New Roman"/>
                <w:sz w:val="22"/>
                <w:szCs w:val="22"/>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870327">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xml:space="preserve">[ </w:t>
            </w:r>
            <w:r w:rsidR="00870327">
              <w:rPr>
                <w:sz w:val="18"/>
                <w:szCs w:val="18"/>
              </w:rPr>
              <w:t>X</w:t>
            </w:r>
            <w:r>
              <w:rPr>
                <w:sz w:val="18"/>
                <w:szCs w:val="18"/>
              </w:rPr>
              <w:t xml:space="preserve">  ]</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Have relevant documents been disclosed in-country in a public place in a form and language that are understandable and accessible to project-affected groups and local NGOs?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711B91">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E31BDD">
            <w:pPr>
              <w:rPr>
                <w:sz w:val="18"/>
                <w:szCs w:val="18"/>
              </w:rPr>
            </w:pPr>
            <w:r>
              <w:rPr>
                <w:sz w:val="18"/>
                <w:szCs w:val="18"/>
              </w:rPr>
              <w:t xml:space="preserve">[  </w:t>
            </w:r>
            <w:r w:rsidR="00E31BDD">
              <w:rPr>
                <w:sz w:val="18"/>
                <w:szCs w:val="18"/>
              </w:rPr>
              <w:t>X</w:t>
            </w:r>
            <w:r>
              <w:rPr>
                <w:sz w:val="18"/>
                <w:szCs w:val="18"/>
              </w:rPr>
              <w:t xml:space="preserve"> ]</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b/>
                <w:bCs/>
                <w:sz w:val="22"/>
                <w:szCs w:val="22"/>
              </w:rPr>
              <w:t>All Safeguard Policies</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Have satisfactory calendar, budget and clear institutional responsibilities been prepared for the implementation of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711B91">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E31BDD">
            <w:pPr>
              <w:rPr>
                <w:sz w:val="18"/>
                <w:szCs w:val="18"/>
              </w:rPr>
            </w:pPr>
            <w:r>
              <w:rPr>
                <w:sz w:val="18"/>
                <w:szCs w:val="18"/>
              </w:rPr>
              <w:t xml:space="preserve">[ </w:t>
            </w:r>
            <w:r w:rsidR="00E31BDD">
              <w:rPr>
                <w:sz w:val="18"/>
                <w:szCs w:val="18"/>
              </w:rPr>
              <w:t>X</w:t>
            </w:r>
            <w:r>
              <w:rPr>
                <w:sz w:val="18"/>
                <w:szCs w:val="18"/>
              </w:rPr>
              <w:t xml:space="preserve">  ]</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Have costs related to safeguard policy measures been included in the project cost?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711B91">
            <w:pPr>
              <w:rPr>
                <w:sz w:val="18"/>
                <w:szCs w:val="18"/>
              </w:rPr>
            </w:pPr>
            <w:r>
              <w:rPr>
                <w:sz w:val="18"/>
                <w:szCs w:val="18"/>
              </w:rPr>
              <w:t xml:space="preserve">[ </w:t>
            </w:r>
            <w:r w:rsidR="00E31BDD">
              <w:rPr>
                <w:sz w:val="18"/>
                <w:szCs w:val="18"/>
              </w:rPr>
              <w:t>X</w:t>
            </w:r>
            <w:r>
              <w:rPr>
                <w:sz w:val="18"/>
                <w:szCs w:val="18"/>
              </w:rPr>
              <w:t xml:space="preserve">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327225">
            <w:pPr>
              <w:rPr>
                <w:rFonts w:ascii="Times New Roman" w:hAnsi="Times New Roman" w:cs="Times New Roman"/>
              </w:rPr>
            </w:pPr>
            <w:r>
              <w:rPr>
                <w:rFonts w:ascii="Times New Roman" w:hAnsi="Times New Roman" w:cs="Times New Roman"/>
                <w:sz w:val="22"/>
                <w:szCs w:val="22"/>
              </w:rPr>
              <w:t xml:space="preserve">Does the Monitoring and Evaluation </w:t>
            </w:r>
            <w:r w:rsidR="00327225">
              <w:rPr>
                <w:rFonts w:ascii="Times New Roman" w:hAnsi="Times New Roman" w:cs="Times New Roman"/>
                <w:sz w:val="22"/>
                <w:szCs w:val="22"/>
              </w:rPr>
              <w:t>system of the operation includes</w:t>
            </w:r>
            <w:r>
              <w:rPr>
                <w:rFonts w:ascii="Times New Roman" w:hAnsi="Times New Roman" w:cs="Times New Roman"/>
                <w:sz w:val="22"/>
                <w:szCs w:val="22"/>
              </w:rPr>
              <w:t xml:space="preserve"> the monitoring of safeguard impacts and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711B91">
            <w:pPr>
              <w:rPr>
                <w:sz w:val="18"/>
                <w:szCs w:val="18"/>
              </w:rPr>
            </w:pPr>
            <w:r>
              <w:rPr>
                <w:sz w:val="18"/>
                <w:szCs w:val="18"/>
              </w:rPr>
              <w:t xml:space="preserve">[ </w:t>
            </w:r>
            <w:r w:rsidR="00E31BDD">
              <w:rPr>
                <w:sz w:val="18"/>
                <w:szCs w:val="18"/>
              </w:rPr>
              <w:t>X</w:t>
            </w:r>
            <w:r>
              <w:rPr>
                <w:sz w:val="18"/>
                <w:szCs w:val="18"/>
              </w:rPr>
              <w:t xml:space="preserve">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870327" w:rsidP="00E31BDD">
            <w:pPr>
              <w:rPr>
                <w:sz w:val="18"/>
                <w:szCs w:val="18"/>
              </w:rPr>
            </w:pPr>
            <w:r>
              <w:rPr>
                <w:sz w:val="18"/>
                <w:szCs w:val="18"/>
              </w:rPr>
              <w:t>[</w:t>
            </w:r>
            <w:r w:rsidR="006F70A2">
              <w:rPr>
                <w:sz w:val="18"/>
                <w:szCs w:val="18"/>
              </w:rPr>
              <w:t xml:space="preserve">   </w:t>
            </w:r>
            <w:r w:rsidR="001A76AA">
              <w:rPr>
                <w:sz w:val="18"/>
                <w:szCs w:val="18"/>
              </w:rPr>
              <w: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608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327225">
            <w:pPr>
              <w:rPr>
                <w:rFonts w:ascii="Times New Roman" w:hAnsi="Times New Roman" w:cs="Times New Roman"/>
              </w:rPr>
            </w:pPr>
            <w:r>
              <w:rPr>
                <w:rFonts w:ascii="Times New Roman" w:hAnsi="Times New Roman" w:cs="Times New Roman"/>
                <w:sz w:val="22"/>
                <w:szCs w:val="22"/>
              </w:rPr>
              <w:t xml:space="preserve">Have satisfactory implementation arrangements been agreed with the borrower and the same been adequately reflected in the </w:t>
            </w:r>
            <w:r w:rsidR="00327225">
              <w:rPr>
                <w:rFonts w:ascii="Times New Roman" w:hAnsi="Times New Roman" w:cs="Times New Roman"/>
                <w:sz w:val="22"/>
                <w:szCs w:val="22"/>
              </w:rPr>
              <w:t>operation</w:t>
            </w:r>
            <w:r>
              <w:rPr>
                <w:rFonts w:ascii="Times New Roman" w:hAnsi="Times New Roman" w:cs="Times New Roman"/>
                <w:sz w:val="22"/>
                <w:szCs w:val="22"/>
              </w:rPr>
              <w:t xml:space="preserve"> legal documents?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Yes</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711B91">
            <w:pPr>
              <w:rPr>
                <w:sz w:val="18"/>
                <w:szCs w:val="18"/>
              </w:rPr>
            </w:pPr>
            <w:r>
              <w:rPr>
                <w:sz w:val="18"/>
                <w:szCs w:val="18"/>
              </w:rPr>
              <w:t xml:space="preserve">[ </w:t>
            </w:r>
            <w:r w:rsidR="00E31BDD">
              <w:rPr>
                <w:sz w:val="18"/>
                <w:szCs w:val="18"/>
              </w:rPr>
              <w:t>X</w:t>
            </w:r>
            <w:r>
              <w:rPr>
                <w:sz w:val="18"/>
                <w:szCs w:val="18"/>
              </w:rPr>
              <w:t xml:space="preserve">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1A76AA" w:rsidRDefault="001A76AA" w:rsidP="001A76AA">
            <w:pPr>
              <w:jc w:val="right"/>
              <w:rPr>
                <w:rFonts w:ascii="Times New Roman" w:hAnsi="Times New Roman" w:cs="Times New Roman"/>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sz w:val="18"/>
                <w:szCs w:val="18"/>
              </w:rPr>
            </w:pPr>
            <w:r>
              <w:rPr>
                <w:sz w:val="18"/>
                <w:szCs w:val="18"/>
              </w:rPr>
              <w:t>[   ]</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16"/>
                <w:szCs w:val="16"/>
              </w:rPr>
            </w:pPr>
            <w:r>
              <w:rPr>
                <w:rFonts w:ascii="Times" w:hAnsi="Times" w:cs="Times"/>
                <w:color w:val="FFFFFF"/>
                <w:sz w:val="16"/>
                <w:szCs w:val="16"/>
              </w:rPr>
              <w:t>.</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4"/>
                <w:szCs w:val="4"/>
              </w:rPr>
            </w:pPr>
            <w:r>
              <w:rPr>
                <w:rFonts w:ascii="Times" w:hAnsi="Times" w:cs="Times"/>
                <w:color w:val="FFFFFF"/>
                <w:sz w:val="4"/>
                <w:szCs w:val="4"/>
              </w:rPr>
              <w:t>.</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rPr>
            </w:pPr>
            <w:r>
              <w:rPr>
                <w:rFonts w:ascii="Times New Roman" w:hAnsi="Times New Roman" w:cs="Times New Roman"/>
                <w:b/>
                <w:bCs/>
              </w:rPr>
              <w:t>III. APPROVALS</w:t>
            </w:r>
          </w:p>
        </w:tc>
      </w:tr>
      <w:tr w:rsidR="001A76AA" w:rsidTr="000028CA">
        <w:tc>
          <w:tcPr>
            <w:tcW w:w="9362" w:type="dxa"/>
            <w:gridSpan w:val="17"/>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w:hAnsi="Times" w:cs="Times"/>
                <w:color w:val="FFFFFF"/>
                <w:sz w:val="6"/>
                <w:szCs w:val="6"/>
              </w:rPr>
            </w:pPr>
            <w:r>
              <w:rPr>
                <w:rFonts w:ascii="Times" w:hAnsi="Times" w:cs="Times"/>
                <w:color w:val="FFFFFF"/>
                <w:sz w:val="6"/>
                <w:szCs w:val="6"/>
              </w:rPr>
              <w:t>.</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Task Team Leader:</w:t>
            </w:r>
          </w:p>
        </w:tc>
        <w:tc>
          <w:tcPr>
            <w:tcW w:w="636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 xml:space="preserve">Name: Charles </w:t>
            </w:r>
            <w:proofErr w:type="spellStart"/>
            <w:r>
              <w:rPr>
                <w:rFonts w:ascii="Times New Roman" w:hAnsi="Times New Roman" w:cs="Times New Roman"/>
                <w:sz w:val="22"/>
                <w:szCs w:val="22"/>
              </w:rPr>
              <w:t>Delfieux</w:t>
            </w:r>
            <w:proofErr w:type="spellEnd"/>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917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i/>
                <w:iCs/>
                <w:sz w:val="22"/>
                <w:szCs w:val="22"/>
              </w:rPr>
              <w:t>Approved By:</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Regional Safeguards Coordinator:</w:t>
            </w:r>
          </w:p>
        </w:tc>
        <w:tc>
          <w:tcPr>
            <w:tcW w:w="374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Name: Glenn S. Morgan</w:t>
            </w:r>
          </w:p>
        </w:tc>
        <w:tc>
          <w:tcPr>
            <w:tcW w:w="2621"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 xml:space="preserve">Date: </w:t>
            </w:r>
            <w:r w:rsidR="00F8011E">
              <w:rPr>
                <w:rFonts w:ascii="Times New Roman" w:hAnsi="Times New Roman" w:cs="Times New Roman"/>
                <w:sz w:val="22"/>
                <w:szCs w:val="22"/>
              </w:rPr>
              <w:t>April 4, 2014</w:t>
            </w:r>
          </w:p>
        </w:tc>
      </w:tr>
      <w:tr w:rsidR="001A76AA" w:rsidTr="000028C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1A76AA" w:rsidRDefault="001A76AA" w:rsidP="001A76AA">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Sector Manager:</w:t>
            </w:r>
          </w:p>
        </w:tc>
        <w:tc>
          <w:tcPr>
            <w:tcW w:w="374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2042C0">
            <w:pPr>
              <w:rPr>
                <w:rFonts w:ascii="Times New Roman" w:hAnsi="Times New Roman" w:cs="Times New Roman"/>
              </w:rPr>
            </w:pPr>
            <w:r>
              <w:rPr>
                <w:rFonts w:ascii="Times New Roman" w:hAnsi="Times New Roman" w:cs="Times New Roman"/>
                <w:sz w:val="22"/>
                <w:szCs w:val="22"/>
              </w:rPr>
              <w:t>Name</w:t>
            </w:r>
            <w:r w:rsidR="002042C0">
              <w:rPr>
                <w:rFonts w:ascii="Times New Roman" w:hAnsi="Times New Roman" w:cs="Times New Roman"/>
                <w:sz w:val="22"/>
                <w:szCs w:val="22"/>
              </w:rPr>
              <w:t xml:space="preserve">: </w:t>
            </w:r>
            <w:proofErr w:type="spellStart"/>
            <w:r w:rsidR="002042C0">
              <w:rPr>
                <w:rFonts w:ascii="Times New Roman" w:hAnsi="Times New Roman" w:cs="Times New Roman"/>
                <w:sz w:val="22"/>
                <w:szCs w:val="22"/>
              </w:rPr>
              <w:t>Wambui</w:t>
            </w:r>
            <w:proofErr w:type="spellEnd"/>
            <w:r w:rsidR="002042C0">
              <w:rPr>
                <w:rFonts w:ascii="Times New Roman" w:hAnsi="Times New Roman" w:cs="Times New Roman"/>
                <w:sz w:val="22"/>
                <w:szCs w:val="22"/>
              </w:rPr>
              <w:t xml:space="preserve"> </w:t>
            </w:r>
            <w:proofErr w:type="spellStart"/>
            <w:r w:rsidR="002042C0">
              <w:rPr>
                <w:rFonts w:ascii="Times New Roman" w:hAnsi="Times New Roman" w:cs="Times New Roman"/>
                <w:sz w:val="22"/>
                <w:szCs w:val="22"/>
              </w:rPr>
              <w:t>Gichuri</w:t>
            </w:r>
            <w:proofErr w:type="spellEnd"/>
          </w:p>
        </w:tc>
        <w:tc>
          <w:tcPr>
            <w:tcW w:w="2621"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76AA" w:rsidRDefault="001A76AA" w:rsidP="001A76AA">
            <w:pPr>
              <w:rPr>
                <w:rFonts w:ascii="Times New Roman" w:hAnsi="Times New Roman" w:cs="Times New Roman"/>
              </w:rPr>
            </w:pPr>
            <w:r>
              <w:rPr>
                <w:rFonts w:ascii="Times New Roman" w:hAnsi="Times New Roman" w:cs="Times New Roman"/>
                <w:sz w:val="22"/>
                <w:szCs w:val="22"/>
              </w:rPr>
              <w:t xml:space="preserve">Date: </w:t>
            </w:r>
            <w:r w:rsidR="00F8011E">
              <w:rPr>
                <w:rFonts w:ascii="Times New Roman" w:hAnsi="Times New Roman" w:cs="Times New Roman"/>
                <w:sz w:val="22"/>
                <w:szCs w:val="22"/>
              </w:rPr>
              <w:t>April 16, 2014</w:t>
            </w:r>
          </w:p>
        </w:tc>
      </w:tr>
    </w:tbl>
    <w:p w:rsidR="00A36A25" w:rsidRDefault="00A36A25"/>
    <w:sectPr w:rsidR="00A36A25" w:rsidSect="00A36A25">
      <w:footerReference w:type="default" r:id="rId9"/>
      <w:pgSz w:w="12242" w:h="15842"/>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17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A" w:rsidRDefault="00D407CA" w:rsidP="00D440A0">
      <w:r>
        <w:separator/>
      </w:r>
    </w:p>
  </w:endnote>
  <w:endnote w:type="continuationSeparator" w:id="0">
    <w:p w:rsidR="00D407CA" w:rsidRDefault="00D407CA" w:rsidP="00D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57965"/>
      <w:docPartObj>
        <w:docPartGallery w:val="Page Numbers (Bottom of Page)"/>
        <w:docPartUnique/>
      </w:docPartObj>
    </w:sdtPr>
    <w:sdtEndPr>
      <w:rPr>
        <w:noProof/>
      </w:rPr>
    </w:sdtEndPr>
    <w:sdtContent>
      <w:p w:rsidR="0064343E" w:rsidRDefault="0064343E">
        <w:pPr>
          <w:pStyle w:val="Footer"/>
          <w:jc w:val="right"/>
        </w:pPr>
        <w:r>
          <w:fldChar w:fldCharType="begin"/>
        </w:r>
        <w:r>
          <w:instrText xml:space="preserve"> PAGE   \* MERGEFORMAT </w:instrText>
        </w:r>
        <w:r>
          <w:fldChar w:fldCharType="separate"/>
        </w:r>
        <w:r w:rsidR="00FE325B">
          <w:rPr>
            <w:noProof/>
          </w:rPr>
          <w:t>9</w:t>
        </w:r>
        <w:r>
          <w:rPr>
            <w:noProof/>
          </w:rPr>
          <w:fldChar w:fldCharType="end"/>
        </w:r>
      </w:p>
    </w:sdtContent>
  </w:sdt>
  <w:p w:rsidR="0064343E" w:rsidRDefault="0064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A" w:rsidRDefault="00D407CA" w:rsidP="00D440A0">
      <w:r>
        <w:separator/>
      </w:r>
    </w:p>
  </w:footnote>
  <w:footnote w:type="continuationSeparator" w:id="0">
    <w:p w:rsidR="00D407CA" w:rsidRDefault="00D407CA" w:rsidP="00D440A0">
      <w:r>
        <w:continuationSeparator/>
      </w:r>
    </w:p>
  </w:footnote>
  <w:footnote w:id="1">
    <w:p w:rsidR="00B24E8A" w:rsidRPr="006E554B" w:rsidRDefault="00B24E8A" w:rsidP="009B058A">
      <w:pPr>
        <w:pStyle w:val="FootnoteText"/>
        <w:rPr>
          <w:i/>
          <w:lang w:val="es-ES"/>
        </w:rPr>
      </w:pPr>
      <w:r>
        <w:rPr>
          <w:rStyle w:val="FootnoteReference"/>
        </w:rPr>
        <w:footnoteRef/>
      </w:r>
      <w:r w:rsidRPr="006E554B">
        <w:rPr>
          <w:lang w:val="es-ES"/>
        </w:rPr>
        <w:t xml:space="preserve"> </w:t>
      </w:r>
      <w:r w:rsidRPr="006E554B">
        <w:rPr>
          <w:i/>
          <w:lang w:val="es-ES"/>
        </w:rPr>
        <w:t>Moderniza</w:t>
      </w:r>
      <w:r>
        <w:rPr>
          <w:i/>
          <w:lang w:val="es-ES"/>
        </w:rPr>
        <w:t>c</w:t>
      </w:r>
      <w:r w:rsidRPr="006E554B">
        <w:rPr>
          <w:i/>
          <w:lang w:val="es-ES"/>
        </w:rPr>
        <w:t xml:space="preserve">ión del sector Agua </w:t>
      </w:r>
      <w:r>
        <w:rPr>
          <w:i/>
          <w:lang w:val="es-ES"/>
        </w:rPr>
        <w:t xml:space="preserve">potable </w:t>
      </w:r>
      <w:r w:rsidRPr="006E554B">
        <w:rPr>
          <w:i/>
          <w:lang w:val="es-ES"/>
        </w:rPr>
        <w:t xml:space="preserve">y Saneamiento </w:t>
      </w:r>
      <w:r>
        <w:rPr>
          <w:i/>
          <w:lang w:val="es-ES"/>
        </w:rPr>
        <w:t xml:space="preserve">de Oaxaca </w:t>
      </w:r>
      <w:r w:rsidRPr="006E554B">
        <w:rPr>
          <w:i/>
          <w:lang w:val="es-ES"/>
        </w:rPr>
        <w:t xml:space="preserve">(MAS Oaxaca) </w:t>
      </w:r>
    </w:p>
  </w:footnote>
  <w:footnote w:id="2">
    <w:p w:rsidR="00B24E8A" w:rsidRPr="00822418" w:rsidRDefault="00B24E8A" w:rsidP="00822418">
      <w:pPr>
        <w:pStyle w:val="FootnoteText"/>
        <w:jc w:val="both"/>
      </w:pPr>
      <w:r>
        <w:rPr>
          <w:rStyle w:val="FootnoteReference"/>
        </w:rPr>
        <w:footnoteRef/>
      </w:r>
      <w:r>
        <w:t xml:space="preserve"> In accordance with the hybrid nature of the operation, systems and policies applying to assess and mitigate environmental and social impacts will depend on the financial instrument used.  In the case of the </w:t>
      </w:r>
      <w:proofErr w:type="spellStart"/>
      <w:r>
        <w:t>PforR</w:t>
      </w:r>
      <w:proofErr w:type="spellEnd"/>
      <w:r>
        <w:t>-funded activities, the country and state environmental and social systems will apply after they have been assessed by the Bank and strengthened</w:t>
      </w:r>
      <w:r w:rsidR="004433E4">
        <w:t xml:space="preserve"> as necessary</w:t>
      </w:r>
      <w:r>
        <w:t xml:space="preserve">. </w:t>
      </w:r>
      <w:r w:rsidRPr="00F6338A">
        <w:t xml:space="preserve">For the activities financed </w:t>
      </w:r>
      <w:r>
        <w:t xml:space="preserve">through the TA component following IPF policies, </w:t>
      </w:r>
      <w:r w:rsidRPr="00F6338A">
        <w:t>Bank environmental and social safeguards will apply</w:t>
      </w:r>
      <w:r>
        <w:t xml:space="preserve">.  </w:t>
      </w:r>
    </w:p>
  </w:footnote>
  <w:footnote w:id="3">
    <w:p w:rsidR="00B24E8A" w:rsidRPr="00642812" w:rsidRDefault="00B24E8A">
      <w:pPr>
        <w:pStyle w:val="FootnoteText"/>
      </w:pPr>
      <w:r>
        <w:rPr>
          <w:rStyle w:val="FootnoteReference"/>
        </w:rPr>
        <w:footnoteRef/>
      </w:r>
      <w:r w:rsidRPr="00496AA2">
        <w:t xml:space="preserve"> </w:t>
      </w:r>
      <w:r>
        <w:t xml:space="preserve">The Program will not include activities </w:t>
      </w:r>
      <w:r w:rsidRPr="00836818">
        <w:t xml:space="preserve">considered likely to have a significant adverse impact on the environment or on affected people, as defined in OP 9.00, or that may require the procurement of goods, works or consultancy </w:t>
      </w:r>
      <w:r w:rsidRPr="00642812">
        <w:t>contracts above OPRC thresholds.</w:t>
      </w:r>
    </w:p>
  </w:footnote>
  <w:footnote w:id="4">
    <w:p w:rsidR="00642812" w:rsidRPr="00810E9D" w:rsidRDefault="00642812" w:rsidP="00642812">
      <w:pPr>
        <w:pStyle w:val="FootnoteText"/>
      </w:pPr>
      <w:r w:rsidRPr="00642812">
        <w:rPr>
          <w:rStyle w:val="FootnoteReference"/>
        </w:rPr>
        <w:footnoteRef/>
      </w:r>
      <w:r w:rsidRPr="00642812">
        <w:t xml:space="preserve"> During the Program implementation, the current State WSS Sector Law that was published in 2005 will be reviewed in accordance with the guidelines annexed to the Operational Manual and submitted to the State Congress</w:t>
      </w:r>
      <w:r w:rsidR="002869B4">
        <w:t>.</w:t>
      </w:r>
    </w:p>
  </w:footnote>
  <w:footnote w:id="5">
    <w:p w:rsidR="00B24E8A" w:rsidRPr="005F5474" w:rsidRDefault="00B24E8A" w:rsidP="00CD3767">
      <w:pPr>
        <w:pStyle w:val="FootnoteText"/>
        <w:rPr>
          <w:lang w:val="es-ES"/>
        </w:rPr>
      </w:pPr>
      <w:r w:rsidRPr="005F5474">
        <w:rPr>
          <w:rStyle w:val="FootnoteReference"/>
        </w:rPr>
        <w:footnoteRef/>
      </w:r>
      <w:r w:rsidRPr="005F5474">
        <w:rPr>
          <w:lang w:val="es-ES"/>
        </w:rPr>
        <w:t xml:space="preserve"> </w:t>
      </w:r>
      <w:r w:rsidRPr="006138F2">
        <w:rPr>
          <w:sz w:val="18"/>
          <w:szCs w:val="18"/>
          <w:lang w:val="es-MX" w:eastAsia="es-ES"/>
        </w:rPr>
        <w:t xml:space="preserve">Heroica Ciudad de </w:t>
      </w:r>
      <w:proofErr w:type="spellStart"/>
      <w:r w:rsidRPr="006138F2">
        <w:rPr>
          <w:sz w:val="18"/>
          <w:szCs w:val="18"/>
          <w:lang w:val="es-MX" w:eastAsia="es-ES"/>
        </w:rPr>
        <w:t>Huajuapan</w:t>
      </w:r>
      <w:proofErr w:type="spellEnd"/>
      <w:r w:rsidRPr="006138F2">
        <w:rPr>
          <w:sz w:val="18"/>
          <w:szCs w:val="18"/>
          <w:lang w:val="es-MX" w:eastAsia="es-ES"/>
        </w:rPr>
        <w:t xml:space="preserve"> de León, </w:t>
      </w:r>
      <w:r w:rsidRPr="006138F2">
        <w:rPr>
          <w:sz w:val="18"/>
          <w:szCs w:val="18"/>
          <w:lang w:val="es-ES" w:eastAsia="es-ES"/>
        </w:rPr>
        <w:t xml:space="preserve">Loma Bonita, </w:t>
      </w:r>
      <w:proofErr w:type="spellStart"/>
      <w:r w:rsidRPr="006138F2">
        <w:rPr>
          <w:sz w:val="18"/>
          <w:szCs w:val="18"/>
          <w:lang w:val="es-ES" w:eastAsia="es-ES"/>
        </w:rPr>
        <w:t>Miahuatlán</w:t>
      </w:r>
      <w:proofErr w:type="spellEnd"/>
      <w:r w:rsidRPr="006138F2">
        <w:rPr>
          <w:sz w:val="18"/>
          <w:szCs w:val="18"/>
          <w:lang w:val="es-ES" w:eastAsia="es-ES"/>
        </w:rPr>
        <w:t xml:space="preserve"> de Porfirio Díaz, Ocotlán de Morelos, San Juan Bautista Tuxtepec, Heroica Ciudad de </w:t>
      </w:r>
      <w:proofErr w:type="spellStart"/>
      <w:r w:rsidRPr="006138F2">
        <w:rPr>
          <w:sz w:val="18"/>
          <w:szCs w:val="18"/>
          <w:lang w:val="es-ES" w:eastAsia="es-ES"/>
        </w:rPr>
        <w:t>Tlaxiaco</w:t>
      </w:r>
      <w:proofErr w:type="spellEnd"/>
      <w:r w:rsidRPr="006138F2">
        <w:rPr>
          <w:sz w:val="18"/>
          <w:szCs w:val="18"/>
          <w:lang w:val="es-ES" w:eastAsia="es-ES"/>
        </w:rPr>
        <w:t xml:space="preserve">, </w:t>
      </w:r>
      <w:proofErr w:type="spellStart"/>
      <w:r w:rsidRPr="006138F2">
        <w:rPr>
          <w:sz w:val="18"/>
          <w:szCs w:val="18"/>
          <w:lang w:val="es-ES" w:eastAsia="es-ES"/>
        </w:rPr>
        <w:t>Zimatlán</w:t>
      </w:r>
      <w:proofErr w:type="spellEnd"/>
      <w:r w:rsidRPr="006138F2">
        <w:rPr>
          <w:sz w:val="18"/>
          <w:szCs w:val="18"/>
          <w:lang w:val="es-ES" w:eastAsia="es-ES"/>
        </w:rPr>
        <w:t xml:space="preserve"> de Álvarez, Asunción </w:t>
      </w:r>
      <w:proofErr w:type="spellStart"/>
      <w:r w:rsidRPr="006138F2">
        <w:rPr>
          <w:sz w:val="18"/>
          <w:szCs w:val="18"/>
          <w:lang w:val="es-ES" w:eastAsia="es-ES"/>
        </w:rPr>
        <w:t>Ixtaltepec</w:t>
      </w:r>
      <w:proofErr w:type="spellEnd"/>
      <w:r w:rsidRPr="006138F2">
        <w:rPr>
          <w:sz w:val="18"/>
          <w:szCs w:val="18"/>
          <w:lang w:val="es-ES" w:eastAsia="es-ES"/>
        </w:rPr>
        <w:t xml:space="preserve">, Ciudad </w:t>
      </w:r>
      <w:proofErr w:type="spellStart"/>
      <w:r w:rsidRPr="006138F2">
        <w:rPr>
          <w:sz w:val="18"/>
          <w:szCs w:val="18"/>
          <w:lang w:val="es-ES" w:eastAsia="es-ES"/>
        </w:rPr>
        <w:t>Ixtepec</w:t>
      </w:r>
      <w:proofErr w:type="spellEnd"/>
      <w:r w:rsidRPr="006138F2">
        <w:rPr>
          <w:sz w:val="18"/>
          <w:szCs w:val="18"/>
          <w:lang w:val="es-ES" w:eastAsia="es-ES"/>
        </w:rPr>
        <w:t xml:space="preserve">, El Espinal, </w:t>
      </w:r>
      <w:r w:rsidRPr="006138F2">
        <w:rPr>
          <w:sz w:val="18"/>
          <w:szCs w:val="18"/>
          <w:lang w:val="es-MX" w:eastAsia="es-ES"/>
        </w:rPr>
        <w:t xml:space="preserve">Heroica Ciudad de Juchitán de Zaragoza, </w:t>
      </w:r>
      <w:r w:rsidRPr="006138F2">
        <w:rPr>
          <w:sz w:val="18"/>
          <w:szCs w:val="18"/>
          <w:lang w:val="es-ES" w:eastAsia="es-ES"/>
        </w:rPr>
        <w:t xml:space="preserve">Matías Romero Avendaño, Salina Cruz, San Francisco </w:t>
      </w:r>
      <w:proofErr w:type="spellStart"/>
      <w:r w:rsidRPr="006138F2">
        <w:rPr>
          <w:sz w:val="18"/>
          <w:szCs w:val="18"/>
          <w:lang w:val="es-ES" w:eastAsia="es-ES"/>
        </w:rPr>
        <w:t>Telixtlahuaca</w:t>
      </w:r>
      <w:proofErr w:type="spellEnd"/>
      <w:r w:rsidRPr="006138F2">
        <w:rPr>
          <w:sz w:val="18"/>
          <w:szCs w:val="18"/>
          <w:lang w:val="es-ES" w:eastAsia="es-ES"/>
        </w:rPr>
        <w:t xml:space="preserve">, Puerto Escondido, Santiago </w:t>
      </w:r>
      <w:proofErr w:type="spellStart"/>
      <w:r w:rsidRPr="006138F2">
        <w:rPr>
          <w:sz w:val="18"/>
          <w:szCs w:val="18"/>
          <w:lang w:val="es-ES" w:eastAsia="es-ES"/>
        </w:rPr>
        <w:t>Pinotepa</w:t>
      </w:r>
      <w:proofErr w:type="spellEnd"/>
      <w:r w:rsidRPr="006138F2">
        <w:rPr>
          <w:sz w:val="18"/>
          <w:szCs w:val="18"/>
          <w:lang w:val="es-ES" w:eastAsia="es-ES"/>
        </w:rPr>
        <w:t xml:space="preserve"> Nacional, Santo Domingo Tehuantepec, Santo Domingo </w:t>
      </w:r>
      <w:proofErr w:type="spellStart"/>
      <w:r w:rsidRPr="006138F2">
        <w:rPr>
          <w:sz w:val="18"/>
          <w:szCs w:val="18"/>
          <w:lang w:val="es-ES" w:eastAsia="es-ES"/>
        </w:rPr>
        <w:t>Zanatepec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D8"/>
    <w:multiLevelType w:val="hybridMultilevel"/>
    <w:tmpl w:val="B02AD8CC"/>
    <w:lvl w:ilvl="0" w:tplc="E772C128">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180B39"/>
    <w:multiLevelType w:val="hybridMultilevel"/>
    <w:tmpl w:val="8A8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A604B"/>
    <w:multiLevelType w:val="hybridMultilevel"/>
    <w:tmpl w:val="D4E4E60E"/>
    <w:lvl w:ilvl="0" w:tplc="A82ABC5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62DEA"/>
    <w:multiLevelType w:val="hybridMultilevel"/>
    <w:tmpl w:val="D4E4E60E"/>
    <w:lvl w:ilvl="0" w:tplc="A82ABC52">
      <w:start w:val="1"/>
      <w:numFmt w:val="decimal"/>
      <w:lvlText w:val="%1."/>
      <w:lvlJc w:val="left"/>
      <w:pPr>
        <w:ind w:left="63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A560C"/>
    <w:multiLevelType w:val="hybridMultilevel"/>
    <w:tmpl w:val="89586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92FB7"/>
    <w:multiLevelType w:val="hybridMultilevel"/>
    <w:tmpl w:val="77A226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457144EA"/>
    <w:multiLevelType w:val="hybridMultilevel"/>
    <w:tmpl w:val="1E2A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03A77"/>
    <w:multiLevelType w:val="hybridMultilevel"/>
    <w:tmpl w:val="D4E4E60E"/>
    <w:lvl w:ilvl="0" w:tplc="A82ABC5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84AAF"/>
    <w:multiLevelType w:val="hybridMultilevel"/>
    <w:tmpl w:val="CC009CC6"/>
    <w:lvl w:ilvl="0" w:tplc="121899E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E0E0B"/>
    <w:multiLevelType w:val="hybridMultilevel"/>
    <w:tmpl w:val="DF124E5C"/>
    <w:lvl w:ilvl="0" w:tplc="65282C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F7FC4"/>
    <w:multiLevelType w:val="hybridMultilevel"/>
    <w:tmpl w:val="AD74B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9E7DFD"/>
    <w:multiLevelType w:val="hybridMultilevel"/>
    <w:tmpl w:val="300EE47E"/>
    <w:lvl w:ilvl="0" w:tplc="7694704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10"/>
  </w:num>
  <w:num w:numId="8">
    <w:abstractNumId w:val="8"/>
  </w:num>
  <w:num w:numId="9">
    <w:abstractNumId w:val="9"/>
  </w:num>
  <w:num w:numId="10">
    <w:abstractNumId w:val="11"/>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Luis">
    <w15:presenceInfo w15:providerId="None" w15:userId="Jose 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0"/>
    <w:rsid w:val="000028CA"/>
    <w:rsid w:val="00003A7B"/>
    <w:rsid w:val="00016F42"/>
    <w:rsid w:val="00037DA7"/>
    <w:rsid w:val="0004152C"/>
    <w:rsid w:val="0004364E"/>
    <w:rsid w:val="00047652"/>
    <w:rsid w:val="0005780D"/>
    <w:rsid w:val="0006723B"/>
    <w:rsid w:val="00074C08"/>
    <w:rsid w:val="00080593"/>
    <w:rsid w:val="00091A41"/>
    <w:rsid w:val="000B2A23"/>
    <w:rsid w:val="000C0919"/>
    <w:rsid w:val="000C6F80"/>
    <w:rsid w:val="000C7195"/>
    <w:rsid w:val="000D522A"/>
    <w:rsid w:val="000E1B42"/>
    <w:rsid w:val="000E7204"/>
    <w:rsid w:val="00110064"/>
    <w:rsid w:val="00134E34"/>
    <w:rsid w:val="00136646"/>
    <w:rsid w:val="001467E2"/>
    <w:rsid w:val="0015283C"/>
    <w:rsid w:val="001545CE"/>
    <w:rsid w:val="001816C9"/>
    <w:rsid w:val="00183356"/>
    <w:rsid w:val="00184AB5"/>
    <w:rsid w:val="001A0D49"/>
    <w:rsid w:val="001A540C"/>
    <w:rsid w:val="001A76AA"/>
    <w:rsid w:val="001C39C9"/>
    <w:rsid w:val="001D379D"/>
    <w:rsid w:val="001D3D91"/>
    <w:rsid w:val="001D4606"/>
    <w:rsid w:val="001E5FDA"/>
    <w:rsid w:val="001F4386"/>
    <w:rsid w:val="002042C0"/>
    <w:rsid w:val="002075AF"/>
    <w:rsid w:val="00234AB7"/>
    <w:rsid w:val="00256273"/>
    <w:rsid w:val="002649A9"/>
    <w:rsid w:val="00271DB7"/>
    <w:rsid w:val="00283D7A"/>
    <w:rsid w:val="002869B4"/>
    <w:rsid w:val="002B224E"/>
    <w:rsid w:val="002D1031"/>
    <w:rsid w:val="002D641D"/>
    <w:rsid w:val="003069EE"/>
    <w:rsid w:val="00317C70"/>
    <w:rsid w:val="00327225"/>
    <w:rsid w:val="00337525"/>
    <w:rsid w:val="00340B4E"/>
    <w:rsid w:val="00350F85"/>
    <w:rsid w:val="00377141"/>
    <w:rsid w:val="00387F38"/>
    <w:rsid w:val="003B1E0E"/>
    <w:rsid w:val="003C4F26"/>
    <w:rsid w:val="003D5197"/>
    <w:rsid w:val="003D5B2F"/>
    <w:rsid w:val="004061E4"/>
    <w:rsid w:val="004433E4"/>
    <w:rsid w:val="00447440"/>
    <w:rsid w:val="00466517"/>
    <w:rsid w:val="00474AEA"/>
    <w:rsid w:val="004751A9"/>
    <w:rsid w:val="00475208"/>
    <w:rsid w:val="0048593B"/>
    <w:rsid w:val="0049202E"/>
    <w:rsid w:val="00496AA2"/>
    <w:rsid w:val="004A5A09"/>
    <w:rsid w:val="004A6A03"/>
    <w:rsid w:val="004C1889"/>
    <w:rsid w:val="004D10CB"/>
    <w:rsid w:val="004D7C1A"/>
    <w:rsid w:val="004F4D02"/>
    <w:rsid w:val="004F50A8"/>
    <w:rsid w:val="00504697"/>
    <w:rsid w:val="00521DF5"/>
    <w:rsid w:val="00547B9D"/>
    <w:rsid w:val="00565B1F"/>
    <w:rsid w:val="00573262"/>
    <w:rsid w:val="005B1E5E"/>
    <w:rsid w:val="005C4F43"/>
    <w:rsid w:val="005C5123"/>
    <w:rsid w:val="005D04E5"/>
    <w:rsid w:val="006108EB"/>
    <w:rsid w:val="00614990"/>
    <w:rsid w:val="006221BD"/>
    <w:rsid w:val="00625D11"/>
    <w:rsid w:val="0063444A"/>
    <w:rsid w:val="00642812"/>
    <w:rsid w:val="0064343E"/>
    <w:rsid w:val="00650612"/>
    <w:rsid w:val="00652809"/>
    <w:rsid w:val="0067370A"/>
    <w:rsid w:val="00697714"/>
    <w:rsid w:val="006B67CC"/>
    <w:rsid w:val="006C2C09"/>
    <w:rsid w:val="006D06D5"/>
    <w:rsid w:val="006D12F0"/>
    <w:rsid w:val="006D730F"/>
    <w:rsid w:val="006E0615"/>
    <w:rsid w:val="006E206F"/>
    <w:rsid w:val="006E6C2A"/>
    <w:rsid w:val="006F70A2"/>
    <w:rsid w:val="00711B91"/>
    <w:rsid w:val="00720605"/>
    <w:rsid w:val="00730612"/>
    <w:rsid w:val="00730AC3"/>
    <w:rsid w:val="00744A7F"/>
    <w:rsid w:val="007548BE"/>
    <w:rsid w:val="007624F9"/>
    <w:rsid w:val="007A2B55"/>
    <w:rsid w:val="007A6C05"/>
    <w:rsid w:val="007C3E06"/>
    <w:rsid w:val="007C6ED1"/>
    <w:rsid w:val="007D6047"/>
    <w:rsid w:val="007D60BA"/>
    <w:rsid w:val="007D7299"/>
    <w:rsid w:val="008054AD"/>
    <w:rsid w:val="008078F9"/>
    <w:rsid w:val="0081332F"/>
    <w:rsid w:val="00822418"/>
    <w:rsid w:val="00836818"/>
    <w:rsid w:val="00855E93"/>
    <w:rsid w:val="008608F0"/>
    <w:rsid w:val="00863450"/>
    <w:rsid w:val="00870327"/>
    <w:rsid w:val="00882CE0"/>
    <w:rsid w:val="00883A67"/>
    <w:rsid w:val="0088468A"/>
    <w:rsid w:val="008936EE"/>
    <w:rsid w:val="008E4AB9"/>
    <w:rsid w:val="008E62B5"/>
    <w:rsid w:val="008F059B"/>
    <w:rsid w:val="008F62EC"/>
    <w:rsid w:val="00904ACD"/>
    <w:rsid w:val="009079F5"/>
    <w:rsid w:val="0094107B"/>
    <w:rsid w:val="00960D40"/>
    <w:rsid w:val="00962618"/>
    <w:rsid w:val="00964C7F"/>
    <w:rsid w:val="009B058A"/>
    <w:rsid w:val="009D0FDE"/>
    <w:rsid w:val="009F7BEA"/>
    <w:rsid w:val="00A03635"/>
    <w:rsid w:val="00A10F28"/>
    <w:rsid w:val="00A14D11"/>
    <w:rsid w:val="00A21596"/>
    <w:rsid w:val="00A24050"/>
    <w:rsid w:val="00A36A25"/>
    <w:rsid w:val="00A40441"/>
    <w:rsid w:val="00A43650"/>
    <w:rsid w:val="00A43665"/>
    <w:rsid w:val="00A52286"/>
    <w:rsid w:val="00A84F81"/>
    <w:rsid w:val="00A94336"/>
    <w:rsid w:val="00AD1246"/>
    <w:rsid w:val="00AD3E86"/>
    <w:rsid w:val="00AE715A"/>
    <w:rsid w:val="00AE7E62"/>
    <w:rsid w:val="00AF3B42"/>
    <w:rsid w:val="00B10EFE"/>
    <w:rsid w:val="00B24E8A"/>
    <w:rsid w:val="00B34BF0"/>
    <w:rsid w:val="00B41148"/>
    <w:rsid w:val="00B56C37"/>
    <w:rsid w:val="00B56DEF"/>
    <w:rsid w:val="00B56F3E"/>
    <w:rsid w:val="00B57625"/>
    <w:rsid w:val="00B76364"/>
    <w:rsid w:val="00B829B3"/>
    <w:rsid w:val="00B83156"/>
    <w:rsid w:val="00BA06BB"/>
    <w:rsid w:val="00BA1576"/>
    <w:rsid w:val="00BA7499"/>
    <w:rsid w:val="00BB5D16"/>
    <w:rsid w:val="00BB641A"/>
    <w:rsid w:val="00BC276E"/>
    <w:rsid w:val="00BD6B56"/>
    <w:rsid w:val="00BE01BA"/>
    <w:rsid w:val="00BE3E5F"/>
    <w:rsid w:val="00BE7451"/>
    <w:rsid w:val="00BF5613"/>
    <w:rsid w:val="00BF612A"/>
    <w:rsid w:val="00C11F63"/>
    <w:rsid w:val="00C31D54"/>
    <w:rsid w:val="00C3693C"/>
    <w:rsid w:val="00C46812"/>
    <w:rsid w:val="00C476C1"/>
    <w:rsid w:val="00C67ADD"/>
    <w:rsid w:val="00C73069"/>
    <w:rsid w:val="00C86DB9"/>
    <w:rsid w:val="00CA31A6"/>
    <w:rsid w:val="00CB531E"/>
    <w:rsid w:val="00CD3767"/>
    <w:rsid w:val="00CD6C75"/>
    <w:rsid w:val="00CE39D1"/>
    <w:rsid w:val="00CE5885"/>
    <w:rsid w:val="00CF2015"/>
    <w:rsid w:val="00D170AF"/>
    <w:rsid w:val="00D3608C"/>
    <w:rsid w:val="00D37888"/>
    <w:rsid w:val="00D407CA"/>
    <w:rsid w:val="00D4344B"/>
    <w:rsid w:val="00D440A0"/>
    <w:rsid w:val="00D52FE5"/>
    <w:rsid w:val="00D61B56"/>
    <w:rsid w:val="00D648BB"/>
    <w:rsid w:val="00D71AF7"/>
    <w:rsid w:val="00D77E8F"/>
    <w:rsid w:val="00D93F7A"/>
    <w:rsid w:val="00DA7BAC"/>
    <w:rsid w:val="00DD5D42"/>
    <w:rsid w:val="00DD7F9E"/>
    <w:rsid w:val="00DE3996"/>
    <w:rsid w:val="00DF2991"/>
    <w:rsid w:val="00E10D45"/>
    <w:rsid w:val="00E21313"/>
    <w:rsid w:val="00E31BDD"/>
    <w:rsid w:val="00E37FB3"/>
    <w:rsid w:val="00E54F37"/>
    <w:rsid w:val="00E647CF"/>
    <w:rsid w:val="00E72AED"/>
    <w:rsid w:val="00E732ED"/>
    <w:rsid w:val="00EA12F9"/>
    <w:rsid w:val="00EB4073"/>
    <w:rsid w:val="00EC0793"/>
    <w:rsid w:val="00EC1D30"/>
    <w:rsid w:val="00ED6E5F"/>
    <w:rsid w:val="00EE0AE7"/>
    <w:rsid w:val="00EE0B61"/>
    <w:rsid w:val="00EE1932"/>
    <w:rsid w:val="00F014BA"/>
    <w:rsid w:val="00F05DBD"/>
    <w:rsid w:val="00F14D36"/>
    <w:rsid w:val="00F410D7"/>
    <w:rsid w:val="00F4341D"/>
    <w:rsid w:val="00F55049"/>
    <w:rsid w:val="00F62912"/>
    <w:rsid w:val="00F759F4"/>
    <w:rsid w:val="00F8011E"/>
    <w:rsid w:val="00F804B6"/>
    <w:rsid w:val="00F8515E"/>
    <w:rsid w:val="00F87B3B"/>
    <w:rsid w:val="00F92A66"/>
    <w:rsid w:val="00FD00AB"/>
    <w:rsid w:val="00FD1527"/>
    <w:rsid w:val="00FE325B"/>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6A25"/>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A36A25"/>
    <w:pPr>
      <w:outlineLvl w:val="0"/>
    </w:pPr>
    <w:rPr>
      <w:b/>
      <w:bCs/>
      <w:sz w:val="32"/>
      <w:szCs w:val="32"/>
    </w:rPr>
  </w:style>
  <w:style w:type="paragraph" w:styleId="Heading2">
    <w:name w:val="heading 2"/>
    <w:basedOn w:val="Normal"/>
    <w:next w:val="Normal"/>
    <w:link w:val="Heading2Char"/>
    <w:uiPriority w:val="99"/>
    <w:qFormat/>
    <w:rsid w:val="00A36A25"/>
    <w:pPr>
      <w:outlineLvl w:val="1"/>
    </w:pPr>
    <w:rPr>
      <w:b/>
      <w:bCs/>
      <w:i/>
      <w:iCs/>
      <w:sz w:val="28"/>
      <w:szCs w:val="28"/>
    </w:rPr>
  </w:style>
  <w:style w:type="paragraph" w:styleId="Heading3">
    <w:name w:val="heading 3"/>
    <w:basedOn w:val="Normal"/>
    <w:next w:val="Normal"/>
    <w:link w:val="Heading3Char"/>
    <w:uiPriority w:val="99"/>
    <w:qFormat/>
    <w:rsid w:val="00A36A25"/>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6A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6A25"/>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55049"/>
    <w:rPr>
      <w:rFonts w:ascii="Tahoma" w:hAnsi="Tahoma" w:cs="Tahoma"/>
      <w:sz w:val="16"/>
      <w:szCs w:val="16"/>
    </w:rPr>
  </w:style>
  <w:style w:type="character" w:customStyle="1" w:styleId="BalloonTextChar">
    <w:name w:val="Balloon Text Char"/>
    <w:basedOn w:val="DefaultParagraphFont"/>
    <w:link w:val="BalloonText"/>
    <w:uiPriority w:val="99"/>
    <w:semiHidden/>
    <w:rsid w:val="00F55049"/>
    <w:rPr>
      <w:rFonts w:ascii="Tahoma" w:hAnsi="Tahoma" w:cs="Tahoma"/>
      <w:color w:val="000000"/>
      <w:sz w:val="16"/>
      <w:szCs w:val="16"/>
    </w:rPr>
  </w:style>
  <w:style w:type="character" w:styleId="CommentReference">
    <w:name w:val="annotation reference"/>
    <w:basedOn w:val="DefaultParagraphFont"/>
    <w:uiPriority w:val="99"/>
    <w:unhideWhenUsed/>
    <w:rsid w:val="00F55049"/>
    <w:rPr>
      <w:sz w:val="16"/>
      <w:szCs w:val="16"/>
    </w:rPr>
  </w:style>
  <w:style w:type="paragraph" w:styleId="CommentText">
    <w:name w:val="annotation text"/>
    <w:basedOn w:val="Normal"/>
    <w:link w:val="CommentTextChar"/>
    <w:uiPriority w:val="99"/>
    <w:unhideWhenUsed/>
    <w:rsid w:val="00F55049"/>
    <w:rPr>
      <w:sz w:val="20"/>
      <w:szCs w:val="20"/>
    </w:rPr>
  </w:style>
  <w:style w:type="character" w:customStyle="1" w:styleId="CommentTextChar">
    <w:name w:val="Comment Text Char"/>
    <w:basedOn w:val="DefaultParagraphFont"/>
    <w:link w:val="CommentText"/>
    <w:uiPriority w:val="99"/>
    <w:rsid w:val="00F55049"/>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049"/>
    <w:rPr>
      <w:b/>
      <w:bCs/>
    </w:rPr>
  </w:style>
  <w:style w:type="character" w:customStyle="1" w:styleId="CommentSubjectChar">
    <w:name w:val="Comment Subject Char"/>
    <w:basedOn w:val="CommentTextChar"/>
    <w:link w:val="CommentSubject"/>
    <w:uiPriority w:val="99"/>
    <w:semiHidden/>
    <w:rsid w:val="00F55049"/>
    <w:rPr>
      <w:rFonts w:ascii="Arial" w:hAnsi="Arial" w:cs="Arial"/>
      <w:b/>
      <w:bCs/>
      <w:color w:val="000000"/>
      <w:sz w:val="20"/>
      <w:szCs w:val="20"/>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fr,Ref"/>
    <w:basedOn w:val="DefaultParagraphFont"/>
    <w:uiPriority w:val="99"/>
    <w:rsid w:val="00D440A0"/>
    <w:rPr>
      <w:vertAlign w:val="superscript"/>
    </w:rPr>
  </w:style>
  <w:style w:type="paragraph" w:styleId="FootnoteText">
    <w:name w:val="footnote text"/>
    <w:aliases w:val="single space,footnote text,fn,FOOTNOTES,Car,Footnote,text,ft,Footnote Text Char Char Char Char Char Char,Footnote Text Char Char Char Char1,Footnote Text Char Char Char Char Char1,Footnote Text Char Char Char Char Char,f,Geneva,Geneva 9"/>
    <w:basedOn w:val="Normal"/>
    <w:link w:val="FootnoteTextChar"/>
    <w:uiPriority w:val="99"/>
    <w:qFormat/>
    <w:rsid w:val="00D440A0"/>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Car Char,Footnote Char,text Char,ft Char,Footnote Text Char Char Char Char Char Char Char,Footnote Text Char Char Char Char1 Char,Footnote Text Char Char Char Char Char1 Char"/>
    <w:basedOn w:val="DefaultParagraphFont"/>
    <w:link w:val="FootnoteText"/>
    <w:rsid w:val="00D440A0"/>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440A0"/>
    <w:pPr>
      <w:widowControl/>
      <w:autoSpaceDE/>
      <w:autoSpaceDN/>
      <w:adjustRightInd/>
      <w:ind w:left="720"/>
      <w:contextualSpacing/>
    </w:pPr>
    <w:rPr>
      <w:rFonts w:ascii="Times New Roman" w:eastAsia="Times New Roman" w:hAnsi="Times New Roman" w:cs="Times New Roman"/>
      <w:color w:val="auto"/>
    </w:rPr>
  </w:style>
  <w:style w:type="paragraph" w:styleId="NoSpacing">
    <w:name w:val="No Spacing"/>
    <w:link w:val="NoSpacingChar"/>
    <w:uiPriority w:val="1"/>
    <w:qFormat/>
    <w:rsid w:val="00521DF5"/>
    <w:pPr>
      <w:spacing w:after="0" w:line="240" w:lineRule="auto"/>
    </w:pPr>
  </w:style>
  <w:style w:type="character" w:customStyle="1" w:styleId="NoSpacingChar">
    <w:name w:val="No Spacing Char"/>
    <w:basedOn w:val="DefaultParagraphFont"/>
    <w:link w:val="NoSpacing"/>
    <w:uiPriority w:val="1"/>
    <w:rsid w:val="00521DF5"/>
  </w:style>
  <w:style w:type="character" w:customStyle="1" w:styleId="ListParagraphChar">
    <w:name w:val="List Paragraph Char"/>
    <w:basedOn w:val="DefaultParagraphFont"/>
    <w:link w:val="ListParagraph"/>
    <w:uiPriority w:val="34"/>
    <w:rsid w:val="00521DF5"/>
    <w:rPr>
      <w:rFonts w:ascii="Times New Roman" w:eastAsia="Times New Roman" w:hAnsi="Times New Roman" w:cs="Times New Roman"/>
      <w:sz w:val="24"/>
      <w:szCs w:val="24"/>
    </w:rPr>
  </w:style>
  <w:style w:type="paragraph" w:customStyle="1" w:styleId="Default">
    <w:name w:val="Default"/>
    <w:link w:val="DefaultChar"/>
    <w:rsid w:val="004C188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DefaultChar">
    <w:name w:val="Default Char"/>
    <w:basedOn w:val="DefaultParagraphFont"/>
    <w:link w:val="Default"/>
    <w:rsid w:val="004C1889"/>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1816C9"/>
    <w:pPr>
      <w:tabs>
        <w:tab w:val="center" w:pos="4513"/>
        <w:tab w:val="right" w:pos="9026"/>
      </w:tabs>
    </w:pPr>
  </w:style>
  <w:style w:type="character" w:customStyle="1" w:styleId="HeaderChar">
    <w:name w:val="Header Char"/>
    <w:basedOn w:val="DefaultParagraphFont"/>
    <w:link w:val="Header"/>
    <w:uiPriority w:val="99"/>
    <w:rsid w:val="001816C9"/>
    <w:rPr>
      <w:rFonts w:ascii="Arial" w:hAnsi="Arial" w:cs="Arial"/>
      <w:color w:val="000000"/>
      <w:sz w:val="24"/>
      <w:szCs w:val="24"/>
    </w:rPr>
  </w:style>
  <w:style w:type="paragraph" w:styleId="Footer">
    <w:name w:val="footer"/>
    <w:basedOn w:val="Normal"/>
    <w:link w:val="FooterChar"/>
    <w:uiPriority w:val="99"/>
    <w:unhideWhenUsed/>
    <w:rsid w:val="001816C9"/>
    <w:pPr>
      <w:tabs>
        <w:tab w:val="center" w:pos="4513"/>
        <w:tab w:val="right" w:pos="9026"/>
      </w:tabs>
    </w:pPr>
  </w:style>
  <w:style w:type="character" w:customStyle="1" w:styleId="FooterChar">
    <w:name w:val="Footer Char"/>
    <w:basedOn w:val="DefaultParagraphFont"/>
    <w:link w:val="Footer"/>
    <w:uiPriority w:val="99"/>
    <w:rsid w:val="001816C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6A25"/>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A36A25"/>
    <w:pPr>
      <w:outlineLvl w:val="0"/>
    </w:pPr>
    <w:rPr>
      <w:b/>
      <w:bCs/>
      <w:sz w:val="32"/>
      <w:szCs w:val="32"/>
    </w:rPr>
  </w:style>
  <w:style w:type="paragraph" w:styleId="Heading2">
    <w:name w:val="heading 2"/>
    <w:basedOn w:val="Normal"/>
    <w:next w:val="Normal"/>
    <w:link w:val="Heading2Char"/>
    <w:uiPriority w:val="99"/>
    <w:qFormat/>
    <w:rsid w:val="00A36A25"/>
    <w:pPr>
      <w:outlineLvl w:val="1"/>
    </w:pPr>
    <w:rPr>
      <w:b/>
      <w:bCs/>
      <w:i/>
      <w:iCs/>
      <w:sz w:val="28"/>
      <w:szCs w:val="28"/>
    </w:rPr>
  </w:style>
  <w:style w:type="paragraph" w:styleId="Heading3">
    <w:name w:val="heading 3"/>
    <w:basedOn w:val="Normal"/>
    <w:next w:val="Normal"/>
    <w:link w:val="Heading3Char"/>
    <w:uiPriority w:val="99"/>
    <w:qFormat/>
    <w:rsid w:val="00A36A25"/>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6A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6A25"/>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55049"/>
    <w:rPr>
      <w:rFonts w:ascii="Tahoma" w:hAnsi="Tahoma" w:cs="Tahoma"/>
      <w:sz w:val="16"/>
      <w:szCs w:val="16"/>
    </w:rPr>
  </w:style>
  <w:style w:type="character" w:customStyle="1" w:styleId="BalloonTextChar">
    <w:name w:val="Balloon Text Char"/>
    <w:basedOn w:val="DefaultParagraphFont"/>
    <w:link w:val="BalloonText"/>
    <w:uiPriority w:val="99"/>
    <w:semiHidden/>
    <w:rsid w:val="00F55049"/>
    <w:rPr>
      <w:rFonts w:ascii="Tahoma" w:hAnsi="Tahoma" w:cs="Tahoma"/>
      <w:color w:val="000000"/>
      <w:sz w:val="16"/>
      <w:szCs w:val="16"/>
    </w:rPr>
  </w:style>
  <w:style w:type="character" w:styleId="CommentReference">
    <w:name w:val="annotation reference"/>
    <w:basedOn w:val="DefaultParagraphFont"/>
    <w:uiPriority w:val="99"/>
    <w:unhideWhenUsed/>
    <w:rsid w:val="00F55049"/>
    <w:rPr>
      <w:sz w:val="16"/>
      <w:szCs w:val="16"/>
    </w:rPr>
  </w:style>
  <w:style w:type="paragraph" w:styleId="CommentText">
    <w:name w:val="annotation text"/>
    <w:basedOn w:val="Normal"/>
    <w:link w:val="CommentTextChar"/>
    <w:uiPriority w:val="99"/>
    <w:unhideWhenUsed/>
    <w:rsid w:val="00F55049"/>
    <w:rPr>
      <w:sz w:val="20"/>
      <w:szCs w:val="20"/>
    </w:rPr>
  </w:style>
  <w:style w:type="character" w:customStyle="1" w:styleId="CommentTextChar">
    <w:name w:val="Comment Text Char"/>
    <w:basedOn w:val="DefaultParagraphFont"/>
    <w:link w:val="CommentText"/>
    <w:uiPriority w:val="99"/>
    <w:rsid w:val="00F55049"/>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049"/>
    <w:rPr>
      <w:b/>
      <w:bCs/>
    </w:rPr>
  </w:style>
  <w:style w:type="character" w:customStyle="1" w:styleId="CommentSubjectChar">
    <w:name w:val="Comment Subject Char"/>
    <w:basedOn w:val="CommentTextChar"/>
    <w:link w:val="CommentSubject"/>
    <w:uiPriority w:val="99"/>
    <w:semiHidden/>
    <w:rsid w:val="00F55049"/>
    <w:rPr>
      <w:rFonts w:ascii="Arial" w:hAnsi="Arial" w:cs="Arial"/>
      <w:b/>
      <w:bCs/>
      <w:color w:val="000000"/>
      <w:sz w:val="20"/>
      <w:szCs w:val="20"/>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fr,Ref"/>
    <w:basedOn w:val="DefaultParagraphFont"/>
    <w:uiPriority w:val="99"/>
    <w:rsid w:val="00D440A0"/>
    <w:rPr>
      <w:vertAlign w:val="superscript"/>
    </w:rPr>
  </w:style>
  <w:style w:type="paragraph" w:styleId="FootnoteText">
    <w:name w:val="footnote text"/>
    <w:aliases w:val="single space,footnote text,fn,FOOTNOTES,Car,Footnote,text,ft,Footnote Text Char Char Char Char Char Char,Footnote Text Char Char Char Char1,Footnote Text Char Char Char Char Char1,Footnote Text Char Char Char Char Char,f,Geneva,Geneva 9"/>
    <w:basedOn w:val="Normal"/>
    <w:link w:val="FootnoteTextChar"/>
    <w:uiPriority w:val="99"/>
    <w:qFormat/>
    <w:rsid w:val="00D440A0"/>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Car Char,Footnote Char,text Char,ft Char,Footnote Text Char Char Char Char Char Char Char,Footnote Text Char Char Char Char1 Char,Footnote Text Char Char Char Char Char1 Char"/>
    <w:basedOn w:val="DefaultParagraphFont"/>
    <w:link w:val="FootnoteText"/>
    <w:rsid w:val="00D440A0"/>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440A0"/>
    <w:pPr>
      <w:widowControl/>
      <w:autoSpaceDE/>
      <w:autoSpaceDN/>
      <w:adjustRightInd/>
      <w:ind w:left="720"/>
      <w:contextualSpacing/>
    </w:pPr>
    <w:rPr>
      <w:rFonts w:ascii="Times New Roman" w:eastAsia="Times New Roman" w:hAnsi="Times New Roman" w:cs="Times New Roman"/>
      <w:color w:val="auto"/>
    </w:rPr>
  </w:style>
  <w:style w:type="paragraph" w:styleId="NoSpacing">
    <w:name w:val="No Spacing"/>
    <w:link w:val="NoSpacingChar"/>
    <w:uiPriority w:val="1"/>
    <w:qFormat/>
    <w:rsid w:val="00521DF5"/>
    <w:pPr>
      <w:spacing w:after="0" w:line="240" w:lineRule="auto"/>
    </w:pPr>
  </w:style>
  <w:style w:type="character" w:customStyle="1" w:styleId="NoSpacingChar">
    <w:name w:val="No Spacing Char"/>
    <w:basedOn w:val="DefaultParagraphFont"/>
    <w:link w:val="NoSpacing"/>
    <w:uiPriority w:val="1"/>
    <w:rsid w:val="00521DF5"/>
  </w:style>
  <w:style w:type="character" w:customStyle="1" w:styleId="ListParagraphChar">
    <w:name w:val="List Paragraph Char"/>
    <w:basedOn w:val="DefaultParagraphFont"/>
    <w:link w:val="ListParagraph"/>
    <w:uiPriority w:val="34"/>
    <w:rsid w:val="00521DF5"/>
    <w:rPr>
      <w:rFonts w:ascii="Times New Roman" w:eastAsia="Times New Roman" w:hAnsi="Times New Roman" w:cs="Times New Roman"/>
      <w:sz w:val="24"/>
      <w:szCs w:val="24"/>
    </w:rPr>
  </w:style>
  <w:style w:type="paragraph" w:customStyle="1" w:styleId="Default">
    <w:name w:val="Default"/>
    <w:link w:val="DefaultChar"/>
    <w:rsid w:val="004C188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DefaultChar">
    <w:name w:val="Default Char"/>
    <w:basedOn w:val="DefaultParagraphFont"/>
    <w:link w:val="Default"/>
    <w:rsid w:val="004C1889"/>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1816C9"/>
    <w:pPr>
      <w:tabs>
        <w:tab w:val="center" w:pos="4513"/>
        <w:tab w:val="right" w:pos="9026"/>
      </w:tabs>
    </w:pPr>
  </w:style>
  <w:style w:type="character" w:customStyle="1" w:styleId="HeaderChar">
    <w:name w:val="Header Char"/>
    <w:basedOn w:val="DefaultParagraphFont"/>
    <w:link w:val="Header"/>
    <w:uiPriority w:val="99"/>
    <w:rsid w:val="001816C9"/>
    <w:rPr>
      <w:rFonts w:ascii="Arial" w:hAnsi="Arial" w:cs="Arial"/>
      <w:color w:val="000000"/>
      <w:sz w:val="24"/>
      <w:szCs w:val="24"/>
    </w:rPr>
  </w:style>
  <w:style w:type="paragraph" w:styleId="Footer">
    <w:name w:val="footer"/>
    <w:basedOn w:val="Normal"/>
    <w:link w:val="FooterChar"/>
    <w:uiPriority w:val="99"/>
    <w:unhideWhenUsed/>
    <w:rsid w:val="001816C9"/>
    <w:pPr>
      <w:tabs>
        <w:tab w:val="center" w:pos="4513"/>
        <w:tab w:val="right" w:pos="9026"/>
      </w:tabs>
    </w:pPr>
  </w:style>
  <w:style w:type="character" w:customStyle="1" w:styleId="FooterChar">
    <w:name w:val="Footer Char"/>
    <w:basedOn w:val="DefaultParagraphFont"/>
    <w:link w:val="Footer"/>
    <w:uiPriority w:val="99"/>
    <w:rsid w:val="001816C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28F5-F515-421D-B355-CB157004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2927</Words>
  <Characters>16592</Characters>
  <Application>Microsoft Office Word</Application>
  <DocSecurity>0</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WB340122</dc:creator>
  <cp:lastModifiedBy>Lina Janenaite</cp:lastModifiedBy>
  <cp:revision>3</cp:revision>
  <cp:lastPrinted>2014-04-17T21:17:00Z</cp:lastPrinted>
  <dcterms:created xsi:type="dcterms:W3CDTF">2014-04-16T15:49:00Z</dcterms:created>
  <dcterms:modified xsi:type="dcterms:W3CDTF">2014-04-17T21:17:00Z</dcterms:modified>
</cp:coreProperties>
</file>