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27" w:rsidRDefault="00F83A60" w:rsidP="00012927">
      <w:pPr>
        <w:rPr>
          <w:b/>
        </w:rPr>
      </w:pPr>
      <w:r w:rsidRPr="00F83A60">
        <w:rPr>
          <w:b/>
          <w:noProof/>
          <w:lang w:eastAsia="zh-TW"/>
        </w:rPr>
        <w:pict>
          <v:shapetype id="_x0000_t202" coordsize="21600,21600" o:spt="202" path="m,l,21600r21600,l21600,xe">
            <v:stroke joinstyle="miter"/>
            <v:path gradientshapeok="t" o:connecttype="rect"/>
          </v:shapetype>
          <v:shape id="_x0000_s1026" type="#_x0000_t202" style="position:absolute;margin-left:378pt;margin-top:-21.75pt;width:87.75pt;height:32.5pt;z-index:251660288;mso-height-percent:200;mso-height-percent:200;mso-width-relative:margin;mso-height-relative:margin" stroked="f">
            <v:textbox style="mso-fit-shape-to-text:t">
              <w:txbxContent>
                <w:p w:rsidR="00F83A60" w:rsidRPr="00F83A60" w:rsidRDefault="00F83A60">
                  <w:pPr>
                    <w:rPr>
                      <w:rFonts w:ascii="Arial" w:hAnsi="Arial" w:cs="Arial"/>
                      <w:sz w:val="44"/>
                      <w:szCs w:val="44"/>
                    </w:rPr>
                  </w:pPr>
                  <w:r w:rsidRPr="00F83A60">
                    <w:rPr>
                      <w:rFonts w:ascii="Arial" w:hAnsi="Arial" w:cs="Arial"/>
                      <w:sz w:val="44"/>
                      <w:szCs w:val="44"/>
                    </w:rPr>
                    <w:t>54873</w:t>
                  </w:r>
                </w:p>
              </w:txbxContent>
            </v:textbox>
          </v:shape>
        </w:pict>
      </w: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rPr>
          <w:b/>
        </w:rPr>
      </w:pPr>
    </w:p>
    <w:p w:rsidR="00012927" w:rsidRDefault="00012927" w:rsidP="00012927">
      <w:pPr>
        <w:jc w:val="center"/>
        <w:rPr>
          <w:b/>
          <w:sz w:val="40"/>
          <w:szCs w:val="40"/>
        </w:rPr>
      </w:pPr>
      <w:r>
        <w:rPr>
          <w:b/>
          <w:sz w:val="40"/>
          <w:szCs w:val="40"/>
        </w:rPr>
        <w:t xml:space="preserve">The </w:t>
      </w:r>
      <w:r w:rsidRPr="00012927">
        <w:rPr>
          <w:b/>
          <w:sz w:val="40"/>
          <w:szCs w:val="40"/>
        </w:rPr>
        <w:t>World Bank Policy on Access to Information</w:t>
      </w: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012927" w:rsidRDefault="00012927" w:rsidP="00012927">
      <w:pPr>
        <w:jc w:val="center"/>
        <w:rPr>
          <w:b/>
          <w:sz w:val="40"/>
          <w:szCs w:val="40"/>
        </w:rPr>
      </w:pPr>
    </w:p>
    <w:p w:rsidR="00151259" w:rsidRDefault="00487841" w:rsidP="00151259">
      <w:pPr>
        <w:jc w:val="right"/>
        <w:rPr>
          <w:b/>
        </w:rPr>
        <w:sectPr w:rsidR="00151259" w:rsidSect="00147454">
          <w:footerReference w:type="default" r:id="rId8"/>
          <w:pgSz w:w="12240" w:h="15840"/>
          <w:pgMar w:top="1440" w:right="1800" w:bottom="1440" w:left="1800" w:header="720" w:footer="720" w:gutter="0"/>
          <w:pgNumType w:start="1"/>
          <w:cols w:space="720"/>
          <w:titlePg/>
          <w:docGrid w:linePitch="360"/>
        </w:sectPr>
      </w:pPr>
      <w:r>
        <w:rPr>
          <w:b/>
          <w:sz w:val="40"/>
          <w:szCs w:val="40"/>
        </w:rPr>
        <w:t>July 1</w:t>
      </w:r>
      <w:r w:rsidR="00151259">
        <w:rPr>
          <w:b/>
          <w:sz w:val="40"/>
          <w:szCs w:val="40"/>
        </w:rPr>
        <w:t>, 2010</w:t>
      </w:r>
      <w:r w:rsidR="00151259">
        <w:rPr>
          <w:b/>
        </w:rPr>
        <w:t xml:space="preserve"> </w:t>
      </w:r>
    </w:p>
    <w:p w:rsidR="00012927" w:rsidRDefault="00012927" w:rsidP="00012927">
      <w:pPr>
        <w:jc w:val="center"/>
        <w:rPr>
          <w:b/>
        </w:rPr>
      </w:pPr>
      <w:r>
        <w:rPr>
          <w:b/>
        </w:rPr>
        <w:lastRenderedPageBreak/>
        <w:t>World Bank Policy on Access to Information</w:t>
      </w:r>
    </w:p>
    <w:p w:rsidR="00012927" w:rsidRPr="00012927" w:rsidRDefault="00012927" w:rsidP="00C47201">
      <w:pPr>
        <w:jc w:val="both"/>
        <w:rPr>
          <w:b/>
        </w:rPr>
      </w:pPr>
    </w:p>
    <w:p w:rsidR="00C47201" w:rsidRPr="006432D6" w:rsidRDefault="00B124B9" w:rsidP="00C47201">
      <w:pPr>
        <w:jc w:val="both"/>
        <w:rPr>
          <w:i/>
        </w:rPr>
      </w:pPr>
      <w:r w:rsidRPr="009C66F1">
        <w:rPr>
          <w:i/>
        </w:rPr>
        <w:t>This statement sets out the policy of the World Bank on pub</w:t>
      </w:r>
      <w:r w:rsidR="005D471A" w:rsidRPr="009C66F1">
        <w:rPr>
          <w:i/>
        </w:rPr>
        <w:t>lic a</w:t>
      </w:r>
      <w:r w:rsidR="001B4E12">
        <w:rPr>
          <w:i/>
        </w:rPr>
        <w:t>ccess to</w:t>
      </w:r>
      <w:r w:rsidR="005D471A" w:rsidRPr="009C66F1">
        <w:rPr>
          <w:i/>
        </w:rPr>
        <w:t xml:space="preserve"> information</w:t>
      </w:r>
      <w:r w:rsidR="00F21645">
        <w:t xml:space="preserve"> </w:t>
      </w:r>
      <w:r w:rsidRPr="009C66F1">
        <w:rPr>
          <w:i/>
        </w:rPr>
        <w:t>in i</w:t>
      </w:r>
      <w:r w:rsidR="005D471A" w:rsidRPr="009C66F1">
        <w:rPr>
          <w:i/>
        </w:rPr>
        <w:t>ts possession</w:t>
      </w:r>
      <w:r w:rsidR="00800FF1" w:rsidRPr="009C66F1">
        <w:rPr>
          <w:i/>
        </w:rPr>
        <w:t>.</w:t>
      </w:r>
      <w:r w:rsidRPr="009C66F1">
        <w:rPr>
          <w:i/>
        </w:rPr>
        <w:t xml:space="preserve"> </w:t>
      </w:r>
      <w:r w:rsidR="00473F75" w:rsidRPr="00F02024">
        <w:rPr>
          <w:i/>
        </w:rPr>
        <w:t xml:space="preserve">This Policy </w:t>
      </w:r>
      <w:r w:rsidRPr="00F02024">
        <w:rPr>
          <w:i/>
        </w:rPr>
        <w:t>supersedes</w:t>
      </w:r>
      <w:r w:rsidRPr="009C66F1">
        <w:rPr>
          <w:i/>
        </w:rPr>
        <w:t xml:space="preserve"> </w:t>
      </w:r>
      <w:r w:rsidR="008B2082" w:rsidRPr="008B2082">
        <w:rPr>
          <w:rStyle w:val="bodyital"/>
          <w:rFonts w:ascii="Times New Roman" w:hAnsi="Times New Roman"/>
        </w:rPr>
        <w:t xml:space="preserve">the </w:t>
      </w:r>
      <w:r w:rsidRPr="009C66F1">
        <w:t>World</w:t>
      </w:r>
      <w:r w:rsidRPr="009C66F1">
        <w:rPr>
          <w:rStyle w:val="bodyital"/>
          <w:rFonts w:ascii="Times New Roman" w:hAnsi="Times New Roman"/>
        </w:rPr>
        <w:t xml:space="preserve"> </w:t>
      </w:r>
      <w:r w:rsidRPr="009C66F1">
        <w:rPr>
          <w:rStyle w:val="bodyital"/>
          <w:rFonts w:ascii="Times New Roman" w:hAnsi="Times New Roman"/>
          <w:i w:val="0"/>
        </w:rPr>
        <w:t>Bank Policy on Disclosure of Information</w:t>
      </w:r>
      <w:r w:rsidR="00C47201" w:rsidRPr="009C66F1">
        <w:rPr>
          <w:i/>
        </w:rPr>
        <w:t xml:space="preserve">, </w:t>
      </w:r>
      <w:r w:rsidR="007015B3" w:rsidRPr="006432D6">
        <w:rPr>
          <w:i/>
        </w:rPr>
        <w:t>and takes effect on July 1, 2010</w:t>
      </w:r>
      <w:r w:rsidRPr="006432D6">
        <w:rPr>
          <w:i/>
        </w:rPr>
        <w:t xml:space="preserve">.  </w:t>
      </w:r>
    </w:p>
    <w:p w:rsidR="00553239" w:rsidRPr="006432D6" w:rsidRDefault="00553239" w:rsidP="00AD4B95">
      <w:pPr>
        <w:jc w:val="both"/>
      </w:pPr>
    </w:p>
    <w:p w:rsidR="0002196F" w:rsidRPr="006432D6" w:rsidRDefault="0002196F" w:rsidP="00AD4B95">
      <w:pPr>
        <w:jc w:val="both"/>
      </w:pPr>
    </w:p>
    <w:p w:rsidR="00865734" w:rsidRPr="006432D6" w:rsidRDefault="006B4A6B" w:rsidP="002F31CD">
      <w:pPr>
        <w:jc w:val="center"/>
        <w:rPr>
          <w:b/>
        </w:rPr>
      </w:pPr>
      <w:r w:rsidRPr="006432D6">
        <w:rPr>
          <w:b/>
        </w:rPr>
        <w:t>I</w:t>
      </w:r>
      <w:r w:rsidR="0014075D" w:rsidRPr="006432D6">
        <w:rPr>
          <w:b/>
        </w:rPr>
        <w:t>.</w:t>
      </w:r>
      <w:r w:rsidR="0014075D" w:rsidRPr="006432D6">
        <w:rPr>
          <w:b/>
        </w:rPr>
        <w:tab/>
        <w:t>Introduction</w:t>
      </w:r>
    </w:p>
    <w:p w:rsidR="0014075D" w:rsidRPr="006432D6" w:rsidRDefault="0014075D" w:rsidP="00AD4B95">
      <w:pPr>
        <w:jc w:val="both"/>
      </w:pPr>
    </w:p>
    <w:p w:rsidR="00AD4B95" w:rsidRPr="006432D6" w:rsidRDefault="00AD4B95" w:rsidP="009E70CD">
      <w:pPr>
        <w:numPr>
          <w:ilvl w:val="0"/>
          <w:numId w:val="13"/>
        </w:numPr>
        <w:tabs>
          <w:tab w:val="clear" w:pos="720"/>
        </w:tabs>
        <w:ind w:left="0" w:firstLine="0"/>
        <w:jc w:val="both"/>
      </w:pPr>
      <w:r w:rsidRPr="006432D6">
        <w:t>The World Bank</w:t>
      </w:r>
      <w:r w:rsidR="00907C59" w:rsidRPr="00907C59">
        <w:rPr>
          <w:rStyle w:val="FootnoteReference"/>
        </w:rPr>
        <w:footnoteReference w:id="1"/>
      </w:r>
      <w:r w:rsidRPr="006432D6">
        <w:t xml:space="preserve"> recognizes that transparency and accountability are </w:t>
      </w:r>
      <w:r w:rsidR="004C6BB5" w:rsidRPr="006432D6">
        <w:t xml:space="preserve">of </w:t>
      </w:r>
      <w:r w:rsidRPr="006432D6">
        <w:t xml:space="preserve">fundamental </w:t>
      </w:r>
      <w:r w:rsidR="004C6BB5" w:rsidRPr="006432D6">
        <w:t xml:space="preserve">importance </w:t>
      </w:r>
      <w:r w:rsidRPr="006432D6">
        <w:t xml:space="preserve">to the development process and to achieving </w:t>
      </w:r>
      <w:r w:rsidR="001B4E12" w:rsidRPr="006432D6">
        <w:t>it</w:t>
      </w:r>
      <w:r w:rsidRPr="006432D6">
        <w:t xml:space="preserve">s mission to alleviate poverty.  Transparency is essential to building and maintaining public dialogue and increasing public awareness about the Bank’s development role and mission.  </w:t>
      </w:r>
      <w:r w:rsidR="00EE635B">
        <w:t>It is also critical for enhancing good governance, accountability</w:t>
      </w:r>
      <w:r w:rsidR="00DB3FBB">
        <w:t>,</w:t>
      </w:r>
      <w:r w:rsidR="00EE635B">
        <w:t xml:space="preserve"> and development effectiveness. </w:t>
      </w:r>
      <w:r w:rsidRPr="006432D6">
        <w:t xml:space="preserve">Openness promotes engagement with stakeholders, which, in turn, improves the design and implementation of projects and policies, </w:t>
      </w:r>
      <w:r w:rsidR="00EE635B">
        <w:t xml:space="preserve">and </w:t>
      </w:r>
      <w:r w:rsidRPr="006432D6">
        <w:t>strengthen</w:t>
      </w:r>
      <w:r w:rsidR="00EE635B">
        <w:t>s</w:t>
      </w:r>
      <w:r w:rsidRPr="006432D6">
        <w:t xml:space="preserve"> development outcomes.  It facilitates public oversight of Bank-supported operations</w:t>
      </w:r>
      <w:r w:rsidR="006967F6">
        <w:t xml:space="preserve"> during their </w:t>
      </w:r>
      <w:r w:rsidR="00EE635B">
        <w:t xml:space="preserve">preparation and </w:t>
      </w:r>
      <w:r w:rsidR="006967F6">
        <w:t>implementation</w:t>
      </w:r>
      <w:r w:rsidRPr="006432D6">
        <w:t xml:space="preserve">, which not only assists in exposing potential wrongdoing and corruption, but also enhances the possibility that problems will be identified and addressed early on.  </w:t>
      </w:r>
    </w:p>
    <w:p w:rsidR="00AD4B95" w:rsidRPr="006432D6" w:rsidRDefault="00AD4B95" w:rsidP="00B73A5E">
      <w:pPr>
        <w:tabs>
          <w:tab w:val="num" w:pos="720"/>
        </w:tabs>
        <w:jc w:val="both"/>
      </w:pPr>
    </w:p>
    <w:p w:rsidR="00AD4B95" w:rsidRPr="006432D6" w:rsidRDefault="00AD4B95" w:rsidP="004B3461">
      <w:pPr>
        <w:numPr>
          <w:ilvl w:val="0"/>
          <w:numId w:val="13"/>
        </w:numPr>
        <w:ind w:left="0" w:firstLine="0"/>
        <w:jc w:val="both"/>
      </w:pPr>
      <w:r w:rsidRPr="006432D6">
        <w:t>As the Bank has long recogn</w:t>
      </w:r>
      <w:r w:rsidR="007D2180" w:rsidRPr="006432D6">
        <w:t xml:space="preserve">ized, a sound, open </w:t>
      </w:r>
      <w:r w:rsidR="00695EF7" w:rsidRPr="006432D6">
        <w:t xml:space="preserve">access to information </w:t>
      </w:r>
      <w:r w:rsidR="007D2180" w:rsidRPr="006432D6">
        <w:t>p</w:t>
      </w:r>
      <w:r w:rsidRPr="006432D6">
        <w:t>olicy is fundamental to fulfilling its many roles.</w:t>
      </w:r>
    </w:p>
    <w:p w:rsidR="00AD4B95" w:rsidRPr="006432D6" w:rsidRDefault="00AD4B95" w:rsidP="00A16F75">
      <w:pPr>
        <w:tabs>
          <w:tab w:val="num" w:pos="540"/>
        </w:tabs>
        <w:jc w:val="both"/>
      </w:pPr>
    </w:p>
    <w:p w:rsidR="00AD4B95" w:rsidRPr="006432D6" w:rsidRDefault="00AD4B95" w:rsidP="004B3461">
      <w:pPr>
        <w:numPr>
          <w:ilvl w:val="0"/>
          <w:numId w:val="14"/>
        </w:numPr>
        <w:tabs>
          <w:tab w:val="clear" w:pos="720"/>
          <w:tab w:val="num" w:pos="1440"/>
        </w:tabs>
        <w:jc w:val="both"/>
      </w:pPr>
      <w:r w:rsidRPr="006432D6">
        <w:t xml:space="preserve">As a development finance institution, the Bank strives to be transparent about its projects and programs (particularly with groups affected by its operations), to share its global knowledge and lessons of experience with the widest possible audience, and to enhance the quality of its operations by engaging with </w:t>
      </w:r>
      <w:r w:rsidR="004C6BB5" w:rsidRPr="006432D6">
        <w:t>a broad range of stakeholders</w:t>
      </w:r>
      <w:r w:rsidRPr="006432D6">
        <w:t xml:space="preserve">. </w:t>
      </w:r>
    </w:p>
    <w:p w:rsidR="00AD4B95" w:rsidRPr="006432D6" w:rsidRDefault="00AD4B95" w:rsidP="00AD4B95">
      <w:pPr>
        <w:ind w:left="360"/>
        <w:jc w:val="both"/>
      </w:pPr>
    </w:p>
    <w:p w:rsidR="00AD4B95" w:rsidRPr="006432D6" w:rsidRDefault="00AD4B95" w:rsidP="004B3461">
      <w:pPr>
        <w:numPr>
          <w:ilvl w:val="0"/>
          <w:numId w:val="14"/>
        </w:numPr>
        <w:tabs>
          <w:tab w:val="clear" w:pos="720"/>
          <w:tab w:val="num" w:pos="1440"/>
        </w:tabs>
        <w:jc w:val="both"/>
      </w:pPr>
      <w:r w:rsidRPr="006432D6">
        <w:t>As an intergovernmental organization owned by countries, the Bank is accountable for public money, and has an obligation to be responsive to the questions and concerns of its shareholders.</w:t>
      </w:r>
    </w:p>
    <w:p w:rsidR="00AD4B95" w:rsidRPr="006432D6" w:rsidRDefault="00AD4B95" w:rsidP="00AD4B95">
      <w:pPr>
        <w:ind w:left="360"/>
        <w:jc w:val="both"/>
      </w:pPr>
    </w:p>
    <w:p w:rsidR="00AD4B95" w:rsidRPr="006432D6" w:rsidRDefault="00AD4B95" w:rsidP="004B3461">
      <w:pPr>
        <w:numPr>
          <w:ilvl w:val="0"/>
          <w:numId w:val="14"/>
        </w:numPr>
        <w:tabs>
          <w:tab w:val="clear" w:pos="720"/>
          <w:tab w:val="num" w:pos="1440"/>
        </w:tabs>
        <w:jc w:val="both"/>
      </w:pPr>
      <w:r w:rsidRPr="006432D6">
        <w:lastRenderedPageBreak/>
        <w:t>As a borrower, the Bank has est</w:t>
      </w:r>
      <w:r w:rsidR="00572A39" w:rsidRPr="006432D6">
        <w:t>ablished that meaningful</w:t>
      </w:r>
      <w:r w:rsidRPr="006432D6">
        <w:t xml:space="preserve"> disclosure of information helps attract purchasers to its securities.</w:t>
      </w:r>
    </w:p>
    <w:p w:rsidR="00AD4B95" w:rsidRPr="006432D6" w:rsidRDefault="00AD4B95" w:rsidP="00AD4B95">
      <w:pPr>
        <w:ind w:left="360"/>
        <w:jc w:val="both"/>
      </w:pPr>
    </w:p>
    <w:p w:rsidR="00645559" w:rsidRPr="006432D6" w:rsidRDefault="00AD4B95" w:rsidP="004B3461">
      <w:pPr>
        <w:numPr>
          <w:ilvl w:val="0"/>
          <w:numId w:val="14"/>
        </w:numPr>
        <w:tabs>
          <w:tab w:val="clear" w:pos="720"/>
          <w:tab w:val="num" w:pos="1440"/>
        </w:tabs>
        <w:jc w:val="both"/>
      </w:pPr>
      <w:r w:rsidRPr="006432D6">
        <w:t xml:space="preserve">As an employer, the Bank seeks to provide its employees with all the information they need to perform their duties.  </w:t>
      </w:r>
    </w:p>
    <w:p w:rsidR="005B3D60" w:rsidRPr="006432D6" w:rsidRDefault="005B3D60" w:rsidP="005B3D60">
      <w:pPr>
        <w:ind w:left="720"/>
        <w:jc w:val="both"/>
      </w:pPr>
    </w:p>
    <w:p w:rsidR="00025093" w:rsidRPr="006432D6" w:rsidRDefault="00AD4B95" w:rsidP="0078000B">
      <w:pPr>
        <w:numPr>
          <w:ilvl w:val="0"/>
          <w:numId w:val="13"/>
        </w:numPr>
        <w:tabs>
          <w:tab w:val="clear" w:pos="720"/>
        </w:tabs>
        <w:ind w:left="0" w:firstLine="0"/>
        <w:jc w:val="both"/>
      </w:pPr>
      <w:r w:rsidRPr="006432D6">
        <w:t>At the same time, the Bank has an obligation to protect the confidentiality</w:t>
      </w:r>
      <w:r w:rsidR="00742ED3" w:rsidRPr="006432D6">
        <w:t xml:space="preserve"> of certain information.  This </w:t>
      </w:r>
      <w:r w:rsidR="00837EEE">
        <w:t>Policy</w:t>
      </w:r>
      <w:r w:rsidRPr="006432D6">
        <w:t xml:space="preserve"> endeavors to strike an appropriate balance between the need to grant the public maximum access to information in the Bank’s possession, and the Bank’s obligation to respect the confidentiality of its clients, shareholders, employees, and other parties.</w:t>
      </w:r>
    </w:p>
    <w:p w:rsidR="00025093" w:rsidRPr="006432D6" w:rsidRDefault="00025093" w:rsidP="00025093">
      <w:pPr>
        <w:jc w:val="both"/>
      </w:pPr>
    </w:p>
    <w:p w:rsidR="005B3971" w:rsidRDefault="00025093" w:rsidP="008A6926">
      <w:pPr>
        <w:numPr>
          <w:ilvl w:val="0"/>
          <w:numId w:val="13"/>
        </w:numPr>
        <w:tabs>
          <w:tab w:val="clear" w:pos="720"/>
        </w:tabs>
        <w:ind w:left="0" w:firstLine="0"/>
        <w:jc w:val="both"/>
        <w:rPr>
          <w:b/>
        </w:rPr>
      </w:pPr>
      <w:r w:rsidRPr="006432D6">
        <w:rPr>
          <w:color w:val="000000"/>
        </w:rPr>
        <w:t xml:space="preserve">The Bank also recognizes the importance of </w:t>
      </w:r>
      <w:r w:rsidR="003A60D4" w:rsidRPr="006432D6">
        <w:rPr>
          <w:color w:val="000000"/>
        </w:rPr>
        <w:t>translating</w:t>
      </w:r>
      <w:r w:rsidRPr="006432D6">
        <w:rPr>
          <w:color w:val="000000"/>
        </w:rPr>
        <w:t xml:space="preserve"> information</w:t>
      </w:r>
      <w:r w:rsidR="00EE1227" w:rsidRPr="006432D6">
        <w:rPr>
          <w:color w:val="000000"/>
        </w:rPr>
        <w:t xml:space="preserve"> that it creates</w:t>
      </w:r>
      <w:r w:rsidRPr="006432D6">
        <w:rPr>
          <w:color w:val="000000"/>
        </w:rPr>
        <w:t>.</w:t>
      </w:r>
      <w:r w:rsidR="006608ED" w:rsidRPr="006432D6">
        <w:rPr>
          <w:color w:val="000000"/>
        </w:rPr>
        <w:t xml:space="preserve"> </w:t>
      </w:r>
      <w:r w:rsidRPr="006432D6">
        <w:rPr>
          <w:color w:val="000000"/>
        </w:rPr>
        <w:t xml:space="preserve"> </w:t>
      </w:r>
      <w:r w:rsidR="003A60D4" w:rsidRPr="006432D6">
        <w:rPr>
          <w:color w:val="000000"/>
        </w:rPr>
        <w:t>The Bank’s approach to translations is set out</w:t>
      </w:r>
      <w:r w:rsidRPr="006432D6">
        <w:rPr>
          <w:color w:val="000000"/>
        </w:rPr>
        <w:t xml:space="preserve"> in the Bank’s</w:t>
      </w:r>
      <w:r w:rsidR="00920DAB">
        <w:rPr>
          <w:color w:val="000000"/>
        </w:rPr>
        <w:t xml:space="preserve"> </w:t>
      </w:r>
      <w:hyperlink r:id="rId9" w:history="1">
        <w:r w:rsidR="00920DAB" w:rsidRPr="00676911">
          <w:rPr>
            <w:rStyle w:val="Hyperlink"/>
          </w:rPr>
          <w:t>Translation Framework</w:t>
        </w:r>
      </w:hyperlink>
      <w:r w:rsidR="006D449B">
        <w:rPr>
          <w:color w:val="000000"/>
        </w:rPr>
        <w:t>, and</w:t>
      </w:r>
      <w:r w:rsidR="00C32916" w:rsidRPr="006432D6">
        <w:rPr>
          <w:color w:val="000000"/>
        </w:rPr>
        <w:t xml:space="preserve"> </w:t>
      </w:r>
      <w:r w:rsidR="006D449B">
        <w:rPr>
          <w:color w:val="000000"/>
        </w:rPr>
        <w:t>t</w:t>
      </w:r>
      <w:r w:rsidR="00C32916" w:rsidRPr="006432D6">
        <w:rPr>
          <w:color w:val="000000"/>
        </w:rPr>
        <w:t xml:space="preserve">he Bank translates </w:t>
      </w:r>
      <w:r w:rsidRPr="006432D6">
        <w:rPr>
          <w:color w:val="000000"/>
        </w:rPr>
        <w:t xml:space="preserve">documents into appropriate languages </w:t>
      </w:r>
      <w:r w:rsidR="00C32916" w:rsidRPr="006432D6">
        <w:rPr>
          <w:color w:val="000000"/>
        </w:rPr>
        <w:t>in accordance with that</w:t>
      </w:r>
      <w:r w:rsidRPr="006432D6">
        <w:rPr>
          <w:color w:val="000000"/>
        </w:rPr>
        <w:t xml:space="preserve"> </w:t>
      </w:r>
      <w:r w:rsidR="00C32916" w:rsidRPr="006432D6">
        <w:rPr>
          <w:color w:val="000000"/>
        </w:rPr>
        <w:t>f</w:t>
      </w:r>
      <w:r w:rsidRPr="006432D6">
        <w:rPr>
          <w:color w:val="000000"/>
        </w:rPr>
        <w:t>ramework.</w:t>
      </w:r>
      <w:r w:rsidR="004F5CE4" w:rsidRPr="006432D6">
        <w:rPr>
          <w:color w:val="000000"/>
        </w:rPr>
        <w:t xml:space="preserve"> </w:t>
      </w:r>
    </w:p>
    <w:p w:rsidR="004E57AA" w:rsidRPr="006432D6" w:rsidRDefault="004E57AA" w:rsidP="0065016F">
      <w:pPr>
        <w:jc w:val="both"/>
      </w:pPr>
    </w:p>
    <w:p w:rsidR="002F31CD" w:rsidRPr="006432D6" w:rsidRDefault="00ED01FD" w:rsidP="0078000B">
      <w:pPr>
        <w:numPr>
          <w:ilvl w:val="0"/>
          <w:numId w:val="13"/>
        </w:numPr>
        <w:tabs>
          <w:tab w:val="clear" w:pos="720"/>
        </w:tabs>
        <w:ind w:left="0" w:firstLine="0"/>
      </w:pPr>
      <w:r w:rsidRPr="006432D6">
        <w:rPr>
          <w:b/>
          <w:i/>
          <w:color w:val="000000"/>
        </w:rPr>
        <w:t>Guiding Principles.</w:t>
      </w:r>
      <w:r w:rsidRPr="006432D6">
        <w:rPr>
          <w:b/>
          <w:color w:val="000000"/>
        </w:rPr>
        <w:t xml:space="preserve">  </w:t>
      </w:r>
      <w:r w:rsidR="006B4A6B" w:rsidRPr="006432D6">
        <w:t>Th</w:t>
      </w:r>
      <w:r w:rsidR="002F31CD" w:rsidRPr="006432D6">
        <w:t>is</w:t>
      </w:r>
      <w:r w:rsidR="006B4A6B" w:rsidRPr="006432D6">
        <w:t xml:space="preserve"> </w:t>
      </w:r>
      <w:r w:rsidR="00837EEE">
        <w:t>Policy</w:t>
      </w:r>
      <w:r w:rsidR="006B4A6B" w:rsidRPr="006432D6">
        <w:t xml:space="preserve"> is based on five principles: </w:t>
      </w:r>
    </w:p>
    <w:p w:rsidR="002F31CD" w:rsidRPr="006432D6" w:rsidRDefault="002F31CD" w:rsidP="00B73A5E">
      <w:pPr>
        <w:tabs>
          <w:tab w:val="num" w:pos="720"/>
        </w:tabs>
      </w:pPr>
    </w:p>
    <w:p w:rsidR="002F31CD" w:rsidRPr="006432D6" w:rsidRDefault="00AC0F50" w:rsidP="00195C9E">
      <w:pPr>
        <w:numPr>
          <w:ilvl w:val="0"/>
          <w:numId w:val="18"/>
        </w:numPr>
        <w:rPr>
          <w:b/>
          <w:color w:val="000000"/>
        </w:rPr>
      </w:pPr>
      <w:r>
        <w:t>M</w:t>
      </w:r>
      <w:r w:rsidR="00427DCF" w:rsidRPr="006432D6">
        <w:t>aximizing access to information</w:t>
      </w:r>
      <w:r>
        <w:t>.</w:t>
      </w:r>
      <w:r w:rsidR="006B4A6B" w:rsidRPr="006432D6">
        <w:t xml:space="preserve"> </w:t>
      </w:r>
    </w:p>
    <w:p w:rsidR="002F31CD" w:rsidRPr="006432D6" w:rsidRDefault="00AC0F50" w:rsidP="00195C9E">
      <w:pPr>
        <w:numPr>
          <w:ilvl w:val="0"/>
          <w:numId w:val="18"/>
        </w:numPr>
        <w:rPr>
          <w:b/>
          <w:color w:val="000000"/>
        </w:rPr>
      </w:pPr>
      <w:r>
        <w:t>S</w:t>
      </w:r>
      <w:r w:rsidR="002F31CD" w:rsidRPr="006432D6">
        <w:t xml:space="preserve">etting out </w:t>
      </w:r>
      <w:r w:rsidR="00427DCF" w:rsidRPr="006432D6">
        <w:t>a clear list of exceptions</w:t>
      </w:r>
      <w:r>
        <w:t>.</w:t>
      </w:r>
      <w:r w:rsidR="006B4A6B" w:rsidRPr="006432D6">
        <w:t xml:space="preserve"> </w:t>
      </w:r>
    </w:p>
    <w:p w:rsidR="002F31CD" w:rsidRPr="006432D6" w:rsidRDefault="00AC0F50" w:rsidP="00195C9E">
      <w:pPr>
        <w:numPr>
          <w:ilvl w:val="0"/>
          <w:numId w:val="18"/>
        </w:numPr>
        <w:rPr>
          <w:b/>
          <w:color w:val="000000"/>
        </w:rPr>
      </w:pPr>
      <w:r>
        <w:t>S</w:t>
      </w:r>
      <w:r w:rsidR="006B4A6B" w:rsidRPr="006432D6">
        <w:t>afegu</w:t>
      </w:r>
      <w:r w:rsidR="00427DCF" w:rsidRPr="006432D6">
        <w:t>arding the deliberative process</w:t>
      </w:r>
      <w:r>
        <w:t>.</w:t>
      </w:r>
      <w:r w:rsidR="006B4A6B" w:rsidRPr="006432D6">
        <w:t xml:space="preserve"> </w:t>
      </w:r>
    </w:p>
    <w:p w:rsidR="002F31CD" w:rsidRPr="006432D6" w:rsidRDefault="00AC0F50" w:rsidP="00195C9E">
      <w:pPr>
        <w:numPr>
          <w:ilvl w:val="0"/>
          <w:numId w:val="18"/>
        </w:numPr>
        <w:rPr>
          <w:b/>
          <w:color w:val="000000"/>
        </w:rPr>
      </w:pPr>
      <w:r>
        <w:t>P</w:t>
      </w:r>
      <w:r w:rsidR="002F31CD" w:rsidRPr="006432D6">
        <w:t xml:space="preserve">roviding </w:t>
      </w:r>
      <w:r w:rsidR="006B4A6B" w:rsidRPr="006432D6">
        <w:t>clear proced</w:t>
      </w:r>
      <w:r w:rsidR="00427DCF" w:rsidRPr="006432D6">
        <w:t xml:space="preserve">ures for </w:t>
      </w:r>
      <w:r w:rsidR="00695EF7" w:rsidRPr="006432D6">
        <w:t xml:space="preserve">making </w:t>
      </w:r>
      <w:r w:rsidR="00427DCF" w:rsidRPr="006432D6">
        <w:t xml:space="preserve">information </w:t>
      </w:r>
      <w:r w:rsidR="00695EF7" w:rsidRPr="006432D6">
        <w:t>available</w:t>
      </w:r>
      <w:r>
        <w:t>.</w:t>
      </w:r>
      <w:r w:rsidR="006B4A6B" w:rsidRPr="006432D6">
        <w:t xml:space="preserve"> </w:t>
      </w:r>
    </w:p>
    <w:p w:rsidR="006B4A6B" w:rsidRPr="006432D6" w:rsidRDefault="00AC0F50" w:rsidP="00195C9E">
      <w:pPr>
        <w:numPr>
          <w:ilvl w:val="0"/>
          <w:numId w:val="18"/>
        </w:numPr>
        <w:rPr>
          <w:b/>
          <w:color w:val="000000"/>
        </w:rPr>
      </w:pPr>
      <w:r>
        <w:t>R</w:t>
      </w:r>
      <w:r w:rsidR="002F31CD" w:rsidRPr="006432D6">
        <w:t>ecognizing</w:t>
      </w:r>
      <w:r w:rsidR="006B4A6B" w:rsidRPr="006432D6">
        <w:t xml:space="preserve"> requeste</w:t>
      </w:r>
      <w:r w:rsidR="00427DCF" w:rsidRPr="006432D6">
        <w:t>rs’ right to an appeals process</w:t>
      </w:r>
      <w:r>
        <w:t>.</w:t>
      </w:r>
    </w:p>
    <w:p w:rsidR="00EB5577" w:rsidRPr="006432D6" w:rsidRDefault="00EB5577" w:rsidP="00256914">
      <w:pPr>
        <w:rPr>
          <w:b/>
          <w:color w:val="000000"/>
        </w:rPr>
      </w:pPr>
    </w:p>
    <w:p w:rsidR="00C7035D" w:rsidRPr="006432D6" w:rsidRDefault="00C7035D" w:rsidP="00C7035D">
      <w:pPr>
        <w:jc w:val="both"/>
        <w:rPr>
          <w:i/>
          <w:color w:val="000000"/>
        </w:rPr>
      </w:pPr>
      <w:r w:rsidRPr="006432D6">
        <w:rPr>
          <w:color w:val="000000"/>
        </w:rPr>
        <w:t xml:space="preserve">This </w:t>
      </w:r>
      <w:r w:rsidR="006D449B">
        <w:rPr>
          <w:color w:val="000000"/>
        </w:rPr>
        <w:t>p</w:t>
      </w:r>
      <w:r w:rsidRPr="006432D6">
        <w:rPr>
          <w:color w:val="000000"/>
        </w:rPr>
        <w:t xml:space="preserve">olicy </w:t>
      </w:r>
      <w:r w:rsidR="006D449B">
        <w:rPr>
          <w:color w:val="000000"/>
        </w:rPr>
        <w:t>s</w:t>
      </w:r>
      <w:r w:rsidRPr="006432D6">
        <w:rPr>
          <w:color w:val="000000"/>
        </w:rPr>
        <w:t xml:space="preserve">tatement is divided into </w:t>
      </w:r>
      <w:r w:rsidR="0087631E" w:rsidRPr="006432D6">
        <w:rPr>
          <w:color w:val="000000"/>
        </w:rPr>
        <w:t xml:space="preserve">four </w:t>
      </w:r>
      <w:r w:rsidRPr="006432D6">
        <w:rPr>
          <w:color w:val="000000"/>
        </w:rPr>
        <w:t>parts.  Following this introduction, Part II sets out the core policy</w:t>
      </w:r>
      <w:r w:rsidR="006D449B">
        <w:rPr>
          <w:color w:val="000000"/>
        </w:rPr>
        <w:t>,</w:t>
      </w:r>
      <w:r w:rsidRPr="006432D6">
        <w:rPr>
          <w:color w:val="000000"/>
        </w:rPr>
        <w:t xml:space="preserve"> </w:t>
      </w:r>
      <w:r w:rsidRPr="006432D6">
        <w:t xml:space="preserve">Part III sets out </w:t>
      </w:r>
      <w:r w:rsidR="00A3364B" w:rsidRPr="006432D6">
        <w:t>how the Bank handles information relating</w:t>
      </w:r>
      <w:r w:rsidR="00A3364B" w:rsidRPr="006432D6">
        <w:rPr>
          <w:color w:val="000000"/>
        </w:rPr>
        <w:t xml:space="preserve"> to member countries and </w:t>
      </w:r>
      <w:r w:rsidR="00A426F0" w:rsidRPr="006432D6">
        <w:rPr>
          <w:color w:val="000000"/>
        </w:rPr>
        <w:t xml:space="preserve">other </w:t>
      </w:r>
      <w:r w:rsidR="00A3364B" w:rsidRPr="006432D6">
        <w:rPr>
          <w:color w:val="000000"/>
        </w:rPr>
        <w:t>parties</w:t>
      </w:r>
      <w:r w:rsidR="006D449B">
        <w:rPr>
          <w:color w:val="000000"/>
        </w:rPr>
        <w:t>, and</w:t>
      </w:r>
      <w:r w:rsidR="0087631E" w:rsidRPr="006432D6">
        <w:rPr>
          <w:color w:val="000000"/>
        </w:rPr>
        <w:t xml:space="preserve"> </w:t>
      </w:r>
      <w:r w:rsidRPr="006432D6">
        <w:rPr>
          <w:color w:val="000000"/>
        </w:rPr>
        <w:t xml:space="preserve">Part IV sets out the implementation aspects of the </w:t>
      </w:r>
      <w:r w:rsidR="00837EEE">
        <w:rPr>
          <w:color w:val="000000"/>
        </w:rPr>
        <w:t>Policy</w:t>
      </w:r>
      <w:r w:rsidRPr="006432D6">
        <w:rPr>
          <w:color w:val="000000"/>
        </w:rPr>
        <w:t>.</w:t>
      </w:r>
    </w:p>
    <w:p w:rsidR="006B4A6B" w:rsidRPr="006432D6" w:rsidRDefault="006B4A6B" w:rsidP="001960E1">
      <w:pPr>
        <w:jc w:val="both"/>
        <w:rPr>
          <w:b/>
        </w:rPr>
      </w:pPr>
    </w:p>
    <w:p w:rsidR="00125921" w:rsidRPr="006432D6" w:rsidRDefault="006B4A6B" w:rsidP="006B4A6B">
      <w:pPr>
        <w:jc w:val="center"/>
      </w:pPr>
      <w:r w:rsidRPr="006432D6">
        <w:rPr>
          <w:b/>
          <w:color w:val="000000"/>
        </w:rPr>
        <w:t>II.</w:t>
      </w:r>
      <w:r w:rsidRPr="006432D6">
        <w:rPr>
          <w:b/>
          <w:color w:val="000000"/>
        </w:rPr>
        <w:tab/>
        <w:t>The Policy</w:t>
      </w:r>
    </w:p>
    <w:p w:rsidR="006B4A6B" w:rsidRPr="006432D6" w:rsidRDefault="006B4A6B" w:rsidP="00077047">
      <w:pPr>
        <w:jc w:val="both"/>
      </w:pPr>
    </w:p>
    <w:p w:rsidR="000D085D" w:rsidRPr="00421B6E" w:rsidRDefault="001B4E12" w:rsidP="004B3461">
      <w:pPr>
        <w:numPr>
          <w:ilvl w:val="0"/>
          <w:numId w:val="13"/>
        </w:numPr>
        <w:ind w:left="0" w:firstLine="0"/>
        <w:jc w:val="both"/>
      </w:pPr>
      <w:r w:rsidRPr="00421B6E">
        <w:t>T</w:t>
      </w:r>
      <w:r w:rsidR="00C06143" w:rsidRPr="00421B6E">
        <w:rPr>
          <w:color w:val="000000"/>
        </w:rPr>
        <w:t xml:space="preserve">he </w:t>
      </w:r>
      <w:r w:rsidR="0045405D" w:rsidRPr="00421B6E">
        <w:t xml:space="preserve">Bank </w:t>
      </w:r>
      <w:r w:rsidR="007D2180" w:rsidRPr="00421B6E">
        <w:t>allows access</w:t>
      </w:r>
      <w:r w:rsidR="009A398A" w:rsidRPr="00421B6E">
        <w:t xml:space="preserve"> </w:t>
      </w:r>
      <w:r w:rsidR="007D2180" w:rsidRPr="00421B6E">
        <w:t xml:space="preserve">to </w:t>
      </w:r>
      <w:r w:rsidR="00C06143" w:rsidRPr="00421B6E">
        <w:t>any information in its</w:t>
      </w:r>
      <w:r w:rsidR="00882C2A" w:rsidRPr="00421B6E">
        <w:t xml:space="preserve"> possession</w:t>
      </w:r>
      <w:r w:rsidR="00305276" w:rsidRPr="00421B6E">
        <w:t xml:space="preserve"> that is not on a list of exceptions</w:t>
      </w:r>
      <w:r w:rsidR="00FB2F08" w:rsidRPr="00421B6E">
        <w:t xml:space="preserve"> (set out in Part II, Section A</w:t>
      </w:r>
      <w:r w:rsidR="00DD2810" w:rsidRPr="00421B6E">
        <w:t>,</w:t>
      </w:r>
      <w:r w:rsidR="00FB2F08" w:rsidRPr="00421B6E">
        <w:t xml:space="preserve"> of this </w:t>
      </w:r>
      <w:r w:rsidR="006D449B" w:rsidRPr="00421B6E">
        <w:t>p</w:t>
      </w:r>
      <w:r w:rsidR="00083FD5" w:rsidRPr="00421B6E">
        <w:t xml:space="preserve">olicy </w:t>
      </w:r>
      <w:r w:rsidR="006D449B" w:rsidRPr="00421B6E">
        <w:t>s</w:t>
      </w:r>
      <w:r w:rsidR="00FB2F08" w:rsidRPr="00421B6E">
        <w:t>tatement)</w:t>
      </w:r>
      <w:r w:rsidR="009C5620" w:rsidRPr="00421B6E">
        <w:t xml:space="preserve">. </w:t>
      </w:r>
      <w:r w:rsidR="00830932">
        <w:t>In addition, o</w:t>
      </w:r>
      <w:r w:rsidR="0087631E" w:rsidRPr="00421B6E">
        <w:t>ver</w:t>
      </w:r>
      <w:r w:rsidR="00A3364B" w:rsidRPr="00421B6E">
        <w:t xml:space="preserve"> </w:t>
      </w:r>
      <w:r w:rsidR="0087631E" w:rsidRPr="00421B6E">
        <w:t xml:space="preserve">time the Bank declassifies and </w:t>
      </w:r>
      <w:r w:rsidR="004C6BB5" w:rsidRPr="00421B6E">
        <w:t xml:space="preserve">makes publicly available </w:t>
      </w:r>
      <w:r w:rsidR="0087631E" w:rsidRPr="00421B6E">
        <w:t xml:space="preserve">certain information </w:t>
      </w:r>
      <w:r w:rsidR="00A3364B" w:rsidRPr="00421B6E">
        <w:t>that falls</w:t>
      </w:r>
      <w:r w:rsidR="00EF515C" w:rsidRPr="00421B6E">
        <w:t xml:space="preserve"> under the exceptions</w:t>
      </w:r>
      <w:r w:rsidR="00FB2F08" w:rsidRPr="00421B6E">
        <w:t xml:space="preserve"> (</w:t>
      </w:r>
      <w:r w:rsidR="006432D6" w:rsidRPr="00421B6E">
        <w:t>as</w:t>
      </w:r>
      <w:r w:rsidR="00C31400" w:rsidRPr="00421B6E">
        <w:t xml:space="preserve"> </w:t>
      </w:r>
      <w:r w:rsidR="00A12D27" w:rsidRPr="00421B6E">
        <w:t xml:space="preserve">set out in </w:t>
      </w:r>
      <w:r w:rsidR="00A3364B" w:rsidRPr="00421B6E">
        <w:t>Part IV</w:t>
      </w:r>
      <w:r w:rsidR="00A12D27" w:rsidRPr="00421B6E">
        <w:t xml:space="preserve">, Section </w:t>
      </w:r>
      <w:r w:rsidR="0078000B">
        <w:t>C</w:t>
      </w:r>
      <w:r w:rsidR="00DD2810" w:rsidRPr="00421B6E">
        <w:t>,</w:t>
      </w:r>
      <w:r w:rsidR="000B2DE0" w:rsidRPr="00421B6E">
        <w:t xml:space="preserve"> of this </w:t>
      </w:r>
      <w:r w:rsidR="006D449B" w:rsidRPr="00421B6E">
        <w:t>p</w:t>
      </w:r>
      <w:r w:rsidR="00083FD5" w:rsidRPr="00421B6E">
        <w:t xml:space="preserve">olicy </w:t>
      </w:r>
      <w:r w:rsidR="006D449B" w:rsidRPr="00421B6E">
        <w:t>s</w:t>
      </w:r>
      <w:r w:rsidR="00A3364B" w:rsidRPr="00421B6E">
        <w:t>tatement</w:t>
      </w:r>
      <w:r w:rsidR="00FB2F08" w:rsidRPr="00421B6E">
        <w:t>)</w:t>
      </w:r>
      <w:r w:rsidR="00A3364B" w:rsidRPr="00421B6E">
        <w:t xml:space="preserve">. </w:t>
      </w:r>
      <w:r w:rsidR="00174094" w:rsidRPr="00421B6E">
        <w:t xml:space="preserve">Notwithstanding the broad intent of this policy, </w:t>
      </w:r>
      <w:r w:rsidR="00C83AEF" w:rsidRPr="00421B6E">
        <w:t xml:space="preserve">the Bank </w:t>
      </w:r>
      <w:r w:rsidR="00174094" w:rsidRPr="00421B6E">
        <w:t xml:space="preserve">reserves the right, under exceptional circumstances, </w:t>
      </w:r>
      <w:r w:rsidR="00C83AEF" w:rsidRPr="00421B6E">
        <w:t>to disclose certain information covered by the list of exceptions, or to restrict access to information that it normally discloses (as explained in Part II, Sections B a</w:t>
      </w:r>
      <w:r w:rsidR="00C661E5">
        <w:t>nd C, of this policy statement).</w:t>
      </w:r>
    </w:p>
    <w:p w:rsidR="00AB297E" w:rsidRPr="006432D6" w:rsidRDefault="00AB297E" w:rsidP="00B73A5E">
      <w:pPr>
        <w:tabs>
          <w:tab w:val="num" w:pos="720"/>
        </w:tabs>
        <w:jc w:val="both"/>
      </w:pPr>
    </w:p>
    <w:p w:rsidR="00A46237" w:rsidRDefault="00A46237">
      <w:pPr>
        <w:rPr>
          <w:b/>
        </w:rPr>
      </w:pPr>
      <w:r>
        <w:rPr>
          <w:b/>
        </w:rPr>
        <w:br w:type="page"/>
      </w:r>
    </w:p>
    <w:p w:rsidR="00DB733F" w:rsidRPr="006432D6" w:rsidRDefault="00962E1D" w:rsidP="00B73A5E">
      <w:pPr>
        <w:tabs>
          <w:tab w:val="num" w:pos="720"/>
        </w:tabs>
        <w:jc w:val="both"/>
        <w:rPr>
          <w:b/>
        </w:rPr>
      </w:pPr>
      <w:r w:rsidRPr="006432D6">
        <w:rPr>
          <w:b/>
        </w:rPr>
        <w:lastRenderedPageBreak/>
        <w:t>A</w:t>
      </w:r>
      <w:r w:rsidR="00DB733F" w:rsidRPr="006432D6">
        <w:rPr>
          <w:b/>
        </w:rPr>
        <w:t>.</w:t>
      </w:r>
      <w:r w:rsidR="00DB733F" w:rsidRPr="006432D6">
        <w:rPr>
          <w:b/>
        </w:rPr>
        <w:tab/>
        <w:t>The Exceptions</w:t>
      </w:r>
    </w:p>
    <w:p w:rsidR="00DB733F" w:rsidRPr="006432D6" w:rsidRDefault="00DB733F" w:rsidP="00B73A5E">
      <w:pPr>
        <w:tabs>
          <w:tab w:val="num" w:pos="720"/>
        </w:tabs>
        <w:jc w:val="both"/>
      </w:pPr>
    </w:p>
    <w:p w:rsidR="00BE3FD4" w:rsidRPr="00D2151E" w:rsidRDefault="00305276" w:rsidP="005F2942">
      <w:pPr>
        <w:numPr>
          <w:ilvl w:val="0"/>
          <w:numId w:val="13"/>
        </w:numPr>
        <w:tabs>
          <w:tab w:val="clear" w:pos="720"/>
        </w:tabs>
        <w:ind w:left="0" w:firstLine="0"/>
        <w:jc w:val="both"/>
      </w:pPr>
      <w:r w:rsidRPr="00D2151E">
        <w:t xml:space="preserve">The Bank </w:t>
      </w:r>
      <w:r w:rsidR="000D085D" w:rsidRPr="00D2151E">
        <w:t xml:space="preserve">does not provide </w:t>
      </w:r>
      <w:r w:rsidRPr="00D2151E">
        <w:t>access to information whose disclosure could cause harm to specific parties or interests.</w:t>
      </w:r>
      <w:r w:rsidR="00751F12" w:rsidRPr="00D2151E">
        <w:t xml:space="preserve">  </w:t>
      </w:r>
      <w:r w:rsidRPr="00D2151E">
        <w:t>Accordingly, t</w:t>
      </w:r>
      <w:r w:rsidR="00BE3FD4" w:rsidRPr="00D2151E">
        <w:t xml:space="preserve">he </w:t>
      </w:r>
      <w:r w:rsidR="00962E1D" w:rsidRPr="00D2151E">
        <w:t xml:space="preserve">Bank does not </w:t>
      </w:r>
      <w:r w:rsidR="00695EF7" w:rsidRPr="00D2151E">
        <w:t xml:space="preserve">provide access to </w:t>
      </w:r>
      <w:r w:rsidR="00CE14E8">
        <w:t>documents</w:t>
      </w:r>
      <w:r w:rsidR="00CE14E8" w:rsidRPr="00D2151E">
        <w:t xml:space="preserve"> </w:t>
      </w:r>
      <w:r w:rsidR="00C83AEF" w:rsidRPr="00D2151E">
        <w:t xml:space="preserve">that </w:t>
      </w:r>
      <w:r w:rsidR="00F325F1">
        <w:t>contain or refer to</w:t>
      </w:r>
      <w:r w:rsidR="00F325F1" w:rsidRPr="00D2151E">
        <w:t xml:space="preserve"> </w:t>
      </w:r>
      <w:r w:rsidR="00962E1D" w:rsidRPr="00D2151E">
        <w:t xml:space="preserve">the </w:t>
      </w:r>
      <w:r w:rsidR="00BE3FD4" w:rsidRPr="00D2151E">
        <w:t>information</w:t>
      </w:r>
      <w:r w:rsidR="00EF515C" w:rsidRPr="00D2151E">
        <w:t xml:space="preserve"> listed in </w:t>
      </w:r>
      <w:r w:rsidR="003B10B2" w:rsidRPr="00D2151E">
        <w:t xml:space="preserve">paragraphs </w:t>
      </w:r>
      <w:r w:rsidR="006608ED" w:rsidRPr="00D2151E">
        <w:t>8</w:t>
      </w:r>
      <w:r w:rsidR="00EF515C" w:rsidRPr="00D2151E">
        <w:t>-</w:t>
      </w:r>
      <w:r w:rsidR="006608ED" w:rsidRPr="00D2151E">
        <w:t>17</w:t>
      </w:r>
      <w:r w:rsidR="003B10B2" w:rsidRPr="00D2151E">
        <w:t>.</w:t>
      </w:r>
      <w:r w:rsidR="00A12D27" w:rsidRPr="00D2151E">
        <w:rPr>
          <w:rStyle w:val="FootnoteReference"/>
        </w:rPr>
        <w:footnoteReference w:id="2"/>
      </w:r>
      <w:r w:rsidR="00450945" w:rsidRPr="00D2151E">
        <w:t xml:space="preserve"> </w:t>
      </w:r>
    </w:p>
    <w:p w:rsidR="00BE3FD4" w:rsidRPr="00D2151E" w:rsidRDefault="00BE3FD4" w:rsidP="00B73A5E">
      <w:pPr>
        <w:tabs>
          <w:tab w:val="num" w:pos="720"/>
        </w:tabs>
        <w:jc w:val="both"/>
      </w:pPr>
    </w:p>
    <w:p w:rsidR="00BE3FD4" w:rsidRPr="00F02024" w:rsidRDefault="00303B74" w:rsidP="0078000B">
      <w:pPr>
        <w:numPr>
          <w:ilvl w:val="0"/>
          <w:numId w:val="13"/>
        </w:numPr>
        <w:tabs>
          <w:tab w:val="clear" w:pos="720"/>
        </w:tabs>
        <w:ind w:left="0" w:firstLine="0"/>
        <w:jc w:val="both"/>
      </w:pPr>
      <w:r w:rsidRPr="00D2151E">
        <w:rPr>
          <w:b/>
          <w:i/>
          <w:color w:val="000000"/>
        </w:rPr>
        <w:t>Personal Information</w:t>
      </w:r>
      <w:r w:rsidRPr="00D2151E">
        <w:t xml:space="preserve">.  </w:t>
      </w:r>
      <w:r w:rsidR="00F13242" w:rsidRPr="00D2151E">
        <w:rPr>
          <w:color w:val="000000"/>
        </w:rPr>
        <w:t>The Bank’s Principles of Staff Employment</w:t>
      </w:r>
      <w:r w:rsidR="00F13242" w:rsidRPr="006432D6">
        <w:rPr>
          <w:color w:val="000000"/>
        </w:rPr>
        <w:t xml:space="preserve"> </w:t>
      </w:r>
      <w:r w:rsidR="00F13242" w:rsidRPr="006432D6">
        <w:t xml:space="preserve">require the Bank to establish and maintain appropriate safeguards to respect the personal privacy of staff members and protect the confidentiality of personal </w:t>
      </w:r>
      <w:r w:rsidR="00F13242" w:rsidRPr="00F02024">
        <w:t>information about them.  Accordingly, t</w:t>
      </w:r>
      <w:r w:rsidR="00BE3FD4" w:rsidRPr="00F02024">
        <w:t xml:space="preserve">he Bank does not </w:t>
      </w:r>
      <w:r w:rsidR="00695EF7" w:rsidRPr="00F02024">
        <w:t>provide access to the following information</w:t>
      </w:r>
      <w:r w:rsidR="00B43D15" w:rsidRPr="00F02024">
        <w:t>, except to the extent expressly permitted by the Staff Rules</w:t>
      </w:r>
      <w:r w:rsidR="00C052B1" w:rsidRPr="00F02024">
        <w:t>.</w:t>
      </w:r>
      <w:r w:rsidR="00B43D15" w:rsidRPr="00F02024">
        <w:rPr>
          <w:rStyle w:val="FootnoteReference"/>
        </w:rPr>
        <w:footnoteReference w:id="3"/>
      </w:r>
    </w:p>
    <w:p w:rsidR="00BE3FD4" w:rsidRPr="006432D6" w:rsidRDefault="00BE3FD4" w:rsidP="00B73A5E">
      <w:pPr>
        <w:tabs>
          <w:tab w:val="num" w:pos="720"/>
        </w:tabs>
        <w:jc w:val="both"/>
      </w:pPr>
    </w:p>
    <w:p w:rsidR="00BE3FD4" w:rsidRPr="006432D6" w:rsidRDefault="00BE3FD4" w:rsidP="004B3461">
      <w:pPr>
        <w:numPr>
          <w:ilvl w:val="0"/>
          <w:numId w:val="8"/>
        </w:numPr>
        <w:tabs>
          <w:tab w:val="clear" w:pos="1440"/>
          <w:tab w:val="num" w:pos="2160"/>
        </w:tabs>
        <w:jc w:val="both"/>
      </w:pPr>
      <w:r w:rsidRPr="006432D6">
        <w:t xml:space="preserve">Personal information, including personal staff records, medical information, and personal communications (including e-mail) of </w:t>
      </w:r>
      <w:r w:rsidR="00830932">
        <w:t xml:space="preserve">the following individuals and their families:  </w:t>
      </w:r>
      <w:r w:rsidRPr="006432D6">
        <w:t xml:space="preserve">Executive </w:t>
      </w:r>
      <w:r w:rsidRPr="008119F3">
        <w:t xml:space="preserve">Directors, their Alternates, and </w:t>
      </w:r>
      <w:r w:rsidR="00C052B1" w:rsidRPr="008119F3">
        <w:t xml:space="preserve">their </w:t>
      </w:r>
      <w:r w:rsidRPr="008119F3">
        <w:t>Senior Advisers</w:t>
      </w:r>
      <w:r w:rsidR="00C052B1" w:rsidRPr="008119F3">
        <w:t>;</w:t>
      </w:r>
      <w:r w:rsidRPr="008119F3">
        <w:t xml:space="preserve"> the President of the Bank</w:t>
      </w:r>
      <w:r w:rsidR="00C052B1" w:rsidRPr="008119F3">
        <w:t>;</w:t>
      </w:r>
      <w:r w:rsidR="00542B12" w:rsidRPr="008119F3">
        <w:t xml:space="preserve"> other Bank officials;</w:t>
      </w:r>
      <w:r w:rsidRPr="008119F3">
        <w:t xml:space="preserve"> and Bank staff.</w:t>
      </w:r>
    </w:p>
    <w:p w:rsidR="009D1153" w:rsidRPr="006432D6" w:rsidRDefault="009D1153" w:rsidP="009D1153">
      <w:pPr>
        <w:ind w:left="1440"/>
        <w:jc w:val="both"/>
      </w:pPr>
    </w:p>
    <w:p w:rsidR="00BE3FD4" w:rsidRPr="006432D6" w:rsidRDefault="00BE3FD4" w:rsidP="004B3461">
      <w:pPr>
        <w:numPr>
          <w:ilvl w:val="0"/>
          <w:numId w:val="8"/>
        </w:numPr>
        <w:tabs>
          <w:tab w:val="clear" w:pos="1440"/>
          <w:tab w:val="num" w:pos="2160"/>
        </w:tabs>
        <w:jc w:val="both"/>
      </w:pPr>
      <w:r w:rsidRPr="006432D6">
        <w:t>Information relating to staff appointment and selection processes.</w:t>
      </w:r>
    </w:p>
    <w:p w:rsidR="00BE3FD4" w:rsidRPr="006432D6" w:rsidRDefault="00BE3FD4" w:rsidP="00BE3FD4">
      <w:pPr>
        <w:ind w:left="1440"/>
        <w:jc w:val="both"/>
      </w:pPr>
    </w:p>
    <w:p w:rsidR="00BE3FD4" w:rsidRPr="006432D6" w:rsidRDefault="00BE3FD4" w:rsidP="004B3461">
      <w:pPr>
        <w:numPr>
          <w:ilvl w:val="0"/>
          <w:numId w:val="8"/>
        </w:numPr>
        <w:tabs>
          <w:tab w:val="clear" w:pos="1440"/>
          <w:tab w:val="num" w:pos="2160"/>
        </w:tabs>
        <w:autoSpaceDE w:val="0"/>
        <w:autoSpaceDN w:val="0"/>
        <w:adjustRightInd w:val="0"/>
        <w:spacing w:line="240" w:lineRule="atLeast"/>
        <w:jc w:val="both"/>
      </w:pPr>
      <w:r w:rsidRPr="006432D6">
        <w:t>Information relating to proceedings of the Bank’s internal conflict resolution mechanisms.</w:t>
      </w:r>
    </w:p>
    <w:p w:rsidR="00BE3FD4" w:rsidRPr="006432D6" w:rsidRDefault="00BE3FD4" w:rsidP="00BE3FD4">
      <w:pPr>
        <w:ind w:left="1440"/>
        <w:jc w:val="both"/>
        <w:rPr>
          <w:color w:val="000000"/>
        </w:rPr>
      </w:pPr>
    </w:p>
    <w:p w:rsidR="00BE3FD4" w:rsidRPr="006432D6" w:rsidRDefault="00BE3FD4" w:rsidP="004B3461">
      <w:pPr>
        <w:numPr>
          <w:ilvl w:val="0"/>
          <w:numId w:val="8"/>
        </w:numPr>
        <w:tabs>
          <w:tab w:val="clear" w:pos="1440"/>
          <w:tab w:val="num" w:pos="2160"/>
        </w:tabs>
        <w:jc w:val="both"/>
        <w:rPr>
          <w:color w:val="000000"/>
        </w:rPr>
      </w:pPr>
      <w:r w:rsidRPr="006432D6">
        <w:rPr>
          <w:color w:val="000000"/>
        </w:rPr>
        <w:t>Information relating to investigations o</w:t>
      </w:r>
      <w:r w:rsidR="00C052B1">
        <w:rPr>
          <w:color w:val="000000"/>
        </w:rPr>
        <w:t>f</w:t>
      </w:r>
      <w:r w:rsidRPr="006432D6">
        <w:rPr>
          <w:color w:val="000000"/>
        </w:rPr>
        <w:t xml:space="preserve"> allegations of staff misconduct</w:t>
      </w:r>
      <w:r w:rsidR="00896B74" w:rsidRPr="006432D6">
        <w:rPr>
          <w:color w:val="000000"/>
        </w:rPr>
        <w:t xml:space="preserve"> and</w:t>
      </w:r>
      <w:r w:rsidRPr="006432D6">
        <w:rPr>
          <w:color w:val="000000"/>
        </w:rPr>
        <w:t xml:space="preserve"> </w:t>
      </w:r>
      <w:r w:rsidR="00896B74" w:rsidRPr="006432D6">
        <w:rPr>
          <w:color w:val="000000"/>
        </w:rPr>
        <w:t>personal conflicts of interest</w:t>
      </w:r>
      <w:r w:rsidRPr="006432D6">
        <w:rPr>
          <w:color w:val="000000"/>
        </w:rPr>
        <w:t xml:space="preserve">. </w:t>
      </w:r>
    </w:p>
    <w:p w:rsidR="004D176E" w:rsidRPr="006432D6" w:rsidRDefault="004D176E" w:rsidP="00BE3FD4">
      <w:pPr>
        <w:jc w:val="both"/>
        <w:rPr>
          <w:b/>
          <w:i/>
          <w:color w:val="000000"/>
        </w:rPr>
      </w:pPr>
    </w:p>
    <w:p w:rsidR="00305276" w:rsidRPr="006432D6" w:rsidRDefault="00303B74" w:rsidP="004B3461">
      <w:pPr>
        <w:numPr>
          <w:ilvl w:val="0"/>
          <w:numId w:val="13"/>
        </w:numPr>
        <w:tabs>
          <w:tab w:val="left" w:pos="630"/>
        </w:tabs>
        <w:ind w:left="0" w:firstLine="0"/>
        <w:jc w:val="both"/>
        <w:rPr>
          <w:color w:val="000000"/>
        </w:rPr>
      </w:pPr>
      <w:r w:rsidRPr="006432D6">
        <w:rPr>
          <w:b/>
          <w:i/>
          <w:color w:val="000000"/>
        </w:rPr>
        <w:t xml:space="preserve">Communications of Executive Directors’ Offices. </w:t>
      </w:r>
      <w:r w:rsidRPr="006432D6">
        <w:rPr>
          <w:color w:val="000000"/>
        </w:rPr>
        <w:t xml:space="preserve"> </w:t>
      </w:r>
      <w:r w:rsidR="00BE3FD4" w:rsidRPr="006432D6">
        <w:rPr>
          <w:color w:val="000000"/>
        </w:rPr>
        <w:t xml:space="preserve">The Bank does not </w:t>
      </w:r>
      <w:r w:rsidR="00695EF7" w:rsidRPr="006432D6">
        <w:rPr>
          <w:color w:val="000000"/>
        </w:rPr>
        <w:t>provide access to</w:t>
      </w:r>
      <w:r w:rsidR="00305276" w:rsidRPr="006432D6">
        <w:rPr>
          <w:color w:val="000000"/>
        </w:rPr>
        <w:t>:</w:t>
      </w:r>
    </w:p>
    <w:p w:rsidR="00305276" w:rsidRPr="006432D6" w:rsidRDefault="00305276" w:rsidP="00B73A5E">
      <w:pPr>
        <w:tabs>
          <w:tab w:val="left" w:pos="630"/>
          <w:tab w:val="num" w:pos="720"/>
        </w:tabs>
        <w:jc w:val="both"/>
        <w:rPr>
          <w:color w:val="000000"/>
        </w:rPr>
      </w:pPr>
    </w:p>
    <w:p w:rsidR="00305276" w:rsidRPr="006432D6" w:rsidRDefault="003613AF" w:rsidP="004B3461">
      <w:pPr>
        <w:numPr>
          <w:ilvl w:val="0"/>
          <w:numId w:val="20"/>
        </w:numPr>
        <w:tabs>
          <w:tab w:val="left" w:pos="630"/>
          <w:tab w:val="num" w:pos="1440"/>
        </w:tabs>
        <w:jc w:val="both"/>
      </w:pPr>
      <w:r w:rsidRPr="006432D6">
        <w:rPr>
          <w:color w:val="000000"/>
        </w:rPr>
        <w:t>C</w:t>
      </w:r>
      <w:r w:rsidR="00BE3FD4" w:rsidRPr="006432D6">
        <w:rPr>
          <w:color w:val="000000"/>
        </w:rPr>
        <w:t>ommunications within and between individual Executive Directors’ offices</w:t>
      </w:r>
      <w:r w:rsidR="0042699C" w:rsidRPr="006432D6">
        <w:rPr>
          <w:color w:val="000000"/>
        </w:rPr>
        <w:t>.</w:t>
      </w:r>
    </w:p>
    <w:p w:rsidR="00305276" w:rsidRPr="006432D6" w:rsidRDefault="00305276" w:rsidP="001960E1">
      <w:pPr>
        <w:tabs>
          <w:tab w:val="left" w:pos="630"/>
          <w:tab w:val="num" w:pos="720"/>
        </w:tabs>
        <w:jc w:val="both"/>
      </w:pPr>
    </w:p>
    <w:p w:rsidR="00305276" w:rsidRPr="006432D6" w:rsidRDefault="003613AF" w:rsidP="004B3461">
      <w:pPr>
        <w:numPr>
          <w:ilvl w:val="0"/>
          <w:numId w:val="20"/>
        </w:numPr>
        <w:tabs>
          <w:tab w:val="left" w:pos="630"/>
          <w:tab w:val="num" w:pos="1440"/>
        </w:tabs>
        <w:jc w:val="both"/>
      </w:pPr>
      <w:r w:rsidRPr="006432D6">
        <w:rPr>
          <w:color w:val="000000"/>
        </w:rPr>
        <w:t>C</w:t>
      </w:r>
      <w:r w:rsidR="00305276" w:rsidRPr="006432D6">
        <w:rPr>
          <w:color w:val="000000"/>
        </w:rPr>
        <w:t>ommunications</w:t>
      </w:r>
      <w:r w:rsidR="00BE3FD4" w:rsidRPr="006432D6">
        <w:rPr>
          <w:color w:val="000000"/>
        </w:rPr>
        <w:t xml:space="preserve"> between individual Executive Directors’ offices and the member</w:t>
      </w:r>
      <w:r w:rsidR="00F13242" w:rsidRPr="006432D6">
        <w:rPr>
          <w:color w:val="000000"/>
        </w:rPr>
        <w:t xml:space="preserve"> country or</w:t>
      </w:r>
      <w:r w:rsidR="00BE3FD4" w:rsidRPr="006432D6">
        <w:rPr>
          <w:color w:val="000000"/>
        </w:rPr>
        <w:t xml:space="preserve"> countries they represent</w:t>
      </w:r>
      <w:r w:rsidR="0042699C" w:rsidRPr="006432D6">
        <w:rPr>
          <w:color w:val="000000"/>
        </w:rPr>
        <w:t>.</w:t>
      </w:r>
      <w:r w:rsidR="00305276" w:rsidRPr="006432D6">
        <w:rPr>
          <w:color w:val="000000"/>
        </w:rPr>
        <w:t xml:space="preserve"> </w:t>
      </w:r>
      <w:r w:rsidR="00BE3FD4" w:rsidRPr="006432D6">
        <w:rPr>
          <w:color w:val="000000"/>
        </w:rPr>
        <w:t xml:space="preserve"> </w:t>
      </w:r>
    </w:p>
    <w:p w:rsidR="00305276" w:rsidRPr="006432D6" w:rsidRDefault="00305276" w:rsidP="001960E1">
      <w:pPr>
        <w:pStyle w:val="ListParagraph"/>
        <w:tabs>
          <w:tab w:val="left" w:pos="630"/>
          <w:tab w:val="num" w:pos="720"/>
        </w:tabs>
        <w:ind w:left="0"/>
      </w:pPr>
    </w:p>
    <w:p w:rsidR="00BE3FD4" w:rsidRPr="006432D6" w:rsidRDefault="003613AF" w:rsidP="004B3461">
      <w:pPr>
        <w:numPr>
          <w:ilvl w:val="0"/>
          <w:numId w:val="20"/>
        </w:numPr>
        <w:tabs>
          <w:tab w:val="left" w:pos="630"/>
          <w:tab w:val="num" w:pos="1440"/>
        </w:tabs>
        <w:jc w:val="both"/>
      </w:pPr>
      <w:r w:rsidRPr="006432D6">
        <w:rPr>
          <w:color w:val="000000"/>
        </w:rPr>
        <w:t>C</w:t>
      </w:r>
      <w:r w:rsidR="00305276" w:rsidRPr="006432D6">
        <w:rPr>
          <w:color w:val="000000"/>
        </w:rPr>
        <w:t xml:space="preserve">ommunications </w:t>
      </w:r>
      <w:r w:rsidR="00BE3FD4" w:rsidRPr="006432D6">
        <w:t>between individual Executive Directors’ offices and third parties.</w:t>
      </w:r>
    </w:p>
    <w:p w:rsidR="00BE3FD4" w:rsidRPr="006432D6" w:rsidRDefault="00BE3FD4" w:rsidP="00B73A5E">
      <w:pPr>
        <w:tabs>
          <w:tab w:val="left" w:pos="630"/>
          <w:tab w:val="num" w:pos="720"/>
        </w:tabs>
        <w:jc w:val="both"/>
        <w:rPr>
          <w:color w:val="000000"/>
        </w:rPr>
      </w:pPr>
    </w:p>
    <w:p w:rsidR="00BE3FD4" w:rsidRPr="006432D6" w:rsidRDefault="00303B74" w:rsidP="004B3461">
      <w:pPr>
        <w:numPr>
          <w:ilvl w:val="0"/>
          <w:numId w:val="13"/>
        </w:numPr>
        <w:tabs>
          <w:tab w:val="left" w:pos="630"/>
        </w:tabs>
        <w:ind w:left="0" w:firstLine="0"/>
        <w:jc w:val="both"/>
        <w:rPr>
          <w:color w:val="000000"/>
        </w:rPr>
      </w:pPr>
      <w:r w:rsidRPr="006432D6">
        <w:rPr>
          <w:b/>
          <w:i/>
          <w:color w:val="000000"/>
        </w:rPr>
        <w:t>Ethics Committee.</w:t>
      </w:r>
      <w:r w:rsidRPr="006432D6">
        <w:rPr>
          <w:color w:val="000000"/>
        </w:rPr>
        <w:t xml:space="preserve">  </w:t>
      </w:r>
      <w:r w:rsidR="00BE3FD4" w:rsidRPr="006432D6">
        <w:rPr>
          <w:color w:val="000000"/>
        </w:rPr>
        <w:t xml:space="preserve">The Bank does not </w:t>
      </w:r>
      <w:r w:rsidR="00695EF7" w:rsidRPr="006432D6">
        <w:rPr>
          <w:color w:val="000000"/>
        </w:rPr>
        <w:t>provide access to</w:t>
      </w:r>
      <w:r w:rsidR="00695EF7" w:rsidRPr="006432D6">
        <w:t xml:space="preserve"> </w:t>
      </w:r>
      <w:r w:rsidR="00BE3FD4" w:rsidRPr="006432D6">
        <w:t xml:space="preserve">proceedings of the Ethics Committee for Board Officials </w:t>
      </w:r>
      <w:r w:rsidR="00E9580E" w:rsidRPr="006432D6">
        <w:rPr>
          <w:color w:val="000000"/>
        </w:rPr>
        <w:t>(unless the</w:t>
      </w:r>
      <w:r w:rsidR="00C47242" w:rsidRPr="006432D6">
        <w:rPr>
          <w:color w:val="000000"/>
        </w:rPr>
        <w:t xml:space="preserve"> Executive Directors</w:t>
      </w:r>
      <w:r w:rsidR="00AB7D74">
        <w:rPr>
          <w:color w:val="000000"/>
        </w:rPr>
        <w:t xml:space="preserve"> initiate a decision </w:t>
      </w:r>
      <w:r w:rsidR="003253D3" w:rsidRPr="006432D6">
        <w:rPr>
          <w:color w:val="000000"/>
        </w:rPr>
        <w:t>to disclose such information</w:t>
      </w:r>
      <w:r w:rsidR="00E9580E" w:rsidRPr="006432D6">
        <w:rPr>
          <w:color w:val="000000"/>
        </w:rPr>
        <w:t>)</w:t>
      </w:r>
      <w:r w:rsidR="00BE3FD4" w:rsidRPr="006432D6">
        <w:rPr>
          <w:color w:val="000000"/>
        </w:rPr>
        <w:t>.</w:t>
      </w:r>
    </w:p>
    <w:p w:rsidR="00BE3FD4" w:rsidRPr="006432D6" w:rsidRDefault="00BE3FD4" w:rsidP="00BA21C3">
      <w:pPr>
        <w:tabs>
          <w:tab w:val="num" w:pos="0"/>
          <w:tab w:val="num" w:pos="540"/>
        </w:tabs>
        <w:jc w:val="both"/>
        <w:rPr>
          <w:color w:val="000000"/>
        </w:rPr>
      </w:pPr>
    </w:p>
    <w:p w:rsidR="00BE3FD4" w:rsidRPr="006432D6" w:rsidRDefault="00303B74" w:rsidP="004B3461">
      <w:pPr>
        <w:numPr>
          <w:ilvl w:val="0"/>
          <w:numId w:val="13"/>
        </w:numPr>
        <w:ind w:left="0" w:firstLine="0"/>
        <w:jc w:val="both"/>
      </w:pPr>
      <w:r w:rsidRPr="006432D6">
        <w:rPr>
          <w:b/>
          <w:i/>
          <w:color w:val="000000"/>
        </w:rPr>
        <w:lastRenderedPageBreak/>
        <w:t>Attorney-Client Privilege.</w:t>
      </w:r>
      <w:r w:rsidRPr="006432D6">
        <w:rPr>
          <w:color w:val="000000"/>
        </w:rPr>
        <w:t xml:space="preserve">  </w:t>
      </w:r>
      <w:r w:rsidR="00BE3FD4" w:rsidRPr="006432D6">
        <w:rPr>
          <w:color w:val="000000"/>
        </w:rPr>
        <w:t xml:space="preserve">The Bank does not </w:t>
      </w:r>
      <w:r w:rsidR="00695EF7" w:rsidRPr="006432D6">
        <w:rPr>
          <w:color w:val="000000"/>
        </w:rPr>
        <w:t xml:space="preserve">provide access to </w:t>
      </w:r>
      <w:r w:rsidR="00BE3FD4" w:rsidRPr="006432D6">
        <w:rPr>
          <w:color w:val="000000"/>
        </w:rPr>
        <w:t xml:space="preserve">information </w:t>
      </w:r>
      <w:r w:rsidR="00BE3FD4" w:rsidRPr="006432D6">
        <w:rPr>
          <w:iCs/>
          <w:color w:val="000000"/>
        </w:rPr>
        <w:t xml:space="preserve">subject to attorney-client privilege, including, </w:t>
      </w:r>
      <w:r w:rsidR="00962E1D" w:rsidRPr="006432D6">
        <w:rPr>
          <w:iCs/>
          <w:color w:val="000000"/>
        </w:rPr>
        <w:t>among other things</w:t>
      </w:r>
      <w:r w:rsidR="00BE3FD4" w:rsidRPr="006432D6">
        <w:rPr>
          <w:iCs/>
          <w:color w:val="000000"/>
        </w:rPr>
        <w:t>, communications provided and/or received by the General Counsel, in-house Bank counsel, and other legal advisors</w:t>
      </w:r>
      <w:r w:rsidR="00BE3FD4" w:rsidRPr="006432D6">
        <w:rPr>
          <w:color w:val="000000"/>
        </w:rPr>
        <w:t>.</w:t>
      </w:r>
      <w:r w:rsidR="00BE3FD4" w:rsidRPr="006432D6">
        <w:t xml:space="preserve"> </w:t>
      </w:r>
    </w:p>
    <w:p w:rsidR="00BE3FD4" w:rsidRPr="006432D6" w:rsidRDefault="00BE3FD4" w:rsidP="00B73A5E">
      <w:pPr>
        <w:tabs>
          <w:tab w:val="num" w:pos="0"/>
          <w:tab w:val="num" w:pos="720"/>
        </w:tabs>
        <w:jc w:val="both"/>
        <w:rPr>
          <w:color w:val="000000"/>
        </w:rPr>
      </w:pPr>
    </w:p>
    <w:p w:rsidR="00BE3FD4" w:rsidRPr="006432D6" w:rsidRDefault="008D5FA5" w:rsidP="004B3461">
      <w:pPr>
        <w:numPr>
          <w:ilvl w:val="0"/>
          <w:numId w:val="13"/>
        </w:numPr>
        <w:ind w:left="0" w:firstLine="0"/>
        <w:jc w:val="both"/>
        <w:rPr>
          <w:color w:val="000000"/>
        </w:rPr>
      </w:pPr>
      <w:r w:rsidRPr="006432D6">
        <w:rPr>
          <w:b/>
          <w:i/>
          <w:color w:val="000000"/>
        </w:rPr>
        <w:t xml:space="preserve">Security and Safety.  </w:t>
      </w:r>
      <w:r w:rsidR="00BE3FD4" w:rsidRPr="006432D6">
        <w:rPr>
          <w:iCs/>
          <w:color w:val="000000"/>
        </w:rPr>
        <w:t xml:space="preserve">The Bank does not </w:t>
      </w:r>
      <w:r w:rsidR="00695EF7" w:rsidRPr="006432D6">
        <w:rPr>
          <w:iCs/>
          <w:color w:val="000000"/>
        </w:rPr>
        <w:t>provide access to</w:t>
      </w:r>
      <w:r w:rsidR="00BE3FD4" w:rsidRPr="006432D6">
        <w:rPr>
          <w:iCs/>
          <w:color w:val="000000"/>
        </w:rPr>
        <w:t>:</w:t>
      </w:r>
    </w:p>
    <w:p w:rsidR="00BE3FD4" w:rsidRPr="006432D6" w:rsidRDefault="00BE3FD4" w:rsidP="001960E1">
      <w:pPr>
        <w:tabs>
          <w:tab w:val="num" w:pos="720"/>
        </w:tabs>
        <w:autoSpaceDE w:val="0"/>
        <w:autoSpaceDN w:val="0"/>
        <w:adjustRightInd w:val="0"/>
        <w:jc w:val="both"/>
        <w:rPr>
          <w:iCs/>
          <w:color w:val="000000"/>
        </w:rPr>
      </w:pPr>
    </w:p>
    <w:p w:rsidR="00BE3FD4" w:rsidRPr="008E216B" w:rsidRDefault="00BE3FD4" w:rsidP="004B3461">
      <w:pPr>
        <w:numPr>
          <w:ilvl w:val="0"/>
          <w:numId w:val="4"/>
        </w:numPr>
        <w:autoSpaceDE w:val="0"/>
        <w:autoSpaceDN w:val="0"/>
        <w:adjustRightInd w:val="0"/>
        <w:jc w:val="both"/>
        <w:rPr>
          <w:iCs/>
          <w:color w:val="000000"/>
        </w:rPr>
      </w:pPr>
      <w:r w:rsidRPr="008E216B">
        <w:rPr>
          <w:iCs/>
          <w:color w:val="000000"/>
        </w:rPr>
        <w:t xml:space="preserve">Information </w:t>
      </w:r>
      <w:r w:rsidR="00083FD5" w:rsidRPr="008E216B">
        <w:rPr>
          <w:iCs/>
          <w:color w:val="000000"/>
        </w:rPr>
        <w:t>whose disclosure would compromi</w:t>
      </w:r>
      <w:r w:rsidR="00B87352" w:rsidRPr="008E216B">
        <w:rPr>
          <w:iCs/>
          <w:color w:val="000000"/>
        </w:rPr>
        <w:t xml:space="preserve">se </w:t>
      </w:r>
      <w:r w:rsidRPr="008E216B">
        <w:rPr>
          <w:iCs/>
          <w:color w:val="000000"/>
        </w:rPr>
        <w:t xml:space="preserve">the security of Bank staff and their families, contractors, </w:t>
      </w:r>
      <w:r w:rsidR="00E27C4C" w:rsidRPr="008E216B">
        <w:rPr>
          <w:iCs/>
          <w:color w:val="000000"/>
        </w:rPr>
        <w:t xml:space="preserve">other individuals, </w:t>
      </w:r>
      <w:r w:rsidRPr="008E216B">
        <w:rPr>
          <w:iCs/>
          <w:color w:val="000000"/>
        </w:rPr>
        <w:t>and Bank assets.</w:t>
      </w:r>
    </w:p>
    <w:p w:rsidR="00BE3FD4" w:rsidRPr="006432D6" w:rsidRDefault="00BE3FD4" w:rsidP="001960E1">
      <w:pPr>
        <w:tabs>
          <w:tab w:val="num" w:pos="720"/>
        </w:tabs>
        <w:autoSpaceDE w:val="0"/>
        <w:autoSpaceDN w:val="0"/>
        <w:adjustRightInd w:val="0"/>
        <w:jc w:val="both"/>
        <w:rPr>
          <w:iCs/>
          <w:color w:val="000000"/>
        </w:rPr>
      </w:pPr>
    </w:p>
    <w:p w:rsidR="00BE3FD4" w:rsidRPr="006432D6" w:rsidRDefault="00BE3FD4" w:rsidP="004B3461">
      <w:pPr>
        <w:numPr>
          <w:ilvl w:val="0"/>
          <w:numId w:val="4"/>
        </w:numPr>
        <w:autoSpaceDE w:val="0"/>
        <w:autoSpaceDN w:val="0"/>
        <w:adjustRightInd w:val="0"/>
        <w:jc w:val="both"/>
        <w:rPr>
          <w:iCs/>
          <w:color w:val="000000"/>
        </w:rPr>
      </w:pPr>
      <w:r w:rsidRPr="006432D6">
        <w:rPr>
          <w:iCs/>
          <w:color w:val="000000"/>
        </w:rPr>
        <w:t xml:space="preserve">Information about logistical and transport arrangements related to </w:t>
      </w:r>
      <w:r w:rsidR="00830932">
        <w:rPr>
          <w:iCs/>
          <w:color w:val="000000"/>
        </w:rPr>
        <w:t xml:space="preserve">the </w:t>
      </w:r>
      <w:r w:rsidRPr="006432D6">
        <w:rPr>
          <w:iCs/>
          <w:color w:val="000000"/>
        </w:rPr>
        <w:t>Bank</w:t>
      </w:r>
      <w:r w:rsidR="00830932">
        <w:rPr>
          <w:iCs/>
          <w:color w:val="000000"/>
        </w:rPr>
        <w:t>’s</w:t>
      </w:r>
      <w:r w:rsidRPr="006432D6">
        <w:rPr>
          <w:iCs/>
          <w:color w:val="000000"/>
        </w:rPr>
        <w:t xml:space="preserve"> shipments of its assets and documents and the shipment of staff’s personal effects.</w:t>
      </w:r>
    </w:p>
    <w:p w:rsidR="00BE3FD4" w:rsidRPr="006432D6" w:rsidRDefault="00BE3FD4" w:rsidP="00B73A5E">
      <w:pPr>
        <w:tabs>
          <w:tab w:val="num" w:pos="720"/>
        </w:tabs>
        <w:jc w:val="both"/>
      </w:pPr>
    </w:p>
    <w:p w:rsidR="00BE3FD4" w:rsidRDefault="00BE3FD4" w:rsidP="004B3461">
      <w:pPr>
        <w:numPr>
          <w:ilvl w:val="0"/>
          <w:numId w:val="4"/>
        </w:numPr>
        <w:autoSpaceDE w:val="0"/>
        <w:autoSpaceDN w:val="0"/>
        <w:adjustRightInd w:val="0"/>
        <w:jc w:val="both"/>
        <w:rPr>
          <w:kern w:val="2"/>
        </w:rPr>
      </w:pPr>
      <w:r w:rsidRPr="008E216B">
        <w:rPr>
          <w:kern w:val="2"/>
        </w:rPr>
        <w:t xml:space="preserve">Information </w:t>
      </w:r>
      <w:r w:rsidR="00962E1D" w:rsidRPr="008E216B">
        <w:rPr>
          <w:kern w:val="2"/>
        </w:rPr>
        <w:t xml:space="preserve">whose </w:t>
      </w:r>
      <w:r w:rsidRPr="008E216B">
        <w:rPr>
          <w:kern w:val="2"/>
        </w:rPr>
        <w:t>disclosure is likely to endanger the life, health, or safety of any individual, or the environment.</w:t>
      </w:r>
    </w:p>
    <w:p w:rsidR="006A12BE" w:rsidRPr="008E216B" w:rsidRDefault="006A12BE" w:rsidP="006A12BE">
      <w:pPr>
        <w:autoSpaceDE w:val="0"/>
        <w:autoSpaceDN w:val="0"/>
        <w:adjustRightInd w:val="0"/>
        <w:ind w:left="1440"/>
        <w:jc w:val="both"/>
        <w:rPr>
          <w:kern w:val="2"/>
        </w:rPr>
      </w:pPr>
    </w:p>
    <w:p w:rsidR="00E912D6" w:rsidRDefault="005E782A" w:rsidP="004B3461">
      <w:pPr>
        <w:numPr>
          <w:ilvl w:val="0"/>
          <w:numId w:val="13"/>
        </w:numPr>
        <w:ind w:left="0" w:firstLine="0"/>
        <w:jc w:val="both"/>
      </w:pPr>
      <w:r w:rsidRPr="006432D6">
        <w:rPr>
          <w:b/>
          <w:i/>
        </w:rPr>
        <w:t>Information Restricted Under Separate Disclosure Regimes and Other Investigative Information.</w:t>
      </w:r>
      <w:r w:rsidRPr="006432D6">
        <w:t xml:space="preserve">  </w:t>
      </w:r>
      <w:r w:rsidR="00BE3FD4" w:rsidRPr="006432D6">
        <w:t xml:space="preserve">The Bank does not </w:t>
      </w:r>
      <w:r w:rsidR="00695EF7" w:rsidRPr="006432D6">
        <w:t xml:space="preserve">provide access to </w:t>
      </w:r>
      <w:r w:rsidR="00BE3FD4" w:rsidRPr="006432D6">
        <w:t xml:space="preserve">information </w:t>
      </w:r>
      <w:r w:rsidR="00695EF7" w:rsidRPr="006432D6">
        <w:t xml:space="preserve">whose disclosure </w:t>
      </w:r>
      <w:r w:rsidR="000D085D" w:rsidRPr="006432D6">
        <w:t xml:space="preserve">is </w:t>
      </w:r>
      <w:r w:rsidR="00BE3FD4" w:rsidRPr="006432D6">
        <w:t>restricted</w:t>
      </w:r>
      <w:r w:rsidR="000D085D" w:rsidRPr="006432D6">
        <w:t xml:space="preserve"> </w:t>
      </w:r>
      <w:r w:rsidR="00BE3FD4" w:rsidRPr="006432D6">
        <w:t>under the separate disclosure regimes of</w:t>
      </w:r>
      <w:r w:rsidR="00C052B1">
        <w:t xml:space="preserve"> (a) t</w:t>
      </w:r>
      <w:r w:rsidR="00305276" w:rsidRPr="006432D6">
        <w:t xml:space="preserve">he </w:t>
      </w:r>
      <w:r w:rsidR="00BE3FD4" w:rsidRPr="006432D6">
        <w:t>Independent Evaluation Group (IEG)</w:t>
      </w:r>
      <w:r w:rsidR="00C052B1">
        <w:t>,</w:t>
      </w:r>
      <w:r w:rsidR="00CE687D" w:rsidRPr="006432D6">
        <w:rPr>
          <w:rStyle w:val="FootnoteReference"/>
        </w:rPr>
        <w:footnoteReference w:id="4"/>
      </w:r>
      <w:r w:rsidR="00C052B1">
        <w:t xml:space="preserve"> t</w:t>
      </w:r>
      <w:r w:rsidR="00BE3FD4" w:rsidRPr="006432D6">
        <w:t>he Inspection Panel (IP)</w:t>
      </w:r>
      <w:r w:rsidR="00C052B1">
        <w:t>,</w:t>
      </w:r>
      <w:r w:rsidR="00BE3FD4" w:rsidRPr="006432D6">
        <w:rPr>
          <w:rStyle w:val="FootnoteReference"/>
        </w:rPr>
        <w:footnoteReference w:id="5"/>
      </w:r>
      <w:r w:rsidR="00BE3FD4" w:rsidRPr="006432D6">
        <w:t xml:space="preserve"> </w:t>
      </w:r>
      <w:r w:rsidR="00C052B1">
        <w:t>t</w:t>
      </w:r>
      <w:r w:rsidR="00BE3FD4" w:rsidRPr="006432D6">
        <w:t>he Integrity Vice Presidency (INT)</w:t>
      </w:r>
      <w:r w:rsidR="00C052B1">
        <w:t>,</w:t>
      </w:r>
      <w:r w:rsidR="00BE3FD4" w:rsidRPr="006432D6">
        <w:rPr>
          <w:rStyle w:val="FootnoteReference"/>
        </w:rPr>
        <w:footnoteReference w:id="6"/>
      </w:r>
      <w:r w:rsidR="009E5E72" w:rsidRPr="006432D6">
        <w:t xml:space="preserve"> </w:t>
      </w:r>
      <w:r w:rsidR="00C052B1">
        <w:t>and t</w:t>
      </w:r>
      <w:r w:rsidR="00BE3FD4" w:rsidRPr="006432D6">
        <w:t xml:space="preserve">he Bank’s sanctions </w:t>
      </w:r>
      <w:r w:rsidR="008B2082" w:rsidRPr="008B2082">
        <w:t>process</w:t>
      </w:r>
      <w:r w:rsidR="00BE3FD4" w:rsidRPr="006432D6">
        <w:t>.</w:t>
      </w:r>
      <w:r w:rsidR="00BE3FD4" w:rsidRPr="006432D6">
        <w:rPr>
          <w:rStyle w:val="FootnoteReference"/>
        </w:rPr>
        <w:footnoteReference w:id="7"/>
      </w:r>
      <w:r w:rsidR="00BE3FD4" w:rsidRPr="006432D6">
        <w:t xml:space="preserve">  The Bank also </w:t>
      </w:r>
      <w:r w:rsidR="00487D5A" w:rsidRPr="006432D6">
        <w:t xml:space="preserve">does </w:t>
      </w:r>
      <w:r w:rsidR="00BE3FD4" w:rsidRPr="006432D6">
        <w:t xml:space="preserve">not </w:t>
      </w:r>
      <w:r w:rsidR="00695EF7" w:rsidRPr="006432D6">
        <w:t xml:space="preserve">provide access to </w:t>
      </w:r>
      <w:r w:rsidR="00BE3FD4" w:rsidRPr="006432D6">
        <w:t xml:space="preserve">any other information that would prejudice an investigation that is not addressed under such separate </w:t>
      </w:r>
      <w:r w:rsidR="00B548BC" w:rsidRPr="006432D6">
        <w:t xml:space="preserve">disclosure </w:t>
      </w:r>
      <w:r w:rsidR="00BE3FD4" w:rsidRPr="006432D6">
        <w:t>regimes</w:t>
      </w:r>
      <w:r w:rsidR="006A12BE">
        <w:t>.</w:t>
      </w:r>
    </w:p>
    <w:p w:rsidR="006A12BE" w:rsidRPr="006432D6" w:rsidRDefault="006A12BE" w:rsidP="006A12BE">
      <w:pPr>
        <w:tabs>
          <w:tab w:val="num" w:pos="9090"/>
        </w:tabs>
        <w:jc w:val="both"/>
      </w:pPr>
    </w:p>
    <w:p w:rsidR="00BE3FD4" w:rsidRPr="006A12BE" w:rsidRDefault="00CC69E2" w:rsidP="004B3461">
      <w:pPr>
        <w:numPr>
          <w:ilvl w:val="0"/>
          <w:numId w:val="13"/>
        </w:numPr>
        <w:ind w:left="0" w:firstLine="0"/>
        <w:jc w:val="both"/>
        <w:rPr>
          <w:b/>
          <w:i/>
        </w:rPr>
      </w:pPr>
      <w:r w:rsidRPr="006A12BE">
        <w:rPr>
          <w:b/>
          <w:i/>
        </w:rPr>
        <w:t xml:space="preserve">Information Provided by Member Countries or Third Parties in Confidence.  </w:t>
      </w:r>
      <w:r w:rsidR="00B548BC" w:rsidRPr="006A12BE">
        <w:rPr>
          <w:kern w:val="2"/>
        </w:rPr>
        <w:t xml:space="preserve">The Bank has an obligation to protect information that it receives </w:t>
      </w:r>
      <w:r w:rsidR="00713F95" w:rsidRPr="006A12BE">
        <w:rPr>
          <w:kern w:val="2"/>
        </w:rPr>
        <w:t xml:space="preserve">in </w:t>
      </w:r>
      <w:r w:rsidR="00B548BC" w:rsidRPr="006A12BE">
        <w:rPr>
          <w:kern w:val="2"/>
        </w:rPr>
        <w:t>confiden</w:t>
      </w:r>
      <w:r w:rsidR="00713F95" w:rsidRPr="006A12BE">
        <w:rPr>
          <w:kern w:val="2"/>
        </w:rPr>
        <w:t>ce</w:t>
      </w:r>
      <w:r w:rsidR="00B548BC" w:rsidRPr="006A12BE">
        <w:rPr>
          <w:kern w:val="2"/>
        </w:rPr>
        <w:t xml:space="preserve">.  </w:t>
      </w:r>
      <w:r w:rsidR="00BE3FD4" w:rsidRPr="006A12BE">
        <w:rPr>
          <w:kern w:val="2"/>
        </w:rPr>
        <w:t>Th</w:t>
      </w:r>
      <w:r w:rsidR="0060658A" w:rsidRPr="006A12BE">
        <w:rPr>
          <w:kern w:val="2"/>
        </w:rPr>
        <w:t>us</w:t>
      </w:r>
      <w:r w:rsidR="001C3C91">
        <w:rPr>
          <w:kern w:val="2"/>
        </w:rPr>
        <w:t>,</w:t>
      </w:r>
      <w:r w:rsidR="0060658A" w:rsidRPr="006A12BE">
        <w:rPr>
          <w:kern w:val="2"/>
        </w:rPr>
        <w:t xml:space="preserve"> the</w:t>
      </w:r>
      <w:r w:rsidR="00BE3FD4" w:rsidRPr="006A12BE">
        <w:rPr>
          <w:kern w:val="2"/>
        </w:rPr>
        <w:t xml:space="preserve"> Bank does not </w:t>
      </w:r>
      <w:r w:rsidR="00695EF7" w:rsidRPr="006A12BE">
        <w:rPr>
          <w:kern w:val="2"/>
        </w:rPr>
        <w:t xml:space="preserve">provide access to </w:t>
      </w:r>
      <w:r w:rsidR="00BE3FD4" w:rsidRPr="006432D6">
        <w:t xml:space="preserve">information provided to </w:t>
      </w:r>
      <w:r w:rsidR="00830932">
        <w:t>it</w:t>
      </w:r>
      <w:r w:rsidR="00BE3FD4" w:rsidRPr="006432D6">
        <w:t xml:space="preserve"> by a member country or a third party</w:t>
      </w:r>
      <w:r w:rsidR="00E425C2" w:rsidRPr="006432D6">
        <w:t xml:space="preserve"> on the understanding of confidentiality</w:t>
      </w:r>
      <w:r w:rsidR="00BE3FD4" w:rsidRPr="006432D6">
        <w:t>, without the express permission of th</w:t>
      </w:r>
      <w:r w:rsidR="00487D5A" w:rsidRPr="006432D6">
        <w:t>at</w:t>
      </w:r>
      <w:r w:rsidR="00BE3FD4" w:rsidRPr="006432D6">
        <w:t xml:space="preserve"> member country or third party.</w:t>
      </w:r>
      <w:r w:rsidR="00BE3FD4" w:rsidRPr="006432D6">
        <w:rPr>
          <w:rStyle w:val="FootnoteReference"/>
        </w:rPr>
        <w:footnoteReference w:id="8"/>
      </w:r>
      <w:r w:rsidR="00BE3FD4" w:rsidRPr="006432D6">
        <w:t xml:space="preserve"> </w:t>
      </w:r>
      <w:r w:rsidR="00BE3FD4" w:rsidRPr="006A12BE">
        <w:rPr>
          <w:kern w:val="2"/>
        </w:rPr>
        <w:t xml:space="preserve"> </w:t>
      </w:r>
    </w:p>
    <w:p w:rsidR="00BE3FD4" w:rsidRPr="006432D6" w:rsidRDefault="00BE3FD4" w:rsidP="00B73A5E">
      <w:pPr>
        <w:tabs>
          <w:tab w:val="num" w:pos="0"/>
          <w:tab w:val="num" w:pos="720"/>
        </w:tabs>
        <w:jc w:val="both"/>
      </w:pPr>
    </w:p>
    <w:p w:rsidR="00BE3FD4" w:rsidRPr="006432D6" w:rsidRDefault="00D66708" w:rsidP="004B3461">
      <w:pPr>
        <w:numPr>
          <w:ilvl w:val="0"/>
          <w:numId w:val="13"/>
        </w:numPr>
        <w:ind w:left="0" w:firstLine="0"/>
        <w:jc w:val="both"/>
        <w:rPr>
          <w:b/>
          <w:i/>
          <w:color w:val="000000"/>
        </w:rPr>
      </w:pPr>
      <w:r w:rsidRPr="006432D6">
        <w:rPr>
          <w:b/>
          <w:i/>
          <w:color w:val="000000"/>
        </w:rPr>
        <w:t xml:space="preserve">Corporate Administrative Matters.  </w:t>
      </w:r>
      <w:r w:rsidR="00BE3FD4" w:rsidRPr="006432D6">
        <w:rPr>
          <w:iCs/>
          <w:color w:val="000000"/>
        </w:rPr>
        <w:t xml:space="preserve">The Bank does not </w:t>
      </w:r>
      <w:r w:rsidR="00695EF7" w:rsidRPr="006432D6">
        <w:rPr>
          <w:iCs/>
          <w:color w:val="000000"/>
        </w:rPr>
        <w:t xml:space="preserve">provide access to </w:t>
      </w:r>
      <w:r w:rsidR="00BE3FD4" w:rsidRPr="006432D6">
        <w:rPr>
          <w:iCs/>
          <w:color w:val="000000"/>
        </w:rPr>
        <w:t>information relating to the Bank</w:t>
      </w:r>
      <w:r w:rsidR="000F7312">
        <w:rPr>
          <w:iCs/>
          <w:color w:val="000000"/>
        </w:rPr>
        <w:t>’</w:t>
      </w:r>
      <w:r w:rsidR="00BE3FD4" w:rsidRPr="006432D6">
        <w:rPr>
          <w:iCs/>
          <w:color w:val="000000"/>
        </w:rPr>
        <w:t>s corporate administrative matters, including, but not limited to, corporate expenses, procurement, real estate, and other activities</w:t>
      </w:r>
      <w:r w:rsidR="00BE3FD4" w:rsidRPr="006432D6">
        <w:rPr>
          <w:color w:val="000000"/>
        </w:rPr>
        <w:t>.</w:t>
      </w:r>
      <w:r w:rsidR="00FB3255" w:rsidRPr="006432D6">
        <w:rPr>
          <w:rStyle w:val="FootnoteReference"/>
          <w:color w:val="000000"/>
        </w:rPr>
        <w:footnoteReference w:id="9"/>
      </w:r>
    </w:p>
    <w:p w:rsidR="00BE3FD4" w:rsidRPr="006432D6" w:rsidRDefault="00BE3FD4" w:rsidP="00B73A5E">
      <w:pPr>
        <w:tabs>
          <w:tab w:val="num" w:pos="0"/>
          <w:tab w:val="num" w:pos="720"/>
        </w:tabs>
        <w:jc w:val="both"/>
      </w:pPr>
    </w:p>
    <w:p w:rsidR="00BE3FD4" w:rsidRPr="006432D6" w:rsidRDefault="00D66708" w:rsidP="004B3461">
      <w:pPr>
        <w:numPr>
          <w:ilvl w:val="0"/>
          <w:numId w:val="13"/>
        </w:numPr>
        <w:ind w:left="0" w:firstLine="0"/>
        <w:jc w:val="both"/>
      </w:pPr>
      <w:r w:rsidRPr="006432D6">
        <w:rPr>
          <w:b/>
          <w:i/>
        </w:rPr>
        <w:t>Deliberative Information.</w:t>
      </w:r>
      <w:r w:rsidRPr="006432D6">
        <w:t xml:space="preserve">  </w:t>
      </w:r>
      <w:r w:rsidR="00BE3FD4" w:rsidRPr="006432D6">
        <w:t xml:space="preserve">The Bank, like any institution or group, needs space to consider and debate, away from public scrutiny.  It </w:t>
      </w:r>
      <w:r w:rsidR="003B4678" w:rsidRPr="006432D6">
        <w:t xml:space="preserve">generally </w:t>
      </w:r>
      <w:r w:rsidR="00BE3FD4" w:rsidRPr="006432D6">
        <w:t>operate</w:t>
      </w:r>
      <w:r w:rsidR="003B4678" w:rsidRPr="006432D6">
        <w:t>s</w:t>
      </w:r>
      <w:r w:rsidR="00BE3FD4" w:rsidRPr="006432D6">
        <w:t xml:space="preserve"> by consensus, and it needs room to develop that consensus.  During the process it seeks, and takes into account, the input of many stakeholders; but it must preserve the integrity of its deliberative processes by facilitating and safeguarding the free and candid exchange of ideas.  Therefore, </w:t>
      </w:r>
      <w:r w:rsidR="00CB3C19" w:rsidRPr="006432D6">
        <w:t xml:space="preserve">while </w:t>
      </w:r>
      <w:r w:rsidR="00BE3FD4" w:rsidRPr="006432D6">
        <w:t>the Bank</w:t>
      </w:r>
      <w:r w:rsidR="00A74793" w:rsidRPr="006432D6">
        <w:t xml:space="preserve"> </w:t>
      </w:r>
      <w:r w:rsidR="00247B4B" w:rsidRPr="006432D6">
        <w:t xml:space="preserve">makes publicly available the </w:t>
      </w:r>
      <w:r w:rsidR="00CB3C19" w:rsidRPr="006432D6">
        <w:t xml:space="preserve">decisions, results, and agreements that result from </w:t>
      </w:r>
      <w:r w:rsidR="000F7312">
        <w:t>its</w:t>
      </w:r>
      <w:r w:rsidR="000F7312" w:rsidRPr="006432D6">
        <w:t xml:space="preserve"> </w:t>
      </w:r>
      <w:r w:rsidR="00CB3C19" w:rsidRPr="006432D6">
        <w:t xml:space="preserve">deliberative processes, it </w:t>
      </w:r>
      <w:r w:rsidR="00BE3FD4" w:rsidRPr="006432D6">
        <w:t xml:space="preserve">does not </w:t>
      </w:r>
      <w:r w:rsidR="00247B4B" w:rsidRPr="006432D6">
        <w:t xml:space="preserve">provide access to </w:t>
      </w:r>
      <w:r w:rsidR="00EF515C" w:rsidRPr="006432D6">
        <w:t>the following information:</w:t>
      </w:r>
      <w:r w:rsidR="00EF515C" w:rsidRPr="006432D6">
        <w:rPr>
          <w:rStyle w:val="FootnoteReference"/>
        </w:rPr>
        <w:footnoteReference w:id="10"/>
      </w:r>
    </w:p>
    <w:p w:rsidR="00994F51" w:rsidRPr="006432D6" w:rsidRDefault="00994F51" w:rsidP="00994F51">
      <w:pPr>
        <w:ind w:left="1440"/>
        <w:jc w:val="both"/>
        <w:rPr>
          <w:color w:val="000000"/>
        </w:rPr>
      </w:pPr>
    </w:p>
    <w:p w:rsidR="00BE3FD4" w:rsidRPr="006432D6" w:rsidRDefault="00BE3FD4" w:rsidP="004B3461">
      <w:pPr>
        <w:numPr>
          <w:ilvl w:val="0"/>
          <w:numId w:val="5"/>
        </w:numPr>
        <w:tabs>
          <w:tab w:val="clear" w:pos="1440"/>
          <w:tab w:val="num" w:pos="2160"/>
        </w:tabs>
        <w:jc w:val="both"/>
        <w:rPr>
          <w:color w:val="000000"/>
        </w:rPr>
      </w:pPr>
      <w:r w:rsidRPr="006432D6">
        <w:t xml:space="preserve">Information (including </w:t>
      </w:r>
      <w:r w:rsidRPr="006432D6">
        <w:rPr>
          <w:color w:val="000000"/>
        </w:rPr>
        <w:t>e-mail,</w:t>
      </w:r>
      <w:r w:rsidRPr="006432D6">
        <w:t xml:space="preserve"> </w:t>
      </w:r>
      <w:r w:rsidRPr="006432D6">
        <w:rPr>
          <w:color w:val="000000"/>
        </w:rPr>
        <w:t>notes, letters, memoranda, draft reports, or other documents)</w:t>
      </w:r>
      <w:r w:rsidRPr="006432D6">
        <w:t xml:space="preserve"> prepared for, or exchanged during the course of</w:t>
      </w:r>
      <w:r w:rsidR="00FE32C8">
        <w:t>,</w:t>
      </w:r>
      <w:r w:rsidRPr="006432D6">
        <w:t xml:space="preserve"> its deliberations with member countries or other entities with which the Bank cooperates</w:t>
      </w:r>
      <w:r w:rsidR="00962E1D" w:rsidRPr="006432D6">
        <w:t>.</w:t>
      </w:r>
      <w:r w:rsidR="00FB2F08" w:rsidRPr="006432D6">
        <w:rPr>
          <w:rStyle w:val="FootnoteReference"/>
          <w:color w:val="000000"/>
        </w:rPr>
        <w:footnoteReference w:id="11"/>
      </w:r>
      <w:r w:rsidR="00FB2F08" w:rsidRPr="006432D6">
        <w:rPr>
          <w:color w:val="000000"/>
        </w:rPr>
        <w:t xml:space="preserve"> </w:t>
      </w:r>
    </w:p>
    <w:p w:rsidR="00BE3FD4" w:rsidRPr="006432D6" w:rsidRDefault="00BE3FD4" w:rsidP="00BE3FD4">
      <w:pPr>
        <w:ind w:left="1440"/>
        <w:jc w:val="both"/>
        <w:rPr>
          <w:color w:val="000000"/>
        </w:rPr>
      </w:pPr>
    </w:p>
    <w:p w:rsidR="00BE3FD4" w:rsidRPr="006432D6" w:rsidRDefault="00BE3FD4" w:rsidP="004B3461">
      <w:pPr>
        <w:numPr>
          <w:ilvl w:val="0"/>
          <w:numId w:val="5"/>
        </w:numPr>
        <w:tabs>
          <w:tab w:val="clear" w:pos="1440"/>
          <w:tab w:val="num" w:pos="2160"/>
        </w:tabs>
        <w:jc w:val="both"/>
      </w:pPr>
      <w:r w:rsidRPr="006432D6">
        <w:rPr>
          <w:color w:val="000000"/>
        </w:rPr>
        <w:t xml:space="preserve">Information (including e-mail, notes, letters, memoranda, draft reports or other documents) </w:t>
      </w:r>
      <w:r w:rsidRPr="006432D6">
        <w:t>prepared for, or exchanged during the course of</w:t>
      </w:r>
      <w:r w:rsidR="00FE32C8">
        <w:t>,</w:t>
      </w:r>
      <w:r w:rsidRPr="006432D6">
        <w:t xml:space="preserve"> its </w:t>
      </w:r>
      <w:r w:rsidRPr="006432D6">
        <w:rPr>
          <w:color w:val="000000"/>
        </w:rPr>
        <w:t xml:space="preserve">own internal deliberations, including the following </w:t>
      </w:r>
      <w:r w:rsidR="00CE14E8">
        <w:rPr>
          <w:color w:val="000000"/>
        </w:rPr>
        <w:t>documents</w:t>
      </w:r>
      <w:r w:rsidR="00CE14E8" w:rsidRPr="006432D6">
        <w:rPr>
          <w:color w:val="000000"/>
        </w:rPr>
        <w:t xml:space="preserve"> </w:t>
      </w:r>
      <w:r w:rsidRPr="006432D6">
        <w:rPr>
          <w:color w:val="000000"/>
        </w:rPr>
        <w:t>pertaining to Board deliberations:</w:t>
      </w:r>
    </w:p>
    <w:p w:rsidR="00BE3FD4" w:rsidRPr="006432D6" w:rsidRDefault="00BE3FD4" w:rsidP="00BE3FD4">
      <w:pPr>
        <w:ind w:left="1440"/>
        <w:jc w:val="both"/>
      </w:pPr>
      <w:r w:rsidRPr="006432D6">
        <w:t xml:space="preserve"> </w:t>
      </w:r>
    </w:p>
    <w:p w:rsidR="00BE3FD4" w:rsidRPr="006432D6" w:rsidRDefault="00BE3FD4" w:rsidP="00195C9E">
      <w:pPr>
        <w:numPr>
          <w:ilvl w:val="0"/>
          <w:numId w:val="7"/>
        </w:numPr>
        <w:jc w:val="both"/>
      </w:pPr>
      <w:r w:rsidRPr="006432D6">
        <w:t>Verbatim transcripts of Board meetings</w:t>
      </w:r>
      <w:r w:rsidR="00E33BFD">
        <w:t xml:space="preserve"> and</w:t>
      </w:r>
      <w:r w:rsidRPr="006432D6">
        <w:t xml:space="preserve"> Board Committee meetings, and the Memoranda </w:t>
      </w:r>
      <w:r w:rsidR="0063205E">
        <w:t xml:space="preserve">of the President </w:t>
      </w:r>
      <w:r w:rsidRPr="006432D6">
        <w:t>that accompany Board papers.</w:t>
      </w:r>
    </w:p>
    <w:p w:rsidR="00BE3FD4" w:rsidRPr="006432D6" w:rsidRDefault="00BE3FD4" w:rsidP="00195C9E">
      <w:pPr>
        <w:numPr>
          <w:ilvl w:val="0"/>
          <w:numId w:val="7"/>
        </w:numPr>
        <w:jc w:val="both"/>
      </w:pPr>
      <w:r w:rsidRPr="006432D6">
        <w:t xml:space="preserve">Statements of Executive Directors and staff </w:t>
      </w:r>
      <w:r w:rsidR="002449DF" w:rsidRPr="006432D6">
        <w:t>in the context of</w:t>
      </w:r>
      <w:r w:rsidRPr="006432D6">
        <w:t xml:space="preserve"> Board meetings or Board Committee meetings.</w:t>
      </w:r>
    </w:p>
    <w:p w:rsidR="00BE3FD4" w:rsidRPr="00F02024" w:rsidRDefault="003941AF" w:rsidP="00195C9E">
      <w:pPr>
        <w:numPr>
          <w:ilvl w:val="0"/>
          <w:numId w:val="7"/>
        </w:numPr>
        <w:jc w:val="both"/>
      </w:pPr>
      <w:r w:rsidRPr="006432D6">
        <w:lastRenderedPageBreak/>
        <w:t xml:space="preserve">Reports to the </w:t>
      </w:r>
      <w:r w:rsidR="008943E6" w:rsidRPr="006432D6">
        <w:t xml:space="preserve">Board </w:t>
      </w:r>
      <w:r w:rsidR="001A7218" w:rsidRPr="006432D6">
        <w:t xml:space="preserve">from its </w:t>
      </w:r>
      <w:r w:rsidR="008943E6" w:rsidRPr="006432D6">
        <w:t>Committee</w:t>
      </w:r>
      <w:r w:rsidRPr="006432D6">
        <w:t>s</w:t>
      </w:r>
      <w:r w:rsidR="008943E6" w:rsidRPr="006432D6">
        <w:t xml:space="preserve"> (</w:t>
      </w:r>
      <w:r w:rsidR="0087631E" w:rsidRPr="00F02024">
        <w:t xml:space="preserve">Green </w:t>
      </w:r>
      <w:r w:rsidR="00907C59" w:rsidRPr="00F02024">
        <w:t>Sheets</w:t>
      </w:r>
      <w:r w:rsidR="008943E6" w:rsidRPr="00F02024">
        <w:t>)</w:t>
      </w:r>
      <w:r w:rsidR="00963B5E">
        <w:t xml:space="preserve"> if subsequent Board discussion is expected</w:t>
      </w:r>
      <w:r w:rsidR="00D8178F" w:rsidRPr="00F02024">
        <w:t>.</w:t>
      </w:r>
      <w:r w:rsidR="00E43BA5" w:rsidRPr="00F02024">
        <w:rPr>
          <w:rStyle w:val="FootnoteReference"/>
        </w:rPr>
        <w:footnoteReference w:id="12"/>
      </w:r>
    </w:p>
    <w:p w:rsidR="00BE3FD4" w:rsidRPr="006432D6" w:rsidRDefault="00BE3FD4" w:rsidP="00195C9E">
      <w:pPr>
        <w:numPr>
          <w:ilvl w:val="0"/>
          <w:numId w:val="7"/>
        </w:numPr>
        <w:jc w:val="both"/>
      </w:pPr>
      <w:r w:rsidRPr="006432D6">
        <w:t xml:space="preserve">Communications and memoranda originating in Executive Directors’ offices relating to Board or Board Committee proceedings. </w:t>
      </w:r>
    </w:p>
    <w:p w:rsidR="00BE3FD4" w:rsidRPr="006432D6" w:rsidRDefault="00BE3FD4" w:rsidP="00195C9E">
      <w:pPr>
        <w:numPr>
          <w:ilvl w:val="0"/>
          <w:numId w:val="7"/>
        </w:numPr>
        <w:jc w:val="both"/>
      </w:pPr>
      <w:r w:rsidRPr="006432D6">
        <w:t>Miscellaneous memoranda or informal notes distributed to the full Board or to a Board Committee.</w:t>
      </w:r>
      <w:r w:rsidRPr="006432D6">
        <w:rPr>
          <w:rStyle w:val="FootnoteReference"/>
        </w:rPr>
        <w:footnoteReference w:id="13"/>
      </w:r>
    </w:p>
    <w:p w:rsidR="00BE3FD4" w:rsidRPr="006432D6" w:rsidRDefault="00BE3FD4" w:rsidP="00BE3FD4">
      <w:pPr>
        <w:ind w:left="2160"/>
        <w:jc w:val="both"/>
      </w:pPr>
    </w:p>
    <w:p w:rsidR="00BE3FD4" w:rsidRPr="006432D6" w:rsidRDefault="00BE3FD4" w:rsidP="004B3461">
      <w:pPr>
        <w:numPr>
          <w:ilvl w:val="0"/>
          <w:numId w:val="5"/>
        </w:numPr>
        <w:tabs>
          <w:tab w:val="clear" w:pos="1440"/>
          <w:tab w:val="num" w:pos="2160"/>
        </w:tabs>
        <w:jc w:val="both"/>
        <w:rPr>
          <w:color w:val="000000"/>
        </w:rPr>
      </w:pPr>
      <w:r w:rsidRPr="006432D6">
        <w:t xml:space="preserve">Statistics prepared, or analyses carried out, solely to inform the Bank’s internal decision-making processes (such as analyses of country creditworthiness, credit ratings, </w:t>
      </w:r>
      <w:r w:rsidR="00827113">
        <w:t xml:space="preserve">and </w:t>
      </w:r>
      <w:r w:rsidRPr="006432D6">
        <w:t xml:space="preserve">risk, </w:t>
      </w:r>
      <w:r w:rsidR="00827113">
        <w:t xml:space="preserve">the write-ups underpinning </w:t>
      </w:r>
      <w:r w:rsidR="00CE14E8">
        <w:t xml:space="preserve">the </w:t>
      </w:r>
      <w:r w:rsidRPr="006432D6">
        <w:t xml:space="preserve">Country Policy and Institutional Assessment (CPIA) for IBRD </w:t>
      </w:r>
      <w:r w:rsidR="00827113">
        <w:t xml:space="preserve">and IDA </w:t>
      </w:r>
      <w:r w:rsidRPr="006432D6">
        <w:t>borrowers</w:t>
      </w:r>
      <w:r w:rsidR="00764595" w:rsidRPr="006432D6">
        <w:t>, and the CPIA ratings for I</w:t>
      </w:r>
      <w:r w:rsidR="00827113">
        <w:t>BR</w:t>
      </w:r>
      <w:r w:rsidR="00764595" w:rsidRPr="006432D6">
        <w:t>D borrowers</w:t>
      </w:r>
      <w:r w:rsidRPr="006432D6">
        <w:t xml:space="preserve">).  </w:t>
      </w:r>
    </w:p>
    <w:p w:rsidR="00BE3FD4" w:rsidRPr="006432D6" w:rsidRDefault="00BE3FD4" w:rsidP="00BE3FD4">
      <w:pPr>
        <w:jc w:val="both"/>
      </w:pPr>
    </w:p>
    <w:p w:rsidR="00BE3FD4" w:rsidRPr="006432D6" w:rsidRDefault="00BE3FD4" w:rsidP="004B3461">
      <w:pPr>
        <w:numPr>
          <w:ilvl w:val="0"/>
          <w:numId w:val="5"/>
        </w:numPr>
        <w:tabs>
          <w:tab w:val="clear" w:pos="1440"/>
          <w:tab w:val="num" w:pos="2160"/>
        </w:tabs>
        <w:jc w:val="both"/>
      </w:pPr>
      <w:r w:rsidRPr="006432D6">
        <w:t xml:space="preserve">Audit reports prepared by the Internal Audit </w:t>
      </w:r>
      <w:proofErr w:type="gramStart"/>
      <w:r w:rsidR="00E64E57" w:rsidRPr="00E64E57">
        <w:rPr>
          <w:color w:val="000000"/>
        </w:rPr>
        <w:t>Vice</w:t>
      </w:r>
      <w:proofErr w:type="gramEnd"/>
      <w:r w:rsidR="00E64E57" w:rsidRPr="00E64E57">
        <w:rPr>
          <w:color w:val="000000"/>
        </w:rPr>
        <w:t xml:space="preserve"> Presidency</w:t>
      </w:r>
      <w:r w:rsidRPr="006432D6">
        <w:t xml:space="preserve">, except its </w:t>
      </w:r>
      <w:r w:rsidR="00764595" w:rsidRPr="006432D6">
        <w:t xml:space="preserve">finalized </w:t>
      </w:r>
      <w:r w:rsidRPr="006432D6">
        <w:t>Annual and</w:t>
      </w:r>
      <w:r w:rsidR="008B1634">
        <w:t xml:space="preserve"> Quarterly Activity </w:t>
      </w:r>
      <w:r w:rsidRPr="006432D6">
        <w:t>Reports</w:t>
      </w:r>
      <w:r w:rsidR="002E303B" w:rsidRPr="006432D6">
        <w:t>.</w:t>
      </w:r>
    </w:p>
    <w:p w:rsidR="005015B5" w:rsidRPr="006432D6" w:rsidRDefault="005015B5" w:rsidP="005015B5">
      <w:pPr>
        <w:jc w:val="both"/>
      </w:pPr>
    </w:p>
    <w:p w:rsidR="00BE3FD4" w:rsidRPr="006432D6" w:rsidRDefault="00D66708" w:rsidP="004B3461">
      <w:pPr>
        <w:numPr>
          <w:ilvl w:val="0"/>
          <w:numId w:val="13"/>
        </w:numPr>
        <w:ind w:left="0" w:firstLine="0"/>
        <w:jc w:val="both"/>
      </w:pPr>
      <w:r w:rsidRPr="006432D6">
        <w:rPr>
          <w:b/>
          <w:i/>
        </w:rPr>
        <w:t xml:space="preserve">Financial Information. </w:t>
      </w:r>
      <w:r w:rsidRPr="006432D6">
        <w:t xml:space="preserve"> </w:t>
      </w:r>
      <w:r w:rsidR="002D3275" w:rsidRPr="006432D6">
        <w:t>T</w:t>
      </w:r>
      <w:r w:rsidR="00305276" w:rsidRPr="006432D6">
        <w:t>he Bank</w:t>
      </w:r>
      <w:r w:rsidR="00BE3FD4" w:rsidRPr="006432D6">
        <w:t xml:space="preserve"> </w:t>
      </w:r>
      <w:r w:rsidR="00962E1D" w:rsidRPr="006432D6">
        <w:t xml:space="preserve">does </w:t>
      </w:r>
      <w:r w:rsidR="00BE3FD4" w:rsidRPr="006432D6">
        <w:t xml:space="preserve">not </w:t>
      </w:r>
      <w:r w:rsidR="00247B4B" w:rsidRPr="006432D6">
        <w:t xml:space="preserve">provide access to </w:t>
      </w:r>
      <w:r w:rsidR="00BE3FD4" w:rsidRPr="006432D6">
        <w:t>the following financial information</w:t>
      </w:r>
      <w:r w:rsidR="00EF515C" w:rsidRPr="006432D6">
        <w:t>:</w:t>
      </w:r>
      <w:r w:rsidR="00EF515C" w:rsidRPr="006432D6">
        <w:rPr>
          <w:rStyle w:val="FootnoteReference"/>
        </w:rPr>
        <w:footnoteReference w:id="14"/>
      </w:r>
    </w:p>
    <w:p w:rsidR="00BE3FD4" w:rsidRPr="006432D6" w:rsidRDefault="00BE3FD4" w:rsidP="00031CAB">
      <w:pPr>
        <w:tabs>
          <w:tab w:val="num" w:pos="0"/>
        </w:tabs>
        <w:jc w:val="both"/>
      </w:pPr>
    </w:p>
    <w:p w:rsidR="00BE3FD4" w:rsidRPr="006432D6" w:rsidRDefault="00BE3FD4" w:rsidP="004B3461">
      <w:pPr>
        <w:numPr>
          <w:ilvl w:val="0"/>
          <w:numId w:val="6"/>
        </w:numPr>
        <w:tabs>
          <w:tab w:val="clear" w:pos="1440"/>
          <w:tab w:val="num" w:pos="2160"/>
        </w:tabs>
        <w:jc w:val="both"/>
      </w:pPr>
      <w:r w:rsidRPr="006432D6">
        <w:t>Estimates of future borrowings by IBRD, contributions by individual donors to IDA, financial forecasts</w:t>
      </w:r>
      <w:r w:rsidR="0078525F" w:rsidRPr="006432D6">
        <w:t xml:space="preserve"> and credit assessments</w:t>
      </w:r>
      <w:r w:rsidRPr="006432D6">
        <w:t>,</w:t>
      </w:r>
      <w:r w:rsidR="00705E96">
        <w:t xml:space="preserve"> and</w:t>
      </w:r>
      <w:r w:rsidRPr="006432D6">
        <w:t xml:space="preserve"> data on investment</w:t>
      </w:r>
      <w:r w:rsidR="0078525F" w:rsidRPr="006432D6">
        <w:t>, hedging, borrowing</w:t>
      </w:r>
      <w:r w:rsidR="00E33BFD">
        <w:t>,</w:t>
      </w:r>
      <w:r w:rsidR="0078525F" w:rsidRPr="006432D6">
        <w:t xml:space="preserve"> and cash management transactions</w:t>
      </w:r>
      <w:r w:rsidR="0078525F" w:rsidRPr="006432D6">
        <w:rPr>
          <w:rStyle w:val="FootnoteReference"/>
        </w:rPr>
        <w:footnoteReference w:id="15"/>
      </w:r>
      <w:r w:rsidR="0078525F" w:rsidRPr="006432D6">
        <w:t xml:space="preserve"> generated by or for</w:t>
      </w:r>
      <w:r w:rsidRPr="006432D6">
        <w:t xml:space="preserve"> the Bank’s treasury operations</w:t>
      </w:r>
      <w:r w:rsidR="0078525F" w:rsidRPr="006432D6">
        <w:t xml:space="preserve"> for the World Bank Group entities and other parties</w:t>
      </w:r>
      <w:r w:rsidRPr="006432D6">
        <w:t>.</w:t>
      </w:r>
    </w:p>
    <w:p w:rsidR="00BE3FD4" w:rsidRPr="006432D6" w:rsidRDefault="00BE3FD4" w:rsidP="00BE3FD4">
      <w:pPr>
        <w:tabs>
          <w:tab w:val="num" w:pos="1440"/>
        </w:tabs>
        <w:autoSpaceDE w:val="0"/>
        <w:autoSpaceDN w:val="0"/>
        <w:adjustRightInd w:val="0"/>
        <w:spacing w:line="240" w:lineRule="atLeast"/>
        <w:ind w:left="1440" w:hanging="1080"/>
        <w:jc w:val="both"/>
      </w:pPr>
    </w:p>
    <w:p w:rsidR="00BE3FD4" w:rsidRPr="006432D6" w:rsidRDefault="00BE3FD4" w:rsidP="004B3461">
      <w:pPr>
        <w:numPr>
          <w:ilvl w:val="0"/>
          <w:numId w:val="6"/>
        </w:numPr>
        <w:tabs>
          <w:tab w:val="clear" w:pos="1440"/>
          <w:tab w:val="num" w:pos="2160"/>
        </w:tabs>
        <w:jc w:val="both"/>
        <w:rPr>
          <w:color w:val="000000"/>
        </w:rPr>
      </w:pPr>
      <w:r w:rsidRPr="006432D6">
        <w:t>Documents, analysis, correspondence, or other information</w:t>
      </w:r>
      <w:r w:rsidRPr="006432D6">
        <w:rPr>
          <w:color w:val="000000"/>
        </w:rPr>
        <w:t xml:space="preserve"> used or produced to execute financial and budgetary transactions, or to support the preparation of internal and external financial reports.</w:t>
      </w:r>
    </w:p>
    <w:p w:rsidR="00BE3FD4" w:rsidRPr="006432D6" w:rsidRDefault="00BE3FD4" w:rsidP="00BE3FD4">
      <w:pPr>
        <w:autoSpaceDE w:val="0"/>
        <w:autoSpaceDN w:val="0"/>
        <w:adjustRightInd w:val="0"/>
        <w:spacing w:line="240" w:lineRule="atLeast"/>
        <w:jc w:val="both"/>
        <w:rPr>
          <w:color w:val="000000"/>
        </w:rPr>
      </w:pPr>
    </w:p>
    <w:p w:rsidR="00BE3FD4" w:rsidRPr="006432D6" w:rsidRDefault="00A352FE" w:rsidP="004B3461">
      <w:pPr>
        <w:numPr>
          <w:ilvl w:val="0"/>
          <w:numId w:val="6"/>
        </w:numPr>
        <w:tabs>
          <w:tab w:val="clear" w:pos="1440"/>
          <w:tab w:val="num" w:pos="2160"/>
        </w:tabs>
        <w:jc w:val="both"/>
        <w:rPr>
          <w:color w:val="000000"/>
        </w:rPr>
      </w:pPr>
      <w:r w:rsidRPr="00ED0D9B">
        <w:rPr>
          <w:color w:val="000000"/>
        </w:rPr>
        <w:t>D</w:t>
      </w:r>
      <w:r w:rsidR="00BE3FD4" w:rsidRPr="00ED0D9B">
        <w:rPr>
          <w:color w:val="000000"/>
        </w:rPr>
        <w:t>etails</w:t>
      </w:r>
      <w:r w:rsidR="00BE3FD4" w:rsidRPr="006432D6">
        <w:rPr>
          <w:color w:val="000000"/>
        </w:rPr>
        <w:t xml:space="preserve"> of individual </w:t>
      </w:r>
      <w:r w:rsidR="001A7218" w:rsidRPr="006432D6">
        <w:rPr>
          <w:color w:val="000000"/>
        </w:rPr>
        <w:t xml:space="preserve">transactions under </w:t>
      </w:r>
      <w:r w:rsidR="00BE3FD4" w:rsidRPr="006432D6">
        <w:rPr>
          <w:color w:val="000000"/>
        </w:rPr>
        <w:t>loan</w:t>
      </w:r>
      <w:r w:rsidR="001A7218" w:rsidRPr="006432D6">
        <w:rPr>
          <w:color w:val="000000"/>
        </w:rPr>
        <w:t>s</w:t>
      </w:r>
      <w:r w:rsidR="00BE3FD4" w:rsidRPr="006432D6">
        <w:rPr>
          <w:color w:val="000000"/>
        </w:rPr>
        <w:t xml:space="preserve"> and trust fund</w:t>
      </w:r>
      <w:r w:rsidR="001A7218" w:rsidRPr="006432D6">
        <w:rPr>
          <w:color w:val="000000"/>
        </w:rPr>
        <w:t>s</w:t>
      </w:r>
      <w:r w:rsidR="00BE3FD4" w:rsidRPr="006432D6">
        <w:rPr>
          <w:color w:val="000000"/>
        </w:rPr>
        <w:t>, information regarding amounts overdue from borrowers, or actions taken before any loans are placed in nonaccrual status.</w:t>
      </w:r>
      <w:r w:rsidR="001A7218" w:rsidRPr="006432D6">
        <w:rPr>
          <w:rStyle w:val="FootnoteReference"/>
          <w:color w:val="000000"/>
        </w:rPr>
        <w:footnoteReference w:id="16"/>
      </w:r>
    </w:p>
    <w:p w:rsidR="00A352FE" w:rsidRPr="006432D6" w:rsidRDefault="00A352FE" w:rsidP="00A352FE">
      <w:pPr>
        <w:ind w:left="1440"/>
        <w:jc w:val="both"/>
        <w:rPr>
          <w:color w:val="000000"/>
        </w:rPr>
      </w:pPr>
    </w:p>
    <w:p w:rsidR="00A352FE" w:rsidRPr="006432D6" w:rsidRDefault="00A352FE" w:rsidP="004B3461">
      <w:pPr>
        <w:numPr>
          <w:ilvl w:val="0"/>
          <w:numId w:val="6"/>
        </w:numPr>
        <w:tabs>
          <w:tab w:val="clear" w:pos="1440"/>
          <w:tab w:val="num" w:pos="2160"/>
        </w:tabs>
        <w:jc w:val="both"/>
        <w:rPr>
          <w:color w:val="000000"/>
        </w:rPr>
      </w:pPr>
      <w:r w:rsidRPr="006432D6">
        <w:rPr>
          <w:color w:val="000000"/>
        </w:rPr>
        <w:t>Banking or billing information of World Bank Group entities, member countries, clients, donors, recipients, or vendors, including consultants.</w:t>
      </w:r>
    </w:p>
    <w:p w:rsidR="005402FD" w:rsidRPr="006432D6" w:rsidRDefault="005402FD" w:rsidP="005402FD">
      <w:pPr>
        <w:jc w:val="both"/>
        <w:rPr>
          <w:b/>
          <w:color w:val="000000"/>
        </w:rPr>
      </w:pPr>
    </w:p>
    <w:p w:rsidR="005402FD" w:rsidRPr="006432D6" w:rsidRDefault="005402FD" w:rsidP="005402FD">
      <w:pPr>
        <w:jc w:val="both"/>
        <w:rPr>
          <w:color w:val="000000"/>
        </w:rPr>
      </w:pPr>
      <w:r w:rsidRPr="006432D6">
        <w:rPr>
          <w:b/>
          <w:color w:val="000000"/>
        </w:rPr>
        <w:t>B.</w:t>
      </w:r>
      <w:r w:rsidRPr="006432D6">
        <w:rPr>
          <w:b/>
          <w:color w:val="000000"/>
        </w:rPr>
        <w:tab/>
        <w:t>Bank’s Prerogative to Disclose Restricted Informatio</w:t>
      </w:r>
      <w:r w:rsidR="006C3302" w:rsidRPr="006432D6">
        <w:rPr>
          <w:b/>
          <w:color w:val="000000"/>
        </w:rPr>
        <w:t>n</w:t>
      </w:r>
      <w:r w:rsidR="00BE0353" w:rsidRPr="006432D6">
        <w:rPr>
          <w:b/>
          <w:color w:val="000000"/>
        </w:rPr>
        <w:t xml:space="preserve"> </w:t>
      </w:r>
      <w:r w:rsidRPr="006432D6">
        <w:rPr>
          <w:color w:val="000000"/>
        </w:rPr>
        <w:t xml:space="preserve"> </w:t>
      </w:r>
    </w:p>
    <w:p w:rsidR="005402FD" w:rsidRPr="006432D6" w:rsidRDefault="005402FD" w:rsidP="005402FD">
      <w:pPr>
        <w:jc w:val="both"/>
        <w:rPr>
          <w:color w:val="000000"/>
        </w:rPr>
      </w:pPr>
    </w:p>
    <w:p w:rsidR="005402FD" w:rsidRPr="006432D6" w:rsidRDefault="005402FD" w:rsidP="00033886">
      <w:pPr>
        <w:numPr>
          <w:ilvl w:val="0"/>
          <w:numId w:val="13"/>
        </w:numPr>
        <w:tabs>
          <w:tab w:val="clear" w:pos="720"/>
        </w:tabs>
        <w:ind w:left="0" w:firstLine="0"/>
        <w:jc w:val="both"/>
      </w:pPr>
      <w:r w:rsidRPr="00F02024">
        <w:rPr>
          <w:color w:val="000000"/>
        </w:rPr>
        <w:t>T</w:t>
      </w:r>
      <w:r w:rsidRPr="00F02024">
        <w:t>he Bank reserves the right to disclose, under exceptional circumstances, certain corporate administrative</w:t>
      </w:r>
      <w:r w:rsidR="00C0061F" w:rsidRPr="00F02024">
        <w:t xml:space="preserve"> information (paragraph 15)</w:t>
      </w:r>
      <w:r w:rsidRPr="00F02024">
        <w:t>, deliberative</w:t>
      </w:r>
      <w:r w:rsidR="00C0061F" w:rsidRPr="00F02024">
        <w:t xml:space="preserve"> information (paragraph 16)</w:t>
      </w:r>
      <w:r w:rsidRPr="00F02024">
        <w:t>, and financial information</w:t>
      </w:r>
      <w:r w:rsidR="00C0061F" w:rsidRPr="00F02024">
        <w:t xml:space="preserve"> (paragraph 17 (a), (b), and (c))</w:t>
      </w:r>
      <w:r w:rsidRPr="006432D6">
        <w:t xml:space="preserve"> </w:t>
      </w:r>
      <w:r w:rsidR="000B2DE0" w:rsidRPr="006432D6">
        <w:t>that is restricted</w:t>
      </w:r>
      <w:r w:rsidR="0031223D" w:rsidRPr="006432D6">
        <w:t xml:space="preserve"> </w:t>
      </w:r>
      <w:r w:rsidR="000B2DE0" w:rsidRPr="006432D6">
        <w:t>under the exceptions</w:t>
      </w:r>
      <w:r w:rsidR="00C0061F">
        <w:t>,</w:t>
      </w:r>
      <w:r w:rsidR="000B2DE0" w:rsidRPr="006432D6">
        <w:t xml:space="preserve"> </w:t>
      </w:r>
      <w:r w:rsidRPr="006432D6">
        <w:t xml:space="preserve">if </w:t>
      </w:r>
      <w:r w:rsidR="00AB4A04">
        <w:t>the Bank</w:t>
      </w:r>
      <w:r w:rsidR="00AB4A04" w:rsidRPr="006432D6">
        <w:t xml:space="preserve"> </w:t>
      </w:r>
      <w:r w:rsidRPr="006432D6">
        <w:t xml:space="preserve">determines that the overall benefits of such disclosure outweigh the potential harm to the interest(s) </w:t>
      </w:r>
      <w:r w:rsidR="00EA0A12" w:rsidRPr="006432D6">
        <w:t xml:space="preserve">protected by the exception(s).  </w:t>
      </w:r>
      <w:r w:rsidR="00084CE5" w:rsidRPr="006432D6">
        <w:t>In exercising this prerogative</w:t>
      </w:r>
      <w:r w:rsidR="009F1D16" w:rsidRPr="006432D6">
        <w:t>:</w:t>
      </w:r>
      <w:r w:rsidR="00084CE5" w:rsidRPr="006432D6">
        <w:t xml:space="preserve">  </w:t>
      </w:r>
    </w:p>
    <w:p w:rsidR="005402FD" w:rsidRPr="006432D6" w:rsidRDefault="005402FD" w:rsidP="00B73A5E">
      <w:pPr>
        <w:tabs>
          <w:tab w:val="num" w:pos="720"/>
        </w:tabs>
        <w:jc w:val="both"/>
      </w:pPr>
    </w:p>
    <w:p w:rsidR="005402FD" w:rsidRPr="006432D6" w:rsidRDefault="005402FD" w:rsidP="00195C9E">
      <w:pPr>
        <w:numPr>
          <w:ilvl w:val="0"/>
          <w:numId w:val="19"/>
        </w:numPr>
        <w:jc w:val="both"/>
      </w:pPr>
      <w:r w:rsidRPr="006432D6">
        <w:t>The disclosure of Board papers</w:t>
      </w:r>
      <w:r w:rsidR="00884E03" w:rsidRPr="006432D6">
        <w:t xml:space="preserve"> </w:t>
      </w:r>
      <w:r w:rsidRPr="006432D6">
        <w:t>or Board records</w:t>
      </w:r>
      <w:r w:rsidR="00884E03" w:rsidRPr="006432D6">
        <w:rPr>
          <w:rStyle w:val="FootnoteReference"/>
        </w:rPr>
        <w:footnoteReference w:id="17"/>
      </w:r>
      <w:r w:rsidR="00884E03" w:rsidRPr="006432D6">
        <w:t xml:space="preserve"> </w:t>
      </w:r>
      <w:r w:rsidRPr="006432D6">
        <w:t>classified as “Confidential” or “Strictly Confid</w:t>
      </w:r>
      <w:r w:rsidR="0015489F" w:rsidRPr="006432D6">
        <w:t>enti</w:t>
      </w:r>
      <w:r w:rsidR="00FB2F08" w:rsidRPr="006432D6">
        <w:t>al” requires Board approval</w:t>
      </w:r>
      <w:r w:rsidR="00E33BFD">
        <w:t>.</w:t>
      </w:r>
    </w:p>
    <w:p w:rsidR="000B2DE0" w:rsidRPr="006432D6" w:rsidRDefault="000B2DE0" w:rsidP="001960E1">
      <w:pPr>
        <w:ind w:left="720"/>
        <w:jc w:val="both"/>
      </w:pPr>
    </w:p>
    <w:p w:rsidR="000B2DE0" w:rsidRPr="006432D6" w:rsidRDefault="005402FD" w:rsidP="000B2DE0">
      <w:pPr>
        <w:numPr>
          <w:ilvl w:val="0"/>
          <w:numId w:val="19"/>
        </w:numPr>
        <w:jc w:val="both"/>
      </w:pPr>
      <w:r w:rsidRPr="006432D6">
        <w:t xml:space="preserve">The disclosure of information provided to the Bank by a member country or a third party in confidence requires the written consent of </w:t>
      </w:r>
      <w:r w:rsidR="00FB2F08" w:rsidRPr="006432D6">
        <w:t xml:space="preserve">the member country or the third </w:t>
      </w:r>
      <w:r w:rsidRPr="006432D6">
        <w:t>party concerned</w:t>
      </w:r>
      <w:r w:rsidR="00E33BFD">
        <w:t>.</w:t>
      </w:r>
    </w:p>
    <w:p w:rsidR="000B2DE0" w:rsidRPr="006432D6" w:rsidRDefault="000B2DE0" w:rsidP="000B2DE0">
      <w:pPr>
        <w:ind w:left="1080"/>
        <w:jc w:val="both"/>
      </w:pPr>
    </w:p>
    <w:p w:rsidR="000B2DE0" w:rsidRPr="006432D6" w:rsidRDefault="000B2DE0" w:rsidP="000B2DE0">
      <w:pPr>
        <w:numPr>
          <w:ilvl w:val="0"/>
          <w:numId w:val="19"/>
        </w:numPr>
        <w:jc w:val="both"/>
      </w:pPr>
      <w:r w:rsidRPr="006432D6">
        <w:t>The disclosure of other restricted information requires the approval of the Bank’s Access to Information Committee</w:t>
      </w:r>
      <w:r w:rsidR="00884E03" w:rsidRPr="006432D6">
        <w:t xml:space="preserve"> (see </w:t>
      </w:r>
      <w:r w:rsidR="008702A7">
        <w:t xml:space="preserve">Part IV, </w:t>
      </w:r>
      <w:r w:rsidR="00C0061F">
        <w:t>Section E</w:t>
      </w:r>
      <w:r w:rsidR="00E33BFD">
        <w:t>,</w:t>
      </w:r>
      <w:r w:rsidR="009E27D7" w:rsidRPr="006432D6">
        <w:t xml:space="preserve"> </w:t>
      </w:r>
      <w:r w:rsidR="00FB2F08" w:rsidRPr="006432D6">
        <w:t xml:space="preserve">of this </w:t>
      </w:r>
      <w:r w:rsidR="00FE32C8">
        <w:t>p</w:t>
      </w:r>
      <w:r w:rsidR="009F1D16" w:rsidRPr="006432D6">
        <w:t xml:space="preserve">olicy </w:t>
      </w:r>
      <w:r w:rsidR="00FE32C8">
        <w:t>s</w:t>
      </w:r>
      <w:r w:rsidR="00FB2F08" w:rsidRPr="006432D6">
        <w:t>tatement)</w:t>
      </w:r>
      <w:r w:rsidRPr="006432D6">
        <w:t>.</w:t>
      </w:r>
    </w:p>
    <w:p w:rsidR="009E5E72" w:rsidRPr="006432D6" w:rsidRDefault="009E5E72" w:rsidP="005402FD">
      <w:pPr>
        <w:jc w:val="both"/>
      </w:pPr>
    </w:p>
    <w:p w:rsidR="00BE0353" w:rsidRPr="006432D6" w:rsidRDefault="00BE0353" w:rsidP="005402FD">
      <w:pPr>
        <w:jc w:val="both"/>
        <w:rPr>
          <w:b/>
        </w:rPr>
      </w:pPr>
      <w:r w:rsidRPr="006432D6">
        <w:rPr>
          <w:b/>
        </w:rPr>
        <w:t>C.</w:t>
      </w:r>
      <w:r w:rsidRPr="006432D6">
        <w:rPr>
          <w:b/>
        </w:rPr>
        <w:tab/>
        <w:t xml:space="preserve">Bank’s Prerogative to Restrict Access </w:t>
      </w:r>
    </w:p>
    <w:p w:rsidR="00BE0353" w:rsidRPr="006432D6" w:rsidRDefault="00BE0353" w:rsidP="005402FD">
      <w:pPr>
        <w:jc w:val="both"/>
      </w:pPr>
    </w:p>
    <w:p w:rsidR="009F1D16" w:rsidRPr="006432D6" w:rsidRDefault="005402FD" w:rsidP="004B3461">
      <w:pPr>
        <w:numPr>
          <w:ilvl w:val="0"/>
          <w:numId w:val="13"/>
        </w:numPr>
        <w:ind w:left="0" w:firstLine="0"/>
        <w:jc w:val="both"/>
        <w:rPr>
          <w:b/>
          <w:color w:val="000000"/>
        </w:rPr>
      </w:pPr>
      <w:r w:rsidRPr="006432D6">
        <w:t>The Bank also reserves the right not to disclose, under exceptional circumstances, information that it would normally disclose if it determines that such disclosure is likely to cause harm that outweighs the benefits of disclosure.  This prerogative may be exercised o</w:t>
      </w:r>
      <w:r w:rsidR="00EA0A12" w:rsidRPr="006432D6">
        <w:t>nly by</w:t>
      </w:r>
      <w:r w:rsidR="009F1D16" w:rsidRPr="006432D6">
        <w:t>:</w:t>
      </w:r>
      <w:r w:rsidR="00442E49" w:rsidRPr="006432D6">
        <w:t xml:space="preserve"> </w:t>
      </w:r>
    </w:p>
    <w:p w:rsidR="005B3D60" w:rsidRPr="006432D6" w:rsidRDefault="005B3D60" w:rsidP="005B3D60">
      <w:pPr>
        <w:tabs>
          <w:tab w:val="num" w:pos="720"/>
        </w:tabs>
        <w:jc w:val="both"/>
        <w:rPr>
          <w:b/>
          <w:color w:val="000000"/>
        </w:rPr>
      </w:pPr>
    </w:p>
    <w:p w:rsidR="005B3D60" w:rsidRPr="006432D6" w:rsidRDefault="001F329A" w:rsidP="005B3D60">
      <w:pPr>
        <w:tabs>
          <w:tab w:val="num" w:pos="720"/>
        </w:tabs>
        <w:ind w:left="1080" w:hanging="360"/>
        <w:jc w:val="both"/>
        <w:rPr>
          <w:b/>
          <w:color w:val="000000"/>
        </w:rPr>
      </w:pPr>
      <w:r>
        <w:t>(a)</w:t>
      </w:r>
      <w:r>
        <w:tab/>
        <w:t xml:space="preserve">The Board, with respect to Board records; </w:t>
      </w:r>
    </w:p>
    <w:p w:rsidR="005B3D60" w:rsidRPr="006432D6" w:rsidRDefault="005B3D60" w:rsidP="005B3D60">
      <w:pPr>
        <w:tabs>
          <w:tab w:val="num" w:pos="720"/>
        </w:tabs>
        <w:ind w:left="1080" w:hanging="360"/>
        <w:jc w:val="both"/>
        <w:rPr>
          <w:b/>
          <w:color w:val="000000"/>
        </w:rPr>
      </w:pPr>
    </w:p>
    <w:p w:rsidR="005B3D60" w:rsidRPr="006432D6" w:rsidRDefault="001F329A" w:rsidP="005B3D60">
      <w:pPr>
        <w:tabs>
          <w:tab w:val="num" w:pos="720"/>
        </w:tabs>
        <w:ind w:left="1080" w:hanging="360"/>
        <w:jc w:val="both"/>
        <w:rPr>
          <w:b/>
          <w:color w:val="000000"/>
        </w:rPr>
      </w:pPr>
      <w:r>
        <w:t>(b)</w:t>
      </w:r>
      <w:r>
        <w:tab/>
        <w:t>The vice president concerned, with respect to Board pape</w:t>
      </w:r>
      <w:r w:rsidR="00442E49" w:rsidRPr="006432D6">
        <w:t>rs</w:t>
      </w:r>
      <w:r w:rsidR="009F1D16" w:rsidRPr="006432D6">
        <w:t>; and</w:t>
      </w:r>
      <w:r w:rsidR="00442E49" w:rsidRPr="006432D6">
        <w:t xml:space="preserve"> </w:t>
      </w:r>
    </w:p>
    <w:p w:rsidR="005B3D60" w:rsidRPr="006432D6" w:rsidRDefault="005B3D60" w:rsidP="005B3D60">
      <w:pPr>
        <w:tabs>
          <w:tab w:val="num" w:pos="720"/>
        </w:tabs>
        <w:ind w:left="1080" w:hanging="360"/>
        <w:jc w:val="both"/>
        <w:rPr>
          <w:b/>
          <w:color w:val="000000"/>
        </w:rPr>
      </w:pPr>
    </w:p>
    <w:p w:rsidR="00D53ACB" w:rsidRDefault="00442E49" w:rsidP="001641F8">
      <w:pPr>
        <w:tabs>
          <w:tab w:val="num" w:pos="720"/>
        </w:tabs>
        <w:ind w:left="1080" w:hanging="360"/>
        <w:jc w:val="both"/>
      </w:pPr>
      <w:r w:rsidRPr="006432D6">
        <w:t>(c)</w:t>
      </w:r>
      <w:r w:rsidR="009F1D16" w:rsidRPr="006432D6">
        <w:tab/>
        <w:t>T</w:t>
      </w:r>
      <w:r w:rsidRPr="006432D6">
        <w:t xml:space="preserve">he </w:t>
      </w:r>
      <w:r w:rsidR="001F329A">
        <w:t>director concerned, with respect to other informatio</w:t>
      </w:r>
      <w:r w:rsidR="00BE0353" w:rsidRPr="006432D6">
        <w:t xml:space="preserve">n. </w:t>
      </w:r>
    </w:p>
    <w:p w:rsidR="001641F8" w:rsidRDefault="001641F8" w:rsidP="00971F3B">
      <w:pPr>
        <w:jc w:val="center"/>
        <w:rPr>
          <w:b/>
        </w:rPr>
      </w:pPr>
    </w:p>
    <w:p w:rsidR="009E70CD" w:rsidRDefault="009E70CD">
      <w:pPr>
        <w:rPr>
          <w:b/>
        </w:rPr>
      </w:pPr>
      <w:r>
        <w:rPr>
          <w:b/>
        </w:rPr>
        <w:br w:type="page"/>
      </w:r>
    </w:p>
    <w:p w:rsidR="00C41A63" w:rsidRPr="006432D6" w:rsidRDefault="0087631E" w:rsidP="00971F3B">
      <w:pPr>
        <w:jc w:val="center"/>
      </w:pPr>
      <w:r w:rsidRPr="006432D6">
        <w:rPr>
          <w:b/>
        </w:rPr>
        <w:lastRenderedPageBreak/>
        <w:t>III</w:t>
      </w:r>
      <w:r w:rsidR="00C7035D" w:rsidRPr="006432D6">
        <w:rPr>
          <w:b/>
        </w:rPr>
        <w:t>.</w:t>
      </w:r>
      <w:r w:rsidR="00C7035D" w:rsidRPr="006432D6">
        <w:rPr>
          <w:b/>
        </w:rPr>
        <w:tab/>
      </w:r>
      <w:r w:rsidR="00C41A63" w:rsidRPr="006432D6">
        <w:rPr>
          <w:b/>
        </w:rPr>
        <w:t>Information Relating to Member Countries</w:t>
      </w:r>
      <w:r w:rsidR="00C41A63" w:rsidRPr="006432D6">
        <w:t xml:space="preserve"> </w:t>
      </w:r>
      <w:r w:rsidR="00C41A63" w:rsidRPr="006432D6">
        <w:rPr>
          <w:b/>
        </w:rPr>
        <w:t>and Other Parties</w:t>
      </w:r>
    </w:p>
    <w:p w:rsidR="00C41A63" w:rsidRPr="006432D6" w:rsidRDefault="00C41A63" w:rsidP="00BA21C3">
      <w:pPr>
        <w:tabs>
          <w:tab w:val="num" w:pos="540"/>
        </w:tabs>
        <w:jc w:val="both"/>
      </w:pPr>
    </w:p>
    <w:p w:rsidR="00C41A63" w:rsidRPr="006432D6" w:rsidRDefault="00C41A63" w:rsidP="004B3461">
      <w:pPr>
        <w:numPr>
          <w:ilvl w:val="0"/>
          <w:numId w:val="13"/>
        </w:numPr>
        <w:ind w:left="0" w:firstLine="0"/>
        <w:jc w:val="both"/>
      </w:pPr>
      <w:r w:rsidRPr="006432D6">
        <w:t xml:space="preserve">The Bank </w:t>
      </w:r>
      <w:r w:rsidRPr="006432D6">
        <w:rPr>
          <w:color w:val="000000"/>
        </w:rPr>
        <w:t>takes the following approach to disclosing information related to member countries</w:t>
      </w:r>
      <w:r w:rsidR="00061B46" w:rsidRPr="006432D6">
        <w:rPr>
          <w:color w:val="000000"/>
        </w:rPr>
        <w:t>/borrowers</w:t>
      </w:r>
      <w:r w:rsidRPr="006432D6">
        <w:rPr>
          <w:color w:val="000000"/>
        </w:rPr>
        <w:t xml:space="preserve">:  </w:t>
      </w:r>
    </w:p>
    <w:p w:rsidR="00C41A63" w:rsidRPr="006432D6" w:rsidRDefault="00C41A63" w:rsidP="00B73A5E">
      <w:pPr>
        <w:tabs>
          <w:tab w:val="num" w:pos="720"/>
        </w:tabs>
        <w:autoSpaceDE w:val="0"/>
        <w:autoSpaceDN w:val="0"/>
        <w:adjustRightInd w:val="0"/>
        <w:jc w:val="both"/>
        <w:rPr>
          <w:color w:val="000000"/>
        </w:rPr>
      </w:pPr>
    </w:p>
    <w:p w:rsidR="00C41A63" w:rsidRPr="006432D6" w:rsidRDefault="00C41A63" w:rsidP="00195C9E">
      <w:pPr>
        <w:numPr>
          <w:ilvl w:val="0"/>
          <w:numId w:val="23"/>
        </w:numPr>
        <w:autoSpaceDE w:val="0"/>
        <w:autoSpaceDN w:val="0"/>
        <w:adjustRightInd w:val="0"/>
        <w:ind w:left="1080"/>
        <w:jc w:val="both"/>
        <w:rPr>
          <w:color w:val="000000"/>
        </w:rPr>
      </w:pPr>
      <w:r w:rsidRPr="006432D6">
        <w:rPr>
          <w:b/>
          <w:i/>
          <w:color w:val="000000"/>
        </w:rPr>
        <w:t>Country-specific operational documents prepared by the Bank that are routinely discussed with the member country</w:t>
      </w:r>
      <w:r w:rsidR="00AB4A04">
        <w:rPr>
          <w:b/>
          <w:i/>
          <w:color w:val="000000"/>
        </w:rPr>
        <w:t>/borrower</w:t>
      </w:r>
      <w:r w:rsidRPr="006432D6">
        <w:rPr>
          <w:color w:val="000000"/>
        </w:rPr>
        <w:t xml:space="preserve"> (for example, Country Assistance Strategies, Project Appraisal Documents, </w:t>
      </w:r>
      <w:r w:rsidR="00440D60" w:rsidRPr="006432D6">
        <w:rPr>
          <w:color w:val="000000"/>
        </w:rPr>
        <w:t>e</w:t>
      </w:r>
      <w:r w:rsidRPr="006432D6">
        <w:rPr>
          <w:color w:val="000000"/>
        </w:rPr>
        <w:t xml:space="preserve">conomic and </w:t>
      </w:r>
      <w:r w:rsidR="00440D60" w:rsidRPr="006432D6">
        <w:rPr>
          <w:color w:val="000000"/>
        </w:rPr>
        <w:t>s</w:t>
      </w:r>
      <w:r w:rsidRPr="006432D6">
        <w:rPr>
          <w:color w:val="000000"/>
        </w:rPr>
        <w:t xml:space="preserve">ector </w:t>
      </w:r>
      <w:r w:rsidR="00440D60" w:rsidRPr="006432D6">
        <w:rPr>
          <w:color w:val="000000"/>
        </w:rPr>
        <w:t>w</w:t>
      </w:r>
      <w:r w:rsidRPr="006432D6">
        <w:rPr>
          <w:color w:val="000000"/>
        </w:rPr>
        <w:t>ork reports).  Before finalizing the document, the Bank requests the country</w:t>
      </w:r>
      <w:r w:rsidR="0032096C" w:rsidRPr="006432D6">
        <w:rPr>
          <w:color w:val="000000"/>
        </w:rPr>
        <w:t>/borr</w:t>
      </w:r>
      <w:r w:rsidR="001F329A">
        <w:rPr>
          <w:color w:val="000000"/>
        </w:rPr>
        <w:t>ower concerned to identify whether the docu</w:t>
      </w:r>
      <w:r w:rsidRPr="006432D6">
        <w:rPr>
          <w:color w:val="000000"/>
        </w:rPr>
        <w:t>ment contains any confidential information relating to the country</w:t>
      </w:r>
      <w:r w:rsidR="0032096C" w:rsidRPr="006432D6">
        <w:rPr>
          <w:color w:val="000000"/>
        </w:rPr>
        <w:t>/borrower</w:t>
      </w:r>
      <w:r w:rsidRPr="006432D6">
        <w:rPr>
          <w:color w:val="000000"/>
        </w:rPr>
        <w:t>, or information whose disclosure may adversely affect relations between the Bank and the country.  The Bank, as it considers appropriate, makes adjustments to the document to address the matters of concern to the country</w:t>
      </w:r>
      <w:r w:rsidR="0032096C" w:rsidRPr="006432D6">
        <w:rPr>
          <w:color w:val="000000"/>
        </w:rPr>
        <w:t>/borrower</w:t>
      </w:r>
      <w:r w:rsidRPr="006432D6">
        <w:rPr>
          <w:color w:val="000000"/>
        </w:rPr>
        <w:t xml:space="preserve">.  </w:t>
      </w:r>
      <w:r w:rsidR="00E33BFD">
        <w:t>The</w:t>
      </w:r>
      <w:r w:rsidR="00632010">
        <w:t xml:space="preserve"> a</w:t>
      </w:r>
      <w:r w:rsidR="00632010" w:rsidRPr="00307E31">
        <w:t>ide</w:t>
      </w:r>
      <w:r w:rsidR="00632010">
        <w:t>-</w:t>
      </w:r>
      <w:proofErr w:type="spellStart"/>
      <w:r w:rsidR="00632010">
        <w:t>mémoire</w:t>
      </w:r>
      <w:proofErr w:type="spellEnd"/>
      <w:r w:rsidR="00632010">
        <w:t xml:space="preserve"> of operational missions may be made publicly available if </w:t>
      </w:r>
      <w:r w:rsidR="0033402D">
        <w:t xml:space="preserve">both </w:t>
      </w:r>
      <w:r w:rsidR="00632010" w:rsidRPr="00307E31">
        <w:t xml:space="preserve">the Bank and </w:t>
      </w:r>
      <w:r w:rsidR="0033402D">
        <w:t>the country</w:t>
      </w:r>
      <w:r w:rsidR="00AB4A04">
        <w:t>/</w:t>
      </w:r>
      <w:r w:rsidR="00632010">
        <w:t>borrower agree.</w:t>
      </w:r>
    </w:p>
    <w:p w:rsidR="00C41A63" w:rsidRPr="006432D6" w:rsidRDefault="00C41A63" w:rsidP="00C41A63">
      <w:pPr>
        <w:autoSpaceDE w:val="0"/>
        <w:autoSpaceDN w:val="0"/>
        <w:adjustRightInd w:val="0"/>
        <w:jc w:val="both"/>
        <w:rPr>
          <w:color w:val="000000"/>
        </w:rPr>
      </w:pPr>
    </w:p>
    <w:p w:rsidR="00C41A63" w:rsidRPr="006432D6" w:rsidRDefault="00C41A63" w:rsidP="00195C9E">
      <w:pPr>
        <w:numPr>
          <w:ilvl w:val="0"/>
          <w:numId w:val="23"/>
        </w:numPr>
        <w:autoSpaceDE w:val="0"/>
        <w:autoSpaceDN w:val="0"/>
        <w:adjustRightInd w:val="0"/>
        <w:ind w:left="1080"/>
        <w:jc w:val="both"/>
        <w:rPr>
          <w:color w:val="000000"/>
        </w:rPr>
      </w:pPr>
      <w:r w:rsidRPr="006432D6">
        <w:rPr>
          <w:b/>
          <w:i/>
          <w:color w:val="000000"/>
        </w:rPr>
        <w:t>Country-specific documents prepared by the Bank that are not routinely discussed with the country</w:t>
      </w:r>
      <w:r w:rsidRPr="006432D6">
        <w:rPr>
          <w:color w:val="000000"/>
        </w:rPr>
        <w:t xml:space="preserve"> (such as research and knowledge products). The Bank director concerned may consult the country concerned if the director believes that the document contains confidential information relating to the country, or information whose disclosure may adversely affect relations between the Bank and the country</w:t>
      </w:r>
      <w:r w:rsidRPr="006432D6">
        <w:t xml:space="preserve">. </w:t>
      </w:r>
      <w:r w:rsidRPr="006432D6">
        <w:rPr>
          <w:color w:val="000000"/>
        </w:rPr>
        <w:t>The Bank, as it considers appropriate, makes adjustments to the document to address the matters of concern to the country.</w:t>
      </w:r>
    </w:p>
    <w:p w:rsidR="00C41A63" w:rsidRPr="006432D6" w:rsidRDefault="00C41A63" w:rsidP="00C41A63">
      <w:pPr>
        <w:autoSpaceDE w:val="0"/>
        <w:autoSpaceDN w:val="0"/>
        <w:adjustRightInd w:val="0"/>
        <w:ind w:left="1080"/>
        <w:jc w:val="both"/>
        <w:rPr>
          <w:color w:val="000000"/>
        </w:rPr>
      </w:pPr>
      <w:r w:rsidRPr="006432D6">
        <w:rPr>
          <w:color w:val="000000"/>
        </w:rPr>
        <w:t xml:space="preserve"> </w:t>
      </w:r>
    </w:p>
    <w:p w:rsidR="00C41A63" w:rsidRPr="006432D6" w:rsidRDefault="00C41A63" w:rsidP="00195C9E">
      <w:pPr>
        <w:numPr>
          <w:ilvl w:val="0"/>
          <w:numId w:val="23"/>
        </w:numPr>
        <w:autoSpaceDE w:val="0"/>
        <w:autoSpaceDN w:val="0"/>
        <w:adjustRightInd w:val="0"/>
        <w:ind w:left="1080"/>
        <w:jc w:val="both"/>
        <w:rPr>
          <w:color w:val="000000"/>
        </w:rPr>
      </w:pPr>
      <w:r w:rsidRPr="006432D6">
        <w:rPr>
          <w:b/>
          <w:i/>
          <w:color w:val="000000"/>
        </w:rPr>
        <w:t>Documents prepared</w:t>
      </w:r>
      <w:r w:rsidR="00CD0C75" w:rsidRPr="006432D6">
        <w:rPr>
          <w:b/>
          <w:i/>
          <w:color w:val="000000"/>
        </w:rPr>
        <w:t xml:space="preserve"> or commissioned</w:t>
      </w:r>
      <w:r w:rsidRPr="006432D6">
        <w:rPr>
          <w:b/>
          <w:i/>
          <w:color w:val="000000"/>
        </w:rPr>
        <w:t xml:space="preserve"> by a member country</w:t>
      </w:r>
      <w:r w:rsidR="00165A56" w:rsidRPr="006432D6">
        <w:rPr>
          <w:b/>
          <w:i/>
          <w:color w:val="000000"/>
        </w:rPr>
        <w:t>/borrower</w:t>
      </w:r>
      <w:r w:rsidRPr="006432D6">
        <w:rPr>
          <w:b/>
          <w:i/>
          <w:color w:val="000000"/>
        </w:rPr>
        <w:t xml:space="preserve"> that </w:t>
      </w:r>
      <w:r w:rsidR="00E475D1" w:rsidRPr="006432D6">
        <w:rPr>
          <w:b/>
          <w:i/>
          <w:color w:val="000000"/>
        </w:rPr>
        <w:t xml:space="preserve">are </w:t>
      </w:r>
      <w:r w:rsidR="00247B4B" w:rsidRPr="006432D6">
        <w:rPr>
          <w:b/>
          <w:i/>
          <w:color w:val="000000"/>
        </w:rPr>
        <w:t xml:space="preserve">made available to the public </w:t>
      </w:r>
      <w:r w:rsidRPr="006432D6">
        <w:rPr>
          <w:b/>
          <w:i/>
          <w:color w:val="000000"/>
        </w:rPr>
        <w:t>as a condition for doing business with the Bank</w:t>
      </w:r>
      <w:r w:rsidRPr="006432D6">
        <w:rPr>
          <w:color w:val="000000"/>
        </w:rPr>
        <w:t xml:space="preserve">. </w:t>
      </w:r>
      <w:r w:rsidR="00E33BFD">
        <w:rPr>
          <w:color w:val="000000"/>
        </w:rPr>
        <w:t>T</w:t>
      </w:r>
      <w:r w:rsidR="00E33BFD" w:rsidRPr="006432D6">
        <w:rPr>
          <w:color w:val="000000"/>
        </w:rPr>
        <w:t xml:space="preserve">he country/borrower </w:t>
      </w:r>
      <w:r w:rsidR="00E33BFD">
        <w:rPr>
          <w:color w:val="000000"/>
        </w:rPr>
        <w:t>provides s</w:t>
      </w:r>
      <w:r w:rsidR="0090248C" w:rsidRPr="006432D6">
        <w:rPr>
          <w:color w:val="000000"/>
        </w:rPr>
        <w:t xml:space="preserve">uch </w:t>
      </w:r>
      <w:r w:rsidRPr="006432D6">
        <w:rPr>
          <w:color w:val="000000"/>
        </w:rPr>
        <w:t xml:space="preserve">documents </w:t>
      </w:r>
      <w:r w:rsidR="00E475D1" w:rsidRPr="006432D6">
        <w:rPr>
          <w:color w:val="000000"/>
        </w:rPr>
        <w:t xml:space="preserve">to the Bank </w:t>
      </w:r>
      <w:r w:rsidRPr="006432D6">
        <w:rPr>
          <w:color w:val="000000"/>
        </w:rPr>
        <w:t>with the understanding that the Bank will make them avail</w:t>
      </w:r>
      <w:r w:rsidR="00FB2F08" w:rsidRPr="006432D6">
        <w:rPr>
          <w:color w:val="000000"/>
        </w:rPr>
        <w:t>able to the public</w:t>
      </w:r>
      <w:r w:rsidRPr="006432D6">
        <w:rPr>
          <w:color w:val="000000"/>
        </w:rPr>
        <w:t>.</w:t>
      </w:r>
      <w:r w:rsidR="00165A56" w:rsidRPr="006432D6">
        <w:rPr>
          <w:rStyle w:val="FootnoteReference"/>
          <w:color w:val="000000"/>
        </w:rPr>
        <w:footnoteReference w:id="18"/>
      </w:r>
      <w:r w:rsidRPr="006432D6">
        <w:rPr>
          <w:color w:val="000000"/>
        </w:rPr>
        <w:t xml:space="preserve">  </w:t>
      </w:r>
    </w:p>
    <w:p w:rsidR="00C41A63" w:rsidRPr="006432D6" w:rsidRDefault="00C41A63" w:rsidP="00C41A63">
      <w:pPr>
        <w:autoSpaceDE w:val="0"/>
        <w:autoSpaceDN w:val="0"/>
        <w:adjustRightInd w:val="0"/>
        <w:ind w:left="720"/>
      </w:pPr>
    </w:p>
    <w:p w:rsidR="00C41A63" w:rsidRPr="00F02024" w:rsidRDefault="00C41A63" w:rsidP="00195C9E">
      <w:pPr>
        <w:numPr>
          <w:ilvl w:val="0"/>
          <w:numId w:val="23"/>
        </w:numPr>
        <w:tabs>
          <w:tab w:val="left" w:pos="-612"/>
        </w:tabs>
        <w:autoSpaceDE w:val="0"/>
        <w:autoSpaceDN w:val="0"/>
        <w:adjustRightInd w:val="0"/>
        <w:ind w:left="1080"/>
        <w:jc w:val="both"/>
        <w:rPr>
          <w:color w:val="000000"/>
        </w:rPr>
      </w:pPr>
      <w:r w:rsidRPr="007A281B">
        <w:rPr>
          <w:b/>
          <w:i/>
          <w:color w:val="000000"/>
        </w:rPr>
        <w:t>Other</w:t>
      </w:r>
      <w:r w:rsidRPr="006432D6">
        <w:rPr>
          <w:b/>
          <w:i/>
          <w:color w:val="000000"/>
        </w:rPr>
        <w:t xml:space="preserve"> documents prepared by member countries</w:t>
      </w:r>
      <w:r w:rsidR="00165A56" w:rsidRPr="006432D6">
        <w:rPr>
          <w:b/>
          <w:i/>
          <w:color w:val="000000"/>
        </w:rPr>
        <w:t>/borrowers</w:t>
      </w:r>
      <w:r w:rsidRPr="006432D6">
        <w:rPr>
          <w:b/>
          <w:i/>
          <w:color w:val="000000"/>
        </w:rPr>
        <w:t xml:space="preserve"> that are in the Bank’s possession.</w:t>
      </w:r>
      <w:r w:rsidRPr="006432D6">
        <w:rPr>
          <w:color w:val="000000"/>
        </w:rPr>
        <w:t xml:space="preserve">  Countries often give the Bank a document or information that does not fall into one of the above categories (for example, on a country’s macr</w:t>
      </w:r>
      <w:r w:rsidRPr="00F02024">
        <w:rPr>
          <w:color w:val="000000"/>
        </w:rPr>
        <w:t>oeconomic context, governance issues, or sector- or institution-specific analyses).  If the country</w:t>
      </w:r>
      <w:r w:rsidR="00AB4A04">
        <w:rPr>
          <w:color w:val="000000"/>
        </w:rPr>
        <w:t>/borrower</w:t>
      </w:r>
      <w:r w:rsidRPr="00F02024">
        <w:rPr>
          <w:color w:val="000000"/>
        </w:rPr>
        <w:t xml:space="preserve"> </w:t>
      </w:r>
      <w:r w:rsidR="00FE32C8" w:rsidRPr="00F02024">
        <w:rPr>
          <w:color w:val="000000"/>
        </w:rPr>
        <w:t xml:space="preserve">has </w:t>
      </w:r>
      <w:r w:rsidRPr="00F02024">
        <w:rPr>
          <w:color w:val="000000"/>
        </w:rPr>
        <w:t>assign</w:t>
      </w:r>
      <w:r w:rsidR="00FE32C8" w:rsidRPr="00F02024">
        <w:rPr>
          <w:color w:val="000000"/>
        </w:rPr>
        <w:t>ed</w:t>
      </w:r>
      <w:r w:rsidRPr="00F02024">
        <w:rPr>
          <w:color w:val="000000"/>
        </w:rPr>
        <w:t xml:space="preserve"> a</w:t>
      </w:r>
      <w:r w:rsidR="00F44449" w:rsidRPr="00F02024">
        <w:rPr>
          <w:color w:val="000000"/>
        </w:rPr>
        <w:t>n</w:t>
      </w:r>
      <w:r w:rsidR="00BD73CD" w:rsidRPr="00F02024">
        <w:rPr>
          <w:color w:val="000000"/>
        </w:rPr>
        <w:t xml:space="preserve"> </w:t>
      </w:r>
      <w:r w:rsidR="00F44449" w:rsidRPr="00F02024">
        <w:rPr>
          <w:color w:val="000000"/>
        </w:rPr>
        <w:t xml:space="preserve">information </w:t>
      </w:r>
      <w:r w:rsidRPr="00F02024">
        <w:rPr>
          <w:color w:val="000000"/>
        </w:rPr>
        <w:t xml:space="preserve">classification that restricts public access, the Bank does not disclose the material without obtaining the </w:t>
      </w:r>
      <w:proofErr w:type="gramStart"/>
      <w:r w:rsidRPr="00F02024">
        <w:rPr>
          <w:color w:val="000000"/>
        </w:rPr>
        <w:t>country’s</w:t>
      </w:r>
      <w:r w:rsidR="00AB4A04">
        <w:rPr>
          <w:color w:val="000000"/>
        </w:rPr>
        <w:t>/</w:t>
      </w:r>
      <w:proofErr w:type="gramEnd"/>
      <w:r w:rsidR="00AB4A04">
        <w:rPr>
          <w:color w:val="000000"/>
        </w:rPr>
        <w:t>borrower’s</w:t>
      </w:r>
      <w:r w:rsidRPr="00F02024">
        <w:rPr>
          <w:color w:val="000000"/>
        </w:rPr>
        <w:t xml:space="preserve"> written consent; normally the Bank refers </w:t>
      </w:r>
      <w:r w:rsidRPr="00F02024">
        <w:rPr>
          <w:color w:val="000000"/>
        </w:rPr>
        <w:lastRenderedPageBreak/>
        <w:t>requests for such information to the country</w:t>
      </w:r>
      <w:r w:rsidR="00451D49">
        <w:rPr>
          <w:color w:val="000000"/>
        </w:rPr>
        <w:t>/borrower</w:t>
      </w:r>
      <w:r w:rsidRPr="00F02024">
        <w:rPr>
          <w:color w:val="000000"/>
        </w:rPr>
        <w:t xml:space="preserve"> authorities. If the country</w:t>
      </w:r>
      <w:r w:rsidR="00451D49">
        <w:rPr>
          <w:color w:val="000000"/>
        </w:rPr>
        <w:t>/borrower</w:t>
      </w:r>
      <w:r w:rsidRPr="00F02024">
        <w:rPr>
          <w:color w:val="000000"/>
        </w:rPr>
        <w:t xml:space="preserve"> has not assigned a</w:t>
      </w:r>
      <w:r w:rsidR="00BD73CD" w:rsidRPr="00F02024">
        <w:rPr>
          <w:color w:val="000000"/>
        </w:rPr>
        <w:t xml:space="preserve">n information </w:t>
      </w:r>
      <w:r w:rsidRPr="00F02024">
        <w:rPr>
          <w:color w:val="000000"/>
        </w:rPr>
        <w:t xml:space="preserve">classification to the material, </w:t>
      </w:r>
      <w:r w:rsidR="0040704F" w:rsidRPr="00F02024">
        <w:t>and if</w:t>
      </w:r>
      <w:r w:rsidR="007A281B" w:rsidRPr="00F02024">
        <w:t>, to the Bank’s knowledge,</w:t>
      </w:r>
      <w:r w:rsidR="0040704F" w:rsidRPr="00F02024">
        <w:t xml:space="preserve"> the information has not already been made publicly available by the country</w:t>
      </w:r>
      <w:r w:rsidR="00451D49">
        <w:t>/borrower</w:t>
      </w:r>
      <w:r w:rsidR="008F0A7B" w:rsidRPr="00F02024">
        <w:rPr>
          <w:color w:val="000000"/>
        </w:rPr>
        <w:t xml:space="preserve">, the </w:t>
      </w:r>
      <w:r w:rsidR="00DD33D7" w:rsidRPr="00F02024">
        <w:rPr>
          <w:color w:val="000000"/>
        </w:rPr>
        <w:t>recipient Bank unit</w:t>
      </w:r>
      <w:r w:rsidR="00F44449" w:rsidRPr="00F02024">
        <w:rPr>
          <w:color w:val="000000"/>
        </w:rPr>
        <w:t xml:space="preserve"> considers the information to be deliberative</w:t>
      </w:r>
      <w:r w:rsidR="00F44449" w:rsidRPr="00F02024">
        <w:rPr>
          <w:rStyle w:val="FootnoteReference"/>
          <w:color w:val="000000"/>
        </w:rPr>
        <w:footnoteReference w:id="19"/>
      </w:r>
      <w:r w:rsidR="00F44449" w:rsidRPr="00F02024">
        <w:rPr>
          <w:color w:val="000000"/>
        </w:rPr>
        <w:t xml:space="preserve"> and</w:t>
      </w:r>
      <w:r w:rsidR="00DD33D7" w:rsidRPr="00F02024">
        <w:rPr>
          <w:color w:val="000000"/>
        </w:rPr>
        <w:t xml:space="preserve"> classifies it </w:t>
      </w:r>
      <w:r w:rsidR="008F0A7B" w:rsidRPr="00F02024">
        <w:rPr>
          <w:color w:val="000000"/>
        </w:rPr>
        <w:t xml:space="preserve">in accordance </w:t>
      </w:r>
      <w:r w:rsidR="00A24049" w:rsidRPr="00F02024">
        <w:rPr>
          <w:color w:val="000000"/>
        </w:rPr>
        <w:t>with</w:t>
      </w:r>
      <w:r w:rsidR="00302061" w:rsidRPr="00F02024">
        <w:rPr>
          <w:color w:val="000000"/>
        </w:rPr>
        <w:t xml:space="preserve"> </w:t>
      </w:r>
      <w:r w:rsidR="00434F20" w:rsidRPr="00F02024">
        <w:rPr>
          <w:color w:val="000000"/>
        </w:rPr>
        <w:t>AMS 6.21A</w:t>
      </w:r>
      <w:r w:rsidR="00A24049" w:rsidRPr="00F02024">
        <w:rPr>
          <w:color w:val="000000"/>
        </w:rPr>
        <w:t>,</w:t>
      </w:r>
      <w:r w:rsidR="00434F20" w:rsidRPr="00F02024">
        <w:rPr>
          <w:color w:val="000000"/>
        </w:rPr>
        <w:t xml:space="preserve"> </w:t>
      </w:r>
      <w:r w:rsidR="00434F20" w:rsidRPr="00F02024">
        <w:rPr>
          <w:i/>
          <w:color w:val="000000"/>
        </w:rPr>
        <w:t xml:space="preserve">Information Classification and </w:t>
      </w:r>
      <w:r w:rsidR="00BD73CD" w:rsidRPr="00F02024">
        <w:rPr>
          <w:i/>
          <w:color w:val="000000"/>
        </w:rPr>
        <w:t xml:space="preserve">Control </w:t>
      </w:r>
      <w:r w:rsidR="00434F20" w:rsidRPr="00F02024">
        <w:rPr>
          <w:i/>
          <w:color w:val="000000"/>
        </w:rPr>
        <w:t>Policy</w:t>
      </w:r>
      <w:r w:rsidR="00434F20" w:rsidRPr="00F02024">
        <w:rPr>
          <w:color w:val="000000"/>
        </w:rPr>
        <w:t>.</w:t>
      </w:r>
    </w:p>
    <w:p w:rsidR="00C41A63" w:rsidRPr="006432D6" w:rsidRDefault="00C41A63" w:rsidP="00C41A63">
      <w:pPr>
        <w:autoSpaceDE w:val="0"/>
        <w:autoSpaceDN w:val="0"/>
        <w:adjustRightInd w:val="0"/>
        <w:jc w:val="both"/>
        <w:rPr>
          <w:color w:val="000000"/>
        </w:rPr>
      </w:pPr>
    </w:p>
    <w:p w:rsidR="00E01090" w:rsidRPr="006432D6" w:rsidRDefault="00C41A63" w:rsidP="00195C9E">
      <w:pPr>
        <w:numPr>
          <w:ilvl w:val="0"/>
          <w:numId w:val="23"/>
        </w:numPr>
        <w:autoSpaceDE w:val="0"/>
        <w:autoSpaceDN w:val="0"/>
        <w:adjustRightInd w:val="0"/>
        <w:ind w:left="1080"/>
        <w:jc w:val="both"/>
        <w:rPr>
          <w:color w:val="000000"/>
        </w:rPr>
      </w:pPr>
      <w:r w:rsidRPr="006432D6">
        <w:rPr>
          <w:b/>
          <w:i/>
          <w:color w:val="000000"/>
        </w:rPr>
        <w:t>Documents prepared by the Bank for a fee</w:t>
      </w:r>
      <w:r w:rsidR="000C77C9" w:rsidRPr="006432D6">
        <w:rPr>
          <w:b/>
          <w:i/>
          <w:color w:val="000000"/>
        </w:rPr>
        <w:t xml:space="preserve"> (“fee-based services</w:t>
      </w:r>
      <w:r w:rsidR="00247B4B" w:rsidRPr="006432D6">
        <w:rPr>
          <w:b/>
          <w:i/>
          <w:color w:val="000000"/>
        </w:rPr>
        <w:t>”</w:t>
      </w:r>
      <w:r w:rsidR="000C77C9" w:rsidRPr="006432D6">
        <w:rPr>
          <w:b/>
          <w:i/>
          <w:color w:val="000000"/>
        </w:rPr>
        <w:t>).</w:t>
      </w:r>
      <w:r w:rsidR="000C77C9" w:rsidRPr="006432D6">
        <w:rPr>
          <w:color w:val="000000"/>
        </w:rPr>
        <w:t xml:space="preserve">  </w:t>
      </w:r>
      <w:r w:rsidRPr="006432D6">
        <w:rPr>
          <w:color w:val="000000"/>
        </w:rPr>
        <w:t xml:space="preserve">The Bank </w:t>
      </w:r>
      <w:r w:rsidR="00247B4B" w:rsidRPr="006432D6">
        <w:rPr>
          <w:color w:val="000000"/>
        </w:rPr>
        <w:t xml:space="preserve">makes </w:t>
      </w:r>
      <w:r w:rsidRPr="006432D6">
        <w:rPr>
          <w:color w:val="000000"/>
        </w:rPr>
        <w:t xml:space="preserve">such documents </w:t>
      </w:r>
      <w:r w:rsidR="000C77C9" w:rsidRPr="006432D6">
        <w:rPr>
          <w:color w:val="000000"/>
        </w:rPr>
        <w:t>(incl</w:t>
      </w:r>
      <w:r w:rsidR="00DA1271" w:rsidRPr="006432D6">
        <w:rPr>
          <w:color w:val="000000"/>
        </w:rPr>
        <w:t>uding related legal agreements)</w:t>
      </w:r>
      <w:r w:rsidR="000C77C9" w:rsidRPr="006432D6">
        <w:rPr>
          <w:color w:val="000000"/>
        </w:rPr>
        <w:t xml:space="preserve"> </w:t>
      </w:r>
      <w:r w:rsidR="00247B4B" w:rsidRPr="006432D6">
        <w:rPr>
          <w:color w:val="000000"/>
        </w:rPr>
        <w:t xml:space="preserve">available to the public </w:t>
      </w:r>
      <w:r w:rsidRPr="006432D6">
        <w:rPr>
          <w:color w:val="000000"/>
        </w:rPr>
        <w:t xml:space="preserve">only after the country </w:t>
      </w:r>
      <w:r w:rsidR="00E33BFD">
        <w:rPr>
          <w:color w:val="000000"/>
        </w:rPr>
        <w:t xml:space="preserve">(or other third-party) </w:t>
      </w:r>
      <w:r w:rsidRPr="006432D6">
        <w:rPr>
          <w:color w:val="000000"/>
        </w:rPr>
        <w:t xml:space="preserve">authority </w:t>
      </w:r>
      <w:r w:rsidR="00E33BFD">
        <w:rPr>
          <w:color w:val="000000"/>
        </w:rPr>
        <w:t xml:space="preserve">concerned </w:t>
      </w:r>
      <w:r w:rsidRPr="006432D6">
        <w:rPr>
          <w:color w:val="000000"/>
        </w:rPr>
        <w:t xml:space="preserve">has granted its written consent to disclose. </w:t>
      </w:r>
    </w:p>
    <w:p w:rsidR="00C41A63" w:rsidRPr="006432D6" w:rsidRDefault="00C41A63" w:rsidP="00B73A5E">
      <w:pPr>
        <w:tabs>
          <w:tab w:val="num" w:pos="0"/>
          <w:tab w:val="num" w:pos="720"/>
        </w:tabs>
        <w:autoSpaceDE w:val="0"/>
        <w:autoSpaceDN w:val="0"/>
        <w:adjustRightInd w:val="0"/>
        <w:jc w:val="both"/>
      </w:pPr>
    </w:p>
    <w:p w:rsidR="00FD4EF6" w:rsidRPr="006432D6" w:rsidRDefault="00C41A63" w:rsidP="004B3461">
      <w:pPr>
        <w:numPr>
          <w:ilvl w:val="0"/>
          <w:numId w:val="13"/>
        </w:numPr>
        <w:ind w:left="0" w:firstLine="0"/>
        <w:jc w:val="both"/>
        <w:rPr>
          <w:color w:val="000000"/>
        </w:rPr>
      </w:pPr>
      <w:r w:rsidRPr="006432D6">
        <w:rPr>
          <w:b/>
          <w:i/>
        </w:rPr>
        <w:t>Documents Prepared Jointly with Partners.</w:t>
      </w:r>
      <w:r w:rsidRPr="006432D6">
        <w:rPr>
          <w:b/>
        </w:rPr>
        <w:t xml:space="preserve">  </w:t>
      </w:r>
      <w:r w:rsidRPr="006432D6">
        <w:t xml:space="preserve">The Bank </w:t>
      </w:r>
      <w:r w:rsidR="00247B4B" w:rsidRPr="006432D6">
        <w:t xml:space="preserve">makes available to the public </w:t>
      </w:r>
      <w:r w:rsidRPr="006432D6">
        <w:t>the final documents that it prepares jointly with partners</w:t>
      </w:r>
      <w:r w:rsidR="003A733E" w:rsidRPr="006432D6">
        <w:t xml:space="preserve"> </w:t>
      </w:r>
      <w:r w:rsidR="00D0155E" w:rsidRPr="006432D6">
        <w:t xml:space="preserve">after reaching </w:t>
      </w:r>
      <w:r w:rsidR="003A733E" w:rsidRPr="006432D6">
        <w:t xml:space="preserve">agreement </w:t>
      </w:r>
      <w:r w:rsidR="00D0155E" w:rsidRPr="006432D6">
        <w:t xml:space="preserve">on such disclosure </w:t>
      </w:r>
      <w:r w:rsidR="003A733E" w:rsidRPr="006432D6">
        <w:t>with the partner concerned</w:t>
      </w:r>
      <w:r w:rsidRPr="006432D6">
        <w:t>.</w:t>
      </w:r>
      <w:r w:rsidR="003A733E" w:rsidRPr="006432D6">
        <w:rPr>
          <w:rStyle w:val="FootnoteReference"/>
        </w:rPr>
        <w:footnoteReference w:id="20"/>
      </w:r>
    </w:p>
    <w:p w:rsidR="0002196F" w:rsidRPr="006432D6" w:rsidRDefault="0002196F" w:rsidP="0059754A">
      <w:pPr>
        <w:jc w:val="both"/>
        <w:rPr>
          <w:b/>
          <w:i/>
        </w:rPr>
      </w:pPr>
    </w:p>
    <w:p w:rsidR="000B3F50" w:rsidRPr="006432D6" w:rsidRDefault="0087631E" w:rsidP="002B67B3">
      <w:pPr>
        <w:jc w:val="center"/>
        <w:rPr>
          <w:b/>
        </w:rPr>
      </w:pPr>
      <w:r w:rsidRPr="006432D6">
        <w:rPr>
          <w:b/>
        </w:rPr>
        <w:t>IV</w:t>
      </w:r>
      <w:r w:rsidR="002B67B3" w:rsidRPr="006432D6">
        <w:rPr>
          <w:b/>
        </w:rPr>
        <w:t xml:space="preserve">. </w:t>
      </w:r>
      <w:r w:rsidR="006C3302" w:rsidRPr="006432D6">
        <w:rPr>
          <w:b/>
        </w:rPr>
        <w:tab/>
      </w:r>
      <w:r w:rsidR="00495176" w:rsidRPr="006432D6">
        <w:rPr>
          <w:b/>
        </w:rPr>
        <w:t>Implementation</w:t>
      </w:r>
      <w:r w:rsidR="001778B3" w:rsidRPr="006432D6">
        <w:rPr>
          <w:b/>
        </w:rPr>
        <w:t xml:space="preserve"> Aspects of the Policy</w:t>
      </w:r>
    </w:p>
    <w:p w:rsidR="008638C8" w:rsidRPr="006432D6" w:rsidRDefault="008638C8" w:rsidP="000B3F50">
      <w:pPr>
        <w:jc w:val="both"/>
      </w:pPr>
    </w:p>
    <w:p w:rsidR="008638C8" w:rsidRPr="006432D6" w:rsidRDefault="008638C8" w:rsidP="003F5BE3">
      <w:pPr>
        <w:autoSpaceDE w:val="0"/>
        <w:autoSpaceDN w:val="0"/>
        <w:adjustRightInd w:val="0"/>
        <w:spacing w:line="240" w:lineRule="atLeast"/>
        <w:jc w:val="both"/>
      </w:pPr>
      <w:r w:rsidRPr="006432D6">
        <w:rPr>
          <w:b/>
        </w:rPr>
        <w:t>A.</w:t>
      </w:r>
      <w:r w:rsidRPr="006432D6">
        <w:rPr>
          <w:b/>
        </w:rPr>
        <w:tab/>
      </w:r>
      <w:r w:rsidR="00DE7D77" w:rsidRPr="006432D6">
        <w:rPr>
          <w:b/>
        </w:rPr>
        <w:t>Access</w:t>
      </w:r>
      <w:r w:rsidR="00071214" w:rsidRPr="006432D6">
        <w:rPr>
          <w:b/>
        </w:rPr>
        <w:t>ing</w:t>
      </w:r>
      <w:r w:rsidR="00DE7D77" w:rsidRPr="006432D6">
        <w:rPr>
          <w:b/>
        </w:rPr>
        <w:t xml:space="preserve"> </w:t>
      </w:r>
      <w:r w:rsidR="003F5BE3" w:rsidRPr="006432D6">
        <w:rPr>
          <w:b/>
        </w:rPr>
        <w:t>Information</w:t>
      </w:r>
    </w:p>
    <w:p w:rsidR="008638C8" w:rsidRPr="006432D6" w:rsidRDefault="000F0DB6" w:rsidP="000F0DB6">
      <w:pPr>
        <w:tabs>
          <w:tab w:val="left" w:pos="2100"/>
        </w:tabs>
        <w:jc w:val="both"/>
      </w:pPr>
      <w:r>
        <w:tab/>
      </w:r>
    </w:p>
    <w:p w:rsidR="007B47E1" w:rsidRDefault="00C83AEF">
      <w:pPr>
        <w:numPr>
          <w:ilvl w:val="0"/>
          <w:numId w:val="13"/>
        </w:numPr>
        <w:tabs>
          <w:tab w:val="clear" w:pos="720"/>
        </w:tabs>
        <w:ind w:left="0" w:firstLine="0"/>
        <w:jc w:val="both"/>
      </w:pPr>
      <w:r w:rsidRPr="00421B6E">
        <w:rPr>
          <w:b/>
          <w:i/>
        </w:rPr>
        <w:t>Proactive Disclosure.</w:t>
      </w:r>
      <w:r w:rsidRPr="00421B6E">
        <w:t xml:space="preserve">  The Bank routinely discloses </w:t>
      </w:r>
      <w:r w:rsidR="00830897" w:rsidRPr="00421B6E">
        <w:t>a wide range of</w:t>
      </w:r>
      <w:r w:rsidRPr="00421B6E">
        <w:t xml:space="preserve"> </w:t>
      </w:r>
      <w:r w:rsidR="00830897" w:rsidRPr="00421B6E">
        <w:t>documents, through</w:t>
      </w:r>
      <w:r w:rsidRPr="00421B6E">
        <w:t xml:space="preserve"> its external website</w:t>
      </w:r>
      <w:r w:rsidR="000E5A6D">
        <w:t xml:space="preserve"> – </w:t>
      </w:r>
      <w:hyperlink r:id="rId10" w:history="1">
        <w:r w:rsidR="000E5A6D" w:rsidRPr="00CD0F35">
          <w:rPr>
            <w:rStyle w:val="Hyperlink"/>
          </w:rPr>
          <w:t>www.worldbank.org</w:t>
        </w:r>
      </w:hyperlink>
      <w:r w:rsidR="000E5A6D">
        <w:t xml:space="preserve"> –</w:t>
      </w:r>
      <w:r w:rsidR="000E5A6D" w:rsidRPr="006432D6">
        <w:t xml:space="preserve"> </w:t>
      </w:r>
      <w:r w:rsidR="00830897" w:rsidRPr="00421B6E">
        <w:t xml:space="preserve">as soon as the documents are finalized </w:t>
      </w:r>
      <w:r w:rsidRPr="00421B6E">
        <w:t>after key process milestones.</w:t>
      </w:r>
      <w:r w:rsidR="00830897" w:rsidRPr="00421B6E">
        <w:t xml:space="preserve"> </w:t>
      </w:r>
      <w:r w:rsidR="006967F6">
        <w:t xml:space="preserve"> </w:t>
      </w:r>
      <w:r w:rsidR="00EE635B">
        <w:t xml:space="preserve">Under </w:t>
      </w:r>
      <w:r w:rsidR="007A08BC">
        <w:t>th</w:t>
      </w:r>
      <w:r w:rsidR="00EE635B">
        <w:t>is</w:t>
      </w:r>
      <w:r w:rsidR="006967F6">
        <w:t xml:space="preserve"> </w:t>
      </w:r>
      <w:r w:rsidR="00DB3FBB">
        <w:t>P</w:t>
      </w:r>
      <w:r w:rsidR="006967F6">
        <w:t>olicy</w:t>
      </w:r>
      <w:r w:rsidR="00EE635B">
        <w:t>, the Bank significantly increases the amount of</w:t>
      </w:r>
      <w:r w:rsidR="006967F6">
        <w:t xml:space="preserve"> </w:t>
      </w:r>
      <w:r w:rsidR="006967F6" w:rsidRPr="006967F6">
        <w:t>information</w:t>
      </w:r>
      <w:r w:rsidR="00EE635B">
        <w:t xml:space="preserve"> </w:t>
      </w:r>
      <w:r w:rsidR="00DB3FBB">
        <w:t>it</w:t>
      </w:r>
      <w:r w:rsidR="00EE635B">
        <w:t xml:space="preserve"> </w:t>
      </w:r>
      <w:r w:rsidR="00DB3FBB">
        <w:t>makes available</w:t>
      </w:r>
      <w:r w:rsidR="00EE635B">
        <w:t xml:space="preserve"> </w:t>
      </w:r>
      <w:r w:rsidR="006967F6" w:rsidRPr="006967F6">
        <w:t xml:space="preserve">to the public, particularly information related to projects under implementation and to </w:t>
      </w:r>
      <w:r w:rsidR="007A08BC">
        <w:t>the</w:t>
      </w:r>
      <w:r w:rsidR="006967F6" w:rsidRPr="006967F6">
        <w:t xml:space="preserve"> actions</w:t>
      </w:r>
      <w:r w:rsidR="007A08BC">
        <w:t xml:space="preserve"> of the Board of Executive Directors</w:t>
      </w:r>
      <w:r w:rsidR="006967F6" w:rsidRPr="006967F6">
        <w:t xml:space="preserve">. </w:t>
      </w:r>
    </w:p>
    <w:p w:rsidR="000323E5" w:rsidRPr="006432D6" w:rsidRDefault="000323E5" w:rsidP="000323E5">
      <w:pPr>
        <w:tabs>
          <w:tab w:val="num" w:pos="1080"/>
        </w:tabs>
        <w:jc w:val="both"/>
      </w:pPr>
    </w:p>
    <w:p w:rsidR="005F36B4" w:rsidRPr="006432D6" w:rsidRDefault="005F36B4" w:rsidP="00123976">
      <w:pPr>
        <w:numPr>
          <w:ilvl w:val="0"/>
          <w:numId w:val="13"/>
        </w:numPr>
        <w:tabs>
          <w:tab w:val="clear" w:pos="720"/>
        </w:tabs>
        <w:ind w:left="0" w:firstLine="0"/>
        <w:jc w:val="both"/>
      </w:pPr>
      <w:r w:rsidRPr="006432D6">
        <w:rPr>
          <w:b/>
          <w:i/>
        </w:rPr>
        <w:t xml:space="preserve">Board Proceedings. </w:t>
      </w:r>
      <w:r w:rsidRPr="006432D6">
        <w:t xml:space="preserve"> Board papers and Board records that are routinely available from the Bank are posted on the Bank’s external website</w:t>
      </w:r>
      <w:r w:rsidR="00920DAB">
        <w:t xml:space="preserve"> </w:t>
      </w:r>
      <w:r w:rsidRPr="006432D6">
        <w:t xml:space="preserve">at specific Board milestones.  </w:t>
      </w:r>
      <w:r w:rsidR="004E1578">
        <w:t xml:space="preserve">Some Board discussions may deal with issues that fall under the exceptions of the policy. In such cases, the related Board records </w:t>
      </w:r>
      <w:r w:rsidR="00E33BFD">
        <w:t>ar</w:t>
      </w:r>
      <w:r w:rsidR="004E1578">
        <w:t>e classified as “Confidential” and “Strictly Confidential</w:t>
      </w:r>
      <w:r w:rsidR="00292EFE">
        <w:t>”</w:t>
      </w:r>
      <w:r w:rsidR="004E1578">
        <w:t xml:space="preserve"> and </w:t>
      </w:r>
      <w:r w:rsidR="00292EFE">
        <w:t>are</w:t>
      </w:r>
      <w:r w:rsidR="004E1578">
        <w:t xml:space="preserve"> not disclosed unless they become eligible for decl</w:t>
      </w:r>
      <w:r w:rsidR="00585D5F">
        <w:t xml:space="preserve">assification under the </w:t>
      </w:r>
      <w:r w:rsidR="004E1578">
        <w:t xml:space="preserve">declassification </w:t>
      </w:r>
      <w:r w:rsidR="00585D5F">
        <w:t>schedule provided under paragraph 33 of this policy statement.</w:t>
      </w:r>
    </w:p>
    <w:p w:rsidR="005F36B4" w:rsidRPr="006432D6" w:rsidRDefault="005F36B4" w:rsidP="005F36B4">
      <w:pPr>
        <w:tabs>
          <w:tab w:val="num" w:pos="720"/>
        </w:tabs>
        <w:jc w:val="both"/>
      </w:pPr>
    </w:p>
    <w:p w:rsidR="005F36B4" w:rsidRPr="00F02024" w:rsidRDefault="005F36B4" w:rsidP="005F36B4">
      <w:pPr>
        <w:numPr>
          <w:ilvl w:val="0"/>
          <w:numId w:val="24"/>
        </w:numPr>
        <w:jc w:val="both"/>
      </w:pPr>
      <w:r w:rsidRPr="006432D6">
        <w:t>The following Board records</w:t>
      </w:r>
      <w:r>
        <w:t xml:space="preserve"> </w:t>
      </w:r>
      <w:r w:rsidR="00907C59" w:rsidRPr="00F02024">
        <w:rPr>
          <w:i/>
        </w:rPr>
        <w:t>prepared on or after July 1, 2010</w:t>
      </w:r>
      <w:r w:rsidR="00907C59" w:rsidRPr="00F02024">
        <w:t>,</w:t>
      </w:r>
      <w:r w:rsidRPr="006432D6">
        <w:t xml:space="preserve"> are posted at the end of the Board’s deliberative </w:t>
      </w:r>
      <w:r w:rsidRPr="00F02024">
        <w:t>process:</w:t>
      </w:r>
    </w:p>
    <w:p w:rsidR="005F36B4" w:rsidRPr="00F02024" w:rsidRDefault="005F36B4" w:rsidP="005F36B4">
      <w:pPr>
        <w:jc w:val="both"/>
      </w:pPr>
    </w:p>
    <w:p w:rsidR="005F36B4" w:rsidRPr="00F02024" w:rsidRDefault="00585D5F" w:rsidP="005F36B4">
      <w:pPr>
        <w:numPr>
          <w:ilvl w:val="0"/>
          <w:numId w:val="25"/>
        </w:numPr>
        <w:ind w:left="1440"/>
        <w:jc w:val="both"/>
      </w:pPr>
      <w:r>
        <w:lastRenderedPageBreak/>
        <w:t xml:space="preserve">Minutes of </w:t>
      </w:r>
      <w:r w:rsidR="005F36B4" w:rsidRPr="00F02024">
        <w:t xml:space="preserve">Board </w:t>
      </w:r>
      <w:r>
        <w:t>meetings</w:t>
      </w:r>
      <w:r w:rsidR="00824EA6">
        <w:t>.</w:t>
      </w:r>
      <w:r w:rsidR="005F36B4" w:rsidRPr="00F02024">
        <w:rPr>
          <w:rStyle w:val="FootnoteReference"/>
        </w:rPr>
        <w:footnoteReference w:id="21"/>
      </w:r>
    </w:p>
    <w:p w:rsidR="005F36B4" w:rsidRPr="00F02024" w:rsidRDefault="005F36B4" w:rsidP="005F36B4">
      <w:pPr>
        <w:numPr>
          <w:ilvl w:val="0"/>
          <w:numId w:val="25"/>
        </w:numPr>
        <w:ind w:left="1440"/>
        <w:jc w:val="both"/>
      </w:pPr>
      <w:r w:rsidRPr="00F02024">
        <w:t>Minutes of Board Committee meetings</w:t>
      </w:r>
      <w:r w:rsidR="00824EA6">
        <w:t>.</w:t>
      </w:r>
      <w:r w:rsidR="007E710A">
        <w:t xml:space="preserve"> </w:t>
      </w:r>
    </w:p>
    <w:p w:rsidR="005F36B4" w:rsidRPr="00F02024" w:rsidRDefault="005F36B4" w:rsidP="005F36B4">
      <w:pPr>
        <w:numPr>
          <w:ilvl w:val="0"/>
          <w:numId w:val="25"/>
        </w:numPr>
        <w:ind w:left="1440"/>
        <w:jc w:val="both"/>
      </w:pPr>
      <w:r w:rsidRPr="00F02024">
        <w:t>Summings-up of Board meetings and Committee of the Whole meetings</w:t>
      </w:r>
      <w:r w:rsidR="00824EA6">
        <w:t>.</w:t>
      </w:r>
    </w:p>
    <w:p w:rsidR="005F36B4" w:rsidRPr="00F02024" w:rsidRDefault="005F36B4" w:rsidP="005F36B4">
      <w:pPr>
        <w:numPr>
          <w:ilvl w:val="0"/>
          <w:numId w:val="25"/>
        </w:numPr>
        <w:ind w:left="1440"/>
        <w:jc w:val="both"/>
      </w:pPr>
      <w:r w:rsidRPr="00F02024">
        <w:t>Summaries of Discussion</w:t>
      </w:r>
      <w:r w:rsidR="007E710A">
        <w:t xml:space="preserve"> (related to Board meetings)</w:t>
      </w:r>
      <w:r w:rsidR="00824EA6">
        <w:t>.</w:t>
      </w:r>
    </w:p>
    <w:p w:rsidR="005F36B4" w:rsidRPr="006432D6" w:rsidRDefault="00C12F22" w:rsidP="005F36B4">
      <w:pPr>
        <w:numPr>
          <w:ilvl w:val="0"/>
          <w:numId w:val="25"/>
        </w:numPr>
        <w:ind w:left="1440"/>
        <w:jc w:val="both"/>
      </w:pPr>
      <w:r w:rsidRPr="00F02024">
        <w:t>Reports to the Board from its Committees</w:t>
      </w:r>
      <w:r w:rsidR="00BA63EB">
        <w:t xml:space="preserve"> (Green Sheets)</w:t>
      </w:r>
      <w:r>
        <w:t xml:space="preserve"> with deliberative information removed</w:t>
      </w:r>
      <w:r w:rsidR="003D49C7">
        <w:t xml:space="preserve"> (summary portion of the Green Sheets</w:t>
      </w:r>
      <w:r w:rsidR="00585D5F">
        <w:t xml:space="preserve">), </w:t>
      </w:r>
      <w:r w:rsidR="004E1578">
        <w:t>if a subsequent B</w:t>
      </w:r>
      <w:r w:rsidR="00585D5F">
        <w:t>oard discussion is not expected</w:t>
      </w:r>
      <w:r w:rsidR="00824EA6">
        <w:t>.</w:t>
      </w:r>
    </w:p>
    <w:p w:rsidR="005F36B4" w:rsidRPr="006432D6" w:rsidRDefault="005F36B4" w:rsidP="005F36B4">
      <w:pPr>
        <w:numPr>
          <w:ilvl w:val="0"/>
          <w:numId w:val="25"/>
        </w:numPr>
        <w:ind w:left="1440"/>
        <w:jc w:val="both"/>
      </w:pPr>
      <w:r w:rsidRPr="006432D6">
        <w:t>Annual Reports of Board Committees</w:t>
      </w:r>
      <w:r w:rsidR="00824EA6">
        <w:t>.</w:t>
      </w:r>
    </w:p>
    <w:p w:rsidR="005F36B4" w:rsidRPr="006432D6" w:rsidRDefault="005F36B4" w:rsidP="005F36B4">
      <w:pPr>
        <w:ind w:left="1440" w:firstLine="60"/>
        <w:jc w:val="both"/>
      </w:pPr>
    </w:p>
    <w:p w:rsidR="005F36B4" w:rsidRPr="006432D6" w:rsidRDefault="005F36B4" w:rsidP="005F36B4">
      <w:pPr>
        <w:numPr>
          <w:ilvl w:val="0"/>
          <w:numId w:val="24"/>
        </w:numPr>
        <w:jc w:val="both"/>
      </w:pPr>
      <w:r w:rsidRPr="006432D6">
        <w:t xml:space="preserve">Board papers distributed for discussion or consideration (decision) by the Board are normally posted at the end of the Board’s deliberative process, once they are finalized. However, the following Board papers whose preparation </w:t>
      </w:r>
      <w:r w:rsidR="005D1728">
        <w:t xml:space="preserve">may have </w:t>
      </w:r>
      <w:r w:rsidRPr="006432D6">
        <w:t>involved consultations with affected parties, civil society groups, and other stakeholders are posted before the Board discussion:</w:t>
      </w:r>
    </w:p>
    <w:p w:rsidR="005F36B4" w:rsidRPr="006432D6" w:rsidRDefault="005F36B4" w:rsidP="005F36B4">
      <w:pPr>
        <w:jc w:val="both"/>
        <w:rPr>
          <w:color w:val="000000"/>
        </w:rPr>
      </w:pPr>
    </w:p>
    <w:p w:rsidR="005F36B4" w:rsidRPr="006432D6" w:rsidRDefault="005F36B4" w:rsidP="005F36B4">
      <w:pPr>
        <w:numPr>
          <w:ilvl w:val="0"/>
          <w:numId w:val="26"/>
        </w:numPr>
        <w:ind w:left="1440"/>
        <w:jc w:val="both"/>
        <w:rPr>
          <w:color w:val="000000"/>
        </w:rPr>
      </w:pPr>
      <w:r w:rsidRPr="006432D6">
        <w:rPr>
          <w:color w:val="000000"/>
        </w:rPr>
        <w:t>Operational policy papers and sector strategy papers that are prepared following a public consultation process, if the Executive Directors have already reviewed a draft version of the paper.</w:t>
      </w:r>
      <w:r w:rsidRPr="006432D6">
        <w:rPr>
          <w:rStyle w:val="FootnoteReference"/>
          <w:color w:val="000000"/>
        </w:rPr>
        <w:footnoteReference w:id="22"/>
      </w:r>
    </w:p>
    <w:p w:rsidR="005F36B4" w:rsidRPr="006432D6" w:rsidRDefault="005F36B4" w:rsidP="005F36B4">
      <w:pPr>
        <w:ind w:left="900"/>
        <w:jc w:val="both"/>
        <w:rPr>
          <w:color w:val="000000"/>
        </w:rPr>
      </w:pPr>
    </w:p>
    <w:p w:rsidR="005F36B4" w:rsidRPr="006432D6" w:rsidRDefault="005F36B4" w:rsidP="005F36B4">
      <w:pPr>
        <w:numPr>
          <w:ilvl w:val="0"/>
          <w:numId w:val="26"/>
        </w:numPr>
        <w:ind w:left="1440"/>
        <w:jc w:val="both"/>
        <w:rPr>
          <w:color w:val="000000"/>
        </w:rPr>
      </w:pPr>
      <w:r w:rsidRPr="006432D6">
        <w:rPr>
          <w:color w:val="000000"/>
        </w:rPr>
        <w:t xml:space="preserve">Country Assistance Strategy papers, Project Appraisal Documents, and Program Documents, if the member country consents to such early disclosure. </w:t>
      </w:r>
    </w:p>
    <w:p w:rsidR="005F36B4" w:rsidRPr="006432D6" w:rsidRDefault="005F36B4" w:rsidP="005F36B4">
      <w:pPr>
        <w:ind w:left="720"/>
        <w:jc w:val="both"/>
        <w:rPr>
          <w:color w:val="000000"/>
        </w:rPr>
      </w:pPr>
    </w:p>
    <w:p w:rsidR="005F36B4" w:rsidRPr="006432D6" w:rsidRDefault="005F36B4" w:rsidP="005F36B4">
      <w:pPr>
        <w:numPr>
          <w:ilvl w:val="0"/>
          <w:numId w:val="24"/>
        </w:numPr>
        <w:jc w:val="both"/>
        <w:rPr>
          <w:color w:val="000000"/>
        </w:rPr>
      </w:pPr>
      <w:r w:rsidRPr="006432D6">
        <w:rPr>
          <w:color w:val="000000"/>
        </w:rPr>
        <w:t xml:space="preserve">Board papers distributed for discussion by a Board Committee are posted at the end of the Committee’s deliberation if a subsequent </w:t>
      </w:r>
      <w:r w:rsidR="00E33BFD">
        <w:rPr>
          <w:color w:val="000000"/>
        </w:rPr>
        <w:t xml:space="preserve">Board </w:t>
      </w:r>
      <w:r w:rsidRPr="006432D6">
        <w:rPr>
          <w:color w:val="000000"/>
        </w:rPr>
        <w:t>discussion is not anticipated.</w:t>
      </w:r>
    </w:p>
    <w:p w:rsidR="005F36B4" w:rsidRPr="006432D6" w:rsidRDefault="005F36B4" w:rsidP="005F36B4">
      <w:pPr>
        <w:jc w:val="both"/>
        <w:rPr>
          <w:color w:val="000000"/>
        </w:rPr>
      </w:pPr>
    </w:p>
    <w:p w:rsidR="005F36B4" w:rsidRPr="006432D6" w:rsidRDefault="005F36B4" w:rsidP="005F36B4">
      <w:pPr>
        <w:numPr>
          <w:ilvl w:val="0"/>
          <w:numId w:val="24"/>
        </w:numPr>
        <w:jc w:val="both"/>
        <w:rPr>
          <w:color w:val="000000"/>
        </w:rPr>
      </w:pPr>
      <w:r w:rsidRPr="006432D6">
        <w:rPr>
          <w:color w:val="000000"/>
        </w:rPr>
        <w:t>Board papers distributed to the Executive Directors for information are posted upon distribution.</w:t>
      </w:r>
    </w:p>
    <w:p w:rsidR="005F36B4" w:rsidRPr="005F36B4" w:rsidRDefault="005F36B4" w:rsidP="005F36B4">
      <w:pPr>
        <w:tabs>
          <w:tab w:val="num" w:pos="9090"/>
        </w:tabs>
        <w:jc w:val="both"/>
      </w:pPr>
    </w:p>
    <w:p w:rsidR="00846C11" w:rsidRPr="00F02024" w:rsidRDefault="000323E5" w:rsidP="004B3461">
      <w:pPr>
        <w:numPr>
          <w:ilvl w:val="0"/>
          <w:numId w:val="13"/>
        </w:numPr>
        <w:ind w:left="0" w:firstLine="0"/>
        <w:jc w:val="both"/>
      </w:pPr>
      <w:r w:rsidRPr="006432D6">
        <w:rPr>
          <w:b/>
          <w:i/>
        </w:rPr>
        <w:t xml:space="preserve">Information on Request. </w:t>
      </w:r>
      <w:r w:rsidR="00BF529B">
        <w:t>I</w:t>
      </w:r>
      <w:r w:rsidR="000B3F50" w:rsidRPr="006432D6">
        <w:t xml:space="preserve">nformation that </w:t>
      </w:r>
      <w:r w:rsidR="00846C11" w:rsidRPr="006432D6">
        <w:t>is</w:t>
      </w:r>
      <w:r w:rsidR="00BF529B">
        <w:t xml:space="preserve"> </w:t>
      </w:r>
      <w:proofErr w:type="spellStart"/>
      <w:r w:rsidR="00BF529B">
        <w:t>disclosable</w:t>
      </w:r>
      <w:proofErr w:type="spellEnd"/>
      <w:r w:rsidR="00BF529B">
        <w:t xml:space="preserve"> under this policy</w:t>
      </w:r>
      <w:r w:rsidR="00E33BFD">
        <w:t xml:space="preserve"> and</w:t>
      </w:r>
      <w:r w:rsidR="00BF529B">
        <w:t xml:space="preserve"> is</w:t>
      </w:r>
      <w:r w:rsidR="00846C11" w:rsidRPr="006432D6">
        <w:t xml:space="preserve"> not on </w:t>
      </w:r>
      <w:r w:rsidR="000B3F50" w:rsidRPr="006432D6">
        <w:t>t</w:t>
      </w:r>
      <w:r w:rsidR="000B3F50" w:rsidRPr="006432D6">
        <w:rPr>
          <w:color w:val="000000"/>
        </w:rPr>
        <w:t>he Bank</w:t>
      </w:r>
      <w:r w:rsidR="00846C11" w:rsidRPr="006432D6">
        <w:rPr>
          <w:color w:val="000000"/>
        </w:rPr>
        <w:t>’s</w:t>
      </w:r>
      <w:r w:rsidR="000B3F50" w:rsidRPr="006432D6">
        <w:rPr>
          <w:color w:val="000000"/>
        </w:rPr>
        <w:t xml:space="preserve"> external website is available on request</w:t>
      </w:r>
      <w:r w:rsidR="00E33BFD">
        <w:rPr>
          <w:color w:val="000000"/>
        </w:rPr>
        <w:t xml:space="preserve"> </w:t>
      </w:r>
      <w:r w:rsidR="00E33BFD">
        <w:t>(subject to paragraph 26)</w:t>
      </w:r>
      <w:r w:rsidRPr="006432D6">
        <w:rPr>
          <w:color w:val="000000"/>
        </w:rPr>
        <w:t xml:space="preserve">. </w:t>
      </w:r>
      <w:r w:rsidRPr="006432D6">
        <w:t xml:space="preserve">Such requests may be submitted in writing by </w:t>
      </w:r>
      <w:r w:rsidR="008702A7" w:rsidRPr="006432D6">
        <w:t xml:space="preserve">electronic </w:t>
      </w:r>
      <w:r w:rsidR="008702A7" w:rsidRPr="00F02024">
        <w:t>means</w:t>
      </w:r>
      <w:r w:rsidR="00CE14E8">
        <w:t>,</w:t>
      </w:r>
      <w:r w:rsidR="008702A7" w:rsidRPr="006432D6">
        <w:t xml:space="preserve"> </w:t>
      </w:r>
      <w:r w:rsidRPr="006432D6">
        <w:t>mail</w:t>
      </w:r>
      <w:r w:rsidR="00CE14E8">
        <w:t>,</w:t>
      </w:r>
      <w:r w:rsidR="008702A7">
        <w:t xml:space="preserve"> or</w:t>
      </w:r>
      <w:r w:rsidRPr="006432D6">
        <w:t xml:space="preserve"> fax</w:t>
      </w:r>
      <w:r w:rsidRPr="00F02024">
        <w:t xml:space="preserve">. </w:t>
      </w:r>
      <w:r w:rsidR="0041611E" w:rsidRPr="00F02024">
        <w:t xml:space="preserve">Requests should indicate, with reasonable specificity, the information </w:t>
      </w:r>
      <w:r w:rsidR="00FE32C8" w:rsidRPr="00F02024">
        <w:t xml:space="preserve">that </w:t>
      </w:r>
      <w:r w:rsidR="0041611E" w:rsidRPr="00F02024">
        <w:t>is being sought</w:t>
      </w:r>
      <w:r w:rsidR="007E710A">
        <w:t>,</w:t>
      </w:r>
      <w:r w:rsidR="00AF5A5D">
        <w:t xml:space="preserve"> to enable</w:t>
      </w:r>
      <w:r w:rsidR="00BD5FD2">
        <w:t xml:space="preserve"> the</w:t>
      </w:r>
      <w:r w:rsidR="00AF5A5D">
        <w:t xml:space="preserve"> </w:t>
      </w:r>
      <w:r w:rsidR="007E710A">
        <w:t xml:space="preserve">Bank to </w:t>
      </w:r>
      <w:r w:rsidR="00AF5A5D">
        <w:t>locat</w:t>
      </w:r>
      <w:r w:rsidR="007E710A">
        <w:t>e</w:t>
      </w:r>
      <w:r w:rsidR="00AF5A5D">
        <w:t xml:space="preserve"> the information within a reasonable period of time</w:t>
      </w:r>
      <w:r w:rsidR="0041611E" w:rsidRPr="00F02024">
        <w:t xml:space="preserve">. </w:t>
      </w:r>
      <w:r w:rsidR="00AF5A5D">
        <w:t xml:space="preserve">If a particular document is required, it should be identified precisely, preferably by date and title. </w:t>
      </w:r>
      <w:r w:rsidR="00AF5A5D" w:rsidRPr="00F02024">
        <w:t xml:space="preserve"> </w:t>
      </w:r>
      <w:r w:rsidRPr="00F02024">
        <w:t xml:space="preserve">Electronic submissions should be directed </w:t>
      </w:r>
      <w:r w:rsidR="00A71E16" w:rsidRPr="00F02024">
        <w:t xml:space="preserve">through the World Bank website: </w:t>
      </w:r>
      <w:r w:rsidR="00C6259B" w:rsidRPr="00495418">
        <w:rPr>
          <w:u w:val="single"/>
        </w:rPr>
        <w:t>www.worldbank.org</w:t>
      </w:r>
      <w:r w:rsidR="00C6259B" w:rsidRPr="00495418">
        <w:rPr>
          <w:color w:val="000000" w:themeColor="text1"/>
          <w:u w:val="single"/>
        </w:rPr>
        <w:t>/</w:t>
      </w:r>
      <w:r w:rsidR="00BD5FD2" w:rsidRPr="00495418">
        <w:rPr>
          <w:color w:val="000000" w:themeColor="text1"/>
          <w:u w:val="single"/>
        </w:rPr>
        <w:t>wb</w:t>
      </w:r>
      <w:r w:rsidR="00BF529B" w:rsidRPr="00495418">
        <w:rPr>
          <w:color w:val="000000" w:themeColor="text1"/>
          <w:u w:val="single"/>
        </w:rPr>
        <w:t>access</w:t>
      </w:r>
      <w:r w:rsidRPr="00F02024">
        <w:t xml:space="preserve">. </w:t>
      </w:r>
      <w:r w:rsidR="00353D40" w:rsidRPr="00F02024">
        <w:t xml:space="preserve"> </w:t>
      </w:r>
      <w:r w:rsidRPr="00F02024">
        <w:t xml:space="preserve">Requests may also be made in person at the </w:t>
      </w:r>
      <w:proofErr w:type="spellStart"/>
      <w:r w:rsidR="008B2082" w:rsidRPr="008B2082">
        <w:t>InfoShop</w:t>
      </w:r>
      <w:proofErr w:type="spellEnd"/>
      <w:r w:rsidR="008B2082" w:rsidRPr="008B2082">
        <w:t xml:space="preserve"> </w:t>
      </w:r>
      <w:r w:rsidRPr="00E33BFD">
        <w:t>i</w:t>
      </w:r>
      <w:r w:rsidRPr="00F02024">
        <w:t>n Washington, DC</w:t>
      </w:r>
      <w:r w:rsidR="00D3413C" w:rsidRPr="00F02024">
        <w:t>,</w:t>
      </w:r>
      <w:r w:rsidR="00A71E16" w:rsidRPr="00F02024">
        <w:t xml:space="preserve"> or</w:t>
      </w:r>
      <w:r w:rsidRPr="00F02024">
        <w:t xml:space="preserve"> the Public Information Centers</w:t>
      </w:r>
      <w:r w:rsidR="009E20C3" w:rsidRPr="00F02024">
        <w:t xml:space="preserve"> located</w:t>
      </w:r>
      <w:r w:rsidRPr="00F02024">
        <w:t xml:space="preserve"> in member countries</w:t>
      </w:r>
      <w:hyperlink r:id="rId11" w:history="1"/>
      <w:r w:rsidRPr="00F02024">
        <w:t xml:space="preserve">. </w:t>
      </w:r>
    </w:p>
    <w:p w:rsidR="00071214" w:rsidRPr="00F02024" w:rsidRDefault="00071214" w:rsidP="00071214">
      <w:pPr>
        <w:tabs>
          <w:tab w:val="num" w:pos="1080"/>
        </w:tabs>
        <w:jc w:val="both"/>
      </w:pPr>
    </w:p>
    <w:p w:rsidR="00071214" w:rsidRPr="006432D6" w:rsidRDefault="00071214" w:rsidP="004B3461">
      <w:pPr>
        <w:numPr>
          <w:ilvl w:val="0"/>
          <w:numId w:val="13"/>
        </w:numPr>
        <w:ind w:left="0" w:firstLine="0"/>
        <w:jc w:val="both"/>
      </w:pPr>
      <w:r w:rsidRPr="00F02024">
        <w:rPr>
          <w:b/>
          <w:i/>
        </w:rPr>
        <w:lastRenderedPageBreak/>
        <w:t>Timelines for Responding to Requests.</w:t>
      </w:r>
      <w:r w:rsidRPr="00F02024">
        <w:t xml:space="preserve">  The Bank acknowledges receipt of written requests for information within 5 working days, and endeavors to provide a more comprehensive response within 20 working days.  Additional time may be needed in special circumstances</w:t>
      </w:r>
      <w:r w:rsidR="005843A5" w:rsidRPr="00F02024">
        <w:t>, including, for example,</w:t>
      </w:r>
      <w:r w:rsidRPr="00F02024">
        <w:t xml:space="preserve"> </w:t>
      </w:r>
      <w:r w:rsidR="00D3413C" w:rsidRPr="00F02024">
        <w:t>those</w:t>
      </w:r>
      <w:r w:rsidR="00D3413C" w:rsidRPr="006432D6">
        <w:t xml:space="preserve"> involving </w:t>
      </w:r>
      <w:r w:rsidRPr="006432D6">
        <w:t xml:space="preserve">complex or voluminous requests, or requests requiring review </w:t>
      </w:r>
      <w:r w:rsidR="007E710A">
        <w:t xml:space="preserve">by </w:t>
      </w:r>
      <w:r w:rsidRPr="006432D6">
        <w:t>or consultations with internal Bank units, external parties, the Access to Information Committee</w:t>
      </w:r>
      <w:r w:rsidR="00FE32C8">
        <w:t>,</w:t>
      </w:r>
      <w:r w:rsidRPr="006432D6">
        <w:t xml:space="preserve"> or the Board.  </w:t>
      </w:r>
    </w:p>
    <w:p w:rsidR="00071214" w:rsidRPr="006432D6" w:rsidRDefault="00071214" w:rsidP="00071214">
      <w:pPr>
        <w:tabs>
          <w:tab w:val="num" w:pos="720"/>
        </w:tabs>
        <w:jc w:val="both"/>
      </w:pPr>
    </w:p>
    <w:p w:rsidR="007C1278" w:rsidRPr="003A3F4C" w:rsidRDefault="00071214" w:rsidP="003A3F4C">
      <w:pPr>
        <w:numPr>
          <w:ilvl w:val="0"/>
          <w:numId w:val="13"/>
        </w:numPr>
        <w:tabs>
          <w:tab w:val="clear" w:pos="720"/>
        </w:tabs>
        <w:ind w:left="0" w:firstLine="0"/>
        <w:jc w:val="both"/>
        <w:rPr>
          <w:rFonts w:ascii="Tms Rmn" w:hAnsi="Tms Rmn"/>
        </w:rPr>
      </w:pPr>
      <w:r w:rsidRPr="006432D6">
        <w:rPr>
          <w:b/>
          <w:i/>
        </w:rPr>
        <w:t>Unreasonable</w:t>
      </w:r>
      <w:r w:rsidR="00D16D65">
        <w:rPr>
          <w:b/>
          <w:i/>
        </w:rPr>
        <w:t xml:space="preserve"> or Unsupported</w:t>
      </w:r>
      <w:r w:rsidRPr="006432D6">
        <w:rPr>
          <w:b/>
          <w:i/>
        </w:rPr>
        <w:t xml:space="preserve"> Requests. </w:t>
      </w:r>
      <w:r w:rsidRPr="006432D6">
        <w:t xml:space="preserve"> The Bank reserves the right to refuse unreasonable </w:t>
      </w:r>
      <w:r w:rsidR="00D16D65">
        <w:t xml:space="preserve">or unsupported </w:t>
      </w:r>
      <w:r w:rsidRPr="006432D6">
        <w:t xml:space="preserve">requests, including multiple requests, blanket requests, and any request that would require the Bank to create, develop, or collate information or data that does not already exist or is not available in the Bank’s records management </w:t>
      </w:r>
      <w:r w:rsidR="008D3E28">
        <w:t>system</w:t>
      </w:r>
      <w:r w:rsidRPr="006432D6">
        <w:t>.</w:t>
      </w:r>
      <w:r w:rsidR="00944157">
        <w:rPr>
          <w:rStyle w:val="FootnoteReference"/>
        </w:rPr>
        <w:footnoteReference w:id="23"/>
      </w:r>
      <w:r w:rsidRPr="006432D6">
        <w:t xml:space="preserve"> The Bank normally communicate</w:t>
      </w:r>
      <w:r w:rsidR="005207E0">
        <w:t>s</w:t>
      </w:r>
      <w:r w:rsidRPr="006432D6">
        <w:t xml:space="preserve"> its decision to refuse an unreasonable</w:t>
      </w:r>
      <w:r w:rsidR="008A15DF">
        <w:t xml:space="preserve"> or unsupported</w:t>
      </w:r>
      <w:r w:rsidRPr="006432D6">
        <w:t xml:space="preserve"> request within the time period set out in paragraph </w:t>
      </w:r>
      <w:r w:rsidR="00DE7D77" w:rsidRPr="006432D6">
        <w:t>25</w:t>
      </w:r>
      <w:r w:rsidR="00811820">
        <w:t xml:space="preserve"> of this policy statement</w:t>
      </w:r>
      <w:r w:rsidRPr="006432D6">
        <w:t xml:space="preserve">. </w:t>
      </w:r>
    </w:p>
    <w:p w:rsidR="003A3F4C" w:rsidRDefault="003A3F4C" w:rsidP="003A3F4C">
      <w:pPr>
        <w:pStyle w:val="ListParagraph"/>
        <w:rPr>
          <w:rFonts w:ascii="Tms Rmn" w:hAnsi="Tms Rmn"/>
        </w:rPr>
      </w:pPr>
    </w:p>
    <w:p w:rsidR="007C1278" w:rsidRPr="00F02024" w:rsidRDefault="00071214" w:rsidP="003A3F4C">
      <w:pPr>
        <w:numPr>
          <w:ilvl w:val="0"/>
          <w:numId w:val="13"/>
        </w:numPr>
        <w:tabs>
          <w:tab w:val="clear" w:pos="720"/>
        </w:tabs>
        <w:ind w:left="0" w:firstLine="0"/>
        <w:jc w:val="both"/>
        <w:rPr>
          <w:color w:val="000000"/>
        </w:rPr>
      </w:pPr>
      <w:r w:rsidRPr="006432D6">
        <w:rPr>
          <w:b/>
          <w:i/>
        </w:rPr>
        <w:t>Service Fees.</w:t>
      </w:r>
      <w:r w:rsidRPr="006432D6">
        <w:t xml:space="preserve">  </w:t>
      </w:r>
      <w:r w:rsidR="00C83AEF" w:rsidRPr="00421B6E">
        <w:t xml:space="preserve">Most operational information is routinely posted on the Bank’s external website, and is available for download free of charge.  </w:t>
      </w:r>
      <w:r w:rsidR="00E85856" w:rsidRPr="00421B6E">
        <w:t>For any request for information that is not routinely posted, t</w:t>
      </w:r>
      <w:r w:rsidR="00C83AEF" w:rsidRPr="00421B6E">
        <w:rPr>
          <w:color w:val="000000"/>
        </w:rPr>
        <w:t>he Bank may charge reasonable fees for providing digital or hard copies</w:t>
      </w:r>
      <w:r w:rsidR="00AB6335">
        <w:rPr>
          <w:color w:val="000000"/>
        </w:rPr>
        <w:t xml:space="preserve">, </w:t>
      </w:r>
      <w:r w:rsidR="00534338">
        <w:rPr>
          <w:color w:val="000000"/>
        </w:rPr>
        <w:t xml:space="preserve">particularly for requests that are complex or time-consuming. </w:t>
      </w:r>
      <w:r w:rsidRPr="006432D6">
        <w:rPr>
          <w:color w:val="000000"/>
        </w:rPr>
        <w:t xml:space="preserve">Publications, some specialized databases, and other knowledge products (including subscription-based services) may be purchased through the Bank’s Office </w:t>
      </w:r>
      <w:r w:rsidRPr="00F02024">
        <w:rPr>
          <w:color w:val="000000"/>
        </w:rPr>
        <w:t xml:space="preserve">of the Publisher.  The full text of books published by the Office of the Publisher may be viewed </w:t>
      </w:r>
      <w:r w:rsidR="009455AF" w:rsidRPr="00F02024">
        <w:rPr>
          <w:color w:val="000000"/>
        </w:rPr>
        <w:t xml:space="preserve">and downloaded </w:t>
      </w:r>
      <w:r w:rsidRPr="00F02024">
        <w:rPr>
          <w:color w:val="000000"/>
        </w:rPr>
        <w:t xml:space="preserve">free of charge on the World Bank website or </w:t>
      </w:r>
      <w:r w:rsidR="009455AF" w:rsidRPr="00F02024">
        <w:rPr>
          <w:color w:val="000000"/>
        </w:rPr>
        <w:t xml:space="preserve">viewed </w:t>
      </w:r>
      <w:r w:rsidRPr="00F02024">
        <w:rPr>
          <w:color w:val="000000"/>
        </w:rPr>
        <w:t xml:space="preserve">on Google Books. The core statistical databases may be accessed free of charge on the World Bank website.  </w:t>
      </w:r>
    </w:p>
    <w:p w:rsidR="00870057" w:rsidRPr="006432D6" w:rsidRDefault="00870057" w:rsidP="00B73A5E">
      <w:pPr>
        <w:tabs>
          <w:tab w:val="num" w:pos="720"/>
        </w:tabs>
        <w:jc w:val="both"/>
      </w:pPr>
    </w:p>
    <w:p w:rsidR="00103CA3" w:rsidRPr="006432D6" w:rsidRDefault="008702A7" w:rsidP="00103CA3">
      <w:pPr>
        <w:jc w:val="both"/>
        <w:rPr>
          <w:b/>
          <w:color w:val="000000"/>
        </w:rPr>
      </w:pPr>
      <w:r>
        <w:rPr>
          <w:b/>
          <w:color w:val="000000"/>
        </w:rPr>
        <w:t>B</w:t>
      </w:r>
      <w:r w:rsidR="002B67B3" w:rsidRPr="006432D6">
        <w:rPr>
          <w:b/>
          <w:color w:val="000000"/>
        </w:rPr>
        <w:t>.</w:t>
      </w:r>
      <w:r w:rsidR="00D85843" w:rsidRPr="006432D6">
        <w:rPr>
          <w:b/>
          <w:color w:val="000000"/>
        </w:rPr>
        <w:tab/>
      </w:r>
      <w:r w:rsidR="00103CA3" w:rsidRPr="006432D6">
        <w:rPr>
          <w:b/>
          <w:color w:val="000000"/>
        </w:rPr>
        <w:t xml:space="preserve">Classification </w:t>
      </w:r>
    </w:p>
    <w:p w:rsidR="00103CA3" w:rsidRPr="006432D6" w:rsidRDefault="00103CA3" w:rsidP="00103CA3">
      <w:pPr>
        <w:jc w:val="both"/>
        <w:rPr>
          <w:color w:val="000000"/>
        </w:rPr>
      </w:pPr>
    </w:p>
    <w:p w:rsidR="007C1278" w:rsidRDefault="00DD33D7" w:rsidP="004B3461">
      <w:pPr>
        <w:numPr>
          <w:ilvl w:val="0"/>
          <w:numId w:val="13"/>
        </w:numPr>
        <w:tabs>
          <w:tab w:val="left" w:pos="0"/>
          <w:tab w:val="left" w:pos="90"/>
          <w:tab w:val="num" w:pos="990"/>
        </w:tabs>
        <w:ind w:left="0" w:firstLine="0"/>
        <w:jc w:val="both"/>
        <w:rPr>
          <w:color w:val="000000"/>
        </w:rPr>
      </w:pPr>
      <w:r w:rsidRPr="006432D6">
        <w:rPr>
          <w:color w:val="000000"/>
        </w:rPr>
        <w:t xml:space="preserve">Bank </w:t>
      </w:r>
      <w:r w:rsidR="00CE14E8">
        <w:rPr>
          <w:color w:val="000000"/>
        </w:rPr>
        <w:t>document</w:t>
      </w:r>
      <w:r w:rsidR="00CE14E8" w:rsidRPr="006432D6">
        <w:rPr>
          <w:color w:val="000000"/>
        </w:rPr>
        <w:t xml:space="preserve">s </w:t>
      </w:r>
      <w:r w:rsidR="00FA03CA">
        <w:rPr>
          <w:color w:val="000000"/>
        </w:rPr>
        <w:t xml:space="preserve">are </w:t>
      </w:r>
      <w:r w:rsidRPr="006432D6">
        <w:rPr>
          <w:color w:val="000000"/>
        </w:rPr>
        <w:t>assigned one of the following four classifications: “Public,” “Official Use Only,” “Confidential,” or “Strictly Confidential.”</w:t>
      </w:r>
      <w:r w:rsidR="00884E03" w:rsidRPr="006432D6">
        <w:rPr>
          <w:color w:val="000000"/>
        </w:rPr>
        <w:t xml:space="preserve">  </w:t>
      </w:r>
    </w:p>
    <w:p w:rsidR="00DD33D7" w:rsidRPr="006432D6" w:rsidRDefault="00DD33D7" w:rsidP="00B73A5E">
      <w:pPr>
        <w:tabs>
          <w:tab w:val="num" w:pos="720"/>
        </w:tabs>
        <w:jc w:val="both"/>
        <w:rPr>
          <w:color w:val="000000"/>
        </w:rPr>
      </w:pPr>
    </w:p>
    <w:p w:rsidR="007C1278" w:rsidRDefault="00DD33D7" w:rsidP="005A1101">
      <w:pPr>
        <w:numPr>
          <w:ilvl w:val="0"/>
          <w:numId w:val="13"/>
        </w:numPr>
        <w:tabs>
          <w:tab w:val="clear" w:pos="720"/>
        </w:tabs>
        <w:ind w:left="0" w:firstLine="0"/>
        <w:jc w:val="both"/>
        <w:rPr>
          <w:color w:val="000000"/>
        </w:rPr>
      </w:pPr>
      <w:r w:rsidRPr="006432D6">
        <w:rPr>
          <w:b/>
          <w:i/>
          <w:color w:val="000000"/>
        </w:rPr>
        <w:t>Information the Bank Creates.</w:t>
      </w:r>
      <w:r w:rsidRPr="006432D6">
        <w:rPr>
          <w:color w:val="000000"/>
        </w:rPr>
        <w:t xml:space="preserve">  </w:t>
      </w:r>
      <w:r w:rsidR="007D3EE7" w:rsidRPr="006432D6">
        <w:rPr>
          <w:color w:val="000000"/>
        </w:rPr>
        <w:t xml:space="preserve">In accordance with AMS 10.11, </w:t>
      </w:r>
      <w:r w:rsidR="00DA74F4" w:rsidRPr="006432D6">
        <w:rPr>
          <w:i/>
          <w:color w:val="000000"/>
        </w:rPr>
        <w:t>Management of Records</w:t>
      </w:r>
      <w:r w:rsidR="00D3413C" w:rsidRPr="006432D6">
        <w:rPr>
          <w:i/>
          <w:color w:val="000000"/>
        </w:rPr>
        <w:t>,</w:t>
      </w:r>
      <w:r w:rsidR="00DA74F4" w:rsidRPr="006432D6">
        <w:rPr>
          <w:i/>
          <w:color w:val="000000"/>
        </w:rPr>
        <w:t xml:space="preserve"> </w:t>
      </w:r>
      <w:r w:rsidR="007D3EE7" w:rsidRPr="006432D6">
        <w:rPr>
          <w:color w:val="000000"/>
        </w:rPr>
        <w:t>the Bank requires the originators of documents prepared</w:t>
      </w:r>
      <w:r w:rsidR="00AF56BB">
        <w:rPr>
          <w:color w:val="000000"/>
        </w:rPr>
        <w:t xml:space="preserve"> in the course of the Bank’s official business to file such documents</w:t>
      </w:r>
      <w:r w:rsidR="007D3EE7" w:rsidRPr="006432D6">
        <w:rPr>
          <w:color w:val="000000"/>
        </w:rPr>
        <w:t xml:space="preserve"> in the Bank’s records management </w:t>
      </w:r>
      <w:r w:rsidR="008D3E28">
        <w:rPr>
          <w:color w:val="000000"/>
        </w:rPr>
        <w:t>system</w:t>
      </w:r>
      <w:r w:rsidR="007D3EE7" w:rsidRPr="006432D6">
        <w:rPr>
          <w:color w:val="000000"/>
        </w:rPr>
        <w:t xml:space="preserve">.  Much of the information created by the Bank is available to the public and is classified </w:t>
      </w:r>
      <w:r w:rsidR="00D3413C" w:rsidRPr="006432D6">
        <w:rPr>
          <w:color w:val="000000"/>
        </w:rPr>
        <w:t xml:space="preserve">as </w:t>
      </w:r>
      <w:r w:rsidR="007D3EE7" w:rsidRPr="006432D6">
        <w:rPr>
          <w:color w:val="000000"/>
        </w:rPr>
        <w:t xml:space="preserve">“Public.”  Information that falls under the exceptions, and documents containing such information, are classified </w:t>
      </w:r>
      <w:r w:rsidR="005207E0">
        <w:rPr>
          <w:bCs/>
          <w:color w:val="000000"/>
        </w:rPr>
        <w:t>as</w:t>
      </w:r>
      <w:r w:rsidR="007D3EE7" w:rsidRPr="006432D6">
        <w:rPr>
          <w:bCs/>
          <w:color w:val="000000"/>
        </w:rPr>
        <w:t xml:space="preserve"> “Official Use Only,” “Confidential,” or “Strictly Confidential” </w:t>
      </w:r>
      <w:r w:rsidR="007D3EE7" w:rsidRPr="006432D6">
        <w:rPr>
          <w:color w:val="000000"/>
        </w:rPr>
        <w:t xml:space="preserve">in accordance with AMS 6.21A, </w:t>
      </w:r>
      <w:r w:rsidR="007D3EE7" w:rsidRPr="006432D6">
        <w:rPr>
          <w:i/>
          <w:iCs/>
          <w:color w:val="000000"/>
        </w:rPr>
        <w:t xml:space="preserve">Information Classification and </w:t>
      </w:r>
      <w:r w:rsidR="00BD73CD">
        <w:rPr>
          <w:i/>
          <w:iCs/>
          <w:color w:val="000000"/>
        </w:rPr>
        <w:t>Control</w:t>
      </w:r>
      <w:r w:rsidR="007D3EE7" w:rsidRPr="006432D6">
        <w:rPr>
          <w:i/>
          <w:iCs/>
          <w:color w:val="000000"/>
        </w:rPr>
        <w:t xml:space="preserve"> Policy.</w:t>
      </w:r>
      <w:r w:rsidR="001F433D">
        <w:rPr>
          <w:iCs/>
          <w:color w:val="000000"/>
        </w:rPr>
        <w:t xml:space="preserve">  Draft papers</w:t>
      </w:r>
      <w:r w:rsidR="004B0C12">
        <w:rPr>
          <w:iCs/>
          <w:color w:val="000000"/>
        </w:rPr>
        <w:t xml:space="preserve"> </w:t>
      </w:r>
      <w:r w:rsidR="001F433D">
        <w:rPr>
          <w:iCs/>
          <w:color w:val="000000"/>
        </w:rPr>
        <w:t>are treated as deliberative documents.</w:t>
      </w:r>
    </w:p>
    <w:p w:rsidR="000D2822" w:rsidRPr="006432D6" w:rsidRDefault="000D2822" w:rsidP="00B73A5E">
      <w:pPr>
        <w:tabs>
          <w:tab w:val="num" w:pos="720"/>
        </w:tabs>
        <w:jc w:val="both"/>
        <w:rPr>
          <w:color w:val="000000"/>
        </w:rPr>
      </w:pPr>
    </w:p>
    <w:p w:rsidR="007C1278" w:rsidRDefault="0087631E" w:rsidP="005A1101">
      <w:pPr>
        <w:numPr>
          <w:ilvl w:val="0"/>
          <w:numId w:val="13"/>
        </w:numPr>
        <w:tabs>
          <w:tab w:val="clear" w:pos="720"/>
        </w:tabs>
        <w:ind w:left="0" w:firstLine="0"/>
        <w:jc w:val="both"/>
        <w:rPr>
          <w:color w:val="000000"/>
        </w:rPr>
      </w:pPr>
      <w:r w:rsidRPr="006432D6">
        <w:rPr>
          <w:b/>
          <w:i/>
          <w:color w:val="000000"/>
        </w:rPr>
        <w:t>Information the Bank Receives.</w:t>
      </w:r>
      <w:r w:rsidRPr="006432D6">
        <w:rPr>
          <w:color w:val="000000"/>
        </w:rPr>
        <w:t xml:space="preserve">  </w:t>
      </w:r>
      <w:r w:rsidR="00C458F0" w:rsidRPr="006432D6">
        <w:rPr>
          <w:color w:val="000000"/>
        </w:rPr>
        <w:t xml:space="preserve">The Bank also requires that member countries </w:t>
      </w:r>
      <w:r w:rsidR="00125AA2" w:rsidRPr="006432D6">
        <w:rPr>
          <w:color w:val="000000"/>
        </w:rPr>
        <w:t>or</w:t>
      </w:r>
      <w:r w:rsidR="00C458F0" w:rsidRPr="006432D6">
        <w:rPr>
          <w:color w:val="000000"/>
        </w:rPr>
        <w:t xml:space="preserve"> third parties </w:t>
      </w:r>
      <w:r w:rsidR="00A93B8E" w:rsidRPr="006432D6">
        <w:rPr>
          <w:color w:val="000000"/>
        </w:rPr>
        <w:t xml:space="preserve">assign </w:t>
      </w:r>
      <w:r w:rsidR="00BD4E67" w:rsidRPr="006432D6">
        <w:rPr>
          <w:color w:val="000000"/>
        </w:rPr>
        <w:t xml:space="preserve">appropriate </w:t>
      </w:r>
      <w:r w:rsidR="00BD73CD" w:rsidRPr="005207E0">
        <w:rPr>
          <w:color w:val="000000"/>
        </w:rPr>
        <w:t>information</w:t>
      </w:r>
      <w:r w:rsidR="00BD73CD" w:rsidRPr="006432D6">
        <w:rPr>
          <w:color w:val="000000"/>
        </w:rPr>
        <w:t xml:space="preserve"> </w:t>
      </w:r>
      <w:r w:rsidR="00A93B8E" w:rsidRPr="006432D6">
        <w:rPr>
          <w:color w:val="000000"/>
        </w:rPr>
        <w:t>classifica</w:t>
      </w:r>
      <w:r w:rsidR="00FF5D96" w:rsidRPr="006432D6">
        <w:rPr>
          <w:color w:val="000000"/>
        </w:rPr>
        <w:t>tion</w:t>
      </w:r>
      <w:r w:rsidR="00BD4E67" w:rsidRPr="006432D6">
        <w:rPr>
          <w:color w:val="000000"/>
        </w:rPr>
        <w:t>s</w:t>
      </w:r>
      <w:r w:rsidR="00FF5D96" w:rsidRPr="006432D6">
        <w:rPr>
          <w:color w:val="000000"/>
        </w:rPr>
        <w:t xml:space="preserve"> to </w:t>
      </w:r>
      <w:r w:rsidR="000F520F" w:rsidRPr="006432D6">
        <w:rPr>
          <w:color w:val="000000"/>
        </w:rPr>
        <w:t xml:space="preserve">information </w:t>
      </w:r>
      <w:r w:rsidR="00FF5D96" w:rsidRPr="006432D6">
        <w:rPr>
          <w:color w:val="000000"/>
        </w:rPr>
        <w:t xml:space="preserve">that they provide to </w:t>
      </w:r>
      <w:r w:rsidR="00A93B8E" w:rsidRPr="006432D6">
        <w:rPr>
          <w:color w:val="000000"/>
        </w:rPr>
        <w:t>the Bank</w:t>
      </w:r>
      <w:r w:rsidR="00D00E97" w:rsidRPr="006432D6">
        <w:rPr>
          <w:color w:val="000000"/>
        </w:rPr>
        <w:t>.</w:t>
      </w:r>
      <w:r w:rsidR="00BD4E67" w:rsidRPr="006432D6">
        <w:rPr>
          <w:color w:val="000000"/>
        </w:rPr>
        <w:t xml:space="preserve">  </w:t>
      </w:r>
      <w:r w:rsidR="002419C7" w:rsidRPr="006432D6">
        <w:rPr>
          <w:color w:val="000000"/>
        </w:rPr>
        <w:t xml:space="preserve">If </w:t>
      </w:r>
      <w:r w:rsidR="00FC5B9C" w:rsidRPr="006432D6">
        <w:rPr>
          <w:color w:val="000000"/>
        </w:rPr>
        <w:t xml:space="preserve">the Bank receives information in confidence from </w:t>
      </w:r>
      <w:r w:rsidR="002419C7" w:rsidRPr="006432D6">
        <w:rPr>
          <w:color w:val="000000"/>
        </w:rPr>
        <w:t>a member country or a third party</w:t>
      </w:r>
      <w:r w:rsidR="00B42C90" w:rsidRPr="006432D6">
        <w:rPr>
          <w:color w:val="000000"/>
        </w:rPr>
        <w:t xml:space="preserve">, </w:t>
      </w:r>
      <w:r w:rsidR="002419C7" w:rsidRPr="006432D6">
        <w:rPr>
          <w:color w:val="000000"/>
        </w:rPr>
        <w:t xml:space="preserve">the </w:t>
      </w:r>
      <w:r w:rsidR="000F520F" w:rsidRPr="006432D6">
        <w:rPr>
          <w:color w:val="000000"/>
        </w:rPr>
        <w:t xml:space="preserve">recipient Bank unit ensures that </w:t>
      </w:r>
      <w:r w:rsidR="00B42C90" w:rsidRPr="006432D6">
        <w:rPr>
          <w:color w:val="000000"/>
        </w:rPr>
        <w:t>such information</w:t>
      </w:r>
      <w:r w:rsidR="001F3992" w:rsidRPr="006432D6">
        <w:rPr>
          <w:color w:val="000000"/>
        </w:rPr>
        <w:t xml:space="preserve"> is </w:t>
      </w:r>
      <w:r w:rsidR="002064D8" w:rsidRPr="006432D6">
        <w:rPr>
          <w:color w:val="000000"/>
        </w:rPr>
        <w:t xml:space="preserve">(a) </w:t>
      </w:r>
      <w:r w:rsidR="001F3992" w:rsidRPr="006432D6">
        <w:rPr>
          <w:color w:val="000000"/>
        </w:rPr>
        <w:lastRenderedPageBreak/>
        <w:t>appropriately classified</w:t>
      </w:r>
      <w:r w:rsidR="002064D8" w:rsidRPr="006432D6">
        <w:rPr>
          <w:color w:val="000000"/>
        </w:rPr>
        <w:t xml:space="preserve"> in accordance with the provider’s expectation, using the Bank’s </w:t>
      </w:r>
      <w:r w:rsidR="00BD73CD">
        <w:rPr>
          <w:color w:val="000000"/>
        </w:rPr>
        <w:t>information</w:t>
      </w:r>
      <w:r w:rsidR="00BD73CD" w:rsidRPr="006432D6">
        <w:rPr>
          <w:color w:val="000000"/>
        </w:rPr>
        <w:t xml:space="preserve"> </w:t>
      </w:r>
      <w:r w:rsidR="002064D8" w:rsidRPr="006432D6">
        <w:rPr>
          <w:color w:val="000000"/>
        </w:rPr>
        <w:t>classification levels, and (b) filed</w:t>
      </w:r>
      <w:r w:rsidR="001F3992" w:rsidRPr="006432D6">
        <w:rPr>
          <w:color w:val="000000"/>
        </w:rPr>
        <w:t xml:space="preserve"> </w:t>
      </w:r>
      <w:r w:rsidR="004275AA" w:rsidRPr="006432D6">
        <w:rPr>
          <w:color w:val="000000"/>
        </w:rPr>
        <w:t xml:space="preserve">in the Bank’s records management </w:t>
      </w:r>
      <w:r w:rsidR="008D3E28">
        <w:rPr>
          <w:color w:val="000000"/>
        </w:rPr>
        <w:t>system</w:t>
      </w:r>
      <w:r w:rsidR="005239D5" w:rsidRPr="006432D6">
        <w:rPr>
          <w:color w:val="000000"/>
        </w:rPr>
        <w:t xml:space="preserve">; </w:t>
      </w:r>
      <w:r w:rsidR="000F520F" w:rsidRPr="006432D6">
        <w:rPr>
          <w:color w:val="000000"/>
        </w:rPr>
        <w:t xml:space="preserve">the </w:t>
      </w:r>
      <w:r w:rsidR="002419C7" w:rsidRPr="006432D6">
        <w:rPr>
          <w:color w:val="000000"/>
        </w:rPr>
        <w:t xml:space="preserve">Bank does not disclose </w:t>
      </w:r>
      <w:r w:rsidR="001F3992" w:rsidRPr="006432D6">
        <w:rPr>
          <w:color w:val="000000"/>
        </w:rPr>
        <w:t xml:space="preserve">such information </w:t>
      </w:r>
      <w:r w:rsidR="002419C7" w:rsidRPr="006432D6">
        <w:rPr>
          <w:color w:val="000000"/>
        </w:rPr>
        <w:t xml:space="preserve">without the written consent of the country or the third party </w:t>
      </w:r>
      <w:r w:rsidR="002419C7" w:rsidRPr="00F02024">
        <w:rPr>
          <w:color w:val="000000"/>
        </w:rPr>
        <w:t>concerned.</w:t>
      </w:r>
      <w:r w:rsidR="009E5E72" w:rsidRPr="00F02024">
        <w:rPr>
          <w:color w:val="000000"/>
        </w:rPr>
        <w:t xml:space="preserve">  </w:t>
      </w:r>
      <w:r w:rsidR="00FF5D96" w:rsidRPr="00F02024">
        <w:rPr>
          <w:color w:val="000000"/>
        </w:rPr>
        <w:t>I</w:t>
      </w:r>
      <w:r w:rsidR="00711E2E" w:rsidRPr="00F02024">
        <w:rPr>
          <w:color w:val="000000"/>
        </w:rPr>
        <w:t xml:space="preserve">f </w:t>
      </w:r>
      <w:r w:rsidR="00125AA2" w:rsidRPr="00F02024">
        <w:rPr>
          <w:color w:val="000000"/>
        </w:rPr>
        <w:t>a member country or third party fails to assign a</w:t>
      </w:r>
      <w:r w:rsidR="00BD73CD" w:rsidRPr="00F02024">
        <w:rPr>
          <w:color w:val="000000"/>
        </w:rPr>
        <w:t>n</w:t>
      </w:r>
      <w:r w:rsidR="00125AA2" w:rsidRPr="00F02024">
        <w:rPr>
          <w:color w:val="000000"/>
        </w:rPr>
        <w:t xml:space="preserve"> </w:t>
      </w:r>
      <w:r w:rsidR="00BD73CD" w:rsidRPr="00F02024">
        <w:rPr>
          <w:color w:val="000000"/>
        </w:rPr>
        <w:t xml:space="preserve">information </w:t>
      </w:r>
      <w:r w:rsidR="00125AA2" w:rsidRPr="00F02024">
        <w:rPr>
          <w:color w:val="000000"/>
        </w:rPr>
        <w:t>classification</w:t>
      </w:r>
      <w:r w:rsidR="008F0A7B" w:rsidRPr="00F02024">
        <w:rPr>
          <w:color w:val="000000"/>
        </w:rPr>
        <w:t xml:space="preserve"> and </w:t>
      </w:r>
      <w:r w:rsidR="0040704F" w:rsidRPr="00F02024">
        <w:t>if</w:t>
      </w:r>
      <w:r w:rsidR="000622E3" w:rsidRPr="00F02024">
        <w:t>, to the Bank’s knowledge,</w:t>
      </w:r>
      <w:r w:rsidR="0040704F" w:rsidRPr="00F02024">
        <w:t xml:space="preserve"> the</w:t>
      </w:r>
      <w:r w:rsidR="0040704F" w:rsidRPr="006432D6">
        <w:t xml:space="preserve"> information has not already been made publicly available by the member country or third party, </w:t>
      </w:r>
      <w:r w:rsidR="008F0A7B" w:rsidRPr="006432D6">
        <w:rPr>
          <w:color w:val="000000"/>
        </w:rPr>
        <w:t xml:space="preserve">the </w:t>
      </w:r>
      <w:r w:rsidR="00367116">
        <w:rPr>
          <w:color w:val="000000"/>
        </w:rPr>
        <w:t xml:space="preserve">Bank considers the information </w:t>
      </w:r>
      <w:r w:rsidR="00821A32">
        <w:rPr>
          <w:color w:val="000000"/>
        </w:rPr>
        <w:t>to be, as relevant, deliberative information or information provided in confidence;</w:t>
      </w:r>
      <w:r w:rsidR="00821A32">
        <w:rPr>
          <w:rStyle w:val="FootnoteReference"/>
          <w:color w:val="000000"/>
        </w:rPr>
        <w:footnoteReference w:id="24"/>
      </w:r>
      <w:r w:rsidR="00821A32">
        <w:rPr>
          <w:color w:val="000000"/>
        </w:rPr>
        <w:t xml:space="preserve"> </w:t>
      </w:r>
      <w:r w:rsidR="00633A55">
        <w:rPr>
          <w:color w:val="000000"/>
        </w:rPr>
        <w:t xml:space="preserve">the </w:t>
      </w:r>
      <w:r w:rsidR="00125AA2" w:rsidRPr="006432D6">
        <w:rPr>
          <w:color w:val="000000"/>
        </w:rPr>
        <w:t>recipient Ban</w:t>
      </w:r>
      <w:r w:rsidR="00711E2E" w:rsidRPr="006432D6">
        <w:rPr>
          <w:color w:val="000000"/>
        </w:rPr>
        <w:t xml:space="preserve">k unit </w:t>
      </w:r>
      <w:r w:rsidR="00DD33D7" w:rsidRPr="006432D6">
        <w:rPr>
          <w:color w:val="000000"/>
        </w:rPr>
        <w:t xml:space="preserve">classifies it </w:t>
      </w:r>
      <w:r w:rsidR="008F0A7B" w:rsidRPr="006432D6">
        <w:rPr>
          <w:color w:val="000000"/>
        </w:rPr>
        <w:t xml:space="preserve">in accordance with </w:t>
      </w:r>
      <w:r w:rsidR="00326D4C" w:rsidRPr="006432D6">
        <w:rPr>
          <w:color w:val="000000"/>
        </w:rPr>
        <w:t>AMS 6.21A</w:t>
      </w:r>
      <w:r w:rsidR="00901AB9" w:rsidRPr="006432D6">
        <w:rPr>
          <w:color w:val="000000"/>
        </w:rPr>
        <w:t>,</w:t>
      </w:r>
      <w:r w:rsidR="00326D4C" w:rsidRPr="006432D6">
        <w:rPr>
          <w:color w:val="000000"/>
        </w:rPr>
        <w:t xml:space="preserve"> </w:t>
      </w:r>
      <w:r w:rsidR="00326D4C" w:rsidRPr="006432D6">
        <w:rPr>
          <w:i/>
          <w:color w:val="000000"/>
        </w:rPr>
        <w:t xml:space="preserve">Information Classification and </w:t>
      </w:r>
      <w:r w:rsidR="00BD73CD">
        <w:rPr>
          <w:i/>
          <w:color w:val="000000"/>
        </w:rPr>
        <w:t>Control</w:t>
      </w:r>
      <w:r w:rsidR="00BD73CD" w:rsidRPr="006432D6">
        <w:rPr>
          <w:i/>
          <w:color w:val="000000"/>
        </w:rPr>
        <w:t xml:space="preserve"> </w:t>
      </w:r>
      <w:r w:rsidR="00326D4C" w:rsidRPr="006432D6">
        <w:rPr>
          <w:i/>
          <w:color w:val="000000"/>
        </w:rPr>
        <w:t>Policy</w:t>
      </w:r>
      <w:r w:rsidR="00FF5D96" w:rsidRPr="006432D6">
        <w:rPr>
          <w:color w:val="000000"/>
        </w:rPr>
        <w:t>.</w:t>
      </w:r>
    </w:p>
    <w:p w:rsidR="00326D4C" w:rsidRPr="006432D6" w:rsidRDefault="00326D4C" w:rsidP="00103CA3">
      <w:pPr>
        <w:jc w:val="both"/>
        <w:rPr>
          <w:b/>
          <w:color w:val="000000"/>
        </w:rPr>
      </w:pPr>
    </w:p>
    <w:p w:rsidR="00506698" w:rsidRPr="006432D6" w:rsidRDefault="00534338" w:rsidP="00103CA3">
      <w:pPr>
        <w:jc w:val="both"/>
        <w:rPr>
          <w:b/>
          <w:color w:val="000000"/>
        </w:rPr>
      </w:pPr>
      <w:r>
        <w:rPr>
          <w:b/>
          <w:color w:val="000000"/>
        </w:rPr>
        <w:t>C</w:t>
      </w:r>
      <w:r w:rsidR="00A6150B" w:rsidRPr="006432D6">
        <w:rPr>
          <w:b/>
          <w:color w:val="000000"/>
        </w:rPr>
        <w:t>.</w:t>
      </w:r>
      <w:r w:rsidR="00506698" w:rsidRPr="006432D6">
        <w:rPr>
          <w:b/>
          <w:color w:val="000000"/>
        </w:rPr>
        <w:tab/>
        <w:t>Declassification</w:t>
      </w:r>
    </w:p>
    <w:p w:rsidR="00506698" w:rsidRPr="006432D6" w:rsidRDefault="00506698" w:rsidP="00103CA3">
      <w:pPr>
        <w:jc w:val="both"/>
        <w:rPr>
          <w:color w:val="000000"/>
        </w:rPr>
      </w:pPr>
    </w:p>
    <w:p w:rsidR="007C1278" w:rsidRDefault="00251DD6" w:rsidP="005A1101">
      <w:pPr>
        <w:numPr>
          <w:ilvl w:val="0"/>
          <w:numId w:val="13"/>
        </w:numPr>
        <w:tabs>
          <w:tab w:val="clear" w:pos="720"/>
        </w:tabs>
        <w:ind w:left="0" w:firstLine="0"/>
        <w:jc w:val="both"/>
        <w:rPr>
          <w:color w:val="000000"/>
        </w:rPr>
      </w:pPr>
      <w:r w:rsidRPr="006432D6">
        <w:rPr>
          <w:color w:val="000000"/>
        </w:rPr>
        <w:t>The Bank declassifies and discloses</w:t>
      </w:r>
      <w:r w:rsidR="0084650A" w:rsidRPr="006432D6">
        <w:rPr>
          <w:color w:val="000000"/>
        </w:rPr>
        <w:t>—routinely on the Bank’s external website, and in response to requests—</w:t>
      </w:r>
      <w:r w:rsidRPr="006432D6">
        <w:rPr>
          <w:color w:val="000000"/>
        </w:rPr>
        <w:t xml:space="preserve">certain types of </w:t>
      </w:r>
      <w:r w:rsidR="00534338">
        <w:rPr>
          <w:color w:val="000000"/>
        </w:rPr>
        <w:t xml:space="preserve">restricted </w:t>
      </w:r>
      <w:r w:rsidRPr="006432D6">
        <w:rPr>
          <w:color w:val="000000"/>
        </w:rPr>
        <w:t xml:space="preserve">information </w:t>
      </w:r>
      <w:r w:rsidR="00BE3D18" w:rsidRPr="006432D6">
        <w:rPr>
          <w:color w:val="000000"/>
        </w:rPr>
        <w:t xml:space="preserve">(including information prepared under </w:t>
      </w:r>
      <w:r w:rsidR="00EF4BB9" w:rsidRPr="006432D6">
        <w:rPr>
          <w:color w:val="000000"/>
        </w:rPr>
        <w:t>earlier disclosure policies of the Bank)</w:t>
      </w:r>
      <w:r w:rsidR="00EF4BB9" w:rsidRPr="006432D6">
        <w:rPr>
          <w:i/>
          <w:color w:val="000000"/>
        </w:rPr>
        <w:t xml:space="preserve"> </w:t>
      </w:r>
      <w:r w:rsidRPr="006432D6">
        <w:rPr>
          <w:color w:val="000000"/>
        </w:rPr>
        <w:t>as their sensitivity diminishes over time.</w:t>
      </w:r>
      <w:r w:rsidR="008E48C4" w:rsidRPr="006432D6">
        <w:rPr>
          <w:color w:val="000000"/>
        </w:rPr>
        <w:t xml:space="preserve">  </w:t>
      </w:r>
      <w:r w:rsidRPr="006432D6">
        <w:rPr>
          <w:color w:val="000000"/>
        </w:rPr>
        <w:t xml:space="preserve">Some </w:t>
      </w:r>
      <w:r w:rsidR="00F255DA" w:rsidRPr="006432D6">
        <w:rPr>
          <w:color w:val="000000"/>
        </w:rPr>
        <w:t xml:space="preserve">restricted </w:t>
      </w:r>
      <w:r w:rsidRPr="006432D6">
        <w:rPr>
          <w:color w:val="000000"/>
        </w:rPr>
        <w:t xml:space="preserve">information is not eligible for declassification.  </w:t>
      </w:r>
    </w:p>
    <w:p w:rsidR="00C13662" w:rsidRPr="006432D6" w:rsidRDefault="00C13662" w:rsidP="009A414C">
      <w:pPr>
        <w:tabs>
          <w:tab w:val="num" w:pos="720"/>
        </w:tabs>
        <w:jc w:val="both"/>
      </w:pPr>
    </w:p>
    <w:p w:rsidR="007C1278" w:rsidRDefault="00251DD6" w:rsidP="005A1101">
      <w:pPr>
        <w:numPr>
          <w:ilvl w:val="0"/>
          <w:numId w:val="13"/>
        </w:numPr>
        <w:tabs>
          <w:tab w:val="clear" w:pos="720"/>
        </w:tabs>
        <w:ind w:left="0" w:firstLine="0"/>
        <w:jc w:val="both"/>
      </w:pPr>
      <w:r w:rsidRPr="006432D6">
        <w:rPr>
          <w:b/>
          <w:i/>
        </w:rPr>
        <w:t>Information Not Eligible for Declassification.</w:t>
      </w:r>
      <w:r w:rsidRPr="006432D6">
        <w:t xml:space="preserve">  The information </w:t>
      </w:r>
      <w:r w:rsidR="009E5E72" w:rsidRPr="006432D6">
        <w:t>that is restricted</w:t>
      </w:r>
      <w:r w:rsidR="00D072D8" w:rsidRPr="006432D6">
        <w:t xml:space="preserve"> from disclosure</w:t>
      </w:r>
      <w:r w:rsidR="009E5E72" w:rsidRPr="006432D6">
        <w:t xml:space="preserve"> </w:t>
      </w:r>
      <w:r w:rsidR="004D176E" w:rsidRPr="006432D6">
        <w:t xml:space="preserve">under </w:t>
      </w:r>
      <w:r w:rsidRPr="006432D6">
        <w:t xml:space="preserve">the exceptions </w:t>
      </w:r>
      <w:r w:rsidR="004D176E" w:rsidRPr="006432D6">
        <w:t xml:space="preserve">set out in </w:t>
      </w:r>
      <w:r w:rsidR="00884E03" w:rsidRPr="006432D6">
        <w:t xml:space="preserve">paragraphs </w:t>
      </w:r>
      <w:r w:rsidR="006608ED" w:rsidRPr="006432D6">
        <w:t>8</w:t>
      </w:r>
      <w:r w:rsidR="00884E03" w:rsidRPr="006432D6">
        <w:t>-</w:t>
      </w:r>
      <w:r w:rsidR="006608ED" w:rsidRPr="006432D6">
        <w:t>15</w:t>
      </w:r>
      <w:r w:rsidR="006F4B7E">
        <w:t xml:space="preserve"> and</w:t>
      </w:r>
      <w:r w:rsidR="004D176E" w:rsidRPr="006432D6">
        <w:t xml:space="preserve"> </w:t>
      </w:r>
      <w:r w:rsidR="006608ED" w:rsidRPr="006432D6">
        <w:t xml:space="preserve">17 </w:t>
      </w:r>
      <w:r w:rsidR="009E5E72" w:rsidRPr="006432D6">
        <w:t>(d)</w:t>
      </w:r>
      <w:r w:rsidR="00DE643E" w:rsidRPr="006432D6">
        <w:t xml:space="preserve"> </w:t>
      </w:r>
      <w:r w:rsidR="00E8346C" w:rsidRPr="006432D6">
        <w:t xml:space="preserve">of this </w:t>
      </w:r>
      <w:r w:rsidR="00AC7008">
        <w:t>p</w:t>
      </w:r>
      <w:r w:rsidR="00E8346C" w:rsidRPr="006432D6">
        <w:t xml:space="preserve">olicy </w:t>
      </w:r>
      <w:r w:rsidR="00AC7008">
        <w:t>s</w:t>
      </w:r>
      <w:r w:rsidR="00E8346C" w:rsidRPr="006432D6">
        <w:t xml:space="preserve">tatement </w:t>
      </w:r>
      <w:r w:rsidR="00C02EE7" w:rsidRPr="006432D6">
        <w:t>(i.e.,</w:t>
      </w:r>
      <w:r w:rsidR="00D072D8" w:rsidRPr="006432D6">
        <w:t xml:space="preserve"> </w:t>
      </w:r>
      <w:r w:rsidR="00907C59" w:rsidRPr="00907C59">
        <w:rPr>
          <w:color w:val="000000"/>
        </w:rPr>
        <w:t>Personal Information</w:t>
      </w:r>
      <w:r w:rsidR="00D072D8" w:rsidRPr="00AC7008">
        <w:t xml:space="preserve">; </w:t>
      </w:r>
      <w:r w:rsidR="00907C59" w:rsidRPr="00907C59">
        <w:rPr>
          <w:color w:val="000000"/>
        </w:rPr>
        <w:t xml:space="preserve">Communications of Executive Directors’ </w:t>
      </w:r>
      <w:r w:rsidR="00AC7008">
        <w:rPr>
          <w:color w:val="000000"/>
        </w:rPr>
        <w:t>O</w:t>
      </w:r>
      <w:r w:rsidR="00907C59" w:rsidRPr="00907C59">
        <w:rPr>
          <w:color w:val="000000"/>
        </w:rPr>
        <w:t>ffices</w:t>
      </w:r>
      <w:r w:rsidR="00D072D8" w:rsidRPr="00AC7008">
        <w:rPr>
          <w:color w:val="000000"/>
        </w:rPr>
        <w:t xml:space="preserve">; </w:t>
      </w:r>
      <w:r w:rsidR="00907C59" w:rsidRPr="00907C59">
        <w:rPr>
          <w:color w:val="000000"/>
        </w:rPr>
        <w:t>Ethics Committee</w:t>
      </w:r>
      <w:r w:rsidR="00D072D8" w:rsidRPr="00AC7008">
        <w:rPr>
          <w:color w:val="000000"/>
        </w:rPr>
        <w:t xml:space="preserve">; </w:t>
      </w:r>
      <w:r w:rsidR="00907C59" w:rsidRPr="00907C59">
        <w:rPr>
          <w:color w:val="000000"/>
        </w:rPr>
        <w:t>Attorney-Client Privilege</w:t>
      </w:r>
      <w:r w:rsidR="00D072D8" w:rsidRPr="00AC7008">
        <w:rPr>
          <w:color w:val="000000"/>
        </w:rPr>
        <w:t xml:space="preserve">; </w:t>
      </w:r>
      <w:r w:rsidR="00907C59" w:rsidRPr="00907C59">
        <w:rPr>
          <w:color w:val="000000"/>
        </w:rPr>
        <w:t>Security and Safety</w:t>
      </w:r>
      <w:r w:rsidR="00D072D8" w:rsidRPr="00AC7008">
        <w:rPr>
          <w:color w:val="000000"/>
        </w:rPr>
        <w:t xml:space="preserve">; </w:t>
      </w:r>
      <w:r w:rsidR="00907C59" w:rsidRPr="00907C59">
        <w:t>Information Restricted Under Separate Disclosure Regimes and Other Investigative Information</w:t>
      </w:r>
      <w:r w:rsidR="00D072D8" w:rsidRPr="00AC7008">
        <w:t xml:space="preserve">; </w:t>
      </w:r>
      <w:r w:rsidR="00907C59" w:rsidRPr="00907C59">
        <w:t>Information Provided by Member Countries or Third Parties in Confidence</w:t>
      </w:r>
      <w:r w:rsidR="00D072D8" w:rsidRPr="00AC7008">
        <w:t xml:space="preserve">; </w:t>
      </w:r>
      <w:r w:rsidR="00907C59" w:rsidRPr="00907C59">
        <w:rPr>
          <w:color w:val="000000"/>
        </w:rPr>
        <w:t>Corporate Administrative Matters</w:t>
      </w:r>
      <w:r w:rsidR="00D072D8" w:rsidRPr="00AC7008">
        <w:rPr>
          <w:color w:val="000000"/>
        </w:rPr>
        <w:t>;</w:t>
      </w:r>
      <w:r w:rsidR="00D072D8" w:rsidRPr="006432D6">
        <w:rPr>
          <w:color w:val="000000"/>
        </w:rPr>
        <w:t xml:space="preserve"> and banking or billing information of World Bank Group entities, member countries, clients, donors, recipients, or vendors, including consultants)</w:t>
      </w:r>
      <w:r w:rsidR="009E5E72" w:rsidRPr="006432D6">
        <w:t xml:space="preserve"> and </w:t>
      </w:r>
      <w:r w:rsidR="00283809" w:rsidRPr="006432D6">
        <w:t>the</w:t>
      </w:r>
      <w:r w:rsidR="008B5914" w:rsidRPr="006432D6">
        <w:t xml:space="preserve"> financial and</w:t>
      </w:r>
      <w:r w:rsidR="00283809" w:rsidRPr="006432D6">
        <w:t xml:space="preserve"> </w:t>
      </w:r>
      <w:r w:rsidRPr="006432D6">
        <w:t>deliberative information</w:t>
      </w:r>
      <w:r w:rsidR="00BB09F3" w:rsidRPr="006432D6">
        <w:t xml:space="preserve"> that contain</w:t>
      </w:r>
      <w:r w:rsidR="00AC7008">
        <w:t>s</w:t>
      </w:r>
      <w:r w:rsidR="00901AB9" w:rsidRPr="006432D6">
        <w:t xml:space="preserve"> or</w:t>
      </w:r>
      <w:r w:rsidRPr="006432D6">
        <w:t xml:space="preserve"> rel</w:t>
      </w:r>
      <w:r w:rsidR="00FD353D" w:rsidRPr="006432D6">
        <w:t>ate</w:t>
      </w:r>
      <w:r w:rsidR="00AC7008">
        <w:t>s</w:t>
      </w:r>
      <w:r w:rsidR="00FD353D" w:rsidRPr="006432D6">
        <w:t xml:space="preserve"> to </w:t>
      </w:r>
      <w:r w:rsidR="00283809" w:rsidRPr="006432D6">
        <w:t>such information</w:t>
      </w:r>
      <w:r w:rsidR="00FD353D" w:rsidRPr="006432D6">
        <w:t xml:space="preserve">, </w:t>
      </w:r>
      <w:r w:rsidR="00AC7008">
        <w:t>is</w:t>
      </w:r>
      <w:r w:rsidR="00AC7008" w:rsidRPr="006432D6">
        <w:t xml:space="preserve"> </w:t>
      </w:r>
      <w:r w:rsidR="00FD353D" w:rsidRPr="006432D6">
        <w:t>not declassified</w:t>
      </w:r>
      <w:r w:rsidR="00901AB9" w:rsidRPr="006432D6">
        <w:t xml:space="preserve"> or made publicly available</w:t>
      </w:r>
      <w:r w:rsidRPr="006432D6">
        <w:t>.</w:t>
      </w:r>
      <w:r w:rsidR="0022703E" w:rsidRPr="006432D6">
        <w:t xml:space="preserve">  </w:t>
      </w:r>
    </w:p>
    <w:p w:rsidR="00251DD6" w:rsidRPr="006432D6" w:rsidRDefault="00251DD6" w:rsidP="00B73A5E">
      <w:pPr>
        <w:tabs>
          <w:tab w:val="num" w:pos="720"/>
        </w:tabs>
        <w:jc w:val="both"/>
      </w:pPr>
    </w:p>
    <w:p w:rsidR="007C1278" w:rsidRPr="00421B6E" w:rsidRDefault="00251DD6" w:rsidP="005A1101">
      <w:pPr>
        <w:numPr>
          <w:ilvl w:val="0"/>
          <w:numId w:val="13"/>
        </w:numPr>
        <w:tabs>
          <w:tab w:val="clear" w:pos="720"/>
        </w:tabs>
        <w:ind w:left="0" w:firstLine="0"/>
        <w:jc w:val="both"/>
        <w:rPr>
          <w:b/>
          <w:u w:val="single"/>
        </w:rPr>
      </w:pPr>
      <w:r w:rsidRPr="006432D6">
        <w:rPr>
          <w:b/>
          <w:i/>
        </w:rPr>
        <w:t>Information Eligible for Declassification.</w:t>
      </w:r>
      <w:r w:rsidR="00EF10E4" w:rsidRPr="006432D6">
        <w:t xml:space="preserve">  The following </w:t>
      </w:r>
      <w:r w:rsidR="00CE14E8">
        <w:t>document</w:t>
      </w:r>
      <w:r w:rsidR="00CE14E8" w:rsidRPr="006432D6">
        <w:t xml:space="preserve">s </w:t>
      </w:r>
      <w:r w:rsidR="00EF10E4" w:rsidRPr="006432D6">
        <w:t xml:space="preserve">are </w:t>
      </w:r>
      <w:r w:rsidR="007A022C" w:rsidRPr="007A022C">
        <w:t xml:space="preserve">declassified and </w:t>
      </w:r>
      <w:r w:rsidR="008D4F59">
        <w:t>made publicly available</w:t>
      </w:r>
      <w:r w:rsidR="008D4F59" w:rsidRPr="006432D6">
        <w:t xml:space="preserve"> </w:t>
      </w:r>
      <w:r w:rsidR="00EF10E4" w:rsidRPr="006432D6">
        <w:t>5, 10, or 20 years</w:t>
      </w:r>
      <w:r w:rsidR="00FD353D" w:rsidRPr="006432D6">
        <w:t xml:space="preserve"> after the date on the document</w:t>
      </w:r>
      <w:r w:rsidR="00EF10E4" w:rsidRPr="006432D6">
        <w:t>,</w:t>
      </w:r>
      <w:r w:rsidR="00FD353D" w:rsidRPr="006432D6">
        <w:rPr>
          <w:rStyle w:val="FootnoteReference"/>
        </w:rPr>
        <w:footnoteReference w:id="25"/>
      </w:r>
      <w:r w:rsidR="00FD353D" w:rsidRPr="006432D6">
        <w:t xml:space="preserve"> </w:t>
      </w:r>
      <w:r w:rsidR="00C83AEF" w:rsidRPr="00421B6E">
        <w:rPr>
          <w:i/>
          <w:u w:val="single"/>
        </w:rPr>
        <w:t>provided that they do not contain or refer to information that is not eligible for declassification as set out in paragraph 32</w:t>
      </w:r>
      <w:r w:rsidR="00585D5F">
        <w:rPr>
          <w:i/>
          <w:u w:val="single"/>
        </w:rPr>
        <w:t xml:space="preserve"> of this policy statement</w:t>
      </w:r>
      <w:r w:rsidR="00EF10E4" w:rsidRPr="00C1649B">
        <w:t>:</w:t>
      </w:r>
      <w:r w:rsidR="00FD353D" w:rsidRPr="00421B6E">
        <w:rPr>
          <w:b/>
          <w:u w:val="single"/>
        </w:rPr>
        <w:t xml:space="preserve"> </w:t>
      </w:r>
    </w:p>
    <w:p w:rsidR="00FD353D" w:rsidRPr="006432D6" w:rsidRDefault="00FD353D" w:rsidP="00766929">
      <w:pPr>
        <w:tabs>
          <w:tab w:val="num" w:pos="720"/>
        </w:tabs>
        <w:jc w:val="both"/>
      </w:pPr>
    </w:p>
    <w:p w:rsidR="007C1278" w:rsidRDefault="00EF10E4" w:rsidP="007E6B23">
      <w:pPr>
        <w:ind w:left="720"/>
        <w:jc w:val="both"/>
        <w:rPr>
          <w:b/>
          <w:i/>
        </w:rPr>
      </w:pPr>
      <w:r w:rsidRPr="006432D6">
        <w:rPr>
          <w:b/>
          <w:i/>
        </w:rPr>
        <w:t xml:space="preserve">After 5 years </w:t>
      </w:r>
    </w:p>
    <w:p w:rsidR="007C1278" w:rsidRDefault="007C1278" w:rsidP="007E6B23">
      <w:pPr>
        <w:ind w:left="1440"/>
        <w:jc w:val="both"/>
      </w:pPr>
    </w:p>
    <w:p w:rsidR="003D49C7" w:rsidRDefault="003D49C7" w:rsidP="007E6B23">
      <w:pPr>
        <w:numPr>
          <w:ilvl w:val="0"/>
          <w:numId w:val="9"/>
        </w:numPr>
        <w:tabs>
          <w:tab w:val="clear" w:pos="720"/>
        </w:tabs>
        <w:ind w:left="1440"/>
        <w:jc w:val="both"/>
      </w:pPr>
      <w:r>
        <w:t>Board minutes prepared before April 1, 2005, other than those of Executive Sessions and Restricted Executive Sessions.</w:t>
      </w:r>
    </w:p>
    <w:p w:rsidR="003D49C7" w:rsidRDefault="00EF10E4" w:rsidP="003D49C7">
      <w:pPr>
        <w:numPr>
          <w:ilvl w:val="0"/>
          <w:numId w:val="9"/>
        </w:numPr>
        <w:tabs>
          <w:tab w:val="clear" w:pos="720"/>
        </w:tabs>
        <w:ind w:left="1440"/>
        <w:jc w:val="both"/>
      </w:pPr>
      <w:r w:rsidRPr="006432D6">
        <w:t>Minutes of Board Committee meetings prepared before July 1, 2010</w:t>
      </w:r>
      <w:r w:rsidR="005408F9">
        <w:t xml:space="preserve">, </w:t>
      </w:r>
      <w:r w:rsidR="003D49C7">
        <w:t>other than those of Executive Sessions and Restricted Executive Sessions.</w:t>
      </w:r>
    </w:p>
    <w:p w:rsidR="003D49C7" w:rsidRDefault="003D49C7" w:rsidP="003D49C7">
      <w:pPr>
        <w:numPr>
          <w:ilvl w:val="0"/>
          <w:numId w:val="9"/>
        </w:numPr>
        <w:tabs>
          <w:tab w:val="clear" w:pos="720"/>
        </w:tabs>
        <w:ind w:left="1440"/>
        <w:jc w:val="both"/>
      </w:pPr>
      <w:r>
        <w:lastRenderedPageBreak/>
        <w:t xml:space="preserve">Chairman’s </w:t>
      </w:r>
      <w:proofErr w:type="gramStart"/>
      <w:r>
        <w:t>Concluding</w:t>
      </w:r>
      <w:proofErr w:type="gramEnd"/>
      <w:r>
        <w:t xml:space="preserve"> Remarks and Summings-up of Board meetings prepared before January 1, 2002.</w:t>
      </w:r>
    </w:p>
    <w:p w:rsidR="007C1278" w:rsidRDefault="00EF10E4" w:rsidP="007E6B23">
      <w:pPr>
        <w:numPr>
          <w:ilvl w:val="0"/>
          <w:numId w:val="9"/>
        </w:numPr>
        <w:tabs>
          <w:tab w:val="clear" w:pos="720"/>
        </w:tabs>
        <w:ind w:left="1440"/>
        <w:jc w:val="both"/>
      </w:pPr>
      <w:r w:rsidRPr="006432D6">
        <w:t>Summings-up of Committee of the Whole Meetings prepared before July 1, 2010.</w:t>
      </w:r>
    </w:p>
    <w:p w:rsidR="007C1278" w:rsidRDefault="00EF10E4" w:rsidP="007E6B23">
      <w:pPr>
        <w:numPr>
          <w:ilvl w:val="0"/>
          <w:numId w:val="9"/>
        </w:numPr>
        <w:tabs>
          <w:tab w:val="clear" w:pos="720"/>
        </w:tabs>
        <w:ind w:left="1440"/>
        <w:jc w:val="both"/>
      </w:pPr>
      <w:r w:rsidRPr="006432D6">
        <w:t>Summaries of Discussion</w:t>
      </w:r>
      <w:r w:rsidR="004F10C7">
        <w:t xml:space="preserve"> (</w:t>
      </w:r>
      <w:r w:rsidR="00654B22">
        <w:t>relating to</w:t>
      </w:r>
      <w:r w:rsidR="004F10C7">
        <w:t xml:space="preserve"> Board </w:t>
      </w:r>
      <w:r w:rsidR="004B0C12">
        <w:t>meetings</w:t>
      </w:r>
      <w:r w:rsidR="004F10C7">
        <w:t>)</w:t>
      </w:r>
      <w:r w:rsidRPr="006432D6">
        <w:t xml:space="preserve"> prepared before July 1, 2010.</w:t>
      </w:r>
    </w:p>
    <w:p w:rsidR="007C1278" w:rsidRDefault="00EF10E4" w:rsidP="007E6B23">
      <w:pPr>
        <w:numPr>
          <w:ilvl w:val="0"/>
          <w:numId w:val="9"/>
        </w:numPr>
        <w:tabs>
          <w:tab w:val="clear" w:pos="720"/>
        </w:tabs>
        <w:ind w:left="1440"/>
        <w:jc w:val="both"/>
      </w:pPr>
      <w:r w:rsidRPr="006432D6">
        <w:t xml:space="preserve">Annual Reports of Board Committees prepared before July 1, 2010. </w:t>
      </w:r>
    </w:p>
    <w:p w:rsidR="007C1278" w:rsidRDefault="00EF10E4" w:rsidP="007E6B23">
      <w:pPr>
        <w:numPr>
          <w:ilvl w:val="0"/>
          <w:numId w:val="9"/>
        </w:numPr>
        <w:tabs>
          <w:tab w:val="clear" w:pos="720"/>
        </w:tabs>
        <w:ind w:left="1440"/>
        <w:jc w:val="both"/>
      </w:pPr>
      <w:r w:rsidRPr="006432D6">
        <w:t xml:space="preserve">Board papers that </w:t>
      </w:r>
      <w:r w:rsidR="00BE3D18" w:rsidRPr="006432D6">
        <w:t xml:space="preserve">were prepared before July 1, 2010, and </w:t>
      </w:r>
      <w:r w:rsidRPr="006432D6">
        <w:t>are cla</w:t>
      </w:r>
      <w:r w:rsidR="00BE3D18" w:rsidRPr="006432D6">
        <w:t xml:space="preserve">ssified “Official Use Only.” </w:t>
      </w:r>
    </w:p>
    <w:p w:rsidR="00E30645" w:rsidRDefault="001F433D" w:rsidP="007E6B23">
      <w:pPr>
        <w:numPr>
          <w:ilvl w:val="0"/>
          <w:numId w:val="9"/>
        </w:numPr>
        <w:tabs>
          <w:tab w:val="clear" w:pos="720"/>
        </w:tabs>
        <w:ind w:left="1440"/>
        <w:jc w:val="both"/>
      </w:pPr>
      <w:r>
        <w:t>Final d</w:t>
      </w:r>
      <w:r w:rsidR="00CA778D" w:rsidRPr="006432D6">
        <w:t xml:space="preserve">ocuments </w:t>
      </w:r>
      <w:r w:rsidR="00E30645">
        <w:t xml:space="preserve">listed in the Annex of this policy statement </w:t>
      </w:r>
      <w:r w:rsidR="00EF10E4" w:rsidRPr="006432D6">
        <w:t>that</w:t>
      </w:r>
      <w:r w:rsidR="00CA778D" w:rsidRPr="006432D6">
        <w:t xml:space="preserve"> </w:t>
      </w:r>
      <w:r w:rsidR="00AE1663" w:rsidRPr="006432D6">
        <w:t>were prepared before July 1, 2010</w:t>
      </w:r>
      <w:r w:rsidR="00AE1663" w:rsidRPr="009E75B7">
        <w:t xml:space="preserve">, and </w:t>
      </w:r>
      <w:r w:rsidR="00EF10E4" w:rsidRPr="009E75B7">
        <w:t>classified as “Official Use Only</w:t>
      </w:r>
      <w:r w:rsidR="000355B1">
        <w:t>.</w:t>
      </w:r>
      <w:r w:rsidR="00AE1663" w:rsidRPr="009E75B7">
        <w:t>”</w:t>
      </w:r>
      <w:r w:rsidR="009D04EB" w:rsidRPr="009E75B7">
        <w:t xml:space="preserve"> </w:t>
      </w:r>
      <w:r>
        <w:t>(</w:t>
      </w:r>
      <w:r w:rsidR="000355B1">
        <w:t>D</w:t>
      </w:r>
      <w:r>
        <w:t>raft documents</w:t>
      </w:r>
      <w:r w:rsidR="004B0C12">
        <w:t xml:space="preserve"> and other deliberative </w:t>
      </w:r>
      <w:r w:rsidR="00CE14E8">
        <w:t>documents</w:t>
      </w:r>
      <w:r w:rsidR="004B0C12">
        <w:t xml:space="preserve">, </w:t>
      </w:r>
      <w:r w:rsidR="000355B1">
        <w:t>although</w:t>
      </w:r>
      <w:r w:rsidR="004B0C12">
        <w:t xml:space="preserve"> classified as “Official Use Only,”</w:t>
      </w:r>
      <w:r>
        <w:t xml:space="preserve"> are considered </w:t>
      </w:r>
      <w:r w:rsidR="004B0C12">
        <w:t xml:space="preserve">to be </w:t>
      </w:r>
      <w:r>
        <w:t>deliberative</w:t>
      </w:r>
      <w:r w:rsidR="004B0C12">
        <w:t xml:space="preserve"> information</w:t>
      </w:r>
      <w:r>
        <w:t xml:space="preserve"> and are declassified only after 20 years</w:t>
      </w:r>
      <w:r w:rsidR="000355B1">
        <w:t>.</w:t>
      </w:r>
      <w:r>
        <w:t>)</w:t>
      </w:r>
    </w:p>
    <w:p w:rsidR="005C389C" w:rsidRDefault="005C389C" w:rsidP="005C389C">
      <w:pPr>
        <w:ind w:firstLine="720"/>
        <w:rPr>
          <w:b/>
          <w:i/>
        </w:rPr>
      </w:pPr>
    </w:p>
    <w:p w:rsidR="007C1278" w:rsidRDefault="00EF10E4" w:rsidP="005C389C">
      <w:pPr>
        <w:ind w:firstLine="720"/>
      </w:pPr>
      <w:r w:rsidRPr="006432D6">
        <w:rPr>
          <w:b/>
          <w:i/>
        </w:rPr>
        <w:t>After 10 years</w:t>
      </w:r>
      <w:r w:rsidR="00E07DBE" w:rsidRPr="006432D6">
        <w:rPr>
          <w:b/>
          <w:i/>
        </w:rPr>
        <w:t xml:space="preserve"> </w:t>
      </w:r>
    </w:p>
    <w:p w:rsidR="007C1278" w:rsidRDefault="007C1278" w:rsidP="007E6B23">
      <w:pPr>
        <w:ind w:left="1440"/>
        <w:jc w:val="both"/>
      </w:pPr>
    </w:p>
    <w:p w:rsidR="007C1278" w:rsidRDefault="00EF10E4" w:rsidP="007E6B23">
      <w:pPr>
        <w:numPr>
          <w:ilvl w:val="0"/>
          <w:numId w:val="10"/>
        </w:numPr>
        <w:tabs>
          <w:tab w:val="clear" w:pos="720"/>
        </w:tabs>
        <w:ind w:left="1440"/>
        <w:jc w:val="both"/>
      </w:pPr>
      <w:r w:rsidRPr="006432D6">
        <w:t>Verbatim transcripts of Board meetings and Board Committee meetings.</w:t>
      </w:r>
    </w:p>
    <w:p w:rsidR="007C1278" w:rsidRDefault="00EF10E4" w:rsidP="007E6B23">
      <w:pPr>
        <w:numPr>
          <w:ilvl w:val="0"/>
          <w:numId w:val="10"/>
        </w:numPr>
        <w:tabs>
          <w:tab w:val="clear" w:pos="720"/>
        </w:tabs>
        <w:ind w:left="1440"/>
        <w:jc w:val="both"/>
      </w:pPr>
      <w:r w:rsidRPr="006432D6">
        <w:t xml:space="preserve">Statements of Executive Directors and staff </w:t>
      </w:r>
      <w:r w:rsidR="00CA2E83" w:rsidRPr="006432D6">
        <w:t xml:space="preserve">in the context of </w:t>
      </w:r>
      <w:r w:rsidRPr="006432D6">
        <w:t>Board meetings or Board Committee meetings.</w:t>
      </w:r>
    </w:p>
    <w:p w:rsidR="003D49C7" w:rsidRDefault="00CA778D" w:rsidP="007E6B23">
      <w:pPr>
        <w:numPr>
          <w:ilvl w:val="0"/>
          <w:numId w:val="10"/>
        </w:numPr>
        <w:tabs>
          <w:tab w:val="clear" w:pos="720"/>
        </w:tabs>
        <w:ind w:left="1440"/>
        <w:jc w:val="both"/>
      </w:pPr>
      <w:r w:rsidRPr="006432D6">
        <w:t>Reports</w:t>
      </w:r>
      <w:r w:rsidR="00842485" w:rsidRPr="006432D6">
        <w:t xml:space="preserve"> to the Board from its </w:t>
      </w:r>
      <w:r w:rsidRPr="006432D6">
        <w:t xml:space="preserve">Committees </w:t>
      </w:r>
      <w:r w:rsidR="00EF10E4" w:rsidRPr="00E87118">
        <w:t>(</w:t>
      </w:r>
      <w:r w:rsidR="00907C59" w:rsidRPr="00F02024">
        <w:t>Green Sheets</w:t>
      </w:r>
      <w:r w:rsidR="00EF10E4" w:rsidRPr="00F02024">
        <w:t>)</w:t>
      </w:r>
      <w:r w:rsidR="003D49C7">
        <w:t>.</w:t>
      </w:r>
    </w:p>
    <w:p w:rsidR="007C1278" w:rsidRDefault="00EF10E4" w:rsidP="007E6B23">
      <w:pPr>
        <w:numPr>
          <w:ilvl w:val="0"/>
          <w:numId w:val="10"/>
        </w:numPr>
        <w:tabs>
          <w:tab w:val="clear" w:pos="720"/>
        </w:tabs>
        <w:ind w:left="1440"/>
        <w:jc w:val="both"/>
      </w:pPr>
      <w:r w:rsidRPr="00F02024">
        <w:t>Miscellaneous memoranda or informal notes distributed</w:t>
      </w:r>
      <w:r w:rsidRPr="006432D6">
        <w:t xml:space="preserve"> to the fu</w:t>
      </w:r>
      <w:r w:rsidR="00842485" w:rsidRPr="006432D6">
        <w:t xml:space="preserve">ll Board or to a Board </w:t>
      </w:r>
      <w:r w:rsidRPr="006432D6">
        <w:t>Commit</w:t>
      </w:r>
      <w:r w:rsidR="003950F8" w:rsidRPr="006432D6">
        <w:t>tee</w:t>
      </w:r>
      <w:r w:rsidRPr="006432D6">
        <w:t xml:space="preserve">. </w:t>
      </w:r>
    </w:p>
    <w:p w:rsidR="007C1278" w:rsidRDefault="007C1278" w:rsidP="007E6B23">
      <w:pPr>
        <w:ind w:left="1440"/>
        <w:jc w:val="both"/>
      </w:pPr>
    </w:p>
    <w:p w:rsidR="007C1278" w:rsidRDefault="00EF10E4" w:rsidP="007E6B23">
      <w:pPr>
        <w:ind w:left="720"/>
        <w:jc w:val="both"/>
      </w:pPr>
      <w:r w:rsidRPr="006432D6">
        <w:rPr>
          <w:b/>
          <w:i/>
        </w:rPr>
        <w:t>After 20 years</w:t>
      </w:r>
      <w:r w:rsidR="00E07DBE" w:rsidRPr="006432D6">
        <w:rPr>
          <w:b/>
          <w:i/>
        </w:rPr>
        <w:t xml:space="preserve"> </w:t>
      </w:r>
    </w:p>
    <w:p w:rsidR="007C1278" w:rsidRDefault="007C1278" w:rsidP="007E6B23">
      <w:pPr>
        <w:ind w:left="1440"/>
        <w:jc w:val="both"/>
      </w:pPr>
    </w:p>
    <w:p w:rsidR="007C1278" w:rsidRDefault="00EF10E4" w:rsidP="007E6B23">
      <w:pPr>
        <w:numPr>
          <w:ilvl w:val="0"/>
          <w:numId w:val="11"/>
        </w:numPr>
        <w:jc w:val="both"/>
      </w:pPr>
      <w:r w:rsidRPr="006432D6">
        <w:t>Minutes of Executive Sessions and Restricted Executive Sessions of the Board</w:t>
      </w:r>
      <w:r w:rsidR="000E5A6D">
        <w:t xml:space="preserve"> and its Committees</w:t>
      </w:r>
      <w:r w:rsidRPr="006432D6">
        <w:t>.</w:t>
      </w:r>
    </w:p>
    <w:p w:rsidR="00342D1E" w:rsidRDefault="00342D1E" w:rsidP="00342D1E">
      <w:pPr>
        <w:numPr>
          <w:ilvl w:val="0"/>
          <w:numId w:val="11"/>
        </w:numPr>
        <w:jc w:val="both"/>
      </w:pPr>
      <w:r w:rsidRPr="006432D6">
        <w:t>Communications and memoranda originating in Executive Directors’ offices relating to Board or Board Committee proceedings.</w:t>
      </w:r>
    </w:p>
    <w:p w:rsidR="007C1278" w:rsidRDefault="00247B77" w:rsidP="007E6B23">
      <w:pPr>
        <w:numPr>
          <w:ilvl w:val="0"/>
          <w:numId w:val="11"/>
        </w:numPr>
        <w:jc w:val="both"/>
      </w:pPr>
      <w:r w:rsidRPr="006432D6">
        <w:t xml:space="preserve">Board papers that are classified as “Confidential” or “Strictly Confidential.” </w:t>
      </w:r>
    </w:p>
    <w:p w:rsidR="00342D1E" w:rsidRPr="00530544" w:rsidRDefault="00633A55" w:rsidP="00342D1E">
      <w:pPr>
        <w:numPr>
          <w:ilvl w:val="0"/>
          <w:numId w:val="11"/>
        </w:numPr>
        <w:jc w:val="both"/>
      </w:pPr>
      <w:r>
        <w:t>M</w:t>
      </w:r>
      <w:r w:rsidR="00342D1E" w:rsidRPr="00530544">
        <w:t xml:space="preserve">emoranda </w:t>
      </w:r>
      <w:r>
        <w:t xml:space="preserve">of the President </w:t>
      </w:r>
      <w:r w:rsidR="00342D1E" w:rsidRPr="00530544">
        <w:t>that accompany Board papers.</w:t>
      </w:r>
    </w:p>
    <w:p w:rsidR="007C1278" w:rsidRPr="00530544" w:rsidRDefault="00E30645" w:rsidP="007E6B23">
      <w:pPr>
        <w:numPr>
          <w:ilvl w:val="0"/>
          <w:numId w:val="11"/>
        </w:numPr>
        <w:jc w:val="both"/>
      </w:pPr>
      <w:r>
        <w:t>Final</w:t>
      </w:r>
      <w:r w:rsidRPr="00530544">
        <w:t xml:space="preserve"> </w:t>
      </w:r>
      <w:r w:rsidR="00247B77" w:rsidRPr="00530544">
        <w:t xml:space="preserve">documents </w:t>
      </w:r>
      <w:r>
        <w:t xml:space="preserve">listed in the Annex of this policy statement </w:t>
      </w:r>
      <w:r w:rsidR="00247B77" w:rsidRPr="00530544">
        <w:t xml:space="preserve">that </w:t>
      </w:r>
      <w:r>
        <w:t>were prepared before July 1, 2010</w:t>
      </w:r>
      <w:r w:rsidR="00E63BD0">
        <w:t>,</w:t>
      </w:r>
      <w:r>
        <w:t xml:space="preserve"> and</w:t>
      </w:r>
      <w:r w:rsidRPr="00530544">
        <w:t xml:space="preserve"> </w:t>
      </w:r>
      <w:r w:rsidR="00247B77" w:rsidRPr="00530544">
        <w:t>classified as “Confidential” or “Strictly Confidential</w:t>
      </w:r>
      <w:r w:rsidR="000C4250" w:rsidRPr="00530544">
        <w:t>.</w:t>
      </w:r>
      <w:r w:rsidR="00247B77" w:rsidRPr="00530544">
        <w:t xml:space="preserve">” </w:t>
      </w:r>
    </w:p>
    <w:p w:rsidR="007C1278" w:rsidRPr="00530544" w:rsidRDefault="00EF10E4" w:rsidP="004B3461">
      <w:pPr>
        <w:numPr>
          <w:ilvl w:val="0"/>
          <w:numId w:val="11"/>
        </w:numPr>
        <w:tabs>
          <w:tab w:val="clear" w:pos="1440"/>
          <w:tab w:val="num" w:pos="2160"/>
        </w:tabs>
        <w:jc w:val="both"/>
      </w:pPr>
      <w:r w:rsidRPr="00530544">
        <w:t>Financial information restricted under para</w:t>
      </w:r>
      <w:r w:rsidR="004D176E" w:rsidRPr="00530544">
        <w:t>graphs</w:t>
      </w:r>
      <w:r w:rsidR="00CA778D" w:rsidRPr="00530544">
        <w:t xml:space="preserve"> </w:t>
      </w:r>
      <w:r w:rsidR="00252973" w:rsidRPr="00530544">
        <w:t xml:space="preserve">17 </w:t>
      </w:r>
      <w:r w:rsidRPr="00530544">
        <w:t>(a), (b), and (c)</w:t>
      </w:r>
      <w:r w:rsidR="003859F6">
        <w:t>, unless the</w:t>
      </w:r>
      <w:r w:rsidR="003F04D1">
        <w:t xml:space="preserve"> information </w:t>
      </w:r>
      <w:r w:rsidR="003859F6">
        <w:t>pertains</w:t>
      </w:r>
      <w:r w:rsidR="003F04D1">
        <w:t xml:space="preserve"> to the exceptions set out in paragraphs 8-15 or 17(d)</w:t>
      </w:r>
      <w:r w:rsidR="005C389C">
        <w:t>,</w:t>
      </w:r>
      <w:r w:rsidRPr="00530544">
        <w:t xml:space="preserve"> </w:t>
      </w:r>
      <w:r w:rsidR="005C389C" w:rsidRPr="00530544">
        <w:t>of this policy statement</w:t>
      </w:r>
      <w:r w:rsidR="005C389C">
        <w:t>.</w:t>
      </w:r>
    </w:p>
    <w:p w:rsidR="007C1278" w:rsidRPr="00495418" w:rsidRDefault="00E41D8D" w:rsidP="004B3461">
      <w:pPr>
        <w:numPr>
          <w:ilvl w:val="0"/>
          <w:numId w:val="11"/>
        </w:numPr>
        <w:tabs>
          <w:tab w:val="clear" w:pos="1440"/>
          <w:tab w:val="num" w:pos="2160"/>
        </w:tabs>
        <w:jc w:val="both"/>
      </w:pPr>
      <w:r w:rsidRPr="00530544">
        <w:t>O</w:t>
      </w:r>
      <w:r w:rsidR="00EF10E4" w:rsidRPr="00530544">
        <w:t>ther</w:t>
      </w:r>
      <w:r w:rsidR="00CB0DB6" w:rsidRPr="00530544">
        <w:t xml:space="preserve"> </w:t>
      </w:r>
      <w:r w:rsidR="000C17A9">
        <w:t>documents</w:t>
      </w:r>
      <w:r w:rsidRPr="006432D6">
        <w:t xml:space="preserve"> </w:t>
      </w:r>
      <w:r w:rsidR="00EF10E4" w:rsidRPr="006432D6">
        <w:t>in the possession of the Bank’s Archives Unit</w:t>
      </w:r>
      <w:r w:rsidR="000C17A9">
        <w:t xml:space="preserve">, </w:t>
      </w:r>
      <w:r w:rsidR="003859F6">
        <w:t>unless the documents pertain</w:t>
      </w:r>
      <w:r w:rsidR="003F04D1">
        <w:t xml:space="preserve"> </w:t>
      </w:r>
      <w:r w:rsidR="003F04D1">
        <w:rPr>
          <w:color w:val="000000"/>
        </w:rPr>
        <w:t xml:space="preserve">to the exceptions set out in </w:t>
      </w:r>
      <w:r w:rsidR="003F04D1" w:rsidRPr="00495418">
        <w:t>paragraphs 8-15 or 17(d) of this policy statement</w:t>
      </w:r>
      <w:r w:rsidR="003859F6" w:rsidRPr="00495418">
        <w:t>, including</w:t>
      </w:r>
      <w:r w:rsidR="003F04D1" w:rsidRPr="00495418">
        <w:t xml:space="preserve"> any deliberative</w:t>
      </w:r>
      <w:r w:rsidR="0047519D">
        <w:t xml:space="preserve"> or financial</w:t>
      </w:r>
      <w:r w:rsidR="003F04D1" w:rsidRPr="00495418">
        <w:t xml:space="preserve"> information </w:t>
      </w:r>
      <w:r w:rsidR="003859F6" w:rsidRPr="00495418">
        <w:t>containing or referring</w:t>
      </w:r>
      <w:r w:rsidR="003F04D1" w:rsidRPr="00495418">
        <w:t xml:space="preserve"> to those exceptions</w:t>
      </w:r>
      <w:r w:rsidR="00EF10E4" w:rsidRPr="00495418">
        <w:t>.</w:t>
      </w:r>
    </w:p>
    <w:p w:rsidR="009E70CD" w:rsidRDefault="009E70CD">
      <w:pPr>
        <w:rPr>
          <w:b/>
        </w:rPr>
      </w:pPr>
      <w:r>
        <w:rPr>
          <w:b/>
        </w:rPr>
        <w:br w:type="page"/>
      </w:r>
    </w:p>
    <w:p w:rsidR="000E5D03" w:rsidRPr="006432D6" w:rsidRDefault="00534338" w:rsidP="0059754A">
      <w:pPr>
        <w:jc w:val="both"/>
        <w:rPr>
          <w:b/>
        </w:rPr>
      </w:pPr>
      <w:r>
        <w:rPr>
          <w:b/>
        </w:rPr>
        <w:lastRenderedPageBreak/>
        <w:t>D</w:t>
      </w:r>
      <w:r w:rsidR="006F7A74" w:rsidRPr="006432D6">
        <w:rPr>
          <w:b/>
        </w:rPr>
        <w:t>.</w:t>
      </w:r>
      <w:r w:rsidR="006F7A74" w:rsidRPr="006432D6">
        <w:rPr>
          <w:b/>
        </w:rPr>
        <w:tab/>
      </w:r>
      <w:r w:rsidR="00751F12" w:rsidRPr="006432D6">
        <w:rPr>
          <w:b/>
        </w:rPr>
        <w:t>Electronic M</w:t>
      </w:r>
      <w:r w:rsidR="000E5D03" w:rsidRPr="006432D6">
        <w:rPr>
          <w:b/>
        </w:rPr>
        <w:t>ail</w:t>
      </w:r>
    </w:p>
    <w:p w:rsidR="000E5D03" w:rsidRPr="006432D6" w:rsidRDefault="000E5D03" w:rsidP="0059754A">
      <w:pPr>
        <w:jc w:val="both"/>
        <w:rPr>
          <w:b/>
        </w:rPr>
      </w:pPr>
    </w:p>
    <w:p w:rsidR="000E5D03" w:rsidRPr="006432D6" w:rsidRDefault="000E5D03" w:rsidP="004B3461">
      <w:pPr>
        <w:numPr>
          <w:ilvl w:val="0"/>
          <w:numId w:val="13"/>
        </w:numPr>
        <w:ind w:left="0" w:firstLine="0"/>
        <w:jc w:val="both"/>
      </w:pPr>
      <w:r w:rsidRPr="006432D6">
        <w:t>E-mail, which has become the Bank’s predominant medium of communication, is treated as follows:</w:t>
      </w:r>
    </w:p>
    <w:p w:rsidR="000E5D03" w:rsidRPr="006432D6" w:rsidRDefault="000E5D03" w:rsidP="00766929">
      <w:pPr>
        <w:tabs>
          <w:tab w:val="num" w:pos="0"/>
        </w:tabs>
        <w:jc w:val="both"/>
      </w:pPr>
    </w:p>
    <w:p w:rsidR="000E5D03" w:rsidRPr="006432D6" w:rsidRDefault="000E5D03" w:rsidP="00195C9E">
      <w:pPr>
        <w:numPr>
          <w:ilvl w:val="0"/>
          <w:numId w:val="22"/>
        </w:numPr>
        <w:jc w:val="both"/>
        <w:rPr>
          <w:b/>
        </w:rPr>
      </w:pPr>
      <w:r w:rsidRPr="006432D6">
        <w:t xml:space="preserve">E-mails that contain or convey decisions or outcomes </w:t>
      </w:r>
      <w:r w:rsidR="00AC7008">
        <w:t xml:space="preserve">and </w:t>
      </w:r>
      <w:r w:rsidRPr="006432D6">
        <w:t xml:space="preserve">that are filed in the Bank’s records management </w:t>
      </w:r>
      <w:r w:rsidR="008D3E28">
        <w:t xml:space="preserve">system </w:t>
      </w:r>
      <w:r w:rsidRPr="006432D6">
        <w:t>and classified as “Public”</w:t>
      </w:r>
      <w:r w:rsidR="00D43E1B" w:rsidRPr="006432D6">
        <w:t xml:space="preserve"> are </w:t>
      </w:r>
      <w:r w:rsidR="00EF1258" w:rsidRPr="006432D6">
        <w:t>publicly available</w:t>
      </w:r>
      <w:r w:rsidR="00D43E1B" w:rsidRPr="006432D6">
        <w:t>.</w:t>
      </w:r>
      <w:r w:rsidRPr="006432D6">
        <w:t xml:space="preserve">  </w:t>
      </w:r>
    </w:p>
    <w:p w:rsidR="000E5D03" w:rsidRPr="006432D6" w:rsidRDefault="000E5D03" w:rsidP="00CB6A21">
      <w:pPr>
        <w:ind w:left="1080"/>
        <w:jc w:val="both"/>
        <w:rPr>
          <w:b/>
        </w:rPr>
      </w:pPr>
    </w:p>
    <w:p w:rsidR="000E5D03" w:rsidRPr="006432D6" w:rsidRDefault="000E5D03" w:rsidP="00195C9E">
      <w:pPr>
        <w:numPr>
          <w:ilvl w:val="0"/>
          <w:numId w:val="22"/>
        </w:numPr>
        <w:jc w:val="both"/>
        <w:rPr>
          <w:b/>
        </w:rPr>
      </w:pPr>
      <w:r w:rsidRPr="006432D6">
        <w:t>E-mail</w:t>
      </w:r>
      <w:r w:rsidR="00D43E1B" w:rsidRPr="006432D6">
        <w:t>s</w:t>
      </w:r>
      <w:r w:rsidRPr="006432D6">
        <w:t xml:space="preserve"> that </w:t>
      </w:r>
      <w:r w:rsidR="00D43E1B" w:rsidRPr="006432D6">
        <w:t xml:space="preserve">are </w:t>
      </w:r>
      <w:r w:rsidRPr="006432D6">
        <w:t xml:space="preserve">filed in the </w:t>
      </w:r>
      <w:r w:rsidR="00BB09F3" w:rsidRPr="006432D6">
        <w:t xml:space="preserve">Bank’s </w:t>
      </w:r>
      <w:r w:rsidRPr="006432D6">
        <w:t xml:space="preserve">records management </w:t>
      </w:r>
      <w:r w:rsidR="008D3E28">
        <w:t>system</w:t>
      </w:r>
      <w:r w:rsidR="008D3E28" w:rsidRPr="006432D6">
        <w:t xml:space="preserve"> </w:t>
      </w:r>
      <w:r w:rsidRPr="006432D6">
        <w:t xml:space="preserve">but classified as “Official Use Only,” “Confidential,” or “Strictly Confidential” </w:t>
      </w:r>
      <w:r w:rsidR="00D43E1B" w:rsidRPr="006432D6">
        <w:t xml:space="preserve">are </w:t>
      </w:r>
      <w:r w:rsidRPr="006432D6">
        <w:t xml:space="preserve">not </w:t>
      </w:r>
      <w:r w:rsidR="00EF1258" w:rsidRPr="006432D6">
        <w:t xml:space="preserve">publicly available </w:t>
      </w:r>
      <w:r w:rsidRPr="006432D6">
        <w:t xml:space="preserve">unless the information content of the e-mail </w:t>
      </w:r>
      <w:r w:rsidR="00CB6A21" w:rsidRPr="006432D6">
        <w:t>becomes</w:t>
      </w:r>
      <w:r w:rsidRPr="006432D6">
        <w:t xml:space="preserve"> eligible for declassification and disclosure over time.</w:t>
      </w:r>
    </w:p>
    <w:p w:rsidR="000E5D03" w:rsidRPr="006432D6" w:rsidRDefault="000E5D03" w:rsidP="00CB6A21">
      <w:pPr>
        <w:pStyle w:val="ListParagraph"/>
      </w:pPr>
    </w:p>
    <w:p w:rsidR="00C458F0" w:rsidRPr="006432D6" w:rsidRDefault="000E5D03" w:rsidP="00195C9E">
      <w:pPr>
        <w:numPr>
          <w:ilvl w:val="0"/>
          <w:numId w:val="22"/>
        </w:numPr>
        <w:jc w:val="both"/>
        <w:rPr>
          <w:b/>
        </w:rPr>
      </w:pPr>
      <w:r w:rsidRPr="006432D6">
        <w:rPr>
          <w:color w:val="000000"/>
        </w:rPr>
        <w:t xml:space="preserve">The Bank does not </w:t>
      </w:r>
      <w:r w:rsidR="00EF1258" w:rsidRPr="006432D6">
        <w:rPr>
          <w:color w:val="000000"/>
        </w:rPr>
        <w:t xml:space="preserve">provide access to </w:t>
      </w:r>
      <w:r w:rsidRPr="006432D6">
        <w:rPr>
          <w:color w:val="000000"/>
        </w:rPr>
        <w:t xml:space="preserve">e-mail that resides outside its records management </w:t>
      </w:r>
      <w:r w:rsidR="008D3E28">
        <w:rPr>
          <w:color w:val="000000"/>
        </w:rPr>
        <w:t xml:space="preserve">system </w:t>
      </w:r>
      <w:r w:rsidRPr="006432D6">
        <w:rPr>
          <w:color w:val="000000"/>
        </w:rPr>
        <w:t>(including e-mail that does not pertain to official matters and e-mail containing personal information or communications of Bank staff and other officials</w:t>
      </w:r>
      <w:r w:rsidR="00CB6A21" w:rsidRPr="006432D6">
        <w:rPr>
          <w:color w:val="000000"/>
        </w:rPr>
        <w:t>; see also para</w:t>
      </w:r>
      <w:r w:rsidR="00D43E1B" w:rsidRPr="006432D6">
        <w:rPr>
          <w:color w:val="000000"/>
        </w:rPr>
        <w:t>graph</w:t>
      </w:r>
      <w:r w:rsidR="00CB6A21" w:rsidRPr="006432D6">
        <w:rPr>
          <w:color w:val="000000"/>
        </w:rPr>
        <w:t xml:space="preserve">s </w:t>
      </w:r>
      <w:r w:rsidR="006608ED" w:rsidRPr="006432D6">
        <w:rPr>
          <w:color w:val="000000"/>
        </w:rPr>
        <w:t xml:space="preserve">8 </w:t>
      </w:r>
      <w:r w:rsidR="00CB6A21" w:rsidRPr="006432D6">
        <w:rPr>
          <w:color w:val="000000"/>
        </w:rPr>
        <w:t xml:space="preserve">(a) and </w:t>
      </w:r>
      <w:r w:rsidR="006608ED" w:rsidRPr="006432D6">
        <w:rPr>
          <w:color w:val="000000"/>
        </w:rPr>
        <w:t xml:space="preserve">16 </w:t>
      </w:r>
      <w:r w:rsidR="00CB6A21" w:rsidRPr="006432D6">
        <w:rPr>
          <w:color w:val="000000"/>
        </w:rPr>
        <w:t>(a) and (b)</w:t>
      </w:r>
      <w:r w:rsidR="00D43E1B" w:rsidRPr="006432D6">
        <w:rPr>
          <w:color w:val="000000"/>
        </w:rPr>
        <w:t xml:space="preserve"> of this </w:t>
      </w:r>
      <w:r w:rsidR="005F3F34">
        <w:rPr>
          <w:color w:val="000000"/>
        </w:rPr>
        <w:t>p</w:t>
      </w:r>
      <w:r w:rsidR="005F3ABE">
        <w:rPr>
          <w:color w:val="000000"/>
        </w:rPr>
        <w:t xml:space="preserve">olicy </w:t>
      </w:r>
      <w:r w:rsidR="005F3F34">
        <w:rPr>
          <w:color w:val="000000"/>
        </w:rPr>
        <w:t>s</w:t>
      </w:r>
      <w:r w:rsidR="00D43E1B" w:rsidRPr="006432D6">
        <w:rPr>
          <w:color w:val="000000"/>
        </w:rPr>
        <w:t>tatement</w:t>
      </w:r>
      <w:r w:rsidRPr="006432D6">
        <w:rPr>
          <w:color w:val="000000"/>
        </w:rPr>
        <w:t xml:space="preserve">).  </w:t>
      </w:r>
    </w:p>
    <w:p w:rsidR="00D0155E" w:rsidRPr="006432D6" w:rsidRDefault="00D0155E" w:rsidP="002064D8">
      <w:pPr>
        <w:autoSpaceDE w:val="0"/>
        <w:autoSpaceDN w:val="0"/>
        <w:adjustRightInd w:val="0"/>
        <w:spacing w:line="240" w:lineRule="atLeast"/>
        <w:jc w:val="both"/>
        <w:rPr>
          <w:b/>
        </w:rPr>
      </w:pPr>
    </w:p>
    <w:p w:rsidR="00452362" w:rsidRPr="006432D6" w:rsidRDefault="00452362" w:rsidP="00452362">
      <w:pPr>
        <w:jc w:val="both"/>
      </w:pPr>
      <w:r w:rsidRPr="006432D6">
        <w:rPr>
          <w:b/>
        </w:rPr>
        <w:t>E</w:t>
      </w:r>
      <w:r w:rsidR="006F7A74" w:rsidRPr="006432D6">
        <w:rPr>
          <w:b/>
        </w:rPr>
        <w:t>.</w:t>
      </w:r>
      <w:r w:rsidR="006F7A74" w:rsidRPr="006432D6">
        <w:rPr>
          <w:b/>
        </w:rPr>
        <w:tab/>
      </w:r>
      <w:r w:rsidR="001F329A">
        <w:rPr>
          <w:b/>
        </w:rPr>
        <w:t>Access to Information Committee</w:t>
      </w:r>
      <w:r w:rsidR="00A5040C">
        <w:rPr>
          <w:b/>
        </w:rPr>
        <w:t xml:space="preserve"> </w:t>
      </w:r>
    </w:p>
    <w:p w:rsidR="00452362" w:rsidRPr="006432D6" w:rsidRDefault="00452362" w:rsidP="00452362">
      <w:pPr>
        <w:jc w:val="both"/>
      </w:pPr>
    </w:p>
    <w:p w:rsidR="00452362" w:rsidRPr="006432D6" w:rsidRDefault="001F329A" w:rsidP="004B3461">
      <w:pPr>
        <w:numPr>
          <w:ilvl w:val="0"/>
          <w:numId w:val="13"/>
        </w:numPr>
        <w:ind w:left="0" w:firstLine="0"/>
        <w:jc w:val="both"/>
      </w:pPr>
      <w:r>
        <w:t xml:space="preserve">To facilitate the implementation of this </w:t>
      </w:r>
      <w:r w:rsidR="00837EEE">
        <w:t>Policy</w:t>
      </w:r>
      <w:r>
        <w:t>, the Bank has created the Access to Information Committee (AI Committee), an administrative body that reports to Bank Management.  The AI Committee advises Mana</w:t>
      </w:r>
      <w:r w:rsidR="00837EEE">
        <w:t>gement on the application of this</w:t>
      </w:r>
      <w:r>
        <w:t xml:space="preserve"> </w:t>
      </w:r>
      <w:r w:rsidR="00837EEE">
        <w:t>Policy</w:t>
      </w:r>
      <w:r>
        <w:t xml:space="preserve"> to complex issues, reviews proposals to disclose information that is on the list of exceptions,</w:t>
      </w:r>
      <w:r w:rsidR="00452362" w:rsidRPr="006432D6">
        <w:rPr>
          <w:rStyle w:val="FootnoteReference"/>
        </w:rPr>
        <w:footnoteReference w:id="26"/>
      </w:r>
      <w:r w:rsidR="00452362" w:rsidRPr="006432D6">
        <w:t xml:space="preserve"> receives and rules on appeals under this </w:t>
      </w:r>
      <w:r w:rsidR="00AC7008">
        <w:t>p</w:t>
      </w:r>
      <w:r w:rsidR="00452362" w:rsidRPr="006432D6">
        <w:t>olicy</w:t>
      </w:r>
      <w:r w:rsidR="00FA4440" w:rsidRPr="006432D6">
        <w:t xml:space="preserve"> </w:t>
      </w:r>
      <w:r w:rsidR="00AC7008">
        <w:t>s</w:t>
      </w:r>
      <w:r w:rsidR="00FA4440" w:rsidRPr="006432D6">
        <w:t>tatement</w:t>
      </w:r>
      <w:r w:rsidR="00452362" w:rsidRPr="006432D6">
        <w:t>,</w:t>
      </w:r>
      <w:r w:rsidR="00452362" w:rsidRPr="006432D6">
        <w:rPr>
          <w:rStyle w:val="FootnoteReference"/>
        </w:rPr>
        <w:footnoteReference w:id="27"/>
      </w:r>
      <w:r w:rsidR="00452362" w:rsidRPr="006432D6">
        <w:t xml:space="preserve"> establishes service fees and service standards, and issues guidelines to staff on policy implementation.  </w:t>
      </w:r>
      <w:r w:rsidR="00AC7008" w:rsidRPr="006432D6">
        <w:t xml:space="preserve">The AI Committee has the authority to interpret </w:t>
      </w:r>
      <w:r w:rsidR="00AC7008">
        <w:t>this</w:t>
      </w:r>
      <w:r w:rsidR="00AC7008" w:rsidRPr="006432D6">
        <w:t xml:space="preserve"> Policy in line with the </w:t>
      </w:r>
      <w:r w:rsidR="00AC7008">
        <w:t>Policy’s guiding</w:t>
      </w:r>
      <w:r w:rsidR="00AC7008" w:rsidRPr="006432D6">
        <w:t xml:space="preserve"> principles</w:t>
      </w:r>
      <w:r w:rsidR="00AC7008">
        <w:t>,</w:t>
      </w:r>
      <w:r w:rsidR="00AC7008" w:rsidRPr="006432D6">
        <w:t xml:space="preserve"> and to uphold or reverse prior decisions to deny access</w:t>
      </w:r>
      <w:r w:rsidR="00AC7008">
        <w:t xml:space="preserve">, with the </w:t>
      </w:r>
      <w:r w:rsidR="00AC7008" w:rsidRPr="006432D6">
        <w:t>except</w:t>
      </w:r>
      <w:r w:rsidR="00AC7008">
        <w:t>ion of</w:t>
      </w:r>
      <w:r w:rsidR="00AC7008" w:rsidRPr="006432D6">
        <w:t xml:space="preserve"> decisions </w:t>
      </w:r>
      <w:r w:rsidR="00AC7008">
        <w:t xml:space="preserve">made </w:t>
      </w:r>
      <w:r w:rsidR="00AC7008" w:rsidRPr="006432D6">
        <w:t>by the Bank’s Board.</w:t>
      </w:r>
    </w:p>
    <w:p w:rsidR="00452362" w:rsidRPr="006432D6" w:rsidRDefault="00452362" w:rsidP="00452362">
      <w:pPr>
        <w:tabs>
          <w:tab w:val="num" w:pos="540"/>
        </w:tabs>
        <w:jc w:val="both"/>
      </w:pPr>
    </w:p>
    <w:p w:rsidR="00FD353D" w:rsidRPr="006432D6" w:rsidRDefault="00971F3B" w:rsidP="00452362">
      <w:pPr>
        <w:jc w:val="both"/>
        <w:rPr>
          <w:b/>
          <w:i/>
          <w:color w:val="000000"/>
        </w:rPr>
      </w:pPr>
      <w:r w:rsidRPr="006432D6">
        <w:rPr>
          <w:b/>
          <w:color w:val="000000"/>
        </w:rPr>
        <w:t>F</w:t>
      </w:r>
      <w:r w:rsidR="00FD353D" w:rsidRPr="006432D6">
        <w:rPr>
          <w:b/>
          <w:color w:val="000000"/>
        </w:rPr>
        <w:t>.</w:t>
      </w:r>
      <w:r w:rsidR="00FD353D" w:rsidRPr="006432D6">
        <w:rPr>
          <w:b/>
          <w:color w:val="000000"/>
        </w:rPr>
        <w:tab/>
      </w:r>
      <w:r w:rsidR="00FD353D" w:rsidRPr="006432D6">
        <w:rPr>
          <w:b/>
        </w:rPr>
        <w:t>Appeals</w:t>
      </w:r>
    </w:p>
    <w:p w:rsidR="00FD353D" w:rsidRPr="006432D6" w:rsidRDefault="00FD353D" w:rsidP="00FD353D">
      <w:pPr>
        <w:pStyle w:val="FootnoteText"/>
        <w:jc w:val="both"/>
        <w:rPr>
          <w:color w:val="000000"/>
          <w:sz w:val="24"/>
          <w:szCs w:val="24"/>
        </w:rPr>
      </w:pPr>
    </w:p>
    <w:p w:rsidR="00FD353D" w:rsidRPr="00645C2E" w:rsidRDefault="00FD353D" w:rsidP="004B3461">
      <w:pPr>
        <w:numPr>
          <w:ilvl w:val="0"/>
          <w:numId w:val="13"/>
        </w:numPr>
        <w:ind w:left="0" w:firstLine="0"/>
        <w:jc w:val="both"/>
        <w:rPr>
          <w:kern w:val="2"/>
        </w:rPr>
      </w:pPr>
      <w:r w:rsidRPr="006432D6">
        <w:rPr>
          <w:kern w:val="2"/>
        </w:rPr>
        <w:t xml:space="preserve">A requester </w:t>
      </w:r>
      <w:r w:rsidRPr="00645C2E">
        <w:rPr>
          <w:kern w:val="2"/>
        </w:rPr>
        <w:t xml:space="preserve">who </w:t>
      </w:r>
      <w:r w:rsidR="00F904B1">
        <w:rPr>
          <w:kern w:val="2"/>
        </w:rPr>
        <w:t>i</w:t>
      </w:r>
      <w:r w:rsidR="00253BBA" w:rsidRPr="00645C2E">
        <w:rPr>
          <w:kern w:val="2"/>
        </w:rPr>
        <w:t xml:space="preserve">s </w:t>
      </w:r>
      <w:r w:rsidR="00EF2DE6" w:rsidRPr="00645C2E">
        <w:rPr>
          <w:kern w:val="2"/>
        </w:rPr>
        <w:t>denied access to information</w:t>
      </w:r>
      <w:r w:rsidR="00EF2DE6" w:rsidRPr="00645C2E">
        <w:t xml:space="preserve"> by</w:t>
      </w:r>
      <w:r w:rsidR="00FA7BC6" w:rsidRPr="00645C2E">
        <w:t xml:space="preserve"> the Bank </w:t>
      </w:r>
      <w:r w:rsidRPr="00645C2E">
        <w:t xml:space="preserve">may </w:t>
      </w:r>
      <w:r w:rsidR="00253BBA" w:rsidRPr="00645C2E">
        <w:t>file</w:t>
      </w:r>
      <w:r w:rsidRPr="00645C2E">
        <w:t xml:space="preserve"> an appeal</w:t>
      </w:r>
      <w:r w:rsidR="00FA7BC6" w:rsidRPr="00645C2E">
        <w:t xml:space="preserve"> if</w:t>
      </w:r>
      <w:r w:rsidR="009E55D7">
        <w:t xml:space="preserve">: </w:t>
      </w:r>
    </w:p>
    <w:p w:rsidR="00FD353D" w:rsidRPr="00645C2E" w:rsidRDefault="00FD353D" w:rsidP="00B73A5E">
      <w:pPr>
        <w:tabs>
          <w:tab w:val="num" w:pos="0"/>
          <w:tab w:val="num" w:pos="720"/>
        </w:tabs>
        <w:jc w:val="both"/>
        <w:rPr>
          <w:kern w:val="2"/>
        </w:rPr>
      </w:pPr>
    </w:p>
    <w:p w:rsidR="00FD353D" w:rsidRPr="006432D6" w:rsidRDefault="00FD353D" w:rsidP="00FD353D">
      <w:pPr>
        <w:numPr>
          <w:ilvl w:val="0"/>
          <w:numId w:val="12"/>
        </w:numPr>
        <w:jc w:val="both"/>
      </w:pPr>
      <w:r w:rsidRPr="00645C2E">
        <w:t xml:space="preserve">the </w:t>
      </w:r>
      <w:r w:rsidR="00717F9B" w:rsidRPr="00645C2E">
        <w:t xml:space="preserve">requester </w:t>
      </w:r>
      <w:r w:rsidRPr="00645C2E">
        <w:t xml:space="preserve">is able to </w:t>
      </w:r>
      <w:r w:rsidR="009E55D7">
        <w:t xml:space="preserve">establish a </w:t>
      </w:r>
      <w:r w:rsidR="009E55D7">
        <w:rPr>
          <w:i/>
        </w:rPr>
        <w:t>prima facie</w:t>
      </w:r>
      <w:r w:rsidR="009E55D7">
        <w:t xml:space="preserve"> case that th</w:t>
      </w:r>
      <w:r w:rsidRPr="00645C2E">
        <w:t xml:space="preserve">e Bank has violated </w:t>
      </w:r>
      <w:r w:rsidR="009E55D7">
        <w:t>this Policy by impro</w:t>
      </w:r>
      <w:r w:rsidRPr="00645C2E">
        <w:t>perly or unreasonably restricting</w:t>
      </w:r>
      <w:r w:rsidRPr="006432D6">
        <w:t xml:space="preserve"> access to information that it would normally disclose under the </w:t>
      </w:r>
      <w:r w:rsidR="00837EEE">
        <w:t>Policy</w:t>
      </w:r>
      <w:r w:rsidRPr="006432D6">
        <w:t xml:space="preserve">; or </w:t>
      </w:r>
    </w:p>
    <w:p w:rsidR="00FD353D" w:rsidRPr="006432D6" w:rsidRDefault="00FD353D" w:rsidP="00FD353D">
      <w:pPr>
        <w:jc w:val="both"/>
      </w:pPr>
    </w:p>
    <w:p w:rsidR="00FD353D" w:rsidRPr="006432D6" w:rsidRDefault="00FD353D" w:rsidP="00A87FD0">
      <w:pPr>
        <w:numPr>
          <w:ilvl w:val="0"/>
          <w:numId w:val="12"/>
        </w:numPr>
        <w:jc w:val="both"/>
        <w:rPr>
          <w:kern w:val="2"/>
        </w:rPr>
      </w:pPr>
      <w:proofErr w:type="gramStart"/>
      <w:r w:rsidRPr="006432D6">
        <w:t>the</w:t>
      </w:r>
      <w:proofErr w:type="gramEnd"/>
      <w:r w:rsidRPr="006432D6">
        <w:t xml:space="preserve"> </w:t>
      </w:r>
      <w:r w:rsidR="00717F9B" w:rsidRPr="006432D6">
        <w:t>requester is able</w:t>
      </w:r>
      <w:r w:rsidRPr="006432D6">
        <w:t xml:space="preserve"> to make a public interest case to override the </w:t>
      </w:r>
      <w:r w:rsidR="00837EEE">
        <w:t>Policy</w:t>
      </w:r>
      <w:r w:rsidRPr="006432D6">
        <w:t xml:space="preserve"> exc</w:t>
      </w:r>
      <w:r w:rsidR="00CA778D" w:rsidRPr="006432D6">
        <w:t>eptions</w:t>
      </w:r>
      <w:r w:rsidR="00256861">
        <w:t xml:space="preserve"> that restrict the information requested</w:t>
      </w:r>
      <w:r w:rsidR="00253BBA">
        <w:t xml:space="preserve"> </w:t>
      </w:r>
      <w:r w:rsidR="0097387D">
        <w:t xml:space="preserve">(limited to those </w:t>
      </w:r>
      <w:r w:rsidR="00256861">
        <w:t xml:space="preserve">exceptions </w:t>
      </w:r>
      <w:r w:rsidR="00CA778D" w:rsidRPr="006432D6">
        <w:lastRenderedPageBreak/>
        <w:t xml:space="preserve">set out in paragraph </w:t>
      </w:r>
      <w:r w:rsidR="008C577D" w:rsidRPr="006432D6">
        <w:t>15</w:t>
      </w:r>
      <w:r w:rsidR="008F1457">
        <w:t xml:space="preserve"> (Corporate Administrative Matters)</w:t>
      </w:r>
      <w:r w:rsidR="00CA778D" w:rsidRPr="006432D6">
        <w:t xml:space="preserve">, </w:t>
      </w:r>
      <w:r w:rsidR="008F1457">
        <w:t xml:space="preserve">paragraph </w:t>
      </w:r>
      <w:r w:rsidR="008C577D" w:rsidRPr="006432D6">
        <w:t>16</w:t>
      </w:r>
      <w:r w:rsidR="008F1457">
        <w:t xml:space="preserve"> (Deliberative Information)</w:t>
      </w:r>
      <w:r w:rsidR="00CA778D" w:rsidRPr="006432D6">
        <w:t xml:space="preserve">, and </w:t>
      </w:r>
      <w:r w:rsidR="008F1457">
        <w:t xml:space="preserve">paragraph </w:t>
      </w:r>
      <w:r w:rsidR="008C577D" w:rsidRPr="006432D6">
        <w:t xml:space="preserve">17 </w:t>
      </w:r>
      <w:r w:rsidRPr="006432D6">
        <w:t>(a), (b), and (c)</w:t>
      </w:r>
      <w:r w:rsidR="00F904B1">
        <w:t xml:space="preserve"> </w:t>
      </w:r>
      <w:r w:rsidR="008F1457">
        <w:t xml:space="preserve">(relating to certain Financial Information) </w:t>
      </w:r>
      <w:r w:rsidRPr="006432D6">
        <w:t>of this</w:t>
      </w:r>
      <w:r w:rsidR="00717F9B" w:rsidRPr="006432D6">
        <w:t xml:space="preserve"> </w:t>
      </w:r>
      <w:r w:rsidR="00AC7008">
        <w:t>p</w:t>
      </w:r>
      <w:r w:rsidR="00717F9B" w:rsidRPr="006432D6">
        <w:t xml:space="preserve">olicy </w:t>
      </w:r>
      <w:r w:rsidR="00AC7008">
        <w:t>s</w:t>
      </w:r>
      <w:r w:rsidRPr="006432D6">
        <w:t>tatement</w:t>
      </w:r>
      <w:r w:rsidR="00253BBA">
        <w:t>)</w:t>
      </w:r>
      <w:r w:rsidR="00A87FD0" w:rsidRPr="006432D6">
        <w:t>.</w:t>
      </w:r>
    </w:p>
    <w:p w:rsidR="008F1457" w:rsidRDefault="008F1457" w:rsidP="00FD353D">
      <w:pPr>
        <w:jc w:val="both"/>
      </w:pPr>
    </w:p>
    <w:p w:rsidR="00FD353D" w:rsidRDefault="00CC2150" w:rsidP="00FD353D">
      <w:pPr>
        <w:jc w:val="both"/>
      </w:pPr>
      <w:r>
        <w:t>The remedy available to a requester who prevails on appeal is</w:t>
      </w:r>
      <w:r w:rsidRPr="0070510D">
        <w:t xml:space="preserve"> limited to receiving the information requested.</w:t>
      </w:r>
    </w:p>
    <w:p w:rsidR="00CC2150" w:rsidRPr="006432D6" w:rsidRDefault="00CC2150" w:rsidP="00FD353D">
      <w:pPr>
        <w:jc w:val="both"/>
        <w:rPr>
          <w:i/>
        </w:rPr>
      </w:pPr>
    </w:p>
    <w:p w:rsidR="00FD353D" w:rsidRPr="006432D6" w:rsidRDefault="00BD1DB7" w:rsidP="004B3461">
      <w:pPr>
        <w:numPr>
          <w:ilvl w:val="0"/>
          <w:numId w:val="13"/>
        </w:numPr>
        <w:ind w:left="0" w:firstLine="0"/>
        <w:jc w:val="both"/>
      </w:pPr>
      <w:r w:rsidRPr="00421B6E">
        <w:rPr>
          <w:b/>
          <w:i/>
        </w:rPr>
        <w:t xml:space="preserve">Appealing </w:t>
      </w:r>
      <w:r w:rsidR="0097387D" w:rsidRPr="00421B6E">
        <w:rPr>
          <w:b/>
          <w:i/>
        </w:rPr>
        <w:t>the</w:t>
      </w:r>
      <w:r w:rsidRPr="00421B6E">
        <w:rPr>
          <w:b/>
          <w:i/>
        </w:rPr>
        <w:t xml:space="preserve"> Initial Denial</w:t>
      </w:r>
      <w:r w:rsidR="00E63BD0">
        <w:rPr>
          <w:b/>
          <w:i/>
        </w:rPr>
        <w:t>—</w:t>
      </w:r>
      <w:r w:rsidR="00FD353D" w:rsidRPr="00421B6E">
        <w:rPr>
          <w:b/>
          <w:i/>
        </w:rPr>
        <w:t>Access to Information Committee.</w:t>
      </w:r>
      <w:r w:rsidR="00FD353D" w:rsidRPr="00421B6E">
        <w:t xml:space="preserve">  </w:t>
      </w:r>
      <w:r w:rsidR="00C83AEF" w:rsidRPr="00421B6E">
        <w:rPr>
          <w:kern w:val="2"/>
        </w:rPr>
        <w:t xml:space="preserve">Appeals of </w:t>
      </w:r>
      <w:r w:rsidR="00282264" w:rsidRPr="00421B6E">
        <w:rPr>
          <w:kern w:val="2"/>
        </w:rPr>
        <w:t>a</w:t>
      </w:r>
      <w:r w:rsidR="00C83AEF" w:rsidRPr="00421B6E">
        <w:rPr>
          <w:kern w:val="2"/>
        </w:rPr>
        <w:t xml:space="preserve"> Bank decision to deny access </w:t>
      </w:r>
      <w:r w:rsidR="00C83AEF" w:rsidRPr="00421B6E">
        <w:t>are first considered by the Bank’s AI Committee.</w:t>
      </w:r>
      <w:r w:rsidR="00282264" w:rsidRPr="00421B6E">
        <w:rPr>
          <w:rStyle w:val="FootnoteReference"/>
        </w:rPr>
        <w:footnoteReference w:id="28"/>
      </w:r>
      <w:r w:rsidR="008F60BD" w:rsidRPr="006432D6">
        <w:t xml:space="preserve">  </w:t>
      </w:r>
      <w:r w:rsidR="0097387D">
        <w:t xml:space="preserve">For </w:t>
      </w:r>
      <w:r w:rsidR="00F51D39" w:rsidRPr="006432D6">
        <w:t>appeals that assert a public interest case t</w:t>
      </w:r>
      <w:r w:rsidR="0097387D">
        <w:t>o override a</w:t>
      </w:r>
      <w:r w:rsidR="00F51D39" w:rsidRPr="006432D6">
        <w:t xml:space="preserve"> </w:t>
      </w:r>
      <w:r w:rsidR="00837EEE">
        <w:t>Policy</w:t>
      </w:r>
      <w:r w:rsidR="00F51D39" w:rsidRPr="006432D6">
        <w:t xml:space="preserve"> exception,</w:t>
      </w:r>
      <w:r w:rsidR="00F51D39" w:rsidRPr="006432D6">
        <w:rPr>
          <w:rStyle w:val="FootnoteReference"/>
        </w:rPr>
        <w:footnoteReference w:id="29"/>
      </w:r>
      <w:r w:rsidR="00F51D39" w:rsidRPr="006432D6">
        <w:t xml:space="preserve"> t</w:t>
      </w:r>
      <w:r w:rsidR="00C64667" w:rsidRPr="006432D6">
        <w:t xml:space="preserve">he decision of the AI Committee is final. </w:t>
      </w:r>
      <w:r w:rsidR="00236F52" w:rsidRPr="006432D6">
        <w:t xml:space="preserve"> </w:t>
      </w:r>
      <w:r w:rsidR="003C1250" w:rsidRPr="00092E15">
        <w:t>T</w:t>
      </w:r>
      <w:r w:rsidR="00FA4440" w:rsidRPr="00092E15">
        <w:t>he AI Committee</w:t>
      </w:r>
      <w:r w:rsidR="00C64667" w:rsidRPr="00092E15">
        <w:t xml:space="preserve"> </w:t>
      </w:r>
      <w:r w:rsidR="00551266" w:rsidRPr="00092E15">
        <w:t xml:space="preserve">may decide to </w:t>
      </w:r>
      <w:r w:rsidR="00C64667" w:rsidRPr="00092E15">
        <w:t>refer</w:t>
      </w:r>
      <w:r w:rsidR="00551266" w:rsidRPr="00092E15">
        <w:t xml:space="preserve"> a particular</w:t>
      </w:r>
      <w:r w:rsidR="00C64667" w:rsidRPr="00092E15">
        <w:t xml:space="preserve"> </w:t>
      </w:r>
      <w:r w:rsidR="003C1250" w:rsidRPr="00092E15">
        <w:t>issue</w:t>
      </w:r>
      <w:r w:rsidR="00FA4440" w:rsidRPr="00092E15">
        <w:t xml:space="preserve"> </w:t>
      </w:r>
      <w:r w:rsidR="00C64667" w:rsidRPr="00092E15">
        <w:t>to the relevant Managing Director</w:t>
      </w:r>
      <w:r w:rsidR="00551266" w:rsidRPr="00092E15">
        <w:t xml:space="preserve"> for his/her recommendation</w:t>
      </w:r>
      <w:r w:rsidR="00C431B9" w:rsidRPr="00092E15">
        <w:t>, which the AI Committee take</w:t>
      </w:r>
      <w:r w:rsidR="009A17C7">
        <w:t>s</w:t>
      </w:r>
      <w:r w:rsidR="00C431B9" w:rsidRPr="00092E15">
        <w:t xml:space="preserve"> into account in its decision.</w:t>
      </w:r>
      <w:r w:rsidR="00551266" w:rsidRPr="006432D6">
        <w:rPr>
          <w:rStyle w:val="FootnoteReference"/>
        </w:rPr>
        <w:footnoteReference w:id="30"/>
      </w:r>
      <w:r w:rsidR="00FD353D" w:rsidRPr="00645C2E">
        <w:t xml:space="preserve"> </w:t>
      </w:r>
      <w:r w:rsidR="00B24D29" w:rsidRPr="00645C2E">
        <w:rPr>
          <w:kern w:val="2"/>
        </w:rPr>
        <w:t>Appeals to the AI Committee</w:t>
      </w:r>
      <w:r w:rsidR="00A87FD0" w:rsidRPr="00645C2E">
        <w:rPr>
          <w:kern w:val="2"/>
        </w:rPr>
        <w:t xml:space="preserve"> must be filed, in writing, within 60 calendar days of the Bank’s </w:t>
      </w:r>
      <w:r w:rsidR="0097387D" w:rsidRPr="00645C2E">
        <w:rPr>
          <w:kern w:val="2"/>
        </w:rPr>
        <w:t xml:space="preserve">initial </w:t>
      </w:r>
      <w:r w:rsidR="00A87FD0" w:rsidRPr="00645C2E">
        <w:rPr>
          <w:kern w:val="2"/>
        </w:rPr>
        <w:t>decision to deny</w:t>
      </w:r>
      <w:r w:rsidR="00FA4440" w:rsidRPr="00645C2E">
        <w:rPr>
          <w:kern w:val="2"/>
        </w:rPr>
        <w:t xml:space="preserve"> </w:t>
      </w:r>
      <w:r w:rsidR="00534338">
        <w:rPr>
          <w:kern w:val="2"/>
        </w:rPr>
        <w:t>access to the requested</w:t>
      </w:r>
      <w:r w:rsidR="00D7396E" w:rsidRPr="00645C2E">
        <w:rPr>
          <w:kern w:val="2"/>
        </w:rPr>
        <w:t xml:space="preserve"> information</w:t>
      </w:r>
      <w:r w:rsidR="00A87FD0" w:rsidRPr="00645C2E">
        <w:rPr>
          <w:kern w:val="2"/>
        </w:rPr>
        <w:t>.</w:t>
      </w:r>
      <w:r w:rsidR="009F6C5C" w:rsidRPr="00645C2E">
        <w:rPr>
          <w:kern w:val="2"/>
        </w:rPr>
        <w:t xml:space="preserve"> </w:t>
      </w:r>
      <w:r w:rsidR="009E55D7">
        <w:t>The AI Co</w:t>
      </w:r>
      <w:r w:rsidR="00FD353D" w:rsidRPr="00645C2E">
        <w:t>mmittee</w:t>
      </w:r>
      <w:r w:rsidR="009E55D7">
        <w:t xml:space="preserve"> makes its best efforts to reach</w:t>
      </w:r>
      <w:r w:rsidR="00C3124C" w:rsidRPr="006432D6">
        <w:t xml:space="preserve"> a decision on appeals</w:t>
      </w:r>
      <w:r w:rsidR="00FD353D" w:rsidRPr="006432D6">
        <w:t xml:space="preserve"> within </w:t>
      </w:r>
      <w:r w:rsidR="009B0B7D" w:rsidRPr="006432D6">
        <w:t>45</w:t>
      </w:r>
      <w:r w:rsidR="00FD353D" w:rsidRPr="006432D6">
        <w:t xml:space="preserve"> working days of receiving an appeal</w:t>
      </w:r>
      <w:r w:rsidR="00D84379" w:rsidRPr="006432D6">
        <w:t xml:space="preserve"> (</w:t>
      </w:r>
      <w:r w:rsidR="009F6C5C" w:rsidRPr="006432D6">
        <w:t xml:space="preserve">delays </w:t>
      </w:r>
      <w:r w:rsidR="009D22AB">
        <w:t>are</w:t>
      </w:r>
      <w:r w:rsidR="00D84379" w:rsidRPr="006432D6">
        <w:t xml:space="preserve"> communicated in writing to the request</w:t>
      </w:r>
      <w:r w:rsidR="00E63BD0">
        <w:t>e</w:t>
      </w:r>
      <w:r w:rsidR="00D84379" w:rsidRPr="006432D6">
        <w:t>r)</w:t>
      </w:r>
      <w:r w:rsidR="003335CC">
        <w:t xml:space="preserve">. </w:t>
      </w:r>
    </w:p>
    <w:p w:rsidR="00B21BDE" w:rsidRPr="006432D6" w:rsidRDefault="00B21BDE" w:rsidP="00B73A5E">
      <w:pPr>
        <w:tabs>
          <w:tab w:val="num" w:pos="0"/>
          <w:tab w:val="num" w:pos="720"/>
        </w:tabs>
        <w:jc w:val="both"/>
      </w:pPr>
    </w:p>
    <w:p w:rsidR="00FD353D" w:rsidRPr="006432D6" w:rsidRDefault="00E63BD0" w:rsidP="004B3461">
      <w:pPr>
        <w:numPr>
          <w:ilvl w:val="0"/>
          <w:numId w:val="13"/>
        </w:numPr>
        <w:ind w:left="0" w:firstLine="0"/>
        <w:jc w:val="both"/>
        <w:rPr>
          <w:color w:val="FF0000"/>
        </w:rPr>
      </w:pPr>
      <w:r>
        <w:rPr>
          <w:b/>
          <w:i/>
        </w:rPr>
        <w:t>Appealing the AI Committee’s Denial—</w:t>
      </w:r>
      <w:r w:rsidR="008F60BD" w:rsidRPr="006432D6">
        <w:rPr>
          <w:b/>
          <w:i/>
        </w:rPr>
        <w:t>Appeals Board</w:t>
      </w:r>
      <w:r w:rsidR="00FD353D" w:rsidRPr="006432D6">
        <w:rPr>
          <w:b/>
          <w:i/>
        </w:rPr>
        <w:t xml:space="preserve">. </w:t>
      </w:r>
      <w:r w:rsidR="00FD353D" w:rsidRPr="006432D6">
        <w:t xml:space="preserve"> </w:t>
      </w:r>
      <w:r w:rsidR="006E3DCF">
        <w:t>The Bank has established an independent Appeals Board</w:t>
      </w:r>
      <w:r w:rsidR="00B9546A" w:rsidRPr="006432D6">
        <w:rPr>
          <w:rStyle w:val="FootnoteReference"/>
        </w:rPr>
        <w:footnoteReference w:id="31"/>
      </w:r>
      <w:r w:rsidR="006E3DCF">
        <w:t xml:space="preserve"> to consider </w:t>
      </w:r>
      <w:r w:rsidR="00FD353D" w:rsidRPr="006432D6">
        <w:t xml:space="preserve">appeals alleging that the Bank violated </w:t>
      </w:r>
      <w:r w:rsidR="00FA438B" w:rsidRPr="006432D6">
        <w:t>this</w:t>
      </w:r>
      <w:r w:rsidR="00FD353D" w:rsidRPr="006432D6">
        <w:t xml:space="preserve"> </w:t>
      </w:r>
      <w:r w:rsidR="00837EEE">
        <w:t>Policy</w:t>
      </w:r>
      <w:r w:rsidR="00FA438B" w:rsidRPr="006432D6">
        <w:t xml:space="preserve"> </w:t>
      </w:r>
      <w:r w:rsidR="00FD353D" w:rsidRPr="006432D6">
        <w:t>by</w:t>
      </w:r>
      <w:r w:rsidR="00FA438B" w:rsidRPr="006432D6">
        <w:t xml:space="preserve"> restricting access to information that it would normally disclose</w:t>
      </w:r>
      <w:r w:rsidR="00FD145F">
        <w:t xml:space="preserve"> under the</w:t>
      </w:r>
      <w:r w:rsidR="008E5060">
        <w:t xml:space="preserve"> Policy</w:t>
      </w:r>
      <w:r w:rsidR="00FD353D" w:rsidRPr="006432D6">
        <w:t>,</w:t>
      </w:r>
      <w:r w:rsidR="00B9546A">
        <w:rPr>
          <w:rStyle w:val="FootnoteReference"/>
        </w:rPr>
        <w:footnoteReference w:id="32"/>
      </w:r>
      <w:r w:rsidR="00FD353D" w:rsidRPr="006432D6">
        <w:t xml:space="preserve"> </w:t>
      </w:r>
      <w:r w:rsidR="00A17ABA">
        <w:t xml:space="preserve">if the </w:t>
      </w:r>
      <w:r w:rsidR="00D84379" w:rsidRPr="006432D6">
        <w:t xml:space="preserve">AI </w:t>
      </w:r>
      <w:r w:rsidR="00FD353D" w:rsidRPr="006432D6">
        <w:t>Committee</w:t>
      </w:r>
      <w:r w:rsidR="000C13C2">
        <w:t xml:space="preserve"> </w:t>
      </w:r>
      <w:r w:rsidR="00A17ABA">
        <w:t>upholds the initial decision to deny access</w:t>
      </w:r>
      <w:r w:rsidR="006E3DCF">
        <w:t>;</w:t>
      </w:r>
      <w:r w:rsidR="00A17ABA">
        <w:t xml:space="preserve"> the </w:t>
      </w:r>
      <w:r w:rsidR="006E3DCF">
        <w:t xml:space="preserve">Appeals Board does not consider appeals concerning </w:t>
      </w:r>
      <w:r w:rsidR="00A17ABA">
        <w:t>request</w:t>
      </w:r>
      <w:r w:rsidR="006E3DCF">
        <w:t>s to override the Policy’s exceptions</w:t>
      </w:r>
      <w:r w:rsidR="00FD353D" w:rsidRPr="006432D6">
        <w:t>.</w:t>
      </w:r>
      <w:r w:rsidR="00B9546A">
        <w:rPr>
          <w:rStyle w:val="FootnoteReference"/>
        </w:rPr>
        <w:footnoteReference w:id="33"/>
      </w:r>
      <w:r w:rsidR="000C1E4C" w:rsidRPr="006432D6">
        <w:t xml:space="preserve">  </w:t>
      </w:r>
      <w:r w:rsidR="00AC7008" w:rsidRPr="006432D6">
        <w:t xml:space="preserve">The Appeals Board has the authority to uphold or reverse the </w:t>
      </w:r>
      <w:r w:rsidR="00567A9C">
        <w:t xml:space="preserve">relevant </w:t>
      </w:r>
      <w:r w:rsidR="00AC7008" w:rsidRPr="006432D6">
        <w:t>decisions</w:t>
      </w:r>
      <w:r w:rsidR="00AC7008">
        <w:t xml:space="preserve"> of the </w:t>
      </w:r>
      <w:r w:rsidR="00AC7008" w:rsidRPr="006432D6">
        <w:t xml:space="preserve">AI Committee, and the Appeals Board’s decisions in such instances are final. </w:t>
      </w:r>
      <w:r w:rsidR="00AC7008" w:rsidRPr="006432D6">
        <w:rPr>
          <w:color w:val="FF0000"/>
        </w:rPr>
        <w:t xml:space="preserve"> </w:t>
      </w:r>
      <w:r w:rsidR="00D7396E" w:rsidRPr="006432D6">
        <w:rPr>
          <w:kern w:val="2"/>
        </w:rPr>
        <w:t xml:space="preserve">Appeals to the Appeals Board must be filed, in writing, within 60 calendar days </w:t>
      </w:r>
      <w:r w:rsidR="00C1799D">
        <w:rPr>
          <w:kern w:val="2"/>
        </w:rPr>
        <w:t>after</w:t>
      </w:r>
      <w:r w:rsidR="00D7396E" w:rsidRPr="006432D6">
        <w:rPr>
          <w:kern w:val="2"/>
        </w:rPr>
        <w:t xml:space="preserve"> the </w:t>
      </w:r>
      <w:r w:rsidR="00F95EBF">
        <w:rPr>
          <w:kern w:val="2"/>
        </w:rPr>
        <w:t xml:space="preserve">AI </w:t>
      </w:r>
      <w:r w:rsidR="00C431B9">
        <w:rPr>
          <w:kern w:val="2"/>
        </w:rPr>
        <w:t>Committee</w:t>
      </w:r>
      <w:r w:rsidR="00C1799D">
        <w:rPr>
          <w:kern w:val="2"/>
        </w:rPr>
        <w:t>’s decision</w:t>
      </w:r>
      <w:r w:rsidR="00F95EBF">
        <w:rPr>
          <w:kern w:val="2"/>
        </w:rPr>
        <w:t xml:space="preserve"> </w:t>
      </w:r>
      <w:r w:rsidR="00D7396E" w:rsidRPr="006432D6">
        <w:rPr>
          <w:kern w:val="2"/>
        </w:rPr>
        <w:t xml:space="preserve">to uphold the Bank’s initial </w:t>
      </w:r>
      <w:r w:rsidR="00A3114F">
        <w:rPr>
          <w:kern w:val="2"/>
        </w:rPr>
        <w:t>decision to deny access</w:t>
      </w:r>
      <w:r w:rsidR="00D7396E" w:rsidRPr="006432D6">
        <w:rPr>
          <w:kern w:val="2"/>
        </w:rPr>
        <w:t xml:space="preserve">. </w:t>
      </w:r>
      <w:r w:rsidR="00DD59C8">
        <w:t>The Appeals Board makes its b</w:t>
      </w:r>
      <w:r w:rsidR="00A116DF" w:rsidRPr="006432D6">
        <w:t>est efforts</w:t>
      </w:r>
      <w:r w:rsidR="00D7396E" w:rsidRPr="006432D6">
        <w:t xml:space="preserve"> to consider</w:t>
      </w:r>
      <w:r w:rsidR="00A116DF" w:rsidRPr="006432D6">
        <w:t xml:space="preserve"> all appeals</w:t>
      </w:r>
      <w:r w:rsidR="004C19AD" w:rsidRPr="006432D6">
        <w:t xml:space="preserve"> that are</w:t>
      </w:r>
      <w:r w:rsidR="00A116DF" w:rsidRPr="006432D6">
        <w:t xml:space="preserve"> received within a reasonable</w:t>
      </w:r>
      <w:r w:rsidR="00C345B2" w:rsidRPr="006432D6">
        <w:t xml:space="preserve"> time</w:t>
      </w:r>
      <w:r w:rsidR="00A116DF" w:rsidRPr="006432D6">
        <w:t xml:space="preserve"> period before </w:t>
      </w:r>
      <w:r w:rsidR="00D7396E" w:rsidRPr="006432D6">
        <w:t>the next scheduled</w:t>
      </w:r>
      <w:r w:rsidR="00A116DF" w:rsidRPr="006432D6">
        <w:t xml:space="preserve"> Appeals Board session.  </w:t>
      </w:r>
    </w:p>
    <w:p w:rsidR="000C77C9" w:rsidRPr="006432D6" w:rsidRDefault="000C77C9" w:rsidP="00B73A5E">
      <w:pPr>
        <w:tabs>
          <w:tab w:val="num" w:pos="0"/>
          <w:tab w:val="num" w:pos="720"/>
        </w:tabs>
        <w:jc w:val="both"/>
        <w:rPr>
          <w:color w:val="FF0000"/>
        </w:rPr>
      </w:pPr>
    </w:p>
    <w:p w:rsidR="008C6A27" w:rsidRPr="00BD6B2D" w:rsidRDefault="000C77C9" w:rsidP="004B3461">
      <w:pPr>
        <w:numPr>
          <w:ilvl w:val="0"/>
          <w:numId w:val="13"/>
        </w:numPr>
        <w:ind w:left="0" w:firstLine="0"/>
        <w:jc w:val="both"/>
        <w:rPr>
          <w:kern w:val="2"/>
        </w:rPr>
      </w:pPr>
      <w:r w:rsidRPr="006432D6">
        <w:rPr>
          <w:b/>
          <w:i/>
        </w:rPr>
        <w:t>Submitting an Appeal.</w:t>
      </w:r>
      <w:r w:rsidRPr="006432D6">
        <w:t xml:space="preserve">  </w:t>
      </w:r>
      <w:r w:rsidRPr="006432D6">
        <w:rPr>
          <w:kern w:val="2"/>
        </w:rPr>
        <w:t xml:space="preserve">All appeals </w:t>
      </w:r>
      <w:r w:rsidR="002806F5" w:rsidRPr="006432D6">
        <w:rPr>
          <w:kern w:val="2"/>
        </w:rPr>
        <w:t xml:space="preserve">must </w:t>
      </w:r>
      <w:r w:rsidRPr="006432D6">
        <w:rPr>
          <w:kern w:val="2"/>
        </w:rPr>
        <w:t>be submitted in writing t</w:t>
      </w:r>
      <w:r w:rsidR="008F60BD" w:rsidRPr="006432D6">
        <w:rPr>
          <w:kern w:val="2"/>
        </w:rPr>
        <w:t xml:space="preserve">o the Access to Information </w:t>
      </w:r>
      <w:r w:rsidR="004F697A" w:rsidRPr="006432D6">
        <w:rPr>
          <w:kern w:val="2"/>
        </w:rPr>
        <w:t>Secretariat</w:t>
      </w:r>
      <w:r w:rsidR="00BD6B2D" w:rsidRPr="006432D6">
        <w:rPr>
          <w:kern w:val="2"/>
        </w:rPr>
        <w:t xml:space="preserve"> within 60 </w:t>
      </w:r>
      <w:r w:rsidR="00BD6B2D">
        <w:rPr>
          <w:kern w:val="2"/>
        </w:rPr>
        <w:t>calendar</w:t>
      </w:r>
      <w:r w:rsidR="00BD6B2D" w:rsidRPr="006432D6">
        <w:rPr>
          <w:kern w:val="2"/>
        </w:rPr>
        <w:t xml:space="preserve"> days</w:t>
      </w:r>
      <w:r w:rsidR="00FE7CE6">
        <w:rPr>
          <w:kern w:val="2"/>
        </w:rPr>
        <w:t xml:space="preserve"> of the</w:t>
      </w:r>
      <w:r w:rsidR="00BD6B2D" w:rsidRPr="00BD6B2D">
        <w:rPr>
          <w:kern w:val="2"/>
        </w:rPr>
        <w:t xml:space="preserve"> decision</w:t>
      </w:r>
      <w:r w:rsidR="00FE7CE6">
        <w:rPr>
          <w:kern w:val="2"/>
        </w:rPr>
        <w:t>s</w:t>
      </w:r>
      <w:r w:rsidR="00BD6B2D" w:rsidRPr="00BD6B2D">
        <w:rPr>
          <w:kern w:val="2"/>
        </w:rPr>
        <w:t xml:space="preserve"> to deny access.  </w:t>
      </w:r>
      <w:r w:rsidR="00BD6B2D">
        <w:rPr>
          <w:kern w:val="2"/>
        </w:rPr>
        <w:t>Appeals</w:t>
      </w:r>
      <w:r w:rsidR="00F95EBF">
        <w:rPr>
          <w:kern w:val="2"/>
        </w:rPr>
        <w:t xml:space="preserve"> received beyond the</w:t>
      </w:r>
      <w:r w:rsidR="00BD6B2D" w:rsidRPr="00BD6B2D">
        <w:rPr>
          <w:kern w:val="2"/>
        </w:rPr>
        <w:t xml:space="preserve"> 60</w:t>
      </w:r>
      <w:r w:rsidR="00AC7008">
        <w:rPr>
          <w:kern w:val="2"/>
        </w:rPr>
        <w:t>-</w:t>
      </w:r>
      <w:r w:rsidR="00BD6B2D" w:rsidRPr="00BD6B2D">
        <w:rPr>
          <w:kern w:val="2"/>
        </w:rPr>
        <w:t>day period for filing an appeal with the AI Committee</w:t>
      </w:r>
      <w:r w:rsidR="00FE7CE6">
        <w:rPr>
          <w:kern w:val="2"/>
        </w:rPr>
        <w:t xml:space="preserve"> (first stage of appeal)</w:t>
      </w:r>
      <w:r w:rsidR="00A25799">
        <w:rPr>
          <w:kern w:val="2"/>
        </w:rPr>
        <w:t xml:space="preserve"> and</w:t>
      </w:r>
      <w:r w:rsidR="00BD6B2D" w:rsidRPr="00BD6B2D">
        <w:rPr>
          <w:kern w:val="2"/>
        </w:rPr>
        <w:t xml:space="preserve"> the Appeals Board</w:t>
      </w:r>
      <w:r w:rsidR="007C1278">
        <w:rPr>
          <w:kern w:val="2"/>
        </w:rPr>
        <w:t xml:space="preserve"> (second stage</w:t>
      </w:r>
      <w:r w:rsidR="00FE7CE6">
        <w:rPr>
          <w:kern w:val="2"/>
        </w:rPr>
        <w:t xml:space="preserve"> of appeal</w:t>
      </w:r>
      <w:r w:rsidR="007C1278">
        <w:rPr>
          <w:kern w:val="2"/>
        </w:rPr>
        <w:t>)</w:t>
      </w:r>
      <w:r w:rsidR="00BD6B2D" w:rsidRPr="00BD6B2D">
        <w:rPr>
          <w:kern w:val="2"/>
        </w:rPr>
        <w:t xml:space="preserve"> </w:t>
      </w:r>
      <w:r w:rsidR="009A17C7">
        <w:rPr>
          <w:kern w:val="2"/>
        </w:rPr>
        <w:t>ar</w:t>
      </w:r>
      <w:r w:rsidR="00BD6B2D" w:rsidRPr="00BD6B2D">
        <w:rPr>
          <w:kern w:val="2"/>
        </w:rPr>
        <w:t xml:space="preserve">e deemed out of time and </w:t>
      </w:r>
      <w:r w:rsidR="009A17C7">
        <w:rPr>
          <w:kern w:val="2"/>
        </w:rPr>
        <w:t>are</w:t>
      </w:r>
      <w:r w:rsidR="009A17C7" w:rsidRPr="00BD6B2D">
        <w:rPr>
          <w:kern w:val="2"/>
        </w:rPr>
        <w:t xml:space="preserve"> </w:t>
      </w:r>
      <w:r w:rsidR="00BD6B2D" w:rsidRPr="00BD6B2D">
        <w:rPr>
          <w:kern w:val="2"/>
        </w:rPr>
        <w:t xml:space="preserve">not considered.  </w:t>
      </w:r>
      <w:r w:rsidR="00BD6B2D">
        <w:rPr>
          <w:kern w:val="2"/>
        </w:rPr>
        <w:t>Appeals may be submitted</w:t>
      </w:r>
      <w:r w:rsidRPr="00BD6B2D">
        <w:rPr>
          <w:kern w:val="2"/>
        </w:rPr>
        <w:t xml:space="preserve"> </w:t>
      </w:r>
      <w:r w:rsidR="006A49ED" w:rsidRPr="00FE7CE6">
        <w:rPr>
          <w:kern w:val="2"/>
        </w:rPr>
        <w:t xml:space="preserve">electronically through the Bank’s website at </w:t>
      </w:r>
      <w:r w:rsidR="00920DAB" w:rsidRPr="00495418">
        <w:rPr>
          <w:kern w:val="2"/>
          <w:u w:val="single"/>
        </w:rPr>
        <w:t>www.worldbank.org/wb</w:t>
      </w:r>
      <w:r w:rsidR="00BF529B" w:rsidRPr="00495418">
        <w:rPr>
          <w:kern w:val="2"/>
          <w:u w:val="single"/>
        </w:rPr>
        <w:t>access</w:t>
      </w:r>
      <w:r w:rsidR="00920DAB">
        <w:rPr>
          <w:kern w:val="2"/>
        </w:rPr>
        <w:t xml:space="preserve">. </w:t>
      </w:r>
      <w:r w:rsidR="00D47E9B" w:rsidRPr="00FE7CE6">
        <w:rPr>
          <w:kern w:val="2"/>
        </w:rPr>
        <w:t xml:space="preserve"> Appeal</w:t>
      </w:r>
      <w:r w:rsidR="00817595">
        <w:rPr>
          <w:kern w:val="2"/>
        </w:rPr>
        <w:t>s</w:t>
      </w:r>
      <w:r w:rsidR="00FE7CE6">
        <w:rPr>
          <w:kern w:val="2"/>
        </w:rPr>
        <w:t xml:space="preserve"> </w:t>
      </w:r>
      <w:r w:rsidR="00E3648F">
        <w:rPr>
          <w:kern w:val="2"/>
        </w:rPr>
        <w:t xml:space="preserve">also </w:t>
      </w:r>
      <w:r w:rsidR="00BD6B2D" w:rsidRPr="00FE7CE6">
        <w:rPr>
          <w:kern w:val="2"/>
        </w:rPr>
        <w:t>may</w:t>
      </w:r>
      <w:r w:rsidR="00F95EBF" w:rsidRPr="00FE7CE6">
        <w:rPr>
          <w:kern w:val="2"/>
        </w:rPr>
        <w:t xml:space="preserve"> be</w:t>
      </w:r>
      <w:r w:rsidR="00E3648F">
        <w:rPr>
          <w:kern w:val="2"/>
        </w:rPr>
        <w:t xml:space="preserve"> set out </w:t>
      </w:r>
      <w:r w:rsidR="00D47E9B" w:rsidRPr="00FE7CE6">
        <w:rPr>
          <w:kern w:val="2"/>
        </w:rPr>
        <w:t>in a brief letter and sent by mail to</w:t>
      </w:r>
      <w:r w:rsidR="006A49ED" w:rsidRPr="00FE7CE6">
        <w:rPr>
          <w:kern w:val="2"/>
        </w:rPr>
        <w:t xml:space="preserve"> </w:t>
      </w:r>
      <w:r w:rsidR="000C13C2" w:rsidRPr="00FE7CE6">
        <w:rPr>
          <w:kern w:val="2"/>
        </w:rPr>
        <w:t>Access to Information Secretariat,</w:t>
      </w:r>
      <w:r w:rsidR="000C13C2">
        <w:rPr>
          <w:kern w:val="2"/>
        </w:rPr>
        <w:t xml:space="preserve"> </w:t>
      </w:r>
      <w:r w:rsidRPr="00BD6B2D">
        <w:rPr>
          <w:kern w:val="2"/>
        </w:rPr>
        <w:t xml:space="preserve">World Bank, 1818 H Street, NW, Washington, </w:t>
      </w:r>
      <w:r w:rsidRPr="00BD6B2D">
        <w:rPr>
          <w:kern w:val="2"/>
        </w:rPr>
        <w:lastRenderedPageBreak/>
        <w:t>DC, 20433.</w:t>
      </w:r>
      <w:r w:rsidR="002806F5" w:rsidRPr="00BD6B2D">
        <w:rPr>
          <w:kern w:val="2"/>
        </w:rPr>
        <w:t xml:space="preserve">  </w:t>
      </w:r>
      <w:r w:rsidR="00AC7008">
        <w:rPr>
          <w:kern w:val="2"/>
        </w:rPr>
        <w:t>Appeals should be addressed to either the AI Committee (first stage of appeal)</w:t>
      </w:r>
      <w:r w:rsidR="00AC7008" w:rsidRPr="006432D6">
        <w:rPr>
          <w:kern w:val="2"/>
        </w:rPr>
        <w:t xml:space="preserve"> or </w:t>
      </w:r>
      <w:r w:rsidR="00AC7008">
        <w:rPr>
          <w:kern w:val="2"/>
        </w:rPr>
        <w:t xml:space="preserve">the </w:t>
      </w:r>
      <w:r w:rsidR="00AC7008" w:rsidRPr="006432D6">
        <w:rPr>
          <w:kern w:val="2"/>
        </w:rPr>
        <w:t>Appeals Board</w:t>
      </w:r>
      <w:r w:rsidR="00AC7008">
        <w:rPr>
          <w:kern w:val="2"/>
        </w:rPr>
        <w:t xml:space="preserve"> (second stage of appeal for those appeals alleging that the Bank violated the Policy by improperly or unreasonably restricting access</w:t>
      </w:r>
      <w:r w:rsidR="00AC7008" w:rsidRPr="006432D6">
        <w:rPr>
          <w:kern w:val="2"/>
        </w:rPr>
        <w:t>)</w:t>
      </w:r>
      <w:r w:rsidR="00AC7008">
        <w:rPr>
          <w:kern w:val="2"/>
        </w:rPr>
        <w:t>.</w:t>
      </w:r>
      <w:r w:rsidR="00AC7008" w:rsidRPr="006432D6">
        <w:rPr>
          <w:kern w:val="2"/>
        </w:rPr>
        <w:t xml:space="preserve"> </w:t>
      </w:r>
      <w:r w:rsidR="00EF6947">
        <w:rPr>
          <w:kern w:val="2"/>
        </w:rPr>
        <w:t>A</w:t>
      </w:r>
      <w:r w:rsidR="000C13C2">
        <w:rPr>
          <w:kern w:val="2"/>
        </w:rPr>
        <w:t>ll a</w:t>
      </w:r>
      <w:r w:rsidR="008C6A27" w:rsidRPr="00BD6B2D">
        <w:rPr>
          <w:kern w:val="2"/>
        </w:rPr>
        <w:t>ppeal</w:t>
      </w:r>
      <w:r w:rsidR="000C13C2">
        <w:rPr>
          <w:kern w:val="2"/>
        </w:rPr>
        <w:t>s must</w:t>
      </w:r>
      <w:r w:rsidR="00EF6947">
        <w:rPr>
          <w:kern w:val="2"/>
        </w:rPr>
        <w:t xml:space="preserve"> </w:t>
      </w:r>
      <w:r w:rsidR="00AC7008">
        <w:rPr>
          <w:kern w:val="2"/>
        </w:rPr>
        <w:t>contain the following</w:t>
      </w:r>
      <w:r w:rsidR="00D47E9B" w:rsidRPr="00BD6B2D">
        <w:rPr>
          <w:kern w:val="2"/>
        </w:rPr>
        <w:t xml:space="preserve">: </w:t>
      </w:r>
    </w:p>
    <w:p w:rsidR="008C6A27" w:rsidRDefault="008C6A27" w:rsidP="008C6A27">
      <w:pPr>
        <w:tabs>
          <w:tab w:val="num" w:pos="9090"/>
        </w:tabs>
        <w:jc w:val="both"/>
        <w:rPr>
          <w:kern w:val="2"/>
        </w:rPr>
      </w:pPr>
    </w:p>
    <w:p w:rsidR="00E912D6" w:rsidRDefault="00D47E9B">
      <w:pPr>
        <w:tabs>
          <w:tab w:val="num" w:pos="9090"/>
        </w:tabs>
        <w:ind w:left="720" w:hanging="360"/>
        <w:jc w:val="both"/>
        <w:rPr>
          <w:kern w:val="2"/>
        </w:rPr>
      </w:pPr>
      <w:r w:rsidRPr="006432D6">
        <w:rPr>
          <w:kern w:val="2"/>
        </w:rPr>
        <w:t xml:space="preserve">(a) </w:t>
      </w:r>
      <w:proofErr w:type="gramStart"/>
      <w:r w:rsidR="00817595">
        <w:rPr>
          <w:kern w:val="2"/>
        </w:rPr>
        <w:t>t</w:t>
      </w:r>
      <w:r w:rsidRPr="006432D6">
        <w:rPr>
          <w:kern w:val="2"/>
        </w:rPr>
        <w:t>he</w:t>
      </w:r>
      <w:proofErr w:type="gramEnd"/>
      <w:r w:rsidRPr="006432D6">
        <w:rPr>
          <w:kern w:val="2"/>
        </w:rPr>
        <w:t xml:space="preserve"> original case number</w:t>
      </w:r>
      <w:r w:rsidR="007C1278">
        <w:rPr>
          <w:kern w:val="2"/>
        </w:rPr>
        <w:t>,</w:t>
      </w:r>
      <w:r w:rsidRPr="006432D6">
        <w:rPr>
          <w:kern w:val="2"/>
        </w:rPr>
        <w:t xml:space="preserve"> provided in the Bank’s response to the request for information; </w:t>
      </w:r>
    </w:p>
    <w:p w:rsidR="008C6A27" w:rsidRDefault="00BD6B2D" w:rsidP="00BD6B2D">
      <w:pPr>
        <w:tabs>
          <w:tab w:val="num" w:pos="9090"/>
        </w:tabs>
        <w:ind w:left="720" w:hanging="360"/>
        <w:jc w:val="both"/>
        <w:rPr>
          <w:kern w:val="2"/>
        </w:rPr>
      </w:pPr>
      <w:r>
        <w:rPr>
          <w:kern w:val="2"/>
        </w:rPr>
        <w:t>(</w:t>
      </w:r>
      <w:r w:rsidR="00AC7008">
        <w:rPr>
          <w:kern w:val="2"/>
        </w:rPr>
        <w:t>b</w:t>
      </w:r>
      <w:r>
        <w:rPr>
          <w:kern w:val="2"/>
        </w:rPr>
        <w:t>)</w:t>
      </w:r>
      <w:r>
        <w:rPr>
          <w:kern w:val="2"/>
        </w:rPr>
        <w:tab/>
      </w:r>
      <w:proofErr w:type="gramStart"/>
      <w:r w:rsidR="00D47E9B">
        <w:rPr>
          <w:kern w:val="2"/>
        </w:rPr>
        <w:t>a</w:t>
      </w:r>
      <w:proofErr w:type="gramEnd"/>
      <w:r w:rsidR="00D47E9B">
        <w:rPr>
          <w:kern w:val="2"/>
        </w:rPr>
        <w:t xml:space="preserve"> description of </w:t>
      </w:r>
      <w:r w:rsidR="00D47E9B" w:rsidRPr="006432D6">
        <w:rPr>
          <w:kern w:val="2"/>
        </w:rPr>
        <w:t xml:space="preserve">the information originally requested; </w:t>
      </w:r>
      <w:r w:rsidR="00AC7008">
        <w:rPr>
          <w:kern w:val="2"/>
        </w:rPr>
        <w:t>and</w:t>
      </w:r>
    </w:p>
    <w:p w:rsidR="00D47E9B" w:rsidRPr="00D47E9B" w:rsidRDefault="00BD6B2D" w:rsidP="00192579">
      <w:pPr>
        <w:tabs>
          <w:tab w:val="num" w:pos="9090"/>
        </w:tabs>
        <w:ind w:left="720" w:hanging="360"/>
        <w:jc w:val="both"/>
        <w:rPr>
          <w:kern w:val="2"/>
        </w:rPr>
      </w:pPr>
      <w:r>
        <w:rPr>
          <w:kern w:val="2"/>
        </w:rPr>
        <w:t>(</w:t>
      </w:r>
      <w:r w:rsidR="00AC7008">
        <w:rPr>
          <w:kern w:val="2"/>
        </w:rPr>
        <w:t>c</w:t>
      </w:r>
      <w:r>
        <w:rPr>
          <w:kern w:val="2"/>
        </w:rPr>
        <w:t>)</w:t>
      </w:r>
      <w:r>
        <w:rPr>
          <w:kern w:val="2"/>
        </w:rPr>
        <w:tab/>
      </w:r>
      <w:r w:rsidR="008C6A27">
        <w:rPr>
          <w:kern w:val="2"/>
        </w:rPr>
        <w:t xml:space="preserve">an explanatory statement that sets out </w:t>
      </w:r>
      <w:r w:rsidR="008C6A27" w:rsidRPr="00AC420D">
        <w:rPr>
          <w:kern w:val="2"/>
        </w:rPr>
        <w:t>the</w:t>
      </w:r>
      <w:r w:rsidR="008C6A27" w:rsidRPr="00AC420D">
        <w:t xml:space="preserve"> fac</w:t>
      </w:r>
      <w:r w:rsidR="00A25799">
        <w:t>ts and the grounds which</w:t>
      </w:r>
      <w:r w:rsidR="008C6A27">
        <w:t xml:space="preserve"> support </w:t>
      </w:r>
      <w:r w:rsidR="008C6A27">
        <w:rPr>
          <w:kern w:val="2"/>
        </w:rPr>
        <w:t xml:space="preserve">the requester’s </w:t>
      </w:r>
      <w:r w:rsidR="00D47E9B">
        <w:rPr>
          <w:kern w:val="2"/>
        </w:rPr>
        <w:t xml:space="preserve">claim that </w:t>
      </w:r>
      <w:r w:rsidR="005721B0">
        <w:rPr>
          <w:kern w:val="2"/>
        </w:rPr>
        <w:t>(</w:t>
      </w:r>
      <w:proofErr w:type="spellStart"/>
      <w:r w:rsidR="005721B0">
        <w:rPr>
          <w:kern w:val="2"/>
        </w:rPr>
        <w:t>i</w:t>
      </w:r>
      <w:proofErr w:type="spellEnd"/>
      <w:r w:rsidR="005721B0">
        <w:rPr>
          <w:kern w:val="2"/>
        </w:rPr>
        <w:t xml:space="preserve">) </w:t>
      </w:r>
      <w:r w:rsidR="00D47E9B" w:rsidRPr="006432D6">
        <w:rPr>
          <w:kern w:val="2"/>
        </w:rPr>
        <w:t>the</w:t>
      </w:r>
      <w:r w:rsidR="008C6A27">
        <w:rPr>
          <w:kern w:val="2"/>
        </w:rPr>
        <w:t xml:space="preserve"> Bank violated this Policy by</w:t>
      </w:r>
      <w:r w:rsidR="00D47E9B" w:rsidRPr="006432D6">
        <w:rPr>
          <w:kern w:val="2"/>
        </w:rPr>
        <w:t xml:space="preserve"> improper</w:t>
      </w:r>
      <w:r w:rsidR="008C6A27">
        <w:rPr>
          <w:kern w:val="2"/>
        </w:rPr>
        <w:t>ly</w:t>
      </w:r>
      <w:r w:rsidR="00D47E9B" w:rsidRPr="006432D6">
        <w:rPr>
          <w:kern w:val="2"/>
        </w:rPr>
        <w:t xml:space="preserve"> or inappropriate</w:t>
      </w:r>
      <w:r w:rsidR="008C6A27">
        <w:rPr>
          <w:kern w:val="2"/>
        </w:rPr>
        <w:t>ly restricting access to the information requested</w:t>
      </w:r>
      <w:r w:rsidR="005721B0">
        <w:rPr>
          <w:kern w:val="2"/>
        </w:rPr>
        <w:t xml:space="preserve">; or </w:t>
      </w:r>
      <w:r w:rsidR="008C6A27">
        <w:rPr>
          <w:kern w:val="2"/>
        </w:rPr>
        <w:t>(</w:t>
      </w:r>
      <w:r w:rsidR="005721B0">
        <w:rPr>
          <w:kern w:val="2"/>
        </w:rPr>
        <w:t>ii</w:t>
      </w:r>
      <w:r w:rsidR="008C6A27">
        <w:rPr>
          <w:kern w:val="2"/>
        </w:rPr>
        <w:t>)</w:t>
      </w:r>
      <w:r w:rsidR="00A25799">
        <w:rPr>
          <w:kern w:val="2"/>
        </w:rPr>
        <w:t xml:space="preserve"> for</w:t>
      </w:r>
      <w:r w:rsidR="005721B0">
        <w:rPr>
          <w:kern w:val="2"/>
        </w:rPr>
        <w:t xml:space="preserve"> </w:t>
      </w:r>
      <w:r w:rsidR="00EF6947">
        <w:rPr>
          <w:kern w:val="2"/>
        </w:rPr>
        <w:t>public interest</w:t>
      </w:r>
      <w:r w:rsidR="00F95EBF">
        <w:rPr>
          <w:kern w:val="2"/>
        </w:rPr>
        <w:t xml:space="preserve"> reasons</w:t>
      </w:r>
      <w:r w:rsidR="00A25799">
        <w:rPr>
          <w:kern w:val="2"/>
        </w:rPr>
        <w:t>,</w:t>
      </w:r>
      <w:r w:rsidR="00EF6947">
        <w:rPr>
          <w:kern w:val="2"/>
        </w:rPr>
        <w:t xml:space="preserve"> an</w:t>
      </w:r>
      <w:r w:rsidR="00D47E9B">
        <w:rPr>
          <w:kern w:val="2"/>
        </w:rPr>
        <w:t xml:space="preserve"> overrid</w:t>
      </w:r>
      <w:r w:rsidR="005721B0">
        <w:rPr>
          <w:kern w:val="2"/>
        </w:rPr>
        <w:t>e</w:t>
      </w:r>
      <w:r w:rsidR="00EF6947">
        <w:rPr>
          <w:kern w:val="2"/>
        </w:rPr>
        <w:t xml:space="preserve"> of</w:t>
      </w:r>
      <w:r w:rsidR="00D47E9B">
        <w:rPr>
          <w:kern w:val="2"/>
        </w:rPr>
        <w:t xml:space="preserve"> the P</w:t>
      </w:r>
      <w:r w:rsidR="00D47E9B" w:rsidRPr="006432D6">
        <w:rPr>
          <w:kern w:val="2"/>
        </w:rPr>
        <w:t>olicy’s exception</w:t>
      </w:r>
      <w:r w:rsidR="00A25799">
        <w:rPr>
          <w:kern w:val="2"/>
        </w:rPr>
        <w:t>s is justified</w:t>
      </w:r>
      <w:r w:rsidR="008C6A27">
        <w:t>.</w:t>
      </w:r>
    </w:p>
    <w:p w:rsidR="00192579" w:rsidRPr="00192579" w:rsidRDefault="00192579" w:rsidP="00192579">
      <w:pPr>
        <w:tabs>
          <w:tab w:val="num" w:pos="9090"/>
        </w:tabs>
        <w:jc w:val="both"/>
        <w:rPr>
          <w:kern w:val="2"/>
        </w:rPr>
      </w:pPr>
    </w:p>
    <w:p w:rsidR="00E30645" w:rsidRPr="00BD6B2D" w:rsidRDefault="001D5188" w:rsidP="004B3461">
      <w:pPr>
        <w:numPr>
          <w:ilvl w:val="0"/>
          <w:numId w:val="13"/>
        </w:numPr>
        <w:ind w:left="0" w:firstLine="0"/>
        <w:jc w:val="both"/>
        <w:rPr>
          <w:kern w:val="2"/>
        </w:rPr>
      </w:pPr>
      <w:r w:rsidRPr="00E30645">
        <w:rPr>
          <w:b/>
          <w:i/>
        </w:rPr>
        <w:t>Notification of Decision.</w:t>
      </w:r>
      <w:r>
        <w:t xml:space="preserve">  </w:t>
      </w:r>
      <w:r w:rsidR="00327CF5">
        <w:t>R</w:t>
      </w:r>
      <w:r w:rsidR="00327CF5" w:rsidRPr="00E30645">
        <w:rPr>
          <w:kern w:val="2"/>
        </w:rPr>
        <w:t xml:space="preserve">equesters </w:t>
      </w:r>
      <w:r w:rsidR="006E6915" w:rsidRPr="00E30645">
        <w:rPr>
          <w:kern w:val="2"/>
        </w:rPr>
        <w:t>are</w:t>
      </w:r>
      <w:r w:rsidR="00327CF5" w:rsidRPr="00E30645">
        <w:rPr>
          <w:kern w:val="2"/>
        </w:rPr>
        <w:t xml:space="preserve"> notified </w:t>
      </w:r>
      <w:r w:rsidR="00A25799" w:rsidRPr="00E30645">
        <w:rPr>
          <w:kern w:val="2"/>
        </w:rPr>
        <w:t>if</w:t>
      </w:r>
      <w:r w:rsidR="00A45CF3" w:rsidRPr="00E30645">
        <w:rPr>
          <w:kern w:val="2"/>
        </w:rPr>
        <w:t xml:space="preserve"> </w:t>
      </w:r>
      <w:r w:rsidR="00327CF5" w:rsidRPr="00E30645">
        <w:rPr>
          <w:kern w:val="2"/>
        </w:rPr>
        <w:t>the appeal is</w:t>
      </w:r>
      <w:r w:rsidR="00A45CF3" w:rsidRPr="00E30645">
        <w:rPr>
          <w:kern w:val="2"/>
        </w:rPr>
        <w:t xml:space="preserve"> dismissed</w:t>
      </w:r>
      <w:r w:rsidR="009F1F3C">
        <w:rPr>
          <w:kern w:val="2"/>
        </w:rPr>
        <w:t>:</w:t>
      </w:r>
      <w:r w:rsidR="00A45CF3" w:rsidRPr="00E30645">
        <w:rPr>
          <w:kern w:val="2"/>
        </w:rPr>
        <w:t xml:space="preserve"> (a) for failure to file within the required time; (b) for failure to provide sufficient information that would reasonably</w:t>
      </w:r>
      <w:r w:rsidR="00327CF5" w:rsidRPr="00E30645">
        <w:rPr>
          <w:kern w:val="2"/>
        </w:rPr>
        <w:t xml:space="preserve"> </w:t>
      </w:r>
      <w:r w:rsidR="00A45CF3" w:rsidRPr="00E30645">
        <w:rPr>
          <w:kern w:val="2"/>
        </w:rPr>
        <w:t>support the appeal</w:t>
      </w:r>
      <w:r w:rsidR="00327CF5">
        <w:t xml:space="preserve">; </w:t>
      </w:r>
      <w:r w:rsidR="004101EF">
        <w:t>or (c) for appealing a matter that</w:t>
      </w:r>
      <w:r w:rsidR="00817595">
        <w:t xml:space="preserve"> </w:t>
      </w:r>
      <w:r w:rsidR="004101EF">
        <w:t>the AI Committee or Appeals Board</w:t>
      </w:r>
      <w:r w:rsidR="00327CF5">
        <w:t xml:space="preserve"> do</w:t>
      </w:r>
      <w:r w:rsidR="004101EF">
        <w:t>es</w:t>
      </w:r>
      <w:r w:rsidR="00327CF5">
        <w:t xml:space="preserve"> not have authority to consider</w:t>
      </w:r>
      <w:r w:rsidR="00A45CF3">
        <w:t xml:space="preserve">.  </w:t>
      </w:r>
      <w:r w:rsidR="00A45CF3" w:rsidRPr="00E30645">
        <w:rPr>
          <w:kern w:val="2"/>
        </w:rPr>
        <w:t>After the AI Committee or the Appeals Board</w:t>
      </w:r>
      <w:r w:rsidR="004101EF" w:rsidRPr="00E30645">
        <w:rPr>
          <w:kern w:val="2"/>
        </w:rPr>
        <w:t xml:space="preserve"> reaches its</w:t>
      </w:r>
      <w:r w:rsidR="00A45CF3" w:rsidRPr="00E30645">
        <w:rPr>
          <w:kern w:val="2"/>
        </w:rPr>
        <w:t xml:space="preserve"> decision</w:t>
      </w:r>
      <w:r w:rsidR="004101EF" w:rsidRPr="00E30645">
        <w:rPr>
          <w:kern w:val="2"/>
        </w:rPr>
        <w:t xml:space="preserve"> concerning the appeal</w:t>
      </w:r>
      <w:r w:rsidR="00A45CF3" w:rsidRPr="00E30645">
        <w:rPr>
          <w:kern w:val="2"/>
        </w:rPr>
        <w:t xml:space="preserve">, </w:t>
      </w:r>
      <w:r w:rsidR="006E6915" w:rsidRPr="00E30645">
        <w:rPr>
          <w:kern w:val="2"/>
        </w:rPr>
        <w:t>the requester is notified of the decision</w:t>
      </w:r>
      <w:r w:rsidR="00A45CF3" w:rsidRPr="00E30645">
        <w:rPr>
          <w:kern w:val="2"/>
        </w:rPr>
        <w:t xml:space="preserve">.  If the AI Committee or Appeals Board </w:t>
      </w:r>
      <w:r w:rsidR="00A45CF3">
        <w:t>upholds the initial decision to deny</w:t>
      </w:r>
      <w:r w:rsidR="006E6915" w:rsidRPr="006432D6">
        <w:t xml:space="preserve"> access</w:t>
      </w:r>
      <w:r w:rsidR="00A45CF3">
        <w:t xml:space="preserve"> to the information requested</w:t>
      </w:r>
      <w:r w:rsidR="006E6915" w:rsidRPr="006432D6">
        <w:t xml:space="preserve">, </w:t>
      </w:r>
      <w:r w:rsidR="006E6915">
        <w:t>the</w:t>
      </w:r>
      <w:r w:rsidR="00B717C4">
        <w:t xml:space="preserve"> n</w:t>
      </w:r>
      <w:r w:rsidR="006E6915">
        <w:t xml:space="preserve">otice specifies </w:t>
      </w:r>
      <w:r w:rsidR="006E6915" w:rsidRPr="006432D6">
        <w:t>the reasons</w:t>
      </w:r>
      <w:r w:rsidR="006E6915" w:rsidRPr="001D5188">
        <w:t xml:space="preserve">. If the AI Committee or Appeals Board reverses the decision to deny access, the </w:t>
      </w:r>
      <w:r w:rsidR="00A45CF3">
        <w:t xml:space="preserve">requester is notified of the </w:t>
      </w:r>
      <w:r w:rsidR="004101EF">
        <w:t xml:space="preserve">decision and </w:t>
      </w:r>
      <w:r w:rsidR="00AC7008">
        <w:t xml:space="preserve">of </w:t>
      </w:r>
      <w:r w:rsidR="004101EF">
        <w:t xml:space="preserve">the process </w:t>
      </w:r>
      <w:r w:rsidR="002923C7">
        <w:t>for making th</w:t>
      </w:r>
      <w:r w:rsidR="00FD145F">
        <w:t>e</w:t>
      </w:r>
      <w:r w:rsidR="006E6915" w:rsidRPr="001D5188">
        <w:t xml:space="preserve"> information available</w:t>
      </w:r>
      <w:r w:rsidR="004101EF">
        <w:t xml:space="preserve"> to the requester</w:t>
      </w:r>
      <w:r>
        <w:t>.</w:t>
      </w:r>
      <w:r w:rsidR="00E30645" w:rsidRPr="00E30645">
        <w:rPr>
          <w:kern w:val="2"/>
        </w:rPr>
        <w:t xml:space="preserve"> </w:t>
      </w:r>
      <w:r w:rsidR="00E30645" w:rsidRPr="00BD6B2D">
        <w:rPr>
          <w:kern w:val="2"/>
        </w:rPr>
        <w:t xml:space="preserve"> </w:t>
      </w:r>
    </w:p>
    <w:p w:rsidR="00A52E88" w:rsidRPr="00E30645" w:rsidRDefault="00A52E88" w:rsidP="004B3461">
      <w:pPr>
        <w:pStyle w:val="ListParagraph"/>
        <w:numPr>
          <w:ilvl w:val="0"/>
          <w:numId w:val="13"/>
        </w:numPr>
        <w:tabs>
          <w:tab w:val="clear" w:pos="720"/>
          <w:tab w:val="num" w:pos="1440"/>
        </w:tabs>
        <w:jc w:val="both"/>
        <w:rPr>
          <w:color w:val="000000"/>
        </w:rPr>
      </w:pPr>
      <w:r w:rsidRPr="00E30645">
        <w:rPr>
          <w:color w:val="000000"/>
        </w:rPr>
        <w:br w:type="page"/>
      </w:r>
    </w:p>
    <w:p w:rsidR="00C42FE7" w:rsidRPr="004B3461" w:rsidRDefault="004B3461" w:rsidP="004B3461">
      <w:pPr>
        <w:jc w:val="right"/>
      </w:pPr>
      <w:r>
        <w:lastRenderedPageBreak/>
        <w:t>ANNEX</w:t>
      </w:r>
    </w:p>
    <w:p w:rsidR="004B3461" w:rsidRDefault="004B3461" w:rsidP="00C42FE7">
      <w:pPr>
        <w:ind w:left="360"/>
        <w:rPr>
          <w:b/>
          <w:i/>
        </w:rPr>
      </w:pPr>
    </w:p>
    <w:p w:rsidR="008D4A34" w:rsidRDefault="008D4A34" w:rsidP="008D4A34">
      <w:pPr>
        <w:jc w:val="center"/>
        <w:rPr>
          <w:b/>
          <w:smallCaps/>
          <w:color w:val="000000"/>
        </w:rPr>
      </w:pPr>
      <w:r>
        <w:rPr>
          <w:b/>
          <w:smallCaps/>
          <w:color w:val="000000"/>
        </w:rPr>
        <w:t xml:space="preserve">Declassification Schedule </w:t>
      </w:r>
      <w:r w:rsidR="009A17C7">
        <w:rPr>
          <w:b/>
          <w:smallCaps/>
          <w:color w:val="000000"/>
        </w:rPr>
        <w:t>f</w:t>
      </w:r>
      <w:r>
        <w:rPr>
          <w:b/>
          <w:smallCaps/>
          <w:color w:val="000000"/>
        </w:rPr>
        <w:t xml:space="preserve">or Certain Historical Documents </w:t>
      </w:r>
    </w:p>
    <w:p w:rsidR="008D4A34" w:rsidRDefault="008D4A34" w:rsidP="008D4A34">
      <w:pPr>
        <w:jc w:val="center"/>
        <w:rPr>
          <w:b/>
          <w:smallCaps/>
          <w:color w:val="000000"/>
        </w:rPr>
      </w:pPr>
      <w:r>
        <w:rPr>
          <w:b/>
          <w:smallCaps/>
          <w:color w:val="000000"/>
        </w:rPr>
        <w:t xml:space="preserve">Created Before July 1, 2010 </w:t>
      </w:r>
    </w:p>
    <w:p w:rsidR="008D4A34" w:rsidRDefault="00C41047" w:rsidP="008D4A34">
      <w:pPr>
        <w:rPr>
          <w:b/>
          <w:smallCaps/>
          <w:color w:val="000000"/>
        </w:rPr>
      </w:pPr>
      <w:r>
        <w:rPr>
          <w:b/>
          <w:smallCaps/>
          <w:color w:val="000000"/>
        </w:rPr>
        <w:fldChar w:fldCharType="begin"/>
      </w:r>
      <w:r w:rsidR="008D4A34">
        <w:instrText xml:space="preserve"> TC "</w:instrText>
      </w:r>
      <w:bookmarkStart w:id="0" w:name="_Toc242256973"/>
      <w:r w:rsidR="008D4A34" w:rsidRPr="00222452">
        <w:rPr>
          <w:b/>
          <w:smallCaps/>
          <w:color w:val="000000"/>
        </w:rPr>
        <w:instrText>Annex B. Sample of Core Documents and Information that would be Routinely Posted on the World Bank’s External Website</w:instrText>
      </w:r>
      <w:bookmarkEnd w:id="0"/>
      <w:r w:rsidR="008D4A34">
        <w:instrText xml:space="preserve">" \f A \l "1" </w:instrText>
      </w:r>
      <w:r>
        <w:rPr>
          <w:b/>
          <w:smallCaps/>
          <w:color w:val="000000"/>
        </w:rPr>
        <w:fldChar w:fldCharType="end"/>
      </w:r>
    </w:p>
    <w:p w:rsidR="008D4A34" w:rsidRDefault="008D4A34" w:rsidP="003D0705">
      <w:pPr>
        <w:jc w:val="both"/>
      </w:pPr>
      <w:r>
        <w:t>Pursuant to paragraph 3</w:t>
      </w:r>
      <w:r w:rsidR="009A17C7">
        <w:t>3</w:t>
      </w:r>
      <w:r>
        <w:t xml:space="preserve"> of the policy statement, the final documents listed in this Annex</w:t>
      </w:r>
      <w:r w:rsidR="009A17C7">
        <w:t>—if they</w:t>
      </w:r>
      <w:r>
        <w:t xml:space="preserve"> were created before July 1, 2010 and </w:t>
      </w:r>
      <w:r w:rsidR="009A17C7">
        <w:t xml:space="preserve">were </w:t>
      </w:r>
      <w:r>
        <w:t>not already made public pursuant to earlier disclosure policies of the World Bank</w:t>
      </w:r>
      <w:r w:rsidR="009A17C7">
        <w:t>—</w:t>
      </w:r>
      <w:r>
        <w:t>are eligible for declassification according to the following schedule:</w:t>
      </w:r>
    </w:p>
    <w:p w:rsidR="008D4A34" w:rsidRDefault="008D4A34" w:rsidP="008D4A34">
      <w:pPr>
        <w:jc w:val="both"/>
      </w:pPr>
    </w:p>
    <w:p w:rsidR="008D4A34" w:rsidRDefault="008D4A34" w:rsidP="008D4A34">
      <w:pPr>
        <w:pStyle w:val="ListParagraph"/>
        <w:numPr>
          <w:ilvl w:val="0"/>
          <w:numId w:val="39"/>
        </w:numPr>
        <w:contextualSpacing/>
        <w:jc w:val="both"/>
      </w:pPr>
      <w:r>
        <w:t xml:space="preserve">5 years after the date of </w:t>
      </w:r>
      <w:r w:rsidR="009A17C7">
        <w:t xml:space="preserve">a </w:t>
      </w:r>
      <w:r>
        <w:t>document classified as “Official Use Only,” and</w:t>
      </w:r>
    </w:p>
    <w:p w:rsidR="008D4A34" w:rsidRDefault="008D4A34" w:rsidP="008D4A34">
      <w:pPr>
        <w:pStyle w:val="ListParagraph"/>
        <w:jc w:val="both"/>
      </w:pPr>
    </w:p>
    <w:p w:rsidR="008D4A34" w:rsidRDefault="008D4A34" w:rsidP="008D4A34">
      <w:pPr>
        <w:pStyle w:val="ListParagraph"/>
        <w:numPr>
          <w:ilvl w:val="0"/>
          <w:numId w:val="39"/>
        </w:numPr>
        <w:contextualSpacing/>
        <w:jc w:val="both"/>
      </w:pPr>
      <w:r>
        <w:t xml:space="preserve">20 years after the date of </w:t>
      </w:r>
      <w:r w:rsidR="009A17C7">
        <w:t xml:space="preserve">a </w:t>
      </w:r>
      <w:r>
        <w:t>document classified as “Confidential,” or “Strictly Confidential.”</w:t>
      </w:r>
    </w:p>
    <w:p w:rsidR="008D4A34" w:rsidRDefault="008D4A34" w:rsidP="008D4A34">
      <w:pPr>
        <w:jc w:val="both"/>
      </w:pPr>
    </w:p>
    <w:p w:rsidR="008D4A34" w:rsidRDefault="008D4A34" w:rsidP="008D4A34">
      <w:pPr>
        <w:jc w:val="both"/>
      </w:pPr>
      <w:r>
        <w:t xml:space="preserve">These documents are eligible for declassification if they do not contain or refer to information that fall under an exception that is not eligible for declassification (see paragraph 32 of the policy statement).  </w:t>
      </w:r>
    </w:p>
    <w:p w:rsidR="008D4A34" w:rsidRDefault="008D4A34" w:rsidP="008D4A34">
      <w:pPr>
        <w:rPr>
          <w:b/>
        </w:rPr>
      </w:pPr>
    </w:p>
    <w:p w:rsidR="008D4A34" w:rsidRDefault="008D4A34" w:rsidP="008D4A34">
      <w:pPr>
        <w:rPr>
          <w:b/>
        </w:rPr>
      </w:pPr>
      <w:r>
        <w:rPr>
          <w:b/>
        </w:rPr>
        <w:t>A.</w:t>
      </w:r>
      <w:r>
        <w:rPr>
          <w:b/>
        </w:rPr>
        <w:tab/>
        <w:t xml:space="preserve">Operational documents prepared by the Bank </w:t>
      </w:r>
    </w:p>
    <w:p w:rsidR="008D4A34" w:rsidRDefault="008D4A34" w:rsidP="008D4A34">
      <w:pPr>
        <w:rPr>
          <w:b/>
        </w:rPr>
      </w:pPr>
    </w:p>
    <w:p w:rsidR="008D4A34" w:rsidRDefault="008D4A34" w:rsidP="004B3461">
      <w:pPr>
        <w:numPr>
          <w:ilvl w:val="0"/>
          <w:numId w:val="15"/>
        </w:numPr>
        <w:tabs>
          <w:tab w:val="clear" w:pos="720"/>
          <w:tab w:val="num" w:pos="1800"/>
        </w:tabs>
        <w:ind w:left="1080"/>
      </w:pPr>
      <w:r>
        <w:t>Country Assistance Strategies  (CAS)</w:t>
      </w:r>
    </w:p>
    <w:p w:rsidR="008D4A34" w:rsidRDefault="008D4A34" w:rsidP="004B3461">
      <w:pPr>
        <w:numPr>
          <w:ilvl w:val="0"/>
          <w:numId w:val="15"/>
        </w:numPr>
        <w:tabs>
          <w:tab w:val="clear" w:pos="720"/>
          <w:tab w:val="num" w:pos="1440"/>
        </w:tabs>
        <w:ind w:left="1080"/>
      </w:pPr>
      <w:r>
        <w:t xml:space="preserve">CAS Progress Reports </w:t>
      </w:r>
    </w:p>
    <w:p w:rsidR="008D4A34" w:rsidRDefault="008D4A34" w:rsidP="004B3461">
      <w:pPr>
        <w:numPr>
          <w:ilvl w:val="0"/>
          <w:numId w:val="15"/>
        </w:numPr>
        <w:tabs>
          <w:tab w:val="clear" w:pos="720"/>
          <w:tab w:val="num" w:pos="1440"/>
        </w:tabs>
        <w:ind w:left="1080"/>
      </w:pPr>
      <w:r>
        <w:t xml:space="preserve">Interim Strategy Notes </w:t>
      </w:r>
    </w:p>
    <w:p w:rsidR="008D4A34" w:rsidRDefault="008D4A34" w:rsidP="004B3461">
      <w:pPr>
        <w:numPr>
          <w:ilvl w:val="0"/>
          <w:numId w:val="15"/>
        </w:numPr>
        <w:tabs>
          <w:tab w:val="clear" w:pos="720"/>
          <w:tab w:val="num" w:pos="1440"/>
        </w:tabs>
        <w:ind w:left="1080"/>
      </w:pPr>
      <w:r>
        <w:t>CAS Completion Reports (included as an annex to the follow-on CAS)</w:t>
      </w:r>
    </w:p>
    <w:p w:rsidR="008D4A34" w:rsidRDefault="008D4A34" w:rsidP="004B3461">
      <w:pPr>
        <w:numPr>
          <w:ilvl w:val="0"/>
          <w:numId w:val="15"/>
        </w:numPr>
        <w:tabs>
          <w:tab w:val="clear" w:pos="720"/>
          <w:tab w:val="num" w:pos="1440"/>
        </w:tabs>
        <w:ind w:left="1080"/>
      </w:pPr>
      <w:r>
        <w:t>Public Information Notice for a CAS</w:t>
      </w:r>
    </w:p>
    <w:p w:rsidR="008D4A34" w:rsidRDefault="008D4A34" w:rsidP="004B3461">
      <w:pPr>
        <w:numPr>
          <w:ilvl w:val="0"/>
          <w:numId w:val="15"/>
        </w:numPr>
        <w:tabs>
          <w:tab w:val="clear" w:pos="720"/>
          <w:tab w:val="num" w:pos="1440"/>
        </w:tabs>
        <w:ind w:left="1080"/>
      </w:pPr>
      <w:r>
        <w:t>Joint Staff Advisory Notes on Poverty Reduction Strategy Papers (PRSPs)</w:t>
      </w:r>
    </w:p>
    <w:p w:rsidR="008D4A34" w:rsidRDefault="008D4A34" w:rsidP="004B3461">
      <w:pPr>
        <w:numPr>
          <w:ilvl w:val="0"/>
          <w:numId w:val="15"/>
        </w:numPr>
        <w:tabs>
          <w:tab w:val="clear" w:pos="720"/>
          <w:tab w:val="num" w:pos="1440"/>
        </w:tabs>
        <w:ind w:left="1080"/>
      </w:pPr>
      <w:r>
        <w:t xml:space="preserve">Country </w:t>
      </w:r>
      <w:r w:rsidR="009A17C7">
        <w:t>f</w:t>
      </w:r>
      <w:r>
        <w:t xml:space="preserve">inancing </w:t>
      </w:r>
      <w:r w:rsidR="009A17C7">
        <w:t>p</w:t>
      </w:r>
      <w:r>
        <w:t>arameters (including the analyses that underpin their preparation)</w:t>
      </w:r>
    </w:p>
    <w:p w:rsidR="008D4A34" w:rsidRDefault="008D4A34" w:rsidP="003B0E1E">
      <w:pPr>
        <w:numPr>
          <w:ilvl w:val="0"/>
          <w:numId w:val="15"/>
        </w:numPr>
        <w:tabs>
          <w:tab w:val="clear" w:pos="720"/>
        </w:tabs>
        <w:ind w:left="1080"/>
      </w:pPr>
      <w:r>
        <w:t xml:space="preserve">Economic and Sector Work and Non-Lending Technical Assistance reports </w:t>
      </w:r>
    </w:p>
    <w:p w:rsidR="008D4A34" w:rsidRDefault="008D4A34" w:rsidP="004B3461">
      <w:pPr>
        <w:numPr>
          <w:ilvl w:val="0"/>
          <w:numId w:val="15"/>
        </w:numPr>
        <w:tabs>
          <w:tab w:val="clear" w:pos="720"/>
          <w:tab w:val="num" w:pos="1080"/>
        </w:tabs>
        <w:ind w:left="1080"/>
      </w:pPr>
      <w:r w:rsidRPr="00D84A55">
        <w:t>Factual Technical Documents that underpin project preparation</w:t>
      </w:r>
    </w:p>
    <w:p w:rsidR="008D4A34" w:rsidRDefault="008D4A34" w:rsidP="004B3461">
      <w:pPr>
        <w:numPr>
          <w:ilvl w:val="0"/>
          <w:numId w:val="15"/>
        </w:numPr>
        <w:tabs>
          <w:tab w:val="clear" w:pos="720"/>
          <w:tab w:val="num" w:pos="1080"/>
        </w:tabs>
        <w:ind w:left="1080"/>
      </w:pPr>
      <w:r>
        <w:t xml:space="preserve">Project Appraisal Documents (previously Staff Appraisal Reports) </w:t>
      </w:r>
    </w:p>
    <w:p w:rsidR="008D4A34" w:rsidRPr="00D84A55" w:rsidRDefault="008D4A34" w:rsidP="004B3461">
      <w:pPr>
        <w:numPr>
          <w:ilvl w:val="0"/>
          <w:numId w:val="15"/>
        </w:numPr>
        <w:tabs>
          <w:tab w:val="clear" w:pos="720"/>
          <w:tab w:val="num" w:pos="1080"/>
        </w:tabs>
        <w:ind w:left="1080"/>
      </w:pPr>
      <w:r w:rsidRPr="00D84A55">
        <w:t xml:space="preserve">Project Papers </w:t>
      </w:r>
    </w:p>
    <w:p w:rsidR="008D4A34" w:rsidRDefault="008D4A34" w:rsidP="004B3461">
      <w:pPr>
        <w:numPr>
          <w:ilvl w:val="0"/>
          <w:numId w:val="15"/>
        </w:numPr>
        <w:tabs>
          <w:tab w:val="clear" w:pos="720"/>
          <w:tab w:val="num" w:pos="1080"/>
        </w:tabs>
        <w:ind w:left="1080"/>
      </w:pPr>
      <w:r>
        <w:t>Program Documents for Development Policy Operation (DPOs)</w:t>
      </w:r>
    </w:p>
    <w:p w:rsidR="008D4A34" w:rsidRDefault="008D4A34" w:rsidP="004B3461">
      <w:pPr>
        <w:numPr>
          <w:ilvl w:val="0"/>
          <w:numId w:val="15"/>
        </w:numPr>
        <w:tabs>
          <w:tab w:val="clear" w:pos="720"/>
          <w:tab w:val="num" w:pos="1080"/>
        </w:tabs>
        <w:ind w:left="1080"/>
      </w:pPr>
      <w:r>
        <w:t>Supplemental Financing Documents (DPOs)</w:t>
      </w:r>
    </w:p>
    <w:p w:rsidR="008D4A34" w:rsidRDefault="008D4A34" w:rsidP="004B3461">
      <w:pPr>
        <w:numPr>
          <w:ilvl w:val="0"/>
          <w:numId w:val="15"/>
        </w:numPr>
        <w:tabs>
          <w:tab w:val="clear" w:pos="720"/>
          <w:tab w:val="num" w:pos="1080"/>
        </w:tabs>
        <w:ind w:left="1080"/>
      </w:pPr>
      <w:r>
        <w:t>Tranche Release Documents  (DPOs)</w:t>
      </w:r>
    </w:p>
    <w:p w:rsidR="008D4A34" w:rsidRDefault="008D4A34" w:rsidP="004B3461">
      <w:pPr>
        <w:numPr>
          <w:ilvl w:val="0"/>
          <w:numId w:val="15"/>
        </w:numPr>
        <w:tabs>
          <w:tab w:val="clear" w:pos="720"/>
          <w:tab w:val="num" w:pos="1080"/>
        </w:tabs>
        <w:ind w:left="1080"/>
      </w:pPr>
      <w:r>
        <w:t>Integrated Safeguards Data Sheets</w:t>
      </w:r>
    </w:p>
    <w:p w:rsidR="008D4A34" w:rsidRDefault="008D4A34" w:rsidP="004B3461">
      <w:pPr>
        <w:numPr>
          <w:ilvl w:val="0"/>
          <w:numId w:val="15"/>
        </w:numPr>
        <w:tabs>
          <w:tab w:val="clear" w:pos="720"/>
          <w:tab w:val="num" w:pos="1080"/>
        </w:tabs>
        <w:ind w:left="1080"/>
      </w:pPr>
      <w:r>
        <w:t>Country Assessment Reports on the Use of Country Systems (UCS)</w:t>
      </w:r>
    </w:p>
    <w:p w:rsidR="008D4A34" w:rsidRDefault="008D4A34" w:rsidP="004B3461">
      <w:pPr>
        <w:numPr>
          <w:ilvl w:val="0"/>
          <w:numId w:val="15"/>
        </w:numPr>
        <w:tabs>
          <w:tab w:val="clear" w:pos="720"/>
          <w:tab w:val="num" w:pos="1080"/>
        </w:tabs>
        <w:ind w:left="1080"/>
      </w:pPr>
      <w:r>
        <w:t>Project Assessments for UCS pilot countries</w:t>
      </w:r>
    </w:p>
    <w:p w:rsidR="008D4A34" w:rsidRDefault="008D4A34" w:rsidP="004B3461">
      <w:pPr>
        <w:numPr>
          <w:ilvl w:val="0"/>
          <w:numId w:val="15"/>
        </w:numPr>
        <w:tabs>
          <w:tab w:val="clear" w:pos="720"/>
          <w:tab w:val="num" w:pos="1080"/>
        </w:tabs>
        <w:ind w:left="1080"/>
      </w:pPr>
      <w:r>
        <w:t>Implementation Completion and Results Reports (ICR)</w:t>
      </w:r>
    </w:p>
    <w:p w:rsidR="008D4A34" w:rsidRDefault="008D4A34" w:rsidP="004B3461">
      <w:pPr>
        <w:numPr>
          <w:ilvl w:val="0"/>
          <w:numId w:val="15"/>
        </w:numPr>
        <w:tabs>
          <w:tab w:val="clear" w:pos="720"/>
          <w:tab w:val="num" w:pos="1080"/>
        </w:tabs>
        <w:ind w:left="1080"/>
      </w:pPr>
      <w:r>
        <w:t>Note on Cancelled Operations (NCO) (previously Project Completion Note)</w:t>
      </w:r>
    </w:p>
    <w:p w:rsidR="008D4A34" w:rsidRDefault="008D4A34" w:rsidP="004B3461">
      <w:pPr>
        <w:numPr>
          <w:ilvl w:val="0"/>
          <w:numId w:val="15"/>
        </w:numPr>
        <w:tabs>
          <w:tab w:val="clear" w:pos="720"/>
          <w:tab w:val="num" w:pos="1080"/>
        </w:tabs>
        <w:ind w:left="1080"/>
      </w:pPr>
      <w:r>
        <w:t>Monthly Loan and Credit Statements</w:t>
      </w:r>
    </w:p>
    <w:p w:rsidR="008D4A34" w:rsidRPr="00D84A55" w:rsidRDefault="008D4A34" w:rsidP="004B3461">
      <w:pPr>
        <w:numPr>
          <w:ilvl w:val="0"/>
          <w:numId w:val="15"/>
        </w:numPr>
        <w:tabs>
          <w:tab w:val="clear" w:pos="720"/>
          <w:tab w:val="num" w:pos="1080"/>
        </w:tabs>
        <w:ind w:left="1080"/>
      </w:pPr>
      <w:r>
        <w:t xml:space="preserve">Monthly </w:t>
      </w:r>
      <w:r w:rsidRPr="00D84A55">
        <w:t>Operational Summary of the lending pipeline (MOS)</w:t>
      </w:r>
    </w:p>
    <w:p w:rsidR="008D4A34" w:rsidRPr="00D84A55" w:rsidRDefault="008D4A34" w:rsidP="004B3461">
      <w:pPr>
        <w:numPr>
          <w:ilvl w:val="0"/>
          <w:numId w:val="15"/>
        </w:numPr>
        <w:tabs>
          <w:tab w:val="clear" w:pos="720"/>
          <w:tab w:val="num" w:pos="1080"/>
        </w:tabs>
        <w:ind w:left="1080"/>
      </w:pPr>
      <w:r w:rsidRPr="00D84A55">
        <w:rPr>
          <w:i/>
        </w:rPr>
        <w:t>Status of Projects in Execution</w:t>
      </w:r>
      <w:r w:rsidRPr="00D84A55">
        <w:t xml:space="preserve"> (SOPE) </w:t>
      </w:r>
    </w:p>
    <w:p w:rsidR="008D4A34" w:rsidRDefault="008D4A34" w:rsidP="004B3461">
      <w:pPr>
        <w:numPr>
          <w:ilvl w:val="0"/>
          <w:numId w:val="15"/>
        </w:numPr>
        <w:tabs>
          <w:tab w:val="clear" w:pos="720"/>
          <w:tab w:val="num" w:pos="1080"/>
        </w:tabs>
        <w:ind w:left="1080"/>
      </w:pPr>
      <w:r w:rsidRPr="00D84A55">
        <w:t>Country</w:t>
      </w:r>
      <w:r>
        <w:t xml:space="preserve"> Portfolio Performance Reviews (CPPRs)</w:t>
      </w:r>
    </w:p>
    <w:p w:rsidR="008D4A34" w:rsidRDefault="008D4A34" w:rsidP="004B3461">
      <w:pPr>
        <w:numPr>
          <w:ilvl w:val="0"/>
          <w:numId w:val="15"/>
        </w:numPr>
        <w:tabs>
          <w:tab w:val="clear" w:pos="720"/>
          <w:tab w:val="num" w:pos="1080"/>
        </w:tabs>
        <w:ind w:left="1080"/>
      </w:pPr>
      <w:r>
        <w:lastRenderedPageBreak/>
        <w:t>Sector Strategy Papers (SSP</w:t>
      </w:r>
      <w:r w:rsidR="00132679">
        <w:t>s</w:t>
      </w:r>
      <w:r>
        <w:t>), Draft Sector Strategy Papers, Draft Concept Notes and Consultation Plan for an SSP</w:t>
      </w:r>
    </w:p>
    <w:p w:rsidR="008D4A34" w:rsidRPr="0096734F" w:rsidRDefault="008D4A34" w:rsidP="004B3461">
      <w:pPr>
        <w:numPr>
          <w:ilvl w:val="0"/>
          <w:numId w:val="15"/>
        </w:numPr>
        <w:tabs>
          <w:tab w:val="clear" w:pos="720"/>
          <w:tab w:val="num" w:pos="1080"/>
        </w:tabs>
        <w:ind w:left="1080"/>
      </w:pPr>
      <w:r w:rsidRPr="0096734F">
        <w:t>All other operational policy and strategy papers</w:t>
      </w:r>
    </w:p>
    <w:p w:rsidR="008D4A34" w:rsidRPr="0096734F" w:rsidRDefault="008D4A34" w:rsidP="004B3461">
      <w:pPr>
        <w:numPr>
          <w:ilvl w:val="0"/>
          <w:numId w:val="15"/>
        </w:numPr>
        <w:tabs>
          <w:tab w:val="clear" w:pos="720"/>
          <w:tab w:val="num" w:pos="1080"/>
        </w:tabs>
        <w:ind w:left="1080"/>
      </w:pPr>
      <w:r w:rsidRPr="0096734F">
        <w:t>Numerical Country Policy and Institutional Assessment (CPIA) Ratings for countries eligible for IDA financing</w:t>
      </w:r>
    </w:p>
    <w:p w:rsidR="008D4A34" w:rsidRPr="0096734F" w:rsidRDefault="008D4A34" w:rsidP="004B3461">
      <w:pPr>
        <w:numPr>
          <w:ilvl w:val="0"/>
          <w:numId w:val="15"/>
        </w:numPr>
        <w:tabs>
          <w:tab w:val="clear" w:pos="720"/>
          <w:tab w:val="num" w:pos="1080"/>
        </w:tabs>
        <w:ind w:left="1080"/>
      </w:pPr>
      <w:r w:rsidRPr="003B0E1E">
        <w:t>Numerical IDA</w:t>
      </w:r>
      <w:r>
        <w:rPr>
          <w:color w:val="0070C0"/>
        </w:rPr>
        <w:t xml:space="preserve"> </w:t>
      </w:r>
      <w:r w:rsidRPr="0096734F">
        <w:t>Country Performance Ratings (derived from CPIA ratings)</w:t>
      </w:r>
      <w:r w:rsidRPr="00A56E7F">
        <w:rPr>
          <w:color w:val="0070C0"/>
        </w:rPr>
        <w:t xml:space="preserve"> </w:t>
      </w:r>
    </w:p>
    <w:p w:rsidR="008D4A34" w:rsidRDefault="008D4A34" w:rsidP="004B3461">
      <w:pPr>
        <w:numPr>
          <w:ilvl w:val="0"/>
          <w:numId w:val="15"/>
        </w:numPr>
        <w:tabs>
          <w:tab w:val="clear" w:pos="720"/>
          <w:tab w:val="num" w:pos="1080"/>
        </w:tabs>
        <w:ind w:left="1080"/>
        <w:rPr>
          <w:color w:val="000000"/>
        </w:rPr>
      </w:pPr>
      <w:r>
        <w:rPr>
          <w:color w:val="000000"/>
        </w:rPr>
        <w:t>Funding proposals for activities financed through Bank-administered trust fund</w:t>
      </w:r>
      <w:r w:rsidR="00132679">
        <w:rPr>
          <w:color w:val="000000"/>
        </w:rPr>
        <w:t>s</w:t>
      </w:r>
    </w:p>
    <w:p w:rsidR="008D4A34" w:rsidRDefault="008D4A34" w:rsidP="004B3461">
      <w:pPr>
        <w:numPr>
          <w:ilvl w:val="0"/>
          <w:numId w:val="15"/>
        </w:numPr>
        <w:tabs>
          <w:tab w:val="clear" w:pos="720"/>
          <w:tab w:val="num" w:pos="1080"/>
        </w:tabs>
        <w:ind w:left="1080"/>
      </w:pPr>
      <w:r>
        <w:t>Preliminary, decision-point</w:t>
      </w:r>
      <w:r w:rsidR="00132679">
        <w:t>,</w:t>
      </w:r>
      <w:r>
        <w:t xml:space="preserve"> and completion-point documents prepared under the Heavily Indebted Poor Country (HIPC) Initiative </w:t>
      </w:r>
    </w:p>
    <w:p w:rsidR="008D4A34" w:rsidRPr="00D84A55" w:rsidRDefault="008D4A34" w:rsidP="004B3461">
      <w:pPr>
        <w:numPr>
          <w:ilvl w:val="0"/>
          <w:numId w:val="15"/>
        </w:numPr>
        <w:tabs>
          <w:tab w:val="clear" w:pos="720"/>
          <w:tab w:val="num" w:pos="1080"/>
        </w:tabs>
        <w:ind w:left="1080"/>
      </w:pPr>
      <w:r w:rsidRPr="00D84A55">
        <w:t xml:space="preserve">QAG synthesis  </w:t>
      </w:r>
    </w:p>
    <w:p w:rsidR="008D4A34" w:rsidRPr="00735F29" w:rsidRDefault="008D4A34" w:rsidP="008D4A34">
      <w:pPr>
        <w:ind w:left="360"/>
        <w:rPr>
          <w:color w:val="FF0000"/>
        </w:rPr>
      </w:pPr>
    </w:p>
    <w:p w:rsidR="008D4A34" w:rsidRDefault="008D4A34" w:rsidP="008D4A34">
      <w:pPr>
        <w:rPr>
          <w:b/>
          <w:color w:val="000000"/>
        </w:rPr>
      </w:pPr>
      <w:r>
        <w:rPr>
          <w:b/>
          <w:color w:val="000000"/>
        </w:rPr>
        <w:t>B.</w:t>
      </w:r>
      <w:r>
        <w:rPr>
          <w:b/>
          <w:color w:val="000000"/>
        </w:rPr>
        <w:tab/>
        <w:t>Financial information</w:t>
      </w:r>
    </w:p>
    <w:p w:rsidR="008D4A34" w:rsidRDefault="008D4A34" w:rsidP="008D4A34">
      <w:pPr>
        <w:rPr>
          <w:b/>
          <w:color w:val="000000"/>
        </w:rPr>
      </w:pPr>
    </w:p>
    <w:p w:rsidR="008D4A34" w:rsidRDefault="008D4A34" w:rsidP="004B3461">
      <w:pPr>
        <w:numPr>
          <w:ilvl w:val="0"/>
          <w:numId w:val="15"/>
        </w:numPr>
        <w:tabs>
          <w:tab w:val="clear" w:pos="720"/>
        </w:tabs>
        <w:ind w:left="1080"/>
        <w:rPr>
          <w:color w:val="000000"/>
        </w:rPr>
      </w:pPr>
      <w:r>
        <w:rPr>
          <w:color w:val="000000"/>
        </w:rPr>
        <w:t>Annual Budget Document</w:t>
      </w:r>
    </w:p>
    <w:p w:rsidR="008D4A34" w:rsidRDefault="008D4A34" w:rsidP="008D4A34">
      <w:pPr>
        <w:ind w:left="720"/>
        <w:rPr>
          <w:b/>
        </w:rPr>
      </w:pPr>
    </w:p>
    <w:p w:rsidR="00B16DD5" w:rsidRPr="00493372" w:rsidRDefault="008D4A34" w:rsidP="008D4A34">
      <w:pPr>
        <w:rPr>
          <w:b/>
        </w:rPr>
      </w:pPr>
      <w:r w:rsidRPr="00493372">
        <w:rPr>
          <w:b/>
        </w:rPr>
        <w:t>C.</w:t>
      </w:r>
      <w:r w:rsidRPr="00493372">
        <w:rPr>
          <w:b/>
        </w:rPr>
        <w:tab/>
      </w:r>
      <w:r w:rsidR="00B16DD5" w:rsidRPr="00493372">
        <w:rPr>
          <w:b/>
        </w:rPr>
        <w:t>Documents prepared by a member country</w:t>
      </w:r>
    </w:p>
    <w:p w:rsidR="00B16DD5" w:rsidRPr="00493372" w:rsidRDefault="00B16DD5" w:rsidP="008D4A34">
      <w:pPr>
        <w:rPr>
          <w:b/>
        </w:rPr>
      </w:pPr>
    </w:p>
    <w:p w:rsidR="00B16DD5" w:rsidRPr="00493372" w:rsidRDefault="00B16DD5" w:rsidP="00B16DD5">
      <w:pPr>
        <w:pStyle w:val="ListParagraph"/>
        <w:numPr>
          <w:ilvl w:val="0"/>
          <w:numId w:val="15"/>
        </w:numPr>
        <w:tabs>
          <w:tab w:val="clear" w:pos="720"/>
        </w:tabs>
        <w:ind w:left="1080"/>
      </w:pPr>
      <w:r w:rsidRPr="00493372">
        <w:t xml:space="preserve">Poverty Reduction Strategy Papers </w:t>
      </w:r>
    </w:p>
    <w:p w:rsidR="00B16DD5" w:rsidRPr="00493372" w:rsidRDefault="00B16DD5" w:rsidP="00B16DD5">
      <w:pPr>
        <w:pStyle w:val="ListParagraph"/>
        <w:numPr>
          <w:ilvl w:val="0"/>
          <w:numId w:val="15"/>
        </w:numPr>
        <w:tabs>
          <w:tab w:val="clear" w:pos="720"/>
        </w:tabs>
        <w:ind w:left="1080"/>
      </w:pPr>
      <w:r w:rsidRPr="00493372">
        <w:t>Letters of Development Policy</w:t>
      </w:r>
    </w:p>
    <w:p w:rsidR="00B16DD5" w:rsidRPr="00493372" w:rsidRDefault="00B16DD5" w:rsidP="00B16DD5">
      <w:pPr>
        <w:pStyle w:val="ListParagraph"/>
        <w:numPr>
          <w:ilvl w:val="0"/>
          <w:numId w:val="15"/>
        </w:numPr>
        <w:tabs>
          <w:tab w:val="clear" w:pos="720"/>
        </w:tabs>
        <w:ind w:left="1080"/>
      </w:pPr>
      <w:r w:rsidRPr="00493372">
        <w:t>Procurement Plans and updates</w:t>
      </w:r>
    </w:p>
    <w:p w:rsidR="00B16DD5" w:rsidRPr="00493372" w:rsidRDefault="00B16DD5" w:rsidP="00493372">
      <w:pPr>
        <w:pStyle w:val="ListParagraph"/>
        <w:ind w:left="1080"/>
        <w:rPr>
          <w:b/>
        </w:rPr>
      </w:pPr>
    </w:p>
    <w:p w:rsidR="008D4A34" w:rsidRDefault="00B16DD5" w:rsidP="008D4A34">
      <w:pPr>
        <w:rPr>
          <w:b/>
        </w:rPr>
      </w:pPr>
      <w:r w:rsidRPr="00493372">
        <w:rPr>
          <w:b/>
        </w:rPr>
        <w:t>D.</w:t>
      </w:r>
      <w:r w:rsidRPr="00493372">
        <w:rPr>
          <w:b/>
        </w:rPr>
        <w:tab/>
      </w:r>
      <w:r w:rsidR="008D4A34" w:rsidRPr="00493372">
        <w:rPr>
          <w:b/>
        </w:rPr>
        <w:t xml:space="preserve">Board proceedings </w:t>
      </w:r>
    </w:p>
    <w:p w:rsidR="00923024" w:rsidRPr="00493372" w:rsidRDefault="00923024" w:rsidP="008D4A34">
      <w:pPr>
        <w:rPr>
          <w:b/>
        </w:rPr>
      </w:pPr>
    </w:p>
    <w:p w:rsidR="008D4A34" w:rsidRPr="003B6D74" w:rsidRDefault="008D4A34" w:rsidP="004B3461">
      <w:pPr>
        <w:numPr>
          <w:ilvl w:val="0"/>
          <w:numId w:val="17"/>
        </w:numPr>
        <w:ind w:left="1080"/>
        <w:rPr>
          <w:color w:val="000000"/>
        </w:rPr>
      </w:pPr>
      <w:r w:rsidRPr="007F63A8">
        <w:rPr>
          <w:color w:val="000000"/>
        </w:rPr>
        <w:t>E</w:t>
      </w:r>
      <w:r>
        <w:rPr>
          <w:color w:val="000000"/>
        </w:rPr>
        <w:t>xecutive Directors’ Work Program</w:t>
      </w:r>
    </w:p>
    <w:p w:rsidR="00A52E88" w:rsidRPr="00A52E88" w:rsidRDefault="00A52E88" w:rsidP="00C42FE7">
      <w:pPr>
        <w:ind w:left="360"/>
        <w:rPr>
          <w:color w:val="000000"/>
        </w:rPr>
      </w:pPr>
    </w:p>
    <w:sectPr w:rsidR="00A52E88" w:rsidRPr="00A52E88" w:rsidSect="00147454">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B3" w:rsidRDefault="007451B3">
      <w:r>
        <w:separator/>
      </w:r>
    </w:p>
  </w:endnote>
  <w:endnote w:type="continuationSeparator" w:id="0">
    <w:p w:rsidR="007451B3" w:rsidRDefault="0074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1" w:rsidRDefault="00C41047">
    <w:pPr>
      <w:pStyle w:val="Footer"/>
      <w:jc w:val="center"/>
    </w:pPr>
    <w:fldSimple w:instr=" PAGE   \* MERGEFORMAT ">
      <w:r w:rsidR="00F83A60">
        <w:rPr>
          <w:noProof/>
        </w:rPr>
        <w:t>2</w:t>
      </w:r>
    </w:fldSimple>
  </w:p>
  <w:p w:rsidR="00487841" w:rsidRDefault="00487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1" w:rsidRDefault="00C41047">
    <w:pPr>
      <w:pStyle w:val="Footer"/>
      <w:jc w:val="center"/>
    </w:pPr>
    <w:fldSimple w:instr=" PAGE   \* MERGEFORMAT ">
      <w:r w:rsidR="00F83A60">
        <w:rPr>
          <w:noProof/>
        </w:rPr>
        <w:t>1</w:t>
      </w:r>
    </w:fldSimple>
  </w:p>
  <w:p w:rsidR="00487841" w:rsidRDefault="00487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B3" w:rsidRDefault="007451B3">
      <w:r>
        <w:separator/>
      </w:r>
    </w:p>
  </w:footnote>
  <w:footnote w:type="continuationSeparator" w:id="0">
    <w:p w:rsidR="007451B3" w:rsidRDefault="007451B3">
      <w:r>
        <w:continuationSeparator/>
      </w:r>
    </w:p>
  </w:footnote>
  <w:footnote w:id="1">
    <w:p w:rsidR="00487841" w:rsidRPr="00305276" w:rsidRDefault="00487841" w:rsidP="00473F75">
      <w:pPr>
        <w:pStyle w:val="FootnoteText"/>
        <w:ind w:left="360" w:hanging="360"/>
        <w:jc w:val="both"/>
      </w:pPr>
      <w:r w:rsidRPr="0080681B">
        <w:rPr>
          <w:rStyle w:val="FootnoteReference"/>
        </w:rPr>
        <w:footnoteRef/>
      </w:r>
      <w:r>
        <w:t xml:space="preserve"> </w:t>
      </w:r>
      <w:r>
        <w:tab/>
      </w:r>
      <w:r w:rsidRPr="00C47242">
        <w:t xml:space="preserve">For the purposes of this </w:t>
      </w:r>
      <w:r>
        <w:t>p</w:t>
      </w:r>
      <w:r w:rsidRPr="00C47242">
        <w:t xml:space="preserve">olicy </w:t>
      </w:r>
      <w:r>
        <w:t>s</w:t>
      </w:r>
      <w:r w:rsidRPr="00C47242">
        <w:t>tatement, the term “World Bank” or “Bank” means the International Bank for Reconstruction and Development (IBRD) and the International Development Association (IDA</w:t>
      </w:r>
      <w:r w:rsidRPr="00F83C5F">
        <w:t>);</w:t>
      </w:r>
      <w:r>
        <w:t xml:space="preserve"> </w:t>
      </w:r>
      <w:r w:rsidRPr="00F83C5F">
        <w:t>“World Bank Group” means the IBRD, IDA, International Finance Corporation (IFC), Multilateral Investment Guarantee Agency (MIGA)</w:t>
      </w:r>
      <w:r>
        <w:t>,</w:t>
      </w:r>
      <w:r w:rsidRPr="00F83C5F">
        <w:t xml:space="preserve"> and International Centre for Settlement of Investment Disputes (ICSID);</w:t>
      </w:r>
      <w:r w:rsidRPr="00C47242">
        <w:t xml:space="preserve"> </w:t>
      </w:r>
      <w:r w:rsidRPr="00907C59">
        <w:rPr>
          <w:color w:val="000000"/>
        </w:rPr>
        <w:t>“</w:t>
      </w:r>
      <w:r w:rsidRPr="00C47242">
        <w:rPr>
          <w:color w:val="000000"/>
        </w:rPr>
        <w:t xml:space="preserve">loans” may include IDA credits and grants, grants made out of the Bank’s net income and administrative budget, and trust fund grants; </w:t>
      </w:r>
      <w:r w:rsidRPr="00C47242">
        <w:t>“borrower</w:t>
      </w:r>
      <w:r>
        <w:t>s</w:t>
      </w:r>
      <w:r w:rsidRPr="00C47242">
        <w:t>” includes credit and grant recipients</w:t>
      </w:r>
      <w:r>
        <w:t>, and</w:t>
      </w:r>
      <w:r w:rsidRPr="00C47242">
        <w:t xml:space="preserve"> guarantor</w:t>
      </w:r>
      <w:r>
        <w:t>s</w:t>
      </w:r>
      <w:r w:rsidRPr="00C47242">
        <w:t xml:space="preserve">; </w:t>
      </w:r>
      <w:r w:rsidRPr="00C47242">
        <w:rPr>
          <w:color w:val="000000"/>
        </w:rPr>
        <w:t xml:space="preserve">“information” </w:t>
      </w:r>
      <w:r>
        <w:rPr>
          <w:color w:val="000000"/>
        </w:rPr>
        <w:t xml:space="preserve">means </w:t>
      </w:r>
      <w:r w:rsidRPr="00C47242">
        <w:rPr>
          <w:color w:val="000000"/>
        </w:rPr>
        <w:t xml:space="preserve">documents of any type (for example, paper, electronic, photograph, film, sound recordings, videotapes) prepared or received by the Bank </w:t>
      </w:r>
      <w:r w:rsidRPr="00C47242" w:rsidDel="00E325AF">
        <w:rPr>
          <w:color w:val="000000"/>
        </w:rPr>
        <w:t xml:space="preserve">in </w:t>
      </w:r>
      <w:r w:rsidRPr="00C47242">
        <w:rPr>
          <w:color w:val="000000"/>
        </w:rPr>
        <w:t xml:space="preserve">the course of </w:t>
      </w:r>
      <w:r w:rsidRPr="00C47242">
        <w:t>its</w:t>
      </w:r>
      <w:r>
        <w:t xml:space="preserve"> official</w:t>
      </w:r>
      <w:r w:rsidRPr="00C47242">
        <w:t xml:space="preserve"> business; and “third party” means any individual, group of individuals, organization, or other entity that provides information to the Bank.  The terms “disclose,” “provide access,” and “make publicly available” (and their variants) are used interchangeably in this </w:t>
      </w:r>
      <w:r>
        <w:t>p</w:t>
      </w:r>
      <w:r w:rsidRPr="00C47242">
        <w:t xml:space="preserve">olicy </w:t>
      </w:r>
      <w:r>
        <w:t>s</w:t>
      </w:r>
      <w:r w:rsidRPr="00C47242">
        <w:t>tatement.</w:t>
      </w:r>
      <w:r>
        <w:t xml:space="preserve">  This Policy may be revised from time to time.</w:t>
      </w:r>
    </w:p>
  </w:footnote>
  <w:footnote w:id="2">
    <w:p w:rsidR="00487841" w:rsidRDefault="00487841" w:rsidP="00A12D27">
      <w:pPr>
        <w:pStyle w:val="FootnoteText"/>
        <w:ind w:left="360" w:hanging="360"/>
        <w:jc w:val="both"/>
      </w:pPr>
      <w:r>
        <w:rPr>
          <w:rStyle w:val="FootnoteReference"/>
        </w:rPr>
        <w:footnoteRef/>
      </w:r>
      <w:r>
        <w:t xml:space="preserve"> </w:t>
      </w:r>
      <w:r>
        <w:tab/>
        <w:t xml:space="preserve">In this policy statement, the information that falls under the exceptions is also referred to as “restricted information.” </w:t>
      </w:r>
    </w:p>
  </w:footnote>
  <w:footnote w:id="3">
    <w:p w:rsidR="00487841" w:rsidRPr="006432D6" w:rsidRDefault="00487841" w:rsidP="00B43D15">
      <w:pPr>
        <w:pStyle w:val="FootnoteText"/>
        <w:ind w:left="360" w:hanging="360"/>
        <w:jc w:val="both"/>
        <w:rPr>
          <w:color w:val="000000"/>
        </w:rPr>
      </w:pPr>
      <w:r w:rsidRPr="005B3D60">
        <w:rPr>
          <w:rStyle w:val="FootnoteReference"/>
          <w:color w:val="000000"/>
        </w:rPr>
        <w:footnoteRef/>
      </w:r>
      <w:r w:rsidRPr="005B3D60">
        <w:rPr>
          <w:color w:val="000000"/>
        </w:rPr>
        <w:t xml:space="preserve"> </w:t>
      </w:r>
      <w:r w:rsidRPr="005B3D60">
        <w:rPr>
          <w:color w:val="000000"/>
        </w:rPr>
        <w:tab/>
      </w:r>
      <w:r>
        <w:rPr>
          <w:color w:val="000000"/>
        </w:rPr>
        <w:t xml:space="preserve">The </w:t>
      </w:r>
      <w:r w:rsidRPr="006432D6">
        <w:rPr>
          <w:bCs/>
          <w:color w:val="000000"/>
        </w:rPr>
        <w:t>“Staff Rule</w:t>
      </w:r>
      <w:r>
        <w:rPr>
          <w:bCs/>
          <w:color w:val="000000"/>
        </w:rPr>
        <w:t>s</w:t>
      </w:r>
      <w:r w:rsidRPr="006432D6">
        <w:rPr>
          <w:bCs/>
          <w:color w:val="000000"/>
        </w:rPr>
        <w:t xml:space="preserve">” refer to rules set </w:t>
      </w:r>
      <w:r>
        <w:rPr>
          <w:bCs/>
          <w:color w:val="000000"/>
        </w:rPr>
        <w:t>out</w:t>
      </w:r>
      <w:r w:rsidRPr="006432D6">
        <w:rPr>
          <w:bCs/>
          <w:color w:val="000000"/>
        </w:rPr>
        <w:t xml:space="preserve"> in the Staff Manual, Section 2, which discusses the Bank’s general obligations related to staff</w:t>
      </w:r>
      <w:r w:rsidRPr="006432D6">
        <w:rPr>
          <w:bCs/>
          <w:i/>
          <w:color w:val="000000"/>
        </w:rPr>
        <w:t>.</w:t>
      </w:r>
    </w:p>
  </w:footnote>
  <w:footnote w:id="4">
    <w:p w:rsidR="00487841" w:rsidRPr="002F4A89" w:rsidRDefault="00487841" w:rsidP="002F4A89">
      <w:pPr>
        <w:pStyle w:val="FootnoteText"/>
        <w:ind w:left="360" w:hanging="360"/>
        <w:jc w:val="both"/>
      </w:pPr>
      <w:r>
        <w:rPr>
          <w:rStyle w:val="FootnoteReference"/>
        </w:rPr>
        <w:footnoteRef/>
      </w:r>
      <w:r>
        <w:t xml:space="preserve">  </w:t>
      </w:r>
      <w:r>
        <w:tab/>
      </w:r>
      <w:r w:rsidRPr="00920DAB">
        <w:t>See</w:t>
      </w:r>
      <w:r>
        <w:t xml:space="preserve"> </w:t>
      </w:r>
      <w:hyperlink r:id="rId1" w:history="1">
        <w:r w:rsidRPr="00F43CBA">
          <w:rPr>
            <w:rStyle w:val="Hyperlink"/>
          </w:rPr>
          <w:t>IEG’s disclosure policy statement</w:t>
        </w:r>
      </w:hyperlink>
      <w:r w:rsidRPr="00920DAB">
        <w:t>.</w:t>
      </w:r>
      <w:r w:rsidRPr="002F4A89">
        <w:t xml:space="preserve"> </w:t>
      </w:r>
    </w:p>
  </w:footnote>
  <w:footnote w:id="5">
    <w:p w:rsidR="00487841" w:rsidRPr="00C433AD" w:rsidRDefault="00487841" w:rsidP="00BE3FD4">
      <w:pPr>
        <w:pStyle w:val="FootnoteText"/>
        <w:ind w:left="360" w:hanging="360"/>
        <w:jc w:val="both"/>
      </w:pPr>
      <w:r w:rsidRPr="006432D6">
        <w:rPr>
          <w:rStyle w:val="FootnoteReference"/>
        </w:rPr>
        <w:footnoteRef/>
      </w:r>
      <w:r w:rsidRPr="006432D6">
        <w:t xml:space="preserve"> </w:t>
      </w:r>
      <w:r w:rsidRPr="006432D6">
        <w:tab/>
      </w:r>
      <w:r w:rsidRPr="00907C59">
        <w:t>See</w:t>
      </w:r>
      <w:r w:rsidRPr="000F7312">
        <w:t xml:space="preserve"> </w:t>
      </w:r>
      <w:r w:rsidRPr="006432D6">
        <w:t>Resolution No. IBR</w:t>
      </w:r>
      <w:r>
        <w:t>D</w:t>
      </w:r>
      <w:r w:rsidRPr="006432D6">
        <w:t xml:space="preserve"> 93-10, No. IDA 93-6, September 1993 (the Resolution) establishing the Inspection Panel, and subsequent</w:t>
      </w:r>
      <w:r>
        <w:t xml:space="preserve"> clarifications to the Resolution (i.e. </w:t>
      </w:r>
      <w:r>
        <w:rPr>
          <w:i/>
        </w:rPr>
        <w:t xml:space="preserve">Review of the Resolution Establishing the Inspection Panel: 1996 Clarification of Certain Aspects of the Inspection Panel; </w:t>
      </w:r>
      <w:r w:rsidRPr="00123C04">
        <w:t>and</w:t>
      </w:r>
      <w:r>
        <w:rPr>
          <w:i/>
        </w:rPr>
        <w:t xml:space="preserve"> 1999 Clarification of the Board’s Second Review of the Inspection Panel)</w:t>
      </w:r>
      <w:r>
        <w:t xml:space="preserve">, all available at the </w:t>
      </w:r>
      <w:hyperlink r:id="rId2" w:history="1">
        <w:r w:rsidRPr="00920DAB">
          <w:rPr>
            <w:rStyle w:val="Hyperlink"/>
          </w:rPr>
          <w:t>Inspection Panel</w:t>
        </w:r>
      </w:hyperlink>
      <w:r w:rsidRPr="00920DAB">
        <w:rPr>
          <w:color w:val="FF0000"/>
        </w:rPr>
        <w:t xml:space="preserve"> </w:t>
      </w:r>
      <w:r w:rsidRPr="00C433AD">
        <w:t>website.</w:t>
      </w:r>
    </w:p>
  </w:footnote>
  <w:footnote w:id="6">
    <w:p w:rsidR="00487841" w:rsidRPr="00237D9A" w:rsidRDefault="00487841" w:rsidP="00BE3FD4">
      <w:pPr>
        <w:pStyle w:val="FootnoteText"/>
        <w:ind w:left="360" w:hanging="360"/>
        <w:jc w:val="both"/>
      </w:pPr>
      <w:r>
        <w:rPr>
          <w:rStyle w:val="FootnoteReference"/>
        </w:rPr>
        <w:footnoteRef/>
      </w:r>
      <w:r>
        <w:t xml:space="preserve"> </w:t>
      </w:r>
      <w:r>
        <w:tab/>
      </w:r>
      <w:r w:rsidRPr="00237D9A">
        <w:t>This includes information gathered, received, or generated by INT in connection with or related to inquiries, investigations, audits, or any other types of INT reviews, programs, products, or outputs</w:t>
      </w:r>
      <w:r>
        <w:t>,</w:t>
      </w:r>
      <w:r w:rsidRPr="00237D9A">
        <w:t xml:space="preserve"> as well as any other information gathered, received, or generated by INT on a confidential basis.</w:t>
      </w:r>
      <w:r>
        <w:t xml:space="preserve">    </w:t>
      </w:r>
    </w:p>
  </w:footnote>
  <w:footnote w:id="7">
    <w:p w:rsidR="00487841" w:rsidRPr="00237D9A" w:rsidRDefault="00487841" w:rsidP="00BE3FD4">
      <w:pPr>
        <w:pStyle w:val="FootnoteText"/>
        <w:ind w:left="360" w:hanging="360"/>
        <w:jc w:val="both"/>
      </w:pPr>
      <w:r w:rsidRPr="00237D9A">
        <w:rPr>
          <w:rStyle w:val="FootnoteReference"/>
        </w:rPr>
        <w:footnoteRef/>
      </w:r>
      <w:r w:rsidRPr="00237D9A">
        <w:t xml:space="preserve"> </w:t>
      </w:r>
      <w:r w:rsidRPr="00237D9A">
        <w:tab/>
        <w:t xml:space="preserve">This includes information </w:t>
      </w:r>
      <w:r>
        <w:t xml:space="preserve">whose </w:t>
      </w:r>
      <w:r w:rsidRPr="00237D9A">
        <w:t xml:space="preserve">disclosure is restricted under the </w:t>
      </w:r>
      <w:r w:rsidRPr="001465BF">
        <w:rPr>
          <w:i/>
        </w:rPr>
        <w:t>Sanctions Board Statute</w:t>
      </w:r>
      <w:r w:rsidRPr="00237D9A">
        <w:t xml:space="preserve"> and the </w:t>
      </w:r>
      <w:r w:rsidRPr="001465BF">
        <w:rPr>
          <w:i/>
        </w:rPr>
        <w:t>Sanctions Procedures</w:t>
      </w:r>
      <w:r w:rsidRPr="00237D9A">
        <w:t>.</w:t>
      </w:r>
    </w:p>
  </w:footnote>
  <w:footnote w:id="8">
    <w:p w:rsidR="00487841" w:rsidRDefault="00487841" w:rsidP="00BE3FD4">
      <w:pPr>
        <w:pStyle w:val="FootnoteText"/>
        <w:ind w:left="360" w:hanging="360"/>
        <w:jc w:val="both"/>
      </w:pPr>
      <w:r>
        <w:rPr>
          <w:rStyle w:val="FootnoteReference"/>
        </w:rPr>
        <w:footnoteRef/>
      </w:r>
      <w:r>
        <w:t xml:space="preserve"> </w:t>
      </w:r>
      <w:r>
        <w:tab/>
      </w:r>
      <w:r w:rsidRPr="00945499">
        <w:t xml:space="preserve">When a member country or a third party provides financial, business, proprietary, or other non-public information to the </w:t>
      </w:r>
      <w:r w:rsidRPr="00A03A7D">
        <w:t xml:space="preserve">Bank with the understanding that it will not be disclosed, the Bank treats the information accordingly. </w:t>
      </w:r>
      <w:r w:rsidRPr="001C3C91">
        <w:t>This includes information, data, reports and analysis (including holdings, positions and performance information), deliberations, and any other work product generated as a result of or in response to the confidential information received from a member country or third party. Documents prepared by the</w:t>
      </w:r>
      <w:r w:rsidRPr="00A03A7D">
        <w:t xml:space="preserve"> Bank as a fee-based service (including related</w:t>
      </w:r>
      <w:r w:rsidRPr="00945499">
        <w:t xml:space="preserve"> legal agreements) are </w:t>
      </w:r>
      <w:r>
        <w:t>made available to the public only after</w:t>
      </w:r>
      <w:r w:rsidRPr="00945499">
        <w:t xml:space="preserve"> the country </w:t>
      </w:r>
      <w:r>
        <w:t xml:space="preserve">(or other third-party) </w:t>
      </w:r>
      <w:r w:rsidRPr="00945499">
        <w:t xml:space="preserve">authority concerned </w:t>
      </w:r>
      <w:r>
        <w:t>has granted</w:t>
      </w:r>
      <w:r w:rsidRPr="00945499">
        <w:t xml:space="preserve"> its </w:t>
      </w:r>
      <w:r>
        <w:t>written</w:t>
      </w:r>
      <w:r w:rsidRPr="00945499">
        <w:t xml:space="preserve"> consent </w:t>
      </w:r>
      <w:r>
        <w:t>to</w:t>
      </w:r>
      <w:r w:rsidRPr="00945499">
        <w:t xml:space="preserve"> disclose (see paragraph </w:t>
      </w:r>
      <w:r>
        <w:t>20</w:t>
      </w:r>
      <w:r w:rsidRPr="00945499">
        <w:t>(e)).  Material held by the Bank in which other parties hold the copyright may be made available for review, but copying or distributing such material is limited to respect the rights of the copyright holder.</w:t>
      </w:r>
      <w:r>
        <w:t xml:space="preserve">  See also relevant discussion in footnote 11.</w:t>
      </w:r>
    </w:p>
  </w:footnote>
  <w:footnote w:id="9">
    <w:p w:rsidR="00487841" w:rsidRDefault="00487841" w:rsidP="00FB3255">
      <w:pPr>
        <w:pStyle w:val="FootnoteText"/>
        <w:ind w:left="360" w:hanging="360"/>
        <w:jc w:val="both"/>
      </w:pPr>
      <w:r>
        <w:rPr>
          <w:rStyle w:val="FootnoteReference"/>
        </w:rPr>
        <w:footnoteRef/>
      </w:r>
      <w:r>
        <w:t xml:space="preserve"> </w:t>
      </w:r>
      <w:r>
        <w:tab/>
      </w:r>
      <w:r w:rsidRPr="00BB4A9F">
        <w:t>Corporate administrative matters include the pension and other retirement benefit plans of the World Bank Group, which are governed by the Pension Finance Committee and the Pension Benefit Administration Committee.</w:t>
      </w:r>
    </w:p>
  </w:footnote>
  <w:footnote w:id="10">
    <w:p w:rsidR="00487841" w:rsidRDefault="00487841" w:rsidP="00EF515C">
      <w:pPr>
        <w:pStyle w:val="FootnoteText"/>
        <w:ind w:left="360" w:hanging="360"/>
        <w:jc w:val="both"/>
      </w:pPr>
      <w:r>
        <w:rPr>
          <w:rStyle w:val="FootnoteReference"/>
        </w:rPr>
        <w:footnoteRef/>
      </w:r>
      <w:r>
        <w:t xml:space="preserve"> </w:t>
      </w:r>
      <w:r>
        <w:tab/>
        <w:t xml:space="preserve">Certain deliberative information is </w:t>
      </w:r>
      <w:r w:rsidRPr="008119F3">
        <w:t xml:space="preserve">eligible for declassification and disclosure over time, as indicated in Part IV, Section C, of this policy statement. </w:t>
      </w:r>
    </w:p>
  </w:footnote>
  <w:footnote w:id="11">
    <w:p w:rsidR="00487841" w:rsidRPr="00F87CB8" w:rsidRDefault="00487841" w:rsidP="00FB2F08">
      <w:pPr>
        <w:pStyle w:val="FootnoteText"/>
        <w:ind w:left="360" w:hanging="360"/>
        <w:jc w:val="both"/>
      </w:pPr>
      <w:r>
        <w:rPr>
          <w:rStyle w:val="FootnoteReference"/>
        </w:rPr>
        <w:footnoteRef/>
      </w:r>
      <w:r>
        <w:t xml:space="preserve"> </w:t>
      </w:r>
      <w:r>
        <w:tab/>
        <w:t>This includes financial sector stress tests, the a</w:t>
      </w:r>
      <w:r w:rsidRPr="00BD6E8E">
        <w:t>ide-</w:t>
      </w:r>
      <w:proofErr w:type="spellStart"/>
      <w:r w:rsidRPr="00BD6E8E">
        <w:t>mémoire</w:t>
      </w:r>
      <w:proofErr w:type="spellEnd"/>
      <w:r w:rsidRPr="00BD6E8E">
        <w:t xml:space="preserve"> following Bank-Fund financial sector assessments under the Financial Se</w:t>
      </w:r>
      <w:r>
        <w:t xml:space="preserve">ctor Assessment Program (FSAP), the report following the Bank’s assessment of government debt management capacity, other technical advisory reports requested by member countries from World Bank Treasury, deliberations </w:t>
      </w:r>
      <w:r w:rsidRPr="006432D6">
        <w:t>relat</w:t>
      </w:r>
      <w:r w:rsidRPr="00F87CB8">
        <w:t xml:space="preserve">ing to IDA replenishments, IDA country allocations, and deliberations with donors relating to trust funds.  </w:t>
      </w:r>
      <w:r w:rsidRPr="00F87CB8">
        <w:rPr>
          <w:color w:val="000000"/>
        </w:rPr>
        <w:t xml:space="preserve">If a member country or a third party has not classified the information given to the Bank and, to the Bank's knowledge, the member country or third party concerned has not made the information public, then such information is considered to be deliberative under paragraph 16 of this </w:t>
      </w:r>
      <w:r>
        <w:rPr>
          <w:color w:val="000000"/>
        </w:rPr>
        <w:t>p</w:t>
      </w:r>
      <w:r w:rsidRPr="00F87CB8">
        <w:rPr>
          <w:color w:val="000000"/>
        </w:rPr>
        <w:t xml:space="preserve">olicy </w:t>
      </w:r>
      <w:r>
        <w:rPr>
          <w:color w:val="000000"/>
        </w:rPr>
        <w:t>s</w:t>
      </w:r>
      <w:r w:rsidRPr="00F87CB8">
        <w:rPr>
          <w:color w:val="000000"/>
        </w:rPr>
        <w:t>tatement, and is classified by the recipient Bank unit in accordance with AMS 6.21A,</w:t>
      </w:r>
      <w:r w:rsidRPr="00F87CB8">
        <w:rPr>
          <w:i/>
          <w:iCs/>
          <w:color w:val="000000"/>
        </w:rPr>
        <w:t xml:space="preserve"> Information Classification and Control Policy</w:t>
      </w:r>
      <w:r w:rsidRPr="00F87CB8">
        <w:rPr>
          <w:color w:val="000000"/>
        </w:rPr>
        <w:t xml:space="preserve">, as indicated in paragraphs 20 (d) and 30 of this </w:t>
      </w:r>
      <w:r>
        <w:rPr>
          <w:color w:val="000000"/>
        </w:rPr>
        <w:t>p</w:t>
      </w:r>
      <w:r w:rsidRPr="00F87CB8">
        <w:rPr>
          <w:color w:val="000000"/>
        </w:rPr>
        <w:t xml:space="preserve">olicy </w:t>
      </w:r>
      <w:r>
        <w:rPr>
          <w:color w:val="000000"/>
        </w:rPr>
        <w:t>s</w:t>
      </w:r>
      <w:r w:rsidRPr="00F87CB8">
        <w:rPr>
          <w:color w:val="000000"/>
        </w:rPr>
        <w:t xml:space="preserve">tatement.  If </w:t>
      </w:r>
      <w:r>
        <w:rPr>
          <w:color w:val="000000"/>
        </w:rPr>
        <w:t xml:space="preserve">the </w:t>
      </w:r>
      <w:r w:rsidRPr="008119F3">
        <w:rPr>
          <w:color w:val="000000"/>
        </w:rPr>
        <w:t>Bank believes that</w:t>
      </w:r>
      <w:r>
        <w:rPr>
          <w:color w:val="000000"/>
        </w:rPr>
        <w:t xml:space="preserve"> </w:t>
      </w:r>
      <w:r w:rsidRPr="00F87CB8">
        <w:rPr>
          <w:color w:val="000000"/>
        </w:rPr>
        <w:t xml:space="preserve">such information </w:t>
      </w:r>
      <w:r>
        <w:rPr>
          <w:color w:val="000000"/>
        </w:rPr>
        <w:t>was</w:t>
      </w:r>
      <w:r w:rsidRPr="00F87CB8">
        <w:rPr>
          <w:color w:val="000000"/>
        </w:rPr>
        <w:t xml:space="preserve"> given by the member country or third party (explicitly or implicitly) in confidence, </w:t>
      </w:r>
      <w:r>
        <w:rPr>
          <w:color w:val="000000"/>
        </w:rPr>
        <w:t>the</w:t>
      </w:r>
      <w:r w:rsidRPr="00F87CB8">
        <w:rPr>
          <w:color w:val="000000"/>
        </w:rPr>
        <w:t xml:space="preserve"> information is classified accordingly and restricted from disclosure pursuant to paragraph 14 of this </w:t>
      </w:r>
      <w:r>
        <w:rPr>
          <w:color w:val="000000"/>
        </w:rPr>
        <w:t>p</w:t>
      </w:r>
      <w:r w:rsidRPr="00F87CB8">
        <w:rPr>
          <w:color w:val="000000"/>
        </w:rPr>
        <w:t xml:space="preserve">olicy </w:t>
      </w:r>
      <w:r>
        <w:rPr>
          <w:color w:val="000000"/>
        </w:rPr>
        <w:t>s</w:t>
      </w:r>
      <w:r w:rsidRPr="00F87CB8">
        <w:rPr>
          <w:color w:val="000000"/>
        </w:rPr>
        <w:t xml:space="preserve">tatement.  </w:t>
      </w:r>
    </w:p>
  </w:footnote>
  <w:footnote w:id="12">
    <w:p w:rsidR="00487841" w:rsidRDefault="00487841" w:rsidP="009E75B7">
      <w:pPr>
        <w:pStyle w:val="FootnoteText"/>
        <w:ind w:left="360" w:hanging="360"/>
        <w:jc w:val="both"/>
      </w:pPr>
      <w:r w:rsidRPr="00F87CB8">
        <w:rPr>
          <w:rStyle w:val="FootnoteReference"/>
        </w:rPr>
        <w:footnoteRef/>
      </w:r>
      <w:r w:rsidRPr="00F87CB8">
        <w:t xml:space="preserve"> </w:t>
      </w:r>
      <w:r w:rsidRPr="00F87CB8">
        <w:tab/>
      </w:r>
      <w:r>
        <w:t>However, if no subsequent Board meeting is expected, the Bank makes publicly available R</w:t>
      </w:r>
      <w:r w:rsidRPr="00F87CB8">
        <w:t>eports to the Board from its Committees</w:t>
      </w:r>
      <w:r>
        <w:t>, with</w:t>
      </w:r>
      <w:r w:rsidRPr="00F87CB8">
        <w:t xml:space="preserve"> </w:t>
      </w:r>
      <w:r w:rsidRPr="00F02024">
        <w:t>deliberative information</w:t>
      </w:r>
      <w:r>
        <w:t xml:space="preserve"> removed (summary portion of the </w:t>
      </w:r>
      <w:r w:rsidRPr="00F87CB8">
        <w:t>Green Sheet</w:t>
      </w:r>
      <w:r>
        <w:t xml:space="preserve">). </w:t>
      </w:r>
    </w:p>
  </w:footnote>
  <w:footnote w:id="13">
    <w:p w:rsidR="00487841" w:rsidRPr="00424FE5" w:rsidRDefault="00487841" w:rsidP="00BE3FD4">
      <w:pPr>
        <w:pStyle w:val="FootnoteText"/>
        <w:ind w:left="360" w:hanging="360"/>
        <w:jc w:val="both"/>
      </w:pPr>
      <w:r>
        <w:rPr>
          <w:rStyle w:val="FootnoteReference"/>
        </w:rPr>
        <w:footnoteRef/>
      </w:r>
      <w:r>
        <w:t xml:space="preserve">  </w:t>
      </w:r>
      <w:r>
        <w:tab/>
        <w:t xml:space="preserve">This is a </w:t>
      </w:r>
      <w:r w:rsidRPr="00424FE5">
        <w:t>heterogeneous group of documents</w:t>
      </w:r>
      <w:r>
        <w:t xml:space="preserve"> that includes</w:t>
      </w:r>
      <w:r w:rsidRPr="00424FE5">
        <w:t xml:space="preserve"> information notes, technical briefing papers, PowerPoint presentations that supplement Board papers, presentations to </w:t>
      </w:r>
      <w:r>
        <w:t>Board</w:t>
      </w:r>
      <w:r w:rsidRPr="00424FE5">
        <w:t xml:space="preserve"> </w:t>
      </w:r>
      <w:r>
        <w:t>C</w:t>
      </w:r>
      <w:r w:rsidRPr="00424FE5">
        <w:t>ommittees, and administrative papers (such as meeting notices)</w:t>
      </w:r>
      <w:r>
        <w:t xml:space="preserve"> that are not used as a basis for consultation or decision but are used solely for information or administrative purposes.</w:t>
      </w:r>
      <w:r w:rsidRPr="00424FE5">
        <w:t xml:space="preserve">  </w:t>
      </w:r>
    </w:p>
  </w:footnote>
  <w:footnote w:id="14">
    <w:p w:rsidR="00487841" w:rsidRPr="00BB4A9F" w:rsidRDefault="00487841" w:rsidP="00EF515C">
      <w:pPr>
        <w:pStyle w:val="FootnoteText"/>
        <w:ind w:left="360" w:hanging="360"/>
        <w:jc w:val="both"/>
      </w:pPr>
      <w:r>
        <w:rPr>
          <w:rStyle w:val="FootnoteReference"/>
        </w:rPr>
        <w:footnoteRef/>
      </w:r>
      <w:r>
        <w:t xml:space="preserve"> </w:t>
      </w:r>
      <w:r>
        <w:tab/>
      </w:r>
      <w:r w:rsidRPr="00C47242">
        <w:t xml:space="preserve">Certain financial information is eligible for declassification and disclosure over time, as indicated in </w:t>
      </w:r>
      <w:r w:rsidRPr="00BB4A9F">
        <w:t xml:space="preserve">Part IV, Section </w:t>
      </w:r>
      <w:r>
        <w:t>C,</w:t>
      </w:r>
      <w:r w:rsidRPr="00BB4A9F">
        <w:t xml:space="preserve"> of this </w:t>
      </w:r>
      <w:r>
        <w:t>p</w:t>
      </w:r>
      <w:r w:rsidRPr="00BB4A9F">
        <w:t xml:space="preserve">olicy </w:t>
      </w:r>
      <w:r>
        <w:t>s</w:t>
      </w:r>
      <w:r w:rsidRPr="00BB4A9F">
        <w:t>tatement.</w:t>
      </w:r>
    </w:p>
  </w:footnote>
  <w:footnote w:id="15">
    <w:p w:rsidR="00487841" w:rsidRDefault="00487841" w:rsidP="0078525F">
      <w:pPr>
        <w:pStyle w:val="FootnoteText"/>
        <w:ind w:left="360" w:hanging="360"/>
        <w:jc w:val="both"/>
      </w:pPr>
      <w:r w:rsidRPr="00BB4A9F">
        <w:rPr>
          <w:rStyle w:val="FootnoteReference"/>
        </w:rPr>
        <w:footnoteRef/>
      </w:r>
      <w:r w:rsidRPr="00BB4A9F">
        <w:t xml:space="preserve"> </w:t>
      </w:r>
      <w:r>
        <w:tab/>
      </w:r>
      <w:r w:rsidRPr="00BB4A9F">
        <w:t>This includes holdings, positions</w:t>
      </w:r>
      <w:r>
        <w:t>,</w:t>
      </w:r>
      <w:r w:rsidRPr="00BB4A9F">
        <w:t xml:space="preserve"> and performance information for World Bank Group entities and other</w:t>
      </w:r>
      <w:r>
        <w:t xml:space="preserve"> </w:t>
      </w:r>
      <w:r w:rsidRPr="00BB4A9F">
        <w:t>parties.</w:t>
      </w:r>
    </w:p>
  </w:footnote>
  <w:footnote w:id="16">
    <w:p w:rsidR="00487841" w:rsidRDefault="00487841" w:rsidP="003253D3">
      <w:pPr>
        <w:pStyle w:val="FootnoteText"/>
        <w:ind w:left="360" w:hanging="360"/>
        <w:jc w:val="both"/>
      </w:pPr>
      <w:r w:rsidRPr="00C47242">
        <w:rPr>
          <w:rStyle w:val="FootnoteReference"/>
        </w:rPr>
        <w:footnoteRef/>
      </w:r>
      <w:r w:rsidRPr="00C47242">
        <w:t xml:space="preserve">  </w:t>
      </w:r>
      <w:r w:rsidRPr="00C47242">
        <w:tab/>
      </w:r>
      <w:r w:rsidRPr="00C47242">
        <w:rPr>
          <w:color w:val="000000"/>
        </w:rPr>
        <w:t>For example, the Bank does not disclose the monetary value of payments to, and names of, consultants. However, the Bank routinely discloses</w:t>
      </w:r>
      <w:r>
        <w:rPr>
          <w:color w:val="000000"/>
        </w:rPr>
        <w:t xml:space="preserve"> monthly statements of loans and credits, and</w:t>
      </w:r>
      <w:r w:rsidRPr="00C47242">
        <w:rPr>
          <w:color w:val="000000"/>
        </w:rPr>
        <w:t xml:space="preserve"> individual loan, credit</w:t>
      </w:r>
      <w:r>
        <w:rPr>
          <w:color w:val="000000"/>
        </w:rPr>
        <w:t>,</w:t>
      </w:r>
      <w:r w:rsidRPr="00C47242">
        <w:rPr>
          <w:color w:val="000000"/>
        </w:rPr>
        <w:t xml:space="preserve"> and trust fund documents such as financing, loan, development credit, development grant</w:t>
      </w:r>
      <w:r>
        <w:rPr>
          <w:color w:val="000000"/>
        </w:rPr>
        <w:t>,</w:t>
      </w:r>
      <w:r w:rsidRPr="00C47242">
        <w:rPr>
          <w:color w:val="000000"/>
        </w:rPr>
        <w:t xml:space="preserve"> and project </w:t>
      </w:r>
      <w:r w:rsidRPr="00F02024">
        <w:rPr>
          <w:color w:val="000000"/>
        </w:rPr>
        <w:t xml:space="preserve">agreements; guarantee agreements; administration agreements; and grant or trust fund agreements.  Moreover, the Bank makes publicly available the borrowers’ </w:t>
      </w:r>
      <w:r w:rsidRPr="00F02024">
        <w:rPr>
          <w:bCs/>
        </w:rPr>
        <w:t>audited annual financial statements for investment lending operations for which the invitation to negotiate is issued on or after July 1, 2010 (</w:t>
      </w:r>
      <w:r w:rsidRPr="007A022C">
        <w:rPr>
          <w:bCs/>
        </w:rPr>
        <w:t>see</w:t>
      </w:r>
      <w:r w:rsidRPr="00F02024">
        <w:rPr>
          <w:bCs/>
          <w:i/>
        </w:rPr>
        <w:t xml:space="preserve"> </w:t>
      </w:r>
      <w:r w:rsidRPr="00F02024">
        <w:rPr>
          <w:bCs/>
        </w:rPr>
        <w:t xml:space="preserve">OP/BP 10.02, </w:t>
      </w:r>
      <w:r w:rsidRPr="00F02024">
        <w:rPr>
          <w:bCs/>
          <w:i/>
        </w:rPr>
        <w:t>Financial Management</w:t>
      </w:r>
      <w:r w:rsidRPr="00F02024">
        <w:rPr>
          <w:bCs/>
        </w:rPr>
        <w:t>).</w:t>
      </w:r>
    </w:p>
  </w:footnote>
  <w:footnote w:id="17">
    <w:p w:rsidR="00487841" w:rsidRDefault="00487841" w:rsidP="00884E03">
      <w:pPr>
        <w:pStyle w:val="FootnoteText"/>
        <w:ind w:left="360" w:hanging="360"/>
        <w:jc w:val="both"/>
      </w:pPr>
      <w:r>
        <w:rPr>
          <w:rStyle w:val="FootnoteReference"/>
        </w:rPr>
        <w:footnoteRef/>
      </w:r>
      <w:r>
        <w:t xml:space="preserve"> </w:t>
      </w:r>
      <w:r>
        <w:tab/>
        <w:t>For the purposes of this policy statement, “Board papers” refers to documents that are specifically prepared by staff for (a) discussion or consideration (decision) by the Board, (b) discussion by a Board Committee, or (c) information of the Board or a Board Committee.  For the purposes of this policy statement, “Board records” refers to records of Board or Board Committee discussions such as verbatim transcripts, minutes, statements of Executive Directors, Chairman’s Summings-up, and Summaries of Discussions.  Not all of these documents are prepared following every Board meeting.</w:t>
      </w:r>
    </w:p>
  </w:footnote>
  <w:footnote w:id="18">
    <w:p w:rsidR="00487841" w:rsidRPr="0004405F" w:rsidRDefault="00487841" w:rsidP="0031692F">
      <w:pPr>
        <w:pStyle w:val="FootnoteText"/>
        <w:ind w:left="360" w:hanging="360"/>
        <w:jc w:val="both"/>
        <w:rPr>
          <w:bCs/>
        </w:rPr>
      </w:pPr>
      <w:r>
        <w:rPr>
          <w:rStyle w:val="FootnoteReference"/>
        </w:rPr>
        <w:footnoteRef/>
      </w:r>
      <w:r>
        <w:t xml:space="preserve">  </w:t>
      </w:r>
      <w:r>
        <w:tab/>
      </w:r>
      <w:r w:rsidRPr="00165A56">
        <w:rPr>
          <w:bCs/>
        </w:rPr>
        <w:t>Examples of such documents: (a) Poverty Reduction Strategy Papers</w:t>
      </w:r>
      <w:r>
        <w:rPr>
          <w:bCs/>
        </w:rPr>
        <w:t xml:space="preserve"> (including</w:t>
      </w:r>
      <w:r>
        <w:t xml:space="preserve"> Interim PRSPs and PRSP Annual Progress Reports);</w:t>
      </w:r>
      <w:r w:rsidRPr="00165A56">
        <w:rPr>
          <w:bCs/>
        </w:rPr>
        <w:t xml:space="preserve"> (b) </w:t>
      </w:r>
      <w:r>
        <w:rPr>
          <w:bCs/>
        </w:rPr>
        <w:t>Letters of Development Policy (</w:t>
      </w:r>
      <w:r>
        <w:t>see</w:t>
      </w:r>
      <w:r w:rsidRPr="00D35B53">
        <w:rPr>
          <w:color w:val="000000"/>
        </w:rPr>
        <w:t xml:space="preserve"> OP/BP 8.60</w:t>
      </w:r>
      <w:r>
        <w:rPr>
          <w:color w:val="000000"/>
        </w:rPr>
        <w:t xml:space="preserve">, </w:t>
      </w:r>
      <w:r w:rsidRPr="00AA7A70">
        <w:rPr>
          <w:i/>
          <w:color w:val="000000"/>
        </w:rPr>
        <w:t>Development Policy Lending</w:t>
      </w:r>
      <w:r>
        <w:rPr>
          <w:bCs/>
        </w:rPr>
        <w:t>);</w:t>
      </w:r>
      <w:r w:rsidRPr="00165A56">
        <w:rPr>
          <w:bCs/>
        </w:rPr>
        <w:t xml:space="preserve"> (c) safeguards assessments and plans related to environment, resett</w:t>
      </w:r>
      <w:r>
        <w:rPr>
          <w:bCs/>
        </w:rPr>
        <w:t>lement, and indigenous peoples (</w:t>
      </w:r>
      <w:r w:rsidRPr="00907C59">
        <w:rPr>
          <w:bCs/>
        </w:rPr>
        <w:t>see</w:t>
      </w:r>
      <w:r>
        <w:rPr>
          <w:bCs/>
        </w:rPr>
        <w:t xml:space="preserve"> </w:t>
      </w:r>
      <w:r>
        <w:t xml:space="preserve">OP/BP 4.01, </w:t>
      </w:r>
      <w:r w:rsidRPr="004768FD">
        <w:rPr>
          <w:i/>
        </w:rPr>
        <w:t>Environmental Assessments</w:t>
      </w:r>
      <w:r>
        <w:t xml:space="preserve">, OP/BP 4.10, </w:t>
      </w:r>
      <w:r w:rsidRPr="004768FD">
        <w:rPr>
          <w:i/>
        </w:rPr>
        <w:t>Indigenous Peoples</w:t>
      </w:r>
      <w:r>
        <w:t xml:space="preserve">, and OP/BP 4.12 </w:t>
      </w:r>
      <w:r w:rsidRPr="00646A84">
        <w:rPr>
          <w:i/>
        </w:rPr>
        <w:t>Involuntary Resettlement</w:t>
      </w:r>
      <w:r>
        <w:t>)</w:t>
      </w:r>
      <w:r w:rsidRPr="00165A56">
        <w:rPr>
          <w:bCs/>
        </w:rPr>
        <w:t>; (d) audited annual financial statements for projects (or</w:t>
      </w:r>
      <w:r>
        <w:rPr>
          <w:bCs/>
        </w:rPr>
        <w:t>,</w:t>
      </w:r>
      <w:r w:rsidRPr="00165A56">
        <w:rPr>
          <w:bCs/>
        </w:rPr>
        <w:t xml:space="preserve"> in exceptional cases, an abridged version thereof)</w:t>
      </w:r>
      <w:r w:rsidRPr="00FE32C8">
        <w:rPr>
          <w:bCs/>
        </w:rPr>
        <w:t xml:space="preserve"> </w:t>
      </w:r>
      <w:r w:rsidRPr="00165A56">
        <w:rPr>
          <w:bCs/>
        </w:rPr>
        <w:t>for which the invitation to negotiate is issued on or after July 1, 2010</w:t>
      </w:r>
      <w:r>
        <w:rPr>
          <w:bCs/>
        </w:rPr>
        <w:t xml:space="preserve"> (</w:t>
      </w:r>
      <w:r w:rsidRPr="00907C59">
        <w:rPr>
          <w:bCs/>
        </w:rPr>
        <w:t>see</w:t>
      </w:r>
      <w:r w:rsidRPr="00165A56">
        <w:rPr>
          <w:bCs/>
        </w:rPr>
        <w:t xml:space="preserve"> OP/BP 10.02, </w:t>
      </w:r>
      <w:r w:rsidRPr="00165A56">
        <w:rPr>
          <w:bCs/>
          <w:i/>
          <w:iCs/>
        </w:rPr>
        <w:t>Financial Management</w:t>
      </w:r>
      <w:r>
        <w:rPr>
          <w:bCs/>
        </w:rPr>
        <w:t xml:space="preserve">); </w:t>
      </w:r>
      <w:r w:rsidRPr="00165A56">
        <w:rPr>
          <w:bCs/>
        </w:rPr>
        <w:t>and (e) procurement plans</w:t>
      </w:r>
      <w:r>
        <w:rPr>
          <w:bCs/>
        </w:rPr>
        <w:t xml:space="preserve"> (</w:t>
      </w:r>
      <w:r w:rsidRPr="00907C59">
        <w:rPr>
          <w:bCs/>
        </w:rPr>
        <w:t>see</w:t>
      </w:r>
      <w:r w:rsidRPr="005C118D">
        <w:rPr>
          <w:bCs/>
          <w:i/>
        </w:rPr>
        <w:t xml:space="preserve"> </w:t>
      </w:r>
      <w:r w:rsidRPr="005C118D">
        <w:rPr>
          <w:i/>
        </w:rPr>
        <w:t>Guidelines: Procurement under IBRD Loans and IDA Credits</w:t>
      </w:r>
      <w:r w:rsidRPr="00907C59">
        <w:t>, and</w:t>
      </w:r>
      <w:r w:rsidRPr="005C118D">
        <w:rPr>
          <w:i/>
        </w:rPr>
        <w:t xml:space="preserve"> Guidelines: Selection and Employment of Consultants by World Bank Borrowers</w:t>
      </w:r>
      <w:r>
        <w:t>)</w:t>
      </w:r>
      <w:r w:rsidRPr="00165A56">
        <w:rPr>
          <w:bCs/>
        </w:rPr>
        <w:t xml:space="preserve">.  </w:t>
      </w:r>
    </w:p>
  </w:footnote>
  <w:footnote w:id="19">
    <w:p w:rsidR="00487841" w:rsidRPr="00F02024" w:rsidRDefault="00487841" w:rsidP="00F44449">
      <w:pPr>
        <w:pStyle w:val="FootnoteText"/>
        <w:ind w:left="360" w:hanging="360"/>
        <w:jc w:val="both"/>
      </w:pPr>
      <w:r w:rsidRPr="00F02024">
        <w:rPr>
          <w:rStyle w:val="FootnoteReference"/>
        </w:rPr>
        <w:footnoteRef/>
      </w:r>
      <w:r w:rsidRPr="00F02024">
        <w:t xml:space="preserve"> </w:t>
      </w:r>
      <w:r w:rsidRPr="00F02024">
        <w:tab/>
        <w:t xml:space="preserve">If the Bank determines that the information was given by a member country or third party in confidence, </w:t>
      </w:r>
      <w:r>
        <w:t>the</w:t>
      </w:r>
      <w:r w:rsidRPr="00F02024">
        <w:t xml:space="preserve"> information is restricted under paragraph 14 of this policy statement and classified accordingly.</w:t>
      </w:r>
    </w:p>
  </w:footnote>
  <w:footnote w:id="20">
    <w:p w:rsidR="00487841" w:rsidRDefault="00487841" w:rsidP="00971F3B">
      <w:pPr>
        <w:pStyle w:val="FootnoteText"/>
        <w:ind w:left="360" w:hanging="360"/>
        <w:jc w:val="both"/>
      </w:pPr>
      <w:r w:rsidRPr="00F02024">
        <w:rPr>
          <w:rStyle w:val="FootnoteReference"/>
        </w:rPr>
        <w:footnoteRef/>
      </w:r>
      <w:r w:rsidRPr="00F02024">
        <w:t xml:space="preserve"> </w:t>
      </w:r>
      <w:r w:rsidRPr="00F02024">
        <w:tab/>
        <w:t xml:space="preserve">Before initiating such work, Bank </w:t>
      </w:r>
      <w:proofErr w:type="gramStart"/>
      <w:r w:rsidRPr="00F02024">
        <w:t>staff explain</w:t>
      </w:r>
      <w:proofErr w:type="gramEnd"/>
      <w:r>
        <w:t xml:space="preserve"> the Bank’s Access to Information Policy to the potential partner and obtain </w:t>
      </w:r>
      <w:r w:rsidRPr="005A725F">
        <w:t xml:space="preserve">the </w:t>
      </w:r>
      <w:r>
        <w:t xml:space="preserve">potential partner’s </w:t>
      </w:r>
      <w:r w:rsidRPr="005A725F">
        <w:t xml:space="preserve">agreement </w:t>
      </w:r>
      <w:r>
        <w:t>t</w:t>
      </w:r>
      <w:r w:rsidRPr="005A725F">
        <w:t xml:space="preserve">o the disclosure of the joint </w:t>
      </w:r>
      <w:r w:rsidRPr="006432D6">
        <w:t>product.  Documents prepared jointly with partners are not subject to public access if they include, or are based on, information that is restricted under Part II, Sections A and C</w:t>
      </w:r>
      <w:r w:rsidRPr="00F02024">
        <w:t>, of this policy statement. For the purposes of this provision, other World Bank Group</w:t>
      </w:r>
      <w:r>
        <w:t xml:space="preserve"> (WBG)</w:t>
      </w:r>
      <w:r w:rsidRPr="00F02024">
        <w:t xml:space="preserve"> entities are treated as partners; documents prepared jointly with WBG entities may be made publicly available if such disclosure is consistent with their disclosure policies.</w:t>
      </w:r>
      <w:r w:rsidRPr="006432D6">
        <w:t xml:space="preserve"> </w:t>
      </w:r>
    </w:p>
  </w:footnote>
  <w:footnote w:id="21">
    <w:p w:rsidR="00487841" w:rsidRDefault="00487841" w:rsidP="005F36B4">
      <w:pPr>
        <w:pStyle w:val="FootnoteText"/>
        <w:ind w:left="360" w:hanging="360"/>
        <w:jc w:val="both"/>
      </w:pPr>
      <w:r w:rsidRPr="00F02024">
        <w:rPr>
          <w:rStyle w:val="FootnoteReference"/>
        </w:rPr>
        <w:footnoteRef/>
      </w:r>
      <w:r w:rsidRPr="00F02024">
        <w:t xml:space="preserve"> </w:t>
      </w:r>
      <w:r w:rsidRPr="00F02024">
        <w:tab/>
        <w:t xml:space="preserve">Board minutes created </w:t>
      </w:r>
      <w:r>
        <w:t>after</w:t>
      </w:r>
      <w:r w:rsidRPr="00F02024">
        <w:t xml:space="preserve"> April 1, 2005, are </w:t>
      </w:r>
      <w:r>
        <w:t>already</w:t>
      </w:r>
      <w:r w:rsidRPr="00F02024">
        <w:t xml:space="preserve"> publicly available.</w:t>
      </w:r>
      <w:r>
        <w:t xml:space="preserve">  For Board minutes created before April 1, 2005, see paragraph 33.</w:t>
      </w:r>
    </w:p>
  </w:footnote>
  <w:footnote w:id="22">
    <w:p w:rsidR="00487841" w:rsidRDefault="00487841" w:rsidP="005F36B4">
      <w:pPr>
        <w:pStyle w:val="FootnoteText"/>
        <w:ind w:left="360" w:hanging="360"/>
        <w:jc w:val="both"/>
      </w:pPr>
      <w:r>
        <w:rPr>
          <w:rStyle w:val="FootnoteReference"/>
        </w:rPr>
        <w:footnoteRef/>
      </w:r>
      <w:r>
        <w:t xml:space="preserve"> </w:t>
      </w:r>
      <w:r>
        <w:tab/>
        <w:t xml:space="preserve">If a draft version has not been previously reviewed by the Executive Directors, the paper is still made available to the public at least two weeks before the Board discussion if the Board approves such early disclosure.  </w:t>
      </w:r>
    </w:p>
  </w:footnote>
  <w:footnote w:id="23">
    <w:p w:rsidR="00487841" w:rsidRDefault="00487841" w:rsidP="00662231">
      <w:pPr>
        <w:pStyle w:val="FootnoteText"/>
        <w:ind w:left="360" w:hanging="360"/>
        <w:jc w:val="both"/>
      </w:pPr>
      <w:r>
        <w:rPr>
          <w:rStyle w:val="FootnoteReference"/>
        </w:rPr>
        <w:footnoteRef/>
      </w:r>
      <w:r>
        <w:t xml:space="preserve"> </w:t>
      </w:r>
      <w:r>
        <w:tab/>
        <w:t>Unsupported requests include those that (a) do not provide enough information</w:t>
      </w:r>
      <w:r w:rsidRPr="00F02024">
        <w:t xml:space="preserve"> </w:t>
      </w:r>
      <w:r>
        <w:t>to enable the Bank to locate the requested document in the Bank’s records management system and/or (b) are for documents that the Bank is unable to locate in the Bank’s records management system after a reasonable search</w:t>
      </w:r>
      <w:r>
        <w:rPr>
          <w:color w:val="000000"/>
          <w:sz w:val="23"/>
          <w:szCs w:val="23"/>
        </w:rPr>
        <w:t>.</w:t>
      </w:r>
    </w:p>
  </w:footnote>
  <w:footnote w:id="24">
    <w:p w:rsidR="00487841" w:rsidRDefault="00487841" w:rsidP="00821A32">
      <w:pPr>
        <w:pStyle w:val="FootnoteText"/>
        <w:ind w:left="360" w:hanging="360"/>
      </w:pPr>
      <w:r>
        <w:rPr>
          <w:rStyle w:val="FootnoteReference"/>
        </w:rPr>
        <w:footnoteRef/>
      </w:r>
      <w:r>
        <w:t xml:space="preserve"> </w:t>
      </w:r>
      <w:r>
        <w:tab/>
        <w:t>See footnote 11.</w:t>
      </w:r>
    </w:p>
  </w:footnote>
  <w:footnote w:id="25">
    <w:p w:rsidR="00487841" w:rsidRDefault="00487841" w:rsidP="00FD353D">
      <w:pPr>
        <w:pStyle w:val="FootnoteText"/>
        <w:ind w:left="360" w:hanging="360"/>
        <w:jc w:val="both"/>
      </w:pPr>
      <w:r>
        <w:rPr>
          <w:rStyle w:val="FootnoteReference"/>
        </w:rPr>
        <w:footnoteRef/>
      </w:r>
      <w:r>
        <w:t xml:space="preserve"> </w:t>
      </w:r>
      <w:r>
        <w:tab/>
        <w:t>In applying these declassification schedules, the relevant date for unpublished documents is the date when the document was created; the relevant date for published documents is the date of publication</w:t>
      </w:r>
      <w:r w:rsidRPr="006432D6">
        <w:t xml:space="preserve">. The declassification schedules set forth in this section must be read holistically to ensure that the </w:t>
      </w:r>
      <w:r>
        <w:t>document</w:t>
      </w:r>
      <w:r w:rsidRPr="006432D6">
        <w:t xml:space="preserve"> concerned is declassified appropriately.  For example, although </w:t>
      </w:r>
      <w:r>
        <w:t xml:space="preserve">an </w:t>
      </w:r>
      <w:r w:rsidRPr="006432D6">
        <w:t>“Official Use Only” Board paper may be declassified after 5 years</w:t>
      </w:r>
      <w:r>
        <w:t>, Memoranda</w:t>
      </w:r>
      <w:r w:rsidRPr="006432D6">
        <w:t xml:space="preserve"> of the President (</w:t>
      </w:r>
      <w:r>
        <w:t>which</w:t>
      </w:r>
      <w:r w:rsidRPr="006432D6">
        <w:t xml:space="preserve"> </w:t>
      </w:r>
      <w:r>
        <w:t xml:space="preserve">may also be classified as “Official Use Only” </w:t>
      </w:r>
      <w:r w:rsidRPr="006432D6">
        <w:t>Board paper</w:t>
      </w:r>
      <w:r>
        <w:t xml:space="preserve">s) are </w:t>
      </w:r>
      <w:r w:rsidRPr="006432D6">
        <w:t xml:space="preserve">declassified only after 20 years.  </w:t>
      </w:r>
    </w:p>
  </w:footnote>
  <w:footnote w:id="26">
    <w:p w:rsidR="00487841" w:rsidRDefault="00487841" w:rsidP="00971F3B">
      <w:pPr>
        <w:pStyle w:val="FootnoteText"/>
        <w:tabs>
          <w:tab w:val="left" w:pos="360"/>
        </w:tabs>
        <w:ind w:left="360" w:hanging="360"/>
        <w:jc w:val="both"/>
      </w:pPr>
      <w:r>
        <w:rPr>
          <w:rStyle w:val="FootnoteReference"/>
        </w:rPr>
        <w:footnoteRef/>
      </w:r>
      <w:r>
        <w:t xml:space="preserve"> </w:t>
      </w:r>
      <w:r>
        <w:tab/>
      </w:r>
      <w:r w:rsidRPr="000C34DC">
        <w:t xml:space="preserve">See </w:t>
      </w:r>
      <w:r>
        <w:t xml:space="preserve">Part II, Section B, of this policy statement for details on the Bank’s prerogative to disclose restricted information under exceptional circumstances. </w:t>
      </w:r>
    </w:p>
  </w:footnote>
  <w:footnote w:id="27">
    <w:p w:rsidR="00487841" w:rsidRDefault="00487841" w:rsidP="00971F3B">
      <w:pPr>
        <w:pStyle w:val="FootnoteText"/>
        <w:tabs>
          <w:tab w:val="left" w:pos="360"/>
        </w:tabs>
        <w:jc w:val="both"/>
      </w:pPr>
      <w:r>
        <w:rPr>
          <w:rStyle w:val="FootnoteReference"/>
        </w:rPr>
        <w:footnoteRef/>
      </w:r>
      <w:r>
        <w:t xml:space="preserve"> </w:t>
      </w:r>
      <w:r>
        <w:tab/>
      </w:r>
      <w:r w:rsidRPr="000C34DC">
        <w:t xml:space="preserve">See </w:t>
      </w:r>
      <w:r>
        <w:t>Part IV, Section F, of this policy statement on the provisions relating to appeals.</w:t>
      </w:r>
    </w:p>
  </w:footnote>
  <w:footnote w:id="28">
    <w:p w:rsidR="00487841" w:rsidRDefault="00487841" w:rsidP="00421B6E">
      <w:pPr>
        <w:pStyle w:val="FootnoteText"/>
        <w:ind w:left="360" w:hanging="360"/>
        <w:jc w:val="both"/>
      </w:pPr>
      <w:r>
        <w:rPr>
          <w:rStyle w:val="FootnoteReference"/>
        </w:rPr>
        <w:footnoteRef/>
      </w:r>
      <w:r>
        <w:t xml:space="preserve"> </w:t>
      </w:r>
      <w:r>
        <w:tab/>
        <w:t>Because the AI Committee has no authority over decisions by the Board, appeals of Board decisions are automatically dismissed.</w:t>
      </w:r>
    </w:p>
  </w:footnote>
  <w:footnote w:id="29">
    <w:p w:rsidR="00487841" w:rsidRPr="0088532C" w:rsidRDefault="00487841" w:rsidP="00971F3B">
      <w:pPr>
        <w:pStyle w:val="FootnoteText"/>
        <w:tabs>
          <w:tab w:val="left" w:pos="360"/>
        </w:tabs>
        <w:jc w:val="both"/>
      </w:pPr>
      <w:r>
        <w:rPr>
          <w:rStyle w:val="FootnoteReference"/>
        </w:rPr>
        <w:footnoteRef/>
      </w:r>
      <w:r>
        <w:t xml:space="preserve">  </w:t>
      </w:r>
      <w:r>
        <w:tab/>
      </w:r>
      <w:proofErr w:type="gramStart"/>
      <w:r w:rsidRPr="00907C59">
        <w:t>See</w:t>
      </w:r>
      <w:r>
        <w:t xml:space="preserve"> paragraph 36 (b</w:t>
      </w:r>
      <w:r w:rsidRPr="0088532C">
        <w:t>).</w:t>
      </w:r>
      <w:proofErr w:type="gramEnd"/>
    </w:p>
  </w:footnote>
  <w:footnote w:id="30">
    <w:p w:rsidR="00487841" w:rsidRDefault="00487841" w:rsidP="00551266">
      <w:pPr>
        <w:pStyle w:val="FootnoteText"/>
        <w:ind w:left="360" w:hanging="360"/>
        <w:jc w:val="both"/>
      </w:pPr>
      <w:r w:rsidRPr="0088532C">
        <w:rPr>
          <w:rStyle w:val="FootnoteReference"/>
        </w:rPr>
        <w:footnoteRef/>
      </w:r>
      <w:r w:rsidRPr="0088532C">
        <w:t xml:space="preserve"> </w:t>
      </w:r>
      <w:r w:rsidRPr="0088532C">
        <w:tab/>
        <w:t>This may include instances when the AI Committee has provided direct input in the initial decision to deny access.</w:t>
      </w:r>
    </w:p>
  </w:footnote>
  <w:footnote w:id="31">
    <w:p w:rsidR="00487841" w:rsidRDefault="00487841" w:rsidP="00B9546A">
      <w:pPr>
        <w:pStyle w:val="FootnoteText"/>
        <w:ind w:left="360" w:hanging="360"/>
        <w:jc w:val="both"/>
      </w:pPr>
      <w:r>
        <w:rPr>
          <w:rStyle w:val="FootnoteReference"/>
        </w:rPr>
        <w:footnoteRef/>
      </w:r>
      <w:r>
        <w:t xml:space="preserve"> </w:t>
      </w:r>
      <w:r>
        <w:tab/>
        <w:t xml:space="preserve">The Appeals Board established under this Policy comprises three outside experts on access to information matters.  Panel members are nominated by the President of the World Bank and endorsed by the Bank’s Board of Executive Directors.  </w:t>
      </w:r>
    </w:p>
  </w:footnote>
  <w:footnote w:id="32">
    <w:p w:rsidR="00487841" w:rsidRDefault="00487841" w:rsidP="00B9546A">
      <w:pPr>
        <w:pStyle w:val="FootnoteText"/>
        <w:ind w:left="360" w:hanging="360"/>
      </w:pPr>
      <w:r>
        <w:rPr>
          <w:rStyle w:val="FootnoteReference"/>
        </w:rPr>
        <w:footnoteRef/>
      </w:r>
      <w:r>
        <w:t xml:space="preserve"> </w:t>
      </w:r>
      <w:r>
        <w:tab/>
      </w:r>
      <w:proofErr w:type="gramStart"/>
      <w:r>
        <w:t>See paragraph 36 (a).</w:t>
      </w:r>
      <w:proofErr w:type="gramEnd"/>
    </w:p>
  </w:footnote>
  <w:footnote w:id="33">
    <w:p w:rsidR="00487841" w:rsidRDefault="00487841" w:rsidP="00B9546A">
      <w:pPr>
        <w:pStyle w:val="FootnoteText"/>
        <w:ind w:left="360" w:hanging="360"/>
      </w:pPr>
      <w:r>
        <w:rPr>
          <w:rStyle w:val="FootnoteReference"/>
        </w:rPr>
        <w:footnoteRef/>
      </w:r>
      <w:r>
        <w:t xml:space="preserve"> </w:t>
      </w:r>
      <w:r>
        <w:tab/>
      </w:r>
      <w:proofErr w:type="gramStart"/>
      <w:r>
        <w:t>See paragraph 36 (b).</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78C"/>
    <w:multiLevelType w:val="hybridMultilevel"/>
    <w:tmpl w:val="3B466644"/>
    <w:lvl w:ilvl="0" w:tplc="BFEE93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3F5A"/>
    <w:multiLevelType w:val="hybridMultilevel"/>
    <w:tmpl w:val="366C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C11AF"/>
    <w:multiLevelType w:val="hybridMultilevel"/>
    <w:tmpl w:val="27B23F1E"/>
    <w:lvl w:ilvl="0" w:tplc="3CE69D88">
      <w:start w:val="1"/>
      <w:numFmt w:val="decimal"/>
      <w:lvlText w:val="%1."/>
      <w:lvlJc w:val="left"/>
      <w:pPr>
        <w:tabs>
          <w:tab w:val="num" w:pos="630"/>
        </w:tabs>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278A0"/>
    <w:multiLevelType w:val="hybridMultilevel"/>
    <w:tmpl w:val="E6DAF794"/>
    <w:lvl w:ilvl="0" w:tplc="81785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93F74"/>
    <w:multiLevelType w:val="hybridMultilevel"/>
    <w:tmpl w:val="2C620A72"/>
    <w:lvl w:ilvl="0" w:tplc="5BE4B68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7C98"/>
    <w:multiLevelType w:val="hybridMultilevel"/>
    <w:tmpl w:val="2F5054DC"/>
    <w:lvl w:ilvl="0" w:tplc="8E583CAE">
      <w:start w:val="1"/>
      <w:numFmt w:val="lowerLetter"/>
      <w:lvlText w:val="(%1)"/>
      <w:lvlJc w:val="left"/>
      <w:pPr>
        <w:tabs>
          <w:tab w:val="num" w:pos="1440"/>
        </w:tabs>
        <w:ind w:left="1440" w:hanging="648"/>
      </w:pPr>
      <w:rPr>
        <w:rFonts w:hint="default"/>
      </w:rPr>
    </w:lvl>
    <w:lvl w:ilvl="1" w:tplc="A56A7F4A">
      <w:start w:val="2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DA4ACC"/>
    <w:multiLevelType w:val="hybridMultilevel"/>
    <w:tmpl w:val="83C48F8A"/>
    <w:lvl w:ilvl="0" w:tplc="3CE69D88">
      <w:start w:val="1"/>
      <w:numFmt w:val="decimal"/>
      <w:lvlText w:val="%1."/>
      <w:lvlJc w:val="left"/>
      <w:pPr>
        <w:tabs>
          <w:tab w:val="num" w:pos="630"/>
        </w:tabs>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0AF5"/>
    <w:multiLevelType w:val="hybridMultilevel"/>
    <w:tmpl w:val="F2C03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37C41"/>
    <w:multiLevelType w:val="hybridMultilevel"/>
    <w:tmpl w:val="58788F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95173A"/>
    <w:multiLevelType w:val="hybridMultilevel"/>
    <w:tmpl w:val="9488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51B1B"/>
    <w:multiLevelType w:val="hybridMultilevel"/>
    <w:tmpl w:val="30EEA15C"/>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676F4"/>
    <w:multiLevelType w:val="hybridMultilevel"/>
    <w:tmpl w:val="8034C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926943"/>
    <w:multiLevelType w:val="hybridMultilevel"/>
    <w:tmpl w:val="0FC2D282"/>
    <w:lvl w:ilvl="0" w:tplc="5BE4B6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233011C"/>
    <w:multiLevelType w:val="hybridMultilevel"/>
    <w:tmpl w:val="9CEEF314"/>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A32B3F"/>
    <w:multiLevelType w:val="hybridMultilevel"/>
    <w:tmpl w:val="A1A82A0A"/>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D724B1"/>
    <w:multiLevelType w:val="hybridMultilevel"/>
    <w:tmpl w:val="A3EE5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DE329C"/>
    <w:multiLevelType w:val="hybridMultilevel"/>
    <w:tmpl w:val="AF62C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444DA"/>
    <w:multiLevelType w:val="hybridMultilevel"/>
    <w:tmpl w:val="0298FC4C"/>
    <w:lvl w:ilvl="0" w:tplc="8E583CAE">
      <w:start w:val="1"/>
      <w:numFmt w:val="lowerLetter"/>
      <w:lvlText w:val="(%1)"/>
      <w:lvlJc w:val="left"/>
      <w:pPr>
        <w:tabs>
          <w:tab w:val="num" w:pos="1440"/>
        </w:tabs>
        <w:ind w:left="1440" w:hanging="648"/>
      </w:pPr>
      <w:rPr>
        <w:rFonts w:hint="default"/>
      </w:rPr>
    </w:lvl>
    <w:lvl w:ilvl="1" w:tplc="A56A7F4A">
      <w:start w:val="2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FA2D12"/>
    <w:multiLevelType w:val="hybridMultilevel"/>
    <w:tmpl w:val="2CC62AB2"/>
    <w:lvl w:ilvl="0" w:tplc="49CC7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C1CB5"/>
    <w:multiLevelType w:val="hybridMultilevel"/>
    <w:tmpl w:val="9EA48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885F83"/>
    <w:multiLevelType w:val="hybridMultilevel"/>
    <w:tmpl w:val="CA66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C749CF"/>
    <w:multiLevelType w:val="hybridMultilevel"/>
    <w:tmpl w:val="39F61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935D3F"/>
    <w:multiLevelType w:val="hybridMultilevel"/>
    <w:tmpl w:val="0112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25929"/>
    <w:multiLevelType w:val="hybridMultilevel"/>
    <w:tmpl w:val="9D6804E4"/>
    <w:lvl w:ilvl="0" w:tplc="FF4EFA0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B7BAE"/>
    <w:multiLevelType w:val="hybridMultilevel"/>
    <w:tmpl w:val="C66813B0"/>
    <w:lvl w:ilvl="0" w:tplc="84C60F64">
      <w:start w:val="1"/>
      <w:numFmt w:val="decimal"/>
      <w:lvlText w:val="%1."/>
      <w:lvlJc w:val="left"/>
      <w:pPr>
        <w:tabs>
          <w:tab w:val="num" w:pos="720"/>
        </w:tabs>
        <w:ind w:left="720" w:hanging="360"/>
      </w:pPr>
      <w:rPr>
        <w:b w:val="0"/>
        <w:i w:val="0"/>
        <w:color w:val="auto"/>
      </w:rPr>
    </w:lvl>
    <w:lvl w:ilvl="1" w:tplc="DB501BFE">
      <w:start w:val="1"/>
      <w:numFmt w:val="lowerLetter"/>
      <w:lvlText w:val="(%2)"/>
      <w:lvlJc w:val="left"/>
      <w:pPr>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53B16639"/>
    <w:multiLevelType w:val="hybridMultilevel"/>
    <w:tmpl w:val="BE52E3C6"/>
    <w:lvl w:ilvl="0" w:tplc="62084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F61B8"/>
    <w:multiLevelType w:val="hybridMultilevel"/>
    <w:tmpl w:val="18E8021A"/>
    <w:lvl w:ilvl="0" w:tplc="62084AEE">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5322FFE"/>
    <w:multiLevelType w:val="hybridMultilevel"/>
    <w:tmpl w:val="CC1CCB10"/>
    <w:lvl w:ilvl="0" w:tplc="3CE69D88">
      <w:start w:val="1"/>
      <w:numFmt w:val="decimal"/>
      <w:lvlText w:val="%1."/>
      <w:lvlJc w:val="left"/>
      <w:pPr>
        <w:tabs>
          <w:tab w:val="num" w:pos="630"/>
        </w:tabs>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7407D"/>
    <w:multiLevelType w:val="hybridMultilevel"/>
    <w:tmpl w:val="D494B2E4"/>
    <w:lvl w:ilvl="0" w:tplc="5BE4B680">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95D7B0A"/>
    <w:multiLevelType w:val="hybridMultilevel"/>
    <w:tmpl w:val="DE9C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0602B"/>
    <w:multiLevelType w:val="hybridMultilevel"/>
    <w:tmpl w:val="6D501D76"/>
    <w:lvl w:ilvl="0" w:tplc="BFEE9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540206"/>
    <w:multiLevelType w:val="hybridMultilevel"/>
    <w:tmpl w:val="8004BC12"/>
    <w:lvl w:ilvl="0" w:tplc="9D8C9AA8">
      <w:start w:val="1"/>
      <w:numFmt w:val="lowerLetter"/>
      <w:lvlText w:val="(%1)"/>
      <w:lvlJc w:val="left"/>
      <w:pPr>
        <w:tabs>
          <w:tab w:val="num" w:pos="1440"/>
        </w:tabs>
        <w:ind w:left="144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61DE4"/>
    <w:multiLevelType w:val="hybridMultilevel"/>
    <w:tmpl w:val="BC4C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747D7"/>
    <w:multiLevelType w:val="hybridMultilevel"/>
    <w:tmpl w:val="8776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F04F1"/>
    <w:multiLevelType w:val="hybridMultilevel"/>
    <w:tmpl w:val="05E68F24"/>
    <w:lvl w:ilvl="0" w:tplc="FF4EFA0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7">
    <w:nsid w:val="75D95B01"/>
    <w:multiLevelType w:val="hybridMultilevel"/>
    <w:tmpl w:val="E3B2CEB8"/>
    <w:lvl w:ilvl="0" w:tplc="62084A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505"/>
    <w:multiLevelType w:val="hybridMultilevel"/>
    <w:tmpl w:val="6512FA48"/>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8"/>
  </w:num>
  <w:num w:numId="4">
    <w:abstractNumId w:val="32"/>
  </w:num>
  <w:num w:numId="5">
    <w:abstractNumId w:val="18"/>
  </w:num>
  <w:num w:numId="6">
    <w:abstractNumId w:val="5"/>
  </w:num>
  <w:num w:numId="7">
    <w:abstractNumId w:val="29"/>
  </w:num>
  <w:num w:numId="8">
    <w:abstractNumId w:val="3"/>
  </w:num>
  <w:num w:numId="9">
    <w:abstractNumId w:val="7"/>
  </w:num>
  <w:num w:numId="10">
    <w:abstractNumId w:val="11"/>
  </w:num>
  <w:num w:numId="11">
    <w:abstractNumId w:val="8"/>
  </w:num>
  <w:num w:numId="12">
    <w:abstractNumId w:val="27"/>
  </w:num>
  <w:num w:numId="13">
    <w:abstractNumId w:val="25"/>
  </w:num>
  <w:num w:numId="14">
    <w:abstractNumId w:val="22"/>
  </w:num>
  <w:num w:numId="15">
    <w:abstractNumId w:val="1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0"/>
  </w:num>
  <w:num w:numId="19">
    <w:abstractNumId w:val="31"/>
  </w:num>
  <w:num w:numId="20">
    <w:abstractNumId w:val="15"/>
  </w:num>
  <w:num w:numId="21">
    <w:abstractNumId w:val="14"/>
  </w:num>
  <w:num w:numId="22">
    <w:abstractNumId w:val="35"/>
  </w:num>
  <w:num w:numId="23">
    <w:abstractNumId w:val="0"/>
  </w:num>
  <w:num w:numId="24">
    <w:abstractNumId w:val="37"/>
  </w:num>
  <w:num w:numId="25">
    <w:abstractNumId w:val="4"/>
  </w:num>
  <w:num w:numId="26">
    <w:abstractNumId w:val="12"/>
  </w:num>
  <w:num w:numId="27">
    <w:abstractNumId w:val="9"/>
  </w:num>
  <w:num w:numId="28">
    <w:abstractNumId w:val="30"/>
  </w:num>
  <w:num w:numId="29">
    <w:abstractNumId w:val="2"/>
  </w:num>
  <w:num w:numId="30">
    <w:abstractNumId w:val="10"/>
  </w:num>
  <w:num w:numId="31">
    <w:abstractNumId w:val="6"/>
  </w:num>
  <w:num w:numId="32">
    <w:abstractNumId w:val="34"/>
  </w:num>
  <w:num w:numId="33">
    <w:abstractNumId w:val="23"/>
  </w:num>
  <w:num w:numId="34">
    <w:abstractNumId w:val="1"/>
  </w:num>
  <w:num w:numId="35">
    <w:abstractNumId w:val="28"/>
  </w:num>
  <w:num w:numId="36">
    <w:abstractNumId w:val="24"/>
  </w:num>
  <w:num w:numId="37">
    <w:abstractNumId w:val="26"/>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4B9"/>
    <w:rsid w:val="000015E0"/>
    <w:rsid w:val="000017BC"/>
    <w:rsid w:val="000020C6"/>
    <w:rsid w:val="000029B4"/>
    <w:rsid w:val="0000300E"/>
    <w:rsid w:val="0000312F"/>
    <w:rsid w:val="00005CDC"/>
    <w:rsid w:val="00005DCB"/>
    <w:rsid w:val="00006230"/>
    <w:rsid w:val="000107BC"/>
    <w:rsid w:val="00012927"/>
    <w:rsid w:val="00015E0A"/>
    <w:rsid w:val="00016B64"/>
    <w:rsid w:val="0002196F"/>
    <w:rsid w:val="00025093"/>
    <w:rsid w:val="000261F6"/>
    <w:rsid w:val="00031CAB"/>
    <w:rsid w:val="000323E5"/>
    <w:rsid w:val="00033886"/>
    <w:rsid w:val="00033AC8"/>
    <w:rsid w:val="000355B1"/>
    <w:rsid w:val="00035C99"/>
    <w:rsid w:val="00035E50"/>
    <w:rsid w:val="000410EF"/>
    <w:rsid w:val="0004405F"/>
    <w:rsid w:val="00045952"/>
    <w:rsid w:val="00047D1C"/>
    <w:rsid w:val="000524FE"/>
    <w:rsid w:val="000526B8"/>
    <w:rsid w:val="000536EE"/>
    <w:rsid w:val="000555EC"/>
    <w:rsid w:val="000558DC"/>
    <w:rsid w:val="00057795"/>
    <w:rsid w:val="00061B46"/>
    <w:rsid w:val="00061DA7"/>
    <w:rsid w:val="000622E3"/>
    <w:rsid w:val="00071214"/>
    <w:rsid w:val="00071B0F"/>
    <w:rsid w:val="0007661F"/>
    <w:rsid w:val="00076949"/>
    <w:rsid w:val="00077047"/>
    <w:rsid w:val="000811DE"/>
    <w:rsid w:val="00083FD5"/>
    <w:rsid w:val="00084CE5"/>
    <w:rsid w:val="0008615F"/>
    <w:rsid w:val="00087F36"/>
    <w:rsid w:val="00090C27"/>
    <w:rsid w:val="000915DD"/>
    <w:rsid w:val="0009281C"/>
    <w:rsid w:val="00092E15"/>
    <w:rsid w:val="00093639"/>
    <w:rsid w:val="000A2B84"/>
    <w:rsid w:val="000A4527"/>
    <w:rsid w:val="000A5816"/>
    <w:rsid w:val="000A66BC"/>
    <w:rsid w:val="000A7469"/>
    <w:rsid w:val="000A795D"/>
    <w:rsid w:val="000A7E20"/>
    <w:rsid w:val="000B0923"/>
    <w:rsid w:val="000B168F"/>
    <w:rsid w:val="000B2DE0"/>
    <w:rsid w:val="000B32A1"/>
    <w:rsid w:val="000B3F50"/>
    <w:rsid w:val="000B66B5"/>
    <w:rsid w:val="000C13C2"/>
    <w:rsid w:val="000C17A9"/>
    <w:rsid w:val="000C1BA0"/>
    <w:rsid w:val="000C1E4C"/>
    <w:rsid w:val="000C34DC"/>
    <w:rsid w:val="000C3FF9"/>
    <w:rsid w:val="000C4250"/>
    <w:rsid w:val="000C452E"/>
    <w:rsid w:val="000C5CBC"/>
    <w:rsid w:val="000C667F"/>
    <w:rsid w:val="000C77C9"/>
    <w:rsid w:val="000D085D"/>
    <w:rsid w:val="000D10E6"/>
    <w:rsid w:val="000D193D"/>
    <w:rsid w:val="000D2085"/>
    <w:rsid w:val="000D2822"/>
    <w:rsid w:val="000D32F4"/>
    <w:rsid w:val="000D587D"/>
    <w:rsid w:val="000D6D3F"/>
    <w:rsid w:val="000E06DB"/>
    <w:rsid w:val="000E46FE"/>
    <w:rsid w:val="000E4B04"/>
    <w:rsid w:val="000E5A6D"/>
    <w:rsid w:val="000E5D03"/>
    <w:rsid w:val="000E637C"/>
    <w:rsid w:val="000E65FA"/>
    <w:rsid w:val="000E6B8F"/>
    <w:rsid w:val="000F0DB6"/>
    <w:rsid w:val="000F1518"/>
    <w:rsid w:val="000F2CEF"/>
    <w:rsid w:val="000F3041"/>
    <w:rsid w:val="000F520F"/>
    <w:rsid w:val="000F6368"/>
    <w:rsid w:val="000F7312"/>
    <w:rsid w:val="001009F4"/>
    <w:rsid w:val="00100CB7"/>
    <w:rsid w:val="00102F7B"/>
    <w:rsid w:val="00103CA3"/>
    <w:rsid w:val="00104C71"/>
    <w:rsid w:val="001076AC"/>
    <w:rsid w:val="00110001"/>
    <w:rsid w:val="00110C02"/>
    <w:rsid w:val="00112518"/>
    <w:rsid w:val="00115222"/>
    <w:rsid w:val="00115C0D"/>
    <w:rsid w:val="00116099"/>
    <w:rsid w:val="00116DAB"/>
    <w:rsid w:val="00123976"/>
    <w:rsid w:val="00125921"/>
    <w:rsid w:val="00125AA2"/>
    <w:rsid w:val="00125F64"/>
    <w:rsid w:val="00126BE7"/>
    <w:rsid w:val="00126DD6"/>
    <w:rsid w:val="00127F2C"/>
    <w:rsid w:val="0013093F"/>
    <w:rsid w:val="00132679"/>
    <w:rsid w:val="00136F0C"/>
    <w:rsid w:val="0013700D"/>
    <w:rsid w:val="001374B7"/>
    <w:rsid w:val="0014075D"/>
    <w:rsid w:val="001465BF"/>
    <w:rsid w:val="00147454"/>
    <w:rsid w:val="00151259"/>
    <w:rsid w:val="00152307"/>
    <w:rsid w:val="0015489F"/>
    <w:rsid w:val="0016279E"/>
    <w:rsid w:val="001641F8"/>
    <w:rsid w:val="00165A56"/>
    <w:rsid w:val="00171E17"/>
    <w:rsid w:val="00172713"/>
    <w:rsid w:val="00172874"/>
    <w:rsid w:val="0017295A"/>
    <w:rsid w:val="00173373"/>
    <w:rsid w:val="00173869"/>
    <w:rsid w:val="00173DE6"/>
    <w:rsid w:val="00174094"/>
    <w:rsid w:val="00176180"/>
    <w:rsid w:val="001778B3"/>
    <w:rsid w:val="00180F50"/>
    <w:rsid w:val="00181036"/>
    <w:rsid w:val="00183C0B"/>
    <w:rsid w:val="00187C16"/>
    <w:rsid w:val="00187ED5"/>
    <w:rsid w:val="00187EDF"/>
    <w:rsid w:val="00191FDD"/>
    <w:rsid w:val="00192579"/>
    <w:rsid w:val="00192C3D"/>
    <w:rsid w:val="00195C9E"/>
    <w:rsid w:val="001960E1"/>
    <w:rsid w:val="00196391"/>
    <w:rsid w:val="00197600"/>
    <w:rsid w:val="001A18C9"/>
    <w:rsid w:val="001A2256"/>
    <w:rsid w:val="001A2A7C"/>
    <w:rsid w:val="001A2CD8"/>
    <w:rsid w:val="001A3AD9"/>
    <w:rsid w:val="001A7218"/>
    <w:rsid w:val="001A7268"/>
    <w:rsid w:val="001B21A3"/>
    <w:rsid w:val="001B4BCC"/>
    <w:rsid w:val="001B4E12"/>
    <w:rsid w:val="001B617A"/>
    <w:rsid w:val="001B7F15"/>
    <w:rsid w:val="001C0A2D"/>
    <w:rsid w:val="001C1B64"/>
    <w:rsid w:val="001C3C91"/>
    <w:rsid w:val="001C43D2"/>
    <w:rsid w:val="001D195C"/>
    <w:rsid w:val="001D5188"/>
    <w:rsid w:val="001E1C4D"/>
    <w:rsid w:val="001E1FC7"/>
    <w:rsid w:val="001E2105"/>
    <w:rsid w:val="001E3534"/>
    <w:rsid w:val="001E37E8"/>
    <w:rsid w:val="001E5296"/>
    <w:rsid w:val="001E5F44"/>
    <w:rsid w:val="001E700D"/>
    <w:rsid w:val="001F329A"/>
    <w:rsid w:val="001F3992"/>
    <w:rsid w:val="001F3DB5"/>
    <w:rsid w:val="001F433D"/>
    <w:rsid w:val="001F7E94"/>
    <w:rsid w:val="0020084A"/>
    <w:rsid w:val="00205181"/>
    <w:rsid w:val="00205768"/>
    <w:rsid w:val="002064D8"/>
    <w:rsid w:val="002071F2"/>
    <w:rsid w:val="00207EE5"/>
    <w:rsid w:val="0021354B"/>
    <w:rsid w:val="00213D20"/>
    <w:rsid w:val="00215633"/>
    <w:rsid w:val="00220073"/>
    <w:rsid w:val="002205E1"/>
    <w:rsid w:val="0022703E"/>
    <w:rsid w:val="00235986"/>
    <w:rsid w:val="00236F52"/>
    <w:rsid w:val="00240F1A"/>
    <w:rsid w:val="00241008"/>
    <w:rsid w:val="002419C7"/>
    <w:rsid w:val="002448C6"/>
    <w:rsid w:val="002449DF"/>
    <w:rsid w:val="00247652"/>
    <w:rsid w:val="00247B4B"/>
    <w:rsid w:val="00247B77"/>
    <w:rsid w:val="00250F13"/>
    <w:rsid w:val="00251DD6"/>
    <w:rsid w:val="00252973"/>
    <w:rsid w:val="00252C09"/>
    <w:rsid w:val="002531F5"/>
    <w:rsid w:val="00253716"/>
    <w:rsid w:val="00253BBA"/>
    <w:rsid w:val="00255E16"/>
    <w:rsid w:val="00256861"/>
    <w:rsid w:val="00256914"/>
    <w:rsid w:val="002571ED"/>
    <w:rsid w:val="00257D70"/>
    <w:rsid w:val="00263545"/>
    <w:rsid w:val="00263FC6"/>
    <w:rsid w:val="002642B9"/>
    <w:rsid w:val="00270547"/>
    <w:rsid w:val="00270DEA"/>
    <w:rsid w:val="0027156A"/>
    <w:rsid w:val="00272391"/>
    <w:rsid w:val="00275C54"/>
    <w:rsid w:val="002806F5"/>
    <w:rsid w:val="00280EFE"/>
    <w:rsid w:val="00282224"/>
    <w:rsid w:val="00282264"/>
    <w:rsid w:val="00282C7D"/>
    <w:rsid w:val="00283809"/>
    <w:rsid w:val="00291301"/>
    <w:rsid w:val="002923C7"/>
    <w:rsid w:val="00292EFE"/>
    <w:rsid w:val="00292FFE"/>
    <w:rsid w:val="002933D0"/>
    <w:rsid w:val="00293F15"/>
    <w:rsid w:val="002A166C"/>
    <w:rsid w:val="002A1A3E"/>
    <w:rsid w:val="002A4347"/>
    <w:rsid w:val="002B0597"/>
    <w:rsid w:val="002B067E"/>
    <w:rsid w:val="002B1318"/>
    <w:rsid w:val="002B30F7"/>
    <w:rsid w:val="002B3EAC"/>
    <w:rsid w:val="002B62BB"/>
    <w:rsid w:val="002B67B3"/>
    <w:rsid w:val="002C13EA"/>
    <w:rsid w:val="002C269A"/>
    <w:rsid w:val="002C3D94"/>
    <w:rsid w:val="002C4979"/>
    <w:rsid w:val="002C59B7"/>
    <w:rsid w:val="002C6D94"/>
    <w:rsid w:val="002D3275"/>
    <w:rsid w:val="002D3D0D"/>
    <w:rsid w:val="002D3F32"/>
    <w:rsid w:val="002E11A7"/>
    <w:rsid w:val="002E303B"/>
    <w:rsid w:val="002E4D53"/>
    <w:rsid w:val="002E5264"/>
    <w:rsid w:val="002F14B5"/>
    <w:rsid w:val="002F1D9F"/>
    <w:rsid w:val="002F317D"/>
    <w:rsid w:val="002F31CD"/>
    <w:rsid w:val="002F4A89"/>
    <w:rsid w:val="002F74FE"/>
    <w:rsid w:val="00300B4F"/>
    <w:rsid w:val="00300DF7"/>
    <w:rsid w:val="00302061"/>
    <w:rsid w:val="00302109"/>
    <w:rsid w:val="00302ECA"/>
    <w:rsid w:val="00302EFA"/>
    <w:rsid w:val="00303B74"/>
    <w:rsid w:val="00303F62"/>
    <w:rsid w:val="00305276"/>
    <w:rsid w:val="00305DEE"/>
    <w:rsid w:val="00311137"/>
    <w:rsid w:val="0031163F"/>
    <w:rsid w:val="00312058"/>
    <w:rsid w:val="0031223D"/>
    <w:rsid w:val="0031587F"/>
    <w:rsid w:val="0031692F"/>
    <w:rsid w:val="0032096C"/>
    <w:rsid w:val="00320DFA"/>
    <w:rsid w:val="00321FA1"/>
    <w:rsid w:val="00324F5D"/>
    <w:rsid w:val="003253D3"/>
    <w:rsid w:val="00325C2C"/>
    <w:rsid w:val="00326D4C"/>
    <w:rsid w:val="00327CF5"/>
    <w:rsid w:val="00331603"/>
    <w:rsid w:val="003335CC"/>
    <w:rsid w:val="0033402D"/>
    <w:rsid w:val="00337811"/>
    <w:rsid w:val="003416A5"/>
    <w:rsid w:val="00342D1E"/>
    <w:rsid w:val="0034364F"/>
    <w:rsid w:val="003520ED"/>
    <w:rsid w:val="00352AB1"/>
    <w:rsid w:val="00353D40"/>
    <w:rsid w:val="00353FD8"/>
    <w:rsid w:val="00357C15"/>
    <w:rsid w:val="003613AF"/>
    <w:rsid w:val="00364D8E"/>
    <w:rsid w:val="00365F0D"/>
    <w:rsid w:val="00367116"/>
    <w:rsid w:val="0037247C"/>
    <w:rsid w:val="003767ED"/>
    <w:rsid w:val="00377E01"/>
    <w:rsid w:val="00377FD4"/>
    <w:rsid w:val="00382C6E"/>
    <w:rsid w:val="0038441F"/>
    <w:rsid w:val="0038473A"/>
    <w:rsid w:val="003859F6"/>
    <w:rsid w:val="003862CE"/>
    <w:rsid w:val="00386CD5"/>
    <w:rsid w:val="00393D66"/>
    <w:rsid w:val="003941AF"/>
    <w:rsid w:val="003950F8"/>
    <w:rsid w:val="00395D61"/>
    <w:rsid w:val="00397036"/>
    <w:rsid w:val="0039784B"/>
    <w:rsid w:val="003A3CCB"/>
    <w:rsid w:val="003A3F4C"/>
    <w:rsid w:val="003A60D4"/>
    <w:rsid w:val="003A733E"/>
    <w:rsid w:val="003A779A"/>
    <w:rsid w:val="003B0E1E"/>
    <w:rsid w:val="003B10B2"/>
    <w:rsid w:val="003B21F9"/>
    <w:rsid w:val="003B23F9"/>
    <w:rsid w:val="003B335C"/>
    <w:rsid w:val="003B3CCB"/>
    <w:rsid w:val="003B4678"/>
    <w:rsid w:val="003B5F63"/>
    <w:rsid w:val="003B6D74"/>
    <w:rsid w:val="003C1250"/>
    <w:rsid w:val="003D0705"/>
    <w:rsid w:val="003D0B18"/>
    <w:rsid w:val="003D11FB"/>
    <w:rsid w:val="003D1F48"/>
    <w:rsid w:val="003D48AD"/>
    <w:rsid w:val="003D49C7"/>
    <w:rsid w:val="003E0D25"/>
    <w:rsid w:val="003E24C3"/>
    <w:rsid w:val="003E25E2"/>
    <w:rsid w:val="003E4A46"/>
    <w:rsid w:val="003E4EF3"/>
    <w:rsid w:val="003E4F09"/>
    <w:rsid w:val="003E5F1F"/>
    <w:rsid w:val="003E6426"/>
    <w:rsid w:val="003E6EDB"/>
    <w:rsid w:val="003E77AF"/>
    <w:rsid w:val="003E7FC5"/>
    <w:rsid w:val="003F04D1"/>
    <w:rsid w:val="003F183E"/>
    <w:rsid w:val="003F298C"/>
    <w:rsid w:val="003F39A0"/>
    <w:rsid w:val="003F5BE3"/>
    <w:rsid w:val="004005B6"/>
    <w:rsid w:val="004020BC"/>
    <w:rsid w:val="00402D26"/>
    <w:rsid w:val="00404A72"/>
    <w:rsid w:val="00404F7E"/>
    <w:rsid w:val="00405A8E"/>
    <w:rsid w:val="0040704F"/>
    <w:rsid w:val="004101EF"/>
    <w:rsid w:val="004126D1"/>
    <w:rsid w:val="00412ECC"/>
    <w:rsid w:val="00412EE2"/>
    <w:rsid w:val="004158B2"/>
    <w:rsid w:val="0041611E"/>
    <w:rsid w:val="0041699A"/>
    <w:rsid w:val="004213A3"/>
    <w:rsid w:val="00421B6E"/>
    <w:rsid w:val="00421E3D"/>
    <w:rsid w:val="00423873"/>
    <w:rsid w:val="00423ECB"/>
    <w:rsid w:val="00424C71"/>
    <w:rsid w:val="004266E8"/>
    <w:rsid w:val="0042699C"/>
    <w:rsid w:val="004275AA"/>
    <w:rsid w:val="00427DCF"/>
    <w:rsid w:val="0043155D"/>
    <w:rsid w:val="00432490"/>
    <w:rsid w:val="00434F20"/>
    <w:rsid w:val="00435F99"/>
    <w:rsid w:val="004364DD"/>
    <w:rsid w:val="00440D60"/>
    <w:rsid w:val="00442E49"/>
    <w:rsid w:val="004432F6"/>
    <w:rsid w:val="0044366A"/>
    <w:rsid w:val="0044517E"/>
    <w:rsid w:val="00446DBA"/>
    <w:rsid w:val="00446DDF"/>
    <w:rsid w:val="00447A86"/>
    <w:rsid w:val="00450945"/>
    <w:rsid w:val="00451D49"/>
    <w:rsid w:val="00452362"/>
    <w:rsid w:val="004532A3"/>
    <w:rsid w:val="0045405D"/>
    <w:rsid w:val="004555AB"/>
    <w:rsid w:val="00456E57"/>
    <w:rsid w:val="0046382D"/>
    <w:rsid w:val="00465EC4"/>
    <w:rsid w:val="00466A71"/>
    <w:rsid w:val="00467614"/>
    <w:rsid w:val="00467C61"/>
    <w:rsid w:val="004708DA"/>
    <w:rsid w:val="004727C4"/>
    <w:rsid w:val="00473A16"/>
    <w:rsid w:val="00473F75"/>
    <w:rsid w:val="0047519D"/>
    <w:rsid w:val="00475917"/>
    <w:rsid w:val="00476519"/>
    <w:rsid w:val="004766CE"/>
    <w:rsid w:val="004768FD"/>
    <w:rsid w:val="004803CE"/>
    <w:rsid w:val="00480603"/>
    <w:rsid w:val="004831D9"/>
    <w:rsid w:val="00483B37"/>
    <w:rsid w:val="00487841"/>
    <w:rsid w:val="00487D5A"/>
    <w:rsid w:val="00493372"/>
    <w:rsid w:val="00495176"/>
    <w:rsid w:val="00495418"/>
    <w:rsid w:val="004A2451"/>
    <w:rsid w:val="004A250B"/>
    <w:rsid w:val="004A2E69"/>
    <w:rsid w:val="004A313F"/>
    <w:rsid w:val="004A68A6"/>
    <w:rsid w:val="004B010E"/>
    <w:rsid w:val="004B064A"/>
    <w:rsid w:val="004B0C12"/>
    <w:rsid w:val="004B0C4A"/>
    <w:rsid w:val="004B16E6"/>
    <w:rsid w:val="004B21FC"/>
    <w:rsid w:val="004B31D9"/>
    <w:rsid w:val="004B3461"/>
    <w:rsid w:val="004B379F"/>
    <w:rsid w:val="004B4496"/>
    <w:rsid w:val="004B457B"/>
    <w:rsid w:val="004B53FD"/>
    <w:rsid w:val="004C0069"/>
    <w:rsid w:val="004C19AD"/>
    <w:rsid w:val="004C1E8C"/>
    <w:rsid w:val="004C3DAA"/>
    <w:rsid w:val="004C4136"/>
    <w:rsid w:val="004C6BB5"/>
    <w:rsid w:val="004D1189"/>
    <w:rsid w:val="004D176E"/>
    <w:rsid w:val="004D1863"/>
    <w:rsid w:val="004D266B"/>
    <w:rsid w:val="004D7678"/>
    <w:rsid w:val="004E0A3F"/>
    <w:rsid w:val="004E1578"/>
    <w:rsid w:val="004E17FE"/>
    <w:rsid w:val="004E2911"/>
    <w:rsid w:val="004E3756"/>
    <w:rsid w:val="004E57AA"/>
    <w:rsid w:val="004E6F11"/>
    <w:rsid w:val="004F10C7"/>
    <w:rsid w:val="004F5CE4"/>
    <w:rsid w:val="004F62C6"/>
    <w:rsid w:val="004F697A"/>
    <w:rsid w:val="004F787A"/>
    <w:rsid w:val="0050026D"/>
    <w:rsid w:val="00500C79"/>
    <w:rsid w:val="005015B5"/>
    <w:rsid w:val="00505678"/>
    <w:rsid w:val="005057ED"/>
    <w:rsid w:val="00506698"/>
    <w:rsid w:val="00507536"/>
    <w:rsid w:val="0051014D"/>
    <w:rsid w:val="00510BE6"/>
    <w:rsid w:val="00511087"/>
    <w:rsid w:val="005117BB"/>
    <w:rsid w:val="00515C55"/>
    <w:rsid w:val="005201C5"/>
    <w:rsid w:val="005207E0"/>
    <w:rsid w:val="0052120E"/>
    <w:rsid w:val="00522BF6"/>
    <w:rsid w:val="00523234"/>
    <w:rsid w:val="005239D5"/>
    <w:rsid w:val="005260C3"/>
    <w:rsid w:val="00527EF5"/>
    <w:rsid w:val="0053025C"/>
    <w:rsid w:val="00530544"/>
    <w:rsid w:val="00532FB9"/>
    <w:rsid w:val="00534338"/>
    <w:rsid w:val="00536E9F"/>
    <w:rsid w:val="005402FD"/>
    <w:rsid w:val="00540475"/>
    <w:rsid w:val="005408F9"/>
    <w:rsid w:val="00541A8D"/>
    <w:rsid w:val="00542B12"/>
    <w:rsid w:val="005447AA"/>
    <w:rsid w:val="00550F88"/>
    <w:rsid w:val="00551266"/>
    <w:rsid w:val="0055247F"/>
    <w:rsid w:val="00553239"/>
    <w:rsid w:val="005536E9"/>
    <w:rsid w:val="00565373"/>
    <w:rsid w:val="00567A9C"/>
    <w:rsid w:val="0057036D"/>
    <w:rsid w:val="00570A88"/>
    <w:rsid w:val="005721B0"/>
    <w:rsid w:val="00572A39"/>
    <w:rsid w:val="0057378B"/>
    <w:rsid w:val="005806EF"/>
    <w:rsid w:val="00582399"/>
    <w:rsid w:val="00584375"/>
    <w:rsid w:val="005843A5"/>
    <w:rsid w:val="005853E6"/>
    <w:rsid w:val="00585D5F"/>
    <w:rsid w:val="00586927"/>
    <w:rsid w:val="005911E5"/>
    <w:rsid w:val="005942F0"/>
    <w:rsid w:val="00595240"/>
    <w:rsid w:val="0059754A"/>
    <w:rsid w:val="005A1101"/>
    <w:rsid w:val="005A1967"/>
    <w:rsid w:val="005A70D2"/>
    <w:rsid w:val="005B0063"/>
    <w:rsid w:val="005B2DF7"/>
    <w:rsid w:val="005B3971"/>
    <w:rsid w:val="005B3D60"/>
    <w:rsid w:val="005C118D"/>
    <w:rsid w:val="005C389C"/>
    <w:rsid w:val="005C5904"/>
    <w:rsid w:val="005C5C89"/>
    <w:rsid w:val="005C72ED"/>
    <w:rsid w:val="005C7FE9"/>
    <w:rsid w:val="005D1728"/>
    <w:rsid w:val="005D2CC9"/>
    <w:rsid w:val="005D471A"/>
    <w:rsid w:val="005D4943"/>
    <w:rsid w:val="005D5D57"/>
    <w:rsid w:val="005D60F8"/>
    <w:rsid w:val="005E33FF"/>
    <w:rsid w:val="005E378A"/>
    <w:rsid w:val="005E3D55"/>
    <w:rsid w:val="005E56AC"/>
    <w:rsid w:val="005E5DB2"/>
    <w:rsid w:val="005E782A"/>
    <w:rsid w:val="005F2942"/>
    <w:rsid w:val="005F3647"/>
    <w:rsid w:val="005F36B4"/>
    <w:rsid w:val="005F3816"/>
    <w:rsid w:val="005F3ABE"/>
    <w:rsid w:val="005F3F34"/>
    <w:rsid w:val="005F40CB"/>
    <w:rsid w:val="005F44F3"/>
    <w:rsid w:val="005F6CD0"/>
    <w:rsid w:val="0060247F"/>
    <w:rsid w:val="006024E8"/>
    <w:rsid w:val="00603343"/>
    <w:rsid w:val="00604025"/>
    <w:rsid w:val="00604D5B"/>
    <w:rsid w:val="0060658A"/>
    <w:rsid w:val="00613307"/>
    <w:rsid w:val="0061397F"/>
    <w:rsid w:val="00614363"/>
    <w:rsid w:val="00614D37"/>
    <w:rsid w:val="00616E63"/>
    <w:rsid w:val="00616E98"/>
    <w:rsid w:val="00622FD7"/>
    <w:rsid w:val="00624732"/>
    <w:rsid w:val="00624E45"/>
    <w:rsid w:val="00625880"/>
    <w:rsid w:val="0062797F"/>
    <w:rsid w:val="00627992"/>
    <w:rsid w:val="00627A88"/>
    <w:rsid w:val="00632010"/>
    <w:rsid w:val="0063205E"/>
    <w:rsid w:val="00632E77"/>
    <w:rsid w:val="00633A55"/>
    <w:rsid w:val="00634A1A"/>
    <w:rsid w:val="0063697D"/>
    <w:rsid w:val="00637D3C"/>
    <w:rsid w:val="006423B5"/>
    <w:rsid w:val="0064294B"/>
    <w:rsid w:val="006432D6"/>
    <w:rsid w:val="00645559"/>
    <w:rsid w:val="00645672"/>
    <w:rsid w:val="00645C2E"/>
    <w:rsid w:val="00646A84"/>
    <w:rsid w:val="00647916"/>
    <w:rsid w:val="0065016F"/>
    <w:rsid w:val="00650DA6"/>
    <w:rsid w:val="00651A76"/>
    <w:rsid w:val="00653F7A"/>
    <w:rsid w:val="00653FD6"/>
    <w:rsid w:val="00654B22"/>
    <w:rsid w:val="00655CD8"/>
    <w:rsid w:val="00656EEB"/>
    <w:rsid w:val="00657D28"/>
    <w:rsid w:val="006607A0"/>
    <w:rsid w:val="006608ED"/>
    <w:rsid w:val="00662231"/>
    <w:rsid w:val="00662788"/>
    <w:rsid w:val="006627A6"/>
    <w:rsid w:val="0066373D"/>
    <w:rsid w:val="00664428"/>
    <w:rsid w:val="00666EA8"/>
    <w:rsid w:val="00670459"/>
    <w:rsid w:val="00672217"/>
    <w:rsid w:val="006726DA"/>
    <w:rsid w:val="0067580E"/>
    <w:rsid w:val="00680EF8"/>
    <w:rsid w:val="00684393"/>
    <w:rsid w:val="0068583F"/>
    <w:rsid w:val="006916CF"/>
    <w:rsid w:val="00691BC2"/>
    <w:rsid w:val="006920CC"/>
    <w:rsid w:val="00695EF7"/>
    <w:rsid w:val="006967F6"/>
    <w:rsid w:val="0069778E"/>
    <w:rsid w:val="006A0848"/>
    <w:rsid w:val="006A12BE"/>
    <w:rsid w:val="006A3B88"/>
    <w:rsid w:val="006A49ED"/>
    <w:rsid w:val="006A5084"/>
    <w:rsid w:val="006A56CF"/>
    <w:rsid w:val="006B1616"/>
    <w:rsid w:val="006B4A6B"/>
    <w:rsid w:val="006B4AD5"/>
    <w:rsid w:val="006B5416"/>
    <w:rsid w:val="006B68A4"/>
    <w:rsid w:val="006B6DB2"/>
    <w:rsid w:val="006C3302"/>
    <w:rsid w:val="006C46AD"/>
    <w:rsid w:val="006C5722"/>
    <w:rsid w:val="006C5757"/>
    <w:rsid w:val="006C67CA"/>
    <w:rsid w:val="006C6B6F"/>
    <w:rsid w:val="006D053F"/>
    <w:rsid w:val="006D2669"/>
    <w:rsid w:val="006D2BD2"/>
    <w:rsid w:val="006D42D0"/>
    <w:rsid w:val="006D449B"/>
    <w:rsid w:val="006D7416"/>
    <w:rsid w:val="006E0315"/>
    <w:rsid w:val="006E2C1A"/>
    <w:rsid w:val="006E3DCF"/>
    <w:rsid w:val="006E42B1"/>
    <w:rsid w:val="006E5676"/>
    <w:rsid w:val="006E6915"/>
    <w:rsid w:val="006E7B5F"/>
    <w:rsid w:val="006F00B8"/>
    <w:rsid w:val="006F1216"/>
    <w:rsid w:val="006F2BAC"/>
    <w:rsid w:val="006F4B7E"/>
    <w:rsid w:val="006F5244"/>
    <w:rsid w:val="006F67D0"/>
    <w:rsid w:val="006F7A74"/>
    <w:rsid w:val="007001FE"/>
    <w:rsid w:val="00700347"/>
    <w:rsid w:val="007015B3"/>
    <w:rsid w:val="007020A1"/>
    <w:rsid w:val="007020AA"/>
    <w:rsid w:val="007023C4"/>
    <w:rsid w:val="007030C2"/>
    <w:rsid w:val="0070596B"/>
    <w:rsid w:val="00705E96"/>
    <w:rsid w:val="00711E2E"/>
    <w:rsid w:val="00712405"/>
    <w:rsid w:val="007127A6"/>
    <w:rsid w:val="00713F95"/>
    <w:rsid w:val="007146B8"/>
    <w:rsid w:val="0071778B"/>
    <w:rsid w:val="00717F9B"/>
    <w:rsid w:val="007274BB"/>
    <w:rsid w:val="00731503"/>
    <w:rsid w:val="007360D5"/>
    <w:rsid w:val="00737A86"/>
    <w:rsid w:val="007408DF"/>
    <w:rsid w:val="00742168"/>
    <w:rsid w:val="00742ED3"/>
    <w:rsid w:val="00744F34"/>
    <w:rsid w:val="007451B3"/>
    <w:rsid w:val="00745725"/>
    <w:rsid w:val="0074735F"/>
    <w:rsid w:val="007503AC"/>
    <w:rsid w:val="00751F12"/>
    <w:rsid w:val="007525B3"/>
    <w:rsid w:val="00753360"/>
    <w:rsid w:val="00757879"/>
    <w:rsid w:val="00764199"/>
    <w:rsid w:val="00764595"/>
    <w:rsid w:val="00765BD2"/>
    <w:rsid w:val="00766929"/>
    <w:rsid w:val="00766B8D"/>
    <w:rsid w:val="00766DE6"/>
    <w:rsid w:val="00767B9B"/>
    <w:rsid w:val="007719B9"/>
    <w:rsid w:val="0077661F"/>
    <w:rsid w:val="00776BB3"/>
    <w:rsid w:val="00776DC0"/>
    <w:rsid w:val="00777ADC"/>
    <w:rsid w:val="00777BC9"/>
    <w:rsid w:val="0078000B"/>
    <w:rsid w:val="00784292"/>
    <w:rsid w:val="0078525F"/>
    <w:rsid w:val="00786F77"/>
    <w:rsid w:val="007877B5"/>
    <w:rsid w:val="00792318"/>
    <w:rsid w:val="007934C1"/>
    <w:rsid w:val="00796293"/>
    <w:rsid w:val="00797DCE"/>
    <w:rsid w:val="007A022C"/>
    <w:rsid w:val="007A024A"/>
    <w:rsid w:val="007A08BC"/>
    <w:rsid w:val="007A1A4D"/>
    <w:rsid w:val="007A281B"/>
    <w:rsid w:val="007A4355"/>
    <w:rsid w:val="007A5F3C"/>
    <w:rsid w:val="007B0254"/>
    <w:rsid w:val="007B1693"/>
    <w:rsid w:val="007B19C8"/>
    <w:rsid w:val="007B1EF4"/>
    <w:rsid w:val="007B34DA"/>
    <w:rsid w:val="007B4347"/>
    <w:rsid w:val="007B47E1"/>
    <w:rsid w:val="007B4F7A"/>
    <w:rsid w:val="007B5299"/>
    <w:rsid w:val="007B5489"/>
    <w:rsid w:val="007B6540"/>
    <w:rsid w:val="007C1278"/>
    <w:rsid w:val="007C5AF1"/>
    <w:rsid w:val="007C65D5"/>
    <w:rsid w:val="007C71E5"/>
    <w:rsid w:val="007D0426"/>
    <w:rsid w:val="007D1BFE"/>
    <w:rsid w:val="007D2180"/>
    <w:rsid w:val="007D26E1"/>
    <w:rsid w:val="007D3EE7"/>
    <w:rsid w:val="007D4662"/>
    <w:rsid w:val="007D6242"/>
    <w:rsid w:val="007E451E"/>
    <w:rsid w:val="007E6094"/>
    <w:rsid w:val="007E6B23"/>
    <w:rsid w:val="007E710A"/>
    <w:rsid w:val="007F2205"/>
    <w:rsid w:val="007F32DB"/>
    <w:rsid w:val="007F3E6C"/>
    <w:rsid w:val="007F46FB"/>
    <w:rsid w:val="007F63A8"/>
    <w:rsid w:val="007F645F"/>
    <w:rsid w:val="007F6A60"/>
    <w:rsid w:val="007F7942"/>
    <w:rsid w:val="00800FF1"/>
    <w:rsid w:val="00801903"/>
    <w:rsid w:val="008073A0"/>
    <w:rsid w:val="00807C3A"/>
    <w:rsid w:val="00807FD6"/>
    <w:rsid w:val="00811820"/>
    <w:rsid w:val="008119F3"/>
    <w:rsid w:val="008154C0"/>
    <w:rsid w:val="0081599A"/>
    <w:rsid w:val="00817530"/>
    <w:rsid w:val="00817595"/>
    <w:rsid w:val="00821A32"/>
    <w:rsid w:val="00824EA6"/>
    <w:rsid w:val="008251FA"/>
    <w:rsid w:val="00827113"/>
    <w:rsid w:val="00830897"/>
    <w:rsid w:val="00830932"/>
    <w:rsid w:val="008330E4"/>
    <w:rsid w:val="0083369B"/>
    <w:rsid w:val="008366A6"/>
    <w:rsid w:val="00837EEE"/>
    <w:rsid w:val="00840374"/>
    <w:rsid w:val="008421FB"/>
    <w:rsid w:val="00842485"/>
    <w:rsid w:val="00843AF5"/>
    <w:rsid w:val="00844EBB"/>
    <w:rsid w:val="0084650A"/>
    <w:rsid w:val="00846C11"/>
    <w:rsid w:val="00846C34"/>
    <w:rsid w:val="00850E9C"/>
    <w:rsid w:val="0085128E"/>
    <w:rsid w:val="008530E9"/>
    <w:rsid w:val="00853AEA"/>
    <w:rsid w:val="0085793D"/>
    <w:rsid w:val="00860A09"/>
    <w:rsid w:val="00860A25"/>
    <w:rsid w:val="00861543"/>
    <w:rsid w:val="00861B54"/>
    <w:rsid w:val="00862676"/>
    <w:rsid w:val="008638C8"/>
    <w:rsid w:val="00865734"/>
    <w:rsid w:val="008661F0"/>
    <w:rsid w:val="00870057"/>
    <w:rsid w:val="008702A7"/>
    <w:rsid w:val="0087058D"/>
    <w:rsid w:val="00871259"/>
    <w:rsid w:val="00871C84"/>
    <w:rsid w:val="008721BD"/>
    <w:rsid w:val="008732C3"/>
    <w:rsid w:val="008745DE"/>
    <w:rsid w:val="00874DDD"/>
    <w:rsid w:val="00875E0D"/>
    <w:rsid w:val="0087631E"/>
    <w:rsid w:val="008766EB"/>
    <w:rsid w:val="008773E1"/>
    <w:rsid w:val="00881010"/>
    <w:rsid w:val="00882C2A"/>
    <w:rsid w:val="00884E03"/>
    <w:rsid w:val="0088532C"/>
    <w:rsid w:val="008863AC"/>
    <w:rsid w:val="00892478"/>
    <w:rsid w:val="008943E6"/>
    <w:rsid w:val="00896161"/>
    <w:rsid w:val="00896721"/>
    <w:rsid w:val="0089683A"/>
    <w:rsid w:val="00896B74"/>
    <w:rsid w:val="008A0533"/>
    <w:rsid w:val="008A15DF"/>
    <w:rsid w:val="008A34C8"/>
    <w:rsid w:val="008A4C00"/>
    <w:rsid w:val="008A63AB"/>
    <w:rsid w:val="008A6926"/>
    <w:rsid w:val="008A7737"/>
    <w:rsid w:val="008B097D"/>
    <w:rsid w:val="008B1634"/>
    <w:rsid w:val="008B2082"/>
    <w:rsid w:val="008B2115"/>
    <w:rsid w:val="008B351C"/>
    <w:rsid w:val="008B384F"/>
    <w:rsid w:val="008B5550"/>
    <w:rsid w:val="008B5914"/>
    <w:rsid w:val="008B69B5"/>
    <w:rsid w:val="008C44AC"/>
    <w:rsid w:val="008C577D"/>
    <w:rsid w:val="008C58A7"/>
    <w:rsid w:val="008C6A27"/>
    <w:rsid w:val="008C7059"/>
    <w:rsid w:val="008D3E28"/>
    <w:rsid w:val="008D4A34"/>
    <w:rsid w:val="008D4F59"/>
    <w:rsid w:val="008D5AC4"/>
    <w:rsid w:val="008D5FA5"/>
    <w:rsid w:val="008D7300"/>
    <w:rsid w:val="008E16B8"/>
    <w:rsid w:val="008E216B"/>
    <w:rsid w:val="008E39DB"/>
    <w:rsid w:val="008E48C4"/>
    <w:rsid w:val="008E5060"/>
    <w:rsid w:val="008E59DE"/>
    <w:rsid w:val="008F0A7B"/>
    <w:rsid w:val="008F1457"/>
    <w:rsid w:val="008F2B47"/>
    <w:rsid w:val="008F5247"/>
    <w:rsid w:val="008F60BD"/>
    <w:rsid w:val="00901AB9"/>
    <w:rsid w:val="00901E60"/>
    <w:rsid w:val="0090248C"/>
    <w:rsid w:val="009029AA"/>
    <w:rsid w:val="00904CD1"/>
    <w:rsid w:val="00907387"/>
    <w:rsid w:val="00907C59"/>
    <w:rsid w:val="009124F8"/>
    <w:rsid w:val="00916713"/>
    <w:rsid w:val="00916991"/>
    <w:rsid w:val="00917795"/>
    <w:rsid w:val="00920DAB"/>
    <w:rsid w:val="00922BA4"/>
    <w:rsid w:val="00922BD1"/>
    <w:rsid w:val="00923024"/>
    <w:rsid w:val="009242E5"/>
    <w:rsid w:val="00924552"/>
    <w:rsid w:val="00924856"/>
    <w:rsid w:val="00927F05"/>
    <w:rsid w:val="00931178"/>
    <w:rsid w:val="0093343F"/>
    <w:rsid w:val="00935370"/>
    <w:rsid w:val="009355EA"/>
    <w:rsid w:val="00935C54"/>
    <w:rsid w:val="00942702"/>
    <w:rsid w:val="00944157"/>
    <w:rsid w:val="00945499"/>
    <w:rsid w:val="009455AF"/>
    <w:rsid w:val="009457E6"/>
    <w:rsid w:val="009465DF"/>
    <w:rsid w:val="00962E1D"/>
    <w:rsid w:val="00963B5E"/>
    <w:rsid w:val="00971851"/>
    <w:rsid w:val="00971F3B"/>
    <w:rsid w:val="0097387D"/>
    <w:rsid w:val="0098097E"/>
    <w:rsid w:val="009814F3"/>
    <w:rsid w:val="00981C69"/>
    <w:rsid w:val="00983E5D"/>
    <w:rsid w:val="009902CB"/>
    <w:rsid w:val="00990DAD"/>
    <w:rsid w:val="00991464"/>
    <w:rsid w:val="00992622"/>
    <w:rsid w:val="00992ABE"/>
    <w:rsid w:val="00993AC9"/>
    <w:rsid w:val="00994F51"/>
    <w:rsid w:val="00996EC0"/>
    <w:rsid w:val="00997B2C"/>
    <w:rsid w:val="009A17C7"/>
    <w:rsid w:val="009A1E06"/>
    <w:rsid w:val="009A354D"/>
    <w:rsid w:val="009A398A"/>
    <w:rsid w:val="009A411E"/>
    <w:rsid w:val="009A414C"/>
    <w:rsid w:val="009A645F"/>
    <w:rsid w:val="009B0B7D"/>
    <w:rsid w:val="009B0E76"/>
    <w:rsid w:val="009B1BC2"/>
    <w:rsid w:val="009B7E5D"/>
    <w:rsid w:val="009C1552"/>
    <w:rsid w:val="009C15E4"/>
    <w:rsid w:val="009C1838"/>
    <w:rsid w:val="009C5620"/>
    <w:rsid w:val="009C66F1"/>
    <w:rsid w:val="009C684D"/>
    <w:rsid w:val="009C6BA2"/>
    <w:rsid w:val="009D04EB"/>
    <w:rsid w:val="009D0849"/>
    <w:rsid w:val="009D1153"/>
    <w:rsid w:val="009D132A"/>
    <w:rsid w:val="009D1D25"/>
    <w:rsid w:val="009D22AB"/>
    <w:rsid w:val="009D3D8A"/>
    <w:rsid w:val="009D40C1"/>
    <w:rsid w:val="009D5CB9"/>
    <w:rsid w:val="009D6044"/>
    <w:rsid w:val="009D66C7"/>
    <w:rsid w:val="009E1B3C"/>
    <w:rsid w:val="009E2090"/>
    <w:rsid w:val="009E20C3"/>
    <w:rsid w:val="009E27D7"/>
    <w:rsid w:val="009E55D7"/>
    <w:rsid w:val="009E5E72"/>
    <w:rsid w:val="009E648A"/>
    <w:rsid w:val="009E70CD"/>
    <w:rsid w:val="009E75B7"/>
    <w:rsid w:val="009F0C27"/>
    <w:rsid w:val="009F101F"/>
    <w:rsid w:val="009F1D16"/>
    <w:rsid w:val="009F1F3C"/>
    <w:rsid w:val="009F22CE"/>
    <w:rsid w:val="009F3F45"/>
    <w:rsid w:val="009F4493"/>
    <w:rsid w:val="009F4E74"/>
    <w:rsid w:val="009F6C5C"/>
    <w:rsid w:val="009F6D9A"/>
    <w:rsid w:val="00A000A0"/>
    <w:rsid w:val="00A004E2"/>
    <w:rsid w:val="00A01453"/>
    <w:rsid w:val="00A03035"/>
    <w:rsid w:val="00A03069"/>
    <w:rsid w:val="00A03A7D"/>
    <w:rsid w:val="00A03E14"/>
    <w:rsid w:val="00A056BD"/>
    <w:rsid w:val="00A05CAA"/>
    <w:rsid w:val="00A06AB4"/>
    <w:rsid w:val="00A077C6"/>
    <w:rsid w:val="00A10B2E"/>
    <w:rsid w:val="00A116DF"/>
    <w:rsid w:val="00A12D27"/>
    <w:rsid w:val="00A13019"/>
    <w:rsid w:val="00A135BB"/>
    <w:rsid w:val="00A1400B"/>
    <w:rsid w:val="00A16F75"/>
    <w:rsid w:val="00A17ABA"/>
    <w:rsid w:val="00A2152E"/>
    <w:rsid w:val="00A21A58"/>
    <w:rsid w:val="00A224FB"/>
    <w:rsid w:val="00A22920"/>
    <w:rsid w:val="00A22E2C"/>
    <w:rsid w:val="00A24049"/>
    <w:rsid w:val="00A25799"/>
    <w:rsid w:val="00A26C65"/>
    <w:rsid w:val="00A3114F"/>
    <w:rsid w:val="00A32697"/>
    <w:rsid w:val="00A3364B"/>
    <w:rsid w:val="00A352FE"/>
    <w:rsid w:val="00A37F92"/>
    <w:rsid w:val="00A402A9"/>
    <w:rsid w:val="00A426F0"/>
    <w:rsid w:val="00A45627"/>
    <w:rsid w:val="00A45CF3"/>
    <w:rsid w:val="00A46237"/>
    <w:rsid w:val="00A5040C"/>
    <w:rsid w:val="00A52E88"/>
    <w:rsid w:val="00A55139"/>
    <w:rsid w:val="00A553F6"/>
    <w:rsid w:val="00A5546C"/>
    <w:rsid w:val="00A56D76"/>
    <w:rsid w:val="00A5758B"/>
    <w:rsid w:val="00A60743"/>
    <w:rsid w:val="00A6150B"/>
    <w:rsid w:val="00A621CA"/>
    <w:rsid w:val="00A63C14"/>
    <w:rsid w:val="00A647A4"/>
    <w:rsid w:val="00A65F8B"/>
    <w:rsid w:val="00A66085"/>
    <w:rsid w:val="00A67145"/>
    <w:rsid w:val="00A6725B"/>
    <w:rsid w:val="00A70736"/>
    <w:rsid w:val="00A711E8"/>
    <w:rsid w:val="00A71E16"/>
    <w:rsid w:val="00A74793"/>
    <w:rsid w:val="00A81032"/>
    <w:rsid w:val="00A82281"/>
    <w:rsid w:val="00A82794"/>
    <w:rsid w:val="00A83788"/>
    <w:rsid w:val="00A8740C"/>
    <w:rsid w:val="00A87FD0"/>
    <w:rsid w:val="00A93B8E"/>
    <w:rsid w:val="00A950C2"/>
    <w:rsid w:val="00A97074"/>
    <w:rsid w:val="00A9746D"/>
    <w:rsid w:val="00AA2A5C"/>
    <w:rsid w:val="00AA3DD7"/>
    <w:rsid w:val="00AA4A40"/>
    <w:rsid w:val="00AA5CCD"/>
    <w:rsid w:val="00AA7A70"/>
    <w:rsid w:val="00AB20AA"/>
    <w:rsid w:val="00AB210D"/>
    <w:rsid w:val="00AB297E"/>
    <w:rsid w:val="00AB33B2"/>
    <w:rsid w:val="00AB4A04"/>
    <w:rsid w:val="00AB6335"/>
    <w:rsid w:val="00AB67CF"/>
    <w:rsid w:val="00AB799A"/>
    <w:rsid w:val="00AB7D74"/>
    <w:rsid w:val="00AC0ADA"/>
    <w:rsid w:val="00AC0F50"/>
    <w:rsid w:val="00AC1864"/>
    <w:rsid w:val="00AC1B65"/>
    <w:rsid w:val="00AC1D8E"/>
    <w:rsid w:val="00AC40A8"/>
    <w:rsid w:val="00AC420D"/>
    <w:rsid w:val="00AC59EC"/>
    <w:rsid w:val="00AC7008"/>
    <w:rsid w:val="00AD2D32"/>
    <w:rsid w:val="00AD3017"/>
    <w:rsid w:val="00AD4AD6"/>
    <w:rsid w:val="00AD4B95"/>
    <w:rsid w:val="00AD506F"/>
    <w:rsid w:val="00AD6AF3"/>
    <w:rsid w:val="00AE0D0C"/>
    <w:rsid w:val="00AE1663"/>
    <w:rsid w:val="00AE329B"/>
    <w:rsid w:val="00AE45FE"/>
    <w:rsid w:val="00AE46F9"/>
    <w:rsid w:val="00AE7CB6"/>
    <w:rsid w:val="00AF0374"/>
    <w:rsid w:val="00AF55C6"/>
    <w:rsid w:val="00AF56BB"/>
    <w:rsid w:val="00AF5A5D"/>
    <w:rsid w:val="00AF6ADD"/>
    <w:rsid w:val="00AF6F6E"/>
    <w:rsid w:val="00AF7661"/>
    <w:rsid w:val="00B034A4"/>
    <w:rsid w:val="00B0488C"/>
    <w:rsid w:val="00B10FDD"/>
    <w:rsid w:val="00B1174C"/>
    <w:rsid w:val="00B124B9"/>
    <w:rsid w:val="00B15E1E"/>
    <w:rsid w:val="00B16DD5"/>
    <w:rsid w:val="00B20013"/>
    <w:rsid w:val="00B21BDE"/>
    <w:rsid w:val="00B223D2"/>
    <w:rsid w:val="00B22962"/>
    <w:rsid w:val="00B24D29"/>
    <w:rsid w:val="00B251DE"/>
    <w:rsid w:val="00B25D1F"/>
    <w:rsid w:val="00B262C9"/>
    <w:rsid w:val="00B26615"/>
    <w:rsid w:val="00B27C2A"/>
    <w:rsid w:val="00B30236"/>
    <w:rsid w:val="00B30DCA"/>
    <w:rsid w:val="00B323AD"/>
    <w:rsid w:val="00B32E3C"/>
    <w:rsid w:val="00B33B92"/>
    <w:rsid w:val="00B34543"/>
    <w:rsid w:val="00B35103"/>
    <w:rsid w:val="00B40710"/>
    <w:rsid w:val="00B42C90"/>
    <w:rsid w:val="00B42F0A"/>
    <w:rsid w:val="00B431F9"/>
    <w:rsid w:val="00B43533"/>
    <w:rsid w:val="00B43D15"/>
    <w:rsid w:val="00B441E8"/>
    <w:rsid w:val="00B44309"/>
    <w:rsid w:val="00B44D25"/>
    <w:rsid w:val="00B4508E"/>
    <w:rsid w:val="00B454AF"/>
    <w:rsid w:val="00B47384"/>
    <w:rsid w:val="00B505BF"/>
    <w:rsid w:val="00B50F08"/>
    <w:rsid w:val="00B53FB6"/>
    <w:rsid w:val="00B548BC"/>
    <w:rsid w:val="00B5683A"/>
    <w:rsid w:val="00B56998"/>
    <w:rsid w:val="00B63E30"/>
    <w:rsid w:val="00B70183"/>
    <w:rsid w:val="00B717C4"/>
    <w:rsid w:val="00B7293B"/>
    <w:rsid w:val="00B72DC0"/>
    <w:rsid w:val="00B736D6"/>
    <w:rsid w:val="00B73A5E"/>
    <w:rsid w:val="00B73CFA"/>
    <w:rsid w:val="00B7675E"/>
    <w:rsid w:val="00B77375"/>
    <w:rsid w:val="00B81CDD"/>
    <w:rsid w:val="00B83848"/>
    <w:rsid w:val="00B8389E"/>
    <w:rsid w:val="00B840F0"/>
    <w:rsid w:val="00B84687"/>
    <w:rsid w:val="00B86389"/>
    <w:rsid w:val="00B8731B"/>
    <w:rsid w:val="00B87352"/>
    <w:rsid w:val="00B91BD7"/>
    <w:rsid w:val="00B9288D"/>
    <w:rsid w:val="00B953FF"/>
    <w:rsid w:val="00B9546A"/>
    <w:rsid w:val="00B9553A"/>
    <w:rsid w:val="00B95700"/>
    <w:rsid w:val="00B9574D"/>
    <w:rsid w:val="00B96069"/>
    <w:rsid w:val="00BA1CBF"/>
    <w:rsid w:val="00BA21C3"/>
    <w:rsid w:val="00BA63EB"/>
    <w:rsid w:val="00BA6E07"/>
    <w:rsid w:val="00BA7872"/>
    <w:rsid w:val="00BA7F6B"/>
    <w:rsid w:val="00BB09F3"/>
    <w:rsid w:val="00BB1743"/>
    <w:rsid w:val="00BB19CE"/>
    <w:rsid w:val="00BB2403"/>
    <w:rsid w:val="00BB2796"/>
    <w:rsid w:val="00BB3DEC"/>
    <w:rsid w:val="00BB4A9F"/>
    <w:rsid w:val="00BC1C7C"/>
    <w:rsid w:val="00BC1DE9"/>
    <w:rsid w:val="00BC1E12"/>
    <w:rsid w:val="00BC527D"/>
    <w:rsid w:val="00BD1DB7"/>
    <w:rsid w:val="00BD204E"/>
    <w:rsid w:val="00BD4E67"/>
    <w:rsid w:val="00BD5FD2"/>
    <w:rsid w:val="00BD6B2D"/>
    <w:rsid w:val="00BD6F9F"/>
    <w:rsid w:val="00BD73CD"/>
    <w:rsid w:val="00BD7EEC"/>
    <w:rsid w:val="00BE0353"/>
    <w:rsid w:val="00BE0E73"/>
    <w:rsid w:val="00BE3D18"/>
    <w:rsid w:val="00BE3FD4"/>
    <w:rsid w:val="00BE58E0"/>
    <w:rsid w:val="00BF27CD"/>
    <w:rsid w:val="00BF29F2"/>
    <w:rsid w:val="00BF2D25"/>
    <w:rsid w:val="00BF399B"/>
    <w:rsid w:val="00BF4D2B"/>
    <w:rsid w:val="00BF529B"/>
    <w:rsid w:val="00BF7287"/>
    <w:rsid w:val="00BF72F2"/>
    <w:rsid w:val="00C0061F"/>
    <w:rsid w:val="00C0149A"/>
    <w:rsid w:val="00C020FC"/>
    <w:rsid w:val="00C02EE7"/>
    <w:rsid w:val="00C052B1"/>
    <w:rsid w:val="00C06143"/>
    <w:rsid w:val="00C119BD"/>
    <w:rsid w:val="00C12F22"/>
    <w:rsid w:val="00C13662"/>
    <w:rsid w:val="00C144C7"/>
    <w:rsid w:val="00C147F3"/>
    <w:rsid w:val="00C1649B"/>
    <w:rsid w:val="00C17378"/>
    <w:rsid w:val="00C1760F"/>
    <w:rsid w:val="00C17736"/>
    <w:rsid w:val="00C1799D"/>
    <w:rsid w:val="00C273CD"/>
    <w:rsid w:val="00C3124C"/>
    <w:rsid w:val="00C3135A"/>
    <w:rsid w:val="00C31400"/>
    <w:rsid w:val="00C31A9B"/>
    <w:rsid w:val="00C32916"/>
    <w:rsid w:val="00C32B52"/>
    <w:rsid w:val="00C33747"/>
    <w:rsid w:val="00C345B2"/>
    <w:rsid w:val="00C349D5"/>
    <w:rsid w:val="00C36741"/>
    <w:rsid w:val="00C41047"/>
    <w:rsid w:val="00C41A63"/>
    <w:rsid w:val="00C41BCE"/>
    <w:rsid w:val="00C42FE7"/>
    <w:rsid w:val="00C430BA"/>
    <w:rsid w:val="00C431B9"/>
    <w:rsid w:val="00C433AD"/>
    <w:rsid w:val="00C441B0"/>
    <w:rsid w:val="00C458F0"/>
    <w:rsid w:val="00C459E4"/>
    <w:rsid w:val="00C47201"/>
    <w:rsid w:val="00C47242"/>
    <w:rsid w:val="00C47F22"/>
    <w:rsid w:val="00C515B7"/>
    <w:rsid w:val="00C526D0"/>
    <w:rsid w:val="00C53074"/>
    <w:rsid w:val="00C57F8C"/>
    <w:rsid w:val="00C610D8"/>
    <w:rsid w:val="00C61D3C"/>
    <w:rsid w:val="00C624DA"/>
    <w:rsid w:val="00C6259B"/>
    <w:rsid w:val="00C63683"/>
    <w:rsid w:val="00C64667"/>
    <w:rsid w:val="00C64880"/>
    <w:rsid w:val="00C65E14"/>
    <w:rsid w:val="00C661E5"/>
    <w:rsid w:val="00C7035D"/>
    <w:rsid w:val="00C727B2"/>
    <w:rsid w:val="00C730A0"/>
    <w:rsid w:val="00C73182"/>
    <w:rsid w:val="00C739C1"/>
    <w:rsid w:val="00C73BAD"/>
    <w:rsid w:val="00C772FF"/>
    <w:rsid w:val="00C8013D"/>
    <w:rsid w:val="00C80B65"/>
    <w:rsid w:val="00C8246E"/>
    <w:rsid w:val="00C83AEF"/>
    <w:rsid w:val="00C879D4"/>
    <w:rsid w:val="00C9093E"/>
    <w:rsid w:val="00C935CF"/>
    <w:rsid w:val="00C941D6"/>
    <w:rsid w:val="00C946CF"/>
    <w:rsid w:val="00C94BF9"/>
    <w:rsid w:val="00C971AD"/>
    <w:rsid w:val="00C97AB3"/>
    <w:rsid w:val="00CA1EBB"/>
    <w:rsid w:val="00CA2E83"/>
    <w:rsid w:val="00CA30AE"/>
    <w:rsid w:val="00CA38FA"/>
    <w:rsid w:val="00CA778D"/>
    <w:rsid w:val="00CB0CE9"/>
    <w:rsid w:val="00CB0DB6"/>
    <w:rsid w:val="00CB2472"/>
    <w:rsid w:val="00CB2D21"/>
    <w:rsid w:val="00CB35F2"/>
    <w:rsid w:val="00CB3C19"/>
    <w:rsid w:val="00CB4C04"/>
    <w:rsid w:val="00CB5655"/>
    <w:rsid w:val="00CB5CF8"/>
    <w:rsid w:val="00CB6083"/>
    <w:rsid w:val="00CB64A5"/>
    <w:rsid w:val="00CB6A21"/>
    <w:rsid w:val="00CB6E8A"/>
    <w:rsid w:val="00CB72D3"/>
    <w:rsid w:val="00CC0C53"/>
    <w:rsid w:val="00CC2150"/>
    <w:rsid w:val="00CC498D"/>
    <w:rsid w:val="00CC568A"/>
    <w:rsid w:val="00CC669A"/>
    <w:rsid w:val="00CC69E2"/>
    <w:rsid w:val="00CD0ADC"/>
    <w:rsid w:val="00CD0AF4"/>
    <w:rsid w:val="00CD0C75"/>
    <w:rsid w:val="00CD42C4"/>
    <w:rsid w:val="00CD5DCB"/>
    <w:rsid w:val="00CD7B08"/>
    <w:rsid w:val="00CE0075"/>
    <w:rsid w:val="00CE0906"/>
    <w:rsid w:val="00CE14E8"/>
    <w:rsid w:val="00CE18B2"/>
    <w:rsid w:val="00CE453B"/>
    <w:rsid w:val="00CE63C7"/>
    <w:rsid w:val="00CE687D"/>
    <w:rsid w:val="00CF15D9"/>
    <w:rsid w:val="00CF230F"/>
    <w:rsid w:val="00CF4D48"/>
    <w:rsid w:val="00CF56C6"/>
    <w:rsid w:val="00CF6A14"/>
    <w:rsid w:val="00D0092E"/>
    <w:rsid w:val="00D0097F"/>
    <w:rsid w:val="00D00E97"/>
    <w:rsid w:val="00D0155E"/>
    <w:rsid w:val="00D01C88"/>
    <w:rsid w:val="00D057E0"/>
    <w:rsid w:val="00D072D8"/>
    <w:rsid w:val="00D15976"/>
    <w:rsid w:val="00D159A0"/>
    <w:rsid w:val="00D1641D"/>
    <w:rsid w:val="00D16D65"/>
    <w:rsid w:val="00D205B7"/>
    <w:rsid w:val="00D2151E"/>
    <w:rsid w:val="00D2165C"/>
    <w:rsid w:val="00D22F39"/>
    <w:rsid w:val="00D277BA"/>
    <w:rsid w:val="00D31BC9"/>
    <w:rsid w:val="00D32E0E"/>
    <w:rsid w:val="00D3413C"/>
    <w:rsid w:val="00D3472F"/>
    <w:rsid w:val="00D35B53"/>
    <w:rsid w:val="00D3626B"/>
    <w:rsid w:val="00D36DF9"/>
    <w:rsid w:val="00D37FFC"/>
    <w:rsid w:val="00D42AB0"/>
    <w:rsid w:val="00D43E1B"/>
    <w:rsid w:val="00D468AE"/>
    <w:rsid w:val="00D47E9B"/>
    <w:rsid w:val="00D50D32"/>
    <w:rsid w:val="00D516BC"/>
    <w:rsid w:val="00D520B6"/>
    <w:rsid w:val="00D53ACB"/>
    <w:rsid w:val="00D541E7"/>
    <w:rsid w:val="00D54D69"/>
    <w:rsid w:val="00D55430"/>
    <w:rsid w:val="00D56A01"/>
    <w:rsid w:val="00D61436"/>
    <w:rsid w:val="00D61F9B"/>
    <w:rsid w:val="00D631C9"/>
    <w:rsid w:val="00D65136"/>
    <w:rsid w:val="00D6514E"/>
    <w:rsid w:val="00D65B9B"/>
    <w:rsid w:val="00D664A8"/>
    <w:rsid w:val="00D66708"/>
    <w:rsid w:val="00D676AA"/>
    <w:rsid w:val="00D70E35"/>
    <w:rsid w:val="00D73635"/>
    <w:rsid w:val="00D7396E"/>
    <w:rsid w:val="00D76491"/>
    <w:rsid w:val="00D813ED"/>
    <w:rsid w:val="00D8178F"/>
    <w:rsid w:val="00D82096"/>
    <w:rsid w:val="00D83156"/>
    <w:rsid w:val="00D84240"/>
    <w:rsid w:val="00D84379"/>
    <w:rsid w:val="00D857F6"/>
    <w:rsid w:val="00D85843"/>
    <w:rsid w:val="00D90348"/>
    <w:rsid w:val="00D91C52"/>
    <w:rsid w:val="00D92586"/>
    <w:rsid w:val="00D93D02"/>
    <w:rsid w:val="00DA02D1"/>
    <w:rsid w:val="00DA1271"/>
    <w:rsid w:val="00DA1482"/>
    <w:rsid w:val="00DA5E1F"/>
    <w:rsid w:val="00DA6581"/>
    <w:rsid w:val="00DA736B"/>
    <w:rsid w:val="00DA74F4"/>
    <w:rsid w:val="00DA75BE"/>
    <w:rsid w:val="00DB1C06"/>
    <w:rsid w:val="00DB3871"/>
    <w:rsid w:val="00DB3FBB"/>
    <w:rsid w:val="00DB5630"/>
    <w:rsid w:val="00DB733F"/>
    <w:rsid w:val="00DC0F0B"/>
    <w:rsid w:val="00DC39AC"/>
    <w:rsid w:val="00DC6750"/>
    <w:rsid w:val="00DD13BC"/>
    <w:rsid w:val="00DD236D"/>
    <w:rsid w:val="00DD2810"/>
    <w:rsid w:val="00DD2F23"/>
    <w:rsid w:val="00DD33D7"/>
    <w:rsid w:val="00DD3CE9"/>
    <w:rsid w:val="00DD4286"/>
    <w:rsid w:val="00DD59B1"/>
    <w:rsid w:val="00DD59C8"/>
    <w:rsid w:val="00DD6F73"/>
    <w:rsid w:val="00DD7EBC"/>
    <w:rsid w:val="00DE2A30"/>
    <w:rsid w:val="00DE643E"/>
    <w:rsid w:val="00DE7D77"/>
    <w:rsid w:val="00DF03B3"/>
    <w:rsid w:val="00DF04CF"/>
    <w:rsid w:val="00DF2774"/>
    <w:rsid w:val="00DF496A"/>
    <w:rsid w:val="00DF745F"/>
    <w:rsid w:val="00E004D5"/>
    <w:rsid w:val="00E01090"/>
    <w:rsid w:val="00E04C9A"/>
    <w:rsid w:val="00E052EB"/>
    <w:rsid w:val="00E07CBA"/>
    <w:rsid w:val="00E07DBE"/>
    <w:rsid w:val="00E155ED"/>
    <w:rsid w:val="00E15E6E"/>
    <w:rsid w:val="00E16F6B"/>
    <w:rsid w:val="00E171EB"/>
    <w:rsid w:val="00E17BD8"/>
    <w:rsid w:val="00E20441"/>
    <w:rsid w:val="00E237AC"/>
    <w:rsid w:val="00E251FE"/>
    <w:rsid w:val="00E27C4C"/>
    <w:rsid w:val="00E30645"/>
    <w:rsid w:val="00E3172A"/>
    <w:rsid w:val="00E3190B"/>
    <w:rsid w:val="00E33BFD"/>
    <w:rsid w:val="00E36210"/>
    <w:rsid w:val="00E3648F"/>
    <w:rsid w:val="00E40B8D"/>
    <w:rsid w:val="00E41B38"/>
    <w:rsid w:val="00E41D8D"/>
    <w:rsid w:val="00E425C2"/>
    <w:rsid w:val="00E43BA5"/>
    <w:rsid w:val="00E43E0B"/>
    <w:rsid w:val="00E452B0"/>
    <w:rsid w:val="00E454FA"/>
    <w:rsid w:val="00E459F4"/>
    <w:rsid w:val="00E45B4A"/>
    <w:rsid w:val="00E475D1"/>
    <w:rsid w:val="00E479EA"/>
    <w:rsid w:val="00E52D72"/>
    <w:rsid w:val="00E57E15"/>
    <w:rsid w:val="00E61560"/>
    <w:rsid w:val="00E61748"/>
    <w:rsid w:val="00E63BD0"/>
    <w:rsid w:val="00E64E57"/>
    <w:rsid w:val="00E651AE"/>
    <w:rsid w:val="00E66E3F"/>
    <w:rsid w:val="00E73DA2"/>
    <w:rsid w:val="00E753CC"/>
    <w:rsid w:val="00E779B8"/>
    <w:rsid w:val="00E77F6D"/>
    <w:rsid w:val="00E827AA"/>
    <w:rsid w:val="00E8346C"/>
    <w:rsid w:val="00E84217"/>
    <w:rsid w:val="00E8545F"/>
    <w:rsid w:val="00E85856"/>
    <w:rsid w:val="00E86223"/>
    <w:rsid w:val="00E87118"/>
    <w:rsid w:val="00E87E13"/>
    <w:rsid w:val="00E912D6"/>
    <w:rsid w:val="00E9580E"/>
    <w:rsid w:val="00E96546"/>
    <w:rsid w:val="00EA0A12"/>
    <w:rsid w:val="00EA2C7D"/>
    <w:rsid w:val="00EA43D9"/>
    <w:rsid w:val="00EA61C8"/>
    <w:rsid w:val="00EA7603"/>
    <w:rsid w:val="00EB0740"/>
    <w:rsid w:val="00EB5577"/>
    <w:rsid w:val="00EC2E52"/>
    <w:rsid w:val="00EC529B"/>
    <w:rsid w:val="00EC53CB"/>
    <w:rsid w:val="00EC6731"/>
    <w:rsid w:val="00ED01FD"/>
    <w:rsid w:val="00ED0A28"/>
    <w:rsid w:val="00ED0D9B"/>
    <w:rsid w:val="00ED13C6"/>
    <w:rsid w:val="00ED4088"/>
    <w:rsid w:val="00ED79A1"/>
    <w:rsid w:val="00ED7C54"/>
    <w:rsid w:val="00EE0347"/>
    <w:rsid w:val="00EE1227"/>
    <w:rsid w:val="00EE2A39"/>
    <w:rsid w:val="00EE4605"/>
    <w:rsid w:val="00EE635B"/>
    <w:rsid w:val="00EE68EE"/>
    <w:rsid w:val="00EE6991"/>
    <w:rsid w:val="00EE7719"/>
    <w:rsid w:val="00EF10E4"/>
    <w:rsid w:val="00EF1258"/>
    <w:rsid w:val="00EF13BA"/>
    <w:rsid w:val="00EF23D8"/>
    <w:rsid w:val="00EF2DE6"/>
    <w:rsid w:val="00EF4A37"/>
    <w:rsid w:val="00EF4BB9"/>
    <w:rsid w:val="00EF4F27"/>
    <w:rsid w:val="00EF515C"/>
    <w:rsid w:val="00EF5A04"/>
    <w:rsid w:val="00EF6947"/>
    <w:rsid w:val="00EF7625"/>
    <w:rsid w:val="00F009DD"/>
    <w:rsid w:val="00F02024"/>
    <w:rsid w:val="00F02BBA"/>
    <w:rsid w:val="00F07C3A"/>
    <w:rsid w:val="00F10CFF"/>
    <w:rsid w:val="00F1292E"/>
    <w:rsid w:val="00F13242"/>
    <w:rsid w:val="00F153C6"/>
    <w:rsid w:val="00F15E1C"/>
    <w:rsid w:val="00F213CC"/>
    <w:rsid w:val="00F21645"/>
    <w:rsid w:val="00F21D98"/>
    <w:rsid w:val="00F24668"/>
    <w:rsid w:val="00F255DA"/>
    <w:rsid w:val="00F25AD1"/>
    <w:rsid w:val="00F26F3E"/>
    <w:rsid w:val="00F325F1"/>
    <w:rsid w:val="00F35844"/>
    <w:rsid w:val="00F3598D"/>
    <w:rsid w:val="00F37901"/>
    <w:rsid w:val="00F37C60"/>
    <w:rsid w:val="00F44449"/>
    <w:rsid w:val="00F44D04"/>
    <w:rsid w:val="00F461CE"/>
    <w:rsid w:val="00F51D39"/>
    <w:rsid w:val="00F524AA"/>
    <w:rsid w:val="00F55E83"/>
    <w:rsid w:val="00F56E1C"/>
    <w:rsid w:val="00F579BC"/>
    <w:rsid w:val="00F6127E"/>
    <w:rsid w:val="00F61889"/>
    <w:rsid w:val="00F73375"/>
    <w:rsid w:val="00F74A44"/>
    <w:rsid w:val="00F777C6"/>
    <w:rsid w:val="00F83352"/>
    <w:rsid w:val="00F83897"/>
    <w:rsid w:val="00F83A60"/>
    <w:rsid w:val="00F83C5F"/>
    <w:rsid w:val="00F84662"/>
    <w:rsid w:val="00F87CB8"/>
    <w:rsid w:val="00F904B1"/>
    <w:rsid w:val="00F912CD"/>
    <w:rsid w:val="00F93296"/>
    <w:rsid w:val="00F93EEA"/>
    <w:rsid w:val="00F95EBF"/>
    <w:rsid w:val="00FA03CA"/>
    <w:rsid w:val="00FA137B"/>
    <w:rsid w:val="00FA33A5"/>
    <w:rsid w:val="00FA3D61"/>
    <w:rsid w:val="00FA438B"/>
    <w:rsid w:val="00FA4440"/>
    <w:rsid w:val="00FA4488"/>
    <w:rsid w:val="00FA7BC6"/>
    <w:rsid w:val="00FB0D1B"/>
    <w:rsid w:val="00FB26B2"/>
    <w:rsid w:val="00FB2F08"/>
    <w:rsid w:val="00FB3255"/>
    <w:rsid w:val="00FB35AD"/>
    <w:rsid w:val="00FB58D3"/>
    <w:rsid w:val="00FB76E6"/>
    <w:rsid w:val="00FC2DD9"/>
    <w:rsid w:val="00FC3862"/>
    <w:rsid w:val="00FC500D"/>
    <w:rsid w:val="00FC5B9C"/>
    <w:rsid w:val="00FC7BA1"/>
    <w:rsid w:val="00FD1144"/>
    <w:rsid w:val="00FD145F"/>
    <w:rsid w:val="00FD353D"/>
    <w:rsid w:val="00FD3F18"/>
    <w:rsid w:val="00FD4EF6"/>
    <w:rsid w:val="00FD6396"/>
    <w:rsid w:val="00FD6822"/>
    <w:rsid w:val="00FE1497"/>
    <w:rsid w:val="00FE15FE"/>
    <w:rsid w:val="00FE16C4"/>
    <w:rsid w:val="00FE1DD9"/>
    <w:rsid w:val="00FE32C8"/>
    <w:rsid w:val="00FE3308"/>
    <w:rsid w:val="00FE5A47"/>
    <w:rsid w:val="00FE5BE7"/>
    <w:rsid w:val="00FE69BB"/>
    <w:rsid w:val="00FE7CE6"/>
    <w:rsid w:val="00FF1123"/>
    <w:rsid w:val="00FF481D"/>
    <w:rsid w:val="00FF4B42"/>
    <w:rsid w:val="00FF5A78"/>
    <w:rsid w:val="00FF5D96"/>
    <w:rsid w:val="00FF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4B9"/>
    <w:rPr>
      <w:sz w:val="24"/>
      <w:szCs w:val="24"/>
    </w:rPr>
  </w:style>
  <w:style w:type="paragraph" w:styleId="Heading1">
    <w:name w:val="heading 1"/>
    <w:basedOn w:val="Normal"/>
    <w:next w:val="Normal"/>
    <w:qFormat/>
    <w:rsid w:val="00DD236D"/>
    <w:pPr>
      <w:keepNext/>
      <w:numPr>
        <w:numId w:val="2"/>
      </w:numPr>
      <w:spacing w:before="1440" w:after="240"/>
      <w:jc w:val="center"/>
      <w:outlineLvl w:val="0"/>
    </w:pPr>
    <w:rPr>
      <w:rFonts w:cs="Arial"/>
      <w:b/>
      <w:bCs/>
      <w:caps/>
      <w:kern w:val="32"/>
      <w:sz w:val="32"/>
      <w:szCs w:val="32"/>
    </w:rPr>
  </w:style>
  <w:style w:type="paragraph" w:styleId="Heading2">
    <w:name w:val="heading 2"/>
    <w:basedOn w:val="Normal"/>
    <w:next w:val="Normal"/>
    <w:qFormat/>
    <w:rsid w:val="00DD236D"/>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DD236D"/>
    <w:pPr>
      <w:keepNext/>
      <w:keepLines/>
      <w:spacing w:before="120" w:after="240"/>
      <w:outlineLvl w:val="2"/>
    </w:pPr>
    <w:rPr>
      <w:rFonts w:cs="Arial"/>
      <w:b/>
      <w:bCs/>
      <w:szCs w:val="26"/>
    </w:rPr>
  </w:style>
  <w:style w:type="paragraph" w:styleId="Heading4">
    <w:name w:val="heading 4"/>
    <w:basedOn w:val="Normal"/>
    <w:next w:val="Normal"/>
    <w:qFormat/>
    <w:rsid w:val="00DD236D"/>
    <w:pPr>
      <w:keepNext/>
      <w:keepLines/>
      <w:spacing w:before="120" w:after="24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Template">
    <w:name w:val="Style1 Template"/>
    <w:basedOn w:val="Normal"/>
    <w:rsid w:val="005F6CD0"/>
  </w:style>
  <w:style w:type="paragraph" w:styleId="FootnoteText">
    <w:name w:val="footnote text"/>
    <w:aliases w:val="single space,fn,FOOTNOTES,footnote text"/>
    <w:basedOn w:val="Normal"/>
    <w:link w:val="FootnoteTextChar"/>
    <w:uiPriority w:val="99"/>
    <w:rsid w:val="00B124B9"/>
    <w:rPr>
      <w:sz w:val="20"/>
      <w:szCs w:val="20"/>
    </w:rPr>
  </w:style>
  <w:style w:type="character" w:customStyle="1" w:styleId="FootnoteTextChar">
    <w:name w:val="Footnote Text Char"/>
    <w:aliases w:val="single space Char,fn Char,FOOTNOTES Char,footnote text Char"/>
    <w:basedOn w:val="DefaultParagraphFont"/>
    <w:link w:val="FootnoteText"/>
    <w:uiPriority w:val="99"/>
    <w:rsid w:val="00B124B9"/>
    <w:rPr>
      <w:lang w:val="en-US" w:eastAsia="en-US" w:bidi="ar-SA"/>
    </w:rPr>
  </w:style>
  <w:style w:type="character" w:styleId="FootnoteReference">
    <w:name w:val="footnote reference"/>
    <w:basedOn w:val="DefaultParagraphFont"/>
    <w:uiPriority w:val="99"/>
    <w:rsid w:val="00B124B9"/>
    <w:rPr>
      <w:vertAlign w:val="superscript"/>
    </w:rPr>
  </w:style>
  <w:style w:type="character" w:customStyle="1" w:styleId="bodyital">
    <w:name w:val="body ital"/>
    <w:rsid w:val="00B124B9"/>
    <w:rPr>
      <w:rFonts w:ascii="Palatino" w:hAnsi="Palatino"/>
      <w:i/>
    </w:rPr>
  </w:style>
  <w:style w:type="character" w:customStyle="1" w:styleId="bodybold">
    <w:name w:val="body bold"/>
    <w:rsid w:val="00B124B9"/>
    <w:rPr>
      <w:rFonts w:ascii="Palatino" w:hAnsi="Palatino"/>
      <w:b/>
    </w:rPr>
  </w:style>
  <w:style w:type="paragraph" w:customStyle="1" w:styleId="Chapterhead">
    <w:name w:val="Chapter head"/>
    <w:rsid w:val="00B124B9"/>
    <w:pPr>
      <w:spacing w:after="720" w:line="480" w:lineRule="exact"/>
      <w:jc w:val="center"/>
    </w:pPr>
    <w:rPr>
      <w:rFonts w:ascii="Palatino" w:hAnsi="Palatino"/>
      <w:noProof/>
      <w:spacing w:val="200"/>
      <w:sz w:val="40"/>
    </w:rPr>
  </w:style>
  <w:style w:type="character" w:styleId="Hyperlink">
    <w:name w:val="Hyperlink"/>
    <w:basedOn w:val="DefaultParagraphFont"/>
    <w:rsid w:val="00B124B9"/>
    <w:rPr>
      <w:color w:val="0000FF"/>
      <w:u w:val="single"/>
    </w:rPr>
  </w:style>
  <w:style w:type="paragraph" w:customStyle="1" w:styleId="Bodytext">
    <w:name w:val="Body text"/>
    <w:link w:val="BodytextChar1"/>
    <w:rsid w:val="00B124B9"/>
    <w:pPr>
      <w:keepLines/>
      <w:spacing w:after="40" w:line="240" w:lineRule="exact"/>
      <w:ind w:firstLine="240"/>
      <w:jc w:val="both"/>
    </w:pPr>
    <w:rPr>
      <w:rFonts w:ascii="Palatino" w:hAnsi="Palatino"/>
      <w:noProof/>
    </w:rPr>
  </w:style>
  <w:style w:type="character" w:customStyle="1" w:styleId="BodytextChar1">
    <w:name w:val="Body text Char1"/>
    <w:basedOn w:val="DefaultParagraphFont"/>
    <w:link w:val="Bodytext"/>
    <w:rsid w:val="00B124B9"/>
    <w:rPr>
      <w:rFonts w:ascii="Palatino" w:hAnsi="Palatino"/>
      <w:noProof/>
      <w:lang w:val="en-US" w:eastAsia="en-US" w:bidi="ar-SA"/>
    </w:rPr>
  </w:style>
  <w:style w:type="paragraph" w:styleId="Header">
    <w:name w:val="header"/>
    <w:basedOn w:val="Normal"/>
    <w:link w:val="HeaderChar"/>
    <w:uiPriority w:val="99"/>
    <w:rsid w:val="00B124B9"/>
    <w:pPr>
      <w:tabs>
        <w:tab w:val="center" w:pos="4320"/>
        <w:tab w:val="right" w:pos="8640"/>
      </w:tabs>
    </w:pPr>
  </w:style>
  <w:style w:type="paragraph" w:customStyle="1" w:styleId="AHead">
    <w:name w:val="A Head"/>
    <w:rsid w:val="00B124B9"/>
    <w:pPr>
      <w:spacing w:before="287" w:after="287" w:line="240" w:lineRule="exact"/>
      <w:jc w:val="center"/>
    </w:pPr>
    <w:rPr>
      <w:rFonts w:ascii="Palatino" w:hAnsi="Palatino"/>
      <w:b/>
      <w:noProof/>
      <w:sz w:val="24"/>
    </w:rPr>
  </w:style>
  <w:style w:type="paragraph" w:customStyle="1" w:styleId="addressname">
    <w:name w:val="address name"/>
    <w:rsid w:val="00B124B9"/>
    <w:pPr>
      <w:spacing w:before="216"/>
    </w:pPr>
    <w:rPr>
      <w:rFonts w:ascii="Palatino" w:hAnsi="Palatino"/>
      <w:b/>
      <w:noProof/>
      <w:sz w:val="16"/>
    </w:rPr>
  </w:style>
  <w:style w:type="paragraph" w:customStyle="1" w:styleId="addressbody">
    <w:name w:val="address body"/>
    <w:rsid w:val="00B124B9"/>
    <w:pPr>
      <w:ind w:left="230" w:hanging="230"/>
    </w:pPr>
    <w:rPr>
      <w:rFonts w:ascii="Palatino" w:hAnsi="Palatino"/>
      <w:noProof/>
      <w:sz w:val="16"/>
    </w:rPr>
  </w:style>
  <w:style w:type="paragraph" w:styleId="Footer">
    <w:name w:val="footer"/>
    <w:basedOn w:val="Normal"/>
    <w:link w:val="FooterChar"/>
    <w:uiPriority w:val="99"/>
    <w:rsid w:val="00B124B9"/>
    <w:pPr>
      <w:tabs>
        <w:tab w:val="center" w:pos="4320"/>
        <w:tab w:val="right" w:pos="8640"/>
      </w:tabs>
    </w:pPr>
  </w:style>
  <w:style w:type="character" w:styleId="PageNumber">
    <w:name w:val="page number"/>
    <w:basedOn w:val="DefaultParagraphFont"/>
    <w:rsid w:val="00B124B9"/>
  </w:style>
  <w:style w:type="paragraph" w:customStyle="1" w:styleId="Heading1a">
    <w:name w:val="Heading 1a"/>
    <w:basedOn w:val="Normal"/>
    <w:next w:val="Normal"/>
    <w:rsid w:val="00DD236D"/>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DD236D"/>
    <w:pPr>
      <w:numPr>
        <w:ilvl w:val="1"/>
        <w:numId w:val="2"/>
      </w:numPr>
      <w:spacing w:after="240"/>
      <w:outlineLvl w:val="1"/>
    </w:pPr>
  </w:style>
  <w:style w:type="paragraph" w:customStyle="1" w:styleId="MainParanoChapter">
    <w:name w:val="Main Para no Chapter #"/>
    <w:basedOn w:val="Normal"/>
    <w:rsid w:val="00DD236D"/>
    <w:pPr>
      <w:numPr>
        <w:ilvl w:val="1"/>
        <w:numId w:val="1"/>
      </w:numPr>
      <w:spacing w:after="240"/>
      <w:outlineLvl w:val="1"/>
    </w:pPr>
  </w:style>
  <w:style w:type="paragraph" w:customStyle="1" w:styleId="Sub-Para1underX">
    <w:name w:val="Sub-Para 1 under X."/>
    <w:basedOn w:val="Normal"/>
    <w:rsid w:val="00DD236D"/>
    <w:pPr>
      <w:numPr>
        <w:ilvl w:val="2"/>
        <w:numId w:val="1"/>
      </w:numPr>
      <w:spacing w:after="240"/>
      <w:outlineLvl w:val="2"/>
    </w:pPr>
  </w:style>
  <w:style w:type="paragraph" w:customStyle="1" w:styleId="Sub-Para1underXY">
    <w:name w:val="Sub-Para 1 under X.Y"/>
    <w:basedOn w:val="Normal"/>
    <w:rsid w:val="00DD236D"/>
    <w:pPr>
      <w:numPr>
        <w:ilvl w:val="2"/>
        <w:numId w:val="2"/>
      </w:numPr>
      <w:spacing w:after="240"/>
      <w:outlineLvl w:val="2"/>
    </w:pPr>
  </w:style>
  <w:style w:type="paragraph" w:customStyle="1" w:styleId="Sub-Para2underX">
    <w:name w:val="Sub-Para 2 under X."/>
    <w:basedOn w:val="Normal"/>
    <w:rsid w:val="00DD236D"/>
    <w:pPr>
      <w:numPr>
        <w:ilvl w:val="3"/>
        <w:numId w:val="1"/>
      </w:numPr>
      <w:spacing w:after="240"/>
      <w:outlineLvl w:val="3"/>
    </w:pPr>
  </w:style>
  <w:style w:type="paragraph" w:customStyle="1" w:styleId="Sub-Para2underXY">
    <w:name w:val="Sub-Para 2 under X.Y"/>
    <w:basedOn w:val="Normal"/>
    <w:rsid w:val="00DD236D"/>
    <w:pPr>
      <w:numPr>
        <w:ilvl w:val="3"/>
        <w:numId w:val="2"/>
      </w:numPr>
      <w:spacing w:after="240"/>
      <w:outlineLvl w:val="3"/>
    </w:pPr>
  </w:style>
  <w:style w:type="paragraph" w:customStyle="1" w:styleId="Sub-Para3underX">
    <w:name w:val="Sub-Para 3 under X."/>
    <w:basedOn w:val="Normal"/>
    <w:rsid w:val="00DD236D"/>
    <w:pPr>
      <w:numPr>
        <w:ilvl w:val="4"/>
        <w:numId w:val="1"/>
      </w:numPr>
      <w:spacing w:after="240"/>
      <w:outlineLvl w:val="4"/>
    </w:pPr>
  </w:style>
  <w:style w:type="paragraph" w:customStyle="1" w:styleId="Sub-Para3underXY">
    <w:name w:val="Sub-Para 3 under X.Y"/>
    <w:basedOn w:val="Normal"/>
    <w:rsid w:val="00DD236D"/>
    <w:pPr>
      <w:numPr>
        <w:ilvl w:val="4"/>
        <w:numId w:val="2"/>
      </w:numPr>
      <w:spacing w:after="240"/>
      <w:outlineLvl w:val="4"/>
    </w:pPr>
  </w:style>
  <w:style w:type="paragraph" w:customStyle="1" w:styleId="Sub-Para4underX">
    <w:name w:val="Sub-Para 4 under X."/>
    <w:basedOn w:val="Normal"/>
    <w:rsid w:val="00DD236D"/>
    <w:pPr>
      <w:numPr>
        <w:ilvl w:val="5"/>
        <w:numId w:val="1"/>
      </w:numPr>
      <w:spacing w:after="240"/>
      <w:outlineLvl w:val="5"/>
    </w:pPr>
  </w:style>
  <w:style w:type="paragraph" w:customStyle="1" w:styleId="Sub-Para4underXY">
    <w:name w:val="Sub-Para 4 under X.Y"/>
    <w:basedOn w:val="Normal"/>
    <w:rsid w:val="00DD236D"/>
    <w:pPr>
      <w:numPr>
        <w:ilvl w:val="5"/>
        <w:numId w:val="2"/>
      </w:numPr>
      <w:spacing w:after="240"/>
      <w:outlineLvl w:val="5"/>
    </w:pPr>
  </w:style>
  <w:style w:type="paragraph" w:customStyle="1" w:styleId="Bullet">
    <w:name w:val="Bullet"/>
    <w:basedOn w:val="Normal"/>
    <w:rsid w:val="00DD236D"/>
    <w:pPr>
      <w:numPr>
        <w:numId w:val="3"/>
      </w:numPr>
    </w:pPr>
  </w:style>
  <w:style w:type="character" w:customStyle="1" w:styleId="FootnoteTextChar1">
    <w:name w:val="Footnote Text Char1"/>
    <w:aliases w:val="single space Char1,fn Char1,FOOTNOTES Char1,footnote text Char1"/>
    <w:basedOn w:val="DefaultParagraphFont"/>
    <w:uiPriority w:val="99"/>
    <w:rsid w:val="00187ED5"/>
    <w:rPr>
      <w:lang w:val="en-US" w:eastAsia="en-US" w:bidi="ar-SA"/>
    </w:rPr>
  </w:style>
  <w:style w:type="paragraph" w:styleId="ListParagraph">
    <w:name w:val="List Paragraph"/>
    <w:basedOn w:val="Normal"/>
    <w:uiPriority w:val="34"/>
    <w:qFormat/>
    <w:rsid w:val="00A05CAA"/>
    <w:pPr>
      <w:ind w:left="720"/>
    </w:pPr>
  </w:style>
  <w:style w:type="character" w:customStyle="1" w:styleId="HeaderChar">
    <w:name w:val="Header Char"/>
    <w:basedOn w:val="DefaultParagraphFont"/>
    <w:link w:val="Header"/>
    <w:uiPriority w:val="99"/>
    <w:rsid w:val="00A05CAA"/>
    <w:rPr>
      <w:sz w:val="24"/>
      <w:szCs w:val="24"/>
    </w:rPr>
  </w:style>
  <w:style w:type="paragraph" w:customStyle="1" w:styleId="NoSpacing1">
    <w:name w:val="No Spacing1"/>
    <w:uiPriority w:val="1"/>
    <w:qFormat/>
    <w:rsid w:val="004213A3"/>
    <w:rPr>
      <w:rFonts w:ascii="Calibri" w:eastAsia="Calibri" w:hAnsi="Calibri" w:cs="Helvetica"/>
      <w:sz w:val="22"/>
      <w:szCs w:val="22"/>
    </w:rPr>
  </w:style>
  <w:style w:type="paragraph" w:styleId="BalloonText">
    <w:name w:val="Balloon Text"/>
    <w:basedOn w:val="Normal"/>
    <w:link w:val="BalloonTextChar"/>
    <w:rsid w:val="001B4E12"/>
    <w:rPr>
      <w:rFonts w:ascii="Tahoma" w:hAnsi="Tahoma" w:cs="Tahoma"/>
      <w:sz w:val="16"/>
      <w:szCs w:val="16"/>
    </w:rPr>
  </w:style>
  <w:style w:type="character" w:customStyle="1" w:styleId="BalloonTextChar">
    <w:name w:val="Balloon Text Char"/>
    <w:basedOn w:val="DefaultParagraphFont"/>
    <w:link w:val="BalloonText"/>
    <w:rsid w:val="001B4E12"/>
    <w:rPr>
      <w:rFonts w:ascii="Tahoma" w:hAnsi="Tahoma" w:cs="Tahoma"/>
      <w:sz w:val="16"/>
      <w:szCs w:val="16"/>
    </w:rPr>
  </w:style>
  <w:style w:type="character" w:styleId="CommentReference">
    <w:name w:val="annotation reference"/>
    <w:basedOn w:val="DefaultParagraphFont"/>
    <w:uiPriority w:val="99"/>
    <w:rsid w:val="00C0149A"/>
    <w:rPr>
      <w:sz w:val="16"/>
      <w:szCs w:val="16"/>
    </w:rPr>
  </w:style>
  <w:style w:type="paragraph" w:styleId="CommentText">
    <w:name w:val="annotation text"/>
    <w:basedOn w:val="Normal"/>
    <w:link w:val="CommentTextChar"/>
    <w:uiPriority w:val="99"/>
    <w:rsid w:val="00C0149A"/>
    <w:rPr>
      <w:sz w:val="20"/>
      <w:szCs w:val="20"/>
    </w:rPr>
  </w:style>
  <w:style w:type="character" w:customStyle="1" w:styleId="CommentTextChar">
    <w:name w:val="Comment Text Char"/>
    <w:basedOn w:val="DefaultParagraphFont"/>
    <w:link w:val="CommentText"/>
    <w:uiPriority w:val="99"/>
    <w:rsid w:val="00C0149A"/>
  </w:style>
  <w:style w:type="paragraph" w:styleId="CommentSubject">
    <w:name w:val="annotation subject"/>
    <w:basedOn w:val="CommentText"/>
    <w:next w:val="CommentText"/>
    <w:link w:val="CommentSubjectChar"/>
    <w:rsid w:val="00C0149A"/>
    <w:rPr>
      <w:b/>
      <w:bCs/>
    </w:rPr>
  </w:style>
  <w:style w:type="character" w:customStyle="1" w:styleId="CommentSubjectChar">
    <w:name w:val="Comment Subject Char"/>
    <w:basedOn w:val="CommentTextChar"/>
    <w:link w:val="CommentSubject"/>
    <w:rsid w:val="00C0149A"/>
    <w:rPr>
      <w:b/>
      <w:bCs/>
    </w:rPr>
  </w:style>
  <w:style w:type="table" w:styleId="TableGrid">
    <w:name w:val="Table Grid"/>
    <w:basedOn w:val="TableNormal"/>
    <w:rsid w:val="00FC7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17378"/>
    <w:rPr>
      <w:sz w:val="24"/>
      <w:szCs w:val="24"/>
    </w:rPr>
  </w:style>
  <w:style w:type="character" w:customStyle="1" w:styleId="FooterChar">
    <w:name w:val="Footer Char"/>
    <w:basedOn w:val="DefaultParagraphFont"/>
    <w:link w:val="Footer"/>
    <w:uiPriority w:val="99"/>
    <w:rsid w:val="00012927"/>
    <w:rPr>
      <w:sz w:val="24"/>
      <w:szCs w:val="24"/>
    </w:rPr>
  </w:style>
  <w:style w:type="character" w:styleId="FollowedHyperlink">
    <w:name w:val="FollowedHyperlink"/>
    <w:basedOn w:val="DefaultParagraphFont"/>
    <w:rsid w:val="00920D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http://siteresources.worldbank.org/INFODISCLOSURE/Resources/Translation.Framework.WBG.2003.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spectionpanel.org" TargetMode="External"/><Relationship Id="rId1" Type="http://schemas.openxmlformats.org/officeDocument/2006/relationships/hyperlink" Target="http://ieg.worldbank.org/toolkit/pub_di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78B8-06A5-4DC0-AB9D-9B9DF96A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5273</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POLICY</vt:lpstr>
    </vt:vector>
  </TitlesOfParts>
  <Company>The World Bank Group</Company>
  <LinksUpToDate>false</LinksUpToDate>
  <CharactersWithSpaces>35671</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8061013</vt:i4>
      </vt:variant>
      <vt:variant>
        <vt:i4>0</vt:i4>
      </vt:variant>
      <vt:variant>
        <vt:i4>0</vt:i4>
      </vt:variant>
      <vt:variant>
        <vt:i4>5</vt:i4>
      </vt:variant>
      <vt:variant>
        <vt:lpwstr>mailto:accesstoinfo@worldbank.org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dc:title>
  <dc:creator>WB158507</dc:creator>
  <cp:lastModifiedBy>wb112742</cp:lastModifiedBy>
  <cp:revision>2</cp:revision>
  <cp:lastPrinted>2010-05-04T15:42:00Z</cp:lastPrinted>
  <dcterms:created xsi:type="dcterms:W3CDTF">2010-06-03T12:38:00Z</dcterms:created>
  <dcterms:modified xsi:type="dcterms:W3CDTF">2010-06-03T12:38:00Z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_DocHome">
    <vt:i4>272946591</vt:i4>
  </property>
</Properties>
</file>